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C4405">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487A41E0">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5B1C8E96">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51A8A82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themeColor="text1"/>
          <w:sz w:val="44"/>
          <w:szCs w:val="44"/>
          <w:lang w:val="en-GB"/>
          <w14:textFill>
            <w14:solidFill>
              <w14:schemeClr w14:val="tx1"/>
            </w14:solidFill>
          </w14:textFill>
        </w:rPr>
      </w:pPr>
      <w:r>
        <w:rPr>
          <w:rFonts w:hint="default" w:ascii="Times New Roman" w:hAnsi="Times New Roman" w:eastAsia="宋体" w:cs="Times New Roman"/>
          <w:b/>
          <w:color w:val="auto"/>
          <w:spacing w:val="-20"/>
          <w:sz w:val="44"/>
          <w:szCs w:val="44"/>
          <w:highlight w:val="none"/>
          <w:lang w:val="en-US" w:eastAsia="zh-CN"/>
        </w:rPr>
        <w:t>贵州新天喜工程机械有限公司</w:t>
      </w:r>
      <w:r>
        <w:rPr>
          <w:rFonts w:hint="default" w:ascii="Times New Roman" w:hAnsi="Times New Roman" w:eastAsia="宋体" w:cs="Times New Roman"/>
          <w:b/>
          <w:color w:val="000000" w:themeColor="text1"/>
          <w:sz w:val="44"/>
          <w:szCs w:val="44"/>
          <w:lang w:val="en-GB"/>
          <w14:textFill>
            <w14:solidFill>
              <w14:schemeClr w14:val="tx1"/>
            </w14:solidFill>
          </w14:textFill>
        </w:rPr>
        <w:t>鹤庆</w:t>
      </w:r>
      <w:r>
        <w:rPr>
          <w:rFonts w:hint="default" w:ascii="Times New Roman" w:hAnsi="Times New Roman" w:eastAsia="宋体" w:cs="Times New Roman"/>
          <w:b/>
          <w:color w:val="000000" w:themeColor="text1"/>
          <w:sz w:val="44"/>
          <w:szCs w:val="44"/>
          <w:lang w:val="en-US" w:eastAsia="zh-CN"/>
          <w14:textFill>
            <w14:solidFill>
              <w14:schemeClr w14:val="tx1"/>
            </w14:solidFill>
          </w14:textFill>
        </w:rPr>
        <w:t>分公司</w:t>
      </w:r>
    </w:p>
    <w:p w14:paraId="2724BD1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color w:val="000000" w:themeColor="text1"/>
          <w:sz w:val="44"/>
          <w:szCs w:val="44"/>
          <w:lang w:val="en-GB"/>
          <w14:textFill>
            <w14:solidFill>
              <w14:schemeClr w14:val="tx1"/>
            </w14:solidFill>
          </w14:textFill>
        </w:rPr>
      </w:pPr>
      <w:r>
        <w:rPr>
          <w:rFonts w:hint="default" w:ascii="Times New Roman" w:hAnsi="Times New Roman" w:eastAsia="宋体" w:cs="Times New Roman"/>
          <w:b/>
          <w:color w:val="000000" w:themeColor="text1"/>
          <w:sz w:val="44"/>
          <w:szCs w:val="44"/>
          <w:lang w:val="en-GB"/>
          <w14:textFill>
            <w14:solidFill>
              <w14:schemeClr w14:val="tx1"/>
            </w14:solidFill>
          </w14:textFill>
        </w:rPr>
        <w:t>鹤庆县河底普通建筑材料用石灰岩矿80万t</w:t>
      </w:r>
      <w:r>
        <w:rPr>
          <w:rFonts w:hint="default" w:ascii="Times New Roman" w:hAnsi="Times New Roman" w:eastAsia="宋体" w:cs="Times New Roman"/>
          <w:b/>
          <w:color w:val="000000" w:themeColor="text1"/>
          <w:sz w:val="44"/>
          <w:szCs w:val="44"/>
          <w14:textFill>
            <w14:solidFill>
              <w14:schemeClr w14:val="tx1"/>
            </w14:solidFill>
          </w14:textFill>
        </w:rPr>
        <w:t>/a</w:t>
      </w:r>
      <w:r>
        <w:rPr>
          <w:rFonts w:hint="default" w:ascii="Times New Roman" w:hAnsi="Times New Roman" w:eastAsia="宋体" w:cs="Times New Roman"/>
          <w:b/>
          <w:color w:val="000000" w:themeColor="text1"/>
          <w:sz w:val="44"/>
          <w:szCs w:val="44"/>
          <w:lang w:val="en-GB"/>
          <w14:textFill>
            <w14:solidFill>
              <w14:schemeClr w14:val="tx1"/>
            </w14:solidFill>
          </w14:textFill>
        </w:rPr>
        <w:t>露天采矿工程</w:t>
      </w:r>
    </w:p>
    <w:p w14:paraId="78D2CFFE">
      <w:pPr>
        <w:pageBreakBefore w:val="0"/>
        <w:kinsoku/>
        <w:wordWrap/>
        <w:bidi w:val="0"/>
        <w:adjustRightInd w:val="0"/>
        <w:snapToGrid w:val="0"/>
        <w:spacing w:line="360" w:lineRule="auto"/>
        <w:jc w:val="center"/>
        <w:rPr>
          <w:rFonts w:hint="default" w:ascii="Times New Roman" w:hAnsi="Times New Roman" w:eastAsia="宋体" w:cs="Times New Roman"/>
          <w:b/>
          <w:color w:val="000000" w:themeColor="text1"/>
          <w:sz w:val="52"/>
          <w:szCs w:val="52"/>
          <w:lang w:val="en-GB"/>
          <w14:textFill>
            <w14:solidFill>
              <w14:schemeClr w14:val="tx1"/>
            </w14:solidFill>
          </w14:textFill>
        </w:rPr>
      </w:pPr>
      <w:r>
        <w:rPr>
          <w:rFonts w:hint="default" w:ascii="Times New Roman" w:hAnsi="Times New Roman" w:eastAsia="宋体" w:cs="Times New Roman"/>
          <w:b/>
          <w:color w:val="000000" w:themeColor="text1"/>
          <w:sz w:val="52"/>
          <w:szCs w:val="52"/>
          <w:lang w:val="en-GB"/>
          <w14:textFill>
            <w14:solidFill>
              <w14:schemeClr w14:val="tx1"/>
            </w14:solidFill>
          </w14:textFill>
        </w:rPr>
        <w:t>安全预评价报告</w:t>
      </w:r>
    </w:p>
    <w:p w14:paraId="40B710D4">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705A128A">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4974D021">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sz w:val="24"/>
          <w:szCs w:val="24"/>
          <w:lang w:eastAsia="zh-CN"/>
        </w:rPr>
        <w:drawing>
          <wp:anchor distT="0" distB="0" distL="114300" distR="114300" simplePos="0" relativeHeight="251661312" behindDoc="0" locked="0" layoutInCell="1" allowOverlap="1">
            <wp:simplePos x="0" y="0"/>
            <wp:positionH relativeFrom="column">
              <wp:posOffset>1599565</wp:posOffset>
            </wp:positionH>
            <wp:positionV relativeFrom="paragraph">
              <wp:posOffset>456565</wp:posOffset>
            </wp:positionV>
            <wp:extent cx="2658110" cy="1631315"/>
            <wp:effectExtent l="0" t="0" r="8890" b="6985"/>
            <wp:wrapTopAndBottom/>
            <wp:docPr id="3"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aa21e77fe407a0da11c082e736ee588"/>
                    <pic:cNvPicPr>
                      <a:picLocks noChangeAspect="1"/>
                    </pic:cNvPicPr>
                  </pic:nvPicPr>
                  <pic:blipFill>
                    <a:blip r:embed="rId9"/>
                    <a:stretch>
                      <a:fillRect/>
                    </a:stretch>
                  </pic:blipFill>
                  <pic:spPr>
                    <a:xfrm>
                      <a:off x="0" y="0"/>
                      <a:ext cx="2658110" cy="1631315"/>
                    </a:xfrm>
                    <a:prstGeom prst="rect">
                      <a:avLst/>
                    </a:prstGeom>
                    <a:noFill/>
                    <a:ln>
                      <a:noFill/>
                    </a:ln>
                  </pic:spPr>
                </pic:pic>
              </a:graphicData>
            </a:graphic>
          </wp:anchor>
        </w:drawing>
      </w:r>
    </w:p>
    <w:p w14:paraId="265E2B80">
      <w:pPr>
        <w:pStyle w:val="12"/>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7D2ADBA6">
      <w:pPr>
        <w:pStyle w:val="12"/>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56EEB30A">
      <w:pPr>
        <w:pStyle w:val="12"/>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1B74DFCF">
      <w:pPr>
        <w:pStyle w:val="12"/>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311C7B9D">
      <w:pPr>
        <w:pStyle w:val="12"/>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21AA6168">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p>
    <w:p w14:paraId="3A8B5AF3">
      <w:pPr>
        <w:pageBreakBefore w:val="0"/>
        <w:kinsoku/>
        <w:wordWrap/>
        <w:bidi w:val="0"/>
        <w:adjustRightInd w:val="0"/>
        <w:snapToGrid w:val="0"/>
        <w:spacing w:line="360" w:lineRule="auto"/>
        <w:jc w:val="center"/>
        <w:rPr>
          <w:rFonts w:hint="default" w:ascii="Times New Roman" w:hAnsi="Times New Roman" w:eastAsia="宋体" w:cs="Times New Roman"/>
          <w:b/>
          <w:color w:val="000000" w:themeColor="text1"/>
          <w:sz w:val="44"/>
          <w:szCs w:val="44"/>
          <w:lang w:val="en-GB"/>
          <w14:textFill>
            <w14:solidFill>
              <w14:schemeClr w14:val="tx1"/>
            </w14:solidFill>
          </w14:textFill>
        </w:rPr>
      </w:pPr>
      <w:r>
        <w:rPr>
          <w:rFonts w:hint="default" w:ascii="Times New Roman" w:hAnsi="Times New Roman" w:eastAsia="宋体" w:cs="Times New Roman"/>
          <w:b/>
          <w:color w:val="000000" w:themeColor="text1"/>
          <w:sz w:val="44"/>
          <w:szCs w:val="44"/>
          <w:lang w:val="en-GB"/>
          <w14:textFill>
            <w14:solidFill>
              <w14:schemeClr w14:val="tx1"/>
            </w14:solidFill>
          </w14:textFill>
        </w:rPr>
        <w:t>辽宁诺诚安全科技有限公司</w:t>
      </w:r>
    </w:p>
    <w:p w14:paraId="5CE1DAF8">
      <w:pPr>
        <w:pageBreakBefore w:val="0"/>
        <w:kinsoku/>
        <w:wordWrap/>
        <w:bidi w:val="0"/>
        <w:adjustRightInd w:val="0"/>
        <w:snapToGrid w:val="0"/>
        <w:spacing w:line="360" w:lineRule="auto"/>
        <w:jc w:val="center"/>
        <w:rPr>
          <w:rFonts w:hint="default" w:ascii="Times New Roman" w:hAnsi="Times New Roman" w:eastAsia="宋体" w:cs="Times New Roman"/>
          <w:b/>
          <w:color w:val="000000" w:themeColor="text1"/>
          <w:sz w:val="30"/>
          <w:szCs w:val="30"/>
          <w:lang w:val="en-GB"/>
          <w14:textFill>
            <w14:solidFill>
              <w14:schemeClr w14:val="tx1"/>
            </w14:solidFill>
          </w14:textFill>
        </w:rPr>
      </w:pPr>
      <w:r>
        <w:rPr>
          <w:rFonts w:hint="default" w:ascii="Times New Roman" w:hAnsi="Times New Roman" w:eastAsia="宋体" w:cs="Times New Roman"/>
          <w:b/>
          <w:color w:val="000000" w:themeColor="text1"/>
          <w:sz w:val="30"/>
          <w:szCs w:val="30"/>
          <w:lang w:val="en-GB"/>
          <w14:textFill>
            <w14:solidFill>
              <w14:schemeClr w14:val="tx1"/>
            </w14:solidFill>
          </w14:textFill>
        </w:rPr>
        <w:t>资质证书编号：</w:t>
      </w:r>
      <w:r>
        <w:rPr>
          <w:rFonts w:hint="default" w:ascii="Times New Roman" w:hAnsi="Times New Roman" w:eastAsia="宋体" w:cs="Times New Roman"/>
          <w:b/>
          <w:color w:val="000000"/>
          <w:sz w:val="32"/>
          <w:szCs w:val="32"/>
        </w:rPr>
        <w:t>APJ-（</w:t>
      </w:r>
      <w:r>
        <w:rPr>
          <w:rFonts w:hint="default" w:ascii="Times New Roman" w:hAnsi="Times New Roman" w:cs="Times New Roman"/>
          <w:b/>
          <w:color w:val="000000"/>
          <w:sz w:val="32"/>
          <w:szCs w:val="32"/>
        </w:rPr>
        <w:t>辽</w:t>
      </w:r>
      <w:r>
        <w:rPr>
          <w:rFonts w:hint="default" w:ascii="Times New Roman" w:hAnsi="Times New Roman" w:eastAsia="宋体" w:cs="Times New Roman"/>
          <w:b/>
          <w:color w:val="000000"/>
          <w:sz w:val="32"/>
          <w:szCs w:val="32"/>
        </w:rPr>
        <w:t>）-</w:t>
      </w:r>
      <w:r>
        <w:rPr>
          <w:rFonts w:hint="default" w:ascii="Times New Roman" w:hAnsi="Times New Roman" w:cs="Times New Roman"/>
          <w:b/>
          <w:color w:val="000000"/>
          <w:sz w:val="32"/>
          <w:szCs w:val="32"/>
        </w:rPr>
        <w:t>021</w:t>
      </w:r>
    </w:p>
    <w:p w14:paraId="3DD7BD73">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b/>
          <w:color w:val="000000" w:themeColor="text1"/>
          <w:sz w:val="30"/>
          <w:szCs w:val="30"/>
          <w:lang w:val="en-US" w:eastAsia="zh-CN"/>
          <w14:textFill>
            <w14:solidFill>
              <w14:schemeClr w14:val="tx1"/>
            </w14:solidFill>
          </w14:textFill>
        </w:rPr>
        <w:t>2023</w:t>
      </w:r>
      <w:r>
        <w:rPr>
          <w:rFonts w:hint="default" w:ascii="Times New Roman" w:hAnsi="Times New Roman" w:eastAsia="宋体" w:cs="Times New Roman"/>
          <w:b/>
          <w:color w:val="000000" w:themeColor="text1"/>
          <w:sz w:val="30"/>
          <w:szCs w:val="30"/>
          <w:lang w:val="en-GB"/>
          <w14:textFill>
            <w14:solidFill>
              <w14:schemeClr w14:val="tx1"/>
            </w14:solidFill>
          </w14:textFill>
        </w:rPr>
        <w:t>年</w:t>
      </w:r>
      <w:r>
        <w:rPr>
          <w:rFonts w:hint="default" w:ascii="Times New Roman" w:hAnsi="Times New Roman" w:eastAsia="宋体" w:cs="Times New Roman"/>
          <w:b/>
          <w:color w:val="000000" w:themeColor="text1"/>
          <w:sz w:val="30"/>
          <w:szCs w:val="30"/>
          <w:lang w:val="en-US" w:eastAsia="zh-CN"/>
          <w14:textFill>
            <w14:solidFill>
              <w14:schemeClr w14:val="tx1"/>
            </w14:solidFill>
          </w14:textFill>
        </w:rPr>
        <w:t>6月10日</w:t>
      </w:r>
      <w:r>
        <w:rPr>
          <w:rFonts w:hint="default" w:ascii="Times New Roman" w:hAnsi="Times New Roman" w:eastAsia="宋体" w:cs="Times New Roman"/>
          <w:color w:val="000000" w:themeColor="text1"/>
          <w:lang w:val="en-GB"/>
          <w14:textFill>
            <w14:solidFill>
              <w14:schemeClr w14:val="tx1"/>
            </w14:solidFill>
          </w14:textFill>
        </w:rPr>
        <w:br w:type="page"/>
      </w:r>
    </w:p>
    <w:p w14:paraId="6C5C2D90">
      <w:pPr>
        <w:pageBreakBefore w:val="0"/>
        <w:kinsoku/>
        <w:wordWrap/>
        <w:autoSpaceDE w:val="0"/>
        <w:autoSpaceDN w:val="0"/>
        <w:bidi w:val="0"/>
        <w:adjustRightInd w:val="0"/>
        <w:snapToGrid w:val="0"/>
        <w:jc w:val="left"/>
        <w:rPr>
          <w:rFonts w:hint="default" w:ascii="Times New Roman" w:hAnsi="Times New Roman" w:eastAsia="宋体" w:cs="Times New Roman"/>
          <w:kern w:val="0"/>
          <w:sz w:val="20"/>
          <w:lang w:val="en-US" w:eastAsia="zh-CN" w:bidi="zh-CN"/>
        </w:rPr>
      </w:pPr>
    </w:p>
    <w:p w14:paraId="4CD27878">
      <w:pPr>
        <w:pageBreakBefore w:val="0"/>
        <w:kinsoku/>
        <w:wordWrap/>
        <w:overflowPunct/>
        <w:autoSpaceDE w:val="0"/>
        <w:autoSpaceDN w:val="0"/>
        <w:bidi w:val="0"/>
        <w:adjustRightInd w:val="0"/>
        <w:snapToGrid w:val="0"/>
        <w:spacing w:line="240" w:lineRule="auto"/>
        <w:jc w:val="both"/>
        <w:textAlignment w:val="auto"/>
        <w:rPr>
          <w:rFonts w:hint="default" w:ascii="Times New Roman" w:hAnsi="Times New Roman" w:eastAsia="宋体" w:cs="Times New Roman"/>
          <w:b/>
          <w:bCs w:val="0"/>
          <w:caps w:val="0"/>
          <w:smallCaps w:val="0"/>
          <w:color w:val="000000"/>
          <w:sz w:val="28"/>
          <w:szCs w:val="28"/>
          <w:lang w:val="en-US" w:eastAsia="zh-CN"/>
        </w:rPr>
      </w:pPr>
    </w:p>
    <w:p w14:paraId="34023361">
      <w:pPr>
        <w:pageBreakBefore w:val="0"/>
        <w:kinsoku/>
        <w:wordWrap/>
        <w:overflowPunct/>
        <w:autoSpaceDE w:val="0"/>
        <w:autoSpaceDN w:val="0"/>
        <w:bidi w:val="0"/>
        <w:adjustRightInd w:val="0"/>
        <w:snapToGrid w:val="0"/>
        <w:spacing w:line="240" w:lineRule="auto"/>
        <w:ind w:firstLine="562" w:firstLineChars="200"/>
        <w:jc w:val="right"/>
        <w:textAlignment w:val="auto"/>
        <w:rPr>
          <w:rFonts w:hint="default" w:ascii="Times New Roman" w:hAnsi="Times New Roman" w:eastAsia="宋体" w:cs="Times New Roman"/>
          <w:b/>
          <w:bCs w:val="0"/>
          <w:caps w:val="0"/>
          <w:smallCaps w:val="0"/>
          <w:color w:val="000000"/>
          <w:sz w:val="28"/>
          <w:szCs w:val="28"/>
          <w:lang w:val="en-US" w:eastAsia="zh-CN"/>
        </w:rPr>
      </w:pPr>
      <w:r>
        <w:rPr>
          <w:rFonts w:hint="default" w:ascii="Times New Roman" w:hAnsi="Times New Roman" w:eastAsia="宋体" w:cs="Times New Roman"/>
          <w:b/>
          <w:bCs w:val="0"/>
          <w:caps w:val="0"/>
          <w:smallCaps w:val="0"/>
          <w:color w:val="000000"/>
          <w:sz w:val="28"/>
          <w:szCs w:val="28"/>
          <w:lang w:val="en-US" w:eastAsia="zh-CN"/>
        </w:rPr>
        <w:t>NCAP/KS-YP-2023-006</w:t>
      </w:r>
    </w:p>
    <w:p w14:paraId="5E2882C5">
      <w:pPr>
        <w:pageBreakBefore w:val="0"/>
        <w:kinsoku/>
        <w:wordWrap/>
        <w:bidi w:val="0"/>
        <w:adjustRightInd w:val="0"/>
        <w:snapToGrid w:val="0"/>
        <w:spacing w:line="360" w:lineRule="auto"/>
        <w:jc w:val="both"/>
        <w:rPr>
          <w:rFonts w:hint="default" w:ascii="Times New Roman" w:hAnsi="Times New Roman" w:eastAsia="宋体" w:cs="Times New Roman"/>
          <w:color w:val="000000" w:themeColor="text1"/>
          <w:lang w:val="en-GB"/>
          <w14:textFill>
            <w14:solidFill>
              <w14:schemeClr w14:val="tx1"/>
            </w14:solidFill>
          </w14:textFill>
        </w:rPr>
      </w:pPr>
    </w:p>
    <w:p w14:paraId="03EA2F8E">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pPr>
    </w:p>
    <w:p w14:paraId="57FEA923">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pPr>
    </w:p>
    <w:p w14:paraId="0FF6EAE1">
      <w:pPr>
        <w:pageBreakBefore w:val="0"/>
        <w:kinsoku/>
        <w:wordWrap/>
        <w:bidi w:val="0"/>
        <w:adjustRightInd w:val="0"/>
        <w:snapToGrid w:val="0"/>
        <w:spacing w:line="360" w:lineRule="auto"/>
        <w:jc w:val="center"/>
        <w:rPr>
          <w:rFonts w:hint="default" w:ascii="Times New Roman" w:hAnsi="Times New Roman" w:eastAsia="宋体" w:cs="Times New Roman"/>
          <w:b/>
          <w:bCs/>
          <w:color w:val="000000" w:themeColor="text1"/>
          <w:sz w:val="32"/>
          <w:szCs w:val="32"/>
          <w:lang w:val="en-GB"/>
          <w14:textFill>
            <w14:solidFill>
              <w14:schemeClr w14:val="tx1"/>
            </w14:solidFill>
          </w14:textFill>
        </w:rPr>
      </w:pPr>
      <w:r>
        <w:rPr>
          <w:rFonts w:hint="default" w:ascii="Times New Roman" w:hAnsi="Times New Roman" w:eastAsia="宋体" w:cs="Times New Roman"/>
          <w:b/>
          <w:bCs/>
          <w:color w:val="000000" w:themeColor="text1"/>
          <w:sz w:val="32"/>
          <w:szCs w:val="32"/>
          <w:lang w:val="en-GB"/>
          <w14:textFill>
            <w14:solidFill>
              <w14:schemeClr w14:val="tx1"/>
            </w14:solidFill>
          </w14:textFill>
        </w:rPr>
        <w:t>贵州新天喜工程机械有限公司鹤庆分公司</w:t>
      </w:r>
    </w:p>
    <w:p w14:paraId="083DD1F3">
      <w:pPr>
        <w:pageBreakBefore w:val="0"/>
        <w:kinsoku/>
        <w:wordWrap/>
        <w:bidi w:val="0"/>
        <w:adjustRightInd w:val="0"/>
        <w:snapToGrid w:val="0"/>
        <w:spacing w:line="360" w:lineRule="auto"/>
        <w:jc w:val="center"/>
        <w:rPr>
          <w:rStyle w:val="59"/>
          <w:rFonts w:hint="default" w:ascii="Times New Roman" w:hAnsi="Times New Roman" w:eastAsia="宋体" w:cs="Times New Roman"/>
          <w:b/>
          <w:bCs/>
          <w:color w:val="000000" w:themeColor="text1"/>
          <w:sz w:val="32"/>
          <w:szCs w:val="32"/>
          <w:lang w:val="en-GB"/>
          <w14:textFill>
            <w14:solidFill>
              <w14:schemeClr w14:val="tx1"/>
            </w14:solidFill>
          </w14:textFill>
        </w:rPr>
      </w:pPr>
      <w:r>
        <w:rPr>
          <w:rStyle w:val="59"/>
          <w:rFonts w:hint="default" w:ascii="Times New Roman" w:hAnsi="Times New Roman" w:eastAsia="宋体" w:cs="Times New Roman"/>
          <w:b/>
          <w:bCs/>
          <w:color w:val="000000" w:themeColor="text1"/>
          <w:sz w:val="32"/>
          <w:szCs w:val="32"/>
          <w:lang w:val="en-GB"/>
          <w14:textFill>
            <w14:solidFill>
              <w14:schemeClr w14:val="tx1"/>
            </w14:solidFill>
          </w14:textFill>
        </w:rPr>
        <w:t>鹤庆县河底普通建筑材料用石灰岩矿80万t</w:t>
      </w:r>
      <w:r>
        <w:rPr>
          <w:rStyle w:val="59"/>
          <w:rFonts w:hint="default" w:ascii="Times New Roman" w:hAnsi="Times New Roman" w:eastAsia="宋体" w:cs="Times New Roman"/>
          <w:b/>
          <w:bCs/>
          <w:color w:val="000000" w:themeColor="text1"/>
          <w:sz w:val="32"/>
          <w:szCs w:val="32"/>
          <w14:textFill>
            <w14:solidFill>
              <w14:schemeClr w14:val="tx1"/>
            </w14:solidFill>
          </w14:textFill>
        </w:rPr>
        <w:t>/a</w:t>
      </w:r>
      <w:r>
        <w:rPr>
          <w:rStyle w:val="59"/>
          <w:rFonts w:hint="default" w:ascii="Times New Roman" w:hAnsi="Times New Roman" w:eastAsia="宋体" w:cs="Times New Roman"/>
          <w:b/>
          <w:bCs/>
          <w:color w:val="000000" w:themeColor="text1"/>
          <w:sz w:val="32"/>
          <w:szCs w:val="32"/>
          <w:lang w:val="en-GB"/>
          <w14:textFill>
            <w14:solidFill>
              <w14:schemeClr w14:val="tx1"/>
            </w14:solidFill>
          </w14:textFill>
        </w:rPr>
        <w:t>露天采矿工程</w:t>
      </w:r>
    </w:p>
    <w:p w14:paraId="27695C2D">
      <w:pPr>
        <w:pageBreakBefore w:val="0"/>
        <w:kinsoku/>
        <w:wordWrap/>
        <w:bidi w:val="0"/>
        <w:adjustRightInd w:val="0"/>
        <w:snapToGrid w:val="0"/>
        <w:spacing w:line="360" w:lineRule="auto"/>
        <w:jc w:val="center"/>
        <w:rPr>
          <w:rFonts w:hint="default" w:ascii="Times New Roman" w:hAnsi="Times New Roman" w:eastAsia="宋体" w:cs="Times New Roman"/>
          <w:b/>
          <w:color w:val="000000" w:themeColor="text1"/>
          <w:sz w:val="44"/>
          <w:szCs w:val="44"/>
          <w:lang w:val="en-GB"/>
          <w14:textFill>
            <w14:solidFill>
              <w14:schemeClr w14:val="tx1"/>
            </w14:solidFill>
          </w14:textFill>
        </w:rPr>
      </w:pPr>
      <w:r>
        <w:rPr>
          <w:rFonts w:hint="default" w:ascii="Times New Roman" w:hAnsi="Times New Roman" w:eastAsia="宋体" w:cs="Times New Roman"/>
          <w:b/>
          <w:color w:val="000000" w:themeColor="text1"/>
          <w:sz w:val="44"/>
          <w:szCs w:val="44"/>
          <w:lang w:val="en-GB"/>
          <w14:textFill>
            <w14:solidFill>
              <w14:schemeClr w14:val="tx1"/>
            </w14:solidFill>
          </w14:textFill>
        </w:rPr>
        <w:t>安全预评价报告</w:t>
      </w:r>
    </w:p>
    <w:p w14:paraId="5A17E208">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272DCAB1">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33CE1B5B">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5CFDB404">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1FA6DCAE">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2A72617C">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393A19A8">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783D57EE">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5E34CA5">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1986FF17">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DFA5505">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71219381">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51E4420E">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10EE2CA1">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1CAB17A9">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BE3ABD9">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7E225B72">
      <w:pPr>
        <w:pStyle w:val="12"/>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05986C72">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pPr>
    </w:p>
    <w:p w14:paraId="0242C12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法定代表人：孙同辉</w:t>
      </w:r>
    </w:p>
    <w:p w14:paraId="32A59E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技术负责人：李在永</w:t>
      </w:r>
    </w:p>
    <w:p w14:paraId="270827A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color w:val="000000"/>
          <w:sz w:val="24"/>
          <w:szCs w:val="28"/>
        </w:rPr>
      </w:pPr>
      <w:r>
        <w:rPr>
          <w:rFonts w:hint="default" w:ascii="Times New Roman" w:hAnsi="Times New Roman" w:eastAsia="宋体" w:cs="Times New Roman"/>
          <w:bCs/>
          <w:color w:val="000000"/>
          <w:sz w:val="28"/>
          <w:szCs w:val="28"/>
        </w:rPr>
        <w:t>项目负责人：杨会明</w:t>
      </w:r>
    </w:p>
    <w:p w14:paraId="5D5FE1A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6EFF2E1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77B7D75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352CF7C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663588E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50A5C48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65159B0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7032160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color w:val="000000"/>
          <w:sz w:val="24"/>
          <w:szCs w:val="28"/>
          <w:lang w:val="en-US" w:eastAsia="zh-CN"/>
        </w:rPr>
      </w:pPr>
      <w:r>
        <w:rPr>
          <w:rFonts w:hint="default" w:ascii="Times New Roman" w:hAnsi="Times New Roman" w:eastAsia="宋体" w:cs="Times New Roman"/>
          <w:b/>
          <w:bCs/>
          <w:sz w:val="24"/>
          <w:szCs w:val="24"/>
          <w:lang w:val="en-US"/>
        </w:rPr>
        <w:t>完成日期：</w:t>
      </w:r>
      <w:r>
        <w:rPr>
          <w:rFonts w:hint="default" w:ascii="Times New Roman" w:hAnsi="Times New Roman" w:eastAsia="宋体" w:cs="Times New Roman"/>
          <w:b/>
          <w:color w:val="000000"/>
          <w:sz w:val="24"/>
          <w:szCs w:val="28"/>
        </w:rPr>
        <w:t>2023年</w:t>
      </w:r>
      <w:r>
        <w:rPr>
          <w:rFonts w:hint="default" w:ascii="Times New Roman" w:hAnsi="Times New Roman" w:eastAsia="宋体" w:cs="Times New Roman"/>
          <w:b/>
          <w:color w:val="000000"/>
          <w:sz w:val="24"/>
          <w:szCs w:val="28"/>
          <w:lang w:val="en-US" w:eastAsia="zh-CN"/>
        </w:rPr>
        <w:t>6月10日</w:t>
      </w:r>
    </w:p>
    <w:p w14:paraId="13FF20E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sz w:val="21"/>
          <w:szCs w:val="21"/>
        </w:rPr>
        <w:t>（安全评价机构公章）</w:t>
      </w:r>
      <w:r>
        <w:rPr>
          <w:rFonts w:hint="default" w:ascii="Times New Roman" w:hAnsi="Times New Roman" w:eastAsia="宋体" w:cs="Times New Roman"/>
          <w:color w:val="000000" w:themeColor="text1"/>
          <w:lang w:val="en-GB"/>
          <w14:textFill>
            <w14:solidFill>
              <w14:schemeClr w14:val="tx1"/>
            </w14:solidFill>
          </w14:textFill>
        </w:rPr>
        <w:br w:type="page"/>
      </w:r>
    </w:p>
    <w:p w14:paraId="7676BEC5">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0" w:name="_Toc30586"/>
      <w:bookmarkStart w:id="1" w:name="_Toc52100541"/>
      <w:bookmarkStart w:id="2" w:name="_Toc52100580"/>
      <w:bookmarkStart w:id="3" w:name="_Toc25713"/>
      <w:bookmarkStart w:id="4" w:name="_Toc30881"/>
      <w:bookmarkStart w:id="5" w:name="_Toc52100619"/>
      <w:bookmarkStart w:id="6" w:name="_Toc52100408"/>
      <w:bookmarkStart w:id="7" w:name="_Toc23871"/>
      <w:bookmarkStart w:id="8" w:name="_Toc19941"/>
      <w:r>
        <w:rPr>
          <w:rFonts w:hint="default" w:ascii="Times New Roman" w:hAnsi="Times New Roman" w:cs="Times New Roman"/>
          <w:b/>
          <w:bCs w:val="0"/>
          <w:color w:val="000000" w:themeColor="text1"/>
          <w:lang w:val="en-GB"/>
          <w14:textFill>
            <w14:solidFill>
              <w14:schemeClr w14:val="tx1"/>
            </w14:solidFill>
          </w14:textFill>
        </w:rPr>
        <w:t>前</w:t>
      </w:r>
      <w:r>
        <w:rPr>
          <w:rFonts w:hint="default" w:ascii="Times New Roman" w:hAnsi="Times New Roman" w:cs="Times New Roman"/>
          <w:b/>
          <w:bCs w:val="0"/>
          <w:color w:val="000000" w:themeColor="text1"/>
          <w14:textFill>
            <w14:solidFill>
              <w14:schemeClr w14:val="tx1"/>
            </w14:solidFill>
          </w14:textFill>
        </w:rPr>
        <w:t xml:space="preserve">  </w:t>
      </w:r>
      <w:r>
        <w:rPr>
          <w:rFonts w:hint="default" w:ascii="Times New Roman" w:hAnsi="Times New Roman" w:cs="Times New Roman"/>
          <w:b/>
          <w:bCs w:val="0"/>
          <w:color w:val="000000" w:themeColor="text1"/>
          <w:lang w:val="en-GB"/>
          <w14:textFill>
            <w14:solidFill>
              <w14:schemeClr w14:val="tx1"/>
            </w14:solidFill>
          </w14:textFill>
        </w:rPr>
        <w:t>言</w:t>
      </w:r>
      <w:bookmarkEnd w:id="0"/>
      <w:bookmarkEnd w:id="1"/>
      <w:bookmarkEnd w:id="2"/>
      <w:bookmarkEnd w:id="3"/>
      <w:bookmarkEnd w:id="4"/>
      <w:bookmarkEnd w:id="5"/>
      <w:bookmarkEnd w:id="6"/>
      <w:bookmarkEnd w:id="7"/>
      <w:bookmarkEnd w:id="8"/>
    </w:p>
    <w:p w14:paraId="144BE09E">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themeColor="text1"/>
          <w:sz w:val="28"/>
          <w:szCs w:val="28"/>
          <w:lang w:val="en-GB"/>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安全第一、预防为主、综合治理”是我们党和国家始终不渝的安全生产方针。各行各业开展安全评价正是突出“安全第一”、体现“预防为主”的一项重要工作，是“安全第一，预防为主”方针在安全生产上的具体体现。</w:t>
      </w:r>
    </w:p>
    <w:p w14:paraId="4802E5CF">
      <w:pPr>
        <w:pStyle w:val="11"/>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themeColor="text1"/>
          <w:szCs w:val="28"/>
          <w:lang w:val="en-GB"/>
          <w14:textFill>
            <w14:solidFill>
              <w14:schemeClr w14:val="tx1"/>
            </w14:solidFill>
          </w14:textFill>
        </w:rPr>
      </w:pPr>
      <w:r>
        <w:rPr>
          <w:rFonts w:hint="default" w:ascii="Times New Roman" w:hAnsi="Times New Roman" w:eastAsia="宋体" w:cs="Times New Roman"/>
          <w:bCs/>
          <w:color w:val="000000" w:themeColor="text1"/>
          <w:szCs w:val="28"/>
          <w:lang w:val="en-GB"/>
          <w14:textFill>
            <w14:solidFill>
              <w14:schemeClr w14:val="tx1"/>
            </w14:solidFill>
          </w14:textFill>
        </w:rPr>
        <w:t>《安全生产法》第</w:t>
      </w:r>
      <w:r>
        <w:rPr>
          <w:rFonts w:hint="default" w:ascii="Times New Roman" w:hAnsi="Times New Roman" w:eastAsia="宋体" w:cs="Times New Roman"/>
          <w:bCs/>
          <w:color w:val="000000" w:themeColor="text1"/>
          <w:szCs w:val="28"/>
          <w14:textFill>
            <w14:solidFill>
              <w14:schemeClr w14:val="tx1"/>
            </w14:solidFill>
          </w14:textFill>
        </w:rPr>
        <w:t>三十一</w:t>
      </w:r>
      <w:r>
        <w:rPr>
          <w:rFonts w:hint="default" w:ascii="Times New Roman" w:hAnsi="Times New Roman" w:eastAsia="宋体" w:cs="Times New Roman"/>
          <w:bCs/>
          <w:color w:val="000000" w:themeColor="text1"/>
          <w:szCs w:val="28"/>
          <w:lang w:val="en-GB"/>
          <w14:textFill>
            <w14:solidFill>
              <w14:schemeClr w14:val="tx1"/>
            </w14:solidFill>
          </w14:textFill>
        </w:rPr>
        <w:t>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三同时”监督管理办法》（国家安全生产监督管理总局原国家安全生产监督管理总局令第77号）等国家有关安全生产法律、法规，</w:t>
      </w:r>
      <w:r>
        <w:rPr>
          <w:rFonts w:hint="default" w:ascii="Times New Roman" w:hAnsi="Times New Roman" w:cs="Times New Roman"/>
          <w:bCs/>
          <w:szCs w:val="28"/>
        </w:rPr>
        <w:t>贵州新天喜工程机械有限公司</w:t>
      </w:r>
      <w:r>
        <w:rPr>
          <w:rFonts w:hint="default" w:ascii="Times New Roman" w:hAnsi="Times New Roman" w:eastAsia="宋体" w:cs="Times New Roman"/>
          <w:bCs/>
          <w:color w:val="000000" w:themeColor="text1"/>
          <w:szCs w:val="28"/>
          <w:lang w:val="en-GB"/>
          <w14:textFill>
            <w14:solidFill>
              <w14:schemeClr w14:val="tx1"/>
            </w14:solidFill>
          </w14:textFill>
        </w:rPr>
        <w:t>于202</w:t>
      </w:r>
      <w:r>
        <w:rPr>
          <w:rFonts w:hint="default" w:ascii="Times New Roman" w:hAnsi="Times New Roman" w:eastAsia="宋体" w:cs="Times New Roman"/>
          <w:bCs/>
          <w:color w:val="000000" w:themeColor="text1"/>
          <w:szCs w:val="28"/>
          <w14:textFill>
            <w14:solidFill>
              <w14:schemeClr w14:val="tx1"/>
            </w14:solidFill>
          </w14:textFill>
        </w:rPr>
        <w:t>3</w:t>
      </w:r>
      <w:r>
        <w:rPr>
          <w:rFonts w:hint="default" w:ascii="Times New Roman" w:hAnsi="Times New Roman" w:eastAsia="宋体" w:cs="Times New Roman"/>
          <w:bCs/>
          <w:color w:val="000000" w:themeColor="text1"/>
          <w:szCs w:val="28"/>
          <w:lang w:val="en-GB"/>
          <w14:textFill>
            <w14:solidFill>
              <w14:schemeClr w14:val="tx1"/>
            </w14:solidFill>
          </w14:textFill>
        </w:rPr>
        <w:t>年</w:t>
      </w:r>
      <w:r>
        <w:rPr>
          <w:rFonts w:hint="default" w:ascii="Times New Roman" w:hAnsi="Times New Roman" w:eastAsia="宋体" w:cs="Times New Roman"/>
          <w:color w:val="000000" w:themeColor="text1"/>
          <w:szCs w:val="28"/>
          <w14:textFill>
            <w14:solidFill>
              <w14:schemeClr w14:val="tx1"/>
            </w14:solidFill>
          </w14:textFill>
        </w:rPr>
        <w:t>4</w:t>
      </w:r>
      <w:r>
        <w:rPr>
          <w:rFonts w:hint="default" w:ascii="Times New Roman" w:hAnsi="Times New Roman" w:eastAsia="宋体" w:cs="Times New Roman"/>
          <w:bCs/>
          <w:color w:val="000000" w:themeColor="text1"/>
          <w:szCs w:val="28"/>
          <w:lang w:val="en-GB"/>
          <w14:textFill>
            <w14:solidFill>
              <w14:schemeClr w14:val="tx1"/>
            </w14:solidFill>
          </w14:textFill>
        </w:rPr>
        <w:t>月</w:t>
      </w:r>
      <w:r>
        <w:rPr>
          <w:rFonts w:hint="default" w:ascii="Times New Roman" w:hAnsi="Times New Roman" w:eastAsia="宋体" w:cs="Times New Roman"/>
          <w:color w:val="000000" w:themeColor="text1"/>
          <w:szCs w:val="28"/>
          <w14:textFill>
            <w14:solidFill>
              <w14:schemeClr w14:val="tx1"/>
            </w14:solidFill>
          </w14:textFill>
        </w:rPr>
        <w:t>26</w:t>
      </w:r>
      <w:r>
        <w:rPr>
          <w:rFonts w:hint="default" w:ascii="Times New Roman" w:hAnsi="Times New Roman" w:eastAsia="宋体" w:cs="Times New Roman"/>
          <w:bCs/>
          <w:color w:val="000000" w:themeColor="text1"/>
          <w:szCs w:val="28"/>
          <w14:textFill>
            <w14:solidFill>
              <w14:schemeClr w14:val="tx1"/>
            </w14:solidFill>
          </w14:textFill>
        </w:rPr>
        <w:t>日</w:t>
      </w:r>
      <w:r>
        <w:rPr>
          <w:rFonts w:hint="default" w:ascii="Times New Roman" w:hAnsi="Times New Roman" w:eastAsia="宋体" w:cs="Times New Roman"/>
          <w:bCs/>
          <w:color w:val="000000" w:themeColor="text1"/>
          <w:szCs w:val="28"/>
          <w:lang w:val="en-GB"/>
          <w14:textFill>
            <w14:solidFill>
              <w14:schemeClr w14:val="tx1"/>
            </w14:solidFill>
          </w14:textFill>
        </w:rPr>
        <w:t>委托辽宁诺诚安全科技有限公司承担其所属鹤庆县河底普通建筑材料用</w:t>
      </w:r>
      <w:r>
        <w:rPr>
          <w:rFonts w:hint="default" w:ascii="Times New Roman" w:hAnsi="Times New Roman" w:eastAsia="宋体" w:cs="Times New Roman"/>
          <w:bCs/>
          <w:color w:val="000000" w:themeColor="text1"/>
          <w:szCs w:val="28"/>
          <w:lang w:val="en-GB" w:eastAsia="zh-CN"/>
          <w14:textFill>
            <w14:solidFill>
              <w14:schemeClr w14:val="tx1"/>
            </w14:solidFill>
          </w14:textFill>
        </w:rPr>
        <w:t>石灰岩矿80万t/a露天采矿</w:t>
      </w:r>
      <w:r>
        <w:rPr>
          <w:rFonts w:hint="default" w:ascii="Times New Roman" w:hAnsi="Times New Roman" w:eastAsia="宋体" w:cs="Times New Roman"/>
          <w:bCs/>
          <w:color w:val="000000" w:themeColor="text1"/>
          <w:szCs w:val="28"/>
          <w:lang w:val="en-GB"/>
          <w14:textFill>
            <w14:solidFill>
              <w14:schemeClr w14:val="tx1"/>
            </w14:solidFill>
          </w14:textFill>
        </w:rPr>
        <w:t>工程安全预评价工作。鹤庆县河底普通建筑材料用石灰岩矿80万t/a露天采矿工程为改扩建项目矿山，需开展安全设施“三同时”工作。该矿山生产规模为</w:t>
      </w:r>
      <w:r>
        <w:rPr>
          <w:rFonts w:hint="default" w:ascii="Times New Roman" w:hAnsi="Times New Roman" w:eastAsia="宋体" w:cs="Times New Roman"/>
          <w:bCs/>
          <w:color w:val="000000" w:themeColor="text1"/>
          <w:szCs w:val="28"/>
          <w14:textFill>
            <w14:solidFill>
              <w14:schemeClr w14:val="tx1"/>
            </w14:solidFill>
          </w14:textFill>
        </w:rPr>
        <w:t>80</w:t>
      </w:r>
      <w:r>
        <w:rPr>
          <w:rFonts w:hint="default" w:ascii="Times New Roman" w:hAnsi="Times New Roman" w:eastAsia="宋体" w:cs="Times New Roman"/>
          <w:bCs/>
          <w:color w:val="000000" w:themeColor="text1"/>
          <w:szCs w:val="28"/>
          <w:lang w:val="en-GB"/>
          <w14:textFill>
            <w14:solidFill>
              <w14:schemeClr w14:val="tx1"/>
            </w14:solidFill>
          </w14:textFill>
        </w:rPr>
        <w:t>万t/a，已超过50万t/a小型露天采石场的规模，本报告按露天矿山进行评价。</w:t>
      </w:r>
    </w:p>
    <w:p w14:paraId="1D5195E4">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themeColor="text1"/>
          <w:sz w:val="28"/>
          <w:szCs w:val="28"/>
          <w:lang w:val="en-GB"/>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根据《非煤矿山企业安全生产许可证实施办法》（国家安监局令20号，第78号修改）、《安全生产许可证条例》（中华人民共和国国务院令397号，第653号修订）和《安全评价通则》（AQ8001-2007）等国家相关法律法规标准和规定，受</w:t>
      </w:r>
      <w:r>
        <w:rPr>
          <w:rFonts w:hint="default" w:ascii="Times New Roman" w:hAnsi="Times New Roman" w:cs="Times New Roman"/>
          <w:bCs/>
          <w:sz w:val="28"/>
          <w:szCs w:val="28"/>
        </w:rPr>
        <w:t>贵州新天喜工程机械有限公司</w:t>
      </w:r>
      <w:r>
        <w:rPr>
          <w:rFonts w:hint="default" w:ascii="Times New Roman" w:hAnsi="Times New Roman" w:eastAsia="宋体" w:cs="Times New Roman"/>
          <w:bCs/>
          <w:color w:val="000000" w:themeColor="text1"/>
          <w:sz w:val="28"/>
          <w:szCs w:val="28"/>
          <w:lang w:val="en-GB"/>
          <w14:textFill>
            <w14:solidFill>
              <w14:schemeClr w14:val="tx1"/>
            </w14:solidFill>
          </w14:textFill>
        </w:rPr>
        <w:t>的委托，辽宁诺诚安全科技有限公司承担了鹤庆县河底普通建筑材料用</w:t>
      </w:r>
      <w:r>
        <w:rPr>
          <w:rFonts w:hint="default" w:ascii="Times New Roman" w:hAnsi="Times New Roman" w:eastAsia="宋体" w:cs="Times New Roman"/>
          <w:bCs/>
          <w:color w:val="000000" w:themeColor="text1"/>
          <w:sz w:val="28"/>
          <w:szCs w:val="28"/>
          <w:lang w:val="en-GB" w:eastAsia="zh-CN"/>
          <w14:textFill>
            <w14:solidFill>
              <w14:schemeClr w14:val="tx1"/>
            </w14:solidFill>
          </w14:textFill>
        </w:rPr>
        <w:t>石灰岩矿80万t/a露天采矿</w:t>
      </w:r>
      <w:r>
        <w:rPr>
          <w:rFonts w:hint="default" w:ascii="Times New Roman" w:hAnsi="Times New Roman" w:eastAsia="宋体" w:cs="Times New Roman"/>
          <w:bCs/>
          <w:color w:val="000000" w:themeColor="text1"/>
          <w:sz w:val="28"/>
          <w:szCs w:val="28"/>
          <w:lang w:val="en-GB"/>
          <w14:textFill>
            <w14:solidFill>
              <w14:schemeClr w14:val="tx1"/>
            </w14:solidFill>
          </w14:textFill>
        </w:rPr>
        <w:t>工程安全预评价工作。</w:t>
      </w:r>
    </w:p>
    <w:p w14:paraId="2A83257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bCs/>
          <w:color w:val="000000" w:themeColor="text1"/>
          <w:sz w:val="28"/>
          <w:szCs w:val="28"/>
          <w:lang w:val="en-GB"/>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在接受安全评价工作的委托之后，我公司立即组成安全评价组，组织评价人员投入该项目的安全评价工作。在系统调查分析的基础上，对照国家或行业有关安全法律法规、标准和规范，对该项目</w:t>
      </w:r>
      <w:r>
        <w:rPr>
          <w:rFonts w:hint="default" w:ascii="Times New Roman" w:hAnsi="Times New Roman" w:eastAsia="宋体" w:cs="Times New Roman"/>
          <w:color w:val="000000" w:themeColor="text1"/>
          <w:sz w:val="28"/>
          <w:szCs w:val="28"/>
          <w:lang w:val="en-GB"/>
          <w14:textFill>
            <w14:solidFill>
              <w14:schemeClr w14:val="tx1"/>
            </w14:solidFill>
          </w14:textFill>
        </w:rPr>
        <w:t>初步设计</w:t>
      </w:r>
      <w:r>
        <w:rPr>
          <w:rFonts w:hint="default" w:ascii="Times New Roman" w:hAnsi="Times New Roman" w:eastAsia="宋体" w:cs="Times New Roman"/>
          <w:bCs/>
          <w:color w:val="000000" w:themeColor="text1"/>
          <w:sz w:val="28"/>
          <w:szCs w:val="28"/>
          <w:lang w:val="en-GB"/>
          <w14:textFill>
            <w14:solidFill>
              <w14:schemeClr w14:val="tx1"/>
            </w14:solidFill>
          </w14:textFill>
        </w:rPr>
        <w:t>的可行性及项目涉及的危险、有害因素进行了分析和评价，采用可靠、适用的评价方法对该矿山进行安全预评价，提出了相应的安全对策措施，得出了评价结论。按照《国家安全监管总局关于印发金属非金属矿山建设项目安全评价报告编写提纲的通知》（安监总管一〔2016〕49号），最后编制成《鹤庆县河底普通建筑材料用</w:t>
      </w:r>
      <w:r>
        <w:rPr>
          <w:rFonts w:hint="default" w:ascii="Times New Roman" w:hAnsi="Times New Roman" w:eastAsia="宋体" w:cs="Times New Roman"/>
          <w:bCs/>
          <w:color w:val="000000" w:themeColor="text1"/>
          <w:sz w:val="28"/>
          <w:szCs w:val="28"/>
          <w:lang w:val="en-GB" w:eastAsia="zh-CN"/>
          <w14:textFill>
            <w14:solidFill>
              <w14:schemeClr w14:val="tx1"/>
            </w14:solidFill>
          </w14:textFill>
        </w:rPr>
        <w:t>石灰岩矿80万t/a露天采矿</w:t>
      </w:r>
      <w:r>
        <w:rPr>
          <w:rFonts w:hint="default" w:ascii="Times New Roman" w:hAnsi="Times New Roman" w:eastAsia="宋体" w:cs="Times New Roman"/>
          <w:bCs/>
          <w:color w:val="000000" w:themeColor="text1"/>
          <w:sz w:val="28"/>
          <w:szCs w:val="28"/>
          <w:lang w:val="en-GB"/>
          <w14:textFill>
            <w14:solidFill>
              <w14:schemeClr w14:val="tx1"/>
            </w14:solidFill>
          </w14:textFill>
        </w:rPr>
        <w:t>工程安全预评价》。</w:t>
      </w:r>
    </w:p>
    <w:p w14:paraId="5360042D">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themeColor="text1"/>
          <w:sz w:val="28"/>
          <w:szCs w:val="28"/>
          <w:lang w:val="en-GB"/>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在该项目的安全预评价过程中得到了</w:t>
      </w:r>
      <w:r>
        <w:rPr>
          <w:rFonts w:hint="default" w:ascii="Times New Roman" w:hAnsi="Times New Roman" w:eastAsia="宋体" w:cs="Times New Roman"/>
          <w:bCs/>
          <w:color w:val="000000" w:themeColor="text1"/>
          <w:sz w:val="28"/>
          <w:szCs w:val="28"/>
          <w14:textFill>
            <w14:solidFill>
              <w14:schemeClr w14:val="tx1"/>
            </w14:solidFill>
          </w14:textFill>
        </w:rPr>
        <w:t>大理州</w:t>
      </w:r>
      <w:r>
        <w:rPr>
          <w:rFonts w:hint="default" w:ascii="Times New Roman" w:hAnsi="Times New Roman" w:eastAsia="宋体" w:cs="Times New Roman"/>
          <w:bCs/>
          <w:color w:val="000000" w:themeColor="text1"/>
          <w:sz w:val="28"/>
          <w:szCs w:val="28"/>
          <w:lang w:val="en-GB"/>
          <w14:textFill>
            <w14:solidFill>
              <w14:schemeClr w14:val="tx1"/>
            </w14:solidFill>
          </w14:textFill>
        </w:rPr>
        <w:t>、鹤庆县应急管理部门及鹤庆县河底普通建筑材料用石灰岩矿等有关领导和技术人员的大力支持，同时在报告中引用了一些专家学者的研究成果和技术资料，在此一并表示感谢。</w:t>
      </w:r>
    </w:p>
    <w:p w14:paraId="005EC471">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pPr>
    </w:p>
    <w:p w14:paraId="001B1D62">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sectPr>
          <w:headerReference r:id="rId3" w:type="default"/>
          <w:footerReference r:id="rId4" w:type="default"/>
          <w:pgSz w:w="11906" w:h="16838"/>
          <w:pgMar w:top="1417" w:right="1134" w:bottom="1134" w:left="1587" w:header="851" w:footer="992" w:gutter="0"/>
          <w:pgNumType w:fmt="upperRoman" w:start="1"/>
          <w:cols w:space="0" w:num="1"/>
          <w:rtlGutter w:val="0"/>
          <w:docGrid w:type="lines" w:linePitch="312" w:charSpace="0"/>
        </w:sectPr>
      </w:pPr>
    </w:p>
    <w:sdt>
      <w:sdtPr>
        <w:rPr>
          <w:rFonts w:hint="default" w:ascii="Times New Roman" w:hAnsi="Times New Roman" w:eastAsia="黑体" w:cs="Times New Roman"/>
          <w:b/>
          <w:bCs/>
          <w:color w:val="000000" w:themeColor="text1"/>
          <w:kern w:val="2"/>
          <w:sz w:val="22"/>
          <w:szCs w:val="24"/>
          <w:lang w:val="zh-CN"/>
          <w14:textFill>
            <w14:solidFill>
              <w14:schemeClr w14:val="tx1"/>
            </w14:solidFill>
          </w14:textFill>
        </w:rPr>
        <w:id w:val="1966461226"/>
        <w:docPartObj>
          <w:docPartGallery w:val="Table of Contents"/>
          <w:docPartUnique/>
        </w:docPartObj>
      </w:sdtPr>
      <w:sdtEndPr>
        <w:rPr>
          <w:rFonts w:hint="default" w:ascii="Times New Roman" w:hAnsi="Times New Roman" w:cs="Times New Roman" w:eastAsiaTheme="minorEastAsia"/>
          <w:b/>
          <w:bCs w:val="0"/>
          <w:color w:val="000000" w:themeColor="text1"/>
          <w:kern w:val="2"/>
          <w:sz w:val="21"/>
          <w:szCs w:val="22"/>
          <w:lang w:val="zh-CN"/>
          <w14:textFill>
            <w14:solidFill>
              <w14:schemeClr w14:val="tx1"/>
            </w14:solidFill>
          </w14:textFill>
        </w:rPr>
      </w:sdtEndPr>
      <w:sdtContent>
        <w:p w14:paraId="0AEEEBFE">
          <w:pPr>
            <w:pStyle w:val="2"/>
            <w:pageBreakBefore w:val="0"/>
            <w:kinsoku/>
            <w:wordWrap/>
            <w:bidi w:val="0"/>
            <w:adjustRightInd w:val="0"/>
            <w:snapToGrid w:val="0"/>
            <w:spacing w:beforeLines="0" w:afterLines="0"/>
            <w:rPr>
              <w:rFonts w:hint="default" w:ascii="Times New Roman" w:hAnsi="Times New Roman" w:eastAsia="黑体" w:cs="Times New Roman"/>
              <w:b/>
              <w:bCs/>
              <w:color w:val="000000" w:themeColor="text1"/>
              <w:sz w:val="36"/>
              <w:szCs w:val="48"/>
              <w14:textFill>
                <w14:solidFill>
                  <w14:schemeClr w14:val="tx1"/>
                </w14:solidFill>
              </w14:textFill>
            </w:rPr>
          </w:pPr>
          <w:bookmarkStart w:id="9" w:name="_Toc11427"/>
          <w:bookmarkStart w:id="10" w:name="_Toc24000"/>
          <w:bookmarkStart w:id="11" w:name="_Toc21714"/>
          <w:bookmarkStart w:id="12" w:name="_Toc16973"/>
          <w:bookmarkStart w:id="13" w:name="_Toc32514"/>
          <w:r>
            <w:rPr>
              <w:rFonts w:hint="default" w:ascii="Times New Roman" w:hAnsi="Times New Roman" w:eastAsia="黑体" w:cs="Times New Roman"/>
              <w:b/>
              <w:bCs/>
              <w:color w:val="000000" w:themeColor="text1"/>
              <w:sz w:val="36"/>
              <w:szCs w:val="48"/>
              <w:lang w:val="zh-CN"/>
              <w14:textFill>
                <w14:solidFill>
                  <w14:schemeClr w14:val="tx1"/>
                </w14:solidFill>
              </w14:textFill>
            </w:rPr>
            <w:t>目</w:t>
          </w:r>
          <w:r>
            <w:rPr>
              <w:rFonts w:hint="default" w:ascii="Times New Roman" w:hAnsi="Times New Roman" w:eastAsia="黑体" w:cs="Times New Roman"/>
              <w:b/>
              <w:bCs/>
              <w:color w:val="000000" w:themeColor="text1"/>
              <w:sz w:val="36"/>
              <w:szCs w:val="48"/>
              <w14:textFill>
                <w14:solidFill>
                  <w14:schemeClr w14:val="tx1"/>
                </w14:solidFill>
              </w14:textFill>
            </w:rPr>
            <w:t xml:space="preserve">  </w:t>
          </w:r>
          <w:r>
            <w:rPr>
              <w:rFonts w:hint="default" w:ascii="Times New Roman" w:hAnsi="Times New Roman" w:eastAsia="黑体" w:cs="Times New Roman"/>
              <w:b/>
              <w:bCs/>
              <w:color w:val="000000" w:themeColor="text1"/>
              <w:sz w:val="36"/>
              <w:szCs w:val="48"/>
              <w:lang w:val="zh-CN"/>
              <w14:textFill>
                <w14:solidFill>
                  <w14:schemeClr w14:val="tx1"/>
                </w14:solidFill>
              </w14:textFill>
            </w:rPr>
            <w:t>录</w:t>
          </w:r>
          <w:bookmarkEnd w:id="9"/>
          <w:bookmarkEnd w:id="10"/>
          <w:bookmarkEnd w:id="11"/>
          <w:bookmarkEnd w:id="12"/>
          <w:bookmarkEnd w:id="13"/>
        </w:p>
        <w:p w14:paraId="22B3D468">
          <w:pPr>
            <w:pStyle w:val="24"/>
            <w:tabs>
              <w:tab w:val="right" w:leader="dot" w:pos="9185"/>
            </w:tabs>
            <w:rPr>
              <w:b/>
              <w:bCs/>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color w:val="000000" w:themeColor="text1"/>
              <w:sz w:val="28"/>
              <w:szCs w:val="32"/>
              <w14:textFill>
                <w14:solidFill>
                  <w14:schemeClr w14:val="tx1"/>
                </w14:solidFill>
              </w14:textFill>
            </w:rPr>
            <w:instrText xml:space="preserve"> TOC \o "1-2" \h \z \u </w:instrText>
          </w:r>
          <w:r>
            <w:rPr>
              <w:rFonts w:hint="default" w:ascii="Times New Roman" w:hAnsi="Times New Roman" w:cs="Times New Roman"/>
              <w:color w:val="000000" w:themeColor="text1"/>
              <w:sz w:val="28"/>
              <w:szCs w:val="32"/>
              <w14:textFill>
                <w14:solidFill>
                  <w14:schemeClr w14:val="tx1"/>
                </w14:solidFill>
              </w14:textFill>
            </w:rPr>
            <w:fldChar w:fldCharType="separate"/>
          </w: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_Toc25713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前</w:t>
          </w:r>
          <w:r>
            <w:rPr>
              <w:rFonts w:hint="default" w:ascii="Times New Roman" w:hAnsi="Times New Roman" w:cs="Times New Roman"/>
              <w:b/>
              <w:bCs/>
              <w:sz w:val="28"/>
              <w:szCs w:val="32"/>
            </w:rPr>
            <w:t xml:space="preserve">  </w:t>
          </w:r>
          <w:r>
            <w:rPr>
              <w:rFonts w:hint="default" w:ascii="Times New Roman" w:hAnsi="Times New Roman" w:cs="Times New Roman"/>
              <w:b/>
              <w:bCs/>
              <w:sz w:val="28"/>
              <w:szCs w:val="32"/>
              <w:lang w:val="en-GB"/>
            </w:rPr>
            <w:t>言</w:t>
          </w:r>
          <w:r>
            <w:rPr>
              <w:b/>
              <w:bCs/>
              <w:sz w:val="28"/>
              <w:szCs w:val="32"/>
            </w:rPr>
            <w:tab/>
          </w:r>
          <w:r>
            <w:rPr>
              <w:b/>
              <w:bCs/>
              <w:sz w:val="28"/>
              <w:szCs w:val="32"/>
            </w:rPr>
            <w:fldChar w:fldCharType="begin"/>
          </w:r>
          <w:r>
            <w:rPr>
              <w:b/>
              <w:bCs/>
              <w:sz w:val="28"/>
              <w:szCs w:val="32"/>
            </w:rPr>
            <w:instrText xml:space="preserve"> PAGEREF _Toc25713 \h </w:instrText>
          </w:r>
          <w:r>
            <w:rPr>
              <w:b/>
              <w:bCs/>
              <w:sz w:val="28"/>
              <w:szCs w:val="32"/>
            </w:rPr>
            <w:fldChar w:fldCharType="separate"/>
          </w:r>
          <w:r>
            <w:rPr>
              <w:b/>
              <w:bCs/>
              <w:sz w:val="28"/>
              <w:szCs w:val="32"/>
            </w:rPr>
            <w:t>I</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6D0E8C07">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_Toc24000 </w:instrText>
          </w:r>
          <w:r>
            <w:rPr>
              <w:rFonts w:hint="default" w:ascii="Times New Roman" w:hAnsi="Times New Roman" w:cs="Times New Roman"/>
              <w:b/>
              <w:bCs/>
              <w:sz w:val="28"/>
              <w:szCs w:val="32"/>
            </w:rPr>
            <w:fldChar w:fldCharType="separate"/>
          </w:r>
          <w:r>
            <w:rPr>
              <w:rFonts w:hint="default" w:ascii="Times New Roman" w:hAnsi="Times New Roman" w:eastAsia="黑体" w:cs="Times New Roman"/>
              <w:b/>
              <w:bCs/>
              <w:sz w:val="28"/>
              <w:szCs w:val="32"/>
              <w:lang w:val="zh-CN"/>
            </w:rPr>
            <w:t>目</w:t>
          </w:r>
          <w:r>
            <w:rPr>
              <w:rFonts w:hint="default" w:ascii="Times New Roman" w:hAnsi="Times New Roman" w:eastAsia="黑体" w:cs="Times New Roman"/>
              <w:b/>
              <w:bCs/>
              <w:sz w:val="28"/>
              <w:szCs w:val="32"/>
            </w:rPr>
            <w:t xml:space="preserve">  </w:t>
          </w:r>
          <w:r>
            <w:rPr>
              <w:rFonts w:hint="default" w:ascii="Times New Roman" w:hAnsi="Times New Roman" w:eastAsia="黑体" w:cs="Times New Roman"/>
              <w:b/>
              <w:bCs/>
              <w:sz w:val="28"/>
              <w:szCs w:val="32"/>
              <w:lang w:val="zh-CN"/>
            </w:rPr>
            <w:t>录</w:t>
          </w:r>
          <w:r>
            <w:rPr>
              <w:b/>
              <w:bCs/>
              <w:sz w:val="28"/>
              <w:szCs w:val="32"/>
            </w:rPr>
            <w:tab/>
          </w:r>
          <w:r>
            <w:rPr>
              <w:b/>
              <w:bCs/>
              <w:sz w:val="28"/>
              <w:szCs w:val="32"/>
            </w:rPr>
            <w:fldChar w:fldCharType="begin"/>
          </w:r>
          <w:r>
            <w:rPr>
              <w:b/>
              <w:bCs/>
              <w:sz w:val="28"/>
              <w:szCs w:val="32"/>
            </w:rPr>
            <w:instrText xml:space="preserve"> PAGEREF _Toc24000 \h </w:instrText>
          </w:r>
          <w:r>
            <w:rPr>
              <w:b/>
              <w:bCs/>
              <w:sz w:val="28"/>
              <w:szCs w:val="32"/>
            </w:rPr>
            <w:fldChar w:fldCharType="separate"/>
          </w:r>
          <w:r>
            <w:rPr>
              <w:b/>
              <w:bCs/>
              <w:sz w:val="28"/>
              <w:szCs w:val="32"/>
            </w:rPr>
            <w:t>I</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4FDB1721">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_Toc23388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1.评价范围与依据</w:t>
          </w:r>
          <w:r>
            <w:rPr>
              <w:b/>
              <w:bCs/>
              <w:sz w:val="28"/>
              <w:szCs w:val="32"/>
            </w:rPr>
            <w:tab/>
          </w:r>
          <w:r>
            <w:rPr>
              <w:b/>
              <w:bCs/>
              <w:sz w:val="28"/>
              <w:szCs w:val="32"/>
            </w:rPr>
            <w:fldChar w:fldCharType="begin"/>
          </w:r>
          <w:r>
            <w:rPr>
              <w:b/>
              <w:bCs/>
              <w:sz w:val="28"/>
              <w:szCs w:val="32"/>
            </w:rPr>
            <w:instrText xml:space="preserve"> PAGEREF _Toc23388 \h </w:instrText>
          </w:r>
          <w:r>
            <w:rPr>
              <w:b/>
              <w:bCs/>
              <w:sz w:val="28"/>
              <w:szCs w:val="32"/>
            </w:rPr>
            <w:fldChar w:fldCharType="separate"/>
          </w:r>
          <w:r>
            <w:rPr>
              <w:b/>
              <w:bCs/>
              <w:sz w:val="28"/>
              <w:szCs w:val="32"/>
            </w:rPr>
            <w:t>1</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46E3C50C">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_Toc29923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1.1评价对象和范围</w:t>
          </w:r>
          <w:r>
            <w:rPr>
              <w:sz w:val="28"/>
              <w:szCs w:val="32"/>
            </w:rPr>
            <w:tab/>
          </w:r>
          <w:r>
            <w:rPr>
              <w:sz w:val="28"/>
              <w:szCs w:val="32"/>
            </w:rPr>
            <w:fldChar w:fldCharType="begin"/>
          </w:r>
          <w:r>
            <w:rPr>
              <w:sz w:val="28"/>
              <w:szCs w:val="32"/>
            </w:rPr>
            <w:instrText xml:space="preserve"> PAGEREF _Toc29923 \h </w:instrText>
          </w:r>
          <w:r>
            <w:rPr>
              <w:sz w:val="28"/>
              <w:szCs w:val="32"/>
            </w:rPr>
            <w:fldChar w:fldCharType="separate"/>
          </w:r>
          <w:r>
            <w:rPr>
              <w:sz w:val="28"/>
              <w:szCs w:val="32"/>
            </w:rPr>
            <w:t>1</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5602CF94">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_Toc17516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1.2 评价依据</w:t>
          </w:r>
          <w:r>
            <w:rPr>
              <w:sz w:val="28"/>
              <w:szCs w:val="32"/>
            </w:rPr>
            <w:tab/>
          </w:r>
          <w:r>
            <w:rPr>
              <w:sz w:val="28"/>
              <w:szCs w:val="32"/>
            </w:rPr>
            <w:fldChar w:fldCharType="begin"/>
          </w:r>
          <w:r>
            <w:rPr>
              <w:sz w:val="28"/>
              <w:szCs w:val="32"/>
            </w:rPr>
            <w:instrText xml:space="preserve"> PAGEREF _Toc17516 \h </w:instrText>
          </w:r>
          <w:r>
            <w:rPr>
              <w:sz w:val="28"/>
              <w:szCs w:val="32"/>
            </w:rPr>
            <w:fldChar w:fldCharType="separate"/>
          </w:r>
          <w:r>
            <w:rPr>
              <w:sz w:val="28"/>
              <w:szCs w:val="32"/>
            </w:rPr>
            <w:t>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0403AAEC">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_Toc18405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1.3 安全预评价原则</w:t>
          </w:r>
          <w:r>
            <w:rPr>
              <w:sz w:val="28"/>
              <w:szCs w:val="32"/>
            </w:rPr>
            <w:tab/>
          </w:r>
          <w:r>
            <w:rPr>
              <w:sz w:val="28"/>
              <w:szCs w:val="32"/>
            </w:rPr>
            <w:fldChar w:fldCharType="begin"/>
          </w:r>
          <w:r>
            <w:rPr>
              <w:sz w:val="28"/>
              <w:szCs w:val="32"/>
            </w:rPr>
            <w:instrText xml:space="preserve"> PAGEREF _Toc18405 \h </w:instrText>
          </w:r>
          <w:r>
            <w:rPr>
              <w:sz w:val="28"/>
              <w:szCs w:val="32"/>
            </w:rPr>
            <w:fldChar w:fldCharType="separate"/>
          </w:r>
          <w:r>
            <w:rPr>
              <w:sz w:val="28"/>
              <w:szCs w:val="32"/>
            </w:rPr>
            <w:t>12</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3C73FE4">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_Toc21487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1.4 评价内容</w:t>
          </w:r>
          <w:r>
            <w:rPr>
              <w:sz w:val="28"/>
              <w:szCs w:val="32"/>
            </w:rPr>
            <w:tab/>
          </w:r>
          <w:r>
            <w:rPr>
              <w:sz w:val="28"/>
              <w:szCs w:val="32"/>
            </w:rPr>
            <w:fldChar w:fldCharType="begin"/>
          </w:r>
          <w:r>
            <w:rPr>
              <w:sz w:val="28"/>
              <w:szCs w:val="32"/>
            </w:rPr>
            <w:instrText xml:space="preserve"> PAGEREF _Toc21487 \h </w:instrText>
          </w:r>
          <w:r>
            <w:rPr>
              <w:sz w:val="28"/>
              <w:szCs w:val="32"/>
            </w:rPr>
            <w:fldChar w:fldCharType="separate"/>
          </w:r>
          <w:r>
            <w:rPr>
              <w:sz w:val="28"/>
              <w:szCs w:val="32"/>
            </w:rPr>
            <w:t>12</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4E27CC26">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_Toc26208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1.5 评价程序</w:t>
          </w:r>
          <w:r>
            <w:rPr>
              <w:sz w:val="28"/>
              <w:szCs w:val="32"/>
            </w:rPr>
            <w:tab/>
          </w:r>
          <w:r>
            <w:rPr>
              <w:sz w:val="28"/>
              <w:szCs w:val="32"/>
            </w:rPr>
            <w:fldChar w:fldCharType="begin"/>
          </w:r>
          <w:r>
            <w:rPr>
              <w:sz w:val="28"/>
              <w:szCs w:val="32"/>
            </w:rPr>
            <w:instrText xml:space="preserve"> PAGEREF _Toc26208 \h </w:instrText>
          </w:r>
          <w:r>
            <w:rPr>
              <w:sz w:val="28"/>
              <w:szCs w:val="32"/>
            </w:rPr>
            <w:fldChar w:fldCharType="separate"/>
          </w:r>
          <w:r>
            <w:rPr>
              <w:sz w:val="28"/>
              <w:szCs w:val="32"/>
            </w:rPr>
            <w:t>12</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494B33C6">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_Toc23952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1.6 评价报告声明</w:t>
          </w:r>
          <w:r>
            <w:rPr>
              <w:sz w:val="28"/>
              <w:szCs w:val="32"/>
            </w:rPr>
            <w:tab/>
          </w:r>
          <w:r>
            <w:rPr>
              <w:sz w:val="28"/>
              <w:szCs w:val="32"/>
            </w:rPr>
            <w:fldChar w:fldCharType="begin"/>
          </w:r>
          <w:r>
            <w:rPr>
              <w:sz w:val="28"/>
              <w:szCs w:val="32"/>
            </w:rPr>
            <w:instrText xml:space="preserve"> PAGEREF _Toc23952 \h </w:instrText>
          </w:r>
          <w:r>
            <w:rPr>
              <w:sz w:val="28"/>
              <w:szCs w:val="32"/>
            </w:rPr>
            <w:fldChar w:fldCharType="separate"/>
          </w:r>
          <w:r>
            <w:rPr>
              <w:sz w:val="28"/>
              <w:szCs w:val="32"/>
            </w:rPr>
            <w:t>13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592A8AD3">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_Toc13797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2.建设项目概述</w:t>
          </w:r>
          <w:r>
            <w:rPr>
              <w:b/>
              <w:bCs/>
              <w:sz w:val="28"/>
              <w:szCs w:val="32"/>
            </w:rPr>
            <w:tab/>
          </w:r>
          <w:r>
            <w:rPr>
              <w:b/>
              <w:bCs/>
              <w:sz w:val="28"/>
              <w:szCs w:val="32"/>
            </w:rPr>
            <w:fldChar w:fldCharType="begin"/>
          </w:r>
          <w:r>
            <w:rPr>
              <w:b/>
              <w:bCs/>
              <w:sz w:val="28"/>
              <w:szCs w:val="32"/>
            </w:rPr>
            <w:instrText xml:space="preserve"> PAGEREF _Toc13797 \h </w:instrText>
          </w:r>
          <w:r>
            <w:rPr>
              <w:b/>
              <w:bCs/>
              <w:sz w:val="28"/>
              <w:szCs w:val="32"/>
            </w:rPr>
            <w:fldChar w:fldCharType="separate"/>
          </w:r>
          <w:r>
            <w:rPr>
              <w:b/>
              <w:bCs/>
              <w:sz w:val="28"/>
              <w:szCs w:val="32"/>
            </w:rPr>
            <w:t>14</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223C4159">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_Toc22246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2.1 建设单位概况</w:t>
          </w:r>
          <w:r>
            <w:rPr>
              <w:sz w:val="28"/>
              <w:szCs w:val="32"/>
            </w:rPr>
            <w:tab/>
          </w:r>
          <w:r>
            <w:rPr>
              <w:sz w:val="28"/>
              <w:szCs w:val="32"/>
            </w:rPr>
            <w:fldChar w:fldCharType="begin"/>
          </w:r>
          <w:r>
            <w:rPr>
              <w:sz w:val="28"/>
              <w:szCs w:val="32"/>
            </w:rPr>
            <w:instrText xml:space="preserve"> PAGEREF _Toc22246 \h </w:instrText>
          </w:r>
          <w:r>
            <w:rPr>
              <w:sz w:val="28"/>
              <w:szCs w:val="32"/>
            </w:rPr>
            <w:fldChar w:fldCharType="separate"/>
          </w:r>
          <w:r>
            <w:rPr>
              <w:sz w:val="28"/>
              <w:szCs w:val="32"/>
            </w:rPr>
            <w:t>14</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378538D3">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_Toc2770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2.2 自然环境及经济概况</w:t>
          </w:r>
          <w:r>
            <w:rPr>
              <w:sz w:val="28"/>
              <w:szCs w:val="32"/>
            </w:rPr>
            <w:tab/>
          </w:r>
          <w:r>
            <w:rPr>
              <w:sz w:val="28"/>
              <w:szCs w:val="32"/>
            </w:rPr>
            <w:fldChar w:fldCharType="begin"/>
          </w:r>
          <w:r>
            <w:rPr>
              <w:sz w:val="28"/>
              <w:szCs w:val="32"/>
            </w:rPr>
            <w:instrText xml:space="preserve"> PAGEREF _Toc2770 \h </w:instrText>
          </w:r>
          <w:r>
            <w:rPr>
              <w:sz w:val="28"/>
              <w:szCs w:val="32"/>
            </w:rPr>
            <w:fldChar w:fldCharType="separate"/>
          </w:r>
          <w:r>
            <w:rPr>
              <w:sz w:val="28"/>
              <w:szCs w:val="32"/>
            </w:rPr>
            <w:t>20</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5C1AF22D">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_Toc11123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2.3 区域地质概况</w:t>
          </w:r>
          <w:r>
            <w:rPr>
              <w:sz w:val="28"/>
              <w:szCs w:val="32"/>
            </w:rPr>
            <w:tab/>
          </w:r>
          <w:r>
            <w:rPr>
              <w:sz w:val="28"/>
              <w:szCs w:val="32"/>
            </w:rPr>
            <w:fldChar w:fldCharType="begin"/>
          </w:r>
          <w:r>
            <w:rPr>
              <w:sz w:val="28"/>
              <w:szCs w:val="32"/>
            </w:rPr>
            <w:instrText xml:space="preserve"> PAGEREF _Toc11123 \h </w:instrText>
          </w:r>
          <w:r>
            <w:rPr>
              <w:sz w:val="28"/>
              <w:szCs w:val="32"/>
            </w:rPr>
            <w:fldChar w:fldCharType="separate"/>
          </w:r>
          <w:r>
            <w:rPr>
              <w:sz w:val="28"/>
              <w:szCs w:val="32"/>
            </w:rPr>
            <w:t>21</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7031767">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_Toc20690 </w:instrText>
          </w:r>
          <w:r>
            <w:rPr>
              <w:rFonts w:hint="default" w:ascii="Times New Roman" w:hAnsi="Times New Roman" w:cs="Times New Roman"/>
              <w:sz w:val="28"/>
              <w:szCs w:val="32"/>
            </w:rPr>
            <w:fldChar w:fldCharType="separate"/>
          </w:r>
          <w:r>
            <w:rPr>
              <w:rFonts w:hint="default" w:ascii="Times New Roman" w:hAnsi="Times New Roman" w:cs="Times New Roman"/>
              <w:sz w:val="28"/>
              <w:szCs w:val="40"/>
              <w:lang w:val="en-GB"/>
            </w:rPr>
            <w:t>2.4 建设方案概况</w:t>
          </w:r>
          <w:r>
            <w:rPr>
              <w:sz w:val="28"/>
              <w:szCs w:val="32"/>
            </w:rPr>
            <w:tab/>
          </w:r>
          <w:r>
            <w:rPr>
              <w:sz w:val="28"/>
              <w:szCs w:val="32"/>
            </w:rPr>
            <w:fldChar w:fldCharType="begin"/>
          </w:r>
          <w:r>
            <w:rPr>
              <w:sz w:val="28"/>
              <w:szCs w:val="32"/>
            </w:rPr>
            <w:instrText xml:space="preserve"> PAGEREF _Toc20690 \h </w:instrText>
          </w:r>
          <w:r>
            <w:rPr>
              <w:sz w:val="28"/>
              <w:szCs w:val="32"/>
            </w:rPr>
            <w:fldChar w:fldCharType="separate"/>
          </w:r>
          <w:r>
            <w:rPr>
              <w:sz w:val="28"/>
              <w:szCs w:val="32"/>
            </w:rPr>
            <w:t>35</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2B81A506">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_Toc21916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3.定性定量评价</w:t>
          </w:r>
          <w:r>
            <w:rPr>
              <w:b/>
              <w:bCs/>
              <w:sz w:val="28"/>
              <w:szCs w:val="32"/>
            </w:rPr>
            <w:tab/>
          </w:r>
          <w:r>
            <w:rPr>
              <w:b/>
              <w:bCs/>
              <w:sz w:val="28"/>
              <w:szCs w:val="32"/>
            </w:rPr>
            <w:fldChar w:fldCharType="begin"/>
          </w:r>
          <w:r>
            <w:rPr>
              <w:b/>
              <w:bCs/>
              <w:sz w:val="28"/>
              <w:szCs w:val="32"/>
            </w:rPr>
            <w:instrText xml:space="preserve"> PAGEREF _Toc21916 \h </w:instrText>
          </w:r>
          <w:r>
            <w:rPr>
              <w:b/>
              <w:bCs/>
              <w:sz w:val="28"/>
              <w:szCs w:val="32"/>
            </w:rPr>
            <w:fldChar w:fldCharType="separate"/>
          </w:r>
          <w:r>
            <w:rPr>
              <w:b/>
              <w:bCs/>
              <w:sz w:val="28"/>
              <w:szCs w:val="32"/>
            </w:rPr>
            <w:t>68</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4D0DC853">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_Toc2170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3.1总平面布置单元</w:t>
          </w:r>
          <w:r>
            <w:rPr>
              <w:sz w:val="28"/>
              <w:szCs w:val="32"/>
            </w:rPr>
            <w:tab/>
          </w:r>
          <w:r>
            <w:rPr>
              <w:sz w:val="28"/>
              <w:szCs w:val="32"/>
            </w:rPr>
            <w:fldChar w:fldCharType="begin"/>
          </w:r>
          <w:r>
            <w:rPr>
              <w:sz w:val="28"/>
              <w:szCs w:val="32"/>
            </w:rPr>
            <w:instrText xml:space="preserve"> PAGEREF _Toc2170 \h </w:instrText>
          </w:r>
          <w:r>
            <w:rPr>
              <w:sz w:val="28"/>
              <w:szCs w:val="32"/>
            </w:rPr>
            <w:fldChar w:fldCharType="separate"/>
          </w:r>
          <w:r>
            <w:rPr>
              <w:sz w:val="28"/>
              <w:szCs w:val="32"/>
            </w:rPr>
            <w:t>69</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606B72F">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_Toc3170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3.2 矿山开拓运输单元</w:t>
          </w:r>
          <w:r>
            <w:rPr>
              <w:sz w:val="28"/>
              <w:szCs w:val="32"/>
            </w:rPr>
            <w:tab/>
          </w:r>
          <w:r>
            <w:rPr>
              <w:sz w:val="28"/>
              <w:szCs w:val="32"/>
            </w:rPr>
            <w:fldChar w:fldCharType="begin"/>
          </w:r>
          <w:r>
            <w:rPr>
              <w:sz w:val="28"/>
              <w:szCs w:val="32"/>
            </w:rPr>
            <w:instrText xml:space="preserve"> PAGEREF _Toc3170 \h </w:instrText>
          </w:r>
          <w:r>
            <w:rPr>
              <w:sz w:val="28"/>
              <w:szCs w:val="32"/>
            </w:rPr>
            <w:fldChar w:fldCharType="separate"/>
          </w:r>
          <w:r>
            <w:rPr>
              <w:sz w:val="28"/>
              <w:szCs w:val="32"/>
            </w:rPr>
            <w:t>75</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74733EF2">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_Toc19094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3.3 采剥单元</w:t>
          </w:r>
          <w:r>
            <w:rPr>
              <w:sz w:val="28"/>
              <w:szCs w:val="32"/>
            </w:rPr>
            <w:tab/>
          </w:r>
          <w:r>
            <w:rPr>
              <w:sz w:val="28"/>
              <w:szCs w:val="32"/>
            </w:rPr>
            <w:fldChar w:fldCharType="begin"/>
          </w:r>
          <w:r>
            <w:rPr>
              <w:sz w:val="28"/>
              <w:szCs w:val="32"/>
            </w:rPr>
            <w:instrText xml:space="preserve"> PAGEREF _Toc19094 \h </w:instrText>
          </w:r>
          <w:r>
            <w:rPr>
              <w:sz w:val="28"/>
              <w:szCs w:val="32"/>
            </w:rPr>
            <w:fldChar w:fldCharType="separate"/>
          </w:r>
          <w:r>
            <w:rPr>
              <w:sz w:val="28"/>
              <w:szCs w:val="32"/>
            </w:rPr>
            <w:t>77</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2ED3F9D9">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_Toc5093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3.4 供水系统单元</w:t>
          </w:r>
          <w:r>
            <w:rPr>
              <w:sz w:val="28"/>
              <w:szCs w:val="32"/>
            </w:rPr>
            <w:tab/>
          </w:r>
          <w:r>
            <w:rPr>
              <w:sz w:val="28"/>
              <w:szCs w:val="32"/>
            </w:rPr>
            <w:fldChar w:fldCharType="begin"/>
          </w:r>
          <w:r>
            <w:rPr>
              <w:sz w:val="28"/>
              <w:szCs w:val="32"/>
            </w:rPr>
            <w:instrText xml:space="preserve"> PAGEREF _Toc5093 \h </w:instrText>
          </w:r>
          <w:r>
            <w:rPr>
              <w:sz w:val="28"/>
              <w:szCs w:val="32"/>
            </w:rPr>
            <w:fldChar w:fldCharType="separate"/>
          </w:r>
          <w:r>
            <w:rPr>
              <w:sz w:val="28"/>
              <w:szCs w:val="32"/>
            </w:rPr>
            <w:t>99</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C42C601">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_Toc18217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3.5 防尘单元</w:t>
          </w:r>
          <w:r>
            <w:rPr>
              <w:sz w:val="28"/>
              <w:szCs w:val="32"/>
            </w:rPr>
            <w:tab/>
          </w:r>
          <w:r>
            <w:rPr>
              <w:sz w:val="28"/>
              <w:szCs w:val="32"/>
            </w:rPr>
            <w:fldChar w:fldCharType="begin"/>
          </w:r>
          <w:r>
            <w:rPr>
              <w:sz w:val="28"/>
              <w:szCs w:val="32"/>
            </w:rPr>
            <w:instrText xml:space="preserve"> PAGEREF _Toc18217 \h </w:instrText>
          </w:r>
          <w:r>
            <w:rPr>
              <w:sz w:val="28"/>
              <w:szCs w:val="32"/>
            </w:rPr>
            <w:fldChar w:fldCharType="separate"/>
          </w:r>
          <w:r>
            <w:rPr>
              <w:sz w:val="28"/>
              <w:szCs w:val="32"/>
            </w:rPr>
            <w:t>99</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1F6A0EC1">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_Toc28406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3.6 矿山电气单元</w:t>
          </w:r>
          <w:r>
            <w:rPr>
              <w:sz w:val="28"/>
              <w:szCs w:val="32"/>
            </w:rPr>
            <w:tab/>
          </w:r>
          <w:r>
            <w:rPr>
              <w:sz w:val="28"/>
              <w:szCs w:val="32"/>
            </w:rPr>
            <w:fldChar w:fldCharType="begin"/>
          </w:r>
          <w:r>
            <w:rPr>
              <w:sz w:val="28"/>
              <w:szCs w:val="32"/>
            </w:rPr>
            <w:instrText xml:space="preserve"> PAGEREF _Toc28406 \h </w:instrText>
          </w:r>
          <w:r>
            <w:rPr>
              <w:sz w:val="28"/>
              <w:szCs w:val="32"/>
            </w:rPr>
            <w:fldChar w:fldCharType="separate"/>
          </w:r>
          <w:r>
            <w:rPr>
              <w:sz w:val="28"/>
              <w:szCs w:val="32"/>
            </w:rPr>
            <w:t>100</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707F9A77">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_Toc9523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3.7 防排水与防灭火单元</w:t>
          </w:r>
          <w:r>
            <w:rPr>
              <w:sz w:val="28"/>
              <w:szCs w:val="32"/>
            </w:rPr>
            <w:tab/>
          </w:r>
          <w:r>
            <w:rPr>
              <w:sz w:val="28"/>
              <w:szCs w:val="32"/>
            </w:rPr>
            <w:fldChar w:fldCharType="begin"/>
          </w:r>
          <w:r>
            <w:rPr>
              <w:sz w:val="28"/>
              <w:szCs w:val="32"/>
            </w:rPr>
            <w:instrText xml:space="preserve"> PAGEREF _Toc9523 \h </w:instrText>
          </w:r>
          <w:r>
            <w:rPr>
              <w:sz w:val="28"/>
              <w:szCs w:val="32"/>
            </w:rPr>
            <w:fldChar w:fldCharType="separate"/>
          </w:r>
          <w:r>
            <w:rPr>
              <w:sz w:val="28"/>
              <w:szCs w:val="32"/>
            </w:rPr>
            <w:t>103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458ED6AE">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_Toc25155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3.8 安全管理单元</w:t>
          </w:r>
          <w:r>
            <w:rPr>
              <w:sz w:val="28"/>
              <w:szCs w:val="32"/>
            </w:rPr>
            <w:tab/>
          </w:r>
          <w:r>
            <w:rPr>
              <w:sz w:val="28"/>
              <w:szCs w:val="32"/>
            </w:rPr>
            <w:fldChar w:fldCharType="begin"/>
          </w:r>
          <w:r>
            <w:rPr>
              <w:sz w:val="28"/>
              <w:szCs w:val="32"/>
            </w:rPr>
            <w:instrText xml:space="preserve"> PAGEREF _Toc25155 \h </w:instrText>
          </w:r>
          <w:r>
            <w:rPr>
              <w:sz w:val="28"/>
              <w:szCs w:val="32"/>
            </w:rPr>
            <w:fldChar w:fldCharType="separate"/>
          </w:r>
          <w:r>
            <w:rPr>
              <w:sz w:val="28"/>
              <w:szCs w:val="32"/>
            </w:rPr>
            <w:t>106</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27CD1945">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_Toc4520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3.</w:t>
          </w:r>
          <w:r>
            <w:rPr>
              <w:rFonts w:hint="default" w:ascii="Times New Roman" w:hAnsi="Times New Roman" w:cs="Times New Roman"/>
              <w:bCs w:val="0"/>
              <w:sz w:val="28"/>
              <w:szCs w:val="32"/>
            </w:rPr>
            <w:t>9</w:t>
          </w:r>
          <w:r>
            <w:rPr>
              <w:rFonts w:hint="default" w:ascii="Times New Roman" w:hAnsi="Times New Roman" w:cs="Times New Roman"/>
              <w:bCs w:val="0"/>
              <w:sz w:val="28"/>
              <w:szCs w:val="32"/>
              <w:lang w:val="en-GB"/>
            </w:rPr>
            <w:t xml:space="preserve"> 重大危险源辨识</w:t>
          </w:r>
          <w:r>
            <w:rPr>
              <w:sz w:val="28"/>
              <w:szCs w:val="32"/>
            </w:rPr>
            <w:tab/>
          </w:r>
          <w:r>
            <w:rPr>
              <w:sz w:val="28"/>
              <w:szCs w:val="32"/>
            </w:rPr>
            <w:fldChar w:fldCharType="begin"/>
          </w:r>
          <w:r>
            <w:rPr>
              <w:sz w:val="28"/>
              <w:szCs w:val="32"/>
            </w:rPr>
            <w:instrText xml:space="preserve"> PAGEREF _Toc4520 \h </w:instrText>
          </w:r>
          <w:r>
            <w:rPr>
              <w:sz w:val="28"/>
              <w:szCs w:val="32"/>
            </w:rPr>
            <w:fldChar w:fldCharType="separate"/>
          </w:r>
          <w:r>
            <w:rPr>
              <w:sz w:val="28"/>
              <w:szCs w:val="32"/>
            </w:rPr>
            <w:t>113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7ED8E168">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_Toc32231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4.安全对策措施建议</w:t>
          </w:r>
          <w:r>
            <w:rPr>
              <w:b/>
              <w:bCs/>
              <w:sz w:val="28"/>
              <w:szCs w:val="32"/>
            </w:rPr>
            <w:tab/>
          </w:r>
          <w:r>
            <w:rPr>
              <w:b/>
              <w:bCs/>
              <w:sz w:val="28"/>
              <w:szCs w:val="32"/>
            </w:rPr>
            <w:fldChar w:fldCharType="begin"/>
          </w:r>
          <w:r>
            <w:rPr>
              <w:b/>
              <w:bCs/>
              <w:sz w:val="28"/>
              <w:szCs w:val="32"/>
            </w:rPr>
            <w:instrText xml:space="preserve"> PAGEREF _Toc32231 \h </w:instrText>
          </w:r>
          <w:r>
            <w:rPr>
              <w:b/>
              <w:bCs/>
              <w:sz w:val="28"/>
              <w:szCs w:val="32"/>
            </w:rPr>
            <w:fldChar w:fldCharType="separate"/>
          </w:r>
          <w:r>
            <w:rPr>
              <w:b/>
              <w:bCs/>
              <w:sz w:val="28"/>
              <w:szCs w:val="32"/>
            </w:rPr>
            <w:t>115</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47D24457">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_Toc32591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4.1 安全对策措施建议的主要原则</w:t>
          </w:r>
          <w:r>
            <w:rPr>
              <w:sz w:val="28"/>
              <w:szCs w:val="32"/>
            </w:rPr>
            <w:tab/>
          </w:r>
          <w:r>
            <w:rPr>
              <w:sz w:val="28"/>
              <w:szCs w:val="32"/>
            </w:rPr>
            <w:fldChar w:fldCharType="begin"/>
          </w:r>
          <w:r>
            <w:rPr>
              <w:sz w:val="28"/>
              <w:szCs w:val="32"/>
            </w:rPr>
            <w:instrText xml:space="preserve"> PAGEREF _Toc32591 \h </w:instrText>
          </w:r>
          <w:r>
            <w:rPr>
              <w:sz w:val="28"/>
              <w:szCs w:val="32"/>
            </w:rPr>
            <w:fldChar w:fldCharType="separate"/>
          </w:r>
          <w:r>
            <w:rPr>
              <w:sz w:val="28"/>
              <w:szCs w:val="32"/>
            </w:rPr>
            <w:t>115</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49A5C005">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_Toc18525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4.2 初步设计方案中提出的主要问题及建议</w:t>
          </w:r>
          <w:r>
            <w:rPr>
              <w:sz w:val="28"/>
              <w:szCs w:val="32"/>
            </w:rPr>
            <w:tab/>
          </w:r>
          <w:r>
            <w:rPr>
              <w:sz w:val="28"/>
              <w:szCs w:val="32"/>
            </w:rPr>
            <w:fldChar w:fldCharType="begin"/>
          </w:r>
          <w:r>
            <w:rPr>
              <w:sz w:val="28"/>
              <w:szCs w:val="32"/>
            </w:rPr>
            <w:instrText xml:space="preserve"> PAGEREF _Toc18525 \h </w:instrText>
          </w:r>
          <w:r>
            <w:rPr>
              <w:sz w:val="28"/>
              <w:szCs w:val="32"/>
            </w:rPr>
            <w:fldChar w:fldCharType="separate"/>
          </w:r>
          <w:r>
            <w:rPr>
              <w:sz w:val="28"/>
              <w:szCs w:val="32"/>
            </w:rPr>
            <w:t>115</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01306CF1">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_Toc26200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4.3 各单元安全对策措施建议</w:t>
          </w:r>
          <w:r>
            <w:rPr>
              <w:sz w:val="28"/>
              <w:szCs w:val="32"/>
            </w:rPr>
            <w:tab/>
          </w:r>
          <w:r>
            <w:rPr>
              <w:sz w:val="28"/>
              <w:szCs w:val="32"/>
            </w:rPr>
            <w:fldChar w:fldCharType="begin"/>
          </w:r>
          <w:r>
            <w:rPr>
              <w:sz w:val="28"/>
              <w:szCs w:val="32"/>
            </w:rPr>
            <w:instrText xml:space="preserve"> PAGEREF _Toc26200 \h </w:instrText>
          </w:r>
          <w:r>
            <w:rPr>
              <w:sz w:val="28"/>
              <w:szCs w:val="32"/>
            </w:rPr>
            <w:fldChar w:fldCharType="separate"/>
          </w:r>
          <w:r>
            <w:rPr>
              <w:sz w:val="28"/>
              <w:szCs w:val="32"/>
            </w:rPr>
            <w:t>116</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7E600967">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_Toc15909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4.4 其他对策措施建议</w:t>
          </w:r>
          <w:r>
            <w:rPr>
              <w:sz w:val="28"/>
              <w:szCs w:val="32"/>
            </w:rPr>
            <w:tab/>
          </w:r>
          <w:r>
            <w:rPr>
              <w:sz w:val="28"/>
              <w:szCs w:val="32"/>
            </w:rPr>
            <w:fldChar w:fldCharType="begin"/>
          </w:r>
          <w:r>
            <w:rPr>
              <w:sz w:val="28"/>
              <w:szCs w:val="32"/>
            </w:rPr>
            <w:instrText xml:space="preserve"> PAGEREF _Toc15909 \h </w:instrText>
          </w:r>
          <w:r>
            <w:rPr>
              <w:sz w:val="28"/>
              <w:szCs w:val="32"/>
            </w:rPr>
            <w:fldChar w:fldCharType="separate"/>
          </w:r>
          <w:r>
            <w:rPr>
              <w:sz w:val="28"/>
              <w:szCs w:val="32"/>
            </w:rPr>
            <w:t>120</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0923C69">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_Toc2543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5.安全预评价结论</w:t>
          </w:r>
          <w:r>
            <w:rPr>
              <w:b/>
              <w:bCs/>
              <w:sz w:val="28"/>
              <w:szCs w:val="32"/>
            </w:rPr>
            <w:tab/>
          </w:r>
          <w:r>
            <w:rPr>
              <w:b/>
              <w:bCs/>
              <w:sz w:val="28"/>
              <w:szCs w:val="32"/>
            </w:rPr>
            <w:fldChar w:fldCharType="begin"/>
          </w:r>
          <w:r>
            <w:rPr>
              <w:b/>
              <w:bCs/>
              <w:sz w:val="28"/>
              <w:szCs w:val="32"/>
            </w:rPr>
            <w:instrText xml:space="preserve"> PAGEREF _Toc2543 \h </w:instrText>
          </w:r>
          <w:r>
            <w:rPr>
              <w:b/>
              <w:bCs/>
              <w:sz w:val="28"/>
              <w:szCs w:val="32"/>
            </w:rPr>
            <w:fldChar w:fldCharType="separate"/>
          </w:r>
          <w:r>
            <w:rPr>
              <w:b/>
              <w:bCs/>
              <w:sz w:val="28"/>
              <w:szCs w:val="32"/>
            </w:rPr>
            <w:t>122</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7DFEAA54">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_Toc13228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5.1 主要危险、有害因素评价结果</w:t>
          </w:r>
          <w:r>
            <w:rPr>
              <w:sz w:val="28"/>
              <w:szCs w:val="32"/>
            </w:rPr>
            <w:tab/>
          </w:r>
          <w:r>
            <w:rPr>
              <w:sz w:val="28"/>
              <w:szCs w:val="32"/>
            </w:rPr>
            <w:fldChar w:fldCharType="begin"/>
          </w:r>
          <w:r>
            <w:rPr>
              <w:sz w:val="28"/>
              <w:szCs w:val="32"/>
            </w:rPr>
            <w:instrText xml:space="preserve"> PAGEREF _Toc13228 \h </w:instrText>
          </w:r>
          <w:r>
            <w:rPr>
              <w:sz w:val="28"/>
              <w:szCs w:val="32"/>
            </w:rPr>
            <w:fldChar w:fldCharType="separate"/>
          </w:r>
          <w:r>
            <w:rPr>
              <w:sz w:val="28"/>
              <w:szCs w:val="32"/>
            </w:rPr>
            <w:t>122</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1491E3A">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_Toc15126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5.2 该项目应重点防范的危险、有害因素</w:t>
          </w:r>
          <w:r>
            <w:rPr>
              <w:sz w:val="28"/>
              <w:szCs w:val="32"/>
            </w:rPr>
            <w:tab/>
          </w:r>
          <w:r>
            <w:rPr>
              <w:sz w:val="28"/>
              <w:szCs w:val="32"/>
            </w:rPr>
            <w:fldChar w:fldCharType="begin"/>
          </w:r>
          <w:r>
            <w:rPr>
              <w:sz w:val="28"/>
              <w:szCs w:val="32"/>
            </w:rPr>
            <w:instrText xml:space="preserve"> PAGEREF _Toc15126 \h </w:instrText>
          </w:r>
          <w:r>
            <w:rPr>
              <w:sz w:val="28"/>
              <w:szCs w:val="32"/>
            </w:rPr>
            <w:fldChar w:fldCharType="separate"/>
          </w:r>
          <w:r>
            <w:rPr>
              <w:sz w:val="28"/>
              <w:szCs w:val="32"/>
            </w:rPr>
            <w:t>123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58CBEE91">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_Toc21285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5.3 该项目应重视安全对策措施建议</w:t>
          </w:r>
          <w:r>
            <w:rPr>
              <w:sz w:val="28"/>
              <w:szCs w:val="32"/>
            </w:rPr>
            <w:tab/>
          </w:r>
          <w:r>
            <w:rPr>
              <w:sz w:val="28"/>
              <w:szCs w:val="32"/>
            </w:rPr>
            <w:fldChar w:fldCharType="begin"/>
          </w:r>
          <w:r>
            <w:rPr>
              <w:sz w:val="28"/>
              <w:szCs w:val="32"/>
            </w:rPr>
            <w:instrText xml:space="preserve"> PAGEREF _Toc21285 \h </w:instrText>
          </w:r>
          <w:r>
            <w:rPr>
              <w:sz w:val="28"/>
              <w:szCs w:val="32"/>
            </w:rPr>
            <w:fldChar w:fldCharType="separate"/>
          </w:r>
          <w:r>
            <w:rPr>
              <w:sz w:val="28"/>
              <w:szCs w:val="32"/>
            </w:rPr>
            <w:t>123</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3040239D">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_Toc2947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5.4 评价结果综述</w:t>
          </w:r>
          <w:r>
            <w:rPr>
              <w:sz w:val="28"/>
              <w:szCs w:val="32"/>
            </w:rPr>
            <w:tab/>
          </w:r>
          <w:r>
            <w:rPr>
              <w:sz w:val="28"/>
              <w:szCs w:val="32"/>
            </w:rPr>
            <w:fldChar w:fldCharType="begin"/>
          </w:r>
          <w:r>
            <w:rPr>
              <w:sz w:val="28"/>
              <w:szCs w:val="32"/>
            </w:rPr>
            <w:instrText xml:space="preserve"> PAGEREF _Toc2947 \h </w:instrText>
          </w:r>
          <w:r>
            <w:rPr>
              <w:sz w:val="28"/>
              <w:szCs w:val="32"/>
            </w:rPr>
            <w:fldChar w:fldCharType="separate"/>
          </w:r>
          <w:r>
            <w:rPr>
              <w:sz w:val="28"/>
              <w:szCs w:val="32"/>
            </w:rPr>
            <w:t>125</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6BB0D2DB">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_Toc32376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5.5 安全预评价结论</w:t>
          </w:r>
          <w:r>
            <w:rPr>
              <w:sz w:val="28"/>
              <w:szCs w:val="32"/>
            </w:rPr>
            <w:tab/>
          </w:r>
          <w:r>
            <w:rPr>
              <w:sz w:val="28"/>
              <w:szCs w:val="32"/>
            </w:rPr>
            <w:fldChar w:fldCharType="begin"/>
          </w:r>
          <w:r>
            <w:rPr>
              <w:sz w:val="28"/>
              <w:szCs w:val="32"/>
            </w:rPr>
            <w:instrText xml:space="preserve"> PAGEREF _Toc32376 \h </w:instrText>
          </w:r>
          <w:r>
            <w:rPr>
              <w:sz w:val="28"/>
              <w:szCs w:val="32"/>
            </w:rPr>
            <w:fldChar w:fldCharType="separate"/>
          </w:r>
          <w:r>
            <w:rPr>
              <w:sz w:val="28"/>
              <w:szCs w:val="32"/>
            </w:rPr>
            <w:t>126</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744C56E4">
          <w:pPr>
            <w:pStyle w:val="24"/>
            <w:tabs>
              <w:tab w:val="right" w:leader="dot" w:pos="9185"/>
            </w:tabs>
            <w:rPr>
              <w:b/>
              <w:bCs/>
              <w:sz w:val="28"/>
              <w:szCs w:val="32"/>
            </w:rPr>
          </w:pPr>
          <w:r>
            <w:rPr>
              <w:rFonts w:hint="default" w:ascii="Times New Roman" w:hAnsi="Times New Roman" w:cs="Times New Roman"/>
              <w:b/>
              <w:bCs/>
              <w:color w:val="000000" w:themeColor="text1"/>
              <w:sz w:val="28"/>
              <w:szCs w:val="32"/>
              <w14:textFill>
                <w14:solidFill>
                  <w14:schemeClr w14:val="tx1"/>
                </w14:solidFill>
              </w14:textFill>
            </w:rPr>
            <w:fldChar w:fldCharType="begin"/>
          </w:r>
          <w:r>
            <w:rPr>
              <w:rFonts w:hint="default" w:ascii="Times New Roman" w:hAnsi="Times New Roman" w:cs="Times New Roman"/>
              <w:b/>
              <w:bCs/>
              <w:sz w:val="28"/>
              <w:szCs w:val="32"/>
            </w:rPr>
            <w:instrText xml:space="preserve"> HYPERLINK \l _Toc14433 </w:instrText>
          </w:r>
          <w:r>
            <w:rPr>
              <w:rFonts w:hint="default" w:ascii="Times New Roman" w:hAnsi="Times New Roman" w:cs="Times New Roman"/>
              <w:b/>
              <w:bCs/>
              <w:sz w:val="28"/>
              <w:szCs w:val="32"/>
            </w:rPr>
            <w:fldChar w:fldCharType="separate"/>
          </w:r>
          <w:r>
            <w:rPr>
              <w:rFonts w:hint="default" w:ascii="Times New Roman" w:hAnsi="Times New Roman" w:cs="Times New Roman"/>
              <w:b/>
              <w:bCs/>
              <w:sz w:val="28"/>
              <w:szCs w:val="32"/>
              <w:lang w:val="en-GB"/>
            </w:rPr>
            <w:t>6.附件及附图</w:t>
          </w:r>
          <w:r>
            <w:rPr>
              <w:b/>
              <w:bCs/>
              <w:sz w:val="28"/>
              <w:szCs w:val="32"/>
            </w:rPr>
            <w:tab/>
          </w:r>
          <w:r>
            <w:rPr>
              <w:b/>
              <w:bCs/>
              <w:sz w:val="28"/>
              <w:szCs w:val="32"/>
            </w:rPr>
            <w:fldChar w:fldCharType="begin"/>
          </w:r>
          <w:r>
            <w:rPr>
              <w:b/>
              <w:bCs/>
              <w:sz w:val="28"/>
              <w:szCs w:val="32"/>
            </w:rPr>
            <w:instrText xml:space="preserve"> PAGEREF _Toc14433 \h </w:instrText>
          </w:r>
          <w:r>
            <w:rPr>
              <w:b/>
              <w:bCs/>
              <w:sz w:val="28"/>
              <w:szCs w:val="32"/>
            </w:rPr>
            <w:fldChar w:fldCharType="separate"/>
          </w:r>
          <w:r>
            <w:rPr>
              <w:b/>
              <w:bCs/>
              <w:sz w:val="28"/>
              <w:szCs w:val="32"/>
            </w:rPr>
            <w:t>128</w:t>
          </w:r>
          <w:r>
            <w:rPr>
              <w:b/>
              <w:bCs/>
              <w:sz w:val="28"/>
              <w:szCs w:val="32"/>
            </w:rPr>
            <w:fldChar w:fldCharType="end"/>
          </w:r>
          <w:r>
            <w:rPr>
              <w:rFonts w:hint="default" w:ascii="Times New Roman" w:hAnsi="Times New Roman" w:cs="Times New Roman"/>
              <w:b/>
              <w:bCs/>
              <w:color w:val="000000" w:themeColor="text1"/>
              <w:sz w:val="28"/>
              <w:szCs w:val="32"/>
              <w14:textFill>
                <w14:solidFill>
                  <w14:schemeClr w14:val="tx1"/>
                </w14:solidFill>
              </w14:textFill>
            </w:rPr>
            <w:fldChar w:fldCharType="end"/>
          </w:r>
        </w:p>
        <w:p w14:paraId="6974A125">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_Toc23929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6.1 附件</w:t>
          </w:r>
          <w:r>
            <w:rPr>
              <w:sz w:val="28"/>
              <w:szCs w:val="32"/>
            </w:rPr>
            <w:tab/>
          </w:r>
          <w:r>
            <w:rPr>
              <w:sz w:val="28"/>
              <w:szCs w:val="32"/>
            </w:rPr>
            <w:fldChar w:fldCharType="begin"/>
          </w:r>
          <w:r>
            <w:rPr>
              <w:sz w:val="28"/>
              <w:szCs w:val="32"/>
            </w:rPr>
            <w:instrText xml:space="preserve"> PAGEREF _Toc23929 \h </w:instrText>
          </w:r>
          <w:r>
            <w:rPr>
              <w:sz w:val="28"/>
              <w:szCs w:val="32"/>
            </w:rPr>
            <w:fldChar w:fldCharType="separate"/>
          </w:r>
          <w:r>
            <w:rPr>
              <w:sz w:val="28"/>
              <w:szCs w:val="32"/>
            </w:rPr>
            <w:t>128</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15B83245">
          <w:pPr>
            <w:pStyle w:val="27"/>
            <w:tabs>
              <w:tab w:val="right" w:leader="dot" w:pos="9185"/>
            </w:tabs>
            <w:rPr>
              <w:sz w:val="28"/>
              <w:szCs w:val="32"/>
            </w:rPr>
          </w:pPr>
          <w:r>
            <w:rPr>
              <w:rFonts w:hint="default" w:ascii="Times New Roman" w:hAnsi="Times New Roman" w:cs="Times New Roman"/>
              <w:color w:val="000000" w:themeColor="text1"/>
              <w:sz w:val="28"/>
              <w:szCs w:val="32"/>
              <w14:textFill>
                <w14:solidFill>
                  <w14:schemeClr w14:val="tx1"/>
                </w14:solidFill>
              </w14:textFill>
            </w:rPr>
            <w:fldChar w:fldCharType="begin"/>
          </w:r>
          <w:r>
            <w:rPr>
              <w:rFonts w:hint="default" w:ascii="Times New Roman" w:hAnsi="Times New Roman" w:cs="Times New Roman"/>
              <w:sz w:val="28"/>
              <w:szCs w:val="32"/>
            </w:rPr>
            <w:instrText xml:space="preserve"> HYPERLINK \l _Toc5155 </w:instrText>
          </w:r>
          <w:r>
            <w:rPr>
              <w:rFonts w:hint="default" w:ascii="Times New Roman" w:hAnsi="Times New Roman" w:cs="Times New Roman"/>
              <w:sz w:val="28"/>
              <w:szCs w:val="32"/>
            </w:rPr>
            <w:fldChar w:fldCharType="separate"/>
          </w:r>
          <w:r>
            <w:rPr>
              <w:rFonts w:hint="default" w:ascii="Times New Roman" w:hAnsi="Times New Roman" w:cs="Times New Roman"/>
              <w:bCs w:val="0"/>
              <w:sz w:val="28"/>
              <w:szCs w:val="32"/>
              <w:lang w:val="en-GB"/>
            </w:rPr>
            <w:t>6.2 附图</w:t>
          </w:r>
          <w:r>
            <w:rPr>
              <w:sz w:val="28"/>
              <w:szCs w:val="32"/>
            </w:rPr>
            <w:tab/>
          </w:r>
          <w:r>
            <w:rPr>
              <w:sz w:val="28"/>
              <w:szCs w:val="32"/>
            </w:rPr>
            <w:fldChar w:fldCharType="begin"/>
          </w:r>
          <w:r>
            <w:rPr>
              <w:sz w:val="28"/>
              <w:szCs w:val="32"/>
            </w:rPr>
            <w:instrText xml:space="preserve"> PAGEREF _Toc5155 \h </w:instrText>
          </w:r>
          <w:r>
            <w:rPr>
              <w:sz w:val="28"/>
              <w:szCs w:val="32"/>
            </w:rPr>
            <w:fldChar w:fldCharType="separate"/>
          </w:r>
          <w:r>
            <w:rPr>
              <w:sz w:val="28"/>
              <w:szCs w:val="32"/>
            </w:rPr>
            <w:t>128</w:t>
          </w:r>
          <w:r>
            <w:rPr>
              <w:sz w:val="28"/>
              <w:szCs w:val="32"/>
            </w:rPr>
            <w:fldChar w:fldCharType="end"/>
          </w:r>
          <w:r>
            <w:rPr>
              <w:rFonts w:hint="default" w:ascii="Times New Roman" w:hAnsi="Times New Roman" w:cs="Times New Roman"/>
              <w:color w:val="000000" w:themeColor="text1"/>
              <w:sz w:val="28"/>
              <w:szCs w:val="32"/>
              <w14:textFill>
                <w14:solidFill>
                  <w14:schemeClr w14:val="tx1"/>
                </w14:solidFill>
              </w14:textFill>
            </w:rPr>
            <w:fldChar w:fldCharType="end"/>
          </w:r>
        </w:p>
        <w:p w14:paraId="11C42B37">
          <w:pPr>
            <w:pageBreakBefore w:val="0"/>
            <w:kinsoku/>
            <w:wordWrap/>
            <w:bidi w:val="0"/>
            <w:adjustRightInd w:val="0"/>
            <w:snapToGrid w:val="0"/>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8"/>
              <w:szCs w:val="32"/>
              <w14:textFill>
                <w14:solidFill>
                  <w14:schemeClr w14:val="tx1"/>
                </w14:solidFill>
              </w14:textFill>
            </w:rPr>
            <w:fldChar w:fldCharType="end"/>
          </w:r>
        </w:p>
      </w:sdtContent>
    </w:sdt>
    <w:p w14:paraId="0BBD407D">
      <w:pPr>
        <w:pageBreakBefore w:val="0"/>
        <w:kinsoku/>
        <w:wordWrap/>
        <w:bidi w:val="0"/>
        <w:adjustRightInd w:val="0"/>
        <w:snapToGrid w:val="0"/>
        <w:spacing w:line="360" w:lineRule="auto"/>
        <w:rPr>
          <w:rFonts w:hint="default" w:ascii="Times New Roman" w:hAnsi="Times New Roman" w:eastAsia="宋体" w:cs="Times New Roman"/>
          <w:color w:val="000000" w:themeColor="text1"/>
          <w:lang w:val="en-GB"/>
          <w14:textFill>
            <w14:solidFill>
              <w14:schemeClr w14:val="tx1"/>
            </w14:solidFill>
          </w14:textFill>
        </w:rPr>
        <w:sectPr>
          <w:footerReference r:id="rId5" w:type="default"/>
          <w:pgSz w:w="11906" w:h="16838"/>
          <w:pgMar w:top="1417" w:right="1134" w:bottom="1134" w:left="1587" w:header="851" w:footer="992" w:gutter="0"/>
          <w:pgNumType w:fmt="upperRoman" w:start="1"/>
          <w:cols w:space="0" w:num="1"/>
          <w:rtlGutter w:val="0"/>
          <w:docGrid w:type="lines" w:linePitch="312" w:charSpace="0"/>
        </w:sectPr>
      </w:pPr>
    </w:p>
    <w:p w14:paraId="60F0872D">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14" w:name="_Toc23388"/>
      <w:bookmarkStart w:id="15" w:name="_Toc13244"/>
      <w:r>
        <w:rPr>
          <w:rFonts w:hint="default" w:ascii="Times New Roman" w:hAnsi="Times New Roman" w:cs="Times New Roman"/>
          <w:b/>
          <w:bCs w:val="0"/>
          <w:color w:val="000000" w:themeColor="text1"/>
          <w:lang w:val="en-GB"/>
          <w14:textFill>
            <w14:solidFill>
              <w14:schemeClr w14:val="tx1"/>
            </w14:solidFill>
          </w14:textFill>
        </w:rPr>
        <w:t>1.评价范围与依据</w:t>
      </w:r>
      <w:bookmarkEnd w:id="14"/>
      <w:bookmarkEnd w:id="15"/>
    </w:p>
    <w:p w14:paraId="502CF75C">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6" w:name="_Toc29923"/>
      <w:bookmarkStart w:id="17" w:name="_Toc26248"/>
      <w:r>
        <w:rPr>
          <w:rFonts w:hint="default" w:ascii="Times New Roman" w:hAnsi="Times New Roman" w:cs="Times New Roman"/>
          <w:b/>
          <w:bCs w:val="0"/>
          <w:color w:val="000000" w:themeColor="text1"/>
          <w:lang w:val="en-GB"/>
          <w14:textFill>
            <w14:solidFill>
              <w14:schemeClr w14:val="tx1"/>
            </w14:solidFill>
          </w14:textFill>
        </w:rPr>
        <w:t>1.1评价对象和范围</w:t>
      </w:r>
      <w:bookmarkEnd w:id="16"/>
      <w:bookmarkEnd w:id="17"/>
    </w:p>
    <w:p w14:paraId="639462A6">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1.1.1 评价对象</w:t>
      </w:r>
    </w:p>
    <w:p w14:paraId="208F321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根据《中华人民共和国安全生产法》（中华人民共和国主席令第88号，2021年6月10日第十三届全国人民代表大会常务委员会第二十九次会议《关于修改〈中华人民共和国安全生产法〉的决定》第三次修正，自2021年9月1日起施行）、《金属非金属矿山建设项目安全设施目录（试行）》（国家安全监管总局令第75号）和其他有关法律法规的规定，评价对象为鹤庆县河底普通建筑材料用</w:t>
      </w:r>
      <w:r>
        <w:rPr>
          <w:rFonts w:hint="default" w:ascii="Times New Roman" w:hAnsi="Times New Roman" w:eastAsia="宋体" w:cs="Times New Roman"/>
          <w:color w:val="000000" w:themeColor="text1"/>
          <w:sz w:val="28"/>
          <w:szCs w:val="28"/>
          <w:lang w:val="en-GB" w:eastAsia="zh-CN"/>
          <w14:textFill>
            <w14:solidFill>
              <w14:schemeClr w14:val="tx1"/>
            </w14:solidFill>
          </w14:textFill>
        </w:rPr>
        <w:t>石灰岩矿80万t/a露天采矿</w:t>
      </w:r>
      <w:r>
        <w:rPr>
          <w:rFonts w:hint="default" w:ascii="Times New Roman" w:hAnsi="Times New Roman" w:eastAsia="宋体" w:cs="Times New Roman"/>
          <w:color w:val="000000" w:themeColor="text1"/>
          <w:sz w:val="28"/>
          <w:szCs w:val="28"/>
          <w:lang w:val="en-GB"/>
          <w14:textFill>
            <w14:solidFill>
              <w14:schemeClr w14:val="tx1"/>
            </w14:solidFill>
          </w14:textFill>
        </w:rPr>
        <w:t>工程及公用辅助设施。</w:t>
      </w:r>
    </w:p>
    <w:p w14:paraId="50B2DCF2">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1.1.2 评价范围</w:t>
      </w:r>
    </w:p>
    <w:p w14:paraId="4307CBCA">
      <w:pPr>
        <w:pageBreakBefore w:val="0"/>
        <w:kinsoku/>
        <w:wordWrap/>
        <w:bidi w:val="0"/>
        <w:adjustRightInd w:val="0"/>
        <w:snapToGrid w:val="0"/>
        <w:spacing w:line="360" w:lineRule="auto"/>
        <w:ind w:firstLine="562" w:firstLineChars="200"/>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1、采矿证范围</w:t>
      </w:r>
    </w:p>
    <w:p w14:paraId="4F43231A">
      <w:pPr>
        <w:pageBreakBefore w:val="0"/>
        <w:kinsoku/>
        <w:wordWrap/>
        <w:bidi w:val="0"/>
        <w:adjustRightInd w:val="0"/>
        <w:snapToGrid w:val="0"/>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鹤庆县河底普通建筑材料用石灰岩矿</w:t>
      </w:r>
      <w:r>
        <w:rPr>
          <w:rFonts w:hint="default" w:ascii="Times New Roman" w:hAnsi="Times New Roman" w:cs="Times New Roman"/>
          <w:color w:val="000000" w:themeColor="text1"/>
          <w:sz w:val="28"/>
          <w:szCs w:val="28"/>
          <w14:textFill>
            <w14:solidFill>
              <w14:schemeClr w14:val="tx1"/>
            </w14:solidFill>
          </w14:textFill>
        </w:rPr>
        <w:t>于2022年12月21日由鹤庆县自然资源局重新核发了采矿许可证，证号：C5329322022127150154465，有效期限为2022年12月21日至2032年12月20日，开采矿种：建筑石料用灰岩；开采方式：露天开采；生产规模：80万t/a；开采深度：2520m—2420m标高，矿区面积：0.1027km</w:t>
      </w:r>
      <w:r>
        <w:rPr>
          <w:rFonts w:hint="default" w:ascii="Times New Roman" w:hAnsi="Times New Roman" w:cs="Times New Roman"/>
          <w:color w:val="000000" w:themeColor="text1"/>
          <w:sz w:val="28"/>
          <w:szCs w:val="28"/>
          <w:vertAlign w:val="superscript"/>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，由10个拐点圈定，矿区范围拐点坐标详见表1.1-1</w:t>
      </w:r>
    </w:p>
    <w:p w14:paraId="15167EA9">
      <w:pPr>
        <w:pStyle w:val="6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表1.1-1</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矿区范围</w:t>
      </w:r>
      <w:r>
        <w:rPr>
          <w:rFonts w:hint="default" w:ascii="Times New Roman" w:hAnsi="Times New Roman" w:cs="Times New Roman"/>
          <w:bCs/>
          <w:color w:val="000000" w:themeColor="text1"/>
          <w:sz w:val="24"/>
          <w:szCs w:val="24"/>
          <w14:textFill>
            <w14:solidFill>
              <w14:schemeClr w14:val="tx1"/>
            </w14:solidFill>
          </w14:textFill>
        </w:rPr>
        <w:t>拐点坐标表</w:t>
      </w:r>
    </w:p>
    <w:tbl>
      <w:tblPr>
        <w:tblStyle w:val="32"/>
        <w:tblW w:w="5000" w:type="pct"/>
        <w:tblInd w:w="0" w:type="dxa"/>
        <w:tblLayout w:type="autofit"/>
        <w:tblCellMar>
          <w:top w:w="0" w:type="dxa"/>
          <w:left w:w="108" w:type="dxa"/>
          <w:bottom w:w="0" w:type="dxa"/>
          <w:right w:w="108" w:type="dxa"/>
        </w:tblCellMar>
      </w:tblPr>
      <w:tblGrid>
        <w:gridCol w:w="673"/>
        <w:gridCol w:w="2004"/>
        <w:gridCol w:w="2181"/>
        <w:gridCol w:w="2179"/>
        <w:gridCol w:w="2364"/>
      </w:tblGrid>
      <w:tr w14:paraId="61C85CAB">
        <w:tblPrEx>
          <w:tblCellMar>
            <w:top w:w="0" w:type="dxa"/>
            <w:left w:w="108" w:type="dxa"/>
            <w:bottom w:w="0" w:type="dxa"/>
            <w:right w:w="108" w:type="dxa"/>
          </w:tblCellMar>
        </w:tblPrEx>
        <w:trPr>
          <w:trHeight w:val="285" w:hRule="atLeast"/>
          <w:tblHead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Pr>
          <w:p w14:paraId="3E7AF59C">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矿区范围拐点坐标表</w:t>
            </w:r>
          </w:p>
        </w:tc>
      </w:tr>
      <w:tr w14:paraId="3BBADA24">
        <w:tblPrEx>
          <w:tblCellMar>
            <w:top w:w="0" w:type="dxa"/>
            <w:left w:w="108" w:type="dxa"/>
            <w:bottom w:w="0" w:type="dxa"/>
            <w:right w:w="108" w:type="dxa"/>
          </w:tblCellMar>
        </w:tblPrEx>
        <w:trPr>
          <w:trHeight w:val="220" w:hRule="atLeast"/>
          <w:tblHeader/>
        </w:trPr>
        <w:tc>
          <w:tcPr>
            <w:tcW w:w="3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2884F">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拐点编号</w:t>
            </w:r>
          </w:p>
        </w:tc>
        <w:tc>
          <w:tcPr>
            <w:tcW w:w="22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9EDBC">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2000坐标系</w:t>
            </w:r>
          </w:p>
        </w:tc>
        <w:tc>
          <w:tcPr>
            <w:tcW w:w="24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0782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1980坐标系</w:t>
            </w:r>
          </w:p>
        </w:tc>
      </w:tr>
      <w:tr w14:paraId="3E531A5E">
        <w:tblPrEx>
          <w:tblCellMar>
            <w:top w:w="0" w:type="dxa"/>
            <w:left w:w="108" w:type="dxa"/>
            <w:bottom w:w="0" w:type="dxa"/>
            <w:right w:w="108" w:type="dxa"/>
          </w:tblCellMar>
        </w:tblPrEx>
        <w:trPr>
          <w:trHeight w:val="210" w:hRule="atLeast"/>
          <w:tblHeader/>
        </w:trPr>
        <w:tc>
          <w:tcPr>
            <w:tcW w:w="3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CDE62">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E1FC">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X</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489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Y</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6468C">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X</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88469">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Y</w:t>
            </w:r>
          </w:p>
        </w:tc>
      </w:tr>
      <w:tr w14:paraId="46D8A1CB">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821C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矿1</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2A449">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2929435.41</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8E7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33615458.92</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8286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2929426.003</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48E8">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33615350.050</w:t>
            </w:r>
          </w:p>
        </w:tc>
      </w:tr>
      <w:tr w14:paraId="02C3719A">
        <w:tblPrEx>
          <w:tblCellMar>
            <w:top w:w="0" w:type="dxa"/>
            <w:left w:w="108" w:type="dxa"/>
            <w:bottom w:w="0" w:type="dxa"/>
            <w:right w:w="108" w:type="dxa"/>
          </w:tblCellMar>
        </w:tblPrEx>
        <w:trPr>
          <w:trHeight w:val="22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2F28">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矿2</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67625">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2929540.19</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E770">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33615284.12</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F0D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2929530.785</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C1F55">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33615175.258</w:t>
            </w:r>
          </w:p>
        </w:tc>
      </w:tr>
      <w:tr w14:paraId="62EDC649">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9E82E">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矿3</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B1DA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2929606.65</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3E60">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33615207.95</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0C4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2929597.243</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6354">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33615099.090</w:t>
            </w:r>
          </w:p>
        </w:tc>
      </w:tr>
      <w:tr w14:paraId="2E2B41D5">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935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矿4</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C35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2929710.41</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007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33615134.60</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9CA9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2929701.004</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61B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33615025.740</w:t>
            </w:r>
          </w:p>
        </w:tc>
      </w:tr>
      <w:tr w14:paraId="4258E8DA">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7DC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矿5</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A9ABC">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2929908.91</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774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33615075.87</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E775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2929899.499</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54B8">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33614967.010</w:t>
            </w:r>
          </w:p>
        </w:tc>
      </w:tr>
      <w:tr w14:paraId="39D80495">
        <w:tblPrEx>
          <w:tblCellMar>
            <w:top w:w="0" w:type="dxa"/>
            <w:left w:w="108" w:type="dxa"/>
            <w:bottom w:w="0" w:type="dxa"/>
            <w:right w:w="108" w:type="dxa"/>
          </w:tblCellMar>
        </w:tblPrEx>
        <w:trPr>
          <w:trHeight w:val="22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32E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矿6</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3ED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2929975.18</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9AE9">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33615178.01</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C7C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2929965.773</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A3300">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33615069.150</w:t>
            </w:r>
          </w:p>
        </w:tc>
      </w:tr>
      <w:tr w14:paraId="2BE50184">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B99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矿7</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36D5">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2929961.12</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A6566">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33615251.06</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3D14">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2929951.708</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E4474">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33615142.200</w:t>
            </w:r>
          </w:p>
        </w:tc>
      </w:tr>
      <w:tr w14:paraId="250E7CA3">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F3A82">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矿8</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D89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2929929.12</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DAF3">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33615294.74</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8E79">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2929919.705</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C0003">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33615185.880</w:t>
            </w:r>
          </w:p>
        </w:tc>
      </w:tr>
      <w:tr w14:paraId="045E9C7C">
        <w:tblPrEx>
          <w:tblCellMar>
            <w:top w:w="0" w:type="dxa"/>
            <w:left w:w="108" w:type="dxa"/>
            <w:bottom w:w="0" w:type="dxa"/>
            <w:right w:w="108" w:type="dxa"/>
          </w:tblCellMar>
        </w:tblPrEx>
        <w:trPr>
          <w:trHeight w:val="22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3A92">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矿9</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E8A0">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2929839.45</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307B7">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33615340.54</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02A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2929830.043</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28FF">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33615231.680</w:t>
            </w:r>
          </w:p>
        </w:tc>
      </w:tr>
      <w:tr w14:paraId="4F6054CF">
        <w:tblPrEx>
          <w:tblCellMar>
            <w:top w:w="0" w:type="dxa"/>
            <w:left w:w="108" w:type="dxa"/>
            <w:bottom w:w="0" w:type="dxa"/>
            <w:right w:w="108" w:type="dxa"/>
          </w:tblCellMar>
        </w:tblPrEx>
        <w:trPr>
          <w:trHeight w:val="21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A97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矿10</w:t>
            </w:r>
          </w:p>
        </w:tc>
        <w:tc>
          <w:tcPr>
            <w:tcW w:w="1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0DC2">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2929599.87</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6C22">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33615427.22</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222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2929590.464</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D432B">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33615318.350</w:t>
            </w:r>
          </w:p>
        </w:tc>
      </w:tr>
      <w:tr w14:paraId="67CA349B">
        <w:tblPrEx>
          <w:tblCellMar>
            <w:top w:w="0" w:type="dxa"/>
            <w:left w:w="108" w:type="dxa"/>
            <w:bottom w:w="0" w:type="dxa"/>
            <w:right w:w="108" w:type="dxa"/>
          </w:tblCellMar>
        </w:tblPrEx>
        <w:trPr>
          <w:trHeight w:val="210" w:hRule="atLeast"/>
        </w:trPr>
        <w:tc>
          <w:tcPr>
            <w:tcW w:w="14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B7ECA">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矿区面积</w:t>
            </w:r>
          </w:p>
        </w:tc>
        <w:tc>
          <w:tcPr>
            <w:tcW w:w="35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45BB1">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0.1027km²</w:t>
            </w:r>
          </w:p>
        </w:tc>
      </w:tr>
      <w:tr w14:paraId="36B68D88">
        <w:tblPrEx>
          <w:tblCellMar>
            <w:top w:w="0" w:type="dxa"/>
            <w:left w:w="108" w:type="dxa"/>
            <w:bottom w:w="0" w:type="dxa"/>
            <w:right w:w="108" w:type="dxa"/>
          </w:tblCellMar>
        </w:tblPrEx>
        <w:trPr>
          <w:trHeight w:val="210" w:hRule="atLeast"/>
        </w:trPr>
        <w:tc>
          <w:tcPr>
            <w:tcW w:w="14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C799E">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开采标高</w:t>
            </w:r>
          </w:p>
        </w:tc>
        <w:tc>
          <w:tcPr>
            <w:tcW w:w="357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9F71A">
            <w:pPr>
              <w:pStyle w:val="65"/>
              <w:pageBreakBefore w:val="0"/>
              <w:kinsoku/>
              <w:wordWrap/>
              <w:bidi w:val="0"/>
              <w:adjustRightInd w:val="0"/>
              <w:snapToGrid w:val="0"/>
              <w:spacing w:line="360" w:lineRule="auto"/>
              <w:rPr>
                <w:rFonts w:hint="default" w:ascii="Times New Roman" w:hAnsi="Times New Roman" w:eastAsia="宋体" w:cs="Times New Roman"/>
                <w:b w:val="0"/>
                <w:color w:val="000000" w:themeColor="text1"/>
                <w:szCs w:val="21"/>
                <w14:textFill>
                  <w14:solidFill>
                    <w14:schemeClr w14:val="tx1"/>
                  </w14:solidFill>
                </w14:textFill>
              </w:rPr>
            </w:pPr>
            <w:r>
              <w:rPr>
                <w:rFonts w:hint="default" w:ascii="Times New Roman" w:hAnsi="Times New Roman" w:eastAsia="宋体" w:cs="Times New Roman"/>
                <w:b w:val="0"/>
                <w:color w:val="000000" w:themeColor="text1"/>
                <w:szCs w:val="21"/>
                <w14:textFill>
                  <w14:solidFill>
                    <w14:schemeClr w14:val="tx1"/>
                  </w14:solidFill>
                </w14:textFill>
              </w:rPr>
              <w:t>2520m—2420m</w:t>
            </w:r>
          </w:p>
        </w:tc>
      </w:tr>
    </w:tbl>
    <w:p w14:paraId="0E7A06CF">
      <w:pPr>
        <w:pageBreakBefore w:val="0"/>
        <w:numPr>
          <w:ilvl w:val="0"/>
          <w:numId w:val="4"/>
        </w:numPr>
        <w:kinsoku/>
        <w:wordWrap/>
        <w:bidi w:val="0"/>
        <w:adjustRightInd w:val="0"/>
        <w:snapToGrid w:val="0"/>
        <w:spacing w:before="312" w:beforeLines="100" w:line="360" w:lineRule="auto"/>
        <w:ind w:firstLine="562" w:firstLineChars="20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设计范围</w:t>
      </w:r>
    </w:p>
    <w:p w14:paraId="75E390C8">
      <w:pPr>
        <w:pageBreakBefore w:val="0"/>
        <w:kinsoku/>
        <w:wordWrap/>
        <w:bidi w:val="0"/>
        <w:adjustRightInd w:val="0"/>
        <w:snapToGrid w:val="0"/>
        <w:spacing w:line="360" w:lineRule="auto"/>
        <w:ind w:firstLine="560" w:firstLineChars="200"/>
        <w:rPr>
          <w:rFonts w:hint="default" w:ascii="Times New Roman" w:hAnsi="Times New Roman" w:cs="Times New Roman"/>
          <w:bCs/>
          <w:color w:val="000000" w:themeColor="text1"/>
          <w:sz w:val="28"/>
          <w:szCs w:val="28"/>
          <w14:textFill>
            <w14:solidFill>
              <w14:schemeClr w14:val="tx1"/>
            </w14:solidFill>
          </w14:textFill>
        </w:rPr>
      </w:pPr>
      <w:r>
        <w:rPr>
          <w:rFonts w:hint="default" w:ascii="Times New Roman" w:hAnsi="Times New Roman" w:cs="Times New Roman"/>
          <w:bCs/>
          <w:color w:val="000000" w:themeColor="text1"/>
          <w:sz w:val="28"/>
          <w:szCs w:val="28"/>
          <w14:textFill>
            <w14:solidFill>
              <w14:schemeClr w14:val="tx1"/>
            </w14:solidFill>
          </w14:textFill>
        </w:rPr>
        <w:t>设计开采范围依据矿山采矿许可证及资源储量估算范围（面积0.1027km</w:t>
      </w:r>
      <w:r>
        <w:rPr>
          <w:rFonts w:hint="default" w:ascii="Times New Roman" w:hAnsi="Times New Roman" w:cs="Times New Roman"/>
          <w:bCs/>
          <w:color w:val="000000" w:themeColor="text1"/>
          <w:sz w:val="28"/>
          <w:szCs w:val="28"/>
          <w:vertAlign w:val="superscript"/>
          <w14:textFill>
            <w14:solidFill>
              <w14:schemeClr w14:val="tx1"/>
            </w14:solidFill>
          </w14:textFill>
        </w:rPr>
        <w:t>2</w:t>
      </w:r>
      <w:r>
        <w:rPr>
          <w:rFonts w:hint="default" w:ascii="Times New Roman" w:hAnsi="Times New Roman" w:cs="Times New Roman"/>
          <w:bCs/>
          <w:color w:val="000000" w:themeColor="text1"/>
          <w:sz w:val="28"/>
          <w:szCs w:val="28"/>
          <w14:textFill>
            <w14:solidFill>
              <w14:schemeClr w14:val="tx1"/>
            </w14:solidFill>
          </w14:textFill>
        </w:rPr>
        <w:t>、开采标高2520m—2420m），根据规范要求，结合矿山周边环境，设计开采范围为：矿山距离东侧仙人洞采石场为287m，不满足《云政发〔2015〕38号文》要求，设计将靠近仙人洞采石场300m范围的区域设置为禁采区。设置禁采区后，矿山开采面积9.82万m2，开采标高2520~2420m。设计矿山采用爆破开采工艺，设计范围与采矿证许可范围一致，禁采区拐点坐标详见表1.1-2</w:t>
      </w:r>
    </w:p>
    <w:p w14:paraId="29F941CD">
      <w:pPr>
        <w:pStyle w:val="6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表1.1-2禁采区拐点坐标表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8"/>
        <w:gridCol w:w="3243"/>
        <w:gridCol w:w="3620"/>
      </w:tblGrid>
      <w:tr w14:paraId="29E3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vMerge w:val="restart"/>
            <w:shd w:val="clear" w:color="auto" w:fill="auto"/>
            <w:vAlign w:val="center"/>
          </w:tcPr>
          <w:p w14:paraId="29AC500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拐点</w:t>
            </w:r>
          </w:p>
          <w:p w14:paraId="4E43637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编号</w:t>
            </w:r>
          </w:p>
        </w:tc>
        <w:tc>
          <w:tcPr>
            <w:tcW w:w="3650" w:type="pct"/>
            <w:gridSpan w:val="2"/>
            <w:shd w:val="clear" w:color="auto" w:fill="auto"/>
            <w:vAlign w:val="center"/>
          </w:tcPr>
          <w:p w14:paraId="06C37E4B">
            <w:pPr>
              <w:pageBreakBefore w:val="0"/>
              <w:kinsoku/>
              <w:wordWrap/>
              <w:bidi w:val="0"/>
              <w:adjustRightInd w:val="0"/>
              <w:snapToGrid w:val="0"/>
              <w:spacing w:line="360" w:lineRule="auto"/>
              <w:jc w:val="center"/>
              <w:rPr>
                <w:rFonts w:hint="default" w:ascii="Times New Roman" w:hAnsi="Times New Roman" w:eastAsia="等线" w:cs="Times New Roman"/>
                <w:szCs w:val="21"/>
              </w:rPr>
            </w:pPr>
            <w:r>
              <w:rPr>
                <w:rFonts w:hint="default" w:ascii="Times New Roman" w:hAnsi="Times New Roman" w:eastAsia="等线" w:cs="Times New Roman"/>
                <w:szCs w:val="21"/>
              </w:rPr>
              <w:t>2000</w:t>
            </w:r>
            <w:r>
              <w:rPr>
                <w:rFonts w:hint="default" w:ascii="Times New Roman" w:hAnsi="Times New Roman" w:eastAsia="宋体" w:cs="Times New Roman"/>
                <w:szCs w:val="21"/>
              </w:rPr>
              <w:t>坐标系</w:t>
            </w:r>
          </w:p>
        </w:tc>
      </w:tr>
      <w:tr w14:paraId="161A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vMerge w:val="continue"/>
            <w:shd w:val="clear" w:color="auto" w:fill="auto"/>
            <w:vAlign w:val="center"/>
          </w:tcPr>
          <w:p w14:paraId="529945C2">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1725" w:type="pct"/>
            <w:shd w:val="clear" w:color="auto" w:fill="auto"/>
            <w:vAlign w:val="center"/>
          </w:tcPr>
          <w:p w14:paraId="24E0F5AF">
            <w:pPr>
              <w:pageBreakBefore w:val="0"/>
              <w:kinsoku/>
              <w:wordWrap/>
              <w:bidi w:val="0"/>
              <w:adjustRightInd w:val="0"/>
              <w:snapToGrid w:val="0"/>
              <w:spacing w:line="360" w:lineRule="auto"/>
              <w:jc w:val="center"/>
              <w:rPr>
                <w:rFonts w:hint="default" w:ascii="Times New Roman" w:hAnsi="Times New Roman" w:eastAsia="等线" w:cs="Times New Roman"/>
                <w:szCs w:val="21"/>
              </w:rPr>
            </w:pPr>
            <w:r>
              <w:rPr>
                <w:rFonts w:hint="default" w:ascii="Times New Roman" w:hAnsi="Times New Roman" w:eastAsia="等线" w:cs="Times New Roman"/>
                <w:szCs w:val="21"/>
              </w:rPr>
              <w:t>X</w:t>
            </w:r>
          </w:p>
        </w:tc>
        <w:tc>
          <w:tcPr>
            <w:tcW w:w="1925" w:type="pct"/>
            <w:shd w:val="clear" w:color="auto" w:fill="auto"/>
            <w:vAlign w:val="center"/>
          </w:tcPr>
          <w:p w14:paraId="31A2C012">
            <w:pPr>
              <w:pageBreakBefore w:val="0"/>
              <w:kinsoku/>
              <w:wordWrap/>
              <w:bidi w:val="0"/>
              <w:adjustRightInd w:val="0"/>
              <w:snapToGrid w:val="0"/>
              <w:spacing w:line="360" w:lineRule="auto"/>
              <w:jc w:val="center"/>
              <w:rPr>
                <w:rFonts w:hint="default" w:ascii="Times New Roman" w:hAnsi="Times New Roman" w:eastAsia="等线" w:cs="Times New Roman"/>
                <w:szCs w:val="21"/>
              </w:rPr>
            </w:pPr>
            <w:r>
              <w:rPr>
                <w:rFonts w:hint="default" w:ascii="Times New Roman" w:hAnsi="Times New Roman" w:eastAsia="等线" w:cs="Times New Roman"/>
                <w:szCs w:val="21"/>
              </w:rPr>
              <w:t>Y</w:t>
            </w:r>
          </w:p>
        </w:tc>
      </w:tr>
      <w:tr w14:paraId="73BD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178B0AA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1725" w:type="pct"/>
            <w:shd w:val="clear" w:color="auto" w:fill="auto"/>
            <w:noWrap/>
            <w:vAlign w:val="center"/>
          </w:tcPr>
          <w:p w14:paraId="4CF1A50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2929535.3</w:t>
            </w:r>
          </w:p>
        </w:tc>
        <w:tc>
          <w:tcPr>
            <w:tcW w:w="1925" w:type="pct"/>
            <w:shd w:val="clear" w:color="auto" w:fill="auto"/>
            <w:noWrap/>
            <w:vAlign w:val="center"/>
          </w:tcPr>
          <w:p w14:paraId="744A79E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33615439.67</w:t>
            </w:r>
          </w:p>
        </w:tc>
      </w:tr>
      <w:tr w14:paraId="0A99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0158F02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1725" w:type="pct"/>
            <w:shd w:val="clear" w:color="auto" w:fill="auto"/>
            <w:noWrap/>
            <w:vAlign w:val="center"/>
          </w:tcPr>
          <w:p w14:paraId="03BB3E1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2929599.87</w:t>
            </w:r>
          </w:p>
        </w:tc>
        <w:tc>
          <w:tcPr>
            <w:tcW w:w="1925" w:type="pct"/>
            <w:shd w:val="clear" w:color="auto" w:fill="auto"/>
            <w:noWrap/>
            <w:vAlign w:val="center"/>
          </w:tcPr>
          <w:p w14:paraId="09B7A4F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33615427.22</w:t>
            </w:r>
          </w:p>
        </w:tc>
      </w:tr>
      <w:tr w14:paraId="76E0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0C2829C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c>
          <w:tcPr>
            <w:tcW w:w="1725" w:type="pct"/>
            <w:shd w:val="clear" w:color="auto" w:fill="auto"/>
            <w:noWrap/>
            <w:vAlign w:val="center"/>
          </w:tcPr>
          <w:p w14:paraId="184EC0F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2929839.45</w:t>
            </w:r>
          </w:p>
        </w:tc>
        <w:tc>
          <w:tcPr>
            <w:tcW w:w="1925" w:type="pct"/>
            <w:shd w:val="clear" w:color="auto" w:fill="auto"/>
            <w:noWrap/>
            <w:vAlign w:val="center"/>
          </w:tcPr>
          <w:p w14:paraId="1EF5665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33615340.54</w:t>
            </w:r>
          </w:p>
        </w:tc>
      </w:tr>
      <w:tr w14:paraId="3024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7AE7118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1725" w:type="pct"/>
            <w:shd w:val="clear" w:color="auto" w:fill="auto"/>
            <w:noWrap/>
            <w:vAlign w:val="center"/>
          </w:tcPr>
          <w:p w14:paraId="360207D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2929929.12</w:t>
            </w:r>
          </w:p>
        </w:tc>
        <w:tc>
          <w:tcPr>
            <w:tcW w:w="1925" w:type="pct"/>
            <w:shd w:val="clear" w:color="auto" w:fill="auto"/>
            <w:noWrap/>
            <w:vAlign w:val="center"/>
          </w:tcPr>
          <w:p w14:paraId="0C9F60B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33615294.74</w:t>
            </w:r>
          </w:p>
        </w:tc>
      </w:tr>
      <w:tr w14:paraId="5831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62F1589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1725" w:type="pct"/>
            <w:shd w:val="clear" w:color="auto" w:fill="auto"/>
            <w:noWrap/>
            <w:vAlign w:val="center"/>
          </w:tcPr>
          <w:p w14:paraId="5D72F68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2929930.52</w:t>
            </w:r>
          </w:p>
        </w:tc>
        <w:tc>
          <w:tcPr>
            <w:tcW w:w="1925" w:type="pct"/>
            <w:shd w:val="clear" w:color="auto" w:fill="auto"/>
            <w:noWrap/>
            <w:vAlign w:val="center"/>
          </w:tcPr>
          <w:p w14:paraId="543737E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33615292.83</w:t>
            </w:r>
          </w:p>
        </w:tc>
      </w:tr>
      <w:tr w14:paraId="57D0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50" w:type="pct"/>
            <w:shd w:val="clear" w:color="auto" w:fill="auto"/>
            <w:noWrap/>
            <w:vAlign w:val="center"/>
          </w:tcPr>
          <w:p w14:paraId="7CE47E6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面积</w:t>
            </w:r>
          </w:p>
        </w:tc>
        <w:tc>
          <w:tcPr>
            <w:tcW w:w="3650" w:type="pct"/>
            <w:gridSpan w:val="2"/>
            <w:shd w:val="clear" w:color="auto" w:fill="auto"/>
            <w:noWrap/>
            <w:vAlign w:val="center"/>
          </w:tcPr>
          <w:p w14:paraId="713FFB0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4104m</w:t>
            </w:r>
            <w:r>
              <w:rPr>
                <w:rFonts w:hint="default" w:ascii="Times New Roman" w:hAnsi="Times New Roman" w:eastAsia="宋体" w:cs="Times New Roman"/>
                <w:szCs w:val="21"/>
                <w:vertAlign w:val="superscript"/>
              </w:rPr>
              <w:t>2</w:t>
            </w:r>
          </w:p>
        </w:tc>
      </w:tr>
    </w:tbl>
    <w:p w14:paraId="5CA67240">
      <w:pPr>
        <w:pageBreakBefore w:val="0"/>
        <w:numPr>
          <w:ilvl w:val="0"/>
          <w:numId w:val="4"/>
        </w:numPr>
        <w:kinsoku/>
        <w:wordWrap/>
        <w:bidi w:val="0"/>
        <w:adjustRightInd w:val="0"/>
        <w:snapToGrid w:val="0"/>
        <w:spacing w:before="312" w:beforeLines="100" w:line="360" w:lineRule="auto"/>
        <w:ind w:firstLine="562" w:firstLineChars="20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评价范围</w:t>
      </w:r>
    </w:p>
    <w:p w14:paraId="03CB6297">
      <w:pPr>
        <w:pageBreakBefore w:val="0"/>
        <w:kinsoku/>
        <w:wordWrap/>
        <w:bidi w:val="0"/>
        <w:adjustRightInd w:val="0"/>
        <w:snapToGrid w:val="0"/>
        <w:spacing w:line="360" w:lineRule="auto"/>
        <w:ind w:firstLine="560" w:firstLineChars="200"/>
        <w:rPr>
          <w:rFonts w:hint="default" w:ascii="Times New Roman" w:hAnsi="Times New Roman" w:cs="Times New Roman"/>
          <w:bCs/>
          <w:color w:val="000000" w:themeColor="text1"/>
          <w:sz w:val="28"/>
          <w:szCs w:val="28"/>
          <w14:textFill>
            <w14:solidFill>
              <w14:schemeClr w14:val="tx1"/>
            </w14:solidFill>
          </w14:textFill>
        </w:rPr>
      </w:pPr>
      <w:r>
        <w:rPr>
          <w:rFonts w:hint="default" w:ascii="Times New Roman" w:hAnsi="Times New Roman" w:cs="Times New Roman"/>
          <w:bCs/>
          <w:color w:val="000000" w:themeColor="text1"/>
          <w:sz w:val="28"/>
          <w:szCs w:val="28"/>
          <w14:textFill>
            <w14:solidFill>
              <w14:schemeClr w14:val="tx1"/>
            </w14:solidFill>
          </w14:textFill>
        </w:rPr>
        <w:t>根据《鹤庆县河底普通建筑材料用石灰岩矿80万t/a露天采矿工程初步设计》评价范围为</w:t>
      </w:r>
      <w:r>
        <w:rPr>
          <w:rFonts w:hint="default" w:ascii="Times New Roman" w:hAnsi="Times New Roman" w:cs="Times New Roman"/>
          <w:color w:val="000000" w:themeColor="text1"/>
          <w:sz w:val="28"/>
          <w:szCs w:val="36"/>
          <w14:textFill>
            <w14:solidFill>
              <w14:schemeClr w14:val="tx1"/>
            </w14:solidFill>
          </w14:textFill>
        </w:rPr>
        <w:t>矿山</w:t>
      </w:r>
      <w:r>
        <w:rPr>
          <w:rFonts w:hint="default" w:ascii="Times New Roman" w:hAnsi="Times New Roman" w:cs="Times New Roman"/>
          <w:bCs/>
          <w:color w:val="000000" w:themeColor="text1"/>
          <w:sz w:val="28"/>
          <w:szCs w:val="28"/>
          <w14:textFill>
            <w14:solidFill>
              <w14:schemeClr w14:val="tx1"/>
            </w14:solidFill>
          </w14:textFill>
        </w:rPr>
        <w:t>总平面布置、开拓运输、采矿工艺、防排水及周边环境等方面的安全设施及安全管理。预评价范围与设计范围一致。</w:t>
      </w:r>
    </w:p>
    <w:p w14:paraId="675D473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本次评价范围不包括</w:t>
      </w:r>
      <w:r>
        <w:rPr>
          <w:rFonts w:hint="default" w:ascii="Times New Roman" w:hAnsi="Times New Roman" w:cs="Times New Roman"/>
          <w:bCs/>
          <w:color w:val="000000" w:themeColor="text1"/>
          <w:sz w:val="28"/>
          <w:szCs w:val="28"/>
          <w14:textFill>
            <w14:solidFill>
              <w14:schemeClr w14:val="tx1"/>
            </w14:solidFill>
          </w14:textFill>
        </w:rPr>
        <w:t>破碎站、爆破器材储存及运输、矿山加油设施、供配电设施、职业病及防治、环保、地质灾害评估问题。但评价报告中会涉及相关内容，企业应执行国家相关法律、法规、标准和规范要求</w:t>
      </w:r>
      <w:r>
        <w:rPr>
          <w:rFonts w:hint="default" w:ascii="Times New Roman" w:hAnsi="Times New Roman" w:eastAsia="宋体" w:cs="Times New Roman"/>
          <w:color w:val="000000" w:themeColor="text1"/>
          <w:sz w:val="28"/>
          <w:szCs w:val="28"/>
          <w:lang w:val="en-GB"/>
          <w14:textFill>
            <w14:solidFill>
              <w14:schemeClr w14:val="tx1"/>
            </w14:solidFill>
          </w14:textFill>
        </w:rPr>
        <w:t>。</w:t>
      </w:r>
    </w:p>
    <w:p w14:paraId="504CA649">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8" w:name="_Toc17516"/>
      <w:bookmarkStart w:id="19" w:name="_Toc8589"/>
      <w:r>
        <w:rPr>
          <w:rFonts w:hint="default" w:ascii="Times New Roman" w:hAnsi="Times New Roman" w:cs="Times New Roman"/>
          <w:b/>
          <w:bCs w:val="0"/>
          <w:color w:val="000000" w:themeColor="text1"/>
          <w:lang w:val="en-GB"/>
          <w14:textFill>
            <w14:solidFill>
              <w14:schemeClr w14:val="tx1"/>
            </w14:solidFill>
          </w14:textFill>
        </w:rPr>
        <w:t>1.2 评价依据</w:t>
      </w:r>
      <w:bookmarkEnd w:id="18"/>
      <w:bookmarkEnd w:id="19"/>
    </w:p>
    <w:p w14:paraId="66CE0EE8">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1.2.1 法律法规</w:t>
      </w:r>
    </w:p>
    <w:p w14:paraId="598482DA">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1.2.1.1 法律</w:t>
      </w:r>
    </w:p>
    <w:p w14:paraId="6311645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中华人民共和国矿产资源法》（中华人民共和国主席令36号公布，1986年10月1日施行，根据1996年8月29日第八届全国人民代表大会常务委员会第二十一次会议《关于修改〈中华人民共和国矿产资源法〉的决定》第一次修正，根据2009年8月27日第十一届全国人民代表大会常务委员会第十次会议第二次修正）；</w:t>
      </w:r>
    </w:p>
    <w:p w14:paraId="73EB766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（2）《中华人民共和国矿山安全法》（中华人民共和国主席令第</w:t>
      </w:r>
      <w:r>
        <w:rPr>
          <w:rFonts w:hint="default" w:ascii="Times New Roman" w:hAnsi="Times New Roman" w:eastAsia="宋体" w:cs="Times New Roman"/>
          <w:color w:val="000000" w:themeColor="text1"/>
          <w:sz w:val="28"/>
          <w:szCs w:val="28"/>
          <w14:textFill>
            <w14:solidFill>
              <w14:schemeClr w14:val="tx1"/>
            </w14:solidFill>
          </w14:textFill>
        </w:rPr>
        <w:t>88</w:t>
      </w:r>
      <w:r>
        <w:rPr>
          <w:rFonts w:hint="default" w:ascii="Times New Roman" w:hAnsi="Times New Roman" w:eastAsia="宋体" w:cs="Times New Roman"/>
          <w:color w:val="000000" w:themeColor="text1"/>
          <w:sz w:val="28"/>
          <w:szCs w:val="28"/>
          <w:lang w:val="en-GB"/>
          <w14:textFill>
            <w14:solidFill>
              <w14:schemeClr w14:val="tx1"/>
            </w14:solidFill>
          </w14:textFill>
        </w:rPr>
        <w:t>号发布，根据2009年8月27日中华人民共和国主席令第18号《全国人民代表大会常务委员会关于修改部分法律的决定》修正，自公布之日起施行）；</w:t>
      </w:r>
    </w:p>
    <w:p w14:paraId="6C78528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中华人民共和国劳动法》（1994年7月5日第八届全国人民代表大会常务委员会第八次会议通过，1994年7月5日中华人民共和国主席令第28号公布，1995年1月1日起施行，根据2009年8月27日第十一届全国人民代表大会常务委员会第十次会议《关于修改部分法律的决定》第一次修正，根据2018年12月29日第十三届全国人民代表大会常务委员会第七次会议《关于修改〈中华人民共和国劳动法〉等七部法律的决定》第二次修正）；</w:t>
      </w:r>
    </w:p>
    <w:p w14:paraId="3FAA915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（4）《中华人民共和国突发事件应对法》（中华人民共和国第十届全国人民代表大会常务委员会第二十九次会议于2007年8月30日通过，中华人民共和国主席令第69号公布，2007年11月1日起施行）；</w:t>
      </w:r>
    </w:p>
    <w:p w14:paraId="3995945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中华人民共和国消防法》（1998年4月29日第九届全国人民代表大会常务委员会第二次会议通过2008年10月28日第十一届全国人民代表大会常务委员会第五次会议修订根据2019年4月23日第十三届全国人民代表大会常务委员会第十次会议《关于修改〈中华人民共和国建筑 法〉等八部法律的决定》第一次修正根据2021年4月29日第十三届全国人民代表大会常务委员会第二十八次会议《关于修改〈中华人民共和国道路交通安全法〉等八部法律的决定》第二次修正）；</w:t>
      </w:r>
    </w:p>
    <w:p w14:paraId="2BE5B4D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中华人民共和国安全生产法》（中华人民共和国主席令第88号，2021年6月10日第十三届全国人民代表大会常务委员会第二十九次会议《关于修改〈中华人民共和国安全生产法〉的决定》第三次修正，自2021年9月1日起施行）；</w:t>
      </w:r>
    </w:p>
    <w:p w14:paraId="5640208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7</w:t>
      </w:r>
      <w:r>
        <w:rPr>
          <w:rFonts w:hint="default" w:ascii="Times New Roman" w:hAnsi="Times New Roman" w:eastAsia="宋体" w:cs="Times New Roman"/>
          <w:color w:val="000000" w:themeColor="text1"/>
          <w:sz w:val="28"/>
          <w:szCs w:val="28"/>
          <w:lang w:val="en-GB"/>
          <w14:textFill>
            <w14:solidFill>
              <w14:schemeClr w14:val="tx1"/>
            </w14:solidFill>
          </w14:textFill>
        </w:rPr>
        <w:t>）《中华人民共和国特种设备安全法》（中华人民共和国主席令第4号，2014年1月1日起施行）；</w:t>
      </w:r>
    </w:p>
    <w:p w14:paraId="33D4B42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）《中华人民共和国环境保护法》（中华人民共和国主席令第9号，2015年1月1日起施行）；</w:t>
      </w:r>
    </w:p>
    <w:p w14:paraId="3AD2832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中华人民共和国职业病防治法》（中华人民共和国主席令第60号公布，2002年5月1日起施行，2018年12月29日第十三届全国人民代表大会常务委员会第七次会议《关于修改等七部法律的决定》第四次修正，2018年12月30日起施行）。</w:t>
      </w:r>
    </w:p>
    <w:p w14:paraId="7BC89FC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10</w:t>
      </w:r>
      <w:r>
        <w:rPr>
          <w:rFonts w:hint="default" w:ascii="Times New Roman" w:hAnsi="Times New Roman" w:eastAsia="宋体" w:cs="Times New Roman"/>
          <w:color w:val="000000" w:themeColor="text1"/>
          <w:sz w:val="28"/>
          <w:szCs w:val="28"/>
          <w:lang w:val="en-GB"/>
          <w14:textFill>
            <w14:solidFill>
              <w14:schemeClr w14:val="tx1"/>
            </w14:solidFill>
          </w14:textFill>
        </w:rPr>
        <w:t>）《中华人民共和国公路法》（2017年11月4日第十二届全国人民代表大会常务委员会第三十次会议修改通过，中华人民共和国主席令第81号发布，自2017年11月5日施行）；</w:t>
      </w:r>
    </w:p>
    <w:p w14:paraId="6473AAA3">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1.2.1.2 法规</w:t>
      </w:r>
    </w:p>
    <w:p w14:paraId="7B845AB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（1）《中华人民共和国矿山安全法实施条例》（1996年10月30日，中华人民共和国劳动部令第4号发布，自发布之日起施行）；</w:t>
      </w:r>
    </w:p>
    <w:p w14:paraId="75D9056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（2）《安全生产许可证条例》（中华人民共和国国务院令第653号，根据2014年7月29日《国务院关于修改部分行政法规的决定》第二次修订）；</w:t>
      </w:r>
    </w:p>
    <w:p w14:paraId="7815BE5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（3）《建设工程安全生产管理条例》（中华人民共和国国务院令第393号，2004年2月1日起施行）；</w:t>
      </w:r>
    </w:p>
    <w:p w14:paraId="4EAABA0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（4）《地质灾害防治条例》（中华人民共和国国务院令第394号，2004年3月1日起施行）；</w:t>
      </w:r>
    </w:p>
    <w:p w14:paraId="10CC388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（5）《生产安全事故报告和调查处理条例》（国务院493号令，2007年6月1日起施行）；</w:t>
      </w:r>
    </w:p>
    <w:p w14:paraId="3371F7D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（6）《特种设备安全监察条例》（中华人民共和国国务院令第549号，2009年5月1日起施行）；</w:t>
      </w:r>
    </w:p>
    <w:p w14:paraId="2871A37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（7）《工伤保险条例》（中华人民共和国国务院令586号，2011年1月1日起施行）；</w:t>
      </w:r>
    </w:p>
    <w:p w14:paraId="67C4842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（8）《公路安全保护条例》（中华人民共和国国务院令第593号，2011年7月1日起施行）；</w:t>
      </w:r>
    </w:p>
    <w:p w14:paraId="6452DE9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）《生产安全事故应急条例》（中华人民共和国国务院令第708号，2019年4月1日起施行）；</w:t>
      </w:r>
    </w:p>
    <w:p w14:paraId="13ACD52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（10）《电力设施保护条例》（1987年9月15日国务院发布 根据1998年01月07日《国务院关于修改电力设施保护条例的决定》修订 根据2011年01月08日《国务院关于废止和修改部分行政法规的决定》第二次修订，1987年9月15日起施行）；</w:t>
      </w:r>
    </w:p>
    <w:p w14:paraId="655E65B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（11）《电力设施保护条例实施细则》（国家经济贸易委员会、中华人民共和国公安部发布，1999年3月18日起施行）。</w:t>
      </w:r>
    </w:p>
    <w:p w14:paraId="7F8BACDC">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1.2.1.3 部门规章及政府规范性文件</w:t>
      </w:r>
    </w:p>
    <w:p w14:paraId="12ED234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（1）《安全生产事故隐患排查治理暂行规定》（原国家安全生产监督管理总局令16号，2008年2月1日起施行）；</w:t>
      </w:r>
    </w:p>
    <w:p w14:paraId="422989B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（2）《国务院关于进一步加强企业安全生产的通知》（国发〔2010〕23号，2010年7月19日发布）；</w:t>
      </w:r>
    </w:p>
    <w:p w14:paraId="488AEA3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（3）《企业安全生产费用提取和使用管理办法》（财资〔2022〕136号，2022年11月21日公布实施）；</w:t>
      </w:r>
    </w:p>
    <w:p w14:paraId="7D544B3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（4）《国家安全监管总局关于印发金属非金属矿山建设项目安全评价报告编写提纲的通知》（安监总管一〔2016〕49号，2016年5月30日发布）；</w:t>
      </w:r>
    </w:p>
    <w:p w14:paraId="3646AB8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（5）《国家安全监管总局关于加快推进国家和区域矿山应急救援队建设的意见》（安监总应急50号，2012年4月12日发布）；</w:t>
      </w:r>
    </w:p>
    <w:p w14:paraId="25D5691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（6）《工作场所职业卫生监督管理规定》（国家安监总局令第47号，2012年6月1日起施行）；</w:t>
      </w:r>
    </w:p>
    <w:p w14:paraId="75F7546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（7）《国家安全监管总局《关于发布金属非金属矿山禁止使用的设备及工艺目录（第二批）的通知》（安监总管13号，2015年2月13日发布）；</w:t>
      </w:r>
    </w:p>
    <w:p w14:paraId="67DA30E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（8）《建设项目安全设施“三同时”监督管理办法》（2010年12月14日国家安全监管总局令第36号公布，自2011年2月1日起施行，根据2015年4月2日国家安全监管总局令第77号修改，自2015年5月1日起施行）；</w:t>
      </w:r>
    </w:p>
    <w:p w14:paraId="31CFB42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（9）《非煤矿矿山企业安全生产许可证实施办法》（2009年6月8日国家安全监管总局令第20号公布，自公布之日起施行，根据2015年5月26日国家安全监管总局令第78号修改，自2015年7月1日起施行）；</w:t>
      </w:r>
    </w:p>
    <w:p w14:paraId="74BAD1C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10</w:t>
      </w:r>
      <w:r>
        <w:rPr>
          <w:rFonts w:hint="default" w:ascii="Times New Roman" w:hAnsi="Times New Roman" w:eastAsia="宋体" w:cs="Times New Roman"/>
          <w:sz w:val="28"/>
          <w:szCs w:val="28"/>
          <w:lang w:val="en-GB"/>
        </w:rPr>
        <w:t>）《特种作业人员安全技术考核管理规定》（国家安全监管总局令第30号，2013年8月29日国家安全监管总局令第63号第一次修正，2015年5月29日国家安全监管总局令第80号第二次修正）；</w:t>
      </w:r>
    </w:p>
    <w:p w14:paraId="3D53C97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GB"/>
        </w:rPr>
        <w:t>）《安全生产培训管理办法》（2012年1月19日国家安全监管总局令第44号公布，自2012年3月1日起施行，2015年5月29日国家安全监管总局令第80号修订，自2015年7月1日起施行）；</w:t>
      </w:r>
    </w:p>
    <w:p w14:paraId="6E0FF53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GB"/>
        </w:rPr>
        <w:t>）《生产经营单位安全培训规定》（2006年1月17日原国家安全生产监督管理总局令第3号公布，自公布之日起施行，2015年5月29日原国家安全生产监督管理总局第80号令修订，自2015年7月1日起施行）；</w:t>
      </w:r>
    </w:p>
    <w:p w14:paraId="67CAC2B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（13）国家安全监管总局关于废止和修改非煤矿矿山领域九部规章的决定》（原国家安全生产监督管理总局令第78号，2015年7月1日起施行）；</w:t>
      </w:r>
    </w:p>
    <w:p w14:paraId="0B1DC13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4</w:t>
      </w:r>
      <w:r>
        <w:rPr>
          <w:rFonts w:hint="default" w:ascii="Times New Roman" w:hAnsi="Times New Roman" w:eastAsia="宋体" w:cs="Times New Roman"/>
          <w:sz w:val="28"/>
          <w:szCs w:val="28"/>
          <w:lang w:val="en-GB"/>
        </w:rPr>
        <w:t>）《国家安全监管总局关于废止和修改劳动防护用品和安全培训等领域十部规章的决定》（原国家安全生产监督管理总局令第80号，2015年7月1日起施行）；</w:t>
      </w:r>
    </w:p>
    <w:p w14:paraId="688DD98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lang w:val="en-GB"/>
        </w:rPr>
        <w:t>）《金属非金属矿山建设项目安全设施目录（试行）》（2015年3月16日原国家安全生产监督管理总局令第75号令公布，自2015年7月1日起施行）；</w:t>
      </w:r>
    </w:p>
    <w:p w14:paraId="37AE95B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16</w:t>
      </w:r>
      <w:r>
        <w:rPr>
          <w:rFonts w:hint="default" w:ascii="Times New Roman" w:hAnsi="Times New Roman" w:eastAsia="宋体" w:cs="Times New Roman"/>
          <w:sz w:val="28"/>
          <w:szCs w:val="28"/>
          <w:lang w:val="en-GB"/>
        </w:rPr>
        <w:t>）《国家安全监管总局办公厅关于印发用人单位劳动防护用品管理规范的通知》（安监总厅安健〔2015〕124号，2015年12月29日发布）；</w:t>
      </w:r>
    </w:p>
    <w:p w14:paraId="6B371E8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lang w:val="en-GB"/>
        </w:rPr>
        <w:t>）《国家安全监管总局关于印发金属非金属矿山建设项目安全设施设计重大变更范围的通知》（安监总管一〔2016〕18号，2016年3月7日起施行）；</w:t>
      </w:r>
    </w:p>
    <w:p w14:paraId="411B708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18</w:t>
      </w:r>
      <w:r>
        <w:rPr>
          <w:rFonts w:hint="default" w:ascii="Times New Roman" w:hAnsi="Times New Roman" w:eastAsia="宋体" w:cs="Times New Roman"/>
          <w:sz w:val="28"/>
          <w:szCs w:val="28"/>
          <w:lang w:val="en-GB"/>
        </w:rPr>
        <w:t>）《国家安全监管总局办公厅关于强化遏制非煤矿山重特大事故工作举措的通知》（安监总厅管一函〔2016〕230号，2016年12月8日施行）；</w:t>
      </w:r>
    </w:p>
    <w:p w14:paraId="769E8E4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19）《生产安全事故应急预案管理办法》（2009年原国家安全生产监督管理总局令第88号公布，自2009年5月1日起施行，2019年7月11日《应急管理部关于修改〈生产安全事故应急预案管理办法〉的决定》修改，自2019年9月1日起施行）；</w:t>
      </w:r>
    </w:p>
    <w:p w14:paraId="7A0823B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（20）《国家矿山安全监察局关于印发加强非煤矿山重点地区安全生产工作方案的通知》（矿安〔2021〕123号）；</w:t>
      </w:r>
    </w:p>
    <w:p w14:paraId="677DCBF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rPr>
        <w:t>（21）《国家矿山安全监察局关于印发〈关于加强非煤矿山安全生产工作的指导意见〉的通知》（矿安〔2022〕4号）</w:t>
      </w:r>
      <w:r>
        <w:rPr>
          <w:rFonts w:hint="default" w:ascii="Times New Roman" w:hAnsi="Times New Roman" w:eastAsia="宋体" w:cs="Times New Roman"/>
          <w:sz w:val="28"/>
          <w:szCs w:val="28"/>
          <w:lang w:val="en-GB"/>
        </w:rPr>
        <w:t>；</w:t>
      </w:r>
    </w:p>
    <w:p w14:paraId="149AEE4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国家矿山安全监察局关于印发〈金属非金属矿山重大事故隐患判定标准〉的通知</w:t>
      </w: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矿安88号，自2022年9月1日起施行</w:t>
      </w:r>
      <w:r>
        <w:rPr>
          <w:rFonts w:hint="default" w:ascii="Times New Roman" w:hAnsi="Times New Roman" w:eastAsia="宋体" w:cs="Times New Roman"/>
          <w:sz w:val="28"/>
          <w:szCs w:val="28"/>
          <w:lang w:val="en-GB"/>
        </w:rPr>
        <w:t>）；</w:t>
      </w:r>
    </w:p>
    <w:p w14:paraId="0D6B36F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（23）《应急管理部 国家矿山安全监察局关于印发〈“十四五”矿山安全生产规划〉的通知》（应急﹝2022﹞64号）；</w:t>
      </w:r>
    </w:p>
    <w:p w14:paraId="18EBEA0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（24）《国家矿山安全监察局关于印发执行安全标志管理的矿用产品目录的通知》（矿安﹝2022﹞123号）。</w:t>
      </w:r>
    </w:p>
    <w:p w14:paraId="7F53FF06">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1.2.1.4 地方性法规、规章及政府规范性文件</w:t>
      </w:r>
    </w:p>
    <w:p w14:paraId="110C1BD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（1）《云南省实施〈中华人民共和国矿山安全法〉办法》（根据1997年12月3日发布的《云南省人民代表大会常务委员会关于修订15件地方性法规的决定》修正，自1997年12月3日公布之日起施行）；</w:t>
      </w:r>
    </w:p>
    <w:p w14:paraId="02C57FB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（2）《云南省安全评价机构管理办法》（2006年11月9日由云南省安全生产监督管理局颁布，自2006年12月1日起实施）；</w:t>
      </w:r>
    </w:p>
    <w:p w14:paraId="7ED87F2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）《云南省安全生产条例》（云南省第十二届人民代表大会常务委员会公告（第63号）2017年11月30日云南省第十二届人大常委会第三十八次会议修订，2018年1月1日起正式实施）；</w:t>
      </w:r>
    </w:p>
    <w:p w14:paraId="4C4D533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）《云南省安全生产监督管理局关于进一步加强安全评价监管工作的通知》（云安监管[2016]48号，2016年7月21日发布，自发布之日起实施）；</w:t>
      </w:r>
    </w:p>
    <w:p w14:paraId="324C024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5</w:t>
      </w:r>
      <w:r>
        <w:rPr>
          <w:rFonts w:hint="default" w:ascii="Times New Roman" w:hAnsi="Times New Roman" w:eastAsia="宋体" w:cs="Times New Roman"/>
          <w:color w:val="000000" w:themeColor="text1"/>
          <w:sz w:val="28"/>
          <w:szCs w:val="28"/>
          <w:lang w:val="en-GB"/>
          <w14:textFill>
            <w14:solidFill>
              <w14:schemeClr w14:val="tx1"/>
            </w14:solidFill>
          </w14:textFill>
        </w:rPr>
        <w:t>）《云南省安全生产监督管理局关于进一步加强非煤矿山和尾矿库安全生产行政许可工作的通知》（云安监管[2009]35号，2009年3月10日发布，自发布之日起实施）；</w:t>
      </w:r>
    </w:p>
    <w:p w14:paraId="2D757AB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）《关于调整下放非煤矿山安全生产行政许可事项的通知》（云安监管〔2017〕2号，自2017年2月1日起执行）；</w:t>
      </w:r>
    </w:p>
    <w:p w14:paraId="37B46FF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7</w:t>
      </w:r>
      <w:r>
        <w:rPr>
          <w:rFonts w:hint="default" w:ascii="Times New Roman" w:hAnsi="Times New Roman" w:eastAsia="宋体" w:cs="Times New Roman"/>
          <w:color w:val="000000" w:themeColor="text1"/>
          <w:sz w:val="28"/>
          <w:szCs w:val="28"/>
          <w:lang w:val="en-GB"/>
          <w14:textFill>
            <w14:solidFill>
              <w14:schemeClr w14:val="tx1"/>
            </w14:solidFill>
          </w14:textFill>
        </w:rPr>
        <w:t>）《云南省人民政府关于促进非煤矿山转型升级的实施意见》（云政发〔2015〕38号，2015年7月1日发布，自发布之日起实施）；</w:t>
      </w:r>
    </w:p>
    <w:p w14:paraId="1DEE8D1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）《云南省安全生产应急预案管理实施办法》（云南省安全监督管理局公告[2017]39号，2016年12月14日省安全监督管理局第7次局长办公会通过公布，自2017年4月30日施行）；</w:t>
      </w:r>
    </w:p>
    <w:p w14:paraId="47E1668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sz w:val="28"/>
          <w:szCs w:val="28"/>
        </w:rPr>
        <w:t>《云南省电力设施保护条例》（2007年9月29日云南省第十届人民代表大会常务委员会第三十一次会议通过）（省人大常委会公告第61号，自2008年1月1日起施行）。</w:t>
      </w:r>
    </w:p>
    <w:p w14:paraId="75EE9DC3">
      <w:pPr>
        <w:pStyle w:val="4"/>
        <w:pageBreakBefore w:val="0"/>
        <w:kinsoku/>
        <w:wordWrap/>
        <w:bidi w:val="0"/>
        <w:adjustRightInd w:val="0"/>
        <w:snapToGrid w:val="0"/>
        <w:spacing w:line="360" w:lineRule="auto"/>
        <w:ind w:firstLine="560"/>
        <w:rPr>
          <w:rFonts w:hint="default" w:ascii="Times New Roman" w:hAnsi="Times New Roman" w:eastAsia="宋体" w:cs="Times New Roman"/>
          <w:b/>
          <w:color w:val="000000" w:themeColor="text1"/>
          <w:sz w:val="28"/>
          <w:szCs w:val="28"/>
          <w:lang w:val="en-GB"/>
          <w14:textFill>
            <w14:solidFill>
              <w14:schemeClr w14:val="tx1"/>
            </w14:solidFill>
          </w14:textFill>
        </w:rPr>
      </w:pPr>
      <w:r>
        <w:rPr>
          <w:rFonts w:hint="default" w:ascii="Times New Roman" w:hAnsi="Times New Roman" w:eastAsia="宋体" w:cs="Times New Roman"/>
          <w:b/>
          <w:color w:val="000000" w:themeColor="text1"/>
          <w:sz w:val="28"/>
          <w:szCs w:val="28"/>
          <w:lang w:val="en-GB"/>
          <w14:textFill>
            <w14:solidFill>
              <w14:schemeClr w14:val="tx1"/>
            </w14:solidFill>
          </w14:textFill>
        </w:rPr>
        <w:t>1.2.2 标准规范</w:t>
      </w:r>
    </w:p>
    <w:p w14:paraId="63E5CEF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（1）《企业职工伤亡事故分类》（GB/T 6441-1986）；</w:t>
      </w:r>
    </w:p>
    <w:p w14:paraId="7F8ADA3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（2）《厂矿道路设计规范》（GBJ22-1987）；</w:t>
      </w:r>
    </w:p>
    <w:p w14:paraId="36EB548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（3）《机械安全 防止人体部位挤压的最小间距》（GB/T 12265-2021）；</w:t>
      </w:r>
    </w:p>
    <w:p w14:paraId="0822480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（4）《生产设备安全卫生设计总则》（GB5083-1999）；</w:t>
      </w:r>
    </w:p>
    <w:p w14:paraId="1F12571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lang w:val="en-GB"/>
        </w:rPr>
        <w:t>）《机械安全 防护装置 固定式和活动式防护装置的设计与制造一般要求》（GB/T8196-2018）；</w:t>
      </w:r>
    </w:p>
    <w:p w14:paraId="73FEE8F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lang w:val="en-GB"/>
        </w:rPr>
        <w:t>）《建筑灭火器配置设计规范》（GB50140-2005）；</w:t>
      </w:r>
    </w:p>
    <w:p w14:paraId="17DA024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lang w:val="en-GB"/>
        </w:rPr>
        <w:t>）《安全评价通则》（AQ8001-2007）；</w:t>
      </w:r>
    </w:p>
    <w:p w14:paraId="6E58D75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lang w:val="en-GB"/>
        </w:rPr>
        <w:t>）《安全预评价导则》（AQ8002-2007）；</w:t>
      </w:r>
    </w:p>
    <w:p w14:paraId="56019C5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（9）《金属非金属矿山安全规程》（GB16423-2020）；</w:t>
      </w:r>
    </w:p>
    <w:p w14:paraId="4D5B528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rPr>
        <w:t>0</w:t>
      </w:r>
      <w:r>
        <w:rPr>
          <w:rFonts w:hint="default" w:ascii="Times New Roman" w:hAnsi="Times New Roman" w:eastAsia="宋体" w:cs="Times New Roman"/>
          <w:sz w:val="28"/>
          <w:szCs w:val="28"/>
          <w:lang w:val="en-GB"/>
        </w:rPr>
        <w:t>）《工作场所有害因素职业接触限值》第1部分：化学有害因素（GBZ2.1-2019）；</w:t>
      </w:r>
    </w:p>
    <w:p w14:paraId="7B4E249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eastAsia="zh-CN"/>
        </w:rPr>
        <w:t>（</w:t>
      </w:r>
      <w:r>
        <w:rPr>
          <w:rFonts w:hint="default" w:ascii="Times New Roman" w:hAnsi="Times New Roman" w:eastAsia="宋体" w:cs="Times New Roman"/>
          <w:sz w:val="28"/>
          <w:szCs w:val="28"/>
          <w:lang w:val="en-US" w:eastAsia="zh-CN"/>
        </w:rPr>
        <w:t>11</w:t>
      </w:r>
      <w:r>
        <w:rPr>
          <w:rFonts w:hint="default" w:ascii="Times New Roman" w:hAnsi="Times New Roman" w:eastAsia="宋体" w:cs="Times New Roman"/>
          <w:sz w:val="28"/>
          <w:szCs w:val="28"/>
          <w:lang w:val="en-GB" w:eastAsia="zh-CN"/>
        </w:rPr>
        <w:t>）</w:t>
      </w:r>
      <w:r>
        <w:rPr>
          <w:rFonts w:hint="default" w:ascii="Times New Roman" w:hAnsi="Times New Roman" w:eastAsia="宋体" w:cs="Times New Roman"/>
          <w:sz w:val="28"/>
          <w:szCs w:val="28"/>
          <w:lang w:val="en-GB"/>
        </w:rPr>
        <w:t>《工作场所有害因素职业接触限值》第2部分：物理因素（GBZ2.2-2007）；</w:t>
      </w:r>
    </w:p>
    <w:p w14:paraId="2FF4FF3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GB"/>
        </w:rPr>
        <w:t>）《安全标志及其使用导则》（GB2894-2008）；</w:t>
      </w:r>
    </w:p>
    <w:p w14:paraId="0647E66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GB"/>
        </w:rPr>
        <w:t>）《高处作业分级》（GB/T3608-2008）；</w:t>
      </w:r>
    </w:p>
    <w:p w14:paraId="68A1C41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GB"/>
        </w:rPr>
        <w:t>）《工业企业厂内铁路、道路运输安全规程》（GB4387-2008）；</w:t>
      </w:r>
    </w:p>
    <w:p w14:paraId="13DEFCF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）《生产过程安全卫生要求总则》（GB/T12801-2008）；</w:t>
      </w:r>
    </w:p>
    <w:p w14:paraId="6A8E3CD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）《矿山安全标志》（GB/T 14161-2008）；</w:t>
      </w:r>
    </w:p>
    <w:p w14:paraId="7CB21E8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w:t>
      </w:r>
      <w:r>
        <w:rPr>
          <w:rFonts w:hint="default"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）《安全色》（GB2893-2008）；</w:t>
      </w:r>
    </w:p>
    <w:p w14:paraId="129D095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en-GB"/>
        </w:rPr>
        <w:t>）《生产过程危险和有害因素分类与代码》（GB/T13861-2022）；</w:t>
      </w:r>
    </w:p>
    <w:p w14:paraId="0964EFD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US" w:eastAsia="zh-CN"/>
        </w:rPr>
        <w:t>9</w:t>
      </w:r>
      <w:r>
        <w:rPr>
          <w:rFonts w:hint="default" w:ascii="Times New Roman" w:hAnsi="Times New Roman" w:eastAsia="宋体" w:cs="Times New Roman"/>
          <w:sz w:val="28"/>
          <w:szCs w:val="28"/>
          <w:lang w:val="en-GB"/>
        </w:rPr>
        <w:t>）《机械安全 防止上下肢触及危险区的安全距离》（GB/T 23821-2022）；</w:t>
      </w:r>
    </w:p>
    <w:p w14:paraId="5CD1FD1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GB"/>
        </w:rPr>
        <w:t>0）《建筑抗震设计规范》（GB 50011-2010[2016年版]）（2016年版）；</w:t>
      </w:r>
    </w:p>
    <w:p w14:paraId="3D84F5B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lang w:val="en-GB"/>
        </w:rPr>
        <w:t>）《建筑物防雷设计规范》（GB50057-2010）；</w:t>
      </w:r>
    </w:p>
    <w:p w14:paraId="7DB795A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GB"/>
        </w:rPr>
        <w:t>）《工业企业总平面设计规范》（GB50187-2012）；</w:t>
      </w:r>
    </w:p>
    <w:p w14:paraId="65A10DD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GB"/>
        </w:rPr>
        <w:t>）《20kV及以下变电所设计规范》（GB 50053-2013）；</w:t>
      </w:r>
    </w:p>
    <w:p w14:paraId="4AF5FB7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GB"/>
        </w:rPr>
        <w:t>）《用电安全导则》（GB/T13869-2017）；</w:t>
      </w:r>
    </w:p>
    <w:p w14:paraId="5A536C6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）《矿山电力设计标准》（GB 50070-2020）；</w:t>
      </w:r>
    </w:p>
    <w:p w14:paraId="019CF56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）《建筑工程抗震设防分类标准》（GB 50223-2008）；</w:t>
      </w:r>
    </w:p>
    <w:p w14:paraId="7A3B349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）《建筑设计防火规范》（GB 50016-2014[2018年版]）（2018年版）；</w:t>
      </w:r>
    </w:p>
    <w:p w14:paraId="18D382C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（2</w:t>
      </w:r>
      <w:r>
        <w:rPr>
          <w:rFonts w:hint="default"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en-GB"/>
        </w:rPr>
        <w:t>）《危险化学品重大危险源辨识》（GB18218-2018）；</w:t>
      </w:r>
    </w:p>
    <w:p w14:paraId="7A74688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lang w:val="en-US" w:eastAsia="zh-CN"/>
        </w:rPr>
        <w:t>29</w:t>
      </w:r>
      <w:r>
        <w:rPr>
          <w:rFonts w:hint="default" w:ascii="Times New Roman" w:hAnsi="Times New Roman" w:eastAsia="宋体" w:cs="Times New Roman"/>
          <w:sz w:val="28"/>
          <w:szCs w:val="28"/>
          <w:lang w:val="en-GB"/>
        </w:rPr>
        <w:t>）《非煤露天矿边坡工程技术规范》（GB51016-201</w:t>
      </w:r>
      <w:r>
        <w:rPr>
          <w:rFonts w:hint="default" w:ascii="Times New Roman" w:hAnsi="Times New Roman" w:eastAsia="宋体" w:cs="Times New Roman"/>
          <w:sz w:val="28"/>
          <w:szCs w:val="28"/>
        </w:rPr>
        <w:t>4</w:t>
      </w:r>
      <w:r>
        <w:rPr>
          <w:rFonts w:hint="default" w:ascii="Times New Roman" w:hAnsi="Times New Roman" w:eastAsia="宋体" w:cs="Times New Roman"/>
          <w:sz w:val="28"/>
          <w:szCs w:val="28"/>
          <w:lang w:val="en-GB"/>
        </w:rPr>
        <w:t>）；</w:t>
      </w:r>
    </w:p>
    <w:p w14:paraId="129D4A3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US" w:eastAsia="zh-CN"/>
        </w:rPr>
        <w:t>30</w:t>
      </w:r>
      <w:r>
        <w:rPr>
          <w:rFonts w:hint="default" w:ascii="Times New Roman" w:hAnsi="Times New Roman" w:eastAsia="宋体" w:cs="Times New Roman"/>
          <w:sz w:val="28"/>
          <w:szCs w:val="28"/>
        </w:rPr>
        <w:t>）《中国地震动参数区划图》（GB18306-2015）；</w:t>
      </w:r>
    </w:p>
    <w:p w14:paraId="45DB23B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（3</w:t>
      </w:r>
      <w:r>
        <w:rPr>
          <w:rFonts w:hint="default"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lang w:val="en-GB"/>
        </w:rPr>
        <w:t>）《金属非金属露天矿山高陡边坡安全监测技术规范》（AQ/T 2063-2018）；</w:t>
      </w:r>
    </w:p>
    <w:p w14:paraId="4D83C33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GB"/>
        </w:rPr>
        <w:t>）《爆破安全规程》（</w:t>
      </w:r>
      <w:r>
        <w:rPr>
          <w:rFonts w:hint="default" w:ascii="Times New Roman" w:hAnsi="Times New Roman" w:eastAsia="宋体" w:cs="Times New Roman"/>
          <w:sz w:val="28"/>
          <w:szCs w:val="28"/>
          <w:shd w:val="clear" w:color="auto" w:fill="FFFFFF"/>
          <w:lang w:val="en-GB"/>
        </w:rPr>
        <w:t>GB 6722-2014/XG1-2016</w:t>
      </w:r>
      <w:r>
        <w:rPr>
          <w:rFonts w:hint="default" w:ascii="Times New Roman" w:hAnsi="Times New Roman" w:eastAsia="宋体" w:cs="Times New Roman"/>
          <w:sz w:val="28"/>
          <w:szCs w:val="28"/>
          <w:lang w:val="en-GB"/>
        </w:rPr>
        <w:t>）；</w:t>
      </w:r>
    </w:p>
    <w:p w14:paraId="5950CBF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）《个体防护装备配备规范 第1部分：总则》（GB 39800.1-2020）；</w:t>
      </w:r>
    </w:p>
    <w:p w14:paraId="6D34035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GB"/>
        </w:rPr>
        <w:t>）《个体防护装备配备规范 第4部分：非煤矿山》</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GB"/>
        </w:rPr>
        <w:t>GB 39800.4-2020)；</w:t>
      </w:r>
    </w:p>
    <w:p w14:paraId="596FC21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w:t>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lang w:val="en-GB"/>
        </w:rPr>
        <w:t>）《生产经营单位生产安全事故应急预案编制导则》（GB/T 29639-2020）；</w:t>
      </w:r>
    </w:p>
    <w:p w14:paraId="7F156CF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（3</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lang w:val="en-GB"/>
        </w:rPr>
        <w:t>）《生产安全事故应急演练基本规范》（AQ/T9007-2019）；</w:t>
      </w:r>
    </w:p>
    <w:p w14:paraId="6059F49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（3</w:t>
      </w:r>
      <w:r>
        <w:rPr>
          <w:rFonts w:hint="default"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lang w:val="en-GB"/>
        </w:rPr>
        <w:t>）《生产经营单位生产安全事故应急预案评估指南》（AQ/T 9011-2019）：</w:t>
      </w:r>
    </w:p>
    <w:p w14:paraId="151F221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sz w:val="28"/>
          <w:szCs w:val="28"/>
          <w:lang w:val="en-GB"/>
        </w:rPr>
        <w:t>（3</w:t>
      </w:r>
      <w:r>
        <w:rPr>
          <w:rFonts w:hint="default"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lang w:val="en-GB"/>
        </w:rPr>
        <w:t>）《3～110kV高压配电装置设计规范》（GB 50060-2008）。</w:t>
      </w:r>
    </w:p>
    <w:p w14:paraId="63262F1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1.2.3 建设项目技术资料</w:t>
      </w:r>
    </w:p>
    <w:p w14:paraId="4CED60C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（1）项目安全预评价委托书；</w:t>
      </w:r>
    </w:p>
    <w:p w14:paraId="3C0F038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（2）资料真实性承诺书；</w:t>
      </w:r>
    </w:p>
    <w:p w14:paraId="08A3F66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（3）营业执照；</w:t>
      </w:r>
    </w:p>
    <w:p w14:paraId="0545054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（4）采矿许可证；</w:t>
      </w:r>
    </w:p>
    <w:p w14:paraId="6973835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5）《关于批准〈鹤庆县非煤矿山转型升级“四个一批”调整方案〉的函》（鹤政函〔2017〕19号）；</w:t>
      </w:r>
    </w:p>
    <w:p w14:paraId="34EF5B5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（6）《关于鹤庆县俊峰石料有限责任公司新立（转型升级）联勘联审及相关规划等有关情况审查意见》（鹤庆县自然资源局2019年8月）；</w:t>
      </w:r>
    </w:p>
    <w:p w14:paraId="06579C1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（7）《关于〈云南省鹤庆县河底村普通建筑材料用石灰岩矿资源储量核实报告〉（2019）评审备案证明》（大自然资储备字〔2019〕28号）；</w:t>
      </w:r>
    </w:p>
    <w:p w14:paraId="5AD62EF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（8）《关于〈云南省鹤庆县河底村普通建筑材料用石灰岩矿外围接替资源勘查报告〉（2019）评审备案证明》（大自然资储备字〔2019〕29号）</w:t>
      </w:r>
    </w:p>
    <w:p w14:paraId="7A548D2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）《鹤庆县河底普通建筑材料用石灰岩矿80万t/年露天采矿工程初步设计》（云南德成规划设计有限公司，2023年</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月）；</w:t>
      </w:r>
    </w:p>
    <w:p w14:paraId="73BF157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10</w:t>
      </w:r>
      <w:r>
        <w:rPr>
          <w:rFonts w:hint="default" w:ascii="Times New Roman" w:hAnsi="Times New Roman" w:eastAsia="宋体" w:cs="Times New Roman"/>
          <w:color w:val="000000" w:themeColor="text1"/>
          <w:sz w:val="28"/>
          <w:szCs w:val="28"/>
          <w:lang w:val="en-GB"/>
          <w14:textFill>
            <w14:solidFill>
              <w14:schemeClr w14:val="tx1"/>
            </w14:solidFill>
          </w14:textFill>
        </w:rPr>
        <w:t>）矿山提供的其他安全技术资料。</w:t>
      </w:r>
    </w:p>
    <w:p w14:paraId="3877A13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1.2.4 其他评价依据</w:t>
      </w:r>
    </w:p>
    <w:p w14:paraId="3352B11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（1）《现代采矿手册》（上、中、下册），冶金工业出版，2010年～2012年；</w:t>
      </w:r>
    </w:p>
    <w:p w14:paraId="29F3C35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（2）《采矿设计手册》，中国建筑工业出版社，1987；</w:t>
      </w:r>
    </w:p>
    <w:p w14:paraId="06C9CD3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（3）《露天采矿设计手册》，煤炭工业出版社，1987；</w:t>
      </w:r>
    </w:p>
    <w:p w14:paraId="7EBFACE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（4）《矿山安全性评价与安全事故的预防及处理实务全书》，中国商业出版社，2001；</w:t>
      </w:r>
    </w:p>
    <w:p w14:paraId="721E16E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（5）《金属非金属矿开采安全》，中国劳动出版社，1992；</w:t>
      </w:r>
    </w:p>
    <w:p w14:paraId="19578FE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（6）《安全工程师手册》，四川人民出版社，1995；</w:t>
      </w:r>
    </w:p>
    <w:p w14:paraId="194CF1D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（7）《矿山安全监察手册》，劳动人事出版社，1990；</w:t>
      </w:r>
    </w:p>
    <w:p w14:paraId="62DCD65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（8）《安全评价》（第三版），国家安全生产监督管理局编，煤炭工业出版社，2006。</w:t>
      </w:r>
    </w:p>
    <w:p w14:paraId="4494BCEE">
      <w:pPr>
        <w:rPr>
          <w:rFonts w:hint="default" w:ascii="Times New Roman" w:hAnsi="Times New Roman" w:cs="Times New Roman"/>
          <w:b/>
          <w:bCs w:val="0"/>
          <w:color w:val="000000" w:themeColor="text1"/>
          <w:lang w:val="en-GB"/>
          <w14:textFill>
            <w14:solidFill>
              <w14:schemeClr w14:val="tx1"/>
            </w14:solidFill>
          </w14:textFill>
        </w:rPr>
      </w:pPr>
      <w:bookmarkStart w:id="20" w:name="_Toc13103"/>
      <w:r>
        <w:rPr>
          <w:rFonts w:hint="default" w:ascii="Times New Roman" w:hAnsi="Times New Roman" w:cs="Times New Roman"/>
          <w:b/>
          <w:bCs w:val="0"/>
          <w:color w:val="000000" w:themeColor="text1"/>
          <w:lang w:val="en-GB"/>
          <w14:textFill>
            <w14:solidFill>
              <w14:schemeClr w14:val="tx1"/>
            </w14:solidFill>
          </w14:textFill>
        </w:rPr>
        <w:br w:type="page"/>
      </w:r>
    </w:p>
    <w:p w14:paraId="61D02184">
      <w:pPr>
        <w:pStyle w:val="3"/>
        <w:keepNext/>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b/>
          <w:bCs w:val="0"/>
          <w:color w:val="000000" w:themeColor="text1"/>
          <w:lang w:val="en-GB"/>
          <w14:textFill>
            <w14:solidFill>
              <w14:schemeClr w14:val="tx1"/>
            </w14:solidFill>
          </w14:textFill>
        </w:rPr>
      </w:pPr>
      <w:bookmarkStart w:id="21" w:name="_Toc18405"/>
      <w:r>
        <w:rPr>
          <w:rFonts w:hint="default" w:ascii="Times New Roman" w:hAnsi="Times New Roman" w:cs="Times New Roman"/>
          <w:b/>
          <w:bCs w:val="0"/>
          <w:color w:val="000000" w:themeColor="text1"/>
          <w:lang w:val="en-GB"/>
          <w14:textFill>
            <w14:solidFill>
              <w14:schemeClr w14:val="tx1"/>
            </w14:solidFill>
          </w14:textFill>
        </w:rPr>
        <w:t>1.3 安全预评价原则</w:t>
      </w:r>
      <w:bookmarkEnd w:id="20"/>
      <w:bookmarkEnd w:id="21"/>
    </w:p>
    <w:p w14:paraId="6864E798">
      <w:pPr>
        <w:keepNext/>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《安全评价通则》第2条规定，安全评价基本原则是具备国家规定资质的安全评价机构科学、公正和合法的自主开展安全预评价。</w:t>
      </w:r>
    </w:p>
    <w:p w14:paraId="5B36D22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本报告将按国家现行有关劳动安全的法律、法规和标准要求对该项目进行安全评价，同时遵循下列原则：</w:t>
      </w:r>
    </w:p>
    <w:p w14:paraId="70477AA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（1）严格执行国家现行有关法律、法规、标准和规范的要求，对该企业申请安全生产许可证应具备的安全生产条件进行科学、公正、合法、自主的评价；</w:t>
      </w:r>
    </w:p>
    <w:p w14:paraId="2D5B404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（2）执行行业现行有关法规、标准、规范和政策的要求；</w:t>
      </w:r>
    </w:p>
    <w:p w14:paraId="69B84ED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（3）采用适用、可靠的评价技术和评价方法，保证评价的针对性，确保评价质量；</w:t>
      </w:r>
    </w:p>
    <w:p w14:paraId="4B37886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（4）恪守职业道德，遵循诚实守信的原则，对被评价企业的技术资料和商业运作保密。</w:t>
      </w:r>
    </w:p>
    <w:p w14:paraId="2A370067">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22" w:name="_Toc21487"/>
      <w:bookmarkStart w:id="23" w:name="_Toc16232"/>
      <w:r>
        <w:rPr>
          <w:rFonts w:hint="default" w:ascii="Times New Roman" w:hAnsi="Times New Roman" w:cs="Times New Roman"/>
          <w:b/>
          <w:bCs w:val="0"/>
          <w:color w:val="000000" w:themeColor="text1"/>
          <w:lang w:val="en-GB"/>
          <w14:textFill>
            <w14:solidFill>
              <w14:schemeClr w14:val="tx1"/>
            </w14:solidFill>
          </w14:textFill>
        </w:rPr>
        <w:t>1.4 评价内容</w:t>
      </w:r>
      <w:bookmarkEnd w:id="22"/>
      <w:bookmarkEnd w:id="23"/>
    </w:p>
    <w:p w14:paraId="1A520A7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评价主要内容包括：</w:t>
      </w:r>
    </w:p>
    <w:p w14:paraId="145B202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（1）辨识建设项目投产运行后在运行过程中存在的主要危险有害因素，并分析其可能导致发生事故的诱发因素、可能性及严重程度。</w:t>
      </w:r>
    </w:p>
    <w:p w14:paraId="2DE804A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（2）评价初步设计报告中危险有害因素预防和控制措施的可靠性，以及与有关安全生产法律、法规、规章、规范性文件和标准的符合性。</w:t>
      </w:r>
    </w:p>
    <w:p w14:paraId="4AA6910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（3）提出消除未受控危险有害因素的安全对策措施及建议。</w:t>
      </w:r>
    </w:p>
    <w:p w14:paraId="4BB1869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（4）做出安全预评价结论。</w:t>
      </w:r>
    </w:p>
    <w:p w14:paraId="68C9C953">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24" w:name="_Toc31697"/>
      <w:bookmarkStart w:id="25" w:name="_Toc26208"/>
      <w:r>
        <w:rPr>
          <w:rFonts w:hint="default" w:ascii="Times New Roman" w:hAnsi="Times New Roman" w:cs="Times New Roman"/>
          <w:b/>
          <w:bCs w:val="0"/>
          <w:color w:val="000000" w:themeColor="text1"/>
          <w:lang w:val="en-GB"/>
          <w14:textFill>
            <w14:solidFill>
              <w14:schemeClr w14:val="tx1"/>
            </w14:solidFill>
          </w14:textFill>
        </w:rPr>
        <w:t>1.5 评价程序</w:t>
      </w:r>
      <w:bookmarkEnd w:id="24"/>
      <w:bookmarkEnd w:id="25"/>
    </w:p>
    <w:p w14:paraId="442AB6A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评价工作程序按《安全评价通则》AQ8001-2007及《安全预评价导则》AQ8002-2007的要求开展工作，包括：前期准备，辨识与分析危险、有害因素，划分评价单元，定性、定量评价，提出安全对策措施建议，做出评价结论，编制安全预评价报告。</w:t>
      </w:r>
      <w:bookmarkStart w:id="26" w:name="_Toc30217"/>
    </w:p>
    <w:p w14:paraId="0A2F6D95">
      <w:pPr>
        <w:pStyle w:val="3"/>
        <w:pageBreakBefore w:val="0"/>
        <w:kinsoku/>
        <w:wordWrap/>
        <w:bidi w:val="0"/>
        <w:adjustRightInd w:val="0"/>
        <w:snapToGrid w:val="0"/>
        <w:spacing w:before="312" w:beforeLines="100"/>
        <w:rPr>
          <w:rFonts w:hint="default" w:ascii="Times New Roman" w:hAnsi="Times New Roman" w:cs="Times New Roman"/>
          <w:b/>
          <w:bCs w:val="0"/>
          <w:color w:val="000000" w:themeColor="text1"/>
          <w:lang w:val="en-GB"/>
          <w14:textFill>
            <w14:solidFill>
              <w14:schemeClr w14:val="tx1"/>
            </w14:solidFill>
          </w14:textFill>
        </w:rPr>
      </w:pPr>
      <w:bookmarkStart w:id="27" w:name="_Toc23952"/>
      <w:r>
        <w:rPr>
          <w:rFonts w:hint="default" w:ascii="Times New Roman" w:hAnsi="Times New Roman" w:cs="Times New Roman"/>
          <w:b/>
          <w:bCs w:val="0"/>
          <w:color w:val="000000" w:themeColor="text1"/>
          <w:lang w:val="en-GB"/>
          <w14:textFill>
            <w14:solidFill>
              <w14:schemeClr w14:val="tx1"/>
            </w14:solidFill>
          </w14:textFill>
        </w:rPr>
        <w:t>1.6 评价报告声明</w:t>
      </w:r>
      <w:bookmarkEnd w:id="26"/>
      <w:bookmarkEnd w:id="27"/>
    </w:p>
    <w:p w14:paraId="2FF3613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本评价报告是受贵州新天喜工程机械有限公司委托，依据《安全评价通则》规范要求，为该企业生产指导及履行安全设施“三同时”手续而编制的，专属委托方使用。自评价基准日起，除按规定上报各级应急管理部门外，我公司不会将本评价报告内容向其他任何单位和个人提供，也不会将本评价报告的全部或部分内容，在媒体上或以其他形式公开发表（安全评价技术研究成果除外）。</w:t>
      </w:r>
    </w:p>
    <w:p w14:paraId="130949A7">
      <w:pPr>
        <w:pageBreakBefore w:val="0"/>
        <w:widowControl/>
        <w:kinsoku/>
        <w:wordWrap/>
        <w:bidi w:val="0"/>
        <w:adjustRightInd w:val="0"/>
        <w:snapToGrid w:val="0"/>
        <w:spacing w:line="360" w:lineRule="auto"/>
        <w:jc w:val="left"/>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lang w:val="en-GB"/>
          <w14:textFill>
            <w14:solidFill>
              <w14:schemeClr w14:val="tx1"/>
            </w14:solidFill>
          </w14:textFill>
        </w:rPr>
        <w:br w:type="page"/>
      </w:r>
    </w:p>
    <w:p w14:paraId="5776C118">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28" w:name="_Toc16636"/>
      <w:bookmarkStart w:id="29" w:name="_Toc13797"/>
      <w:r>
        <w:rPr>
          <w:rFonts w:hint="default" w:ascii="Times New Roman" w:hAnsi="Times New Roman" w:cs="Times New Roman"/>
          <w:b/>
          <w:bCs w:val="0"/>
          <w:color w:val="000000" w:themeColor="text1"/>
          <w:lang w:val="en-GB"/>
          <w14:textFill>
            <w14:solidFill>
              <w14:schemeClr w14:val="tx1"/>
            </w14:solidFill>
          </w14:textFill>
        </w:rPr>
        <w:t>2.建设项目概述</w:t>
      </w:r>
      <w:bookmarkEnd w:id="28"/>
      <w:bookmarkEnd w:id="29"/>
    </w:p>
    <w:p w14:paraId="57550A6A">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30" w:name="_Toc22246"/>
      <w:bookmarkStart w:id="31" w:name="_Toc7037"/>
      <w:r>
        <w:rPr>
          <w:rFonts w:hint="default" w:ascii="Times New Roman" w:hAnsi="Times New Roman" w:cs="Times New Roman"/>
          <w:b/>
          <w:bCs w:val="0"/>
          <w:color w:val="000000" w:themeColor="text1"/>
          <w:lang w:val="en-GB"/>
          <w14:textFill>
            <w14:solidFill>
              <w14:schemeClr w14:val="tx1"/>
            </w14:solidFill>
          </w14:textFill>
        </w:rPr>
        <w:t>2.1 建设单位概况</w:t>
      </w:r>
      <w:bookmarkEnd w:id="30"/>
      <w:bookmarkEnd w:id="31"/>
    </w:p>
    <w:p w14:paraId="21B52DD8">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2.1.1 建设单位简介</w:t>
      </w:r>
    </w:p>
    <w:p w14:paraId="72351518">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bookmarkStart w:id="32" w:name="_Hlk18094819"/>
      <w:r>
        <w:rPr>
          <w:rFonts w:hint="default" w:ascii="Times New Roman" w:hAnsi="Times New Roman" w:eastAsia="宋体" w:cs="Times New Roman"/>
          <w:snapToGrid w:val="0"/>
          <w:kern w:val="0"/>
          <w:sz w:val="28"/>
          <w:szCs w:val="28"/>
        </w:rPr>
        <w:t>该矿山为原有矿山，原采矿权人为鹤庆县俊峰石料有限责任公司，采矿证号：C5329322010117130088179，生产规模为2.3万t/年，开采深度2510m—2482m。原矿区范围内资源已经枯竭，根据鹤庆县自然资源局关于矿山转型升级需变更矿区范围的要求，鹤庆县俊峰石料有限责任公司向鹤庆县自然资源局申请扩大矿区范围。矿山完善储量及开发等相关手续后，由鹤庆县自然资源局公开挂牌出让。</w:t>
      </w:r>
    </w:p>
    <w:p w14:paraId="64DC8775">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扩大后的矿权由贵州新天喜工程机械有限公司于2022年12月21日取得采矿许可证，证号为C5329322022127150154465，生产规模80万t/a，矿区面积0.1027km2，开采深度2520m～2420m；矿区范围由10个拐点圈定。根据《云南省人民政府关于促进非煤矿山转型升级的实施意见》（云政发〔2015〕38号）文件精神以及《鹤庆县人民政府关于批准〈鹤庆县非煤矿山转型升级“四个一批”调整方案〉的函》（鹤政函〔2017〕19号）文件，该矿为非煤矿山转型升级“改造升级”类矿山。</w:t>
      </w:r>
    </w:p>
    <w:p w14:paraId="7B34B94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napToGrid w:val="0"/>
          <w:kern w:val="0"/>
          <w:sz w:val="28"/>
          <w:szCs w:val="28"/>
        </w:rPr>
        <w:t>矿山设计</w:t>
      </w:r>
      <w:r>
        <w:rPr>
          <w:rFonts w:hint="default" w:ascii="Times New Roman" w:hAnsi="Times New Roman" w:eastAsia="宋体" w:cs="Times New Roman"/>
          <w:sz w:val="28"/>
          <w:szCs w:val="28"/>
        </w:rPr>
        <w:t>采用露天开采，自上而下分台阶式开采</w:t>
      </w:r>
      <w:r>
        <w:rPr>
          <w:rFonts w:hint="default" w:ascii="Times New Roman" w:hAnsi="Times New Roman" w:eastAsia="宋体" w:cs="Times New Roman"/>
          <w:kern w:val="0"/>
          <w:sz w:val="28"/>
          <w:szCs w:val="28"/>
        </w:rPr>
        <w:t>。</w:t>
      </w:r>
      <w:r>
        <w:rPr>
          <w:rFonts w:hint="default" w:ascii="Times New Roman" w:hAnsi="Times New Roman" w:eastAsia="宋体" w:cs="Times New Roman"/>
          <w:sz w:val="28"/>
          <w:szCs w:val="28"/>
        </w:rPr>
        <w:t>矿山开采矿石为石灰岩矿，产品主要为：矿石加工后的成品粒径≥4.75mm用作碎石，小于3.7mm用作细集料，其机制砂可适用于强度等级小于C30的混凝土和建筑用砂浆。</w:t>
      </w:r>
    </w:p>
    <w:p w14:paraId="1CC608D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根据</w:t>
      </w:r>
      <w:r>
        <w:rPr>
          <w:rFonts w:hint="default" w:ascii="Times New Roman" w:hAnsi="Times New Roman" w:eastAsia="宋体" w:cs="Times New Roman"/>
          <w:sz w:val="28"/>
          <w:szCs w:val="28"/>
          <w:lang w:val="en-GB"/>
        </w:rPr>
        <w:t>《建设项目安全设施“三同时”监督管理办法》（安监总局令[2010]36号，安监总局令[2015]77号修订）的相关规定，</w:t>
      </w:r>
      <w:r>
        <w:rPr>
          <w:rFonts w:hint="default" w:ascii="Times New Roman" w:hAnsi="Times New Roman" w:eastAsia="宋体" w:cs="Times New Roman"/>
          <w:color w:val="000000" w:themeColor="text1"/>
          <w:sz w:val="28"/>
          <w:szCs w:val="28"/>
          <w:lang w:val="en-GB"/>
          <w14:textFill>
            <w14:solidFill>
              <w14:schemeClr w14:val="tx1"/>
            </w14:solidFill>
          </w14:textFill>
        </w:rPr>
        <w:t>该项目属于改、扩项目，需要完善建设项目安全设施的“三同时”工作。为此，</w:t>
      </w:r>
      <w:r>
        <w:rPr>
          <w:rFonts w:hint="default" w:ascii="Times New Roman" w:hAnsi="Times New Roman" w:eastAsia="宋体" w:cs="Times New Roman"/>
          <w:snapToGrid w:val="0"/>
          <w:color w:val="000000" w:themeColor="text1"/>
          <w:kern w:val="0"/>
          <w:sz w:val="28"/>
          <w:szCs w:val="28"/>
          <w14:textFill>
            <w14:solidFill>
              <w14:schemeClr w14:val="tx1"/>
            </w14:solidFill>
          </w14:textFill>
        </w:rPr>
        <w:t>贵州新天喜工程机械有限公司</w:t>
      </w:r>
      <w:r>
        <w:rPr>
          <w:rFonts w:hint="default" w:ascii="Times New Roman" w:hAnsi="Times New Roman" w:eastAsia="宋体" w:cs="Times New Roman"/>
          <w:color w:val="000000" w:themeColor="text1"/>
          <w:sz w:val="28"/>
          <w:szCs w:val="28"/>
          <w:lang w:val="en-GB"/>
          <w14:textFill>
            <w14:solidFill>
              <w14:schemeClr w14:val="tx1"/>
            </w14:solidFill>
          </w14:textFill>
        </w:rPr>
        <w:t>特委托云南德成规划设计有限公司</w:t>
      </w:r>
      <w:r>
        <w:rPr>
          <w:rFonts w:hint="default" w:ascii="Times New Roman" w:hAnsi="Times New Roman" w:eastAsia="宋体" w:cs="Times New Roman"/>
          <w:color w:val="000000" w:themeColor="text1"/>
          <w:sz w:val="28"/>
          <w:szCs w:val="28"/>
          <w14:textFill>
            <w14:solidFill>
              <w14:schemeClr w14:val="tx1"/>
            </w14:solidFill>
          </w14:textFill>
        </w:rPr>
        <w:t>于2023年</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14:textFill>
            <w14:solidFill>
              <w14:schemeClr w14:val="tx1"/>
            </w14:solidFill>
          </w14:textFill>
        </w:rPr>
        <w:t>月</w:t>
      </w:r>
      <w:r>
        <w:rPr>
          <w:rFonts w:hint="default" w:ascii="Times New Roman" w:hAnsi="Times New Roman" w:eastAsia="宋体" w:cs="Times New Roman"/>
          <w:color w:val="000000" w:themeColor="text1"/>
          <w:sz w:val="28"/>
          <w:szCs w:val="28"/>
          <w:lang w:val="en-GB"/>
          <w14:textFill>
            <w14:solidFill>
              <w14:schemeClr w14:val="tx1"/>
            </w14:solidFill>
          </w14:textFill>
        </w:rPr>
        <w:t>编制</w:t>
      </w:r>
      <w:r>
        <w:rPr>
          <w:rFonts w:hint="default" w:ascii="Times New Roman" w:hAnsi="Times New Roman" w:eastAsia="宋体" w:cs="Times New Roman"/>
          <w:color w:val="000000" w:themeColor="text1"/>
          <w:sz w:val="28"/>
          <w:szCs w:val="28"/>
          <w14:textFill>
            <w14:solidFill>
              <w14:schemeClr w14:val="tx1"/>
            </w14:solidFill>
          </w14:textFill>
        </w:rPr>
        <w:t>了</w:t>
      </w:r>
      <w:r>
        <w:rPr>
          <w:rFonts w:hint="default" w:ascii="Times New Roman" w:hAnsi="Times New Roman" w:eastAsia="宋体" w:cs="Times New Roman"/>
          <w:color w:val="000000" w:themeColor="text1"/>
          <w:sz w:val="28"/>
          <w:szCs w:val="28"/>
          <w:lang w:val="en-GB"/>
          <w14:textFill>
            <w14:solidFill>
              <w14:schemeClr w14:val="tx1"/>
            </w14:solidFill>
          </w14:textFill>
        </w:rPr>
        <w:t>《鹤庆县河底普通建筑材料用石灰岩矿80万t/a露天采矿工程初步设计》，</w:t>
      </w:r>
      <w:r>
        <w:rPr>
          <w:rFonts w:hint="default" w:ascii="Times New Roman" w:hAnsi="Times New Roman" w:eastAsia="宋体" w:cs="Times New Roman"/>
          <w:color w:val="000000" w:themeColor="text1"/>
          <w:sz w:val="28"/>
          <w:szCs w:val="28"/>
          <w14:textFill>
            <w14:solidFill>
              <w14:schemeClr w14:val="tx1"/>
            </w14:solidFill>
          </w14:textFill>
        </w:rPr>
        <w:t>2023年4月24日委托</w:t>
      </w:r>
      <w:r>
        <w:rPr>
          <w:rFonts w:hint="default" w:ascii="Times New Roman" w:hAnsi="Times New Roman" w:eastAsia="宋体" w:cs="Times New Roman"/>
          <w:color w:val="000000" w:themeColor="text1"/>
          <w:sz w:val="28"/>
          <w:szCs w:val="28"/>
          <w:lang w:val="en-GB"/>
          <w14:textFill>
            <w14:solidFill>
              <w14:schemeClr w14:val="tx1"/>
            </w14:solidFill>
          </w14:textFill>
        </w:rPr>
        <w:t>辽宁诺诚安全科技有限公司</w:t>
      </w:r>
      <w:r>
        <w:rPr>
          <w:rFonts w:hint="default" w:ascii="Times New Roman" w:hAnsi="Times New Roman" w:eastAsia="宋体" w:cs="Times New Roman"/>
          <w:color w:val="000000" w:themeColor="text1"/>
          <w:sz w:val="28"/>
          <w:szCs w:val="28"/>
          <w14:textFill>
            <w14:solidFill>
              <w14:schemeClr w14:val="tx1"/>
            </w14:solidFill>
          </w14:textFill>
        </w:rPr>
        <w:t>负责编制安全预评价报告</w:t>
      </w:r>
      <w:r>
        <w:rPr>
          <w:rFonts w:hint="default" w:ascii="Times New Roman" w:hAnsi="Times New Roman" w:eastAsia="宋体" w:cs="Times New Roman"/>
          <w:color w:val="000000" w:themeColor="text1"/>
          <w:sz w:val="28"/>
          <w:szCs w:val="28"/>
          <w:lang w:val="en-GB"/>
          <w14:textFill>
            <w14:solidFill>
              <w14:schemeClr w14:val="tx1"/>
            </w14:solidFill>
          </w14:textFill>
        </w:rPr>
        <w:t>。</w:t>
      </w:r>
      <w:bookmarkEnd w:id="32"/>
    </w:p>
    <w:p w14:paraId="0D631198">
      <w:pPr>
        <w:pageBreakBefore w:val="0"/>
        <w:kinsoku/>
        <w:wordWrap/>
        <w:bidi w:val="0"/>
        <w:adjustRightInd w:val="0"/>
        <w:snapToGrid w:val="0"/>
        <w:spacing w:line="360" w:lineRule="auto"/>
        <w:ind w:firstLine="562" w:firstLineChars="200"/>
        <w:rPr>
          <w:rFonts w:hint="default" w:ascii="Times New Roman" w:hAnsi="Times New Roman" w:eastAsia="宋体" w:cs="Times New Roman"/>
          <w:b/>
          <w:color w:val="000000" w:themeColor="text1"/>
          <w:sz w:val="28"/>
          <w:szCs w:val="28"/>
          <w:lang w:val="en-GB"/>
          <w14:textFill>
            <w14:solidFill>
              <w14:schemeClr w14:val="tx1"/>
            </w14:solidFill>
          </w14:textFill>
        </w:rPr>
      </w:pPr>
      <w:r>
        <w:rPr>
          <w:rFonts w:hint="default" w:ascii="Times New Roman" w:hAnsi="Times New Roman" w:eastAsia="宋体" w:cs="Times New Roman"/>
          <w:b/>
          <w:color w:val="000000" w:themeColor="text1"/>
          <w:sz w:val="28"/>
          <w:szCs w:val="28"/>
          <w:lang w:val="en-GB"/>
          <w14:textFill>
            <w14:solidFill>
              <w14:schemeClr w14:val="tx1"/>
            </w14:solidFill>
          </w14:textFill>
        </w:rPr>
        <w:t>（1）营业执照：</w:t>
      </w:r>
    </w:p>
    <w:p w14:paraId="690B224F">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统一社会信用代码：91532932MACCQ8BE8R</w:t>
      </w:r>
    </w:p>
    <w:p w14:paraId="3E374C23">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名  称：</w:t>
      </w:r>
      <w:r>
        <w:rPr>
          <w:rFonts w:hint="default" w:ascii="Times New Roman" w:hAnsi="Times New Roman" w:eastAsia="宋体" w:cs="Times New Roman"/>
          <w:bCs/>
          <w:sz w:val="28"/>
          <w:szCs w:val="28"/>
        </w:rPr>
        <w:t>贵州新天喜工程机械有限公司鹤庆分公司</w:t>
      </w:r>
    </w:p>
    <w:p w14:paraId="38186836">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类  型：有限责任公司分公司（自然人投资或控股）</w:t>
      </w:r>
    </w:p>
    <w:p w14:paraId="64093302">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负责人：游天琪</w:t>
      </w:r>
    </w:p>
    <w:p w14:paraId="08709E7D">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成立日期：2023年03月21日</w:t>
      </w:r>
    </w:p>
    <w:p w14:paraId="5E63A233">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经营场所：云南省大理白族自治州鹤庆县金墩乡河底村委会树金岗村</w:t>
      </w:r>
    </w:p>
    <w:p w14:paraId="78F21523">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经营范围：许可项目：非煤矿山矿产资源开平（依法须经批准的项目，经相关部门批准后方可开展经营活动，具体经营项目以相关部门批准文件或许可证件为准）一般项目：机械设备销售，机械零件零部件加工，机械零件、零部件销售，农林牧副渔业专业机械的制造，农林牧副渔业专业机械的安装维修，农林牧渔机械配件销售，农业机械销售，报废农业机械回收，农林牧渔机械配件制造，农业机械服务，金属加工机械制造，农业机械制造机械设备租赁，农业机械租赁，电子、机械设备维护（不含特种设备）汽车拖车、求援、清障服务，建筑用石加工，矿物洗选加工，建筑材料销售，土石方工程施工（除依法须经批准的项目外，凭营业执照依法自主开展经营活动）。</w:t>
      </w:r>
    </w:p>
    <w:p w14:paraId="3A457A41">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登记日期：2023年03月21日</w:t>
      </w:r>
    </w:p>
    <w:p w14:paraId="102EED19">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登记机关：鹤庆县商务和市场监督管理局</w:t>
      </w:r>
    </w:p>
    <w:p w14:paraId="537C8F68">
      <w:pPr>
        <w:pageBreakBefore w:val="0"/>
        <w:kinsoku/>
        <w:wordWrap/>
        <w:bidi w:val="0"/>
        <w:adjustRightInd w:val="0"/>
        <w:snapToGrid w:val="0"/>
        <w:spacing w:line="360" w:lineRule="auto"/>
        <w:ind w:firstLine="562" w:firstLineChars="200"/>
        <w:rPr>
          <w:rFonts w:hint="default" w:ascii="Times New Roman" w:hAnsi="Times New Roman" w:eastAsia="宋体" w:cs="Times New Roman"/>
          <w:b/>
          <w:color w:val="000000" w:themeColor="text1"/>
          <w:sz w:val="28"/>
          <w:szCs w:val="28"/>
          <w:lang w:val="en-GB"/>
          <w14:textFill>
            <w14:solidFill>
              <w14:schemeClr w14:val="tx1"/>
            </w14:solidFill>
          </w14:textFill>
        </w:rPr>
      </w:pPr>
      <w:r>
        <w:rPr>
          <w:rFonts w:hint="default" w:ascii="Times New Roman" w:hAnsi="Times New Roman" w:eastAsia="宋体" w:cs="Times New Roman"/>
          <w:b/>
          <w:color w:val="000000" w:themeColor="text1"/>
          <w:sz w:val="28"/>
          <w:szCs w:val="28"/>
          <w:lang w:val="en-GB"/>
          <w14:textFill>
            <w14:solidFill>
              <w14:schemeClr w14:val="tx1"/>
            </w14:solidFill>
          </w14:textFill>
        </w:rPr>
        <w:t>（2）采矿许可证：</w:t>
      </w:r>
    </w:p>
    <w:p w14:paraId="71B3ECCE">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证号：C5329322022127150154465</w:t>
      </w:r>
    </w:p>
    <w:p w14:paraId="7344AE37">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采矿权人：贵州新天喜工程机械有限公司</w:t>
      </w:r>
    </w:p>
    <w:p w14:paraId="6D113FBD">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地    址：贵州省贵阳市花溪区上水村牛头坡</w:t>
      </w:r>
    </w:p>
    <w:p w14:paraId="11A722F6">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矿山名称：鹤庆县河底普通建筑材料用石灰岩矿</w:t>
      </w:r>
    </w:p>
    <w:p w14:paraId="5880B865">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经济类型：有限责任公司</w:t>
      </w:r>
    </w:p>
    <w:p w14:paraId="054639C1">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开采矿种：建筑石料用灰岩</w:t>
      </w:r>
    </w:p>
    <w:p w14:paraId="48177998">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开采方式：露天开采</w:t>
      </w:r>
    </w:p>
    <w:p w14:paraId="5CF5F138">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生产规模：80万吨/年</w:t>
      </w:r>
    </w:p>
    <w:p w14:paraId="76A8CC07">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矿区面积：0.1027平方公里</w:t>
      </w:r>
    </w:p>
    <w:p w14:paraId="03347651">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有效期：2022年12月20日至2032年12月20日</w:t>
      </w:r>
    </w:p>
    <w:p w14:paraId="668D3C12">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kern w:val="0"/>
          <w:sz w:val="28"/>
          <w:szCs w:val="28"/>
        </w:rPr>
      </w:pPr>
      <w:r>
        <w:rPr>
          <w:rFonts w:hint="default" w:ascii="Times New Roman" w:hAnsi="Times New Roman" w:eastAsia="宋体" w:cs="Times New Roman"/>
          <w:snapToGrid w:val="0"/>
          <w:kern w:val="0"/>
          <w:sz w:val="28"/>
          <w:szCs w:val="28"/>
        </w:rPr>
        <w:t>发证机关：鹤庆县自然资源局</w:t>
      </w:r>
    </w:p>
    <w:p w14:paraId="68ABFF61">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2.1.2 矿区地理位置及交通情况</w:t>
      </w:r>
    </w:p>
    <w:p w14:paraId="4A2CD7B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矿区位于鹤庆县城216°方向、平距约12.00Km，地处大理州鹤庆县金墩乡河底村境内。矿区地理坐标（西安80坐标）：</w:t>
      </w:r>
      <w:r>
        <w:rPr>
          <w:rFonts w:hint="default" w:ascii="Times New Roman" w:hAnsi="Times New Roman" w:eastAsia="宋体" w:cs="Times New Roman"/>
          <w:color w:val="000000"/>
          <w:sz w:val="28"/>
          <w:szCs w:val="21"/>
        </w:rPr>
        <w:t>东经100°09′11″~100°09′24″，北纬26°28′12″~26°28′30</w:t>
      </w:r>
      <w:r>
        <w:rPr>
          <w:rFonts w:hint="default" w:ascii="Times New Roman" w:hAnsi="Times New Roman" w:eastAsia="宋体" w:cs="Times New Roman"/>
          <w:kern w:val="0"/>
          <w:sz w:val="28"/>
          <w:szCs w:val="21"/>
        </w:rPr>
        <w:t>。</w:t>
      </w:r>
    </w:p>
    <w:p w14:paraId="3EA5121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矿山有简易公路与大（理）－丽（江）公路衔接，公路路程约1.8Km，矿区距鹤庆县城公路里程10.0Km，至大理州下关约140Km，至昆明470Km，交通较为方便。</w:t>
      </w:r>
    </w:p>
    <w:p w14:paraId="3E6C4AD0">
      <w:pPr>
        <w:pStyle w:val="39"/>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000000" w:themeColor="text1"/>
          <w:sz w:val="24"/>
          <w:szCs w:val="28"/>
          <w:lang w:val="en-GB"/>
          <w14:textFill>
            <w14:solidFill>
              <w14:schemeClr w14:val="tx1"/>
            </w14:solidFill>
          </w14:textFill>
        </w:rPr>
      </w:pPr>
      <w:r>
        <w:rPr>
          <w:rFonts w:hint="default" w:ascii="Times New Roman" w:hAnsi="Times New Roman" w:eastAsia="宋体" w:cs="Times New Roman"/>
          <w:b/>
          <w:color w:val="000000" w:themeColor="text1"/>
          <w:sz w:val="24"/>
          <w:szCs w:val="28"/>
          <w:lang w:val="en-GB"/>
          <w14:textFill>
            <w14:solidFill>
              <w14:schemeClr w14:val="tx1"/>
            </w14:solidFill>
          </w14:textFill>
        </w:rPr>
        <w:t>图2.1-1</w:t>
      </w:r>
      <w:r>
        <w:rPr>
          <w:rFonts w:hint="default" w:ascii="Times New Roman" w:hAnsi="Times New Roman" w:eastAsia="宋体" w:cs="Times New Roman"/>
          <w:b/>
          <w:color w:val="000000" w:themeColor="text1"/>
          <w:sz w:val="24"/>
          <w:szCs w:val="28"/>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4"/>
          <w:szCs w:val="28"/>
          <w:lang w:val="en-GB"/>
          <w14:textFill>
            <w14:solidFill>
              <w14:schemeClr w14:val="tx1"/>
            </w14:solidFill>
          </w14:textFill>
        </w:rPr>
        <w:t xml:space="preserve"> 交通位置图</w:t>
      </w:r>
    </w:p>
    <w:p w14:paraId="014F7D2F">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2.1.3 矿区周边环境</w:t>
      </w:r>
    </w:p>
    <w:p w14:paraId="69F79686">
      <w:pPr>
        <w:pageBreakBefore w:val="0"/>
        <w:kinsoku/>
        <w:wordWrap/>
        <w:bidi w:val="0"/>
        <w:adjustRightInd w:val="0"/>
        <w:snapToGrid w:val="0"/>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bookmarkStart w:id="33" w:name="_Hlk129349734"/>
      <w:bookmarkStart w:id="34" w:name="_Hlk85639330"/>
      <w:bookmarkStart w:id="35" w:name="_Hlk93053657"/>
      <w:r>
        <w:rPr>
          <w:rFonts w:hint="default" w:ascii="Times New Roman" w:hAnsi="Times New Roman" w:cs="Times New Roman"/>
          <w:color w:val="000000" w:themeColor="text1"/>
          <w:sz w:val="28"/>
          <w:szCs w:val="28"/>
          <w14:textFill>
            <w14:solidFill>
              <w14:schemeClr w14:val="tx1"/>
            </w14:solidFill>
          </w14:textFill>
        </w:rPr>
        <w:t>矿区东面287m处为鹤庆县金墩乡仙人洞石料厂普通建筑材料用灰岩矿，东北面70m为仙人洞采石场的破碎站（已签订安全协议）；矿区西面244m为矿权已经注销的废弃采石场；东南面205m处为</w:t>
      </w:r>
      <w:bookmarkEnd w:id="33"/>
      <w:r>
        <w:rPr>
          <w:rFonts w:hint="default" w:ascii="Times New Roman" w:hAnsi="Times New Roman" w:cs="Times New Roman"/>
          <w:color w:val="000000" w:themeColor="text1"/>
          <w:sz w:val="28"/>
          <w:szCs w:val="28"/>
          <w14:textFill>
            <w14:solidFill>
              <w14:schemeClr w14:val="tx1"/>
            </w14:solidFill>
          </w14:textFill>
        </w:rPr>
        <w:t>该矿山破碎站。</w:t>
      </w:r>
      <w:bookmarkEnd w:id="34"/>
    </w:p>
    <w:p w14:paraId="5AE1F23B">
      <w:pPr>
        <w:pageBreakBefore w:val="0"/>
        <w:kinsoku/>
        <w:wordWrap/>
        <w:bidi w:val="0"/>
        <w:adjustRightInd w:val="0"/>
        <w:snapToGrid w:val="0"/>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矿权西北面372m处为500kV黄太甲线、西北面372m处有500kV黄太甲线047号电塔；矿权西面336m处为500kV黄太乙线。矿山已经与高压线所有方签订协议。</w:t>
      </w:r>
    </w:p>
    <w:p w14:paraId="5FA20DB8">
      <w:pPr>
        <w:pageBreakBefore w:val="0"/>
        <w:kinsoku/>
        <w:wordWrap/>
        <w:bidi w:val="0"/>
        <w:adjustRightInd w:val="0"/>
        <w:snapToGrid w:val="0"/>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sectPr>
          <w:headerReference r:id="rId6" w:type="default"/>
          <w:footerReference r:id="rId7" w:type="default"/>
          <w:pgSz w:w="11906" w:h="16838"/>
          <w:pgMar w:top="1417" w:right="1134" w:bottom="1134" w:left="1587" w:header="851" w:footer="992" w:gutter="0"/>
          <w:pgNumType w:start="1"/>
          <w:cols w:space="0" w:num="1"/>
          <w:rtlGutter w:val="0"/>
          <w:docGrid w:type="lines" w:linePitch="312" w:charSpace="0"/>
        </w:sectPr>
      </w:pPr>
      <w:r>
        <w:rPr>
          <w:rFonts w:hint="default" w:ascii="Times New Roman" w:hAnsi="Times New Roman" w:cs="Times New Roman"/>
          <w:color w:val="000000" w:themeColor="text1"/>
          <w:sz w:val="28"/>
          <w:szCs w:val="28"/>
          <w14:textFill>
            <w14:solidFill>
              <w14:schemeClr w14:val="tx1"/>
            </w14:solidFill>
          </w14:textFill>
        </w:rPr>
        <w:t>矿区未在“四区”（城市规划区、风景名胜区、重要水源区、重要地质遗迹区）范围内，周边300m范围内无通信设施，1000m范围内没有铁路线；开采范围内无田地、无矿权争议等问题</w:t>
      </w:r>
      <w:bookmarkEnd w:id="35"/>
      <w:r>
        <w:rPr>
          <w:rFonts w:hint="default" w:ascii="Times New Roman" w:hAnsi="Times New Roman" w:cs="Times New Roman"/>
          <w:color w:val="000000" w:themeColor="text1"/>
          <w:sz w:val="28"/>
          <w:szCs w:val="28"/>
          <w14:textFill>
            <w14:solidFill>
              <w14:schemeClr w14:val="tx1"/>
            </w14:solidFill>
          </w14:textFill>
        </w:rPr>
        <w:t>。</w:t>
      </w:r>
    </w:p>
    <w:p w14:paraId="714F7F8E">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36" w:name="_Toc24922"/>
      <w:bookmarkStart w:id="37" w:name="_Toc2770"/>
      <w:r>
        <w:rPr>
          <w:rFonts w:hint="default" w:ascii="Times New Roman" w:hAnsi="Times New Roman" w:cs="Times New Roman"/>
          <w:b/>
          <w:bCs w:val="0"/>
          <w:color w:val="000000" w:themeColor="text1"/>
          <w:lang w:val="en-GB"/>
          <w14:textFill>
            <w14:solidFill>
              <w14:schemeClr w14:val="tx1"/>
            </w14:solidFill>
          </w14:textFill>
        </w:rPr>
        <w:t>2.2 自然环境及经济概况</w:t>
      </w:r>
      <w:bookmarkEnd w:id="36"/>
      <w:bookmarkEnd w:id="37"/>
    </w:p>
    <w:p w14:paraId="5086BA78">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2.2.1 地形地貌</w:t>
      </w:r>
    </w:p>
    <w:p w14:paraId="0E64DD6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位于横断山脉的南西部，山脉近南北向排列。区内地势东部和西部较高，中部金沙江流域较低。区内最高点为马鞍山，海拔高程3958m，最低点为河底箐东出口与东山河交汇处，海拔高程2350m，相对高差1608m，为深切割高山地貌。</w:t>
      </w:r>
    </w:p>
    <w:p w14:paraId="60B2BB4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矿区位于鹤庆盆地南西侧，金墩坝区边缘南西侧山坡坡脚部位，区内最低海拔2350m（为矿区最低侵蚀基准面），最高海拔2525m，相对高差170m，自然坡度为10°~20°。区内属浅切割构造剥蚀低中山地貌，植被弱发育。</w:t>
      </w:r>
    </w:p>
    <w:p w14:paraId="47147B9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1：300万《中国地震强度区域图》，矿区位于青藏高原中部地震区南部，川滇地震亚区中部，鹤庆县及邻区历史上曾多次发生强烈地震。如永胜县、大理、剑川、丽江等曾发生过5-8级地震。据1：400万《中国地震动参数区划图》（GB 18306-2015）和和《云南省地震动峰值加速度区划示意图》资料，矿区地震动峰加速度值为0.30g，地震动反映普特征周期为0.45s，地震基本烈度为Ⅷ。设计地震分组为第二组。根据云南省国土资源遥感综合调查成果，矿区处于区域地壳次不稳定区。</w:t>
      </w:r>
    </w:p>
    <w:p w14:paraId="4AC5DC46">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2.2.2 水文、气象</w:t>
      </w:r>
    </w:p>
    <w:p w14:paraId="354B45B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区内主要河流为季节性河流河底箐，河水主要由降雨、地表水注入，水量随季节变化，雨季大，旱季小，河底箐由西向东流入东山河，东山河向北东流入中江河，中江河向东汇入金沙江，区内水系属金沙江水系。</w:t>
      </w:r>
    </w:p>
    <w:p w14:paraId="3EAF91B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区内属冬干夏湿的高原季风气候。辐射强，日照时间长，雨热同季，干湿分明，夏季多雨，冬春多旱，据鹤庆气象站观测资料统计，最高气温30.9℃，最低气温-7℃，年平均气温13.5℃。年降雨量</w:t>
      </w:r>
      <w:r>
        <w:rPr>
          <w:rFonts w:hint="default" w:ascii="Times New Roman" w:hAnsi="Times New Roman" w:eastAsia="宋体" w:cs="Times New Roman"/>
          <w:color w:val="000000"/>
          <w:sz w:val="28"/>
          <w:szCs w:val="21"/>
        </w:rPr>
        <w:t>908.5～1663.3mm，多年平均降水量1033mm，</w:t>
      </w:r>
      <w:r>
        <w:rPr>
          <w:rFonts w:hint="default" w:ascii="Times New Roman" w:hAnsi="Times New Roman" w:eastAsia="宋体" w:cs="Times New Roman"/>
          <w:sz w:val="28"/>
          <w:szCs w:val="21"/>
        </w:rPr>
        <w:t>雨量多集中在6-10月，</w:t>
      </w:r>
      <w:r>
        <w:rPr>
          <w:rFonts w:hint="default" w:ascii="Times New Roman" w:hAnsi="Times New Roman" w:eastAsia="宋体" w:cs="Times New Roman"/>
          <w:color w:val="000000"/>
          <w:sz w:val="28"/>
          <w:szCs w:val="21"/>
        </w:rPr>
        <w:t>平均129天，</w:t>
      </w:r>
      <w:r>
        <w:rPr>
          <w:rFonts w:hint="default" w:ascii="Times New Roman" w:hAnsi="Times New Roman" w:eastAsia="宋体" w:cs="Times New Roman"/>
          <w:sz w:val="28"/>
          <w:szCs w:val="21"/>
        </w:rPr>
        <w:t>占全年降雨量的80%，11月至次年3月为干季，年均日照2293.6小时，年均无霜期为210天左右，</w:t>
      </w:r>
      <w:r>
        <w:rPr>
          <w:rFonts w:hint="default" w:ascii="Times New Roman" w:hAnsi="Times New Roman" w:eastAsia="宋体" w:cs="Times New Roman"/>
          <w:color w:val="000000"/>
          <w:sz w:val="28"/>
          <w:szCs w:val="21"/>
        </w:rPr>
        <w:t>年平均相对湿度75%，潮湿系数（KB）0.67</w:t>
      </w:r>
      <w:r>
        <w:rPr>
          <w:rFonts w:hint="default" w:ascii="Times New Roman" w:hAnsi="Times New Roman" w:eastAsia="宋体" w:cs="Times New Roman"/>
          <w:sz w:val="28"/>
          <w:szCs w:val="21"/>
        </w:rPr>
        <w:t>；冬春多西南风，常为2-3级，少数高达5-6级，最大风速12.5m/s。</w:t>
      </w:r>
    </w:p>
    <w:p w14:paraId="76773A4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2.2.3 经济概况</w:t>
      </w:r>
    </w:p>
    <w:p w14:paraId="71F89B5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38" w:name="_Toc14679"/>
      <w:r>
        <w:rPr>
          <w:rFonts w:hint="default" w:ascii="Times New Roman" w:hAnsi="Times New Roman" w:eastAsia="宋体" w:cs="Times New Roman"/>
          <w:sz w:val="28"/>
          <w:szCs w:val="21"/>
        </w:rPr>
        <w:t>金墩乡位于鹤庆县南部，金墩乡辖17个村委会，有109个自然村，总户数为10620户，总人口为38215人。居住着白、汉、彝、纳西、傈僳、回、藏、苗、怒等民族，少数民族人口为29639人，占总人口的78.95%，主要少数民族是白族，共有29110人，主要以农业为主，农作物有水稻、小麦、玉米、土豆、蚕豆等。经济来源主要为烤烟，少量蚕桑及运输等。本地交通虽然便利，但比较贫困，总体生活水平一般。随着国家政策转变，区内的砂石矿企业蓬勃发展，已成为区内经济的重要组成部分，并为地方的经济发展做出了应有贡献，同时带来了较好的经济效益和良好的社会效益。</w:t>
      </w:r>
    </w:p>
    <w:p w14:paraId="37AFFAB8">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39" w:name="_Toc11123"/>
      <w:r>
        <w:rPr>
          <w:rFonts w:hint="default" w:ascii="Times New Roman" w:hAnsi="Times New Roman" w:cs="Times New Roman"/>
          <w:b/>
          <w:bCs w:val="0"/>
          <w:color w:val="000000" w:themeColor="text1"/>
          <w:lang w:val="en-GB"/>
          <w14:textFill>
            <w14:solidFill>
              <w14:schemeClr w14:val="tx1"/>
            </w14:solidFill>
          </w14:textFill>
        </w:rPr>
        <w:t>2.3 区域地质概况</w:t>
      </w:r>
      <w:bookmarkEnd w:id="38"/>
      <w:bookmarkEnd w:id="39"/>
    </w:p>
    <w:p w14:paraId="4C6D10D0">
      <w:pPr>
        <w:keepNext/>
        <w:keepLines/>
        <w:pageBreakBefore w:val="0"/>
        <w:kinsoku/>
        <w:wordWrap/>
        <w:bidi w:val="0"/>
        <w:adjustRightInd w:val="0"/>
        <w:snapToGrid w:val="0"/>
        <w:spacing w:line="360" w:lineRule="auto"/>
        <w:ind w:firstLine="560"/>
        <w:rPr>
          <w:rFonts w:hint="default" w:ascii="Times New Roman" w:hAnsi="Times New Roman" w:cs="Times New Roman"/>
        </w:rPr>
      </w:pPr>
      <w:bookmarkStart w:id="40" w:name="_Hlk93053807"/>
      <w:r>
        <w:rPr>
          <w:rFonts w:hint="default" w:ascii="Times New Roman" w:hAnsi="Times New Roman" w:eastAsia="宋体" w:cs="Times New Roman"/>
          <w:sz w:val="28"/>
          <w:szCs w:val="21"/>
        </w:rPr>
        <w:t>矿山地质资料来源于2019年11月大理鑫峰矿业技术服务有限责任公司提交的《云南省鹤庆县河底村普通建筑材料用石灰岩矿资源储量核实报告》（2019）和《云南省鹤庆县河底村普通建筑材料用石灰岩矿外围接替资源勘查报告》（2019）。</w:t>
      </w:r>
      <w:bookmarkEnd w:id="40"/>
    </w:p>
    <w:p w14:paraId="18A186D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2.3.1 </w:t>
      </w:r>
      <w:r>
        <w:rPr>
          <w:rFonts w:hint="default" w:ascii="Times New Roman" w:hAnsi="Times New Roman" w:eastAsia="宋体" w:cs="Times New Roman"/>
          <w:b/>
          <w:bCs w:val="0"/>
          <w:color w:val="000000" w:themeColor="text1"/>
          <w:sz w:val="28"/>
          <w14:textFill>
            <w14:solidFill>
              <w14:schemeClr w14:val="tx1"/>
            </w14:solidFill>
          </w14:textFill>
        </w:rPr>
        <w:t>区域</w:t>
      </w:r>
      <w:r>
        <w:rPr>
          <w:rFonts w:hint="default" w:ascii="Times New Roman" w:hAnsi="Times New Roman" w:eastAsia="宋体" w:cs="Times New Roman"/>
          <w:b/>
          <w:bCs w:val="0"/>
          <w:color w:val="000000" w:themeColor="text1"/>
          <w:sz w:val="28"/>
          <w:lang w:val="en-GB"/>
          <w14:textFill>
            <w14:solidFill>
              <w14:schemeClr w14:val="tx1"/>
            </w14:solidFill>
          </w14:textFill>
        </w:rPr>
        <w:t>地质</w:t>
      </w:r>
    </w:p>
    <w:p w14:paraId="5EC2DD4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41" w:name="_Toc6114"/>
      <w:bookmarkStart w:id="42" w:name="_Toc29148210"/>
      <w:r>
        <w:rPr>
          <w:rFonts w:hint="default" w:ascii="Times New Roman" w:hAnsi="Times New Roman" w:eastAsia="宋体" w:cs="Times New Roman"/>
          <w:sz w:val="28"/>
          <w:szCs w:val="21"/>
        </w:rPr>
        <w:t>一、区域地层</w:t>
      </w:r>
      <w:bookmarkEnd w:id="41"/>
      <w:bookmarkEnd w:id="42"/>
    </w:p>
    <w:p w14:paraId="75AB54C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43" w:name="_Toc29148211"/>
      <w:bookmarkStart w:id="44" w:name="_Toc21286"/>
      <w:bookmarkStart w:id="45" w:name="_Toc50592425"/>
      <w:r>
        <w:rPr>
          <w:rFonts w:hint="default" w:ascii="Times New Roman" w:hAnsi="Times New Roman" w:eastAsia="宋体" w:cs="Times New Roman"/>
          <w:sz w:val="28"/>
          <w:szCs w:val="21"/>
        </w:rPr>
        <w:t>区内主要出露新生界第四系全新统（Qh）、更新统（Qp）、</w:t>
      </w:r>
      <w:r>
        <w:rPr>
          <w:rFonts w:hint="default" w:ascii="Times New Roman" w:hAnsi="Times New Roman" w:eastAsia="宋体" w:cs="Times New Roman"/>
          <w:color w:val="000000"/>
          <w:sz w:val="28"/>
          <w:szCs w:val="21"/>
        </w:rPr>
        <w:t>下第三系</w:t>
      </w:r>
      <w:r>
        <w:rPr>
          <w:rFonts w:hint="default" w:ascii="Times New Roman" w:hAnsi="Times New Roman" w:eastAsia="宋体" w:cs="Times New Roman"/>
          <w:sz w:val="28"/>
          <w:szCs w:val="21"/>
        </w:rPr>
        <w:t>（E），中生界三叠系上统松桂组（T</w:t>
      </w:r>
      <w:r>
        <w:rPr>
          <w:rFonts w:hint="default" w:ascii="Times New Roman" w:hAnsi="Times New Roman" w:eastAsia="宋体" w:cs="Times New Roman"/>
          <w:sz w:val="28"/>
          <w:szCs w:val="21"/>
          <w:vertAlign w:val="subscript"/>
        </w:rPr>
        <w:t>3</w:t>
      </w:r>
      <w:r>
        <w:rPr>
          <w:rFonts w:hint="default" w:ascii="Times New Roman" w:hAnsi="Times New Roman" w:eastAsia="宋体" w:cs="Times New Roman"/>
          <w:sz w:val="28"/>
          <w:szCs w:val="21"/>
        </w:rPr>
        <w:t>sn）、中窝组（T</w:t>
      </w:r>
      <w:r>
        <w:rPr>
          <w:rFonts w:hint="default" w:ascii="Times New Roman" w:hAnsi="Times New Roman" w:eastAsia="宋体" w:cs="Times New Roman"/>
          <w:sz w:val="28"/>
          <w:szCs w:val="21"/>
          <w:vertAlign w:val="subscript"/>
        </w:rPr>
        <w:t>3</w:t>
      </w:r>
      <w:r>
        <w:rPr>
          <w:rFonts w:hint="default" w:ascii="Times New Roman" w:hAnsi="Times New Roman" w:eastAsia="宋体" w:cs="Times New Roman"/>
          <w:sz w:val="28"/>
          <w:szCs w:val="21"/>
        </w:rPr>
        <w:t>z），中统北衙组（T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b）、下统（T</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）地层，见区域地质图2-2，各地层层序及岩性见表2.3-1。</w:t>
      </w:r>
    </w:p>
    <w:p w14:paraId="0BD77772">
      <w:pPr>
        <w:keepNext/>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18"/>
        </w:rPr>
      </w:pPr>
      <w:r>
        <w:rPr>
          <w:rFonts w:hint="default" w:ascii="Times New Roman" w:hAnsi="Times New Roman" w:eastAsia="宋体" w:cs="Times New Roman"/>
          <w:b/>
          <w:kern w:val="0"/>
          <w:sz w:val="24"/>
          <w:szCs w:val="18"/>
        </w:rPr>
        <w:t>表2.3-1  区域主要地层层序及岩性一览表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669"/>
        <w:gridCol w:w="888"/>
        <w:gridCol w:w="901"/>
        <w:gridCol w:w="754"/>
        <w:gridCol w:w="1559"/>
        <w:gridCol w:w="4177"/>
      </w:tblGrid>
      <w:tr w14:paraId="06C8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49" w:type="pct"/>
            <w:gridSpan w:val="5"/>
            <w:vAlign w:val="center"/>
          </w:tcPr>
          <w:p w14:paraId="10183CAB">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地   质  代  号</w:t>
            </w:r>
          </w:p>
        </w:tc>
        <w:tc>
          <w:tcPr>
            <w:tcW w:w="829" w:type="pct"/>
            <w:vAlign w:val="center"/>
          </w:tcPr>
          <w:p w14:paraId="1B5742A6">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层厚（m）</w:t>
            </w:r>
          </w:p>
        </w:tc>
        <w:tc>
          <w:tcPr>
            <w:tcW w:w="2221" w:type="pct"/>
            <w:vMerge w:val="restart"/>
            <w:vAlign w:val="center"/>
          </w:tcPr>
          <w:p w14:paraId="2CD925B0">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岩  性  描  述</w:t>
            </w:r>
          </w:p>
        </w:tc>
      </w:tr>
      <w:tr w14:paraId="0F81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41" w:type="pct"/>
            <w:vAlign w:val="center"/>
          </w:tcPr>
          <w:p w14:paraId="4066D2A5">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界</w:t>
            </w:r>
          </w:p>
        </w:tc>
        <w:tc>
          <w:tcPr>
            <w:tcW w:w="356" w:type="pct"/>
            <w:vAlign w:val="center"/>
          </w:tcPr>
          <w:p w14:paraId="71D8AC7C">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系</w:t>
            </w:r>
          </w:p>
        </w:tc>
        <w:tc>
          <w:tcPr>
            <w:tcW w:w="472" w:type="pct"/>
            <w:vAlign w:val="center"/>
          </w:tcPr>
          <w:p w14:paraId="75DE9E90">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统</w:t>
            </w:r>
          </w:p>
        </w:tc>
        <w:tc>
          <w:tcPr>
            <w:tcW w:w="479" w:type="pct"/>
            <w:vAlign w:val="center"/>
          </w:tcPr>
          <w:p w14:paraId="37CEEB3D">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组</w:t>
            </w:r>
          </w:p>
        </w:tc>
        <w:tc>
          <w:tcPr>
            <w:tcW w:w="399" w:type="pct"/>
            <w:vAlign w:val="center"/>
          </w:tcPr>
          <w:p w14:paraId="49B93911">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p>
        </w:tc>
        <w:tc>
          <w:tcPr>
            <w:tcW w:w="829" w:type="pct"/>
            <w:vAlign w:val="center"/>
          </w:tcPr>
          <w:p w14:paraId="48BB84B4">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p>
        </w:tc>
        <w:tc>
          <w:tcPr>
            <w:tcW w:w="2221" w:type="pct"/>
            <w:vMerge w:val="continue"/>
            <w:vAlign w:val="center"/>
          </w:tcPr>
          <w:p w14:paraId="1A8E2F70">
            <w:pPr>
              <w:pageBreakBefore w:val="0"/>
              <w:kinsoku/>
              <w:wordWrap/>
              <w:bidi w:val="0"/>
              <w:adjustRightInd w:val="0"/>
              <w:snapToGrid w:val="0"/>
              <w:spacing w:line="360" w:lineRule="auto"/>
              <w:jc w:val="center"/>
              <w:rPr>
                <w:rFonts w:hint="default" w:ascii="Times New Roman" w:hAnsi="Times New Roman" w:eastAsia="宋体" w:cs="Times New Roman"/>
                <w:b/>
                <w:bCs/>
                <w:szCs w:val="21"/>
              </w:rPr>
            </w:pPr>
          </w:p>
        </w:tc>
      </w:tr>
      <w:tr w14:paraId="2BD0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restart"/>
            <w:vAlign w:val="center"/>
          </w:tcPr>
          <w:p w14:paraId="7C7D040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新</w:t>
            </w:r>
          </w:p>
          <w:p w14:paraId="239E85C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生</w:t>
            </w:r>
          </w:p>
          <w:p w14:paraId="4DB6F3E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界</w:t>
            </w:r>
          </w:p>
        </w:tc>
        <w:tc>
          <w:tcPr>
            <w:tcW w:w="356" w:type="pct"/>
            <w:vMerge w:val="restart"/>
            <w:vAlign w:val="center"/>
          </w:tcPr>
          <w:p w14:paraId="3C7078F0">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第四</w:t>
            </w:r>
          </w:p>
          <w:p w14:paraId="2494711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系</w:t>
            </w:r>
          </w:p>
        </w:tc>
        <w:tc>
          <w:tcPr>
            <w:tcW w:w="472" w:type="pct"/>
            <w:vAlign w:val="center"/>
          </w:tcPr>
          <w:p w14:paraId="4DE0701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全新</w:t>
            </w:r>
          </w:p>
          <w:p w14:paraId="7D1F3AC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统</w:t>
            </w:r>
          </w:p>
        </w:tc>
        <w:tc>
          <w:tcPr>
            <w:tcW w:w="479" w:type="pct"/>
            <w:vAlign w:val="center"/>
          </w:tcPr>
          <w:p w14:paraId="38849A69">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99" w:type="pct"/>
            <w:vAlign w:val="center"/>
          </w:tcPr>
          <w:p w14:paraId="349C3F4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Qh</w:t>
            </w:r>
          </w:p>
        </w:tc>
        <w:tc>
          <w:tcPr>
            <w:tcW w:w="829" w:type="pct"/>
            <w:vAlign w:val="center"/>
          </w:tcPr>
          <w:p w14:paraId="0A43D8F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0-100</w:t>
            </w:r>
          </w:p>
        </w:tc>
        <w:tc>
          <w:tcPr>
            <w:tcW w:w="2221" w:type="pct"/>
            <w:vAlign w:val="center"/>
          </w:tcPr>
          <w:p w14:paraId="2FE870E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坡积、洪积、冲积、湖积砂砾石、粘土，呈疏松状，分布不均匀，该层厚度变化大，与下伏地层呈不整合接触。</w:t>
            </w:r>
          </w:p>
        </w:tc>
      </w:tr>
      <w:tr w14:paraId="0FB8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2EB59DFD">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Merge w:val="continue"/>
            <w:vAlign w:val="center"/>
          </w:tcPr>
          <w:p w14:paraId="4F925B26">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2" w:type="pct"/>
            <w:vAlign w:val="center"/>
          </w:tcPr>
          <w:p w14:paraId="005E993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更新统</w:t>
            </w:r>
          </w:p>
        </w:tc>
        <w:tc>
          <w:tcPr>
            <w:tcW w:w="479" w:type="pct"/>
            <w:vAlign w:val="center"/>
          </w:tcPr>
          <w:p w14:paraId="64CCEBB8">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99" w:type="pct"/>
            <w:vAlign w:val="center"/>
          </w:tcPr>
          <w:p w14:paraId="5687B2B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Qp</w:t>
            </w:r>
          </w:p>
        </w:tc>
        <w:tc>
          <w:tcPr>
            <w:tcW w:w="829" w:type="pct"/>
            <w:vAlign w:val="center"/>
          </w:tcPr>
          <w:p w14:paraId="39E27B5A">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0-90</w:t>
            </w:r>
          </w:p>
        </w:tc>
        <w:tc>
          <w:tcPr>
            <w:tcW w:w="2221" w:type="pct"/>
            <w:vAlign w:val="center"/>
          </w:tcPr>
          <w:p w14:paraId="0B33333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湖积灰、黄色砂屑及粘土屑</w:t>
            </w:r>
          </w:p>
        </w:tc>
      </w:tr>
      <w:tr w14:paraId="2154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0F45183A">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Align w:val="center"/>
          </w:tcPr>
          <w:p w14:paraId="48D5CEEA">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下第三系</w:t>
            </w:r>
          </w:p>
        </w:tc>
        <w:tc>
          <w:tcPr>
            <w:tcW w:w="472" w:type="pct"/>
            <w:vAlign w:val="center"/>
          </w:tcPr>
          <w:p w14:paraId="6284FD95">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9" w:type="pct"/>
            <w:vAlign w:val="center"/>
          </w:tcPr>
          <w:p w14:paraId="5977B842">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99" w:type="pct"/>
            <w:vAlign w:val="center"/>
          </w:tcPr>
          <w:p w14:paraId="78B53AE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E</w:t>
            </w:r>
          </w:p>
        </w:tc>
        <w:tc>
          <w:tcPr>
            <w:tcW w:w="829" w:type="pct"/>
            <w:vAlign w:val="center"/>
          </w:tcPr>
          <w:p w14:paraId="7A70351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1132.7</w:t>
            </w:r>
          </w:p>
        </w:tc>
        <w:tc>
          <w:tcPr>
            <w:tcW w:w="2221" w:type="pct"/>
            <w:vAlign w:val="center"/>
          </w:tcPr>
          <w:p w14:paraId="0268222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紫色块状石灰质角砾岩及紫色细粒石英砂岩、砂质页岩</w:t>
            </w:r>
          </w:p>
        </w:tc>
      </w:tr>
      <w:tr w14:paraId="457E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restart"/>
            <w:vAlign w:val="center"/>
          </w:tcPr>
          <w:p w14:paraId="29668BD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中</w:t>
            </w:r>
          </w:p>
          <w:p w14:paraId="6A719A9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生</w:t>
            </w:r>
          </w:p>
          <w:p w14:paraId="31A5411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界</w:t>
            </w:r>
          </w:p>
        </w:tc>
        <w:tc>
          <w:tcPr>
            <w:tcW w:w="356" w:type="pct"/>
            <w:vMerge w:val="restart"/>
            <w:vAlign w:val="center"/>
          </w:tcPr>
          <w:p w14:paraId="31A5631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三叠系</w:t>
            </w:r>
          </w:p>
        </w:tc>
        <w:tc>
          <w:tcPr>
            <w:tcW w:w="472" w:type="pct"/>
            <w:vMerge w:val="restart"/>
            <w:vAlign w:val="center"/>
          </w:tcPr>
          <w:p w14:paraId="489D5B80">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上统</w:t>
            </w:r>
          </w:p>
        </w:tc>
        <w:tc>
          <w:tcPr>
            <w:tcW w:w="479" w:type="pct"/>
            <w:vAlign w:val="center"/>
          </w:tcPr>
          <w:p w14:paraId="2458317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松桂组</w:t>
            </w:r>
          </w:p>
        </w:tc>
        <w:tc>
          <w:tcPr>
            <w:tcW w:w="399" w:type="pct"/>
            <w:vAlign w:val="center"/>
          </w:tcPr>
          <w:p w14:paraId="662AC8D0">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T</w:t>
            </w:r>
            <w:r>
              <w:rPr>
                <w:rFonts w:hint="default" w:ascii="Times New Roman" w:hAnsi="Times New Roman" w:eastAsia="宋体" w:cs="Times New Roman"/>
                <w:szCs w:val="21"/>
                <w:vertAlign w:val="subscript"/>
              </w:rPr>
              <w:t>3</w:t>
            </w:r>
            <w:r>
              <w:rPr>
                <w:rFonts w:hint="default" w:ascii="Times New Roman" w:hAnsi="Times New Roman" w:eastAsia="宋体" w:cs="Times New Roman"/>
                <w:szCs w:val="21"/>
              </w:rPr>
              <w:t>sn</w:t>
            </w:r>
          </w:p>
        </w:tc>
        <w:tc>
          <w:tcPr>
            <w:tcW w:w="829" w:type="pct"/>
            <w:vAlign w:val="center"/>
          </w:tcPr>
          <w:p w14:paraId="5BEC429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520-1069.1</w:t>
            </w:r>
          </w:p>
        </w:tc>
        <w:tc>
          <w:tcPr>
            <w:tcW w:w="2221" w:type="pct"/>
            <w:vAlign w:val="center"/>
          </w:tcPr>
          <w:p w14:paraId="75D36F2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灰绿色砾岩、砂岩、页岩夹煤质页岩及煤</w:t>
            </w:r>
          </w:p>
        </w:tc>
      </w:tr>
      <w:tr w14:paraId="6436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72B16B55">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Merge w:val="continue"/>
            <w:vAlign w:val="center"/>
          </w:tcPr>
          <w:p w14:paraId="652ECFAD">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2" w:type="pct"/>
            <w:vMerge w:val="continue"/>
            <w:vAlign w:val="center"/>
          </w:tcPr>
          <w:p w14:paraId="5E2A9DE1">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9" w:type="pct"/>
            <w:vAlign w:val="center"/>
          </w:tcPr>
          <w:p w14:paraId="27FA1D8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中窝组</w:t>
            </w:r>
          </w:p>
        </w:tc>
        <w:tc>
          <w:tcPr>
            <w:tcW w:w="399" w:type="pct"/>
            <w:vAlign w:val="center"/>
          </w:tcPr>
          <w:p w14:paraId="36BC593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T</w:t>
            </w:r>
            <w:r>
              <w:rPr>
                <w:rFonts w:hint="default" w:ascii="Times New Roman" w:hAnsi="Times New Roman" w:eastAsia="宋体" w:cs="Times New Roman"/>
                <w:szCs w:val="21"/>
                <w:vertAlign w:val="subscript"/>
              </w:rPr>
              <w:t>3</w:t>
            </w:r>
            <w:r>
              <w:rPr>
                <w:rFonts w:hint="default" w:ascii="Times New Roman" w:hAnsi="Times New Roman" w:eastAsia="宋体" w:cs="Times New Roman"/>
                <w:szCs w:val="21"/>
              </w:rPr>
              <w:t>z</w:t>
            </w:r>
          </w:p>
        </w:tc>
        <w:tc>
          <w:tcPr>
            <w:tcW w:w="829" w:type="pct"/>
            <w:vAlign w:val="center"/>
          </w:tcPr>
          <w:p w14:paraId="07F57B6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191-230</w:t>
            </w:r>
          </w:p>
        </w:tc>
        <w:tc>
          <w:tcPr>
            <w:tcW w:w="2221" w:type="pct"/>
            <w:vAlign w:val="center"/>
          </w:tcPr>
          <w:p w14:paraId="2A8CFED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深灰色灰岩、泥质灰岩、鲕状灰岩，夹黄绿色页岩及粉砂岩页岩</w:t>
            </w:r>
          </w:p>
        </w:tc>
      </w:tr>
      <w:tr w14:paraId="25CF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75A931A9">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Merge w:val="continue"/>
            <w:vAlign w:val="center"/>
          </w:tcPr>
          <w:p w14:paraId="449CF8AF">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2" w:type="pct"/>
            <w:vMerge w:val="restart"/>
            <w:vAlign w:val="center"/>
          </w:tcPr>
          <w:p w14:paraId="42AAE5F6">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中统</w:t>
            </w:r>
          </w:p>
        </w:tc>
        <w:tc>
          <w:tcPr>
            <w:tcW w:w="479" w:type="pct"/>
            <w:vAlign w:val="center"/>
          </w:tcPr>
          <w:p w14:paraId="632244D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北衙组上段</w:t>
            </w:r>
          </w:p>
        </w:tc>
        <w:tc>
          <w:tcPr>
            <w:tcW w:w="399" w:type="pct"/>
            <w:vAlign w:val="center"/>
          </w:tcPr>
          <w:p w14:paraId="27D4B74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T</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b</w:t>
            </w:r>
            <w:r>
              <w:rPr>
                <w:rFonts w:hint="default" w:ascii="Times New Roman" w:hAnsi="Times New Roman" w:eastAsia="宋体" w:cs="Times New Roman"/>
                <w:szCs w:val="21"/>
                <w:vertAlign w:val="superscript"/>
              </w:rPr>
              <w:t>2</w:t>
            </w:r>
          </w:p>
        </w:tc>
        <w:tc>
          <w:tcPr>
            <w:tcW w:w="829" w:type="pct"/>
            <w:vAlign w:val="center"/>
          </w:tcPr>
          <w:p w14:paraId="04FBD1D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354.2-440</w:t>
            </w:r>
          </w:p>
        </w:tc>
        <w:tc>
          <w:tcPr>
            <w:tcW w:w="2221" w:type="pct"/>
            <w:vAlign w:val="center"/>
          </w:tcPr>
          <w:p w14:paraId="4D2A11E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浅灰色灰岩、白云质灰岩及白云岩，顶部为纯灰岩</w:t>
            </w:r>
          </w:p>
        </w:tc>
      </w:tr>
      <w:tr w14:paraId="2EB2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62CAB5D7">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Merge w:val="continue"/>
            <w:vAlign w:val="center"/>
          </w:tcPr>
          <w:p w14:paraId="19C0B54A">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2" w:type="pct"/>
            <w:vMerge w:val="continue"/>
            <w:vAlign w:val="center"/>
          </w:tcPr>
          <w:p w14:paraId="76983642">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9" w:type="pct"/>
            <w:vAlign w:val="center"/>
          </w:tcPr>
          <w:p w14:paraId="08B372E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北衙组下段</w:t>
            </w:r>
          </w:p>
        </w:tc>
        <w:tc>
          <w:tcPr>
            <w:tcW w:w="399" w:type="pct"/>
            <w:vAlign w:val="center"/>
          </w:tcPr>
          <w:p w14:paraId="39091F6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T</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b</w:t>
            </w:r>
            <w:r>
              <w:rPr>
                <w:rFonts w:hint="default" w:ascii="Times New Roman" w:hAnsi="Times New Roman" w:eastAsia="宋体" w:cs="Times New Roman"/>
                <w:szCs w:val="21"/>
                <w:vertAlign w:val="superscript"/>
              </w:rPr>
              <w:t>1</w:t>
            </w:r>
          </w:p>
        </w:tc>
        <w:tc>
          <w:tcPr>
            <w:tcW w:w="829" w:type="pct"/>
            <w:vAlign w:val="center"/>
          </w:tcPr>
          <w:p w14:paraId="03A01A4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214-371.7</w:t>
            </w:r>
          </w:p>
        </w:tc>
        <w:tc>
          <w:tcPr>
            <w:tcW w:w="2221" w:type="pct"/>
            <w:vAlign w:val="center"/>
          </w:tcPr>
          <w:p w14:paraId="7180F6B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深灰色泥质灰岩夹粉砂岩、页岩</w:t>
            </w:r>
          </w:p>
        </w:tc>
      </w:tr>
      <w:tr w14:paraId="0DC0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1" w:type="pct"/>
            <w:vMerge w:val="continue"/>
            <w:vAlign w:val="center"/>
          </w:tcPr>
          <w:p w14:paraId="1E3C928E">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56" w:type="pct"/>
            <w:vMerge w:val="continue"/>
            <w:vAlign w:val="center"/>
          </w:tcPr>
          <w:p w14:paraId="2703C01A">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472" w:type="pct"/>
            <w:vAlign w:val="center"/>
          </w:tcPr>
          <w:p w14:paraId="109BAAB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下统</w:t>
            </w:r>
          </w:p>
        </w:tc>
        <w:tc>
          <w:tcPr>
            <w:tcW w:w="479" w:type="pct"/>
            <w:vAlign w:val="center"/>
          </w:tcPr>
          <w:p w14:paraId="77358E65">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399" w:type="pct"/>
            <w:vAlign w:val="center"/>
          </w:tcPr>
          <w:p w14:paraId="5F8AEFB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T</w:t>
            </w:r>
            <w:r>
              <w:rPr>
                <w:rFonts w:hint="default" w:ascii="Times New Roman" w:hAnsi="Times New Roman" w:eastAsia="宋体" w:cs="Times New Roman"/>
                <w:szCs w:val="21"/>
                <w:vertAlign w:val="subscript"/>
              </w:rPr>
              <w:t>1</w:t>
            </w:r>
          </w:p>
        </w:tc>
        <w:tc>
          <w:tcPr>
            <w:tcW w:w="829" w:type="pct"/>
            <w:vAlign w:val="center"/>
          </w:tcPr>
          <w:p w14:paraId="51A5348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369.9-486.2</w:t>
            </w:r>
          </w:p>
        </w:tc>
        <w:tc>
          <w:tcPr>
            <w:tcW w:w="2221" w:type="pct"/>
            <w:vAlign w:val="center"/>
          </w:tcPr>
          <w:p w14:paraId="76AC240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紫红色、黄绿色玄武质砾岩、凝灰质砂岩、砂岩、粉砂岩夹页岩</w:t>
            </w:r>
          </w:p>
        </w:tc>
      </w:tr>
    </w:tbl>
    <w:p w14:paraId="592C305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二、区域构造</w:t>
      </w:r>
      <w:bookmarkEnd w:id="43"/>
      <w:bookmarkEnd w:id="44"/>
    </w:p>
    <w:bookmarkEnd w:id="45"/>
    <w:p w14:paraId="47E848F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46" w:name="_Toc11265"/>
      <w:r>
        <w:rPr>
          <w:rFonts w:hint="default" w:ascii="Times New Roman" w:hAnsi="Times New Roman" w:eastAsia="宋体" w:cs="Times New Roman"/>
          <w:sz w:val="28"/>
          <w:szCs w:val="21"/>
        </w:rPr>
        <w:t>矿区位于洱海－红河断裂与宾川－程海断裂挟持部位的金沙江西侧。受洱海断裂的挤压走滑影响，断裂东盘地层产生一组北北西向的次级断层，在走向上向北西方向收敛，南东方向撒开，形成一个规模不大的帚状构造。而沿帚状构造的走向向上发育一组近东西向的横向断层。</w:t>
      </w:r>
    </w:p>
    <w:bookmarkEnd w:id="46"/>
    <w:p w14:paraId="7A103F2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2.3.</w:t>
      </w:r>
      <w:r>
        <w:rPr>
          <w:rFonts w:hint="default" w:ascii="Times New Roman" w:hAnsi="Times New Roman" w:eastAsia="宋体" w:cs="Times New Roman"/>
          <w:b/>
          <w:bCs w:val="0"/>
          <w:color w:val="000000" w:themeColor="text1"/>
          <w:sz w:val="28"/>
          <w14:textFill>
            <w14:solidFill>
              <w14:schemeClr w14:val="tx1"/>
            </w14:solidFill>
          </w14:textFill>
        </w:rPr>
        <w:t>2</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w:t>
      </w:r>
      <w:r>
        <w:rPr>
          <w:rFonts w:hint="default" w:ascii="Times New Roman" w:hAnsi="Times New Roman" w:eastAsia="宋体" w:cs="Times New Roman"/>
          <w:b/>
          <w:bCs w:val="0"/>
          <w:color w:val="000000" w:themeColor="text1"/>
          <w:sz w:val="28"/>
          <w14:textFill>
            <w14:solidFill>
              <w14:schemeClr w14:val="tx1"/>
            </w14:solidFill>
          </w14:textFill>
        </w:rPr>
        <w:t>矿区</w:t>
      </w:r>
      <w:r>
        <w:rPr>
          <w:rFonts w:hint="default" w:ascii="Times New Roman" w:hAnsi="Times New Roman" w:eastAsia="宋体" w:cs="Times New Roman"/>
          <w:b/>
          <w:bCs w:val="0"/>
          <w:color w:val="000000" w:themeColor="text1"/>
          <w:sz w:val="28"/>
          <w:lang w:val="en-GB"/>
          <w14:textFill>
            <w14:solidFill>
              <w14:schemeClr w14:val="tx1"/>
            </w14:solidFill>
          </w14:textFill>
        </w:rPr>
        <w:t>地质</w:t>
      </w:r>
    </w:p>
    <w:p w14:paraId="5D75D005">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2.3.2.1 矿区地层</w:t>
      </w:r>
    </w:p>
    <w:p w14:paraId="529E4BE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矿区出露地层简单，仅有新生界第四系全新统（Qh）及中生界三叠系中统北衙组上段（T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）地层，现由新至老详述如下：</w:t>
      </w:r>
    </w:p>
    <w:p w14:paraId="6A732F1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1、新生界第四系全新统（Qh）：坡积、洪积、冲积、湖积砂砾石、粘土，</w:t>
      </w:r>
      <w:r>
        <w:rPr>
          <w:rFonts w:hint="default" w:ascii="Times New Roman" w:hAnsi="Times New Roman" w:eastAsia="宋体" w:cs="Times New Roman"/>
          <w:color w:val="000000"/>
          <w:sz w:val="28"/>
          <w:szCs w:val="21"/>
        </w:rPr>
        <w:t>为砂、砾、粘土等混合堆积而成，呈疏松状，粘土、砂、砾呈多孔状，砾石以棱角、次棱角状为主，分布不均匀，该层厚度变化较大，约为0~10m。</w:t>
      </w:r>
    </w:p>
    <w:p w14:paraId="33C6CA1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2、中生界三叠系中统北衙组上段（T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）：浅灰色、灰色厚层、块状石灰岩，</w:t>
      </w:r>
      <w:r>
        <w:rPr>
          <w:rFonts w:hint="default" w:ascii="Times New Roman" w:hAnsi="Times New Roman" w:eastAsia="宋体" w:cs="Times New Roman"/>
          <w:color w:val="000000"/>
          <w:sz w:val="28"/>
          <w:szCs w:val="21"/>
        </w:rPr>
        <w:t>其为石灰岩矿赋矿层位，产状清楚，出露稳定。该层出露于整个矿区及</w:t>
      </w:r>
      <w:r>
        <w:rPr>
          <w:rFonts w:hint="default" w:ascii="Times New Roman" w:hAnsi="Times New Roman" w:eastAsia="宋体" w:cs="Times New Roman"/>
          <w:sz w:val="28"/>
          <w:szCs w:val="21"/>
        </w:rPr>
        <w:t>其周边</w:t>
      </w:r>
      <w:r>
        <w:rPr>
          <w:rFonts w:hint="default" w:ascii="Times New Roman" w:hAnsi="Times New Roman" w:eastAsia="宋体" w:cs="Times New Roman"/>
          <w:color w:val="000000"/>
          <w:sz w:val="28"/>
          <w:szCs w:val="21"/>
        </w:rPr>
        <w:t>一定</w:t>
      </w:r>
      <w:r>
        <w:rPr>
          <w:rFonts w:hint="default" w:ascii="Times New Roman" w:hAnsi="Times New Roman" w:eastAsia="宋体" w:cs="Times New Roman"/>
          <w:sz w:val="28"/>
          <w:szCs w:val="21"/>
        </w:rPr>
        <w:t>范围内</w:t>
      </w:r>
      <w:r>
        <w:rPr>
          <w:rFonts w:hint="default" w:ascii="Times New Roman" w:hAnsi="Times New Roman" w:eastAsia="宋体" w:cs="Times New Roman"/>
          <w:color w:val="000000"/>
          <w:sz w:val="28"/>
          <w:szCs w:val="21"/>
        </w:rPr>
        <w:t>，岩层总体产状倾向</w:t>
      </w:r>
      <w:r>
        <w:rPr>
          <w:rFonts w:hint="default" w:ascii="Times New Roman" w:hAnsi="Times New Roman" w:eastAsia="宋体" w:cs="Times New Roman"/>
          <w:sz w:val="28"/>
          <w:szCs w:val="21"/>
        </w:rPr>
        <w:t>283°~290°</w:t>
      </w:r>
      <w:r>
        <w:rPr>
          <w:rFonts w:hint="default" w:ascii="Times New Roman" w:hAnsi="Times New Roman" w:eastAsia="宋体" w:cs="Times New Roman"/>
          <w:color w:val="000000"/>
          <w:sz w:val="28"/>
          <w:szCs w:val="21"/>
        </w:rPr>
        <w:t>，倾角30°~35°，平均倾角32°，矿体沿走向及倾斜均较稳定，该层区域厚度354.2～440m，</w:t>
      </w:r>
      <w:r>
        <w:rPr>
          <w:rFonts w:hint="default" w:ascii="Times New Roman" w:hAnsi="Times New Roman" w:eastAsia="宋体" w:cs="Times New Roman"/>
          <w:sz w:val="28"/>
          <w:szCs w:val="21"/>
        </w:rPr>
        <w:t>与下伏地层呈整合接触。</w:t>
      </w:r>
    </w:p>
    <w:p w14:paraId="12A9C91D">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lang w:val="en-US" w:eastAsia="zh-CN"/>
        </w:rPr>
        <w:t>2</w:t>
      </w:r>
      <w:r>
        <w:rPr>
          <w:rFonts w:hint="default" w:ascii="Times New Roman" w:hAnsi="Times New Roman" w:cs="Times New Roman"/>
        </w:rPr>
        <w:t>.2 矿区构造</w:t>
      </w:r>
    </w:p>
    <w:p w14:paraId="3D0B6B8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无大断裂通过，构造不发育，岩层主要呈单斜层产出，受外围断裂构造之影响，矿区节理裂隙中等发育，且发育不均匀，据地表节理裂隙统计，区内节理裂隙在西、南、东侧发育稍有差异。西侧主要发育有两组，产状为j</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：107°∠35°、j</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：192°∠51°，这些节理裂隙具有倾角陡、裂面平直光滑、开启性和延伸性一般较差，裂面多具溶蚀、多充填的特点。</w:t>
      </w:r>
    </w:p>
    <w:p w14:paraId="76FF9B1C">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lang w:val="en-US" w:eastAsia="zh-CN"/>
        </w:rPr>
        <w:t>2</w:t>
      </w:r>
      <w:r>
        <w:rPr>
          <w:rFonts w:hint="default" w:ascii="Times New Roman" w:hAnsi="Times New Roman" w:cs="Times New Roman"/>
        </w:rPr>
        <w:t>.3 岩浆岩</w:t>
      </w:r>
    </w:p>
    <w:p w14:paraId="57AF46E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color w:val="000000"/>
          <w:sz w:val="28"/>
          <w:szCs w:val="28"/>
        </w:rPr>
        <w:t>矿区内无岩浆岩出露</w:t>
      </w:r>
      <w:r>
        <w:rPr>
          <w:rFonts w:hint="default" w:ascii="Times New Roman" w:hAnsi="Times New Roman" w:eastAsia="宋体" w:cs="Times New Roman"/>
          <w:sz w:val="28"/>
          <w:szCs w:val="21"/>
        </w:rPr>
        <w:t>。</w:t>
      </w:r>
    </w:p>
    <w:p w14:paraId="46A89296">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2.3.</w:t>
      </w:r>
      <w:r>
        <w:rPr>
          <w:rFonts w:hint="default" w:ascii="Times New Roman" w:hAnsi="Times New Roman" w:eastAsia="宋体" w:cs="Times New Roman"/>
          <w:b/>
          <w:bCs w:val="0"/>
          <w:color w:val="000000" w:themeColor="text1"/>
          <w:sz w:val="28"/>
          <w14:textFill>
            <w14:solidFill>
              <w14:schemeClr w14:val="tx1"/>
            </w14:solidFill>
          </w14:textFill>
        </w:rPr>
        <w:t>3</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w:t>
      </w:r>
      <w:r>
        <w:rPr>
          <w:rFonts w:hint="default" w:ascii="Times New Roman" w:hAnsi="Times New Roman" w:eastAsia="宋体" w:cs="Times New Roman"/>
          <w:b/>
          <w:bCs w:val="0"/>
          <w:color w:val="000000" w:themeColor="text1"/>
          <w:sz w:val="28"/>
          <w14:textFill>
            <w14:solidFill>
              <w14:schemeClr w14:val="tx1"/>
            </w14:solidFill>
          </w14:textFill>
        </w:rPr>
        <w:t>矿体</w:t>
      </w:r>
      <w:r>
        <w:rPr>
          <w:rFonts w:hint="default" w:ascii="Times New Roman" w:hAnsi="Times New Roman" w:eastAsia="宋体" w:cs="Times New Roman"/>
          <w:b/>
          <w:bCs w:val="0"/>
          <w:color w:val="000000" w:themeColor="text1"/>
          <w:sz w:val="28"/>
          <w:lang w:val="en-US" w:eastAsia="zh-CN"/>
          <w14:textFill>
            <w14:solidFill>
              <w14:schemeClr w14:val="tx1"/>
            </w14:solidFill>
          </w14:textFill>
        </w:rPr>
        <w:t>地质</w:t>
      </w:r>
      <w:r>
        <w:rPr>
          <w:rFonts w:hint="default" w:ascii="Times New Roman" w:hAnsi="Times New Roman" w:eastAsia="宋体" w:cs="Times New Roman"/>
          <w:b/>
          <w:bCs w:val="0"/>
          <w:color w:val="000000" w:themeColor="text1"/>
          <w:sz w:val="28"/>
          <w14:textFill>
            <w14:solidFill>
              <w14:schemeClr w14:val="tx1"/>
            </w14:solidFill>
          </w14:textFill>
        </w:rPr>
        <w:t>特征</w:t>
      </w:r>
    </w:p>
    <w:p w14:paraId="5A9CD404">
      <w:pPr>
        <w:pStyle w:val="5"/>
        <w:pageBreakBefore w:val="0"/>
        <w:kinsoku/>
        <w:wordWrap/>
        <w:bidi w:val="0"/>
        <w:adjustRightInd w:val="0"/>
        <w:snapToGrid w:val="0"/>
        <w:spacing w:line="360" w:lineRule="auto"/>
        <w:ind w:firstLine="560"/>
        <w:rPr>
          <w:rFonts w:hint="default" w:ascii="Times New Roman" w:hAnsi="Times New Roman" w:cs="Times New Roman"/>
          <w:lang w:val="en-US" w:eastAsia="zh-CN"/>
        </w:rPr>
      </w:pPr>
      <w:r>
        <w:rPr>
          <w:rFonts w:hint="default" w:ascii="Times New Roman" w:hAnsi="Times New Roman" w:cs="Times New Roman"/>
        </w:rPr>
        <w:t>2.3.</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cs="Times New Roman"/>
          <w:lang w:val="en-US" w:eastAsia="zh-CN"/>
        </w:rPr>
        <w:t>1</w:t>
      </w:r>
      <w:r>
        <w:rPr>
          <w:rFonts w:hint="default" w:ascii="Times New Roman" w:hAnsi="Times New Roman" w:cs="Times New Roman"/>
        </w:rPr>
        <w:t xml:space="preserve"> </w:t>
      </w:r>
      <w:r>
        <w:rPr>
          <w:rFonts w:hint="default" w:ascii="Times New Roman" w:hAnsi="Times New Roman" w:cs="Times New Roman"/>
          <w:lang w:val="en-US" w:eastAsia="zh-CN"/>
        </w:rPr>
        <w:t>矿床特征</w:t>
      </w:r>
    </w:p>
    <w:p w14:paraId="6C7802E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体赋存于中三叠统个旧组二段第三层（T2g2-3）地层中，含矿岩性为灰白、浅灰色中-厚层状生物屑泥-粉晶灰岩。局部夹厚层状白云质灰岩。矿区内矿体总体为向斜构造，矿体即产于向斜核部及东西两翼，东翼倾角7~18°；西翼倾角6°~25°。地表岩石节理、裂隙、溶隙发育，经过长期的风化淋滤及地表和地下水的溶蚀作用，石芽溶沟较为普遍，矿床为沉积型石灰岩矿床。</w:t>
      </w:r>
    </w:p>
    <w:p w14:paraId="1AEC9412">
      <w:pPr>
        <w:pStyle w:val="5"/>
        <w:pageBreakBefore w:val="0"/>
        <w:kinsoku/>
        <w:wordWrap/>
        <w:bidi w:val="0"/>
        <w:adjustRightInd w:val="0"/>
        <w:snapToGrid w:val="0"/>
        <w:spacing w:line="360" w:lineRule="auto"/>
        <w:ind w:firstLine="560"/>
        <w:rPr>
          <w:rFonts w:hint="default" w:ascii="Times New Roman" w:hAnsi="Times New Roman" w:eastAsia="宋体" w:cs="Times New Roman"/>
          <w:sz w:val="28"/>
          <w:szCs w:val="21"/>
        </w:rPr>
      </w:pPr>
      <w:r>
        <w:rPr>
          <w:rFonts w:hint="default" w:ascii="Times New Roman" w:hAnsi="Times New Roman" w:cs="Times New Roman"/>
        </w:rPr>
        <w:t>2.3.</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 xml:space="preserve"> 矿体特征</w:t>
      </w:r>
    </w:p>
    <w:p w14:paraId="1AB9A81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bidi="ar"/>
        </w:rPr>
      </w:pPr>
      <w:r>
        <w:rPr>
          <w:rFonts w:hint="default" w:ascii="Times New Roman" w:hAnsi="Times New Roman" w:eastAsia="宋体" w:cs="Times New Roman"/>
          <w:sz w:val="28"/>
          <w:szCs w:val="21"/>
        </w:rPr>
        <w:t>矿区范围内共圈定矿体一个，编号为KT1，矿体产于三叠系中统北衙组上段（T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地层中：岩性为浅灰色、灰色厚层、块状石灰岩，矿体形态简单，呈厚层－块状产出，产状清楚，圈定的矿体为其中一部分，矿体总体产状：倾向283°~290°，倾角30°~35°，平均倾角32°，该层区域厚度354.2～440m，该矿床类型属沉积型矿床，矿体地表出露较好，地表浮土较薄。</w:t>
      </w:r>
    </w:p>
    <w:p w14:paraId="1B445A46">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cs="Times New Roman"/>
          <w:lang w:val="en-US" w:eastAsia="zh-CN"/>
        </w:rPr>
        <w:t>3</w:t>
      </w:r>
      <w:r>
        <w:rPr>
          <w:rFonts w:hint="default" w:ascii="Times New Roman" w:hAnsi="Times New Roman" w:cs="Times New Roman"/>
        </w:rPr>
        <w:t xml:space="preserve"> 矿石风（氧）化特征</w:t>
      </w:r>
    </w:p>
    <w:p w14:paraId="0F334F2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体出露地表较好，石灰岩抗风化能力强，地表风化强烈，岩石坚硬，但局部地段破碎，矿体近地表浅部溶沟、溶隙、石芽、钙化等溶蚀沉积现象中等发育，矿石呈中等至微风化状，矿体层状产出，节理裂隙中等发育，近地表岩石节理裂隙面多为钙质侵染，开采过程中，地表风化层一般较薄，对矿山开采影响不大。</w:t>
      </w:r>
    </w:p>
    <w:p w14:paraId="25C8F73F">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cs="Times New Roman"/>
          <w:lang w:val="en-US" w:eastAsia="zh-CN"/>
        </w:rPr>
        <w:t>4</w:t>
      </w:r>
      <w:r>
        <w:rPr>
          <w:rFonts w:hint="default" w:ascii="Times New Roman" w:hAnsi="Times New Roman" w:cs="Times New Roman"/>
        </w:rPr>
        <w:t xml:space="preserve"> 矿石类型和品级</w:t>
      </w:r>
    </w:p>
    <w:p w14:paraId="163C685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1、工业类型</w:t>
      </w:r>
    </w:p>
    <w:p w14:paraId="5ED8C4C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根据矿石的矿物成分、化学成分以及物理、力学性能，本矿床所产石灰岩矿的工业类型为建筑材料用灰岩，破碎后可作混凝土粗、细集料使用。</w:t>
      </w:r>
    </w:p>
    <w:p w14:paraId="43E5715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2、工业品级及用途</w:t>
      </w:r>
    </w:p>
    <w:p w14:paraId="2B13F31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根据《矿产资源工业要求手册》中普通建筑材料用砂、卵石、碎石矿产资源一般工业指标要求，本矿床所产矿石品级为Ⅲ类。</w:t>
      </w:r>
    </w:p>
    <w:p w14:paraId="5F26E2E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石为碳酸盐岩，主要矿物成分为方解石及少量白云石、铁质，基本不含针、片状的泥质矿物，不含有毒有害成分，也不含放射性物质。矿石抗压、抗剪、抗拉强度较高，属坚硬岩。原矿（块石）可直接作民用建筑基础以及公路、水库、尾矿库等工业设施的边坡保坎、路沿石、筑坝石使用。经破碎、筛分等加工后可用作商品混凝土的粗、细集料。</w:t>
      </w:r>
    </w:p>
    <w:p w14:paraId="19526DF7">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lang w:val="en-US" w:eastAsia="zh-CN"/>
        </w:rPr>
        <w:t>3</w:t>
      </w:r>
      <w:r>
        <w:rPr>
          <w:rFonts w:hint="default" w:ascii="Times New Roman" w:hAnsi="Times New Roman" w:cs="Times New Roman"/>
        </w:rPr>
        <w:t>.</w:t>
      </w:r>
      <w:r>
        <w:rPr>
          <w:rFonts w:hint="default" w:ascii="Times New Roman" w:hAnsi="Times New Roman" w:cs="Times New Roman"/>
          <w:lang w:val="en-US" w:eastAsia="zh-CN"/>
        </w:rPr>
        <w:t>5</w:t>
      </w:r>
      <w:r>
        <w:rPr>
          <w:rFonts w:hint="default" w:ascii="Times New Roman" w:hAnsi="Times New Roman" w:cs="Times New Roman"/>
        </w:rPr>
        <w:t xml:space="preserve"> 矿体围岩及夹石</w:t>
      </w:r>
    </w:p>
    <w:p w14:paraId="2943E07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1、围岩、夹石特征</w:t>
      </w:r>
    </w:p>
    <w:p w14:paraId="5739AD0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在矿权范围内都属石灰岩矿石，有时夹白云岩，其质量和厚度稳定，可以作为石料利用，在开采时不必剔除。矿区内未出露矿体顶、底板界线。矿体地表出露较好,局部被砖红色粘土覆盖，但盖层较薄，一般小于0.5m。加之在浅表层局部裂隙内被红粘土充填，在开采时易剥离或者剔除，堆放于弃渣场一角，将来可以作为恢复覆土综合利用。矿石的贫化率和损失率极低，不予考虑。</w:t>
      </w:r>
    </w:p>
    <w:p w14:paraId="70D2586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2、顶、底板特征</w:t>
      </w:r>
    </w:p>
    <w:p w14:paraId="65106D7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本矿床赋存于三叠系中统北衙组上段（T2b2）中，呈单斜层状产出，产状相对稳定，连续性好，颜色及结构构造稳定，最近一次勘查工作范围只是区域中的一小部分，严格说矿体无顶底板。</w:t>
      </w:r>
    </w:p>
    <w:p w14:paraId="276B3D7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勘查范围内矿体顶底板均为同层位的灰岩。</w:t>
      </w:r>
    </w:p>
    <w:p w14:paraId="1E857B0D">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2.3.</w:t>
      </w:r>
      <w:r>
        <w:rPr>
          <w:rFonts w:hint="default" w:ascii="Times New Roman" w:hAnsi="Times New Roman" w:eastAsia="宋体" w:cs="Times New Roman"/>
          <w:b/>
          <w:bCs w:val="0"/>
          <w:color w:val="000000" w:themeColor="text1"/>
          <w:sz w:val="28"/>
          <w:lang w:val="en-US" w:eastAsia="zh-CN"/>
          <w14:textFill>
            <w14:solidFill>
              <w14:schemeClr w14:val="tx1"/>
            </w14:solidFill>
          </w14:textFill>
        </w:rPr>
        <w:t>4</w:t>
      </w:r>
      <w:r>
        <w:rPr>
          <w:rFonts w:hint="default" w:ascii="Times New Roman" w:hAnsi="Times New Roman" w:eastAsia="宋体" w:cs="Times New Roman"/>
          <w:b/>
          <w:bCs w:val="0"/>
          <w:color w:val="000000" w:themeColor="text1"/>
          <w:sz w:val="28"/>
          <w14:textFill>
            <w14:solidFill>
              <w14:schemeClr w14:val="tx1"/>
            </w14:solidFill>
          </w14:textFill>
        </w:rPr>
        <w:t xml:space="preserve"> </w:t>
      </w:r>
      <w:r>
        <w:rPr>
          <w:rFonts w:hint="default" w:ascii="Times New Roman" w:hAnsi="Times New Roman" w:eastAsia="宋体" w:cs="Times New Roman"/>
          <w:b/>
          <w:bCs w:val="0"/>
          <w:color w:val="000000" w:themeColor="text1"/>
          <w:sz w:val="28"/>
          <w:lang w:val="en-GB"/>
          <w14:textFill>
            <w14:solidFill>
              <w14:schemeClr w14:val="tx1"/>
            </w14:solidFill>
          </w14:textFill>
        </w:rPr>
        <w:t>矿石加工技术性能</w:t>
      </w:r>
    </w:p>
    <w:p w14:paraId="2D26CC3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该矿山为生产状态，矿山开采矿石为石灰岩矿，矿石较坚硬而性脆，采掘出来的矿石块状长30cm，宽度25cm，厚度20cm，运输至破碎站，容易破碎，坚固系数＜5，是目前市场需求较大的普通建筑材料，产品主要为：矿石加工后的成品粒径≥4.75mm用作碎石，小于3.7mm用作细集料，其机制砂可适用于强度等级小于C30的混凝土和建筑用砂浆。</w:t>
      </w:r>
    </w:p>
    <w:p w14:paraId="21B00EB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其矿石选矿方法及加工工艺流程为见图</w:t>
      </w:r>
      <w:r>
        <w:rPr>
          <w:rFonts w:hint="default" w:ascii="Times New Roman" w:hAnsi="Times New Roman" w:eastAsia="宋体" w:cs="Times New Roman"/>
          <w:sz w:val="28"/>
          <w:szCs w:val="21"/>
          <w:lang w:val="en-US" w:eastAsia="zh-CN"/>
        </w:rPr>
        <w:t>2.3</w:t>
      </w:r>
      <w:r>
        <w:rPr>
          <w:rFonts w:hint="default" w:ascii="Times New Roman" w:hAnsi="Times New Roman" w:eastAsia="宋体" w:cs="Times New Roman"/>
          <w:sz w:val="28"/>
          <w:szCs w:val="21"/>
        </w:rPr>
        <w:t>-1。</w:t>
      </w:r>
    </w:p>
    <w:p w14:paraId="4E11C67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矿区成品料力学指标：抗压强度垂直层理方向一般70~120MPa，抗拉强度4.3～7.6Kg/cm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压碎指标（Qe）29%，该矿石经破碎后不含有机物，泥块含量、含泥量较少，硫化物含量＜1%，根据规范《建筑用碎石标准》GB/T14685-2001规定，矿石质量合格，属碎石III类，矿石机械破碎形成的碎石可作为混凝土粗骨料，而形成砂也可作为细骨料使用，矿石的加工技术性能良好。</w:t>
      </w:r>
    </w:p>
    <w:p w14:paraId="79881E64">
      <w:pPr>
        <w:pStyle w:val="4"/>
        <w:pageBreakBefore w:val="0"/>
        <w:kinsoku/>
        <w:wordWrap/>
        <w:bidi w:val="0"/>
        <w:adjustRightInd w:val="0"/>
        <w:snapToGrid w:val="0"/>
        <w:spacing w:before="312" w:beforeLines="100" w:line="360" w:lineRule="auto"/>
        <w:ind w:firstLine="560"/>
        <w:rPr>
          <w:rFonts w:hint="default" w:ascii="Times New Roman" w:hAnsi="Times New Roman" w:eastAsia="宋体" w:cs="Times New Roman"/>
          <w:b/>
          <w:bCs w:val="0"/>
          <w:sz w:val="28"/>
          <w:szCs w:val="28"/>
        </w:rPr>
      </w:pPr>
      <w:bookmarkStart w:id="47" w:name="_Toc21338"/>
      <w:bookmarkStart w:id="48" w:name="_Toc100376794"/>
      <w:r>
        <w:rPr>
          <w:rFonts w:hint="default" w:ascii="Times New Roman" w:hAnsi="Times New Roman" w:eastAsia="宋体" w:cs="Times New Roman"/>
          <w:b/>
          <w:bCs w:val="0"/>
          <w:sz w:val="28"/>
          <w:szCs w:val="28"/>
        </w:rPr>
        <w:t>2.3.</w:t>
      </w:r>
      <w:r>
        <w:rPr>
          <w:rFonts w:hint="eastAsia" w:ascii="Times New Roman" w:hAnsi="Times New Roman" w:eastAsia="宋体" w:cs="Times New Roman"/>
          <w:b/>
          <w:bCs w:val="0"/>
          <w:sz w:val="28"/>
          <w:szCs w:val="28"/>
          <w:lang w:val="en-US" w:eastAsia="zh-CN"/>
        </w:rPr>
        <w:t>5</w:t>
      </w:r>
      <w:r>
        <w:rPr>
          <w:rFonts w:hint="default" w:ascii="Times New Roman" w:hAnsi="Times New Roman" w:eastAsia="宋体" w:cs="Times New Roman"/>
          <w:b/>
          <w:bCs w:val="0"/>
          <w:sz w:val="28"/>
          <w:szCs w:val="28"/>
        </w:rPr>
        <w:t xml:space="preserve"> 矿床开采技术条件</w:t>
      </w:r>
      <w:bookmarkEnd w:id="47"/>
      <w:bookmarkEnd w:id="48"/>
    </w:p>
    <w:p w14:paraId="21442B58">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eastAsia" w:ascii="Times New Roman" w:hAnsi="Times New Roman" w:cs="Times New Roman"/>
          <w:lang w:val="en-US" w:eastAsia="zh-CN"/>
        </w:rPr>
        <w:t>5</w:t>
      </w:r>
      <w:r>
        <w:rPr>
          <w:rFonts w:hint="default" w:ascii="Times New Roman" w:hAnsi="Times New Roman" w:cs="Times New Roman"/>
        </w:rPr>
        <w:t>.1 水文地质条件</w:t>
      </w:r>
    </w:p>
    <w:p w14:paraId="0D2F5B35">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49" w:name="_Toc119222539"/>
      <w:bookmarkStart w:id="50" w:name="_Toc26282"/>
      <w:bookmarkStart w:id="51" w:name="_Toc149618556"/>
      <w:bookmarkStart w:id="52" w:name="_Toc108859747"/>
      <w:bookmarkStart w:id="53" w:name="_Toc190249646"/>
      <w:bookmarkStart w:id="54" w:name="_Toc247252327"/>
      <w:bookmarkStart w:id="55" w:name="_Toc105919073"/>
      <w:bookmarkStart w:id="56" w:name="_Toc105903264"/>
      <w:bookmarkStart w:id="57" w:name="_Toc105903757"/>
      <w:bookmarkStart w:id="58" w:name="_Toc245606272"/>
      <w:bookmarkStart w:id="59" w:name="_Toc190249482"/>
      <w:bookmarkStart w:id="60" w:name="_Toc249340183"/>
      <w:bookmarkStart w:id="61" w:name="_Toc351642884"/>
      <w:bookmarkStart w:id="62" w:name="_Toc108859861"/>
      <w:r>
        <w:rPr>
          <w:rFonts w:hint="default" w:ascii="Times New Roman" w:hAnsi="Times New Roman" w:eastAsia="宋体" w:cs="Times New Roman"/>
          <w:b/>
          <w:bCs/>
          <w:sz w:val="28"/>
          <w:szCs w:val="21"/>
        </w:rPr>
        <w:t>一、地表水</w:t>
      </w:r>
      <w:bookmarkEnd w:id="49"/>
      <w:r>
        <w:rPr>
          <w:rFonts w:hint="default" w:ascii="Times New Roman" w:hAnsi="Times New Roman" w:eastAsia="宋体" w:cs="Times New Roman"/>
          <w:b/>
          <w:bCs/>
          <w:sz w:val="28"/>
          <w:szCs w:val="21"/>
        </w:rPr>
        <w:t>特征</w:t>
      </w:r>
      <w:bookmarkEnd w:id="50"/>
      <w:bookmarkEnd w:id="51"/>
    </w:p>
    <w:p w14:paraId="397466F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63" w:name="_Toc119222540"/>
      <w:bookmarkStart w:id="64" w:name="_Toc149618557"/>
      <w:r>
        <w:rPr>
          <w:rFonts w:hint="default" w:ascii="Times New Roman" w:hAnsi="Times New Roman" w:eastAsia="宋体" w:cs="Times New Roman"/>
          <w:sz w:val="28"/>
          <w:szCs w:val="21"/>
        </w:rPr>
        <w:t>矿区位于鹤庆盆地南西侧，金墩坝区边缘南西侧山坡坡脚部位，矿界范围内，最低海拔2350m（为矿区最低侵蚀基准面），最高海拔2525m，相对高差170m，自然坡度为10°~20°。区内属浅切割构造剥蚀低中山地貌。</w:t>
      </w:r>
    </w:p>
    <w:p w14:paraId="5F4683F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地表水体主要河流为季节性河流河底箐，河底箐由西向东流入东山河，东山河向北东流入中江河，中江河向东汇入金沙江，区内水系属金沙江水系。河底箐河水主要由降雨、地表水注入，水量随季节变化，旱季干涸，仅雨季有水流。矿区距河底箐较近，雨季降雨易使地表水流入采空区，矿区需在河底箐附近修建截洪沟，确保矿山安全生产。</w:t>
      </w:r>
    </w:p>
    <w:bookmarkEnd w:id="63"/>
    <w:bookmarkEnd w:id="64"/>
    <w:p w14:paraId="4D9ABADC">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65" w:name="_Toc12534"/>
      <w:r>
        <w:rPr>
          <w:rFonts w:hint="default" w:ascii="Times New Roman" w:hAnsi="Times New Roman" w:eastAsia="宋体" w:cs="Times New Roman"/>
          <w:b/>
          <w:bCs/>
          <w:sz w:val="28"/>
          <w:szCs w:val="21"/>
        </w:rPr>
        <w:t>二、地下水类型</w:t>
      </w:r>
      <w:bookmarkEnd w:id="65"/>
    </w:p>
    <w:p w14:paraId="5FC0310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66" w:name="_Toc119222541"/>
      <w:bookmarkStart w:id="67" w:name="_Toc149618558"/>
      <w:r>
        <w:rPr>
          <w:rFonts w:hint="default" w:ascii="Times New Roman" w:hAnsi="Times New Roman" w:eastAsia="宋体" w:cs="Times New Roman"/>
          <w:sz w:val="28"/>
          <w:szCs w:val="21"/>
        </w:rPr>
        <w:t>矿区出露地层简单，仅有新生界第四系全新统（Q</w:t>
      </w:r>
      <w:r>
        <w:rPr>
          <w:rFonts w:hint="default" w:ascii="Times New Roman" w:hAnsi="Times New Roman" w:eastAsia="宋体" w:cs="Times New Roman"/>
          <w:sz w:val="28"/>
          <w:szCs w:val="21"/>
          <w:vertAlign w:val="subscript"/>
        </w:rPr>
        <w:t>h</w:t>
      </w:r>
      <w:r>
        <w:rPr>
          <w:rFonts w:hint="default" w:ascii="Times New Roman" w:hAnsi="Times New Roman" w:eastAsia="宋体" w:cs="Times New Roman"/>
          <w:sz w:val="28"/>
          <w:szCs w:val="21"/>
        </w:rPr>
        <w:t>）及中生界三叠系中统北衙组上段（T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）地层，区内地下水按其含水介质类型和赋存条件，划分为松散岩类孔隙水和碳酸盐岩类裂隙水两类，现将其含水特性分述如下：</w:t>
      </w:r>
    </w:p>
    <w:p w14:paraId="466922D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1、松散岩类孔隙水：</w:t>
      </w:r>
    </w:p>
    <w:p w14:paraId="5CCD582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赋存于第四系全新统（Q</w:t>
      </w:r>
      <w:r>
        <w:rPr>
          <w:rFonts w:hint="default" w:ascii="Times New Roman" w:hAnsi="Times New Roman" w:eastAsia="宋体" w:cs="Times New Roman"/>
          <w:sz w:val="28"/>
          <w:szCs w:val="21"/>
          <w:vertAlign w:val="subscript"/>
        </w:rPr>
        <w:t>h</w:t>
      </w:r>
      <w:r>
        <w:rPr>
          <w:rFonts w:hint="default" w:ascii="Times New Roman" w:hAnsi="Times New Roman" w:eastAsia="宋体" w:cs="Times New Roman"/>
          <w:sz w:val="28"/>
          <w:szCs w:val="21"/>
        </w:rPr>
        <w:t>）的风化残坡积含砂、砾粘土层中，接受大气降水的补给，由于矿区地处山脊地带，其水位埋藏深，水量小，水位受季节影响较大，有不稳定的地下水水位，在旱季几乎无地下水位，富水性较差。</w:t>
      </w:r>
    </w:p>
    <w:p w14:paraId="32FE411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2、碳酸盐岩类裂隙水：</w:t>
      </w:r>
    </w:p>
    <w:p w14:paraId="6FBC54E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赋存于三叠系中统北衙组上段（T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浅灰色、灰色厚层、块状石灰岩中，该层主要分布于整个矿区及外围，该含水层裂隙、岩溶弱发育，岩溶充填程度较低，为以溶蚀裂隙为主的岩溶含水层，富水性较强－强，但不均匀。据1：20万区域资料，区域内该层厚度354.2～440m，地下径流模数8.57～10.69L/s·k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，大泉暗河流量100.00～540.00L/s，以重碳酸钙镁型水为主，矿化度0.1～0.3g/L。该层主要接受大气降雨补给，沿裂隙渗入地下，地下水主要运移于裂隙中，向南东侧低洼处排泄。</w:t>
      </w:r>
    </w:p>
    <w:bookmarkEnd w:id="66"/>
    <w:bookmarkEnd w:id="67"/>
    <w:p w14:paraId="12FF5CB6">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68" w:name="_Toc25545"/>
      <w:r>
        <w:rPr>
          <w:rFonts w:hint="default" w:ascii="Times New Roman" w:hAnsi="Times New Roman" w:eastAsia="宋体" w:cs="Times New Roman"/>
          <w:b/>
          <w:bCs/>
          <w:sz w:val="28"/>
          <w:szCs w:val="21"/>
        </w:rPr>
        <w:t>三、地下水补给、径流、排泄特征</w:t>
      </w:r>
      <w:bookmarkEnd w:id="68"/>
    </w:p>
    <w:p w14:paraId="29A5939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69" w:name="_Toc307174621"/>
      <w:r>
        <w:rPr>
          <w:rFonts w:hint="default" w:ascii="Times New Roman" w:hAnsi="Times New Roman" w:eastAsia="宋体" w:cs="Times New Roman"/>
          <w:sz w:val="28"/>
          <w:szCs w:val="21"/>
        </w:rPr>
        <w:t>矿区位于鹤庆盆地南西侧，金墩坝区边缘南西侧山坡坡脚部位，矿界范围内，最低海拔2410m，最高海拔2525m，相对高差125m，属浅切割构造剥蚀低中山地貌，自然坡度为10°~20°，地形利于地表水、地下水的排泄。矿区内地表无大的蓄水体，地下水的补给主要依赖大气降水，地表降水行程短，流速快，仅有少量能渗入地下，对地下水进行补给。地下水径流行程短，流速快，易于排泄。</w:t>
      </w:r>
    </w:p>
    <w:p w14:paraId="64FFCE5A">
      <w:pPr>
        <w:keepNext/>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0" w:name="_Toc26203"/>
      <w:r>
        <w:rPr>
          <w:rFonts w:hint="default" w:ascii="Times New Roman" w:hAnsi="Times New Roman" w:eastAsia="宋体" w:cs="Times New Roman"/>
          <w:b/>
          <w:bCs/>
          <w:sz w:val="28"/>
          <w:szCs w:val="21"/>
        </w:rPr>
        <w:t>四、矿床充水因素</w:t>
      </w:r>
      <w:bookmarkEnd w:id="69"/>
      <w:bookmarkEnd w:id="70"/>
    </w:p>
    <w:p w14:paraId="033E039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71" w:name="_Toc307174622"/>
      <w:r>
        <w:rPr>
          <w:rFonts w:hint="default" w:ascii="Times New Roman" w:hAnsi="Times New Roman" w:eastAsia="宋体" w:cs="Times New Roman"/>
          <w:sz w:val="28"/>
          <w:szCs w:val="21"/>
        </w:rPr>
        <w:t>矿区周边未发现地下水泉点露头，地下水位埋藏较深，地表河流雨季对矿山开采影响有一定影响。矿区所在位置地势较高，地下水补给面积较小，矿山最低开采标高在地下水位以上，但矿区距河底箐较近，雨季降雨易使地表水流入采空区，矿区需在河底箐附近修建截洪沟，确保矿山安全生产。</w:t>
      </w:r>
    </w:p>
    <w:p w14:paraId="124D10F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大部分范围位于山体斜坡上，地表水不发育。因大气降水而形成的短时地表流水，大部分经岩石裂隙渗入地下而转变成地下水，少部分沿坡体向矿区西侧河底箐顺流。大气降水是矿体充水的来源，受季节性影响，雨季充水量大，旱季充水量小。矿山为山坡式露天开采，排水方式采用截水沟排水系统将水导离采场，在雨季采场内可能会有少部分积水现象。</w:t>
      </w:r>
    </w:p>
    <w:p w14:paraId="6ADC57BE">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2" w:name="_Toc23791"/>
      <w:r>
        <w:rPr>
          <w:rFonts w:hint="default" w:ascii="Times New Roman" w:hAnsi="Times New Roman" w:eastAsia="宋体" w:cs="Times New Roman"/>
          <w:b/>
          <w:bCs/>
          <w:sz w:val="28"/>
          <w:szCs w:val="21"/>
        </w:rPr>
        <w:t>五、地下水的脆弱性</w:t>
      </w:r>
      <w:bookmarkEnd w:id="72"/>
    </w:p>
    <w:p w14:paraId="222CCF4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1、松散岩类孔隙水的脆弱性</w:t>
      </w:r>
    </w:p>
    <w:p w14:paraId="303152B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松散岩出露于矿区外围的低洼处，松散岩中分布的含粘性土、粉土，渗水性较弱，为相对的隔水层，可有效阻止地表污染物的垂直入渗，地下水循环缓慢，地下水一旦受污染，修复较为困难。随着采矿活动及人类活动的加强，地下水受污染的可能性也将随之增大，地下水易受污染。</w:t>
      </w:r>
    </w:p>
    <w:p w14:paraId="1550DC3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2、裂隙水的脆弱性</w:t>
      </w:r>
    </w:p>
    <w:p w14:paraId="327091D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的基岩裂隙水含水层出露区为地下水补给区，地表植被弱发育。岩石风化强烈，节理裂隙发育，渗水性较好，该区无污染源，地下水不易被污染，该岩层透水性较好，地下水循环较快，对水的净化能力也较强，地下水一旦被污染，恢复较快。</w:t>
      </w:r>
    </w:p>
    <w:p w14:paraId="0C86B1AE">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3" w:name="_Toc20490"/>
      <w:r>
        <w:rPr>
          <w:rFonts w:hint="default" w:ascii="Times New Roman" w:hAnsi="Times New Roman" w:eastAsia="宋体" w:cs="Times New Roman"/>
          <w:b/>
          <w:bCs/>
          <w:sz w:val="28"/>
          <w:szCs w:val="21"/>
        </w:rPr>
        <w:t>六、矿床水文地质类型</w:t>
      </w:r>
      <w:bookmarkEnd w:id="71"/>
      <w:bookmarkEnd w:id="73"/>
    </w:p>
    <w:p w14:paraId="4B2EB78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床开采方式为山坡式露天开采，矿区及周围沟谷较发育，均为季节性冲沟，无井、泉分布，地下水埋藏较深，对矿床无充水影响；矿床充水为季节性大气降雨的下渗，开采范围内地表水可通过采场边坡及斜坡自然排泄。</w:t>
      </w:r>
    </w:p>
    <w:p w14:paraId="34208DB8">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4" w:name="_Toc15653"/>
      <w:r>
        <w:rPr>
          <w:rFonts w:hint="default" w:ascii="Times New Roman" w:hAnsi="Times New Roman" w:eastAsia="宋体" w:cs="Times New Roman"/>
          <w:b/>
          <w:bCs/>
          <w:sz w:val="28"/>
          <w:szCs w:val="21"/>
        </w:rPr>
        <w:t>七、地下水的脆弱性</w:t>
      </w:r>
      <w:bookmarkEnd w:id="74"/>
    </w:p>
    <w:p w14:paraId="1325038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1、松散岩类孔隙水的脆弱性</w:t>
      </w:r>
    </w:p>
    <w:p w14:paraId="1544425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松散岩出露于矿区的低洼处，松散岩中分布的含粘性土、粉土，渗水性较弱，为相对的隔水层，可有效阻止地表污染物的垂直入渗，地下水循环缓慢，地下水一旦受污染，修复较为困难。随着采矿活动及人类活动的加强，地下水受污染的可能性也将随之增大，地下水易受污染。</w:t>
      </w:r>
    </w:p>
    <w:p w14:paraId="0CC57F0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2、裂隙水的脆弱性</w:t>
      </w:r>
    </w:p>
    <w:p w14:paraId="02889B4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的基岩裂隙水含水层出露区为地下水补给区，地表植被弱发育。岩石风化强烈，节理裂隙发育，渗水性较好，该区无污染源，地下水不易被污染，该岩层透水性较好，地下水循环较快，对水的净化能力也较强，地下水一旦被污染，恢复较快。</w:t>
      </w:r>
    </w:p>
    <w:p w14:paraId="3AE3C153">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5" w:name="_Toc12984"/>
      <w:bookmarkStart w:id="76" w:name="_Toc335566360"/>
      <w:r>
        <w:rPr>
          <w:rFonts w:hint="default" w:ascii="Times New Roman" w:hAnsi="Times New Roman" w:eastAsia="宋体" w:cs="Times New Roman"/>
          <w:b/>
          <w:bCs/>
          <w:sz w:val="28"/>
          <w:szCs w:val="21"/>
        </w:rPr>
        <w:t>八、水文地质条件预测评价</w:t>
      </w:r>
      <w:bookmarkEnd w:id="75"/>
    </w:p>
    <w:p w14:paraId="210B17F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范围内未发现地表水体及泉点，矿区大部分范围位于斜坡地带，总体地形特征有利于地表水易于排泄，地表水对矿床的开采无影响，但矿区距河底箐较近，雨季降雨易使地表水流入采空区，雨季河底箐河水对矿床充水有一定影响。矿体呈单斜层状赋存于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浅灰色、灰色厚层、块状石灰岩中，矿区地下水类型为以碳酸盐岩类裂隙水为主，富水性弱，为相对隔水层，地下水对矿床的开采无影响。矿区内未发现断裂通过，矿区呈陡倾单斜层状产出，构造较简单，对开采无大影响。</w:t>
      </w:r>
    </w:p>
    <w:p w14:paraId="5797DEA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该矿山以山坡式露天开采方式进行采矿作业，矿区最低开采标高为2410m，位于当地最低侵蚀基准面（河底箐东出口与东山河交汇处2350m）以上，矿区自然坡度为10°~20°，地形坡度有利于地表（下）水自然排泄。但是采矿活动所产生的污染物会随着地表水流入河流或渗入地下水中，从而导致河流和地下水受污染，水质降低；采矿活动对矿区地下水的影响小。</w:t>
      </w:r>
    </w:p>
    <w:bookmarkEnd w:id="76"/>
    <w:p w14:paraId="63050BCC">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77" w:name="_Toc31798"/>
      <w:r>
        <w:rPr>
          <w:rFonts w:hint="default" w:ascii="Times New Roman" w:hAnsi="Times New Roman" w:eastAsia="宋体" w:cs="Times New Roman"/>
          <w:b/>
          <w:bCs/>
          <w:sz w:val="28"/>
          <w:szCs w:val="21"/>
        </w:rPr>
        <w:t>九、矿区开采后水文地质条件的变化</w:t>
      </w:r>
      <w:bookmarkEnd w:id="77"/>
    </w:p>
    <w:p w14:paraId="03CDFCB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矿区经过多年的露天开采，在矿区东部形成采空区一个，长约长约350m，宽约200m的采空区，形成边坡高约13～18m，台阶坡面角为27~57°，大致分五个台阶开采，采场底盘标高为2432m。</w:t>
      </w:r>
      <w:r>
        <w:rPr>
          <w:rFonts w:hint="default" w:ascii="Times New Roman" w:hAnsi="Times New Roman" w:eastAsia="宋体" w:cs="Times New Roman"/>
          <w:color w:val="000000"/>
          <w:sz w:val="28"/>
          <w:szCs w:val="21"/>
        </w:rPr>
        <w:t>矿区最</w:t>
      </w:r>
      <w:r>
        <w:rPr>
          <w:rFonts w:hint="default" w:ascii="Times New Roman" w:hAnsi="Times New Roman" w:eastAsia="宋体" w:cs="Times New Roman"/>
          <w:sz w:val="28"/>
          <w:szCs w:val="21"/>
        </w:rPr>
        <w:t>低开采标高为2410m，位于当地最低侵蚀基准面（河底箐东出口与东山河交汇处2350m）以上，矿区自然坡度为10°~20°，地形坡度有利于地表（下）水自然排泄，地表水在矿床开采过程中不会构成充水现象；矿山的开采没有揭露地下水，地下水埋藏较深，有少量地表水集水，在开采中可通过开挖引水沟渠自然疏干，矿山现状下开采对矿区水文地质条件影响较小，不会改变矿区水文地质条件。</w:t>
      </w:r>
    </w:p>
    <w:p w14:paraId="3A1F8D5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color w:val="000000"/>
          <w:sz w:val="28"/>
          <w:szCs w:val="28"/>
        </w:rPr>
        <w:t>矿床设计开采方式为露天开采，</w:t>
      </w:r>
      <w:r>
        <w:rPr>
          <w:rFonts w:hint="default" w:ascii="Times New Roman" w:hAnsi="Times New Roman" w:eastAsia="宋体" w:cs="Times New Roman"/>
          <w:sz w:val="28"/>
          <w:szCs w:val="28"/>
        </w:rPr>
        <w:t>矿区自然坡度为10°~20°，地形坡度有利于地表（下）水自然排泄，</w:t>
      </w:r>
      <w:r>
        <w:rPr>
          <w:rFonts w:hint="default" w:ascii="Times New Roman" w:hAnsi="Times New Roman" w:eastAsia="宋体" w:cs="Times New Roman"/>
          <w:color w:val="000000"/>
          <w:sz w:val="28"/>
          <w:szCs w:val="28"/>
        </w:rPr>
        <w:t xml:space="preserve"> 矿区及周围无地表水体及井、泉分布，地下水埋藏较深，对矿床无充水影响；矿床充水主要为季节性大气降水，开采范围内地表水可通过采场边坡及斜坡自然排泄，据以上特征，确定矿区水文地质条件为简单类型。</w:t>
      </w:r>
    </w:p>
    <w:p w14:paraId="73B4F06C">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eastAsia" w:ascii="Times New Roman" w:hAnsi="Times New Roman" w:cs="Times New Roman"/>
          <w:lang w:val="en-US" w:eastAsia="zh-CN"/>
        </w:rPr>
        <w:t>5</w:t>
      </w:r>
      <w:r>
        <w:rPr>
          <w:rFonts w:hint="default" w:ascii="Times New Roman" w:hAnsi="Times New Roman" w:cs="Times New Roman"/>
        </w:rPr>
        <w:t>.2 工程地质</w:t>
      </w:r>
      <w:bookmarkEnd w:id="52"/>
      <w:bookmarkEnd w:id="53"/>
      <w:bookmarkEnd w:id="54"/>
      <w:bookmarkEnd w:id="55"/>
      <w:bookmarkEnd w:id="56"/>
      <w:bookmarkEnd w:id="57"/>
      <w:bookmarkEnd w:id="58"/>
      <w:bookmarkEnd w:id="59"/>
      <w:bookmarkEnd w:id="60"/>
      <w:bookmarkEnd w:id="61"/>
      <w:bookmarkEnd w:id="62"/>
      <w:bookmarkStart w:id="78" w:name="_Toc249340185"/>
      <w:bookmarkStart w:id="79" w:name="_Toc247252329"/>
      <w:bookmarkStart w:id="80" w:name="_Toc190249647"/>
      <w:bookmarkStart w:id="81" w:name="_Toc105903265"/>
      <w:bookmarkStart w:id="82" w:name="_Toc245606273"/>
      <w:bookmarkStart w:id="83" w:name="_Toc190249483"/>
      <w:bookmarkStart w:id="84" w:name="_Toc105903758"/>
      <w:bookmarkStart w:id="85" w:name="_Toc108859862"/>
      <w:bookmarkStart w:id="86" w:name="_Toc105919074"/>
      <w:bookmarkStart w:id="87" w:name="_Toc108859748"/>
      <w:r>
        <w:rPr>
          <w:rFonts w:hint="default" w:ascii="Times New Roman" w:hAnsi="Times New Roman" w:cs="Times New Roman"/>
        </w:rPr>
        <w:t>条件</w:t>
      </w:r>
    </w:p>
    <w:bookmarkEnd w:id="78"/>
    <w:bookmarkEnd w:id="79"/>
    <w:p w14:paraId="5C473E4E">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4"/>
          <w:szCs w:val="24"/>
        </w:rPr>
      </w:pPr>
      <w:bookmarkStart w:id="88" w:name="_Toc12420"/>
      <w:bookmarkStart w:id="89" w:name="_Toc149620945"/>
      <w:bookmarkStart w:id="90" w:name="_Toc163438612"/>
      <w:bookmarkStart w:id="91" w:name="_Toc150739500"/>
      <w:bookmarkStart w:id="92" w:name="_Toc89268093"/>
      <w:bookmarkStart w:id="93" w:name="_Toc163442875"/>
      <w:bookmarkStart w:id="94" w:name="_Toc142377515"/>
      <w:bookmarkStart w:id="95" w:name="_Toc249340186"/>
      <w:bookmarkStart w:id="96" w:name="_Toc351642885"/>
      <w:bookmarkStart w:id="97" w:name="_Toc247252330"/>
      <w:r>
        <w:rPr>
          <w:rFonts w:hint="default" w:ascii="Times New Roman" w:hAnsi="Times New Roman" w:eastAsia="宋体" w:cs="Times New Roman"/>
          <w:b/>
          <w:bCs/>
          <w:sz w:val="28"/>
          <w:szCs w:val="21"/>
        </w:rPr>
        <w:t>一、工程地质岩组</w:t>
      </w:r>
      <w:bookmarkEnd w:id="88"/>
    </w:p>
    <w:p w14:paraId="70B58888">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sz w:val="28"/>
          <w:szCs w:val="21"/>
        </w:rPr>
        <w:t>矿区出露地层简单，仅有新生界第四系全新统（Q</w:t>
      </w:r>
      <w:r>
        <w:rPr>
          <w:rFonts w:hint="default" w:ascii="Times New Roman" w:hAnsi="Times New Roman" w:eastAsia="宋体" w:cs="Times New Roman"/>
          <w:sz w:val="28"/>
          <w:szCs w:val="21"/>
          <w:vertAlign w:val="subscript"/>
        </w:rPr>
        <w:t>h</w:t>
      </w:r>
      <w:r>
        <w:rPr>
          <w:rFonts w:hint="default" w:ascii="Times New Roman" w:hAnsi="Times New Roman" w:eastAsia="宋体" w:cs="Times New Roman"/>
          <w:sz w:val="28"/>
          <w:szCs w:val="21"/>
        </w:rPr>
        <w:t>）坡积、洪积、冲积、湖积砂砾石、粘土松散堆积物及中生界三叠系中统北衙组上段（T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）浅灰色、灰色厚层、块状石灰岩，</w:t>
      </w:r>
      <w:r>
        <w:rPr>
          <w:rFonts w:hint="default" w:ascii="Times New Roman" w:hAnsi="Times New Roman" w:eastAsia="宋体" w:cs="Times New Roman"/>
          <w:color w:val="000000"/>
          <w:sz w:val="28"/>
          <w:szCs w:val="21"/>
        </w:rPr>
        <w:t>根据其工程地质特征进行工程地质岩组划分，将</w:t>
      </w:r>
      <w:r>
        <w:rPr>
          <w:rFonts w:hint="default" w:ascii="Times New Roman" w:hAnsi="Times New Roman" w:eastAsia="宋体" w:cs="Times New Roman"/>
          <w:sz w:val="28"/>
          <w:szCs w:val="21"/>
        </w:rPr>
        <w:t>三叠系中统北衙组上段</w:t>
      </w:r>
      <w:r>
        <w:rPr>
          <w:rFonts w:hint="default" w:ascii="Times New Roman" w:hAnsi="Times New Roman" w:eastAsia="宋体" w:cs="Times New Roman"/>
          <w:color w:val="000000"/>
          <w:sz w:val="28"/>
          <w:szCs w:val="21"/>
        </w:rPr>
        <w:t>石灰岩划分为坚硬岩组，将第四系全新统划分为松散岩组，岩组工程度地质特征叙述如下：</w:t>
      </w:r>
    </w:p>
    <w:p w14:paraId="0544AC6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1、第四系松散岩类软弱岩组</w:t>
      </w:r>
    </w:p>
    <w:p w14:paraId="0DEF310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主要为砂、砾、粘土等混合堆积而成，主要分布于矿区外围低洼处及平坝区，呈疏松状，粘土、砂、砾呈多孔状，砾石以棱角、次棱角状为主，分布不均匀，该层厚度变化较大，约为0~10m，由于该层较松散，雨季容易发生垮塌，矿山应该做好防护工作。</w:t>
      </w:r>
    </w:p>
    <w:p w14:paraId="178764FD">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color w:val="000000"/>
          <w:sz w:val="28"/>
          <w:szCs w:val="21"/>
        </w:rPr>
        <w:t>2、</w:t>
      </w:r>
      <w:r>
        <w:rPr>
          <w:rFonts w:hint="default" w:ascii="Times New Roman" w:hAnsi="Times New Roman" w:eastAsia="宋体" w:cs="Times New Roman"/>
          <w:sz w:val="28"/>
          <w:szCs w:val="21"/>
        </w:rPr>
        <w:t>三叠系中统北衙组上段</w:t>
      </w:r>
      <w:r>
        <w:rPr>
          <w:rFonts w:hint="default" w:ascii="Times New Roman" w:hAnsi="Times New Roman" w:eastAsia="宋体" w:cs="Times New Roman"/>
          <w:color w:val="000000"/>
          <w:sz w:val="28"/>
          <w:szCs w:val="21"/>
        </w:rPr>
        <w:t>坚硬岩组</w:t>
      </w:r>
    </w:p>
    <w:p w14:paraId="49471F2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分布于整个矿区及其周边一定范围内，岩性为浅灰色、灰色厚层、块状石灰岩，具隐晶和粉晶结构，厚层－块状构造，矿石矿物主要由方解石，少量白云石、生物碎屑、石英、褐铁矿组成，岩石坚硬，结构致密，性脆，区内构造不发育，岩石完整性好、节理、裂隙中等发育，受压不易变形，天然状态下稳定性较好。</w:t>
      </w:r>
    </w:p>
    <w:p w14:paraId="5F1AABCC">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98" w:name="_Toc4061"/>
      <w:r>
        <w:rPr>
          <w:rFonts w:hint="default" w:ascii="Times New Roman" w:hAnsi="Times New Roman" w:eastAsia="宋体" w:cs="Times New Roman"/>
          <w:b/>
          <w:bCs/>
          <w:sz w:val="28"/>
          <w:szCs w:val="21"/>
        </w:rPr>
        <w:t>二、构造及工程地质特征</w:t>
      </w:r>
      <w:bookmarkEnd w:id="98"/>
    </w:p>
    <w:p w14:paraId="5CBF28D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矿区主要地层中生界三叠系中统北衙组上段（T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）总体呈单斜层状产出，产状一般为倾向283°~290°，倾角30°~35°，平均倾角32°。区内构造不发育。</w:t>
      </w:r>
    </w:p>
    <w:p w14:paraId="539ADBC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矿区碎屑岩发育有2组节理裂隙，分别为：</w:t>
      </w:r>
    </w:p>
    <w:p w14:paraId="1813941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第1组：产状107°∠35°。延伸2～3m，宽度2～5mm，平均节理密度0.3条/m，最密3条/m，间距0.2～2.0m。节理面较平整，多数钙质半充填。</w:t>
      </w:r>
    </w:p>
    <w:p w14:paraId="4CB64B6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第2组：产状192°∠51°，延伸长2～3m，裂隙面呈波状，粗糙，1条/1～2m，裂缝宽1～2mm，钙质半充填。</w:t>
      </w:r>
    </w:p>
    <w:p w14:paraId="33F9433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上述节理具有发育密度大、出现频率高、倾角陡、裂面平直光滑、开启性和延伸性一般到差，裂面多充填的特点。采坑边坡坡向与地层产状构成反向岩质边坡。</w:t>
      </w:r>
    </w:p>
    <w:p w14:paraId="72E73ED8">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99" w:name="_Toc29058"/>
      <w:bookmarkStart w:id="100" w:name="_Toc11069"/>
      <w:r>
        <w:rPr>
          <w:rFonts w:hint="default" w:ascii="Times New Roman" w:hAnsi="Times New Roman" w:eastAsia="宋体" w:cs="Times New Roman"/>
          <w:b/>
          <w:bCs/>
          <w:sz w:val="28"/>
          <w:szCs w:val="21"/>
        </w:rPr>
        <w:t>三、矿区不良工程地质现象</w:t>
      </w:r>
      <w:bookmarkEnd w:id="99"/>
      <w:bookmarkEnd w:id="100"/>
    </w:p>
    <w:p w14:paraId="427A991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地表露采区揭露地层为三叠系中统北衙组上段（T</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b</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）地层</w:t>
      </w:r>
      <w:r>
        <w:rPr>
          <w:rFonts w:hint="default" w:ascii="Times New Roman" w:hAnsi="Times New Roman" w:eastAsia="宋体" w:cs="Times New Roman"/>
          <w:color w:val="000000"/>
          <w:sz w:val="28"/>
          <w:szCs w:val="21"/>
        </w:rPr>
        <w:t>中：岩性为</w:t>
      </w:r>
      <w:r>
        <w:rPr>
          <w:rFonts w:hint="default" w:ascii="Times New Roman" w:hAnsi="Times New Roman" w:eastAsia="宋体" w:cs="Times New Roman"/>
          <w:sz w:val="28"/>
          <w:szCs w:val="21"/>
        </w:rPr>
        <w:t>浅灰色、灰色厚层、块状石灰岩，岩石坚硬、露采边坡稳定性较好，岩体属碳酸盐岩类</w:t>
      </w:r>
      <w:r>
        <w:rPr>
          <w:rFonts w:hint="default" w:ascii="Times New Roman" w:hAnsi="Times New Roman" w:eastAsia="宋体" w:cs="Times New Roman"/>
          <w:color w:val="000000"/>
          <w:sz w:val="28"/>
          <w:szCs w:val="21"/>
        </w:rPr>
        <w:t>坚硬岩组</w:t>
      </w:r>
      <w:r>
        <w:rPr>
          <w:rFonts w:hint="default" w:ascii="Times New Roman" w:hAnsi="Times New Roman" w:eastAsia="宋体" w:cs="Times New Roman"/>
          <w:sz w:val="28"/>
          <w:szCs w:val="21"/>
        </w:rPr>
        <w:t>，并且岩层产状与采坑坡向相反，矿区露天开采时的稳定边坡角为27~57°，平均42°，经过多年的开采，未发现有不良工程地质现象。</w:t>
      </w:r>
    </w:p>
    <w:p w14:paraId="20AE642A">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01" w:name="_Toc24180"/>
      <w:r>
        <w:rPr>
          <w:rFonts w:hint="default" w:ascii="Times New Roman" w:hAnsi="Times New Roman" w:eastAsia="宋体" w:cs="Times New Roman"/>
          <w:b/>
          <w:bCs/>
          <w:sz w:val="28"/>
          <w:szCs w:val="21"/>
        </w:rPr>
        <w:t>四、露天矿坑最终边坡稳定性评价</w:t>
      </w:r>
      <w:bookmarkEnd w:id="101"/>
    </w:p>
    <w:p w14:paraId="20834E6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1、评价范围及原则</w:t>
      </w:r>
    </w:p>
    <w:p w14:paraId="33C906A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本次工程地质评价限于最低开采标高2350m以上矿床采空后形成的最终边坡，而采矿过程中形成的临时人工边坡不作评价。矿床所处位置较高，边坡岩体无地下水影响，地表水的影响集中在雨季，构成边坡的岩石以灰岩为主。该岩组构成露天矿坑各向最终边坡，构造破坏对岩体完整性影响较大。</w:t>
      </w:r>
    </w:p>
    <w:p w14:paraId="470F67B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评价中不考虑地震力、人为因素（采矿）等对最终矿坑边坡可能造成的影响。因此岩体极限平衡计算评价要求最小稳定性系数应≥1.30，以消除不考虑地震、人为因素及降雨等因素的影响。</w:t>
      </w:r>
    </w:p>
    <w:p w14:paraId="1801594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2、最终边坡模型概化</w:t>
      </w:r>
    </w:p>
    <w:p w14:paraId="5C6D53E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该矿床为山坡露天开采，根据资源储量分布情况及其估算范围，露天采坑最终边坡可设置为1组最终边坡。</w:t>
      </w:r>
    </w:p>
    <w:p w14:paraId="3576B38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反向最终边坡：坡角按勘查范围北部和东西部边界向下以55°角与资源储量估算标高相交设置，坡高30m～60m（最大坡高H≤60m）；</w:t>
      </w:r>
    </w:p>
    <w:p w14:paraId="1510807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总体而言，露天采坑各向最终边坡主要由碎屑岩较坚硬岩组构成，岩体完整，可溶盐岩岩体内发育有2组节理，对岩体稳定性有一定影响。</w:t>
      </w:r>
    </w:p>
    <w:p w14:paraId="17DBFD8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3、露采矿坑最终边坡稳定性评价</w:t>
      </w:r>
    </w:p>
    <w:p w14:paraId="3D1468F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未来开采，采矿必须采用沿垂直方向由上往下、水平分阶段、平行推进、开沟扩邦，开拓方式为公路汽车运输，矿山在开采后将形成高陡边坡，易形成岩体裂缝、崩塌等不良工程地质现象。矿体岩石为灰岩，局部岩体结构面与坡向相同，存在岩体滑动的临空面，易发生岩体滑坡等不良工程地质现象，故矿山必须严格控制矿山台阶边坡的角度。如发现不稳定地质体必须及时清除，避免发生掉块、崩塌等地质灾害，对下方的工人以及机械设备造成威胁。</w:t>
      </w:r>
    </w:p>
    <w:p w14:paraId="23608EE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露采边坡主要组成岩性为灰岩。岩层产状与地形坡向呈反向关系，属稳定型边坡，建议最终边坡角≤55°。局部岩石节理裂隙发育，如则岩石稍破碎，稳定性差，易产生崩塌、掉块等不良工程地质现象。在未来开采应特别注意清除边坡上由层理面和节理面切割形成的坡上危石。</w:t>
      </w:r>
    </w:p>
    <w:p w14:paraId="7969DEF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矿山开采，将形成北西向采空区，结合本矿区岩层产状285°∠35°，主要的节理J</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产状</w:t>
      </w:r>
      <w:r>
        <w:rPr>
          <w:rFonts w:hint="default" w:ascii="Times New Roman" w:hAnsi="Times New Roman" w:eastAsia="宋体" w:cs="Times New Roman"/>
          <w:sz w:val="28"/>
          <w:szCs w:val="28"/>
        </w:rPr>
        <w:t>107°∠35°</w:t>
      </w:r>
      <w:r>
        <w:rPr>
          <w:rFonts w:hint="default" w:ascii="Times New Roman" w:hAnsi="Times New Roman" w:eastAsia="宋体" w:cs="Times New Roman"/>
          <w:sz w:val="28"/>
          <w:szCs w:val="21"/>
        </w:rPr>
        <w:t>和J</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产状</w:t>
      </w:r>
      <w:r>
        <w:rPr>
          <w:rFonts w:hint="default" w:ascii="Times New Roman" w:hAnsi="Times New Roman" w:eastAsia="宋体" w:cs="Times New Roman"/>
          <w:sz w:val="28"/>
          <w:szCs w:val="28"/>
        </w:rPr>
        <w:t>192°∠51°</w:t>
      </w:r>
      <w:r>
        <w:rPr>
          <w:rFonts w:hint="default" w:ascii="Times New Roman" w:hAnsi="Times New Roman" w:eastAsia="宋体" w:cs="Times New Roman"/>
          <w:sz w:val="28"/>
          <w:szCs w:val="21"/>
        </w:rPr>
        <w:t>。通过分析认为：未来采场北西侧采场边坡与J</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斜交、与地层产状和J</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大角度相反，基本稳定；南东侧采场边坡与J</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小角度斜交、与地层产状相同、与J</w:t>
      </w:r>
      <w:r>
        <w:rPr>
          <w:rFonts w:hint="default" w:ascii="Times New Roman" w:hAnsi="Times New Roman" w:eastAsia="宋体" w:cs="Times New Roman"/>
          <w:sz w:val="28"/>
          <w:szCs w:val="21"/>
          <w:vertAlign w:val="subscript"/>
        </w:rPr>
        <w:t>2</w:t>
      </w:r>
      <w:r>
        <w:rPr>
          <w:rFonts w:hint="default" w:ascii="Times New Roman" w:hAnsi="Times New Roman" w:eastAsia="宋体" w:cs="Times New Roman"/>
          <w:sz w:val="28"/>
          <w:szCs w:val="21"/>
        </w:rPr>
        <w:t>大角度斜交，因与J</w:t>
      </w:r>
      <w:r>
        <w:rPr>
          <w:rFonts w:hint="default" w:ascii="Times New Roman" w:hAnsi="Times New Roman" w:eastAsia="宋体" w:cs="Times New Roman"/>
          <w:sz w:val="28"/>
          <w:szCs w:val="21"/>
          <w:vertAlign w:val="subscript"/>
        </w:rPr>
        <w:t>1</w:t>
      </w:r>
      <w:r>
        <w:rPr>
          <w:rFonts w:hint="default" w:ascii="Times New Roman" w:hAnsi="Times New Roman" w:eastAsia="宋体" w:cs="Times New Roman"/>
          <w:sz w:val="28"/>
          <w:szCs w:val="21"/>
        </w:rPr>
        <w:t>小角度斜交为不利组合，边坡稳定性差。</w:t>
      </w:r>
    </w:p>
    <w:bookmarkEnd w:id="89"/>
    <w:bookmarkEnd w:id="90"/>
    <w:bookmarkEnd w:id="91"/>
    <w:bookmarkEnd w:id="92"/>
    <w:bookmarkEnd w:id="93"/>
    <w:bookmarkEnd w:id="94"/>
    <w:p w14:paraId="30A13ADE">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02" w:name="_Toc20186"/>
      <w:r>
        <w:rPr>
          <w:rFonts w:hint="default" w:ascii="Times New Roman" w:hAnsi="Times New Roman" w:eastAsia="宋体" w:cs="Times New Roman"/>
          <w:b/>
          <w:bCs/>
          <w:sz w:val="28"/>
          <w:szCs w:val="21"/>
        </w:rPr>
        <w:t>五、小结</w:t>
      </w:r>
      <w:bookmarkEnd w:id="102"/>
    </w:p>
    <w:p w14:paraId="76A48CB4">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sz w:val="28"/>
          <w:szCs w:val="21"/>
        </w:rPr>
      </w:pPr>
      <w:r>
        <w:rPr>
          <w:rFonts w:hint="default" w:ascii="Times New Roman" w:hAnsi="Times New Roman" w:eastAsia="宋体" w:cs="Times New Roman"/>
          <w:sz w:val="28"/>
          <w:szCs w:val="21"/>
        </w:rPr>
        <w:t>矿区石灰岩属坚硬岩组，岩石坚硬，受压不易变形，该土体力学性质较好，天然状态下整体稳定性较好，但矿区开采深度较大，随着矿山的开采，采场在露天开采后形成高陡边坡的条件下，可能发生局部岩体崩塌、滑动等岩体工程地质灾害问题，根据以上特征确定矿区工程地质条件属中等类型。</w:t>
      </w:r>
    </w:p>
    <w:p w14:paraId="3B1E08E2">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rPr>
        <w:t>2.3.</w:t>
      </w:r>
      <w:r>
        <w:rPr>
          <w:rFonts w:hint="eastAsia" w:ascii="Times New Roman" w:hAnsi="Times New Roman" w:cs="Times New Roman"/>
          <w:lang w:val="en-US" w:eastAsia="zh-CN"/>
        </w:rPr>
        <w:t>5</w:t>
      </w:r>
      <w:r>
        <w:rPr>
          <w:rFonts w:hint="default" w:ascii="Times New Roman" w:hAnsi="Times New Roman" w:cs="Times New Roman"/>
        </w:rPr>
        <w:t>.3 环境地质</w:t>
      </w:r>
      <w:bookmarkEnd w:id="80"/>
      <w:bookmarkEnd w:id="81"/>
      <w:bookmarkEnd w:id="82"/>
      <w:bookmarkEnd w:id="83"/>
      <w:bookmarkEnd w:id="84"/>
      <w:bookmarkEnd w:id="85"/>
      <w:bookmarkEnd w:id="86"/>
      <w:bookmarkEnd w:id="87"/>
      <w:bookmarkEnd w:id="95"/>
      <w:bookmarkEnd w:id="96"/>
      <w:bookmarkEnd w:id="97"/>
      <w:r>
        <w:rPr>
          <w:rFonts w:hint="default" w:ascii="Times New Roman" w:hAnsi="Times New Roman" w:cs="Times New Roman"/>
        </w:rPr>
        <w:t>条件</w:t>
      </w:r>
    </w:p>
    <w:p w14:paraId="1B1C7F40">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03" w:name="_Toc8847"/>
      <w:bookmarkStart w:id="104" w:name="_Toc190249484"/>
      <w:bookmarkStart w:id="105" w:name="_Toc245606274"/>
      <w:bookmarkStart w:id="106" w:name="_Toc108859749"/>
      <w:bookmarkStart w:id="107" w:name="_Toc108859863"/>
      <w:bookmarkStart w:id="108" w:name="_Toc247252333"/>
      <w:bookmarkStart w:id="109" w:name="_Toc249340189"/>
      <w:bookmarkStart w:id="110" w:name="_Toc190249648"/>
      <w:bookmarkStart w:id="111" w:name="_Toc351642886"/>
      <w:r>
        <w:rPr>
          <w:rFonts w:hint="default" w:ascii="Times New Roman" w:hAnsi="Times New Roman" w:eastAsia="宋体" w:cs="Times New Roman"/>
          <w:b/>
          <w:bCs/>
          <w:sz w:val="28"/>
          <w:szCs w:val="21"/>
        </w:rPr>
        <w:t>一、地震及区域稳定性</w:t>
      </w:r>
      <w:bookmarkEnd w:id="103"/>
    </w:p>
    <w:p w14:paraId="14908ED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云南为地震多发省份，根据《GB50011-2010建筑抗震设计规范》烈度分区，</w:t>
      </w:r>
      <w:r>
        <w:rPr>
          <w:rFonts w:hint="default" w:ascii="Times New Roman" w:hAnsi="Times New Roman" w:eastAsia="宋体" w:cs="Times New Roman"/>
          <w:color w:val="000000"/>
          <w:sz w:val="28"/>
          <w:szCs w:val="21"/>
        </w:rPr>
        <w:t>矿区地震动峰加速度值为0.30g，地震动反映普特征周期为0.45s，地震基本烈度为Ⅷ。设计地震分组为第三组。</w:t>
      </w:r>
      <w:r>
        <w:rPr>
          <w:rFonts w:hint="default" w:ascii="Times New Roman" w:hAnsi="Times New Roman" w:eastAsia="宋体" w:cs="Times New Roman"/>
          <w:sz w:val="28"/>
          <w:szCs w:val="21"/>
        </w:rPr>
        <w:t>本区位于Ⅷ度地震烈度设防区，矿区区域稳定性较差，属次不稳定区。本地区的采石场和陡坎在地震波的冲击下，有可能发生小范围的塌落现象。应对地震要有所预防。矿区有7年的开采史，无废渣，无其他有害环境的废物排出，采矿工程施工过程中不曾诱发滑坡、泥石流、地裂、地缝、地下水疏干等地质灾害问题，未出现地面变形、沉降和塌陷等地质环境灾害。矿区地形平缓，开采后可以进行植被恢复，种植树木绿化环境。</w:t>
      </w:r>
    </w:p>
    <w:p w14:paraId="2A7C707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矿区地形坡度10~20º，植被弱发育，所处位置为一单斜坡，周边无地表水体分布，矿石及剥离物化学成分稳定，矿区内无任何污染源存在；矿坑水来自大气降雨，不含有毒有害成分。</w:t>
      </w:r>
    </w:p>
    <w:p w14:paraId="40C6186A">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sz w:val="28"/>
          <w:szCs w:val="21"/>
        </w:rPr>
      </w:pPr>
      <w:r>
        <w:rPr>
          <w:rFonts w:hint="default" w:ascii="Times New Roman" w:hAnsi="Times New Roman" w:eastAsia="宋体" w:cs="Times New Roman"/>
          <w:sz w:val="28"/>
          <w:szCs w:val="21"/>
        </w:rPr>
        <w:t>矿区岩溶弱发育，采矿活动引起地面塌陷的可能性较小；采场内堆积的渣土量少，雨季不会形成泥石流；采场水平推进，分台阶开采，不会形成陡坡，由于岩层坚硬，力学强度较高，雨季不易形成滑坡，但采场在露采后形成高陡边坡的条件下，可能发生局部岩体崩塌、滑坡等工程地质灾害问题，矿山应加强防范意识，做好岩体崩塌、滑坡的防治措施，预防地质灾害的发生。</w:t>
      </w:r>
    </w:p>
    <w:p w14:paraId="1BF4BD5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采矿产生的硝烟、粉尘一般不会对周围大气质量产生明显影响。</w:t>
      </w:r>
    </w:p>
    <w:p w14:paraId="0BF086E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矿床外围主要分布有耕地，附近无名胜景区，矿区地质环境质量条件现状总体属良好类型。</w:t>
      </w:r>
    </w:p>
    <w:p w14:paraId="6277EE3E">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12" w:name="_Toc29155"/>
      <w:r>
        <w:rPr>
          <w:rFonts w:hint="default" w:ascii="Times New Roman" w:hAnsi="Times New Roman" w:eastAsia="宋体" w:cs="Times New Roman"/>
          <w:b/>
          <w:bCs/>
          <w:sz w:val="28"/>
          <w:szCs w:val="21"/>
        </w:rPr>
        <w:t>二、矿区地质环境现状</w:t>
      </w:r>
      <w:bookmarkEnd w:id="112"/>
    </w:p>
    <w:p w14:paraId="5F778A0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1、矿区范围内还有矿已被全部采空。</w:t>
      </w:r>
    </w:p>
    <w:p w14:paraId="242B5D6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采矿权范围内无常住居民、学校，名胜景区。本区没有工业污染源，人口密度小，地下水不受污染。今后随着矿山不断开采，露天采场范围及深度不断扩大，将会形成较高陡边坡，除可能会出现（特别是雨季）局部山体松动、塌落、崩塌、滑坡外，废石、废渣和工业场地的形成，若处理不当，不仅会成为地质灾害隐患，可能会引发泥石流等地质灾害。</w:t>
      </w:r>
    </w:p>
    <w:p w14:paraId="3FF0A4B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3、矿体中没有影响人体健康的有害元素和气体。矿山生产、生活用水量虽不大，但也需要净化处理才能排放。</w:t>
      </w:r>
    </w:p>
    <w:p w14:paraId="3CCEAF1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4、采空区对应的地表范围内可能会形成滑坡、塌陷，其威胁目标主要是矿山的机械设备、人员安全和生活设施，矿区应做好监测工作，确保矿山人员人身安全。</w:t>
      </w:r>
    </w:p>
    <w:p w14:paraId="39F47CE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5、根据《GB50011-2010建筑抗震设计规范》烈度分区，</w:t>
      </w:r>
      <w:r>
        <w:rPr>
          <w:rFonts w:hint="default" w:ascii="Times New Roman" w:hAnsi="Times New Roman" w:eastAsia="宋体" w:cs="Times New Roman"/>
          <w:color w:val="000000"/>
          <w:sz w:val="28"/>
          <w:szCs w:val="21"/>
        </w:rPr>
        <w:t>矿区地震动峰加速度值为0.30g，地震动反映普特征周期为0.45s，地震基本烈度为Ⅷ。设计地震分组为第三组。</w:t>
      </w:r>
      <w:r>
        <w:rPr>
          <w:rFonts w:hint="default" w:ascii="Times New Roman" w:hAnsi="Times New Roman" w:eastAsia="宋体" w:cs="Times New Roman"/>
          <w:sz w:val="28"/>
          <w:szCs w:val="21"/>
        </w:rPr>
        <w:t>本区位于Ⅷ度地震烈度设防区，矿区区域稳定性较差，属次不稳定区。</w:t>
      </w:r>
    </w:p>
    <w:p w14:paraId="75E352CF">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13" w:name="_Toc5072"/>
      <w:bookmarkStart w:id="114" w:name="_Toc16699"/>
      <w:r>
        <w:rPr>
          <w:rFonts w:hint="default" w:ascii="Times New Roman" w:hAnsi="Times New Roman" w:eastAsia="宋体" w:cs="Times New Roman"/>
          <w:b/>
          <w:bCs/>
          <w:sz w:val="28"/>
          <w:szCs w:val="21"/>
        </w:rPr>
        <w:t>三、矿床开采对当地环境的影响</w:t>
      </w:r>
      <w:bookmarkEnd w:id="113"/>
      <w:bookmarkEnd w:id="114"/>
    </w:p>
    <w:p w14:paraId="33A7C70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矿区所在地为以农业为主的贫困村，工业不发达，无大的工业厂矿，无较大的污染源。矿区附近村庄由于小规模饲养畜禽及农业中使用化肥局部受一定的污染，但对矿床开发利用无影响。</w:t>
      </w:r>
    </w:p>
    <w:p w14:paraId="6B735B9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石及围岩组分稳定，不含有毒有害元素和组分，亦不会分解出有毒有害组分。矿坑涌水来源于季节性大气降雨，排泄后不会对下游水体造成污染。矿床未来开采一般不会对矿区及周围环境产生破坏性影响，对矿区及区域地质环境影响不大。但由于灰岩矿的开采可使岩土体变得松散，加之开采可能出现的陡坎、陡坡，使本来稳固性较好的岩土体其稳定性相对变差，在开挖条件下易引起局部危岩滚落、崩塌，局部地貌景观破坏，小范围地面拉裂，固体废弃物占地，扬尘、噪声等矿山环境地质问题。</w:t>
      </w:r>
    </w:p>
    <w:p w14:paraId="20FA1AD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岩溶含水层地下水位埋藏较深，矿区位于岩溶含水层补给区—径流区，矿体处于该含水层垂直入渗带，矿床未来开采不会对矿区水文地质条件产生明显改变。</w:t>
      </w:r>
    </w:p>
    <w:p w14:paraId="5CE45DD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露采坑最终边坡最大坡高（H）≤60m，为中高边坡，最终边坡主要由灰岩组成，各边坡稳定性较好，采矿可能引起边坡局部产生危岩滚落、小范围地面及坡顶拉裂，但对矿区地质环境影响不大；矿床未来开采形成的剥离物，应综合利用，合理堆放，不能顺坡堆放，以免在降雨条件下形成坡面泥石流。除此，区内无其他环境地质隐患。</w:t>
      </w:r>
    </w:p>
    <w:p w14:paraId="58AC864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同时需要合理存放弃渣，并关注弃渣堆放场地对周边环境、水体、村民的影响，矿山周边没有村庄、地表水，因此，对地表水、村民的影响较小；在强降雨的条件下，易引发弃渣边坡失稳形成开裂、崩塌、滑坡、泥石流等地质灾害的可能性较大，对下游地质环境、盆地的地质环境等构成威胁危害较大。</w:t>
      </w:r>
    </w:p>
    <w:p w14:paraId="3C5EBB7F">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115" w:name="_Toc3074"/>
      <w:r>
        <w:rPr>
          <w:rFonts w:hint="default" w:ascii="Times New Roman" w:hAnsi="Times New Roman" w:eastAsia="宋体" w:cs="Times New Roman"/>
          <w:b/>
          <w:bCs/>
          <w:sz w:val="28"/>
          <w:szCs w:val="21"/>
        </w:rPr>
        <w:t>四、小结</w:t>
      </w:r>
      <w:bookmarkEnd w:id="115"/>
    </w:p>
    <w:p w14:paraId="5FFAFC2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矿区区域稳定性较差，属次不稳定区，岩层以坚硬岩组为主，边坡稳定性好，采空区不易导致地面塌陷；矿渣随意堆积会诱发泥石流等，从而对下游农田及居民造成一定危害，确定矿区环境地质条件属中等类型。</w:t>
      </w:r>
    </w:p>
    <w:p w14:paraId="6EA6F217">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2.3.</w:t>
      </w:r>
      <w:r>
        <w:rPr>
          <w:rFonts w:hint="eastAsia" w:ascii="Times New Roman" w:hAnsi="Times New Roman" w:cs="Times New Roman"/>
          <w:lang w:val="en-US" w:eastAsia="zh-CN"/>
        </w:rPr>
        <w:t>5</w:t>
      </w:r>
      <w:r>
        <w:rPr>
          <w:rFonts w:hint="default" w:ascii="Times New Roman" w:hAnsi="Times New Roman" w:cs="Times New Roman"/>
        </w:rPr>
        <w:t>.4 开采技术条件</w:t>
      </w:r>
      <w:bookmarkEnd w:id="104"/>
      <w:bookmarkEnd w:id="105"/>
      <w:bookmarkEnd w:id="106"/>
      <w:bookmarkEnd w:id="107"/>
      <w:bookmarkEnd w:id="108"/>
      <w:bookmarkEnd w:id="109"/>
      <w:bookmarkEnd w:id="110"/>
      <w:r>
        <w:rPr>
          <w:rFonts w:hint="default" w:ascii="Times New Roman" w:hAnsi="Times New Roman" w:cs="Times New Roman"/>
        </w:rPr>
        <w:t>小结</w:t>
      </w:r>
      <w:bookmarkEnd w:id="111"/>
    </w:p>
    <w:p w14:paraId="44D8E90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16" w:name="_Toc30612"/>
      <w:r>
        <w:rPr>
          <w:rFonts w:hint="default" w:ascii="Times New Roman" w:hAnsi="Times New Roman" w:eastAsia="宋体" w:cs="Times New Roman"/>
          <w:sz w:val="28"/>
          <w:szCs w:val="21"/>
        </w:rPr>
        <w:t>矿区最低标高为2410m，位于当地最低侵蚀基准面（河底箐东出口与东山河交汇处2350m）以上，矿区自然坡度为10°~20°，地形坡度有利于地表（下）水自然排泄，矿区及周围无地表水体及井、泉分布，地下水埋藏较深，对矿床无充水影响；矿床充水主要为季节性大气降水，开采范围内地表水可通过采场边坡及斜坡自然排泄，据以上特征，矿区水文地质条件为简单类型；矿区石灰岩属坚硬岩组，岩石坚硬，受压不易变形，该土体力学性质较好，天然状态下整体稳定性较好，但矿区开采深度较大，随着矿山的开采，采场在露天开采后形成高陡边坡的条件下，可能发生局部岩体崩塌、滑动等岩体工程地质灾害问题，矿区工程地质条件属中等类型；矿区区域稳定性较差，属次不稳定区，岩层以坚硬岩组为主，边坡稳定性好，采空区不易导致地面塌陷；矿渣随意堆积会诱发泥石流等，从而对下游农田及居民造成一定危害，矿区环境地质条件属中等类型。</w:t>
      </w:r>
    </w:p>
    <w:p w14:paraId="63F52DD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综上所述，矿区水文地质条件属简单类型，工程地质条件属中等类型，环境地质条件属中等类型，确定矿山开采技术条件属以工程地质条件和环境地质条件复合的中等（Ⅱ-4）类型。</w:t>
      </w:r>
    </w:p>
    <w:p w14:paraId="01B1B844">
      <w:pPr>
        <w:pStyle w:val="3"/>
        <w:pageBreakBefore w:val="0"/>
        <w:kinsoku/>
        <w:wordWrap/>
        <w:bidi w:val="0"/>
        <w:adjustRightInd w:val="0"/>
        <w:snapToGrid w:val="0"/>
        <w:rPr>
          <w:rFonts w:hint="default" w:ascii="Times New Roman" w:hAnsi="Times New Roman" w:cs="Times New Roman"/>
          <w:color w:val="000000" w:themeColor="text1"/>
          <w:sz w:val="28"/>
          <w:szCs w:val="28"/>
          <w:lang w:val="en-GB"/>
          <w14:textFill>
            <w14:solidFill>
              <w14:schemeClr w14:val="tx1"/>
            </w14:solidFill>
          </w14:textFill>
        </w:rPr>
      </w:pPr>
      <w:bookmarkStart w:id="117" w:name="_Toc20690"/>
      <w:r>
        <w:rPr>
          <w:rFonts w:hint="default" w:ascii="Times New Roman" w:hAnsi="Times New Roman" w:cs="Times New Roman"/>
          <w:color w:val="000000" w:themeColor="text1"/>
          <w:sz w:val="28"/>
          <w:szCs w:val="28"/>
          <w:lang w:val="en-GB"/>
          <w14:textFill>
            <w14:solidFill>
              <w14:schemeClr w14:val="tx1"/>
            </w14:solidFill>
          </w14:textFill>
        </w:rPr>
        <w:t>2.4 建设方案概况</w:t>
      </w:r>
      <w:bookmarkEnd w:id="116"/>
      <w:bookmarkEnd w:id="117"/>
    </w:p>
    <w:p w14:paraId="5A39562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该矿山为原有矿山，原采矿权人为鹤庆县俊峰石料有限责任公司，采矿证号：C5329322010117130088179，生产规模为2.3万t/年，开采深度2510m—2482m。原矿区范围内资源已经枯竭，根据鹤庆县自然资源局关于矿山转型升级需变更矿区范围的要求，鹤庆县俊峰石料有限责任公司向鹤庆县自然资源局申请扩大矿区范围。矿山完善储量及开发等相关手续后，由鹤庆县自然资源局公开挂牌出让。</w:t>
      </w:r>
    </w:p>
    <w:p w14:paraId="11057D6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8"/>
        </w:rPr>
        <w:t>扩大后的矿权由</w:t>
      </w:r>
      <w:r>
        <w:rPr>
          <w:rFonts w:hint="default" w:ascii="Times New Roman" w:hAnsi="Times New Roman" w:eastAsia="宋体" w:cs="Times New Roman"/>
          <w:sz w:val="28"/>
          <w:szCs w:val="21"/>
        </w:rPr>
        <w:t>贵州新天喜工程机械有限公司于2022年12月21日取得采矿许可证，证号为C5329322022127150154465，生产规模80万t/a，</w:t>
      </w:r>
      <w:r>
        <w:rPr>
          <w:rFonts w:hint="default" w:ascii="Times New Roman" w:hAnsi="Times New Roman" w:cs="Times New Roman"/>
          <w:snapToGrid w:val="0"/>
          <w:kern w:val="0"/>
          <w:sz w:val="28"/>
          <w:szCs w:val="28"/>
        </w:rPr>
        <w:t>有效期为2022年12月20日至2032年12月20日，</w:t>
      </w:r>
      <w:r>
        <w:rPr>
          <w:rFonts w:hint="default" w:ascii="Times New Roman" w:hAnsi="Times New Roman" w:eastAsia="宋体" w:cs="Times New Roman"/>
          <w:sz w:val="28"/>
          <w:szCs w:val="21"/>
        </w:rPr>
        <w:t>矿区面积0.1027km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开采深度2520m～2420m；矿区范围由10个拐点圈定。根据《云南省人民政府关于促进非煤矿山转型升级的实施意见》（云政发〔2015〕38号）文件精神以及《鹤庆县人民政府关于批准〈鹤庆县非煤矿山转型升级“四个一批”调整方案〉的函》（鹤政函〔2017〕19号）文件，该矿为非煤矿山转型升级“改造升级”类矿山。</w:t>
      </w:r>
    </w:p>
    <w:p w14:paraId="08F759C6">
      <w:pPr>
        <w:pStyle w:val="12"/>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sz w:val="28"/>
          <w:szCs w:val="21"/>
        </w:rPr>
        <w:t>根据《建设项目安全设施“三同时”监督管理办法》等有关规定，该项目属于改扩建项目，需要完善建设项目安全设施的“三同时”工作。</w:t>
      </w:r>
      <w:r>
        <w:rPr>
          <w:rFonts w:hint="default" w:ascii="Times New Roman" w:hAnsi="Times New Roman" w:eastAsia="宋体" w:cs="Times New Roman"/>
          <w:color w:val="000000" w:themeColor="text1"/>
          <w:sz w:val="28"/>
          <w:szCs w:val="28"/>
          <w:lang w:val="en-GB"/>
          <w14:textFill>
            <w14:solidFill>
              <w14:schemeClr w14:val="tx1"/>
            </w14:solidFill>
          </w14:textFill>
        </w:rPr>
        <w:t>矿山取得新的采矿许可证后，矿山于202</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年</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月委托云南德成规划设计有限公司编制完成《鹤庆县河底普通建筑材料用石灰岩矿80万t/a露天采矿工程初步设计》，本次预评价报告主要依据云南德成规划设计有限公司</w:t>
      </w:r>
      <w:r>
        <w:rPr>
          <w:rFonts w:hint="default" w:ascii="Times New Roman" w:hAnsi="Times New Roman" w:eastAsia="宋体" w:cs="Times New Roman"/>
          <w:color w:val="000000" w:themeColor="text1"/>
          <w:sz w:val="28"/>
          <w:szCs w:val="28"/>
          <w14:textFill>
            <w14:solidFill>
              <w14:schemeClr w14:val="tx1"/>
            </w14:solidFill>
          </w14:textFill>
        </w:rPr>
        <w:t>于</w:t>
      </w:r>
      <w:r>
        <w:rPr>
          <w:rFonts w:hint="default" w:ascii="Times New Roman" w:hAnsi="Times New Roman" w:eastAsia="宋体" w:cs="Times New Roman"/>
          <w:color w:val="000000" w:themeColor="text1"/>
          <w:sz w:val="28"/>
          <w:szCs w:val="28"/>
          <w:lang w:val="en-GB"/>
          <w14:textFill>
            <w14:solidFill>
              <w14:schemeClr w14:val="tx1"/>
            </w14:solidFill>
          </w14:textFill>
        </w:rPr>
        <w:t>202</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年</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月提交的《鹤庆县河底普通建筑材料用石灰岩矿80万t/a露天采矿工程初步设计》作为依据，以下项目建设方案均依据《鹤庆县河底普通建筑材料用石灰岩矿80万t/a露天采矿工程初步设计》中所设计的方案进行描述。</w:t>
      </w:r>
    </w:p>
    <w:p w14:paraId="489F1FA1">
      <w:pPr>
        <w:pStyle w:val="12"/>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z w:val="28"/>
          <w:szCs w:val="28"/>
          <w:lang w:val="en-US" w:eastAsia="zh-CN"/>
          <w14:textFill>
            <w14:solidFill>
              <w14:schemeClr w14:val="tx1"/>
            </w14:solidFill>
          </w14:textFill>
        </w:rPr>
        <w:t>本矿山属已有矿山，2011年即开始开采，矿区范围内地势西高东低，根据实际勘查及实测资料，原采矿权现状下已形成1个采空区，为椭圆状。采空区呈东西向展布，为矿山此前开采形成的采空区，已形成6个平台，平台标高为2441m、2443m、2450m、2462m、2478m和2493m，平台边坡角40~65°，边坡高6～16m，平台宽4～50m，采空区最大高差84m，最终边坡角21~30°，西侧部分边坡已经超出矿界。采空区面积约54400m</w:t>
      </w:r>
      <w:r>
        <w:rPr>
          <w:rFonts w:hint="default" w:ascii="Times New Roman" w:hAnsi="Times New Roman" w:eastAsia="宋体" w:cs="Times New Roman"/>
          <w:color w:val="000000" w:themeColor="text1"/>
          <w:sz w:val="28"/>
          <w:szCs w:val="28"/>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。经现场踏勘，已形成的采空区目前较为稳定，边坡未发现有滑坡、垮塌等不良地质现象。扩大后的矿权由贵州新天喜工程机械有限公司取得采矿许可证，暂未取得安全生产许可证，现并未进行生产活动。</w:t>
      </w:r>
    </w:p>
    <w:p w14:paraId="03E35F3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szCs w:val="28"/>
          <w:lang w:val="en-GB"/>
          <w14:textFill>
            <w14:solidFill>
              <w14:schemeClr w14:val="tx1"/>
            </w14:solidFill>
          </w14:textFill>
        </w:rPr>
      </w:pPr>
      <w:r>
        <w:rPr>
          <w:rFonts w:hint="default" w:ascii="Times New Roman" w:hAnsi="Times New Roman" w:eastAsia="宋体" w:cs="Times New Roman"/>
          <w:b/>
          <w:bCs w:val="0"/>
          <w:color w:val="000000" w:themeColor="text1"/>
          <w:sz w:val="28"/>
          <w:szCs w:val="28"/>
          <w:lang w:val="en-GB"/>
          <w14:textFill>
            <w14:solidFill>
              <w14:schemeClr w14:val="tx1"/>
            </w14:solidFill>
          </w14:textFill>
        </w:rPr>
        <w:t>2.4.1 矿山现状</w:t>
      </w:r>
    </w:p>
    <w:p w14:paraId="0A40649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鹤庆县河底普通建筑材料用石灰岩矿为生产矿山，于2011年投产至今已开采7年，矿山现有露天采场，办公生活区、机汽修车间、破碎站、道路等场地及辅助设施等。</w:t>
      </w:r>
    </w:p>
    <w:p w14:paraId="4789A2B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1、矿区总平面布置现状</w:t>
      </w:r>
    </w:p>
    <w:p w14:paraId="4585AF5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矿山现有生产工艺流如下：</w:t>
      </w:r>
    </w:p>
    <w:p w14:paraId="3E74304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露天采场→液压潜孔钻机穿孔→乳化炸药爆破→卡特349D挖掘机装车→30t红岩金刚矿用自卸汽车运输→破碎站破碎。</w:t>
      </w:r>
    </w:p>
    <w:p w14:paraId="6225ABA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本项目主要包括了露天采场、运输道路、机汽修场地、矿山办公区、破碎站、高位水池。</w:t>
      </w:r>
    </w:p>
    <w:p w14:paraId="53A1B00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2、露天采场开采现状</w:t>
      </w:r>
    </w:p>
    <w:p w14:paraId="0C35314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鹤庆县河底普通建筑材料用石灰岩矿属于“独立山头”，露天采场采用自上而下分台阶开采工艺，矿山上部第四系覆盖层表土大部分已剥离用作场地及道路平整。</w:t>
      </w:r>
    </w:p>
    <w:p w14:paraId="6651F16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现状下已形成1个采空区，为椭圆状。采空区呈东西向展布，为矿山此前开采形成的采空区，已形成6个平台，平台标高为2441m、2443m、2450m、2462m、2478m和2493m，平台边坡角40~65°，边坡高6~16m，平台宽4~50m，采空区最大高差84m，最终边坡角21~30°，西侧部分边坡已经超出矿界。采空区面积约54400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，目前还未靠帮。</w:t>
      </w:r>
    </w:p>
    <w:p w14:paraId="7F085F3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从现场踏勘调查情况看，矿石相对比较破碎，节理裂隙发育，露天采场边坡局部出现裂缝，工作台阶坡面角约90°，但边坡从整体上来看，现处于稳定状态。目前采空区顶部2493m平台的边坡最高处约25m，存在安全隐患，设计在基建期将2510m平台削平，以降低边坡高度，并在生产过程中，对不满足《安全规程》的边坡进行逐步整改。</w:t>
      </w:r>
    </w:p>
    <w:p w14:paraId="1EE5048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（1）穿孔、爆破</w:t>
      </w:r>
    </w:p>
    <w:p w14:paraId="0523DE9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矿山目前采用Cm</w:t>
      </w:r>
      <w:r>
        <w:rPr>
          <w:rFonts w:hint="default" w:ascii="Times New Roman" w:hAnsi="Times New Roman" w:eastAsia="宋体" w:cs="Times New Roman"/>
          <w:sz w:val="28"/>
          <w:szCs w:val="21"/>
          <w:vertAlign w:val="superscript"/>
          <w:lang w:val="en-US" w:eastAsia="zh-CN"/>
        </w:rPr>
        <w:t>3</w:t>
      </w:r>
      <w:r>
        <w:rPr>
          <w:rFonts w:hint="default" w:ascii="Times New Roman" w:hAnsi="Times New Roman" w:eastAsia="宋体" w:cs="Times New Roman"/>
          <w:sz w:val="28"/>
          <w:szCs w:val="21"/>
        </w:rPr>
        <w:t>51潜孔钻机穿孔。穿孔直径120mm，孔深16m，穿孔倾角90°，钻孔孔距排距网度4.5×4m。</w:t>
      </w:r>
    </w:p>
    <w:p w14:paraId="70F164F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采用乳化炸药、数码电子雷管、中深孔多排孔微差爆破。矿山穿孔作业，爆破器材运输、现场爆破警戒、装药、连线、起爆工作均由公司爆破岗完成，矿山每周爆破1次。矿山现采用的穿孔设备带有收尘设施。</w:t>
      </w:r>
    </w:p>
    <w:p w14:paraId="72D544A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（2）铲装</w:t>
      </w:r>
    </w:p>
    <w:p w14:paraId="5751E7E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矿山目前采用卡特349D挖掘机铲装矿石，另外两台柳工50装载机辅助铲装及其他工程工作。</w:t>
      </w:r>
    </w:p>
    <w:p w14:paraId="0E4CE3F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（3）运输</w:t>
      </w:r>
    </w:p>
    <w:p w14:paraId="5AF0ABD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矿山现状采用公路汽车运输开拓，已有运输道路到达原开采形成的采空区顶部，运输道路由破碎站卸矿口通至采场底部以及采空区顶部2508m标高，路面宽4m，平均坡度14.54%，最大纵坡18%。</w:t>
      </w:r>
    </w:p>
    <w:p w14:paraId="4E7990E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3、破碎站</w:t>
      </w:r>
    </w:p>
    <w:p w14:paraId="7883D0B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矿山目前建有的破碎站于2022年进行了扩建，扩建后破碎能力为400t/h。根据矿山提供的数据，目前破碎站年处理原矿能力能够满足80万t/a的需求。破碎站不在设计范围。</w:t>
      </w:r>
    </w:p>
    <w:p w14:paraId="5283239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4、办公区、机修车间</w:t>
      </w:r>
    </w:p>
    <w:p w14:paraId="08130EE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办公生活区位于矿区东南面592m处的道路旁、机修车间位于卸矿口附近，能够满足矿山办公生活，机汽修能力要求。</w:t>
      </w:r>
    </w:p>
    <w:p w14:paraId="625482D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5、高位水池</w:t>
      </w:r>
    </w:p>
    <w:p w14:paraId="5654320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高位水池位于矿山值班、材料室附近，标高2424m，容积200m³，能够满足矿山生活、生产的能力需求，补给水源通过管道直接从矿区南东侧河底箐内流水泵送至高位水池。</w:t>
      </w:r>
    </w:p>
    <w:p w14:paraId="5EC506F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lang w:val="en-US" w:eastAsia="zh-CN"/>
        </w:rPr>
        <w:t>6</w:t>
      </w:r>
      <w:r>
        <w:rPr>
          <w:rFonts w:hint="default" w:ascii="Times New Roman" w:hAnsi="Times New Roman" w:eastAsia="宋体" w:cs="Times New Roman"/>
          <w:sz w:val="28"/>
          <w:szCs w:val="21"/>
        </w:rPr>
        <w:t>、矿山现有设备</w:t>
      </w:r>
    </w:p>
    <w:p w14:paraId="7E5CAB9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现有设备的型号及数量见表2.4-1。</w:t>
      </w:r>
    </w:p>
    <w:p w14:paraId="7B3E54C8">
      <w:pPr>
        <w:keepNext/>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18"/>
        </w:rPr>
      </w:pPr>
      <w:r>
        <w:rPr>
          <w:rFonts w:hint="default" w:ascii="Times New Roman" w:hAnsi="Times New Roman" w:eastAsia="宋体" w:cs="Times New Roman"/>
          <w:b/>
          <w:kern w:val="0"/>
          <w:sz w:val="24"/>
          <w:szCs w:val="18"/>
        </w:rPr>
        <w:t>表</w:t>
      </w:r>
      <w:r>
        <w:rPr>
          <w:rFonts w:hint="default" w:ascii="Times New Roman" w:hAnsi="Times New Roman" w:eastAsia="宋体" w:cs="Times New Roman"/>
          <w:sz w:val="28"/>
          <w:szCs w:val="21"/>
        </w:rPr>
        <w:t xml:space="preserve">2.4-1  </w:t>
      </w:r>
      <w:r>
        <w:rPr>
          <w:rFonts w:hint="default" w:ascii="Times New Roman" w:hAnsi="Times New Roman" w:eastAsia="宋体" w:cs="Times New Roman"/>
          <w:b/>
          <w:kern w:val="0"/>
          <w:sz w:val="24"/>
          <w:szCs w:val="18"/>
        </w:rPr>
        <w:t>现有设备表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3559"/>
        <w:gridCol w:w="3525"/>
        <w:gridCol w:w="1157"/>
      </w:tblGrid>
      <w:tr w14:paraId="79EB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17" w:type="pct"/>
            <w:vAlign w:val="center"/>
          </w:tcPr>
          <w:p w14:paraId="00034D41">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1893" w:type="pct"/>
            <w:vAlign w:val="center"/>
          </w:tcPr>
          <w:p w14:paraId="59624734">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机设备名称</w:t>
            </w:r>
          </w:p>
        </w:tc>
        <w:tc>
          <w:tcPr>
            <w:tcW w:w="1875" w:type="pct"/>
            <w:vAlign w:val="center"/>
          </w:tcPr>
          <w:p w14:paraId="345A9846">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型号</w:t>
            </w:r>
          </w:p>
        </w:tc>
        <w:tc>
          <w:tcPr>
            <w:tcW w:w="615" w:type="pct"/>
            <w:vAlign w:val="center"/>
          </w:tcPr>
          <w:p w14:paraId="7CFCE8B3">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数量</w:t>
            </w:r>
          </w:p>
        </w:tc>
      </w:tr>
      <w:tr w14:paraId="4D65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01E7E465">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w:t>
            </w:r>
          </w:p>
        </w:tc>
        <w:tc>
          <w:tcPr>
            <w:tcW w:w="3559" w:type="dxa"/>
            <w:vAlign w:val="center"/>
          </w:tcPr>
          <w:p w14:paraId="17F5DD42">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装载机</w:t>
            </w:r>
          </w:p>
        </w:tc>
        <w:tc>
          <w:tcPr>
            <w:tcW w:w="3525" w:type="dxa"/>
            <w:vAlign w:val="center"/>
          </w:tcPr>
          <w:p w14:paraId="024D0646">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柳工50</w:t>
            </w:r>
          </w:p>
        </w:tc>
        <w:tc>
          <w:tcPr>
            <w:tcW w:w="1157" w:type="dxa"/>
            <w:vAlign w:val="center"/>
          </w:tcPr>
          <w:p w14:paraId="57D49BCE">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2台</w:t>
            </w:r>
          </w:p>
        </w:tc>
      </w:tr>
      <w:tr w14:paraId="456F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58D7007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2</w:t>
            </w:r>
          </w:p>
        </w:tc>
        <w:tc>
          <w:tcPr>
            <w:tcW w:w="3559" w:type="dxa"/>
            <w:vAlign w:val="center"/>
          </w:tcPr>
          <w:p w14:paraId="134D478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挖掘机</w:t>
            </w:r>
          </w:p>
        </w:tc>
        <w:tc>
          <w:tcPr>
            <w:tcW w:w="3525" w:type="dxa"/>
            <w:vAlign w:val="center"/>
          </w:tcPr>
          <w:p w14:paraId="2A2CB7D1">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卡特349D</w:t>
            </w:r>
          </w:p>
        </w:tc>
        <w:tc>
          <w:tcPr>
            <w:tcW w:w="1157" w:type="dxa"/>
            <w:vAlign w:val="center"/>
          </w:tcPr>
          <w:p w14:paraId="046A06D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2台</w:t>
            </w:r>
          </w:p>
        </w:tc>
      </w:tr>
      <w:tr w14:paraId="22B7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6BAD3B94">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3</w:t>
            </w:r>
          </w:p>
        </w:tc>
        <w:tc>
          <w:tcPr>
            <w:tcW w:w="3559" w:type="dxa"/>
            <w:vAlign w:val="center"/>
          </w:tcPr>
          <w:p w14:paraId="05916D82">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汽车</w:t>
            </w:r>
          </w:p>
        </w:tc>
        <w:tc>
          <w:tcPr>
            <w:tcW w:w="3525" w:type="dxa"/>
            <w:vAlign w:val="center"/>
          </w:tcPr>
          <w:p w14:paraId="6D201239">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红岩金刚/30t</w:t>
            </w:r>
          </w:p>
        </w:tc>
        <w:tc>
          <w:tcPr>
            <w:tcW w:w="1157" w:type="dxa"/>
            <w:vAlign w:val="center"/>
          </w:tcPr>
          <w:p w14:paraId="2F3604F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7辆</w:t>
            </w:r>
          </w:p>
        </w:tc>
      </w:tr>
      <w:tr w14:paraId="1059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6E03CC9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4</w:t>
            </w:r>
          </w:p>
        </w:tc>
        <w:tc>
          <w:tcPr>
            <w:tcW w:w="3559" w:type="dxa"/>
            <w:vAlign w:val="center"/>
          </w:tcPr>
          <w:p w14:paraId="0FEE09E9">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潜孔凿岩台车</w:t>
            </w:r>
          </w:p>
        </w:tc>
        <w:tc>
          <w:tcPr>
            <w:tcW w:w="3525" w:type="dxa"/>
            <w:vAlign w:val="center"/>
          </w:tcPr>
          <w:p w14:paraId="3DA893C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Cm³51</w:t>
            </w:r>
          </w:p>
        </w:tc>
        <w:tc>
          <w:tcPr>
            <w:tcW w:w="1157" w:type="dxa"/>
            <w:vAlign w:val="center"/>
          </w:tcPr>
          <w:p w14:paraId="7C31799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2台</w:t>
            </w:r>
          </w:p>
        </w:tc>
      </w:tr>
      <w:tr w14:paraId="4DB9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75D38FC7">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5</w:t>
            </w:r>
          </w:p>
        </w:tc>
        <w:tc>
          <w:tcPr>
            <w:tcW w:w="3559" w:type="dxa"/>
            <w:vAlign w:val="center"/>
          </w:tcPr>
          <w:p w14:paraId="587A81BD">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空气压缩机</w:t>
            </w:r>
          </w:p>
        </w:tc>
        <w:tc>
          <w:tcPr>
            <w:tcW w:w="3525" w:type="dxa"/>
            <w:vAlign w:val="center"/>
          </w:tcPr>
          <w:p w14:paraId="2DC5EE61">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LG-10.5/8G</w:t>
            </w:r>
          </w:p>
        </w:tc>
        <w:tc>
          <w:tcPr>
            <w:tcW w:w="1157" w:type="dxa"/>
            <w:vAlign w:val="center"/>
          </w:tcPr>
          <w:p w14:paraId="33E1B51B">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2台</w:t>
            </w:r>
          </w:p>
        </w:tc>
      </w:tr>
      <w:tr w14:paraId="7D0A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2CF80A0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6</w:t>
            </w:r>
          </w:p>
        </w:tc>
        <w:tc>
          <w:tcPr>
            <w:tcW w:w="3559" w:type="dxa"/>
            <w:vAlign w:val="center"/>
          </w:tcPr>
          <w:p w14:paraId="3CD258B9">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变压器</w:t>
            </w:r>
          </w:p>
        </w:tc>
        <w:tc>
          <w:tcPr>
            <w:tcW w:w="3525" w:type="dxa"/>
            <w:vAlign w:val="center"/>
          </w:tcPr>
          <w:p w14:paraId="389A325B">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800KVA</w:t>
            </w:r>
          </w:p>
        </w:tc>
        <w:tc>
          <w:tcPr>
            <w:tcW w:w="1157" w:type="dxa"/>
            <w:vAlign w:val="center"/>
          </w:tcPr>
          <w:p w14:paraId="010309E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r w14:paraId="49B2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470F713D">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7</w:t>
            </w:r>
          </w:p>
        </w:tc>
        <w:tc>
          <w:tcPr>
            <w:tcW w:w="3559" w:type="dxa"/>
            <w:vAlign w:val="center"/>
          </w:tcPr>
          <w:p w14:paraId="4A24D0C3">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振动喂料机</w:t>
            </w:r>
          </w:p>
        </w:tc>
        <w:tc>
          <w:tcPr>
            <w:tcW w:w="3525" w:type="dxa"/>
            <w:vAlign w:val="center"/>
          </w:tcPr>
          <w:p w14:paraId="702609C6">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3896</w:t>
            </w:r>
          </w:p>
        </w:tc>
        <w:tc>
          <w:tcPr>
            <w:tcW w:w="1157" w:type="dxa"/>
            <w:vAlign w:val="center"/>
          </w:tcPr>
          <w:p w14:paraId="519DBBA8">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r w14:paraId="5670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rPr>
        <w:tc>
          <w:tcPr>
            <w:tcW w:w="1160" w:type="dxa"/>
            <w:vAlign w:val="center"/>
          </w:tcPr>
          <w:p w14:paraId="478FB8FD">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8</w:t>
            </w:r>
          </w:p>
        </w:tc>
        <w:tc>
          <w:tcPr>
            <w:tcW w:w="3559" w:type="dxa"/>
            <w:vAlign w:val="center"/>
          </w:tcPr>
          <w:p w14:paraId="3EA1FEAC">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振动筛</w:t>
            </w:r>
          </w:p>
        </w:tc>
        <w:tc>
          <w:tcPr>
            <w:tcW w:w="3525" w:type="dxa"/>
            <w:vAlign w:val="center"/>
          </w:tcPr>
          <w:p w14:paraId="4B2D0F5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CYK2470-4</w:t>
            </w:r>
          </w:p>
        </w:tc>
        <w:tc>
          <w:tcPr>
            <w:tcW w:w="1157" w:type="dxa"/>
            <w:vAlign w:val="center"/>
          </w:tcPr>
          <w:p w14:paraId="3BB68968">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r w14:paraId="664F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58490045">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9</w:t>
            </w:r>
          </w:p>
        </w:tc>
        <w:tc>
          <w:tcPr>
            <w:tcW w:w="3559" w:type="dxa"/>
            <w:vAlign w:val="center"/>
          </w:tcPr>
          <w:p w14:paraId="1E5350B4">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颚式破碎机</w:t>
            </w:r>
          </w:p>
        </w:tc>
        <w:tc>
          <w:tcPr>
            <w:tcW w:w="3525" w:type="dxa"/>
            <w:vAlign w:val="center"/>
          </w:tcPr>
          <w:p w14:paraId="1115EC18">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PE600×900</w:t>
            </w:r>
          </w:p>
        </w:tc>
        <w:tc>
          <w:tcPr>
            <w:tcW w:w="1157" w:type="dxa"/>
            <w:vAlign w:val="center"/>
          </w:tcPr>
          <w:p w14:paraId="1C5C45E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r w14:paraId="505D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66667691">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10</w:t>
            </w:r>
          </w:p>
        </w:tc>
        <w:tc>
          <w:tcPr>
            <w:tcW w:w="3559" w:type="dxa"/>
            <w:vAlign w:val="center"/>
          </w:tcPr>
          <w:p w14:paraId="7FC867F8">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反击式破碎机</w:t>
            </w:r>
          </w:p>
        </w:tc>
        <w:tc>
          <w:tcPr>
            <w:tcW w:w="3525" w:type="dxa"/>
            <w:vAlign w:val="center"/>
          </w:tcPr>
          <w:p w14:paraId="2774C89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PF-1214</w:t>
            </w:r>
          </w:p>
        </w:tc>
        <w:tc>
          <w:tcPr>
            <w:tcW w:w="1157" w:type="dxa"/>
            <w:vAlign w:val="center"/>
          </w:tcPr>
          <w:p w14:paraId="5EDE4B34">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r w14:paraId="18AC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trPr>
        <w:tc>
          <w:tcPr>
            <w:tcW w:w="1160" w:type="dxa"/>
            <w:vAlign w:val="center"/>
          </w:tcPr>
          <w:p w14:paraId="463EC176">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11</w:t>
            </w:r>
          </w:p>
        </w:tc>
        <w:tc>
          <w:tcPr>
            <w:tcW w:w="3559" w:type="dxa"/>
            <w:vAlign w:val="center"/>
          </w:tcPr>
          <w:p w14:paraId="760BF317">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皮带输送机</w:t>
            </w:r>
          </w:p>
        </w:tc>
        <w:tc>
          <w:tcPr>
            <w:tcW w:w="3525" w:type="dxa"/>
            <w:vAlign w:val="center"/>
          </w:tcPr>
          <w:p w14:paraId="258690F9">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1000</w:t>
            </w:r>
          </w:p>
        </w:tc>
        <w:tc>
          <w:tcPr>
            <w:tcW w:w="1157" w:type="dxa"/>
            <w:vAlign w:val="center"/>
          </w:tcPr>
          <w:p w14:paraId="10970E5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3副</w:t>
            </w:r>
          </w:p>
        </w:tc>
      </w:tr>
      <w:tr w14:paraId="66EB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60" w:type="dxa"/>
            <w:vAlign w:val="center"/>
          </w:tcPr>
          <w:p w14:paraId="30F058CA">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12</w:t>
            </w:r>
          </w:p>
        </w:tc>
        <w:tc>
          <w:tcPr>
            <w:tcW w:w="3559" w:type="dxa"/>
            <w:vAlign w:val="center"/>
          </w:tcPr>
          <w:p w14:paraId="2866A79F">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洒水车</w:t>
            </w:r>
          </w:p>
        </w:tc>
        <w:tc>
          <w:tcPr>
            <w:tcW w:w="3525" w:type="dxa"/>
            <w:vAlign w:val="center"/>
          </w:tcPr>
          <w:p w14:paraId="08D2EBED">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东风超霸</w:t>
            </w:r>
          </w:p>
        </w:tc>
        <w:tc>
          <w:tcPr>
            <w:tcW w:w="1157" w:type="dxa"/>
            <w:vAlign w:val="center"/>
          </w:tcPr>
          <w:p w14:paraId="7622473F">
            <w:pPr>
              <w:pStyle w:val="64"/>
              <w:rPr>
                <w:rFonts w:hint="default" w:ascii="Times New Roman" w:hAnsi="Times New Roman" w:eastAsia="宋体" w:cs="Times New Roman"/>
                <w:sz w:val="21"/>
                <w:szCs w:val="21"/>
              </w:rPr>
            </w:pPr>
            <w:r>
              <w:rPr>
                <w:rFonts w:hint="default" w:ascii="Times New Roman" w:hAnsi="Times New Roman" w:cs="Times New Roman"/>
                <w:sz w:val="21"/>
                <w:szCs w:val="21"/>
              </w:rPr>
              <w:t>1台</w:t>
            </w:r>
          </w:p>
        </w:tc>
      </w:tr>
    </w:tbl>
    <w:p w14:paraId="50EEA4E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7、矿山现有防排水系统</w:t>
      </w:r>
    </w:p>
    <w:p w14:paraId="7A81B09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矿山位于山脊，外围汇水较小，进行自流排水，矿山目前未设置截洪沟等防排水设施。</w:t>
      </w:r>
    </w:p>
    <w:p w14:paraId="54AE7C1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8、供配电系统</w:t>
      </w:r>
    </w:p>
    <w:p w14:paraId="13E6CF0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矿山电源引自河底村南方电网，矿山设置配电室，位于破碎站旁边，供电电压为10kv。矿山用电范围主要为破碎系统、照明、矿山工业场地用电，供电能力可以满足设计的矿山建设项目用电需求。</w:t>
      </w:r>
    </w:p>
    <w:p w14:paraId="18D7503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9、供水系统</w:t>
      </w:r>
    </w:p>
    <w:p w14:paraId="48ECB55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矿山用水由高位水池供应，给水管网由矿区南东侧河底箐敷设至矿区高位水池，再通过管网供应各用水点。供水水质符合国家标准《生活饮用水卫生标准》，可满足矿山生产生活用水。</w:t>
      </w:r>
    </w:p>
    <w:p w14:paraId="34D745E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矿山现已有完善的供水系统，供水能力可满足设计的用水需求。</w:t>
      </w:r>
    </w:p>
    <w:p w14:paraId="5909041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10、矿山安全环保现状</w:t>
      </w:r>
    </w:p>
    <w:p w14:paraId="4AD9AA3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矿山原采矿证过期后至今均为停产状态，目前未设置专门的安全环保机构。</w:t>
      </w:r>
    </w:p>
    <w:p w14:paraId="3DC8C303">
      <w:pPr>
        <w:pStyle w:val="4"/>
        <w:pageBreakBefore w:val="0"/>
        <w:kinsoku/>
        <w:wordWrap/>
        <w:bidi w:val="0"/>
        <w:adjustRightInd w:val="0"/>
        <w:snapToGrid w:val="0"/>
        <w:spacing w:before="156" w:beforeLines="50"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2.4.2 建设规模及工作制度</w:t>
      </w:r>
    </w:p>
    <w:p w14:paraId="0DC521EF">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bookmarkStart w:id="118" w:name="_Toc16072"/>
      <w:bookmarkStart w:id="119" w:name="_Toc20551"/>
      <w:bookmarkStart w:id="120" w:name="_Toc100376796"/>
      <w:bookmarkStart w:id="121" w:name="_Toc117847193"/>
      <w:bookmarkStart w:id="122" w:name="_Toc100376797"/>
      <w:r>
        <w:rPr>
          <w:rFonts w:hint="default" w:ascii="Times New Roman" w:hAnsi="Times New Roman" w:cs="Times New Roman"/>
          <w:color w:val="000000" w:themeColor="text1"/>
          <w14:textFill>
            <w14:solidFill>
              <w14:schemeClr w14:val="tx1"/>
            </w14:solidFill>
          </w14:textFill>
        </w:rPr>
        <w:t>2.4.2.1</w:t>
      </w:r>
      <w:r>
        <w:rPr>
          <w:rFonts w:hint="default" w:ascii="Times New Roman" w:hAnsi="Times New Roman" w:cs="Times New Roman"/>
          <w:color w:val="000000" w:themeColor="text1"/>
          <w:lang w:val="en-GB"/>
          <w14:textFill>
            <w14:solidFill>
              <w14:schemeClr w14:val="tx1"/>
            </w14:solidFill>
          </w14:textFill>
        </w:rPr>
        <w:t xml:space="preserve"> 工业指标</w:t>
      </w:r>
      <w:bookmarkEnd w:id="118"/>
      <w:bookmarkEnd w:id="119"/>
      <w:bookmarkEnd w:id="120"/>
      <w:bookmarkEnd w:id="121"/>
    </w:p>
    <w:p w14:paraId="4BE0F40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云南省普通建筑材料用砂、石、粘土矿产资源地质勘查程度暂行规定》，参考《矿产资源工业要求参考手册》2014年3月砂、卵石、碎石（骨料用）中的一般工业指标，结合实际应用情况，采用的工业指标见表2.4-2。</w:t>
      </w:r>
    </w:p>
    <w:p w14:paraId="2B34FB4C">
      <w:pPr>
        <w:keepNext/>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18"/>
        </w:rPr>
      </w:pPr>
      <w:r>
        <w:rPr>
          <w:rFonts w:hint="default" w:ascii="Times New Roman" w:hAnsi="Times New Roman" w:eastAsia="宋体" w:cs="Times New Roman"/>
          <w:b/>
          <w:kern w:val="0"/>
          <w:sz w:val="24"/>
          <w:szCs w:val="18"/>
        </w:rPr>
        <w:t>表</w:t>
      </w:r>
      <w:r>
        <w:rPr>
          <w:rFonts w:hint="default" w:ascii="Times New Roman" w:hAnsi="Times New Roman" w:eastAsia="宋体" w:cs="Times New Roman"/>
          <w:b/>
          <w:bCs/>
          <w:sz w:val="24"/>
          <w:szCs w:val="20"/>
        </w:rPr>
        <w:t xml:space="preserve">2.4-2  </w:t>
      </w:r>
      <w:r>
        <w:rPr>
          <w:rFonts w:hint="default" w:ascii="Times New Roman" w:hAnsi="Times New Roman" w:eastAsia="宋体" w:cs="Times New Roman"/>
          <w:b/>
          <w:kern w:val="0"/>
          <w:sz w:val="24"/>
          <w:szCs w:val="18"/>
        </w:rPr>
        <w:t>普通建筑用灰岩矿石一般工业指标要求</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1797"/>
        <w:gridCol w:w="1752"/>
        <w:gridCol w:w="1514"/>
        <w:gridCol w:w="1247"/>
        <w:gridCol w:w="1209"/>
        <w:gridCol w:w="13"/>
      </w:tblGrid>
      <w:tr w14:paraId="1F50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 w:type="pct"/>
            <w:vAlign w:val="center"/>
          </w:tcPr>
          <w:p w14:paraId="5615623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含泥量（%）</w:t>
            </w:r>
          </w:p>
        </w:tc>
        <w:tc>
          <w:tcPr>
            <w:tcW w:w="956" w:type="pct"/>
            <w:vAlign w:val="center"/>
          </w:tcPr>
          <w:p w14:paraId="5402826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泥块含量（%）</w:t>
            </w:r>
          </w:p>
        </w:tc>
        <w:tc>
          <w:tcPr>
            <w:tcW w:w="932" w:type="pct"/>
            <w:vAlign w:val="center"/>
          </w:tcPr>
          <w:p w14:paraId="23CD41F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有害物质（%）</w:t>
            </w:r>
          </w:p>
        </w:tc>
        <w:tc>
          <w:tcPr>
            <w:tcW w:w="805" w:type="pct"/>
            <w:vAlign w:val="center"/>
          </w:tcPr>
          <w:p w14:paraId="326F64BA">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坚固性指标（%）</w:t>
            </w:r>
          </w:p>
        </w:tc>
        <w:tc>
          <w:tcPr>
            <w:tcW w:w="663" w:type="pct"/>
            <w:vAlign w:val="center"/>
          </w:tcPr>
          <w:p w14:paraId="72553C7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抗压强度（MPa）</w:t>
            </w:r>
          </w:p>
        </w:tc>
        <w:tc>
          <w:tcPr>
            <w:tcW w:w="650" w:type="pct"/>
            <w:gridSpan w:val="2"/>
            <w:vAlign w:val="center"/>
          </w:tcPr>
          <w:p w14:paraId="6163682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备注</w:t>
            </w:r>
          </w:p>
        </w:tc>
      </w:tr>
      <w:tr w14:paraId="2506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97" w:hRule="atLeast"/>
          <w:jc w:val="center"/>
        </w:trPr>
        <w:tc>
          <w:tcPr>
            <w:tcW w:w="994" w:type="pct"/>
            <w:vAlign w:val="center"/>
          </w:tcPr>
          <w:p w14:paraId="56718A30">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≤2.0</w:t>
            </w:r>
          </w:p>
        </w:tc>
        <w:tc>
          <w:tcPr>
            <w:tcW w:w="956" w:type="pct"/>
            <w:vAlign w:val="center"/>
          </w:tcPr>
          <w:p w14:paraId="6D17637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≤2.0</w:t>
            </w:r>
          </w:p>
        </w:tc>
        <w:tc>
          <w:tcPr>
            <w:tcW w:w="932" w:type="pct"/>
            <w:vAlign w:val="center"/>
          </w:tcPr>
          <w:p w14:paraId="153BFB6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SO</w:t>
            </w:r>
            <w:r>
              <w:rPr>
                <w:rFonts w:hint="default" w:ascii="Times New Roman" w:hAnsi="Times New Roman" w:eastAsia="宋体" w:cs="Times New Roman"/>
                <w:szCs w:val="21"/>
                <w:vertAlign w:val="subscript"/>
              </w:rPr>
              <w:t>3</w:t>
            </w:r>
            <w:r>
              <w:rPr>
                <w:rFonts w:hint="default" w:ascii="Times New Roman" w:hAnsi="Times New Roman" w:eastAsia="宋体" w:cs="Times New Roman"/>
                <w:szCs w:val="21"/>
              </w:rPr>
              <w:t>≤0.5</w:t>
            </w:r>
          </w:p>
        </w:tc>
        <w:tc>
          <w:tcPr>
            <w:tcW w:w="805" w:type="pct"/>
            <w:vAlign w:val="center"/>
          </w:tcPr>
          <w:p w14:paraId="20B8EFF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≤10</w:t>
            </w:r>
          </w:p>
        </w:tc>
        <w:tc>
          <w:tcPr>
            <w:tcW w:w="663" w:type="pct"/>
            <w:vAlign w:val="center"/>
          </w:tcPr>
          <w:p w14:paraId="57AAD16D">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≥30</w:t>
            </w:r>
          </w:p>
        </w:tc>
        <w:tc>
          <w:tcPr>
            <w:tcW w:w="643" w:type="pct"/>
            <w:vMerge w:val="restart"/>
            <w:vAlign w:val="center"/>
          </w:tcPr>
          <w:p w14:paraId="74CF3496">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采用III类指标</w:t>
            </w:r>
          </w:p>
        </w:tc>
      </w:tr>
      <w:tr w14:paraId="5E9F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97" w:hRule="atLeast"/>
          <w:jc w:val="center"/>
        </w:trPr>
        <w:tc>
          <w:tcPr>
            <w:tcW w:w="994" w:type="pct"/>
            <w:vAlign w:val="center"/>
          </w:tcPr>
          <w:p w14:paraId="527AD09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最大压碎指标（%）</w:t>
            </w:r>
          </w:p>
        </w:tc>
        <w:tc>
          <w:tcPr>
            <w:tcW w:w="956" w:type="pct"/>
            <w:vAlign w:val="center"/>
          </w:tcPr>
          <w:p w14:paraId="51C037F0">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表观密度（kg/m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932" w:type="pct"/>
            <w:vAlign w:val="center"/>
          </w:tcPr>
          <w:p w14:paraId="1AF93D3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松散堆积密度（kg/m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w:t>
            </w:r>
          </w:p>
        </w:tc>
        <w:tc>
          <w:tcPr>
            <w:tcW w:w="805" w:type="pct"/>
            <w:vAlign w:val="center"/>
          </w:tcPr>
          <w:p w14:paraId="076FF35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孔隙率（%）</w:t>
            </w:r>
          </w:p>
        </w:tc>
        <w:tc>
          <w:tcPr>
            <w:tcW w:w="663" w:type="pct"/>
            <w:vAlign w:val="center"/>
          </w:tcPr>
          <w:p w14:paraId="0329552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有机物</w:t>
            </w:r>
          </w:p>
        </w:tc>
        <w:tc>
          <w:tcPr>
            <w:tcW w:w="643" w:type="pct"/>
            <w:vMerge w:val="continue"/>
            <w:vAlign w:val="center"/>
          </w:tcPr>
          <w:p w14:paraId="4F4BA77B">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r>
      <w:tr w14:paraId="1098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97" w:hRule="atLeast"/>
          <w:jc w:val="center"/>
        </w:trPr>
        <w:tc>
          <w:tcPr>
            <w:tcW w:w="994" w:type="pct"/>
            <w:vAlign w:val="center"/>
          </w:tcPr>
          <w:p w14:paraId="6F04226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≤30</w:t>
            </w:r>
          </w:p>
        </w:tc>
        <w:tc>
          <w:tcPr>
            <w:tcW w:w="956" w:type="pct"/>
            <w:vAlign w:val="center"/>
          </w:tcPr>
          <w:p w14:paraId="2ADE4923">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≥2500</w:t>
            </w:r>
          </w:p>
        </w:tc>
        <w:tc>
          <w:tcPr>
            <w:tcW w:w="932" w:type="pct"/>
            <w:vAlign w:val="center"/>
          </w:tcPr>
          <w:p w14:paraId="229F55AA">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≥1350</w:t>
            </w:r>
          </w:p>
        </w:tc>
        <w:tc>
          <w:tcPr>
            <w:tcW w:w="805" w:type="pct"/>
            <w:vAlign w:val="center"/>
          </w:tcPr>
          <w:p w14:paraId="4FE1370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≤47</w:t>
            </w:r>
          </w:p>
        </w:tc>
        <w:tc>
          <w:tcPr>
            <w:tcW w:w="663" w:type="pct"/>
            <w:vAlign w:val="center"/>
          </w:tcPr>
          <w:p w14:paraId="3448A336">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合格</w:t>
            </w:r>
          </w:p>
        </w:tc>
        <w:tc>
          <w:tcPr>
            <w:tcW w:w="643" w:type="pct"/>
            <w:vMerge w:val="continue"/>
            <w:vAlign w:val="center"/>
          </w:tcPr>
          <w:p w14:paraId="7A67B250">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r>
    </w:tbl>
    <w:p w14:paraId="7426792F">
      <w:pPr>
        <w:pStyle w:val="5"/>
        <w:pageBreakBefore w:val="0"/>
        <w:kinsoku/>
        <w:wordWrap/>
        <w:bidi w:val="0"/>
        <w:adjustRightInd w:val="0"/>
        <w:snapToGrid w:val="0"/>
        <w:spacing w:before="312" w:beforeLines="100"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2.4.2.2</w:t>
      </w:r>
      <w:r>
        <w:rPr>
          <w:rFonts w:hint="default" w:ascii="Times New Roman" w:hAnsi="Times New Roman" w:cs="Times New Roman"/>
          <w:color w:val="000000" w:themeColor="text1"/>
          <w:lang w:val="en-GB"/>
          <w14:textFill>
            <w14:solidFill>
              <w14:schemeClr w14:val="tx1"/>
            </w14:solidFill>
          </w14:textFill>
        </w:rPr>
        <w:t xml:space="preserve"> </w:t>
      </w:r>
      <w:bookmarkStart w:id="123" w:name="OLE_LINK24"/>
      <w:bookmarkStart w:id="124" w:name="OLE_LINK23"/>
      <w:r>
        <w:rPr>
          <w:rFonts w:hint="default" w:ascii="Times New Roman" w:hAnsi="Times New Roman" w:cs="Times New Roman"/>
          <w:color w:val="000000" w:themeColor="text1"/>
          <w:lang w:val="en-GB"/>
          <w14:textFill>
            <w14:solidFill>
              <w14:schemeClr w14:val="tx1"/>
            </w14:solidFill>
          </w14:textFill>
        </w:rPr>
        <w:t>矿区资源储量</w:t>
      </w:r>
      <w:bookmarkEnd w:id="122"/>
      <w:bookmarkStart w:id="125" w:name="OLE_LINK28"/>
    </w:p>
    <w:p w14:paraId="7FEED29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1、设计利用资源储量</w:t>
      </w:r>
    </w:p>
    <w:p w14:paraId="0F39A57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云南省鹤庆县河底村普通建筑材料用石灰岩矿外围接替资源勘查报告》中储量核实标高为2525m～2410m，采矿证准许开采标高为2520m～2420m。矿山距离东侧仙人洞采石场为287m，设计将靠近仙人洞采石场300m范围的区域设置为禁采区。矿山设计利用资源量需要扣除开采标高之外的资源量以及禁采区资源量。</w:t>
      </w:r>
    </w:p>
    <w:p w14:paraId="2B08238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bookmarkStart w:id="126" w:name="_Hlk86953143"/>
      <w:bookmarkStart w:id="127" w:name="_Hlk93054192"/>
      <w:r>
        <w:rPr>
          <w:rFonts w:hint="default" w:ascii="Times New Roman" w:hAnsi="Times New Roman" w:eastAsia="宋体" w:cs="Times New Roman"/>
          <w:sz w:val="28"/>
          <w:szCs w:val="21"/>
        </w:rPr>
        <w:t>根据境界圈定后的计算，矿山压覆资源量、开采标高之外的资源量及禁采区扣除的资源量为444.34万t。</w:t>
      </w:r>
      <w:bookmarkEnd w:id="126"/>
    </w:p>
    <w:bookmarkEnd w:id="123"/>
    <w:bookmarkEnd w:id="124"/>
    <w:bookmarkEnd w:id="125"/>
    <w:bookmarkEnd w:id="127"/>
    <w:p w14:paraId="633F9DC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设计采出矿石量为727.64万t。</w:t>
      </w:r>
    </w:p>
    <w:p w14:paraId="71ED0EF4">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2.4.2.3 建设规模</w:t>
      </w:r>
    </w:p>
    <w:p w14:paraId="760FFA6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依据采矿许可证核准规模及采矿权人委托，结合矿山现状，设计生产规模为</w:t>
      </w:r>
      <w:r>
        <w:rPr>
          <w:rFonts w:hint="default" w:ascii="Times New Roman" w:hAnsi="Times New Roman" w:eastAsia="宋体" w:cs="Times New Roman"/>
          <w:color w:val="000000" w:themeColor="text1"/>
          <w:sz w:val="28"/>
          <w:szCs w:val="28"/>
          <w14:textFill>
            <w14:solidFill>
              <w14:schemeClr w14:val="tx1"/>
            </w14:solidFill>
          </w14:textFill>
        </w:rPr>
        <w:t>80</w:t>
      </w:r>
      <w:r>
        <w:rPr>
          <w:rFonts w:hint="default" w:ascii="Times New Roman" w:hAnsi="Times New Roman" w:eastAsia="宋体" w:cs="Times New Roman"/>
          <w:color w:val="000000" w:themeColor="text1"/>
          <w:sz w:val="28"/>
          <w:szCs w:val="28"/>
          <w:lang w:val="en-GB"/>
          <w14:textFill>
            <w14:solidFill>
              <w14:schemeClr w14:val="tx1"/>
            </w14:solidFill>
          </w14:textFill>
        </w:rPr>
        <w:t>万t/a。</w:t>
      </w:r>
    </w:p>
    <w:p w14:paraId="4FD18DEA">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2.4.2.4 服务年限</w:t>
      </w:r>
    </w:p>
    <w:p w14:paraId="6A889CE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矿山服务年限=采出矿石量÷建设规模</w:t>
      </w:r>
    </w:p>
    <w:p w14:paraId="431A0FF6">
      <w:pPr>
        <w:pageBreakBefore w:val="0"/>
        <w:kinsoku/>
        <w:wordWrap/>
        <w:bidi w:val="0"/>
        <w:adjustRightInd w:val="0"/>
        <w:snapToGrid w:val="0"/>
        <w:spacing w:line="360" w:lineRule="auto"/>
        <w:ind w:firstLine="2240" w:firstLineChars="8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=727.64万t÷80万t/年</w:t>
      </w:r>
    </w:p>
    <w:p w14:paraId="30B27E46">
      <w:pPr>
        <w:pageBreakBefore w:val="0"/>
        <w:kinsoku/>
        <w:wordWrap/>
        <w:bidi w:val="0"/>
        <w:adjustRightInd w:val="0"/>
        <w:snapToGrid w:val="0"/>
        <w:spacing w:line="360" w:lineRule="auto"/>
        <w:ind w:firstLine="2240" w:firstLineChars="8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=9.1</w:t>
      </w:r>
    </w:p>
    <w:p w14:paraId="30C55AD2">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sz w:val="28"/>
          <w:szCs w:val="28"/>
        </w:rPr>
        <w:t>故</w:t>
      </w:r>
      <w:r>
        <w:rPr>
          <w:rFonts w:hint="default" w:ascii="Times New Roman" w:hAnsi="Times New Roman" w:eastAsia="宋体" w:cs="Times New Roman"/>
          <w:bCs/>
          <w:kern w:val="0"/>
          <w:sz w:val="28"/>
          <w:szCs w:val="28"/>
        </w:rPr>
        <w:t>设计矿山生产服务年限为</w:t>
      </w:r>
      <w:r>
        <w:rPr>
          <w:rFonts w:hint="default" w:ascii="Times New Roman" w:hAnsi="Times New Roman" w:eastAsia="宋体" w:cs="Times New Roman"/>
          <w:sz w:val="28"/>
          <w:szCs w:val="28"/>
        </w:rPr>
        <w:t>9年2个月</w:t>
      </w:r>
      <w:r>
        <w:rPr>
          <w:rFonts w:hint="default" w:ascii="Times New Roman" w:hAnsi="Times New Roman" w:eastAsia="宋体" w:cs="Times New Roman"/>
          <w:color w:val="000000"/>
          <w:sz w:val="28"/>
          <w:szCs w:val="28"/>
        </w:rPr>
        <w:t>，矿山基建时间</w:t>
      </w:r>
      <w:r>
        <w:rPr>
          <w:rFonts w:hint="default" w:ascii="Times New Roman" w:hAnsi="Times New Roman" w:eastAsia="宋体" w:cs="Times New Roman"/>
          <w:color w:val="000000"/>
          <w:sz w:val="28"/>
          <w:szCs w:val="28"/>
          <w:lang w:val="en-US" w:eastAsia="zh-CN"/>
        </w:rPr>
        <w:t>10</w:t>
      </w:r>
      <w:r>
        <w:rPr>
          <w:rFonts w:hint="default" w:ascii="Times New Roman" w:hAnsi="Times New Roman" w:eastAsia="宋体" w:cs="Times New Roman"/>
          <w:color w:val="000000"/>
          <w:sz w:val="28"/>
          <w:szCs w:val="28"/>
        </w:rPr>
        <w:t>个月。</w:t>
      </w:r>
    </w:p>
    <w:p w14:paraId="50DCB9A5">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2.4.2.5 产品方案</w:t>
      </w:r>
    </w:p>
    <w:p w14:paraId="2E189D3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themeColor="text1"/>
          <w:sz w:val="28"/>
          <w:szCs w:val="28"/>
          <w:lang w:val="en-GB"/>
          <w14:textFill>
            <w14:solidFill>
              <w14:schemeClr w14:val="tx1"/>
            </w14:solidFill>
          </w14:textFill>
        </w:rPr>
        <w:t>矿山采用露天开采普通建筑材料用</w:t>
      </w:r>
      <w:r>
        <w:rPr>
          <w:rFonts w:hint="default" w:ascii="Times New Roman" w:hAnsi="Times New Roman" w:eastAsia="宋体" w:cs="Times New Roman"/>
          <w:color w:val="000000" w:themeColor="text1"/>
          <w:sz w:val="28"/>
          <w:szCs w:val="28"/>
          <w14:textFill>
            <w14:solidFill>
              <w14:schemeClr w14:val="tx1"/>
            </w14:solidFill>
          </w14:textFill>
        </w:rPr>
        <w:t>石灰岩</w:t>
      </w:r>
      <w:r>
        <w:rPr>
          <w:rFonts w:hint="default" w:ascii="Times New Roman" w:hAnsi="Times New Roman" w:eastAsia="宋体" w:cs="Times New Roman"/>
          <w:color w:val="000000" w:themeColor="text1"/>
          <w:sz w:val="28"/>
          <w:szCs w:val="28"/>
          <w:lang w:val="en-GB"/>
          <w14:textFill>
            <w14:solidFill>
              <w14:schemeClr w14:val="tx1"/>
            </w14:solidFill>
          </w14:textFill>
        </w:rPr>
        <w:t>，开采方式简单易行，根据矿山实际情况及当地市场的需求，设计</w:t>
      </w:r>
      <w:r>
        <w:rPr>
          <w:rFonts w:hint="default" w:ascii="Times New Roman" w:hAnsi="Times New Roman" w:eastAsia="宋体" w:cs="Times New Roman"/>
          <w:color w:val="000000"/>
          <w:sz w:val="28"/>
          <w:szCs w:val="28"/>
        </w:rPr>
        <w:t>矿山生产的最终产品为灰岩原矿。</w:t>
      </w:r>
    </w:p>
    <w:p w14:paraId="5D019516">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2.4.2.6 工作制度</w:t>
      </w:r>
    </w:p>
    <w:p w14:paraId="22BBD3D4">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4"/>
          <w:lang w:val="en-GB"/>
          <w14:textFill>
            <w14:solidFill>
              <w14:schemeClr w14:val="tx1"/>
            </w14:solidFill>
          </w14:textFill>
        </w:rPr>
      </w:pPr>
      <w:r>
        <w:rPr>
          <w:rFonts w:hint="default" w:ascii="Times New Roman" w:hAnsi="Times New Roman" w:eastAsia="宋体" w:cs="Times New Roman"/>
          <w:color w:val="000000" w:themeColor="text1"/>
          <w:sz w:val="28"/>
          <w:szCs w:val="24"/>
          <w14:textFill>
            <w14:solidFill>
              <w14:schemeClr w14:val="tx1"/>
            </w14:solidFill>
          </w14:textFill>
        </w:rPr>
        <w:t>矿山采用轮休工作制，矿山年工作天数为300天，每天工作1班，每班8小时。</w:t>
      </w:r>
    </w:p>
    <w:p w14:paraId="100B13F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2.4.3 项目组成及总体规划</w:t>
      </w:r>
    </w:p>
    <w:p w14:paraId="1760E9A0">
      <w:pPr>
        <w:pStyle w:val="5"/>
        <w:pageBreakBefore w:val="0"/>
        <w:kinsoku/>
        <w:wordWrap/>
        <w:bidi w:val="0"/>
        <w:adjustRightInd w:val="0"/>
        <w:snapToGrid w:val="0"/>
        <w:spacing w:line="360" w:lineRule="auto"/>
        <w:ind w:firstLine="560"/>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2.4.3.1 总平面布置</w:t>
      </w:r>
    </w:p>
    <w:p w14:paraId="2AF598D1">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4"/>
          <w:lang w:val="zh-CN"/>
          <w14:textFill>
            <w14:solidFill>
              <w14:schemeClr w14:val="tx1"/>
            </w14:solidFill>
          </w14:textFill>
        </w:rPr>
      </w:pPr>
      <w:r>
        <w:rPr>
          <w:rFonts w:hint="default" w:ascii="Times New Roman" w:hAnsi="Times New Roman" w:eastAsia="宋体" w:cs="Times New Roman"/>
          <w:color w:val="000000" w:themeColor="text1"/>
          <w:sz w:val="28"/>
          <w:szCs w:val="24"/>
          <w:lang w:val="zh-CN"/>
          <w14:textFill>
            <w14:solidFill>
              <w14:schemeClr w14:val="tx1"/>
            </w14:solidFill>
          </w14:textFill>
        </w:rPr>
        <w:t>鹤庆县河底普通建筑材料用石灰岩矿总占地面积17.55万m</w:t>
      </w:r>
      <w:r>
        <w:rPr>
          <w:rFonts w:hint="default" w:ascii="Times New Roman" w:hAnsi="Times New Roman" w:eastAsia="宋体" w:cs="Times New Roman"/>
          <w:color w:val="000000" w:themeColor="text1"/>
          <w:sz w:val="28"/>
          <w:szCs w:val="24"/>
          <w:vertAlign w:val="superscript"/>
          <w:lang w:val="zh-CN"/>
          <w14:textFill>
            <w14:solidFill>
              <w14:schemeClr w14:val="tx1"/>
            </w14:solidFill>
          </w14:textFill>
        </w:rPr>
        <w:t>2</w:t>
      </w:r>
      <w:r>
        <w:rPr>
          <w:rFonts w:hint="default" w:ascii="Times New Roman" w:hAnsi="Times New Roman" w:eastAsia="宋体" w:cs="Times New Roman"/>
          <w:color w:val="000000" w:themeColor="text1"/>
          <w:sz w:val="28"/>
          <w:szCs w:val="24"/>
          <w:lang w:val="zh-CN"/>
          <w14:textFill>
            <w14:solidFill>
              <w14:schemeClr w14:val="tx1"/>
            </w14:solidFill>
          </w14:textFill>
        </w:rPr>
        <w:t>，其中露天采场占地9.82万m</w:t>
      </w:r>
      <w:r>
        <w:rPr>
          <w:rFonts w:hint="default" w:ascii="Times New Roman" w:hAnsi="Times New Roman" w:eastAsia="宋体" w:cs="Times New Roman"/>
          <w:color w:val="000000" w:themeColor="text1"/>
          <w:sz w:val="28"/>
          <w:szCs w:val="24"/>
          <w:vertAlign w:val="superscript"/>
          <w:lang w:val="zh-CN"/>
          <w14:textFill>
            <w14:solidFill>
              <w14:schemeClr w14:val="tx1"/>
            </w14:solidFill>
          </w14:textFill>
        </w:rPr>
        <w:t>2</w:t>
      </w:r>
      <w:r>
        <w:rPr>
          <w:rFonts w:hint="default" w:ascii="Times New Roman" w:hAnsi="Times New Roman" w:eastAsia="宋体" w:cs="Times New Roman"/>
          <w:color w:val="000000" w:themeColor="text1"/>
          <w:sz w:val="28"/>
          <w:szCs w:val="24"/>
          <w:lang w:val="zh-CN"/>
          <w14:textFill>
            <w14:solidFill>
              <w14:schemeClr w14:val="tx1"/>
            </w14:solidFill>
          </w14:textFill>
        </w:rPr>
        <w:t>，道路占地1.68万m</w:t>
      </w:r>
      <w:r>
        <w:rPr>
          <w:rFonts w:hint="default" w:ascii="Times New Roman" w:hAnsi="Times New Roman" w:eastAsia="宋体" w:cs="Times New Roman"/>
          <w:color w:val="000000" w:themeColor="text1"/>
          <w:sz w:val="28"/>
          <w:szCs w:val="24"/>
          <w:vertAlign w:val="superscript"/>
          <w:lang w:val="zh-CN"/>
          <w14:textFill>
            <w14:solidFill>
              <w14:schemeClr w14:val="tx1"/>
            </w14:solidFill>
          </w14:textFill>
        </w:rPr>
        <w:t>2</w:t>
      </w:r>
      <w:r>
        <w:rPr>
          <w:rFonts w:hint="default" w:ascii="Times New Roman" w:hAnsi="Times New Roman" w:eastAsia="宋体" w:cs="Times New Roman"/>
          <w:color w:val="000000" w:themeColor="text1"/>
          <w:sz w:val="28"/>
          <w:szCs w:val="24"/>
          <w:lang w:val="zh-CN"/>
          <w14:textFill>
            <w14:solidFill>
              <w14:schemeClr w14:val="tx1"/>
            </w14:solidFill>
          </w14:textFill>
        </w:rPr>
        <w:t>，工业场地占地3.6万m</w:t>
      </w:r>
      <w:r>
        <w:rPr>
          <w:rFonts w:hint="default" w:ascii="Times New Roman" w:hAnsi="Times New Roman" w:eastAsia="宋体" w:cs="Times New Roman"/>
          <w:color w:val="000000" w:themeColor="text1"/>
          <w:sz w:val="28"/>
          <w:szCs w:val="24"/>
          <w:vertAlign w:val="superscript"/>
          <w:lang w:val="zh-CN"/>
          <w14:textFill>
            <w14:solidFill>
              <w14:schemeClr w14:val="tx1"/>
            </w14:solidFill>
          </w14:textFill>
        </w:rPr>
        <w:t>2</w:t>
      </w:r>
      <w:r>
        <w:rPr>
          <w:rFonts w:hint="default" w:ascii="Times New Roman" w:hAnsi="Times New Roman" w:eastAsia="宋体" w:cs="Times New Roman"/>
          <w:color w:val="000000" w:themeColor="text1"/>
          <w:sz w:val="28"/>
          <w:szCs w:val="24"/>
          <w:lang w:val="zh-CN"/>
          <w14:textFill>
            <w14:solidFill>
              <w14:schemeClr w14:val="tx1"/>
            </w14:solidFill>
          </w14:textFill>
        </w:rPr>
        <w:t>。露天采矿工程主要由露天采场、运输道路、机汽修场地、矿山办公区、破碎站、高位水池及截排洪设施等组成。</w:t>
      </w:r>
    </w:p>
    <w:p w14:paraId="2DB9910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1、露天采</w:t>
      </w:r>
      <w:r>
        <w:rPr>
          <w:rFonts w:hint="default" w:ascii="Times New Roman" w:hAnsi="Times New Roman" w:eastAsia="宋体" w:cs="Times New Roman"/>
          <w:sz w:val="28"/>
          <w:szCs w:val="21"/>
          <w:lang w:val="en-US" w:eastAsia="zh-CN"/>
        </w:rPr>
        <w:t>矿</w:t>
      </w:r>
      <w:r>
        <w:rPr>
          <w:rFonts w:hint="default" w:ascii="Times New Roman" w:hAnsi="Times New Roman" w:eastAsia="宋体" w:cs="Times New Roman"/>
          <w:sz w:val="28"/>
          <w:szCs w:val="21"/>
        </w:rPr>
        <w:t>场</w:t>
      </w:r>
    </w:p>
    <w:p w14:paraId="736DD2F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露天采场采用分台阶自上而下开采，按照15m的台阶高度自上而下的顺序一层一层开采，设计露天采场为山坡露天采场，设计范围2520m~2420m标高，开采深度为100m，设计推荐采用公路开拓汽车运输。</w:t>
      </w:r>
    </w:p>
    <w:p w14:paraId="7EE238C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2、运输道路</w:t>
      </w:r>
    </w:p>
    <w:p w14:paraId="59B2627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运矿道路主要为重车下坡，使用载重30t自卸汽车运输矿石和废石，矿废石平均运距为800m。设计矿石爆破后经过各个平台道路运输到破碎站，最大纵坡9.0%，平均坡度8.48%，道路宽度4m。</w:t>
      </w:r>
    </w:p>
    <w:p w14:paraId="5B4AE3E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3、破碎站</w:t>
      </w:r>
    </w:p>
    <w:p w14:paraId="00DB73A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破碎站于2022年扩建，位于露天采场东南侧2389m标高。破碎能力400t/h，日作业时间8h。破碎站不在</w:t>
      </w:r>
      <w:r>
        <w:rPr>
          <w:rFonts w:hint="eastAsia" w:ascii="Times New Roman" w:hAnsi="Times New Roman" w:eastAsia="宋体" w:cs="Times New Roman"/>
          <w:sz w:val="28"/>
          <w:szCs w:val="21"/>
          <w:lang w:val="en-US" w:eastAsia="zh-CN"/>
        </w:rPr>
        <w:t>设计</w:t>
      </w:r>
      <w:r>
        <w:rPr>
          <w:rFonts w:hint="default" w:ascii="Times New Roman" w:hAnsi="Times New Roman" w:eastAsia="宋体" w:cs="Times New Roman"/>
          <w:sz w:val="28"/>
          <w:szCs w:val="21"/>
          <w:lang w:val="en-US" w:eastAsia="zh-CN"/>
        </w:rPr>
        <w:t>范围。</w:t>
      </w:r>
    </w:p>
    <w:p w14:paraId="0BF84D6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4、高位水池</w:t>
      </w:r>
    </w:p>
    <w:p w14:paraId="22F2D2E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高位水池位于矿山值班、材料室附近，标高2424m，容积200m³，能够满足矿山生活、生产的能力需求，补给水源通过管道直接从矿区南东侧河底箐内流水泵送至高位水池。</w:t>
      </w:r>
    </w:p>
    <w:p w14:paraId="04CA19C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5、工业场地及办公区</w:t>
      </w:r>
    </w:p>
    <w:p w14:paraId="25FEB0F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该矿山为一个生产多年的矿山，办公区域、机修设施、值班区等构筑物已建成，能满足现有生产和生活需要，</w:t>
      </w:r>
      <w:r>
        <w:rPr>
          <w:rFonts w:hint="eastAsia" w:ascii="Times New Roman" w:hAnsi="Times New Roman" w:eastAsia="宋体" w:cs="Times New Roman"/>
          <w:sz w:val="28"/>
          <w:szCs w:val="21"/>
          <w:lang w:val="en-US" w:eastAsia="zh-CN"/>
        </w:rPr>
        <w:t>设计</w:t>
      </w:r>
      <w:r>
        <w:rPr>
          <w:rFonts w:hint="default" w:ascii="Times New Roman" w:hAnsi="Times New Roman" w:eastAsia="宋体" w:cs="Times New Roman"/>
          <w:sz w:val="28"/>
          <w:szCs w:val="21"/>
          <w:lang w:val="en-US" w:eastAsia="zh-CN"/>
        </w:rPr>
        <w:t>利用现有设施。</w:t>
      </w:r>
    </w:p>
    <w:p w14:paraId="4ACA64F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（1）机汽修场地：布置在露天采场东南侧的2389m标高平缓地带，布置有矿山设备修理间、矿用汽车保养车间等。</w:t>
      </w:r>
    </w:p>
    <w:p w14:paraId="032E47A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（2）配电室：矿山配电室位于破碎站的值班室旁边。</w:t>
      </w:r>
    </w:p>
    <w:p w14:paraId="1E9DD20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（3）办公生活区：位于露天采场东南侧2393m标高道路旁。</w:t>
      </w:r>
    </w:p>
    <w:p w14:paraId="65714D9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6、供配电系统</w:t>
      </w:r>
    </w:p>
    <w:p w14:paraId="0D682C4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矿山电源引自河底村南方电网，矿山设置配电室，位于破碎站旁边，供电电压为10kv。矿山用电范围主要为破碎系统、照明、矿山工业场地用电，供电能力可以满足</w:t>
      </w:r>
      <w:r>
        <w:rPr>
          <w:rFonts w:hint="eastAsia" w:ascii="Times New Roman" w:hAnsi="Times New Roman" w:eastAsia="宋体" w:cs="Times New Roman"/>
          <w:sz w:val="28"/>
          <w:szCs w:val="21"/>
          <w:lang w:val="en-US" w:eastAsia="zh-CN"/>
        </w:rPr>
        <w:t>设计</w:t>
      </w:r>
      <w:r>
        <w:rPr>
          <w:rFonts w:hint="default" w:ascii="Times New Roman" w:hAnsi="Times New Roman" w:eastAsia="宋体" w:cs="Times New Roman"/>
          <w:sz w:val="28"/>
          <w:szCs w:val="21"/>
          <w:lang w:val="en-US" w:eastAsia="zh-CN"/>
        </w:rPr>
        <w:t>的矿山建设项目用电需求。</w:t>
      </w:r>
    </w:p>
    <w:p w14:paraId="5B9760E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7、供水系统</w:t>
      </w:r>
    </w:p>
    <w:p w14:paraId="02703C7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矿山用水由高位水池供应，给水管网由矿区南东侧河底箐敷设至矿区高位水池，再通过管网供应各用水点。供水水质符合国家标准《生活饮用水卫生标准》，可满足矿山生产生活用水。矿山现已有完善的供水系统，供水能力可满足</w:t>
      </w:r>
      <w:r>
        <w:rPr>
          <w:rFonts w:hint="eastAsia" w:ascii="Times New Roman" w:hAnsi="Times New Roman" w:eastAsia="宋体" w:cs="Times New Roman"/>
          <w:sz w:val="28"/>
          <w:szCs w:val="21"/>
          <w:lang w:val="en-US" w:eastAsia="zh-CN"/>
        </w:rPr>
        <w:t>设计</w:t>
      </w:r>
      <w:r>
        <w:rPr>
          <w:rFonts w:hint="default" w:ascii="Times New Roman" w:hAnsi="Times New Roman" w:eastAsia="宋体" w:cs="Times New Roman"/>
          <w:sz w:val="28"/>
          <w:szCs w:val="21"/>
          <w:lang w:val="en-US" w:eastAsia="zh-CN"/>
        </w:rPr>
        <w:t>的用水需求。</w:t>
      </w:r>
    </w:p>
    <w:p w14:paraId="08B8E022">
      <w:pPr>
        <w:pStyle w:val="5"/>
        <w:pageBreakBefore w:val="0"/>
        <w:kinsoku/>
        <w:wordWrap/>
        <w:bidi w:val="0"/>
        <w:adjustRightInd w:val="0"/>
        <w:snapToGrid w:val="0"/>
        <w:spacing w:line="360" w:lineRule="auto"/>
        <w:ind w:firstLine="560"/>
        <w:rPr>
          <w:rFonts w:hint="default" w:ascii="Times New Roman" w:hAnsi="Times New Roman" w:eastAsia="宋体" w:cs="Times New Roman"/>
          <w:sz w:val="28"/>
          <w:szCs w:val="21"/>
          <w:lang w:val="en-US" w:eastAsia="zh-CN"/>
        </w:rPr>
      </w:pPr>
      <w:r>
        <w:rPr>
          <w:rFonts w:hint="default" w:ascii="Times New Roman" w:hAnsi="Times New Roman" w:cs="Times New Roman"/>
          <w:color w:val="000000" w:themeColor="text1"/>
          <w:lang w:val="en-GB"/>
          <w14:textFill>
            <w14:solidFill>
              <w14:schemeClr w14:val="tx1"/>
            </w14:solidFill>
          </w14:textFill>
        </w:rPr>
        <w:t>2.4.3.</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val="en-GB"/>
          <w14:textFill>
            <w14:solidFill>
              <w14:schemeClr w14:val="tx1"/>
            </w14:solidFill>
          </w14:textFill>
        </w:rPr>
        <w:t xml:space="preserve"> </w:t>
      </w:r>
      <w:r>
        <w:rPr>
          <w:rFonts w:hint="default" w:ascii="Times New Roman" w:hAnsi="Times New Roman" w:cs="Times New Roman"/>
          <w:color w:val="000000" w:themeColor="text1"/>
          <w:lang w:val="en-US" w:eastAsia="zh-CN"/>
          <w14:textFill>
            <w14:solidFill>
              <w14:schemeClr w14:val="tx1"/>
            </w14:solidFill>
          </w14:textFill>
        </w:rPr>
        <w:t>竖向设计</w:t>
      </w:r>
    </w:p>
    <w:p w14:paraId="5AE97F3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1、竖向设计</w:t>
      </w:r>
    </w:p>
    <w:p w14:paraId="3B7D8CA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该矿山为改扩建矿山，工业场地地位于地势平坦地段，场地标高为2389m，高于矿区最低侵蚀基准面标高为2350m，无洪水淹没危险。</w:t>
      </w:r>
    </w:p>
    <w:p w14:paraId="6D9FE82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2、工业场地排水</w:t>
      </w:r>
    </w:p>
    <w:p w14:paraId="70444E5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工业场地雨水采用明沟排水方式，直接排到场地外。生活污水经净化处理后再排到场地外。</w:t>
      </w:r>
    </w:p>
    <w:p w14:paraId="3C257F7B">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default" w:ascii="Times New Roman" w:hAnsi="Times New Roman" w:eastAsia="宋体" w:cs="Times New Roman"/>
          <w:b/>
          <w:bCs w:val="0"/>
          <w:color w:val="000000" w:themeColor="text1"/>
          <w:sz w:val="28"/>
          <w:lang w:val="en-US" w:eastAsia="zh-CN"/>
          <w14:textFill>
            <w14:solidFill>
              <w14:schemeClr w14:val="tx1"/>
            </w14:solidFill>
          </w14:textFill>
        </w:rPr>
        <w:t>4</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运输</w:t>
      </w:r>
    </w:p>
    <w:p w14:paraId="3F02C2CC">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bookmarkStart w:id="128" w:name="_Toc232567809"/>
      <w:r>
        <w:rPr>
          <w:rFonts w:hint="default" w:ascii="Times New Roman" w:hAnsi="Times New Roman" w:cs="Times New Roman"/>
          <w:color w:val="000000" w:themeColor="text1"/>
          <w:lang w:val="en-US" w:eastAsia="zh-CN"/>
          <w14:textFill>
            <w14:solidFill>
              <w14:schemeClr w14:val="tx1"/>
            </w14:solidFill>
          </w14:textFill>
        </w:rPr>
        <w:t>2.4.4.1</w:t>
      </w:r>
      <w:r>
        <w:rPr>
          <w:rFonts w:hint="default" w:ascii="Times New Roman" w:hAnsi="Times New Roman" w:cs="Times New Roman"/>
          <w:color w:val="000000" w:themeColor="text1"/>
          <w:lang w:val="en-GB"/>
          <w14:textFill>
            <w14:solidFill>
              <w14:schemeClr w14:val="tx1"/>
            </w14:solidFill>
          </w14:textFill>
        </w:rPr>
        <w:t>矿山道路概述</w:t>
      </w:r>
    </w:p>
    <w:p w14:paraId="0DAA07E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矿山采用公路汽车运输开拓，生产过程中采出的矿石通过汽车运输至破碎站进行粗碎，破碎站位于露天采场东南侧2389m标高，运输距离约800m。</w:t>
      </w:r>
    </w:p>
    <w:p w14:paraId="4BB5ED1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露天采场设计主干道路主要为东翼布置，从山脚斜交地形修到山顶，大部分道路位于采矿权内部，运矿道路主要为重车下坡，运输道路主干道宽4m，道路为泥结碎石路面，以岩石为基础，地基稳定。</w:t>
      </w:r>
    </w:p>
    <w:p w14:paraId="0260F43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设计运输道路坡度基本符合设计规范，整个运矿道路外侧，按上底宽0.6m、下底宽1.2m、高1m修建土车档，增加道路安全性能。在运矿道路两侧，分别设置了各类提示、警示牌及凸面镜。</w:t>
      </w:r>
    </w:p>
    <w:p w14:paraId="2B40314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设计道路能够满足采剥规模80万t/a露天采矿工程运输要求。</w:t>
      </w:r>
    </w:p>
    <w:p w14:paraId="634FEAEC">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2.4.4.2内部运输</w:t>
      </w:r>
    </w:p>
    <w:p w14:paraId="7FD08DA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矿区内部运输主要为露天开采、工业场地、破碎站三个区域之间的物料运输。</w:t>
      </w:r>
    </w:p>
    <w:p w14:paraId="34F3AF2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矿废石：从露天采场采出的矿废石通过汽车运至破碎站卸料口，矿石运输每年约80万t，运距约800m。</w:t>
      </w:r>
    </w:p>
    <w:p w14:paraId="2CDCAC3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各种材料及备品备件：场外运输到仓库。</w:t>
      </w:r>
    </w:p>
    <w:p w14:paraId="7D680D41">
      <w:pPr>
        <w:pStyle w:val="5"/>
        <w:pageBreakBefore w:val="0"/>
        <w:kinsoku/>
        <w:wordWrap/>
        <w:bidi w:val="0"/>
        <w:adjustRightInd w:val="0"/>
        <w:snapToGrid w:val="0"/>
        <w:spacing w:line="360" w:lineRule="auto"/>
        <w:ind w:firstLine="560"/>
        <w:rPr>
          <w:rFonts w:hint="default" w:ascii="Times New Roman" w:hAnsi="Times New Roman" w:eastAsia="宋体" w:cs="Times New Roman"/>
          <w:sz w:val="28"/>
          <w:szCs w:val="21"/>
        </w:rPr>
      </w:pPr>
      <w:r>
        <w:rPr>
          <w:rFonts w:hint="default" w:ascii="Times New Roman" w:hAnsi="Times New Roman" w:cs="Times New Roman"/>
          <w:color w:val="000000" w:themeColor="text1"/>
          <w:lang w:val="en-US" w:eastAsia="zh-CN"/>
          <w14:textFill>
            <w14:solidFill>
              <w14:schemeClr w14:val="tx1"/>
            </w14:solidFill>
          </w14:textFill>
        </w:rPr>
        <w:t>2.4.4.3外部运输</w:t>
      </w:r>
    </w:p>
    <w:p w14:paraId="67E4BFB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矿区的外部运输主要为各种材料及备品备件运入以及生活物资运入。</w:t>
      </w:r>
    </w:p>
    <w:p w14:paraId="1DAC0EF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各种材料及备品备件：根据生产要求从附近县城将物资运至仓库或各个工段，每日运量不等。</w:t>
      </w:r>
    </w:p>
    <w:p w14:paraId="75A190D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生活物资：矿区职工所需的各种生活物资，均依托当地的市场供给。</w:t>
      </w:r>
    </w:p>
    <w:p w14:paraId="33767762">
      <w:pPr>
        <w:pStyle w:val="5"/>
        <w:pageBreakBefore w:val="0"/>
        <w:kinsoku/>
        <w:wordWrap/>
        <w:bidi w:val="0"/>
        <w:adjustRightInd w:val="0"/>
        <w:snapToGrid w:val="0"/>
        <w:spacing w:line="360" w:lineRule="auto"/>
        <w:ind w:firstLine="560"/>
        <w:rPr>
          <w:rFonts w:hint="default" w:ascii="Times New Roman" w:hAnsi="Times New Roman" w:eastAsia="宋体" w:cs="Times New Roman"/>
          <w:sz w:val="28"/>
          <w:szCs w:val="21"/>
          <w:lang w:val="en-US"/>
        </w:rPr>
      </w:pPr>
      <w:r>
        <w:rPr>
          <w:rFonts w:hint="default" w:ascii="Times New Roman" w:hAnsi="Times New Roman" w:cs="Times New Roman"/>
          <w:color w:val="000000" w:themeColor="text1"/>
          <w:lang w:val="en-US" w:eastAsia="zh-CN"/>
          <w14:textFill>
            <w14:solidFill>
              <w14:schemeClr w14:val="tx1"/>
            </w14:solidFill>
          </w14:textFill>
        </w:rPr>
        <w:t>2.4.4.4厂区道路</w:t>
      </w:r>
    </w:p>
    <w:p w14:paraId="06DA7CE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矿区运输道路与场外现有公路相连接，该道路平均坡度5%，路面宽度6m，路面结构为泥结碎石路面。</w:t>
      </w:r>
    </w:p>
    <w:bookmarkEnd w:id="128"/>
    <w:p w14:paraId="285930DC">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default" w:ascii="Times New Roman" w:hAnsi="Times New Roman" w:eastAsia="宋体" w:cs="Times New Roman"/>
          <w:b/>
          <w:bCs w:val="0"/>
          <w:color w:val="000000" w:themeColor="text1"/>
          <w:sz w:val="28"/>
          <w:lang w:val="en-US" w:eastAsia="zh-CN"/>
          <w14:textFill>
            <w14:solidFill>
              <w14:schemeClr w14:val="tx1"/>
            </w14:solidFill>
          </w14:textFill>
        </w:rPr>
        <w:t>5</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开采范围及开采方法</w:t>
      </w:r>
    </w:p>
    <w:p w14:paraId="43D44A74">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GB"/>
          <w14:textFill>
            <w14:solidFill>
              <w14:schemeClr w14:val="tx1"/>
            </w14:solidFill>
          </w14:textFill>
        </w:rPr>
        <w:t>.1 开采范围</w:t>
      </w:r>
    </w:p>
    <w:p w14:paraId="5C7357F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0"/>
          <w:lang w:val="zh-CN" w:bidi="ar"/>
        </w:rPr>
      </w:pPr>
      <w:r>
        <w:rPr>
          <w:rFonts w:hint="default" w:ascii="Times New Roman" w:hAnsi="Times New Roman" w:eastAsia="宋体" w:cs="Times New Roman"/>
          <w:sz w:val="28"/>
          <w:szCs w:val="20"/>
          <w:lang w:val="zh-CN" w:eastAsia="zh-CN" w:bidi="ar"/>
        </w:rPr>
        <w:t>设计开采范围依据矿山采矿许可证及资源储量估算范围（面积0.1027km</w:t>
      </w:r>
      <w:r>
        <w:rPr>
          <w:rFonts w:hint="default" w:ascii="Times New Roman" w:hAnsi="Times New Roman" w:eastAsia="宋体" w:cs="Times New Roman"/>
          <w:sz w:val="28"/>
          <w:szCs w:val="20"/>
          <w:vertAlign w:val="superscript"/>
          <w:lang w:val="zh-CN" w:eastAsia="zh-CN" w:bidi="ar"/>
        </w:rPr>
        <w:t>2</w:t>
      </w:r>
      <w:r>
        <w:rPr>
          <w:rFonts w:hint="default" w:ascii="Times New Roman" w:hAnsi="Times New Roman" w:eastAsia="宋体" w:cs="Times New Roman"/>
          <w:sz w:val="28"/>
          <w:szCs w:val="20"/>
          <w:lang w:val="zh-CN" w:eastAsia="zh-CN" w:bidi="ar"/>
        </w:rPr>
        <w:t>、深度2520m—2420m），</w:t>
      </w:r>
      <w:r>
        <w:rPr>
          <w:rFonts w:hint="default" w:ascii="Times New Roman" w:hAnsi="Times New Roman" w:eastAsia="宋体" w:cs="Times New Roman"/>
          <w:sz w:val="28"/>
          <w:szCs w:val="20"/>
          <w:lang w:val="en-GB" w:eastAsia="zh-CN" w:bidi="ar"/>
        </w:rPr>
        <w:t>根据相关规范要求，</w:t>
      </w:r>
      <w:r>
        <w:rPr>
          <w:rFonts w:hint="default" w:ascii="Times New Roman" w:hAnsi="Times New Roman" w:eastAsia="宋体" w:cs="Times New Roman"/>
          <w:sz w:val="28"/>
          <w:szCs w:val="20"/>
          <w:lang w:val="zh-CN" w:eastAsia="zh-CN" w:bidi="ar"/>
        </w:rPr>
        <w:t>结合矿山周边环境，设计开采范围</w:t>
      </w:r>
      <w:r>
        <w:rPr>
          <w:rFonts w:hint="default" w:ascii="Times New Roman" w:hAnsi="Times New Roman" w:eastAsia="宋体" w:cs="Times New Roman"/>
          <w:sz w:val="28"/>
          <w:szCs w:val="20"/>
          <w:lang w:val="en-GB" w:eastAsia="zh-CN" w:bidi="ar"/>
        </w:rPr>
        <w:t>为：</w:t>
      </w:r>
      <w:r>
        <w:rPr>
          <w:rFonts w:hint="default" w:ascii="Times New Roman" w:hAnsi="Times New Roman" w:eastAsia="宋体" w:cs="Times New Roman"/>
          <w:sz w:val="28"/>
          <w:szCs w:val="20"/>
          <w:lang w:val="zh-CN" w:eastAsia="zh-CN" w:bidi="ar"/>
        </w:rPr>
        <w:t>矿山距离东侧仙人洞采石场为287m，设计将靠近仙人洞采石场300m范围的区域设置为禁采区。设置禁采区后，矿山开采面积</w:t>
      </w:r>
      <w:r>
        <w:rPr>
          <w:rFonts w:hint="default" w:ascii="Times New Roman" w:hAnsi="Times New Roman" w:eastAsia="宋体" w:cs="Times New Roman"/>
          <w:sz w:val="28"/>
          <w:szCs w:val="20"/>
          <w:lang w:val="zh-CN" w:bidi="ar"/>
        </w:rPr>
        <w:t>24560m</w:t>
      </w:r>
      <w:r>
        <w:rPr>
          <w:rFonts w:hint="default" w:ascii="Times New Roman" w:hAnsi="Times New Roman" w:eastAsia="宋体" w:cs="Times New Roman"/>
          <w:sz w:val="28"/>
          <w:szCs w:val="20"/>
          <w:vertAlign w:val="superscript"/>
          <w:lang w:val="zh-CN" w:bidi="ar"/>
        </w:rPr>
        <w:t>2</w:t>
      </w:r>
      <w:r>
        <w:rPr>
          <w:rFonts w:hint="default" w:ascii="Times New Roman" w:hAnsi="Times New Roman" w:eastAsia="宋体" w:cs="Times New Roman"/>
          <w:sz w:val="28"/>
          <w:szCs w:val="20"/>
          <w:lang w:val="zh-CN" w:bidi="ar"/>
        </w:rPr>
        <w:t>，开采标高2520～2420m。</w:t>
      </w:r>
    </w:p>
    <w:p w14:paraId="2E3ADA45">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GB"/>
          <w14:textFill>
            <w14:solidFill>
              <w14:schemeClr w14:val="tx1"/>
            </w14:solidFill>
          </w14:textFill>
        </w:rPr>
        <w:t>.2 开采方式选择</w:t>
      </w:r>
    </w:p>
    <w:p w14:paraId="1C52EFE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0"/>
          <w:lang w:bidi="ar"/>
        </w:rPr>
      </w:pPr>
      <w:r>
        <w:rPr>
          <w:rFonts w:hint="default" w:ascii="Times New Roman" w:hAnsi="Times New Roman" w:eastAsia="宋体" w:cs="Times New Roman"/>
          <w:sz w:val="28"/>
          <w:szCs w:val="20"/>
          <w:lang w:val="en-GB" w:bidi="ar"/>
        </w:rPr>
        <w:t>依据矿山储量核实报告中矿岩赋存条件、矿体产状、埋深等特点，</w:t>
      </w:r>
      <w:r>
        <w:rPr>
          <w:rFonts w:hint="eastAsia" w:ascii="Times New Roman" w:hAnsi="Times New Roman" w:eastAsia="宋体" w:cs="Times New Roman"/>
          <w:sz w:val="28"/>
          <w:szCs w:val="20"/>
          <w:lang w:val="en-GB" w:eastAsia="zh-CN" w:bidi="ar"/>
        </w:rPr>
        <w:t>设计</w:t>
      </w:r>
      <w:r>
        <w:rPr>
          <w:rFonts w:hint="default" w:ascii="Times New Roman" w:hAnsi="Times New Roman" w:eastAsia="宋体" w:cs="Times New Roman"/>
          <w:sz w:val="28"/>
          <w:szCs w:val="20"/>
          <w:lang w:val="en-GB" w:bidi="ar"/>
        </w:rPr>
        <w:t>开采方式为自上而下露天开采方式。</w:t>
      </w:r>
      <w:bookmarkStart w:id="129" w:name="_Hlk129348955"/>
      <w:r>
        <w:rPr>
          <w:rFonts w:hint="default" w:ascii="Times New Roman" w:hAnsi="Times New Roman" w:eastAsia="宋体" w:cs="Times New Roman"/>
          <w:sz w:val="28"/>
          <w:szCs w:val="20"/>
          <w:lang w:val="zh-CN" w:bidi="ar"/>
        </w:rPr>
        <w:t>采场内自上而下分台阶开采，台阶高度</w:t>
      </w:r>
      <w:r>
        <w:rPr>
          <w:rFonts w:hint="default" w:ascii="Times New Roman" w:hAnsi="Times New Roman" w:eastAsia="宋体" w:cs="Times New Roman"/>
          <w:sz w:val="28"/>
          <w:szCs w:val="20"/>
          <w:lang w:bidi="ar"/>
        </w:rPr>
        <w:t>15</w:t>
      </w:r>
      <w:r>
        <w:rPr>
          <w:rFonts w:hint="default" w:ascii="Times New Roman" w:hAnsi="Times New Roman" w:eastAsia="宋体" w:cs="Times New Roman"/>
          <w:sz w:val="28"/>
          <w:szCs w:val="20"/>
          <w:lang w:val="zh-CN" w:bidi="ar"/>
        </w:rPr>
        <w:t>m，最小工作平台宽度为25m，挖掘机工作线长度50~60m，安全平台宽</w:t>
      </w:r>
      <w:r>
        <w:rPr>
          <w:rFonts w:hint="default" w:ascii="Times New Roman" w:hAnsi="Times New Roman" w:eastAsia="宋体" w:cs="Times New Roman"/>
          <w:sz w:val="28"/>
          <w:szCs w:val="20"/>
          <w:lang w:bidi="ar"/>
        </w:rPr>
        <w:t>5</w:t>
      </w:r>
      <w:r>
        <w:rPr>
          <w:rFonts w:hint="default" w:ascii="Times New Roman" w:hAnsi="Times New Roman" w:eastAsia="宋体" w:cs="Times New Roman"/>
          <w:sz w:val="28"/>
          <w:szCs w:val="20"/>
          <w:lang w:val="zh-CN" w:bidi="ar"/>
        </w:rPr>
        <w:t>m，清扫平台宽</w:t>
      </w:r>
      <w:r>
        <w:rPr>
          <w:rFonts w:hint="default" w:ascii="Times New Roman" w:hAnsi="Times New Roman" w:eastAsia="宋体" w:cs="Times New Roman"/>
          <w:sz w:val="28"/>
          <w:szCs w:val="20"/>
          <w:lang w:bidi="ar"/>
        </w:rPr>
        <w:t>8</w:t>
      </w:r>
      <w:r>
        <w:rPr>
          <w:rFonts w:hint="default" w:ascii="Times New Roman" w:hAnsi="Times New Roman" w:eastAsia="宋体" w:cs="Times New Roman"/>
          <w:sz w:val="28"/>
          <w:szCs w:val="20"/>
          <w:lang w:val="zh-CN" w:bidi="ar"/>
        </w:rPr>
        <w:t>m。</w:t>
      </w:r>
    </w:p>
    <w:bookmarkEnd w:id="129"/>
    <w:p w14:paraId="34893676">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2.4.5 开拓运输</w:t>
      </w:r>
    </w:p>
    <w:p w14:paraId="5AD265E0">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GB"/>
          <w14:textFill>
            <w14:solidFill>
              <w14:schemeClr w14:val="tx1"/>
            </w14:solidFill>
          </w14:textFill>
        </w:rPr>
        <w:t>.1 开拓运输现状</w:t>
      </w:r>
    </w:p>
    <w:p w14:paraId="0A6DCCE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bookmarkStart w:id="130" w:name="_Hlk85640429"/>
      <w:r>
        <w:rPr>
          <w:rFonts w:hint="default" w:ascii="Times New Roman" w:hAnsi="Times New Roman" w:eastAsia="宋体" w:cs="Times New Roman"/>
          <w:sz w:val="28"/>
          <w:szCs w:val="21"/>
          <w:lang w:eastAsia="zh-TW"/>
        </w:rPr>
        <w:t>1、基本情况</w:t>
      </w:r>
    </w:p>
    <w:p w14:paraId="57E7AE0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（1）矿区属浅切割构造剥蚀低中山地貌。采场范围内地势北高、南低；地形最高点标高2520m，最低点标高2412m，高差108m；地形坡度10°~20°，地形坡度较缓。</w:t>
      </w:r>
    </w:p>
    <w:p w14:paraId="0889E89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（2）鹤庆县河底普通建筑材料用石灰岩矿为山坡露天开采，露天开采境界最高开采标高2520m，采场底部标高2420m，最大采深100m。</w:t>
      </w:r>
    </w:p>
    <w:p w14:paraId="0554307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（3）矿山破碎站卸矿口位于矿区东南侧，标高2407，矿石运输至卸矿口的运输距离加权平均后约为800m。</w:t>
      </w:r>
    </w:p>
    <w:p w14:paraId="2319D52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2、开拓运输现状</w:t>
      </w:r>
    </w:p>
    <w:p w14:paraId="712E784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已有运输道路到达原开采形成的采空区顶部，运输道路由破碎站卸矿口通至采场底部以及采空区顶部2508m标高，路面宽4m，平均坡度14.54%，最大纵坡18%。</w:t>
      </w:r>
    </w:p>
    <w:p w14:paraId="7A34D047">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eastAsia="zh-TW"/>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2.4.5.2</w:t>
      </w:r>
      <w:r>
        <w:rPr>
          <w:rFonts w:hint="default" w:ascii="Times New Roman" w:hAnsi="Times New Roman" w:cs="Times New Roman"/>
          <w:color w:val="000000" w:themeColor="text1"/>
          <w:lang w:val="en-GB" w:eastAsia="zh-TW"/>
          <w14:textFill>
            <w14:solidFill>
              <w14:schemeClr w14:val="tx1"/>
            </w14:solidFill>
          </w14:textFill>
        </w:rPr>
        <w:t>开拓运输方式</w:t>
      </w:r>
    </w:p>
    <w:p w14:paraId="3EA4A9F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矿山为生产矿山，现开拓运输系统为公路汽车开拓运输系统。根据本次圈定露天境界内台阶矿岩量分布，露天境界内矿石平均运距不大于800m。结合类似灰岩矿山经济合理运距、矿山年采剥总量、当地气候条件和矿山现有开拓运输系统近几年应用情况，采用公路汽车开拓运输方式是可行且合理的，设计继续沿用矿山目前的公路汽车运输方式。</w:t>
      </w:r>
    </w:p>
    <w:p w14:paraId="2C75304F">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US" w:eastAsia="zh-TW"/>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2.4.5.3</w:t>
      </w:r>
      <w:r>
        <w:rPr>
          <w:rFonts w:hint="default" w:ascii="Times New Roman" w:hAnsi="Times New Roman" w:cs="Times New Roman"/>
          <w:color w:val="000000" w:themeColor="text1"/>
          <w:lang w:val="en-US" w:eastAsia="zh-TW"/>
          <w14:textFill>
            <w14:solidFill>
              <w14:schemeClr w14:val="tx1"/>
            </w14:solidFill>
          </w14:textFill>
        </w:rPr>
        <w:t>开拓运输主要参数</w:t>
      </w:r>
    </w:p>
    <w:p w14:paraId="5EF5937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lang w:eastAsia="zh-TW"/>
        </w:rPr>
        <w:t>依据矿区地质地形条件</w:t>
      </w:r>
      <w:r>
        <w:rPr>
          <w:rFonts w:hint="default" w:ascii="Times New Roman" w:hAnsi="Times New Roman" w:eastAsia="宋体" w:cs="Times New Roman"/>
          <w:sz w:val="28"/>
          <w:szCs w:val="21"/>
        </w:rPr>
        <w:t>，该矿山</w:t>
      </w:r>
      <w:r>
        <w:rPr>
          <w:rFonts w:hint="default" w:ascii="Times New Roman" w:hAnsi="Times New Roman" w:eastAsia="宋体" w:cs="Times New Roman"/>
          <w:sz w:val="28"/>
          <w:szCs w:val="21"/>
          <w:lang w:eastAsia="zh-TW"/>
        </w:rPr>
        <w:t>开拓运输系统采用投资少、建设快、运行可靠的公路开拓汽车运输方案</w:t>
      </w:r>
      <w:r>
        <w:rPr>
          <w:rFonts w:hint="default" w:ascii="Times New Roman" w:hAnsi="Times New Roman" w:eastAsia="宋体" w:cs="Times New Roman"/>
          <w:sz w:val="28"/>
          <w:szCs w:val="21"/>
        </w:rPr>
        <w:t>。</w:t>
      </w:r>
    </w:p>
    <w:p w14:paraId="43AB3C1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1、道路等级：</w:t>
      </w:r>
    </w:p>
    <w:p w14:paraId="3C0C202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矿山生产干线的道路等级为三级，生产支线的道路等级为三级，公路路面采用泥结碎石路面。</w:t>
      </w:r>
    </w:p>
    <w:p w14:paraId="38F8F9B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w:t>
      </w:r>
      <w:r>
        <w:rPr>
          <w:rFonts w:hint="default" w:ascii="Times New Roman" w:hAnsi="Times New Roman" w:eastAsia="宋体" w:cs="Times New Roman"/>
          <w:sz w:val="28"/>
          <w:szCs w:val="21"/>
          <w:lang w:val="en-US" w:eastAsia="zh-CN"/>
        </w:rPr>
        <w:t>道路设计</w:t>
      </w:r>
      <w:r>
        <w:rPr>
          <w:rFonts w:hint="default" w:ascii="Times New Roman" w:hAnsi="Times New Roman" w:eastAsia="宋体" w:cs="Times New Roman"/>
          <w:sz w:val="28"/>
          <w:szCs w:val="21"/>
        </w:rPr>
        <w:t>：</w:t>
      </w:r>
    </w:p>
    <w:p w14:paraId="7A27F88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根据采出矿石量分区及分布，结合矿区现状地形条件、过磅房位置等，本工程拟定道路采用单车道。</w:t>
      </w:r>
    </w:p>
    <w:p w14:paraId="01D9E1B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新建运输道路从矿区卸矿口到达矿9附近的2468m标高连通矿区外围已硬化道路，新建运输道路总长683.55m，路面宽4m，路基宽6m，运输道路平均坡度8.48%，最大纵坡9%，土石方量为8808m</w:t>
      </w:r>
      <w:r>
        <w:rPr>
          <w:rFonts w:hint="default" w:ascii="Times New Roman" w:hAnsi="Times New Roman" w:eastAsia="宋体" w:cs="Times New Roman"/>
          <w:sz w:val="28"/>
          <w:szCs w:val="21"/>
          <w:vertAlign w:val="superscript"/>
        </w:rPr>
        <w:t>3</w:t>
      </w:r>
      <w:r>
        <w:rPr>
          <w:rFonts w:hint="default" w:ascii="Times New Roman" w:hAnsi="Times New Roman" w:eastAsia="宋体" w:cs="Times New Roman"/>
          <w:sz w:val="28"/>
          <w:szCs w:val="21"/>
        </w:rPr>
        <w:t>。</w:t>
      </w:r>
    </w:p>
    <w:p w14:paraId="2318563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道路邻边坡一侧，设置土质安全车档，车档设置为倒梯形，高度为1.0m。</w:t>
      </w:r>
    </w:p>
    <w:bookmarkEnd w:id="130"/>
    <w:p w14:paraId="4BFCF77A">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GB"/>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GB"/>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运输设备</w:t>
      </w:r>
    </w:p>
    <w:p w14:paraId="0806A5C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kern w:val="0"/>
          <w:sz w:val="28"/>
          <w:szCs w:val="21"/>
        </w:rPr>
      </w:pPr>
      <w:r>
        <w:rPr>
          <w:rFonts w:hint="default" w:ascii="Times New Roman" w:hAnsi="Times New Roman" w:eastAsia="宋体" w:cs="Times New Roman"/>
          <w:color w:val="000000" w:themeColor="text1"/>
          <w:sz w:val="28"/>
          <w:szCs w:val="28"/>
          <w:lang w:val="en-GB"/>
          <w14:textFill>
            <w14:solidFill>
              <w14:schemeClr w14:val="tx1"/>
            </w14:solidFill>
          </w14:textFill>
        </w:rPr>
        <w:t>依据矿山的现状地形，圈定的露天境界内矿石量为727.64万t，矿石由采场运输至破碎站卸矿口。根据矿山的生产能力、运输距离以及挖掘机的铲斗容积等因素，设计矿山需30t矿用自卸汽车7辆，矿山已有7辆30t红岩金刚矿用自卸汽车，能满足生产需要</w:t>
      </w:r>
      <w:r>
        <w:rPr>
          <w:rFonts w:hint="default" w:ascii="Times New Roman" w:hAnsi="Times New Roman" w:eastAsia="宋体" w:cs="Times New Roman"/>
          <w:kern w:val="0"/>
          <w:sz w:val="28"/>
          <w:szCs w:val="21"/>
        </w:rPr>
        <w:t>。</w:t>
      </w:r>
    </w:p>
    <w:p w14:paraId="4824FB0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2.4.6 </w:t>
      </w:r>
      <w:r>
        <w:rPr>
          <w:rFonts w:hint="default" w:ascii="Times New Roman" w:hAnsi="Times New Roman" w:eastAsia="宋体" w:cs="Times New Roman"/>
          <w:b/>
          <w:bCs w:val="0"/>
          <w:color w:val="000000" w:themeColor="text1"/>
          <w:sz w:val="28"/>
          <w:lang w:val="en-US" w:eastAsia="zh-CN"/>
          <w14:textFill>
            <w14:solidFill>
              <w14:schemeClr w14:val="tx1"/>
            </w14:solidFill>
          </w14:textFill>
        </w:rPr>
        <w:t>采剥</w:t>
      </w:r>
      <w:r>
        <w:rPr>
          <w:rFonts w:hint="default" w:ascii="Times New Roman" w:hAnsi="Times New Roman" w:eastAsia="宋体" w:cs="Times New Roman"/>
          <w:b/>
          <w:bCs w:val="0"/>
          <w:color w:val="000000" w:themeColor="text1"/>
          <w:sz w:val="28"/>
          <w:lang w:val="en-GB"/>
          <w14:textFill>
            <w14:solidFill>
              <w14:schemeClr w14:val="tx1"/>
            </w14:solidFill>
          </w14:textFill>
        </w:rPr>
        <w:t>工艺</w:t>
      </w:r>
    </w:p>
    <w:p w14:paraId="66D6F9FD">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2.4.6.1 露天采场境界</w:t>
      </w:r>
    </w:p>
    <w:p w14:paraId="2A91D29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根据初步设计中确定的露天边坡参数及设计原则，并结合该矿床赋存特点，该矿山圈定的露天开采境界主要指标见表2.4-</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w:t>
      </w:r>
    </w:p>
    <w:p w14:paraId="4A3758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4"/>
          <w:szCs w:val="28"/>
          <w:lang w:val="en-GB"/>
          <w14:textFill>
            <w14:solidFill>
              <w14:schemeClr w14:val="tx1"/>
            </w14:solidFill>
          </w14:textFill>
        </w:rPr>
      </w:pPr>
      <w:r>
        <w:rPr>
          <w:rFonts w:hint="default" w:ascii="Times New Roman" w:hAnsi="Times New Roman" w:eastAsia="宋体" w:cs="Times New Roman"/>
          <w:b/>
          <w:color w:val="000000" w:themeColor="text1"/>
          <w:sz w:val="24"/>
          <w:szCs w:val="28"/>
          <w:lang w:val="en-GB"/>
          <w14:textFill>
            <w14:solidFill>
              <w14:schemeClr w14:val="tx1"/>
            </w14:solidFill>
          </w14:textFill>
        </w:rPr>
        <w:t>表2.4-</w:t>
      </w:r>
      <w:r>
        <w:rPr>
          <w:rFonts w:hint="default" w:ascii="Times New Roman" w:hAnsi="Times New Roman" w:eastAsia="宋体" w:cs="Times New Roman"/>
          <w:b/>
          <w:color w:val="000000" w:themeColor="text1"/>
          <w:sz w:val="24"/>
          <w:szCs w:val="28"/>
          <w14:textFill>
            <w14:solidFill>
              <w14:schemeClr w14:val="tx1"/>
            </w14:solidFill>
          </w14:textFill>
        </w:rPr>
        <w:t>3</w:t>
      </w:r>
      <w:r>
        <w:rPr>
          <w:rFonts w:hint="default" w:ascii="Times New Roman" w:hAnsi="Times New Roman" w:eastAsia="宋体" w:cs="Times New Roman"/>
          <w:b/>
          <w:color w:val="000000" w:themeColor="text1"/>
          <w:sz w:val="24"/>
          <w:szCs w:val="28"/>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4"/>
          <w:szCs w:val="28"/>
          <w:lang w:val="en-GB"/>
          <w14:textFill>
            <w14:solidFill>
              <w14:schemeClr w14:val="tx1"/>
            </w14:solidFill>
          </w14:textFill>
        </w:rPr>
        <w:t>露天开采终了境界主要指标表</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631"/>
        <w:gridCol w:w="3847"/>
        <w:gridCol w:w="1452"/>
        <w:gridCol w:w="2471"/>
      </w:tblGrid>
      <w:tr w14:paraId="3FFF5D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tblHeader/>
          <w:jc w:val="center"/>
        </w:trPr>
        <w:tc>
          <w:tcPr>
            <w:tcW w:w="2914" w:type="pct"/>
            <w:gridSpan w:val="2"/>
            <w:vAlign w:val="center"/>
          </w:tcPr>
          <w:p w14:paraId="1C36F146">
            <w:pPr>
              <w:pStyle w:val="64"/>
              <w:rPr>
                <w:rFonts w:hint="default" w:ascii="Times New Roman" w:hAnsi="Times New Roman" w:cs="Times New Roman"/>
                <w:b/>
                <w:bCs/>
                <w:sz w:val="21"/>
                <w:szCs w:val="21"/>
              </w:rPr>
            </w:pPr>
            <w:bookmarkStart w:id="131" w:name="_Hlk140058425"/>
            <w:r>
              <w:rPr>
                <w:rFonts w:hint="default" w:ascii="Times New Roman" w:hAnsi="Times New Roman" w:cs="Times New Roman"/>
                <w:b/>
                <w:bCs/>
                <w:sz w:val="21"/>
                <w:szCs w:val="21"/>
              </w:rPr>
              <w:t>项目</w:t>
            </w:r>
          </w:p>
        </w:tc>
        <w:tc>
          <w:tcPr>
            <w:tcW w:w="772" w:type="pct"/>
            <w:vAlign w:val="center"/>
          </w:tcPr>
          <w:p w14:paraId="2EE51FB8">
            <w:pPr>
              <w:pStyle w:val="64"/>
              <w:rPr>
                <w:rFonts w:hint="default" w:ascii="Times New Roman" w:hAnsi="Times New Roman" w:cs="Times New Roman"/>
                <w:b/>
                <w:bCs/>
                <w:sz w:val="21"/>
                <w:szCs w:val="21"/>
              </w:rPr>
            </w:pPr>
            <w:r>
              <w:rPr>
                <w:rFonts w:hint="default" w:ascii="Times New Roman" w:hAnsi="Times New Roman" w:cs="Times New Roman"/>
                <w:b/>
                <w:bCs/>
                <w:sz w:val="21"/>
                <w:szCs w:val="21"/>
              </w:rPr>
              <w:t>参数</w:t>
            </w:r>
          </w:p>
        </w:tc>
        <w:tc>
          <w:tcPr>
            <w:tcW w:w="1314" w:type="pct"/>
            <w:vAlign w:val="center"/>
          </w:tcPr>
          <w:p w14:paraId="5DE11275">
            <w:pPr>
              <w:pStyle w:val="64"/>
              <w:rPr>
                <w:rFonts w:hint="default" w:ascii="Times New Roman" w:hAnsi="Times New Roman" w:cs="Times New Roman"/>
                <w:b/>
                <w:bCs/>
                <w:sz w:val="21"/>
                <w:szCs w:val="21"/>
              </w:rPr>
            </w:pPr>
            <w:r>
              <w:rPr>
                <w:rFonts w:hint="default" w:ascii="Times New Roman" w:hAnsi="Times New Roman" w:cs="Times New Roman"/>
                <w:b/>
                <w:bCs/>
                <w:sz w:val="21"/>
                <w:szCs w:val="21"/>
              </w:rPr>
              <w:t>备注</w:t>
            </w:r>
          </w:p>
        </w:tc>
      </w:tr>
      <w:tr w14:paraId="4FD870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restart"/>
            <w:vAlign w:val="center"/>
          </w:tcPr>
          <w:p w14:paraId="4570EBDC">
            <w:pPr>
              <w:pStyle w:val="64"/>
              <w:rPr>
                <w:rFonts w:hint="default" w:ascii="Times New Roman" w:hAnsi="Times New Roman" w:cs="Times New Roman"/>
                <w:sz w:val="21"/>
                <w:szCs w:val="21"/>
              </w:rPr>
            </w:pPr>
            <w:r>
              <w:rPr>
                <w:rFonts w:hint="default" w:ascii="Times New Roman" w:hAnsi="Times New Roman" w:cs="Times New Roman"/>
                <w:sz w:val="21"/>
                <w:szCs w:val="21"/>
              </w:rPr>
              <w:t>境界</w:t>
            </w:r>
          </w:p>
        </w:tc>
        <w:tc>
          <w:tcPr>
            <w:tcW w:w="2046" w:type="pct"/>
            <w:vAlign w:val="center"/>
          </w:tcPr>
          <w:p w14:paraId="673254F7">
            <w:pPr>
              <w:pStyle w:val="64"/>
              <w:rPr>
                <w:rFonts w:hint="default" w:ascii="Times New Roman" w:hAnsi="Times New Roman" w:cs="Times New Roman"/>
                <w:sz w:val="21"/>
                <w:szCs w:val="21"/>
              </w:rPr>
            </w:pPr>
            <w:r>
              <w:rPr>
                <w:rFonts w:hint="default" w:ascii="Times New Roman" w:hAnsi="Times New Roman" w:cs="Times New Roman"/>
                <w:sz w:val="21"/>
                <w:szCs w:val="21"/>
              </w:rPr>
              <w:t>上口尺寸（长×宽）</w:t>
            </w:r>
          </w:p>
        </w:tc>
        <w:tc>
          <w:tcPr>
            <w:tcW w:w="772" w:type="pct"/>
            <w:vAlign w:val="center"/>
          </w:tcPr>
          <w:p w14:paraId="7E5628F5">
            <w:pPr>
              <w:pStyle w:val="64"/>
              <w:rPr>
                <w:rFonts w:hint="default" w:ascii="Times New Roman" w:hAnsi="Times New Roman" w:cs="Times New Roman"/>
                <w:sz w:val="21"/>
                <w:szCs w:val="21"/>
              </w:rPr>
            </w:pPr>
            <w:r>
              <w:rPr>
                <w:rFonts w:hint="default" w:ascii="Times New Roman" w:hAnsi="Times New Roman" w:cs="Times New Roman"/>
                <w:sz w:val="21"/>
                <w:szCs w:val="21"/>
              </w:rPr>
              <w:t>576×224m</w:t>
            </w:r>
          </w:p>
        </w:tc>
        <w:tc>
          <w:tcPr>
            <w:tcW w:w="1314" w:type="pct"/>
            <w:vAlign w:val="center"/>
          </w:tcPr>
          <w:p w14:paraId="2359D184">
            <w:pPr>
              <w:pStyle w:val="64"/>
              <w:rPr>
                <w:rFonts w:hint="default" w:ascii="Times New Roman" w:hAnsi="Times New Roman" w:cs="Times New Roman"/>
                <w:sz w:val="21"/>
                <w:szCs w:val="21"/>
              </w:rPr>
            </w:pPr>
          </w:p>
        </w:tc>
      </w:tr>
      <w:tr w14:paraId="1B3899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43CA5233">
            <w:pPr>
              <w:pStyle w:val="64"/>
              <w:rPr>
                <w:rFonts w:hint="default" w:ascii="Times New Roman" w:hAnsi="Times New Roman" w:cs="Times New Roman"/>
                <w:sz w:val="21"/>
                <w:szCs w:val="21"/>
              </w:rPr>
            </w:pPr>
          </w:p>
        </w:tc>
        <w:tc>
          <w:tcPr>
            <w:tcW w:w="2046" w:type="pct"/>
            <w:vAlign w:val="center"/>
          </w:tcPr>
          <w:p w14:paraId="4936FE32">
            <w:pPr>
              <w:pStyle w:val="64"/>
              <w:rPr>
                <w:rFonts w:hint="default" w:ascii="Times New Roman" w:hAnsi="Times New Roman" w:cs="Times New Roman"/>
                <w:sz w:val="21"/>
                <w:szCs w:val="21"/>
              </w:rPr>
            </w:pPr>
            <w:r>
              <w:rPr>
                <w:rFonts w:hint="default" w:ascii="Times New Roman" w:hAnsi="Times New Roman" w:cs="Times New Roman"/>
                <w:sz w:val="21"/>
                <w:szCs w:val="21"/>
              </w:rPr>
              <w:t>底部尺寸（长×宽）</w:t>
            </w:r>
          </w:p>
        </w:tc>
        <w:tc>
          <w:tcPr>
            <w:tcW w:w="772" w:type="pct"/>
            <w:vAlign w:val="center"/>
          </w:tcPr>
          <w:p w14:paraId="6D9EDA88">
            <w:pPr>
              <w:pStyle w:val="64"/>
              <w:rPr>
                <w:rFonts w:hint="default" w:ascii="Times New Roman" w:hAnsi="Times New Roman" w:cs="Times New Roman"/>
                <w:sz w:val="21"/>
                <w:szCs w:val="21"/>
              </w:rPr>
            </w:pPr>
            <w:r>
              <w:rPr>
                <w:rFonts w:hint="default" w:ascii="Times New Roman" w:hAnsi="Times New Roman" w:cs="Times New Roman"/>
                <w:sz w:val="21"/>
                <w:szCs w:val="21"/>
              </w:rPr>
              <w:t>500×140m</w:t>
            </w:r>
          </w:p>
        </w:tc>
        <w:tc>
          <w:tcPr>
            <w:tcW w:w="1314" w:type="pct"/>
            <w:vAlign w:val="center"/>
          </w:tcPr>
          <w:p w14:paraId="1362BBCC">
            <w:pPr>
              <w:pStyle w:val="64"/>
              <w:rPr>
                <w:rFonts w:hint="default" w:ascii="Times New Roman" w:hAnsi="Times New Roman" w:cs="Times New Roman"/>
                <w:sz w:val="21"/>
                <w:szCs w:val="21"/>
              </w:rPr>
            </w:pPr>
          </w:p>
        </w:tc>
      </w:tr>
      <w:tr w14:paraId="752217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666E759B">
            <w:pPr>
              <w:pStyle w:val="64"/>
              <w:rPr>
                <w:rFonts w:hint="default" w:ascii="Times New Roman" w:hAnsi="Times New Roman" w:cs="Times New Roman"/>
                <w:sz w:val="21"/>
                <w:szCs w:val="21"/>
              </w:rPr>
            </w:pPr>
          </w:p>
        </w:tc>
        <w:tc>
          <w:tcPr>
            <w:tcW w:w="2046" w:type="pct"/>
            <w:vAlign w:val="center"/>
          </w:tcPr>
          <w:p w14:paraId="45DF175A">
            <w:pPr>
              <w:pStyle w:val="64"/>
              <w:rPr>
                <w:rFonts w:hint="default" w:ascii="Times New Roman" w:hAnsi="Times New Roman" w:cs="Times New Roman"/>
                <w:sz w:val="21"/>
                <w:szCs w:val="21"/>
              </w:rPr>
            </w:pPr>
            <w:r>
              <w:rPr>
                <w:rFonts w:hint="default" w:ascii="Times New Roman" w:hAnsi="Times New Roman" w:cs="Times New Roman"/>
                <w:sz w:val="21"/>
                <w:szCs w:val="21"/>
              </w:rPr>
              <w:t>最高开采标高</w:t>
            </w:r>
          </w:p>
        </w:tc>
        <w:tc>
          <w:tcPr>
            <w:tcW w:w="772" w:type="pct"/>
            <w:vAlign w:val="center"/>
          </w:tcPr>
          <w:p w14:paraId="0F91CC21">
            <w:pPr>
              <w:pStyle w:val="64"/>
              <w:rPr>
                <w:rFonts w:hint="default" w:ascii="Times New Roman" w:hAnsi="Times New Roman" w:cs="Times New Roman"/>
                <w:sz w:val="21"/>
                <w:szCs w:val="21"/>
              </w:rPr>
            </w:pPr>
            <w:r>
              <w:rPr>
                <w:rFonts w:hint="default" w:ascii="Times New Roman" w:hAnsi="Times New Roman" w:cs="Times New Roman"/>
                <w:sz w:val="21"/>
                <w:szCs w:val="21"/>
              </w:rPr>
              <w:t>2520m</w:t>
            </w:r>
          </w:p>
        </w:tc>
        <w:tc>
          <w:tcPr>
            <w:tcW w:w="1314" w:type="pct"/>
            <w:vAlign w:val="center"/>
          </w:tcPr>
          <w:p w14:paraId="0960589C">
            <w:pPr>
              <w:pStyle w:val="64"/>
              <w:rPr>
                <w:rFonts w:hint="default" w:ascii="Times New Roman" w:hAnsi="Times New Roman" w:cs="Times New Roman"/>
                <w:sz w:val="21"/>
                <w:szCs w:val="21"/>
              </w:rPr>
            </w:pPr>
          </w:p>
        </w:tc>
      </w:tr>
      <w:tr w14:paraId="0C791B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724A160A">
            <w:pPr>
              <w:pStyle w:val="64"/>
              <w:rPr>
                <w:rFonts w:hint="default" w:ascii="Times New Roman" w:hAnsi="Times New Roman" w:cs="Times New Roman"/>
                <w:sz w:val="21"/>
                <w:szCs w:val="21"/>
              </w:rPr>
            </w:pPr>
          </w:p>
        </w:tc>
        <w:tc>
          <w:tcPr>
            <w:tcW w:w="2046" w:type="pct"/>
            <w:vAlign w:val="center"/>
          </w:tcPr>
          <w:p w14:paraId="74F3F7FC">
            <w:pPr>
              <w:pStyle w:val="64"/>
              <w:rPr>
                <w:rFonts w:hint="default" w:ascii="Times New Roman" w:hAnsi="Times New Roman" w:cs="Times New Roman"/>
                <w:sz w:val="21"/>
                <w:szCs w:val="21"/>
              </w:rPr>
            </w:pPr>
            <w:r>
              <w:rPr>
                <w:rFonts w:hint="default" w:ascii="Times New Roman" w:hAnsi="Times New Roman" w:cs="Times New Roman"/>
                <w:sz w:val="21"/>
                <w:szCs w:val="21"/>
              </w:rPr>
              <w:t>最低开采标高</w:t>
            </w:r>
          </w:p>
        </w:tc>
        <w:tc>
          <w:tcPr>
            <w:tcW w:w="772" w:type="pct"/>
            <w:vAlign w:val="center"/>
          </w:tcPr>
          <w:p w14:paraId="1C696615">
            <w:pPr>
              <w:pStyle w:val="64"/>
              <w:rPr>
                <w:rFonts w:hint="default" w:ascii="Times New Roman" w:hAnsi="Times New Roman" w:cs="Times New Roman"/>
                <w:sz w:val="21"/>
                <w:szCs w:val="21"/>
              </w:rPr>
            </w:pPr>
            <w:r>
              <w:rPr>
                <w:rFonts w:hint="default" w:ascii="Times New Roman" w:hAnsi="Times New Roman" w:cs="Times New Roman"/>
                <w:sz w:val="21"/>
                <w:szCs w:val="21"/>
              </w:rPr>
              <w:t>2420m</w:t>
            </w:r>
          </w:p>
        </w:tc>
        <w:tc>
          <w:tcPr>
            <w:tcW w:w="1314" w:type="pct"/>
            <w:vAlign w:val="center"/>
          </w:tcPr>
          <w:p w14:paraId="0D5696EF">
            <w:pPr>
              <w:pStyle w:val="64"/>
              <w:rPr>
                <w:rFonts w:hint="default" w:ascii="Times New Roman" w:hAnsi="Times New Roman" w:cs="Times New Roman"/>
                <w:sz w:val="21"/>
                <w:szCs w:val="21"/>
              </w:rPr>
            </w:pPr>
          </w:p>
        </w:tc>
      </w:tr>
      <w:tr w14:paraId="66E60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restart"/>
            <w:vAlign w:val="center"/>
          </w:tcPr>
          <w:p w14:paraId="0E0E8B9C">
            <w:pPr>
              <w:pStyle w:val="64"/>
              <w:rPr>
                <w:rFonts w:hint="default" w:ascii="Times New Roman" w:hAnsi="Times New Roman" w:cs="Times New Roman"/>
                <w:sz w:val="21"/>
                <w:szCs w:val="21"/>
              </w:rPr>
            </w:pPr>
            <w:r>
              <w:rPr>
                <w:rFonts w:hint="default" w:ascii="Times New Roman" w:hAnsi="Times New Roman" w:cs="Times New Roman"/>
                <w:sz w:val="21"/>
                <w:szCs w:val="21"/>
              </w:rPr>
              <w:t>台阶</w:t>
            </w:r>
          </w:p>
        </w:tc>
        <w:tc>
          <w:tcPr>
            <w:tcW w:w="2046" w:type="pct"/>
            <w:vAlign w:val="center"/>
          </w:tcPr>
          <w:p w14:paraId="65E48CA5">
            <w:pPr>
              <w:pStyle w:val="64"/>
              <w:rPr>
                <w:rFonts w:hint="default" w:ascii="Times New Roman" w:hAnsi="Times New Roman" w:cs="Times New Roman"/>
                <w:sz w:val="21"/>
                <w:szCs w:val="21"/>
              </w:rPr>
            </w:pPr>
            <w:r>
              <w:rPr>
                <w:rFonts w:hint="default" w:ascii="Times New Roman" w:hAnsi="Times New Roman" w:cs="Times New Roman"/>
                <w:sz w:val="21"/>
                <w:szCs w:val="21"/>
              </w:rPr>
              <w:t>台阶高度</w:t>
            </w:r>
          </w:p>
        </w:tc>
        <w:tc>
          <w:tcPr>
            <w:tcW w:w="772" w:type="pct"/>
            <w:vAlign w:val="center"/>
          </w:tcPr>
          <w:p w14:paraId="12D5EE9B">
            <w:pPr>
              <w:pStyle w:val="64"/>
              <w:rPr>
                <w:rFonts w:hint="default" w:ascii="Times New Roman" w:hAnsi="Times New Roman" w:cs="Times New Roman"/>
                <w:sz w:val="21"/>
                <w:szCs w:val="21"/>
              </w:rPr>
            </w:pPr>
            <w:r>
              <w:rPr>
                <w:rFonts w:hint="default" w:ascii="Times New Roman" w:hAnsi="Times New Roman" w:cs="Times New Roman"/>
                <w:sz w:val="21"/>
                <w:szCs w:val="21"/>
              </w:rPr>
              <w:t>15m</w:t>
            </w:r>
          </w:p>
        </w:tc>
        <w:tc>
          <w:tcPr>
            <w:tcW w:w="1314" w:type="pct"/>
            <w:vAlign w:val="center"/>
          </w:tcPr>
          <w:p w14:paraId="46AFBC21">
            <w:pPr>
              <w:pStyle w:val="64"/>
              <w:rPr>
                <w:rFonts w:hint="default" w:ascii="Times New Roman" w:hAnsi="Times New Roman" w:cs="Times New Roman"/>
                <w:sz w:val="21"/>
                <w:szCs w:val="21"/>
              </w:rPr>
            </w:pPr>
          </w:p>
        </w:tc>
      </w:tr>
      <w:tr w14:paraId="18B6F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1C1D5A60">
            <w:pPr>
              <w:pStyle w:val="64"/>
              <w:rPr>
                <w:rFonts w:hint="default" w:ascii="Times New Roman" w:hAnsi="Times New Roman" w:cs="Times New Roman"/>
                <w:sz w:val="21"/>
                <w:szCs w:val="21"/>
              </w:rPr>
            </w:pPr>
          </w:p>
        </w:tc>
        <w:tc>
          <w:tcPr>
            <w:tcW w:w="2046" w:type="pct"/>
            <w:vAlign w:val="center"/>
          </w:tcPr>
          <w:p w14:paraId="6A7F06BC">
            <w:pPr>
              <w:pStyle w:val="64"/>
              <w:rPr>
                <w:rFonts w:hint="default" w:ascii="Times New Roman" w:hAnsi="Times New Roman" w:cs="Times New Roman"/>
                <w:sz w:val="21"/>
                <w:szCs w:val="21"/>
              </w:rPr>
            </w:pPr>
            <w:r>
              <w:rPr>
                <w:rFonts w:hint="default" w:ascii="Times New Roman" w:hAnsi="Times New Roman" w:cs="Times New Roman"/>
                <w:sz w:val="21"/>
                <w:szCs w:val="21"/>
              </w:rPr>
              <w:t>最高台阶标高</w:t>
            </w:r>
          </w:p>
        </w:tc>
        <w:tc>
          <w:tcPr>
            <w:tcW w:w="772" w:type="pct"/>
            <w:vAlign w:val="center"/>
          </w:tcPr>
          <w:p w14:paraId="19A54B8C">
            <w:pPr>
              <w:pStyle w:val="64"/>
              <w:rPr>
                <w:rFonts w:hint="default" w:ascii="Times New Roman" w:hAnsi="Times New Roman" w:cs="Times New Roman"/>
                <w:sz w:val="21"/>
                <w:szCs w:val="21"/>
              </w:rPr>
            </w:pPr>
            <w:r>
              <w:rPr>
                <w:rFonts w:hint="default" w:ascii="Times New Roman" w:hAnsi="Times New Roman" w:cs="Times New Roman"/>
                <w:sz w:val="21"/>
                <w:szCs w:val="21"/>
              </w:rPr>
              <w:t>2495m</w:t>
            </w:r>
          </w:p>
        </w:tc>
        <w:tc>
          <w:tcPr>
            <w:tcW w:w="1314" w:type="pct"/>
            <w:vAlign w:val="center"/>
          </w:tcPr>
          <w:p w14:paraId="36DAA8FF">
            <w:pPr>
              <w:pStyle w:val="64"/>
              <w:rPr>
                <w:rFonts w:hint="default" w:ascii="Times New Roman" w:hAnsi="Times New Roman" w:cs="Times New Roman"/>
                <w:sz w:val="21"/>
                <w:szCs w:val="21"/>
              </w:rPr>
            </w:pPr>
            <w:r>
              <w:rPr>
                <w:rFonts w:hint="default" w:ascii="Times New Roman" w:hAnsi="Times New Roman" w:cs="Times New Roman"/>
                <w:sz w:val="21"/>
                <w:szCs w:val="21"/>
              </w:rPr>
              <w:t>最终境界</w:t>
            </w:r>
          </w:p>
        </w:tc>
      </w:tr>
      <w:tr w14:paraId="1D1BC0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29C4414E">
            <w:pPr>
              <w:pStyle w:val="64"/>
              <w:rPr>
                <w:rFonts w:hint="default" w:ascii="Times New Roman" w:hAnsi="Times New Roman" w:cs="Times New Roman"/>
                <w:sz w:val="21"/>
                <w:szCs w:val="21"/>
              </w:rPr>
            </w:pPr>
          </w:p>
        </w:tc>
        <w:tc>
          <w:tcPr>
            <w:tcW w:w="2046" w:type="pct"/>
            <w:vAlign w:val="center"/>
          </w:tcPr>
          <w:p w14:paraId="448E84D9">
            <w:pPr>
              <w:pStyle w:val="64"/>
              <w:rPr>
                <w:rFonts w:hint="default" w:ascii="Times New Roman" w:hAnsi="Times New Roman" w:cs="Times New Roman"/>
                <w:sz w:val="21"/>
                <w:szCs w:val="21"/>
              </w:rPr>
            </w:pPr>
            <w:r>
              <w:rPr>
                <w:rFonts w:hint="default" w:ascii="Times New Roman" w:hAnsi="Times New Roman" w:cs="Times New Roman"/>
                <w:sz w:val="21"/>
                <w:szCs w:val="21"/>
              </w:rPr>
              <w:t>最低台阶标高</w:t>
            </w:r>
          </w:p>
        </w:tc>
        <w:tc>
          <w:tcPr>
            <w:tcW w:w="772" w:type="pct"/>
            <w:vAlign w:val="center"/>
          </w:tcPr>
          <w:p w14:paraId="6A68485F">
            <w:pPr>
              <w:pStyle w:val="64"/>
              <w:rPr>
                <w:rFonts w:hint="default" w:ascii="Times New Roman" w:hAnsi="Times New Roman" w:cs="Times New Roman"/>
                <w:sz w:val="21"/>
                <w:szCs w:val="21"/>
              </w:rPr>
            </w:pPr>
            <w:r>
              <w:rPr>
                <w:rFonts w:hint="default" w:ascii="Times New Roman" w:hAnsi="Times New Roman" w:cs="Times New Roman"/>
                <w:sz w:val="21"/>
                <w:szCs w:val="21"/>
              </w:rPr>
              <w:t>2420m</w:t>
            </w:r>
          </w:p>
        </w:tc>
        <w:tc>
          <w:tcPr>
            <w:tcW w:w="1314" w:type="pct"/>
            <w:vAlign w:val="center"/>
          </w:tcPr>
          <w:p w14:paraId="532652C4">
            <w:pPr>
              <w:pStyle w:val="64"/>
              <w:rPr>
                <w:rFonts w:hint="default" w:ascii="Times New Roman" w:hAnsi="Times New Roman" w:cs="Times New Roman"/>
                <w:sz w:val="21"/>
                <w:szCs w:val="21"/>
              </w:rPr>
            </w:pPr>
            <w:r>
              <w:rPr>
                <w:rFonts w:hint="default" w:ascii="Times New Roman" w:hAnsi="Times New Roman" w:cs="Times New Roman"/>
                <w:sz w:val="21"/>
                <w:szCs w:val="21"/>
              </w:rPr>
              <w:t>最终境界</w:t>
            </w:r>
          </w:p>
        </w:tc>
      </w:tr>
      <w:tr w14:paraId="4717C1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6F330F79">
            <w:pPr>
              <w:pStyle w:val="64"/>
              <w:rPr>
                <w:rFonts w:hint="default" w:ascii="Times New Roman" w:hAnsi="Times New Roman" w:cs="Times New Roman"/>
                <w:sz w:val="21"/>
                <w:szCs w:val="21"/>
              </w:rPr>
            </w:pPr>
          </w:p>
        </w:tc>
        <w:tc>
          <w:tcPr>
            <w:tcW w:w="2046" w:type="pct"/>
            <w:vAlign w:val="center"/>
          </w:tcPr>
          <w:p w14:paraId="3C6390DF">
            <w:pPr>
              <w:pStyle w:val="64"/>
              <w:rPr>
                <w:rFonts w:hint="default" w:ascii="Times New Roman" w:hAnsi="Times New Roman" w:cs="Times New Roman"/>
                <w:sz w:val="21"/>
                <w:szCs w:val="21"/>
              </w:rPr>
            </w:pPr>
            <w:r>
              <w:rPr>
                <w:rFonts w:hint="default" w:ascii="Times New Roman" w:hAnsi="Times New Roman" w:cs="Times New Roman"/>
                <w:sz w:val="21"/>
                <w:szCs w:val="21"/>
              </w:rPr>
              <w:t>台阶数</w:t>
            </w:r>
          </w:p>
        </w:tc>
        <w:tc>
          <w:tcPr>
            <w:tcW w:w="772" w:type="pct"/>
            <w:vAlign w:val="center"/>
          </w:tcPr>
          <w:p w14:paraId="58F7F842">
            <w:pPr>
              <w:pStyle w:val="64"/>
              <w:rPr>
                <w:rFonts w:hint="default" w:ascii="Times New Roman" w:hAnsi="Times New Roman" w:cs="Times New Roman"/>
                <w:sz w:val="21"/>
                <w:szCs w:val="21"/>
              </w:rPr>
            </w:pPr>
            <w:r>
              <w:rPr>
                <w:rFonts w:hint="default" w:ascii="Times New Roman" w:hAnsi="Times New Roman" w:cs="Times New Roman"/>
                <w:sz w:val="21"/>
                <w:szCs w:val="21"/>
              </w:rPr>
              <w:t>7个</w:t>
            </w:r>
          </w:p>
        </w:tc>
        <w:tc>
          <w:tcPr>
            <w:tcW w:w="1314" w:type="pct"/>
            <w:vAlign w:val="center"/>
          </w:tcPr>
          <w:p w14:paraId="5B25CAE4">
            <w:pPr>
              <w:pStyle w:val="64"/>
              <w:rPr>
                <w:rFonts w:hint="default" w:ascii="Times New Roman" w:hAnsi="Times New Roman" w:cs="Times New Roman"/>
                <w:sz w:val="21"/>
                <w:szCs w:val="21"/>
              </w:rPr>
            </w:pPr>
          </w:p>
        </w:tc>
      </w:tr>
      <w:tr w14:paraId="182DE2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restart"/>
            <w:vAlign w:val="center"/>
          </w:tcPr>
          <w:p w14:paraId="3D6BBD25">
            <w:pPr>
              <w:pStyle w:val="64"/>
              <w:rPr>
                <w:rFonts w:hint="default" w:ascii="Times New Roman" w:hAnsi="Times New Roman" w:cs="Times New Roman"/>
                <w:sz w:val="21"/>
                <w:szCs w:val="21"/>
              </w:rPr>
            </w:pPr>
            <w:r>
              <w:rPr>
                <w:rFonts w:hint="default" w:ascii="Times New Roman" w:hAnsi="Times New Roman" w:cs="Times New Roman"/>
                <w:sz w:val="21"/>
                <w:szCs w:val="21"/>
              </w:rPr>
              <w:t>平台</w:t>
            </w:r>
          </w:p>
        </w:tc>
        <w:tc>
          <w:tcPr>
            <w:tcW w:w="2046" w:type="pct"/>
            <w:vAlign w:val="center"/>
          </w:tcPr>
          <w:p w14:paraId="592D03A6">
            <w:pPr>
              <w:pStyle w:val="64"/>
              <w:rPr>
                <w:rFonts w:hint="default" w:ascii="Times New Roman" w:hAnsi="Times New Roman" w:cs="Times New Roman"/>
                <w:sz w:val="21"/>
                <w:szCs w:val="21"/>
              </w:rPr>
            </w:pPr>
            <w:r>
              <w:rPr>
                <w:rFonts w:hint="default" w:ascii="Times New Roman" w:hAnsi="Times New Roman" w:cs="Times New Roman"/>
                <w:sz w:val="21"/>
                <w:szCs w:val="21"/>
              </w:rPr>
              <w:t>最小底部宽度</w:t>
            </w:r>
          </w:p>
        </w:tc>
        <w:tc>
          <w:tcPr>
            <w:tcW w:w="772" w:type="pct"/>
            <w:vAlign w:val="center"/>
          </w:tcPr>
          <w:p w14:paraId="4054C096">
            <w:pPr>
              <w:pStyle w:val="64"/>
              <w:rPr>
                <w:rFonts w:hint="default" w:ascii="Times New Roman" w:hAnsi="Times New Roman" w:cs="Times New Roman"/>
                <w:sz w:val="21"/>
                <w:szCs w:val="21"/>
              </w:rPr>
            </w:pPr>
            <w:r>
              <w:rPr>
                <w:rFonts w:hint="default" w:ascii="Times New Roman" w:hAnsi="Times New Roman" w:cs="Times New Roman"/>
                <w:sz w:val="21"/>
                <w:szCs w:val="21"/>
              </w:rPr>
              <w:t>≥60m</w:t>
            </w:r>
          </w:p>
        </w:tc>
        <w:tc>
          <w:tcPr>
            <w:tcW w:w="1314" w:type="pct"/>
            <w:vAlign w:val="center"/>
          </w:tcPr>
          <w:p w14:paraId="4E305FF3">
            <w:pPr>
              <w:pStyle w:val="64"/>
              <w:rPr>
                <w:rFonts w:hint="default" w:ascii="Times New Roman" w:hAnsi="Times New Roman" w:cs="Times New Roman"/>
                <w:sz w:val="21"/>
                <w:szCs w:val="21"/>
              </w:rPr>
            </w:pPr>
          </w:p>
        </w:tc>
      </w:tr>
      <w:tr w14:paraId="172D6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69BE77B2">
            <w:pPr>
              <w:pStyle w:val="64"/>
              <w:rPr>
                <w:rFonts w:hint="default" w:ascii="Times New Roman" w:hAnsi="Times New Roman" w:cs="Times New Roman"/>
                <w:sz w:val="21"/>
                <w:szCs w:val="21"/>
              </w:rPr>
            </w:pPr>
          </w:p>
        </w:tc>
        <w:tc>
          <w:tcPr>
            <w:tcW w:w="2046" w:type="pct"/>
            <w:vAlign w:val="center"/>
          </w:tcPr>
          <w:p w14:paraId="13379F39">
            <w:pPr>
              <w:pStyle w:val="64"/>
              <w:rPr>
                <w:rFonts w:hint="default" w:ascii="Times New Roman" w:hAnsi="Times New Roman" w:cs="Times New Roman"/>
                <w:sz w:val="21"/>
                <w:szCs w:val="21"/>
              </w:rPr>
            </w:pPr>
            <w:r>
              <w:rPr>
                <w:rFonts w:hint="default" w:ascii="Times New Roman" w:hAnsi="Times New Roman" w:cs="Times New Roman"/>
                <w:sz w:val="21"/>
                <w:szCs w:val="21"/>
              </w:rPr>
              <w:t>正常生产时最小工作平台宽度</w:t>
            </w:r>
          </w:p>
        </w:tc>
        <w:tc>
          <w:tcPr>
            <w:tcW w:w="772" w:type="pct"/>
            <w:vAlign w:val="center"/>
          </w:tcPr>
          <w:p w14:paraId="2EF8E77A">
            <w:pPr>
              <w:pStyle w:val="64"/>
              <w:rPr>
                <w:rFonts w:hint="default" w:ascii="Times New Roman" w:hAnsi="Times New Roman" w:cs="Times New Roman"/>
                <w:sz w:val="21"/>
                <w:szCs w:val="21"/>
              </w:rPr>
            </w:pPr>
            <w:r>
              <w:rPr>
                <w:rFonts w:hint="default" w:ascii="Times New Roman" w:hAnsi="Times New Roman" w:cs="Times New Roman"/>
                <w:sz w:val="21"/>
                <w:szCs w:val="21"/>
              </w:rPr>
              <w:t>25m</w:t>
            </w:r>
          </w:p>
        </w:tc>
        <w:tc>
          <w:tcPr>
            <w:tcW w:w="1314" w:type="pct"/>
            <w:vAlign w:val="center"/>
          </w:tcPr>
          <w:p w14:paraId="6BC7D95E">
            <w:pPr>
              <w:pStyle w:val="64"/>
              <w:rPr>
                <w:rFonts w:hint="default" w:ascii="Times New Roman" w:hAnsi="Times New Roman" w:cs="Times New Roman"/>
                <w:sz w:val="21"/>
                <w:szCs w:val="21"/>
              </w:rPr>
            </w:pPr>
          </w:p>
        </w:tc>
      </w:tr>
      <w:tr w14:paraId="56D90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0B6F6DCB">
            <w:pPr>
              <w:pStyle w:val="64"/>
              <w:rPr>
                <w:rFonts w:hint="default" w:ascii="Times New Roman" w:hAnsi="Times New Roman" w:cs="Times New Roman"/>
                <w:sz w:val="21"/>
                <w:szCs w:val="21"/>
              </w:rPr>
            </w:pPr>
          </w:p>
        </w:tc>
        <w:tc>
          <w:tcPr>
            <w:tcW w:w="2046" w:type="pct"/>
            <w:vAlign w:val="center"/>
          </w:tcPr>
          <w:p w14:paraId="7E8E0F04">
            <w:pPr>
              <w:pStyle w:val="64"/>
              <w:rPr>
                <w:rFonts w:hint="default" w:ascii="Times New Roman" w:hAnsi="Times New Roman" w:cs="Times New Roman"/>
                <w:sz w:val="21"/>
                <w:szCs w:val="21"/>
              </w:rPr>
            </w:pPr>
            <w:r>
              <w:rPr>
                <w:rFonts w:hint="default" w:ascii="Times New Roman" w:hAnsi="Times New Roman" w:cs="Times New Roman"/>
                <w:sz w:val="21"/>
                <w:szCs w:val="21"/>
              </w:rPr>
              <w:t>安全平台宽度</w:t>
            </w:r>
          </w:p>
        </w:tc>
        <w:tc>
          <w:tcPr>
            <w:tcW w:w="772" w:type="pct"/>
            <w:vAlign w:val="center"/>
          </w:tcPr>
          <w:p w14:paraId="74DB41E8">
            <w:pPr>
              <w:pStyle w:val="64"/>
              <w:rPr>
                <w:rFonts w:hint="default" w:ascii="Times New Roman" w:hAnsi="Times New Roman" w:cs="Times New Roman"/>
                <w:sz w:val="21"/>
                <w:szCs w:val="21"/>
              </w:rPr>
            </w:pPr>
            <w:r>
              <w:rPr>
                <w:rFonts w:hint="default" w:ascii="Times New Roman" w:hAnsi="Times New Roman" w:cs="Times New Roman"/>
                <w:sz w:val="21"/>
                <w:szCs w:val="21"/>
              </w:rPr>
              <w:t>5m</w:t>
            </w:r>
          </w:p>
        </w:tc>
        <w:tc>
          <w:tcPr>
            <w:tcW w:w="1314" w:type="pct"/>
            <w:vMerge w:val="restart"/>
            <w:vAlign w:val="center"/>
          </w:tcPr>
          <w:p w14:paraId="076BFE6B">
            <w:pPr>
              <w:pStyle w:val="64"/>
              <w:rPr>
                <w:rFonts w:hint="default" w:ascii="Times New Roman" w:hAnsi="Times New Roman" w:cs="Times New Roman"/>
                <w:sz w:val="21"/>
                <w:szCs w:val="21"/>
              </w:rPr>
            </w:pPr>
            <w:r>
              <w:rPr>
                <w:rFonts w:hint="default" w:ascii="Times New Roman" w:hAnsi="Times New Roman" w:cs="Times New Roman"/>
                <w:sz w:val="21"/>
                <w:szCs w:val="21"/>
              </w:rPr>
              <w:t>间隔2个安全平台</w:t>
            </w:r>
          </w:p>
          <w:p w14:paraId="6A825FE3">
            <w:pPr>
              <w:pStyle w:val="64"/>
              <w:rPr>
                <w:rFonts w:hint="default" w:ascii="Times New Roman" w:hAnsi="Times New Roman" w:cs="Times New Roman"/>
                <w:sz w:val="21"/>
                <w:szCs w:val="21"/>
              </w:rPr>
            </w:pPr>
            <w:r>
              <w:rPr>
                <w:rFonts w:hint="default" w:ascii="Times New Roman" w:hAnsi="Times New Roman" w:cs="Times New Roman"/>
                <w:sz w:val="21"/>
                <w:szCs w:val="21"/>
              </w:rPr>
              <w:t>设置1个清扫平台</w:t>
            </w:r>
          </w:p>
        </w:tc>
      </w:tr>
      <w:tr w14:paraId="17286D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08DDC199">
            <w:pPr>
              <w:pStyle w:val="64"/>
              <w:rPr>
                <w:rFonts w:hint="default" w:ascii="Times New Roman" w:hAnsi="Times New Roman" w:cs="Times New Roman"/>
                <w:sz w:val="21"/>
                <w:szCs w:val="21"/>
              </w:rPr>
            </w:pPr>
          </w:p>
        </w:tc>
        <w:tc>
          <w:tcPr>
            <w:tcW w:w="2046" w:type="pct"/>
            <w:vAlign w:val="center"/>
          </w:tcPr>
          <w:p w14:paraId="6E677031">
            <w:pPr>
              <w:pStyle w:val="64"/>
              <w:rPr>
                <w:rFonts w:hint="default" w:ascii="Times New Roman" w:hAnsi="Times New Roman" w:cs="Times New Roman"/>
                <w:sz w:val="21"/>
                <w:szCs w:val="21"/>
              </w:rPr>
            </w:pPr>
            <w:r>
              <w:rPr>
                <w:rFonts w:hint="default" w:ascii="Times New Roman" w:hAnsi="Times New Roman" w:cs="Times New Roman"/>
                <w:sz w:val="21"/>
                <w:szCs w:val="21"/>
              </w:rPr>
              <w:t>清扫平台宽度</w:t>
            </w:r>
          </w:p>
        </w:tc>
        <w:tc>
          <w:tcPr>
            <w:tcW w:w="772" w:type="pct"/>
            <w:vAlign w:val="center"/>
          </w:tcPr>
          <w:p w14:paraId="038074F0">
            <w:pPr>
              <w:pStyle w:val="64"/>
              <w:rPr>
                <w:rFonts w:hint="default" w:ascii="Times New Roman" w:hAnsi="Times New Roman" w:cs="Times New Roman"/>
                <w:sz w:val="21"/>
                <w:szCs w:val="21"/>
              </w:rPr>
            </w:pPr>
            <w:r>
              <w:rPr>
                <w:rFonts w:hint="default" w:ascii="Times New Roman" w:hAnsi="Times New Roman" w:cs="Times New Roman"/>
                <w:sz w:val="21"/>
                <w:szCs w:val="21"/>
              </w:rPr>
              <w:t>8m</w:t>
            </w:r>
          </w:p>
        </w:tc>
        <w:tc>
          <w:tcPr>
            <w:tcW w:w="1314" w:type="pct"/>
            <w:vMerge w:val="continue"/>
            <w:vAlign w:val="center"/>
          </w:tcPr>
          <w:p w14:paraId="03DE4CF0">
            <w:pPr>
              <w:pStyle w:val="64"/>
              <w:rPr>
                <w:rFonts w:hint="default" w:ascii="Times New Roman" w:hAnsi="Times New Roman" w:cs="Times New Roman"/>
                <w:sz w:val="21"/>
                <w:szCs w:val="21"/>
              </w:rPr>
            </w:pPr>
          </w:p>
        </w:tc>
      </w:tr>
      <w:tr w14:paraId="7514B2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restart"/>
            <w:vAlign w:val="center"/>
          </w:tcPr>
          <w:p w14:paraId="000DE9BF">
            <w:pPr>
              <w:pStyle w:val="64"/>
              <w:rPr>
                <w:rFonts w:hint="default" w:ascii="Times New Roman" w:hAnsi="Times New Roman" w:cs="Times New Roman"/>
                <w:sz w:val="21"/>
                <w:szCs w:val="21"/>
              </w:rPr>
            </w:pPr>
            <w:r>
              <w:rPr>
                <w:rFonts w:hint="default" w:ascii="Times New Roman" w:hAnsi="Times New Roman" w:cs="Times New Roman"/>
                <w:sz w:val="21"/>
                <w:szCs w:val="21"/>
              </w:rPr>
              <w:t>台阶</w:t>
            </w:r>
          </w:p>
          <w:p w14:paraId="45EE2B54">
            <w:pPr>
              <w:pStyle w:val="64"/>
              <w:rPr>
                <w:rFonts w:hint="default" w:ascii="Times New Roman" w:hAnsi="Times New Roman" w:cs="Times New Roman"/>
                <w:sz w:val="21"/>
                <w:szCs w:val="21"/>
              </w:rPr>
            </w:pPr>
            <w:r>
              <w:rPr>
                <w:rFonts w:hint="default" w:ascii="Times New Roman" w:hAnsi="Times New Roman" w:cs="Times New Roman"/>
                <w:sz w:val="21"/>
                <w:szCs w:val="21"/>
              </w:rPr>
              <w:t>坡面角</w:t>
            </w:r>
          </w:p>
        </w:tc>
        <w:tc>
          <w:tcPr>
            <w:tcW w:w="2046" w:type="pct"/>
            <w:vAlign w:val="center"/>
          </w:tcPr>
          <w:p w14:paraId="18CA59EC">
            <w:pPr>
              <w:pStyle w:val="64"/>
              <w:rPr>
                <w:rFonts w:hint="default" w:ascii="Times New Roman" w:hAnsi="Times New Roman" w:cs="Times New Roman"/>
                <w:sz w:val="21"/>
                <w:szCs w:val="21"/>
              </w:rPr>
            </w:pPr>
            <w:r>
              <w:rPr>
                <w:rFonts w:hint="default" w:ascii="Times New Roman" w:hAnsi="Times New Roman" w:cs="Times New Roman"/>
                <w:sz w:val="21"/>
                <w:szCs w:val="21"/>
              </w:rPr>
              <w:t>工作台阶坡面角</w:t>
            </w:r>
          </w:p>
        </w:tc>
        <w:tc>
          <w:tcPr>
            <w:tcW w:w="772" w:type="pct"/>
            <w:vAlign w:val="center"/>
          </w:tcPr>
          <w:p w14:paraId="5BB069B7">
            <w:pPr>
              <w:pStyle w:val="64"/>
              <w:rPr>
                <w:rFonts w:hint="default" w:ascii="Times New Roman" w:hAnsi="Times New Roman" w:cs="Times New Roman"/>
                <w:sz w:val="21"/>
                <w:szCs w:val="21"/>
              </w:rPr>
            </w:pPr>
            <w:r>
              <w:rPr>
                <w:rFonts w:hint="default" w:ascii="Times New Roman" w:hAnsi="Times New Roman" w:cs="Times New Roman"/>
                <w:sz w:val="21"/>
                <w:szCs w:val="21"/>
              </w:rPr>
              <w:t>90°</w:t>
            </w:r>
          </w:p>
        </w:tc>
        <w:tc>
          <w:tcPr>
            <w:tcW w:w="1314" w:type="pct"/>
            <w:vAlign w:val="center"/>
          </w:tcPr>
          <w:p w14:paraId="6F8B4356">
            <w:pPr>
              <w:pStyle w:val="64"/>
              <w:rPr>
                <w:rFonts w:hint="default" w:ascii="Times New Roman" w:hAnsi="Times New Roman" w:cs="Times New Roman"/>
                <w:sz w:val="21"/>
                <w:szCs w:val="21"/>
              </w:rPr>
            </w:pPr>
          </w:p>
        </w:tc>
      </w:tr>
      <w:tr w14:paraId="249089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611D6B84">
            <w:pPr>
              <w:pStyle w:val="64"/>
              <w:rPr>
                <w:rFonts w:hint="default" w:ascii="Times New Roman" w:hAnsi="Times New Roman" w:cs="Times New Roman"/>
                <w:sz w:val="21"/>
                <w:szCs w:val="21"/>
              </w:rPr>
            </w:pPr>
          </w:p>
        </w:tc>
        <w:tc>
          <w:tcPr>
            <w:tcW w:w="2046" w:type="pct"/>
            <w:vAlign w:val="center"/>
          </w:tcPr>
          <w:p w14:paraId="52B53C3B">
            <w:pPr>
              <w:pStyle w:val="64"/>
              <w:rPr>
                <w:rFonts w:hint="default" w:ascii="Times New Roman" w:hAnsi="Times New Roman" w:cs="Times New Roman"/>
                <w:sz w:val="21"/>
                <w:szCs w:val="21"/>
              </w:rPr>
            </w:pPr>
            <w:r>
              <w:rPr>
                <w:rFonts w:hint="default" w:ascii="Times New Roman" w:hAnsi="Times New Roman" w:cs="Times New Roman"/>
                <w:sz w:val="21"/>
                <w:szCs w:val="21"/>
              </w:rPr>
              <w:t>最终边坡台阶坡面角</w:t>
            </w:r>
          </w:p>
        </w:tc>
        <w:tc>
          <w:tcPr>
            <w:tcW w:w="772" w:type="pct"/>
            <w:vAlign w:val="center"/>
          </w:tcPr>
          <w:p w14:paraId="447FBFED">
            <w:pPr>
              <w:pStyle w:val="64"/>
              <w:rPr>
                <w:rFonts w:hint="default" w:ascii="Times New Roman" w:hAnsi="Times New Roman" w:cs="Times New Roman"/>
                <w:sz w:val="21"/>
                <w:szCs w:val="21"/>
              </w:rPr>
            </w:pPr>
            <w:r>
              <w:rPr>
                <w:rFonts w:hint="default" w:ascii="Times New Roman" w:hAnsi="Times New Roman" w:cs="Times New Roman"/>
                <w:sz w:val="21"/>
                <w:szCs w:val="21"/>
              </w:rPr>
              <w:t>60°</w:t>
            </w:r>
          </w:p>
        </w:tc>
        <w:tc>
          <w:tcPr>
            <w:tcW w:w="1314" w:type="pct"/>
            <w:vAlign w:val="center"/>
          </w:tcPr>
          <w:p w14:paraId="59E65139">
            <w:pPr>
              <w:pStyle w:val="64"/>
              <w:rPr>
                <w:rFonts w:hint="default" w:ascii="Times New Roman" w:hAnsi="Times New Roman" w:cs="Times New Roman"/>
                <w:sz w:val="21"/>
                <w:szCs w:val="21"/>
              </w:rPr>
            </w:pPr>
          </w:p>
        </w:tc>
      </w:tr>
      <w:tr w14:paraId="25C39D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restart"/>
            <w:vAlign w:val="center"/>
          </w:tcPr>
          <w:p w14:paraId="3682FAB5">
            <w:pPr>
              <w:pStyle w:val="64"/>
              <w:rPr>
                <w:rFonts w:hint="default" w:ascii="Times New Roman" w:hAnsi="Times New Roman" w:cs="Times New Roman"/>
                <w:sz w:val="21"/>
                <w:szCs w:val="21"/>
              </w:rPr>
            </w:pPr>
            <w:r>
              <w:rPr>
                <w:rFonts w:hint="default" w:ascii="Times New Roman" w:hAnsi="Times New Roman" w:cs="Times New Roman"/>
                <w:sz w:val="21"/>
                <w:szCs w:val="21"/>
              </w:rPr>
              <w:t>最终边坡角</w:t>
            </w:r>
          </w:p>
        </w:tc>
        <w:tc>
          <w:tcPr>
            <w:tcW w:w="2046" w:type="pct"/>
            <w:vAlign w:val="center"/>
          </w:tcPr>
          <w:p w14:paraId="7E61C8A0">
            <w:pPr>
              <w:pStyle w:val="64"/>
              <w:rPr>
                <w:rFonts w:hint="default" w:ascii="Times New Roman" w:hAnsi="Times New Roman" w:cs="Times New Roman"/>
                <w:sz w:val="21"/>
                <w:szCs w:val="21"/>
              </w:rPr>
            </w:pPr>
            <w:r>
              <w:rPr>
                <w:rFonts w:hint="default" w:ascii="Times New Roman" w:hAnsi="Times New Roman" w:cs="Times New Roman"/>
                <w:sz w:val="21"/>
                <w:szCs w:val="21"/>
              </w:rPr>
              <w:t>西侧</w:t>
            </w:r>
          </w:p>
        </w:tc>
        <w:tc>
          <w:tcPr>
            <w:tcW w:w="772" w:type="pct"/>
            <w:vAlign w:val="center"/>
          </w:tcPr>
          <w:p w14:paraId="692A0DC1">
            <w:pPr>
              <w:pStyle w:val="64"/>
              <w:rPr>
                <w:rFonts w:hint="default" w:ascii="Times New Roman" w:hAnsi="Times New Roman" w:cs="Times New Roman"/>
                <w:sz w:val="21"/>
                <w:szCs w:val="21"/>
              </w:rPr>
            </w:pPr>
            <w:r>
              <w:rPr>
                <w:rFonts w:hint="default" w:ascii="Times New Roman" w:hAnsi="Times New Roman" w:cs="Times New Roman"/>
                <w:sz w:val="21"/>
                <w:szCs w:val="21"/>
              </w:rPr>
              <w:t>48°</w:t>
            </w:r>
          </w:p>
        </w:tc>
        <w:tc>
          <w:tcPr>
            <w:tcW w:w="1314" w:type="pct"/>
            <w:vAlign w:val="center"/>
          </w:tcPr>
          <w:p w14:paraId="6CD0FE31">
            <w:pPr>
              <w:pStyle w:val="64"/>
              <w:rPr>
                <w:rFonts w:hint="default" w:ascii="Times New Roman" w:hAnsi="Times New Roman" w:cs="Times New Roman"/>
                <w:sz w:val="21"/>
                <w:szCs w:val="21"/>
              </w:rPr>
            </w:pPr>
            <w:r>
              <w:rPr>
                <w:rFonts w:hint="default" w:ascii="Times New Roman" w:hAnsi="Times New Roman" w:cs="Times New Roman"/>
                <w:sz w:val="21"/>
                <w:szCs w:val="21"/>
              </w:rPr>
              <w:t>边坡最高高度75m</w:t>
            </w:r>
          </w:p>
        </w:tc>
      </w:tr>
      <w:tr w14:paraId="5E3355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7B42822E">
            <w:pPr>
              <w:pStyle w:val="64"/>
              <w:rPr>
                <w:rFonts w:hint="default" w:ascii="Times New Roman" w:hAnsi="Times New Roman" w:cs="Times New Roman"/>
                <w:sz w:val="21"/>
                <w:szCs w:val="21"/>
              </w:rPr>
            </w:pPr>
          </w:p>
        </w:tc>
        <w:tc>
          <w:tcPr>
            <w:tcW w:w="2046" w:type="pct"/>
            <w:vAlign w:val="center"/>
          </w:tcPr>
          <w:p w14:paraId="5B465430">
            <w:pPr>
              <w:pStyle w:val="64"/>
              <w:rPr>
                <w:rFonts w:hint="default" w:ascii="Times New Roman" w:hAnsi="Times New Roman" w:cs="Times New Roman"/>
                <w:sz w:val="21"/>
                <w:szCs w:val="21"/>
              </w:rPr>
            </w:pPr>
            <w:r>
              <w:rPr>
                <w:rFonts w:hint="default" w:ascii="Times New Roman" w:hAnsi="Times New Roman" w:cs="Times New Roman"/>
                <w:sz w:val="21"/>
                <w:szCs w:val="21"/>
              </w:rPr>
              <w:t>北侧</w:t>
            </w:r>
          </w:p>
        </w:tc>
        <w:tc>
          <w:tcPr>
            <w:tcW w:w="772" w:type="pct"/>
            <w:vAlign w:val="center"/>
          </w:tcPr>
          <w:p w14:paraId="1E922C83">
            <w:pPr>
              <w:pStyle w:val="64"/>
              <w:rPr>
                <w:rFonts w:hint="default" w:ascii="Times New Roman" w:hAnsi="Times New Roman" w:cs="Times New Roman"/>
                <w:sz w:val="21"/>
                <w:szCs w:val="21"/>
              </w:rPr>
            </w:pPr>
            <w:r>
              <w:rPr>
                <w:rFonts w:hint="default" w:ascii="Times New Roman" w:hAnsi="Times New Roman" w:cs="Times New Roman"/>
                <w:sz w:val="21"/>
                <w:szCs w:val="21"/>
              </w:rPr>
              <w:t>47°</w:t>
            </w:r>
          </w:p>
        </w:tc>
        <w:tc>
          <w:tcPr>
            <w:tcW w:w="1314" w:type="pct"/>
            <w:vAlign w:val="center"/>
          </w:tcPr>
          <w:p w14:paraId="340A2B8E">
            <w:pPr>
              <w:pStyle w:val="64"/>
              <w:rPr>
                <w:rFonts w:hint="default" w:ascii="Times New Roman" w:hAnsi="Times New Roman" w:cs="Times New Roman"/>
                <w:sz w:val="21"/>
                <w:szCs w:val="21"/>
              </w:rPr>
            </w:pPr>
            <w:r>
              <w:rPr>
                <w:rFonts w:hint="default" w:ascii="Times New Roman" w:hAnsi="Times New Roman" w:cs="Times New Roman"/>
                <w:sz w:val="21"/>
                <w:szCs w:val="21"/>
              </w:rPr>
              <w:t>边坡最高高度82m</w:t>
            </w:r>
          </w:p>
        </w:tc>
      </w:tr>
      <w:tr w14:paraId="1376EA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868" w:type="pct"/>
            <w:vMerge w:val="continue"/>
            <w:vAlign w:val="center"/>
          </w:tcPr>
          <w:p w14:paraId="04AC2752">
            <w:pPr>
              <w:pStyle w:val="64"/>
              <w:rPr>
                <w:rFonts w:hint="default" w:ascii="Times New Roman" w:hAnsi="Times New Roman" w:cs="Times New Roman"/>
                <w:sz w:val="21"/>
                <w:szCs w:val="21"/>
              </w:rPr>
            </w:pPr>
          </w:p>
        </w:tc>
        <w:tc>
          <w:tcPr>
            <w:tcW w:w="2046" w:type="pct"/>
            <w:vAlign w:val="center"/>
          </w:tcPr>
          <w:p w14:paraId="32EAA612">
            <w:pPr>
              <w:pStyle w:val="64"/>
              <w:rPr>
                <w:rFonts w:hint="default" w:ascii="Times New Roman" w:hAnsi="Times New Roman" w:cs="Times New Roman"/>
                <w:sz w:val="21"/>
                <w:szCs w:val="21"/>
              </w:rPr>
            </w:pPr>
            <w:r>
              <w:rPr>
                <w:rFonts w:hint="default" w:ascii="Times New Roman" w:hAnsi="Times New Roman" w:cs="Times New Roman"/>
                <w:sz w:val="21"/>
                <w:szCs w:val="21"/>
              </w:rPr>
              <w:t>东侧</w:t>
            </w:r>
          </w:p>
        </w:tc>
        <w:tc>
          <w:tcPr>
            <w:tcW w:w="772" w:type="pct"/>
            <w:vAlign w:val="center"/>
          </w:tcPr>
          <w:p w14:paraId="25EED096">
            <w:pPr>
              <w:pStyle w:val="64"/>
              <w:rPr>
                <w:rFonts w:hint="default" w:ascii="Times New Roman" w:hAnsi="Times New Roman" w:cs="Times New Roman"/>
                <w:sz w:val="21"/>
                <w:szCs w:val="21"/>
              </w:rPr>
            </w:pPr>
            <w:r>
              <w:rPr>
                <w:rFonts w:hint="default" w:ascii="Times New Roman" w:hAnsi="Times New Roman" w:cs="Times New Roman"/>
                <w:sz w:val="21"/>
                <w:szCs w:val="21"/>
              </w:rPr>
              <w:t>47°</w:t>
            </w:r>
          </w:p>
        </w:tc>
        <w:tc>
          <w:tcPr>
            <w:tcW w:w="1314" w:type="pct"/>
            <w:vAlign w:val="center"/>
          </w:tcPr>
          <w:p w14:paraId="536BE430">
            <w:pPr>
              <w:pStyle w:val="64"/>
              <w:rPr>
                <w:rFonts w:hint="default" w:ascii="Times New Roman" w:hAnsi="Times New Roman" w:cs="Times New Roman"/>
                <w:sz w:val="21"/>
                <w:szCs w:val="21"/>
              </w:rPr>
            </w:pPr>
            <w:r>
              <w:rPr>
                <w:rFonts w:hint="default" w:ascii="Times New Roman" w:hAnsi="Times New Roman" w:cs="Times New Roman"/>
                <w:sz w:val="21"/>
                <w:szCs w:val="21"/>
              </w:rPr>
              <w:t>边坡最高高度52m</w:t>
            </w:r>
          </w:p>
        </w:tc>
      </w:tr>
      <w:bookmarkEnd w:id="131"/>
    </w:tbl>
    <w:p w14:paraId="62575313">
      <w:pPr>
        <w:pStyle w:val="5"/>
        <w:pageBreakBefore w:val="0"/>
        <w:kinsoku/>
        <w:wordWrap/>
        <w:bidi w:val="0"/>
        <w:adjustRightInd w:val="0"/>
        <w:snapToGrid w:val="0"/>
        <w:spacing w:before="312" w:beforeLines="100"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2.4.6.2 露天采场台阶参数</w:t>
      </w:r>
    </w:p>
    <w:p w14:paraId="54C250E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根据该矿山实际情况及矿体赋存特点，并参照类似矿山开采的经验，根据矿山生产规模</w:t>
      </w:r>
      <w:r>
        <w:rPr>
          <w:rFonts w:hint="default" w:ascii="Times New Roman" w:hAnsi="Times New Roman" w:eastAsia="宋体" w:cs="Times New Roman"/>
          <w:color w:val="000000" w:themeColor="text1"/>
          <w:sz w:val="28"/>
          <w:szCs w:val="28"/>
          <w14:textFill>
            <w14:solidFill>
              <w14:schemeClr w14:val="tx1"/>
            </w14:solidFill>
          </w14:textFill>
        </w:rPr>
        <w:t>80</w:t>
      </w:r>
      <w:r>
        <w:rPr>
          <w:rFonts w:hint="default" w:ascii="Times New Roman" w:hAnsi="Times New Roman" w:eastAsia="宋体" w:cs="Times New Roman"/>
          <w:color w:val="000000" w:themeColor="text1"/>
          <w:sz w:val="28"/>
          <w:szCs w:val="28"/>
          <w:lang w:val="en-GB"/>
          <w14:textFill>
            <w14:solidFill>
              <w14:schemeClr w14:val="tx1"/>
            </w14:solidFill>
          </w14:textFill>
        </w:rPr>
        <w:t>.00万t/a，以及提高生产效率，露天开采采场台阶参数选择如下：</w:t>
      </w:r>
    </w:p>
    <w:p w14:paraId="33CE51F5">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lang w:bidi="ar"/>
        </w:rPr>
      </w:pPr>
      <w:bookmarkStart w:id="132" w:name="_Hlk85639682"/>
      <w:r>
        <w:rPr>
          <w:rFonts w:hint="default" w:ascii="Times New Roman" w:hAnsi="Times New Roman" w:eastAsia="宋体" w:cs="Times New Roman"/>
          <w:bCs/>
          <w:sz w:val="28"/>
          <w:szCs w:val="28"/>
          <w:lang w:bidi="ar"/>
        </w:rPr>
        <w:t>（1）台阶高度：15m；</w:t>
      </w:r>
    </w:p>
    <w:p w14:paraId="45D3B1EE">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lang w:bidi="ar"/>
        </w:rPr>
      </w:pPr>
      <w:r>
        <w:rPr>
          <w:rFonts w:hint="default" w:ascii="Times New Roman" w:hAnsi="Times New Roman" w:eastAsia="宋体" w:cs="Times New Roman"/>
          <w:bCs/>
          <w:sz w:val="28"/>
          <w:szCs w:val="28"/>
          <w:lang w:bidi="ar"/>
        </w:rPr>
        <w:t>（</w:t>
      </w:r>
      <w:r>
        <w:rPr>
          <w:rFonts w:hint="default" w:ascii="Times New Roman" w:hAnsi="Times New Roman" w:eastAsia="宋体" w:cs="Times New Roman"/>
          <w:sz w:val="28"/>
          <w:szCs w:val="28"/>
          <w:lang w:bidi="ar"/>
        </w:rPr>
        <w:t>2）工作台阶坡面角：</w:t>
      </w:r>
      <w:r>
        <w:rPr>
          <w:rFonts w:hint="default" w:ascii="Times New Roman" w:hAnsi="Times New Roman" w:eastAsia="宋体" w:cs="Times New Roman"/>
          <w:sz w:val="28"/>
          <w:szCs w:val="28"/>
          <w:lang w:val="en-US" w:eastAsia="zh-CN" w:bidi="ar"/>
        </w:rPr>
        <w:t>90</w:t>
      </w:r>
      <w:r>
        <w:rPr>
          <w:rFonts w:hint="default" w:ascii="Times New Roman" w:hAnsi="Times New Roman" w:eastAsia="宋体" w:cs="Times New Roman"/>
          <w:sz w:val="28"/>
          <w:szCs w:val="28"/>
          <w:lang w:bidi="ar"/>
        </w:rPr>
        <w:t>°</w:t>
      </w:r>
      <w:r>
        <w:rPr>
          <w:rFonts w:hint="default" w:ascii="Times New Roman" w:hAnsi="Times New Roman" w:eastAsia="宋体" w:cs="Times New Roman"/>
          <w:bCs/>
          <w:sz w:val="28"/>
          <w:szCs w:val="28"/>
          <w:lang w:bidi="ar"/>
        </w:rPr>
        <w:t>；</w:t>
      </w:r>
    </w:p>
    <w:p w14:paraId="4F32B71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bidi="ar"/>
        </w:rPr>
      </w:pPr>
      <w:r>
        <w:rPr>
          <w:rFonts w:hint="default" w:ascii="Times New Roman" w:hAnsi="Times New Roman" w:eastAsia="宋体" w:cs="Times New Roman"/>
          <w:bCs/>
          <w:sz w:val="28"/>
          <w:szCs w:val="28"/>
          <w:lang w:bidi="ar"/>
        </w:rPr>
        <w:t>（</w:t>
      </w:r>
      <w:r>
        <w:rPr>
          <w:rFonts w:hint="default" w:ascii="Times New Roman" w:hAnsi="Times New Roman" w:eastAsia="宋体" w:cs="Times New Roman"/>
          <w:sz w:val="28"/>
          <w:szCs w:val="28"/>
          <w:lang w:bidi="ar"/>
        </w:rPr>
        <w:t>3）靠帮台阶坡面角：60°；</w:t>
      </w:r>
    </w:p>
    <w:p w14:paraId="199852FC">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lang w:bidi="ar"/>
        </w:rPr>
        <w:t>（</w:t>
      </w:r>
      <w:r>
        <w:rPr>
          <w:rFonts w:hint="default" w:ascii="Times New Roman" w:hAnsi="Times New Roman" w:eastAsia="宋体" w:cs="Times New Roman"/>
          <w:sz w:val="28"/>
          <w:szCs w:val="28"/>
          <w:lang w:bidi="ar"/>
        </w:rPr>
        <w:t>4）最终帮坡角：</w:t>
      </w:r>
      <w:r>
        <w:rPr>
          <w:rFonts w:hint="default" w:ascii="Times New Roman" w:hAnsi="Times New Roman" w:eastAsia="宋体" w:cs="Times New Roman"/>
          <w:bCs/>
          <w:sz w:val="28"/>
          <w:szCs w:val="28"/>
          <w:lang w:bidi="ar"/>
        </w:rPr>
        <w:t>48°；</w:t>
      </w:r>
    </w:p>
    <w:p w14:paraId="6903A399">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lang w:bidi="ar"/>
        </w:rPr>
        <w:t>（5）最小工作平台宽度：</w:t>
      </w:r>
      <w:r>
        <w:rPr>
          <w:rFonts w:hint="default" w:ascii="Times New Roman" w:hAnsi="Times New Roman" w:eastAsia="宋体" w:cs="Times New Roman"/>
          <w:bCs/>
          <w:sz w:val="28"/>
          <w:szCs w:val="28"/>
          <w:lang w:val="en-US" w:eastAsia="zh-CN" w:bidi="ar"/>
        </w:rPr>
        <w:t>25</w:t>
      </w:r>
      <w:r>
        <w:rPr>
          <w:rFonts w:hint="default" w:ascii="Times New Roman" w:hAnsi="Times New Roman" w:eastAsia="宋体" w:cs="Times New Roman"/>
          <w:bCs/>
          <w:sz w:val="28"/>
          <w:szCs w:val="28"/>
          <w:lang w:bidi="ar"/>
        </w:rPr>
        <w:t>m；</w:t>
      </w:r>
    </w:p>
    <w:p w14:paraId="16FCFCD8">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lang w:bidi="ar"/>
        </w:rPr>
        <w:t>（6）最小工作线长度：</w:t>
      </w:r>
      <w:r>
        <w:rPr>
          <w:rFonts w:hint="default" w:ascii="Times New Roman" w:hAnsi="Times New Roman" w:eastAsia="宋体" w:cs="Times New Roman"/>
          <w:bCs/>
          <w:sz w:val="28"/>
          <w:szCs w:val="28"/>
          <w:lang w:val="en-US" w:eastAsia="zh-CN" w:bidi="ar"/>
        </w:rPr>
        <w:t>60</w:t>
      </w:r>
      <w:r>
        <w:rPr>
          <w:rFonts w:hint="default" w:ascii="Times New Roman" w:hAnsi="Times New Roman" w:eastAsia="宋体" w:cs="Times New Roman"/>
          <w:bCs/>
          <w:sz w:val="28"/>
          <w:szCs w:val="28"/>
          <w:lang w:bidi="ar"/>
        </w:rPr>
        <w:t>m；</w:t>
      </w:r>
    </w:p>
    <w:p w14:paraId="6B31FAD2">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lang w:bidi="ar"/>
        </w:rPr>
        <w:t>（7）安全平台宽度：5m；</w:t>
      </w:r>
    </w:p>
    <w:p w14:paraId="6457525B">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lang w:eastAsia="zh-CN" w:bidi="ar"/>
        </w:rPr>
      </w:pPr>
      <w:r>
        <w:rPr>
          <w:rFonts w:hint="default" w:ascii="Times New Roman" w:hAnsi="Times New Roman" w:eastAsia="宋体" w:cs="Times New Roman"/>
          <w:bCs/>
          <w:sz w:val="28"/>
          <w:szCs w:val="28"/>
          <w:lang w:bidi="ar"/>
        </w:rPr>
        <w:t>（8）清扫平台宽度：8m</w:t>
      </w:r>
      <w:r>
        <w:rPr>
          <w:rFonts w:hint="default" w:ascii="Times New Roman" w:hAnsi="Times New Roman" w:eastAsia="宋体" w:cs="Times New Roman"/>
          <w:bCs/>
          <w:sz w:val="28"/>
          <w:szCs w:val="28"/>
          <w:lang w:eastAsia="zh-CN" w:bidi="ar"/>
        </w:rPr>
        <w:t>；</w:t>
      </w:r>
    </w:p>
    <w:p w14:paraId="058E4158">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8"/>
          <w:lang w:bidi="ar"/>
        </w:rPr>
      </w:pPr>
      <w:r>
        <w:rPr>
          <w:rFonts w:hint="default" w:ascii="Times New Roman" w:hAnsi="Times New Roman" w:eastAsia="宋体" w:cs="Times New Roman"/>
          <w:bCs/>
          <w:sz w:val="28"/>
          <w:szCs w:val="28"/>
          <w:lang w:eastAsia="zh-CN" w:bidi="ar"/>
        </w:rPr>
        <w:t>（</w:t>
      </w:r>
      <w:r>
        <w:rPr>
          <w:rFonts w:hint="default" w:ascii="Times New Roman" w:hAnsi="Times New Roman" w:eastAsia="宋体" w:cs="Times New Roman"/>
          <w:bCs/>
          <w:sz w:val="28"/>
          <w:szCs w:val="28"/>
          <w:lang w:val="en-US" w:eastAsia="zh-CN" w:bidi="ar"/>
        </w:rPr>
        <w:t>9</w:t>
      </w:r>
      <w:r>
        <w:rPr>
          <w:rFonts w:hint="default" w:ascii="Times New Roman" w:hAnsi="Times New Roman" w:eastAsia="宋体" w:cs="Times New Roman"/>
          <w:bCs/>
          <w:sz w:val="28"/>
          <w:szCs w:val="28"/>
          <w:lang w:eastAsia="zh-CN" w:bidi="ar"/>
        </w:rPr>
        <w:t>）场内公路路面宽4m，路基宽6m</w:t>
      </w:r>
      <w:r>
        <w:rPr>
          <w:rFonts w:hint="default" w:ascii="Times New Roman" w:hAnsi="Times New Roman" w:eastAsia="宋体" w:cs="Times New Roman"/>
          <w:bCs/>
          <w:sz w:val="28"/>
          <w:szCs w:val="28"/>
          <w:lang w:bidi="ar"/>
        </w:rPr>
        <w:t>。</w:t>
      </w:r>
    </w:p>
    <w:bookmarkEnd w:id="132"/>
    <w:p w14:paraId="7D7288B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bidi="ar"/>
        </w:rPr>
      </w:pPr>
      <w:bookmarkStart w:id="133" w:name="_Hlk129349354"/>
      <w:r>
        <w:rPr>
          <w:rFonts w:hint="default" w:ascii="Times New Roman" w:hAnsi="Times New Roman" w:eastAsia="宋体" w:cs="Times New Roman"/>
          <w:sz w:val="28"/>
          <w:szCs w:val="21"/>
        </w:rPr>
        <w:t>该矿山设计开采深度为100m，最终边帮高82m，岩石硬度系数3~7，根据上表选取最终帮坡角在40~53°之间。综合考虑，</w:t>
      </w:r>
      <w:r>
        <w:rPr>
          <w:rFonts w:hint="eastAsia" w:ascii="Times New Roman" w:hAnsi="Times New Roman" w:eastAsia="宋体" w:cs="Times New Roman"/>
          <w:sz w:val="28"/>
          <w:szCs w:val="21"/>
          <w:lang w:eastAsia="zh-CN"/>
        </w:rPr>
        <w:t>设计</w:t>
      </w:r>
      <w:r>
        <w:rPr>
          <w:rFonts w:hint="default" w:ascii="Times New Roman" w:hAnsi="Times New Roman" w:eastAsia="宋体" w:cs="Times New Roman"/>
          <w:sz w:val="28"/>
          <w:szCs w:val="21"/>
        </w:rPr>
        <w:t>最终帮坡角选取≤48°</w:t>
      </w:r>
      <w:bookmarkEnd w:id="133"/>
      <w:r>
        <w:rPr>
          <w:rFonts w:hint="default" w:ascii="Times New Roman" w:hAnsi="Times New Roman" w:eastAsia="宋体" w:cs="Times New Roman"/>
          <w:sz w:val="28"/>
          <w:szCs w:val="21"/>
          <w:lang w:eastAsia="zh-CN"/>
        </w:rPr>
        <w:t>。</w:t>
      </w:r>
    </w:p>
    <w:p w14:paraId="2EE32901">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2.4.6.3采剥方法</w:t>
      </w:r>
    </w:p>
    <w:p w14:paraId="49DA18F0">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1、采剥方法的确定</w:t>
      </w:r>
    </w:p>
    <w:p w14:paraId="36B3414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根据矿区内矿岩性质，采用中深孔爆破，多排孔微差爆破，数码电子雷管起爆，然后进行铲装运输的采剥方法。</w:t>
      </w:r>
    </w:p>
    <w:p w14:paraId="7B8E3E8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（1）最小工作平台宽度</w:t>
      </w:r>
    </w:p>
    <w:p w14:paraId="36D667EC">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设计采用30t矿用自卸式汽车，车体长为8.4m，车宽2.5m。经计算可得，环形调车时的最小工作平台宽度为21.5m，折返调车时为20.65m。为满足不同作业条件下矿山所有设备作业的要求和挖掘机待装矿量要求，最小工作平台宽度确定为25m。</w:t>
      </w:r>
    </w:p>
    <w:p w14:paraId="674DCA3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（2）挖机工作线长度的确定</w:t>
      </w:r>
    </w:p>
    <w:p w14:paraId="52A2FE4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挖机工作线长度一般分为穿孔段、爆破段以及采装段，一般与挖掘机规格、调车方式、待装矿量有关</w:t>
      </w:r>
      <w:r>
        <w:rPr>
          <w:rFonts w:hint="default" w:ascii="Times New Roman" w:hAnsi="Times New Roman" w:eastAsia="宋体" w:cs="Times New Roman"/>
          <w:b w:val="0"/>
          <w:bCs w:val="0"/>
          <w:color w:val="000000" w:themeColor="text1"/>
          <w:sz w:val="28"/>
          <w:szCs w:val="28"/>
          <w:lang w:eastAsia="zh-CN"/>
          <w14:textFill>
            <w14:solidFill>
              <w14:schemeClr w14:val="tx1"/>
            </w14:solidFill>
          </w14:textFill>
        </w:rPr>
        <w:t>。矿山目前采用最大斗容为2m</w:t>
      </w:r>
      <w:r>
        <w:rPr>
          <w:rFonts w:hint="default" w:ascii="Times New Roman" w:hAnsi="Times New Roman" w:eastAsia="宋体" w:cs="Times New Roman"/>
          <w:b w:val="0"/>
          <w:bCs w:val="0"/>
          <w:color w:val="000000" w:themeColor="text1"/>
          <w:sz w:val="28"/>
          <w:szCs w:val="28"/>
          <w:vertAlign w:val="superscript"/>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8"/>
          <w:szCs w:val="28"/>
          <w:lang w:eastAsia="zh-CN"/>
          <w14:textFill>
            <w14:solidFill>
              <w14:schemeClr w14:val="tx1"/>
            </w14:solidFill>
          </w14:textFill>
        </w:rPr>
        <w:t>液压挖掘机配30t矿用自卸式汽车进行铲装运输作业，确定最小工作线长度为60m，当遇工作面狭窄区域或横向采剥时可适当减小，但为保证每台铲装设备有5~10天的待装矿量和调车的要求，确定工作线长度不小于50m。</w:t>
      </w:r>
    </w:p>
    <w:p w14:paraId="13F25533">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2、开段沟位置确定及推进方向</w:t>
      </w:r>
    </w:p>
    <w:p w14:paraId="261D9A5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新水平准备时，由外部地形处开掘段沟，垂直矿体走向或沿矿体走向布置工作面，矿山开采顺序采用自上而下分台阶开采。</w:t>
      </w:r>
    </w:p>
    <w:p w14:paraId="193D9D18">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3、采剥台阶工作面主要结构要素</w:t>
      </w:r>
    </w:p>
    <w:p w14:paraId="2755E41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采用自上而下分台阶开采工艺，台阶高度15m，最小工作平台宽度为25m，挖掘机工作线长度50~60m。</w:t>
      </w:r>
    </w:p>
    <w:p w14:paraId="4BC344FA">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矿山现有挖掘机铲挖最大高度为10.62m，根据矿山目前铲装效果和采掘作业方式对应的台阶高度，满足目前15m台阶高度要求。</w:t>
      </w:r>
    </w:p>
    <w:p w14:paraId="76003C1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根据目前矿山开采现状、场外道路布置情况，设计工作线垂直矿体走向横向布置或沿矿体走向纵向布置。</w:t>
      </w:r>
    </w:p>
    <w:p w14:paraId="34CC226F">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鹤庆县河底普通建筑材料用石灰岩矿露天采场为山坡露天开采，采用由上而下分台阶的开采顺序进行开采</w:t>
      </w:r>
      <w:r>
        <w:rPr>
          <w:rFonts w:hint="default" w:ascii="Times New Roman" w:hAnsi="Times New Roman" w:eastAsia="宋体" w:cs="Times New Roman"/>
          <w:b w:val="0"/>
          <w:bCs w:val="0"/>
          <w:color w:val="000000" w:themeColor="text1"/>
          <w:sz w:val="28"/>
          <w:szCs w:val="28"/>
          <w:lang w:eastAsia="zh-CN"/>
          <w14:textFill>
            <w14:solidFill>
              <w14:schemeClr w14:val="tx1"/>
            </w14:solidFill>
          </w14:textFill>
        </w:rPr>
        <w:t>。</w:t>
      </w:r>
    </w:p>
    <w:p w14:paraId="1069FED5">
      <w:pPr>
        <w:pStyle w:val="5"/>
        <w:pageBreakBefore w:val="0"/>
        <w:kinsoku/>
        <w:wordWrap/>
        <w:bidi w:val="0"/>
        <w:adjustRightInd w:val="0"/>
        <w:snapToGrid w:val="0"/>
        <w:spacing w:line="360" w:lineRule="auto"/>
        <w:ind w:firstLine="560"/>
        <w:rPr>
          <w:rFonts w:hint="default" w:ascii="Times New Roman" w:hAnsi="Times New Roman" w:eastAsia="黑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2.4.6.</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采剥</w:t>
      </w:r>
      <w:r>
        <w:rPr>
          <w:rFonts w:hint="default" w:ascii="Times New Roman" w:hAnsi="Times New Roman" w:cs="Times New Roman"/>
          <w:color w:val="000000" w:themeColor="text1"/>
          <w:lang w:val="en-US" w:eastAsia="zh-CN"/>
          <w14:textFill>
            <w14:solidFill>
              <w14:schemeClr w14:val="tx1"/>
            </w14:solidFill>
          </w14:textFill>
        </w:rPr>
        <w:t>工艺</w:t>
      </w:r>
    </w:p>
    <w:p w14:paraId="7784BE53">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矿山采剥作业过程中，需穿爆的矿岩主要为灰岩，普氏系数f=3~7，矿岩较坚硬，设计利用矿山现有Cm</w:t>
      </w:r>
      <w:r>
        <w:rPr>
          <w:rFonts w:hint="default" w:ascii="Times New Roman" w:hAnsi="Times New Roman" w:eastAsia="宋体" w:cs="Times New Roman"/>
          <w:b w:val="0"/>
          <w:bCs w:val="0"/>
          <w:color w:val="000000" w:themeColor="text1"/>
          <w:sz w:val="28"/>
          <w:szCs w:val="28"/>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8"/>
          <w:szCs w:val="28"/>
          <w14:textFill>
            <w14:solidFill>
              <w14:schemeClr w14:val="tx1"/>
            </w14:solidFill>
          </w14:textFill>
        </w:rPr>
        <w:t>51潜孔钻机穿孔；台阶爆破采用垂直孔，孔深16.5m（包括超深1.5m），采用矩形或梅花形布孔；孔网参数4.5m×4m（孔距×排距），为了改善爆破质量，提高爆破效果，减少单段爆破量，设计采用逐孔起爆爆破方式，数码电子雷管起爆。</w:t>
      </w:r>
    </w:p>
    <w:p w14:paraId="2ABDBE65">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矿岩铲装利用现有2m</w:t>
      </w:r>
      <w:r>
        <w:rPr>
          <w:rFonts w:hint="default" w:ascii="Times New Roman" w:hAnsi="Times New Roman" w:eastAsia="宋体" w:cs="Times New Roman"/>
          <w:b w:val="0"/>
          <w:bCs w:val="0"/>
          <w:color w:val="000000" w:themeColor="text1"/>
          <w:sz w:val="28"/>
          <w:szCs w:val="28"/>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8"/>
          <w:szCs w:val="28"/>
          <w14:textFill>
            <w14:solidFill>
              <w14:schemeClr w14:val="tx1"/>
            </w14:solidFill>
          </w14:textFill>
        </w:rPr>
        <w:t>液压挖掘机配30t矿用自卸式汽车完成铲装运输。</w:t>
      </w:r>
    </w:p>
    <w:p w14:paraId="25B35BBC">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2.4.6.</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GB"/>
          <w14:textFill>
            <w14:solidFill>
              <w14:schemeClr w14:val="tx1"/>
            </w14:solidFill>
          </w14:textFill>
        </w:rPr>
        <w:t xml:space="preserve"> </w:t>
      </w:r>
      <w:r>
        <w:rPr>
          <w:rFonts w:hint="default" w:ascii="Times New Roman" w:hAnsi="Times New Roman" w:cs="Times New Roman"/>
        </w:rPr>
        <w:t>爆破开采工艺</w:t>
      </w:r>
    </w:p>
    <w:p w14:paraId="71668656">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1、穿孔设备</w:t>
      </w:r>
    </w:p>
    <w:p w14:paraId="757DAF6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b w:val="0"/>
          <w:bCs w:val="0"/>
          <w:color w:val="000000" w:themeColor="text1"/>
          <w:sz w:val="28"/>
          <w:szCs w:val="28"/>
          <w14:textFill>
            <w14:solidFill>
              <w14:schemeClr w14:val="tx1"/>
            </w14:solidFill>
          </w14:textFill>
        </w:rPr>
        <w:t>根据矿岩物理机械性质、岩石的完整性特点，以及矿山的生产规模，矿山已有2台Cm</w:t>
      </w:r>
      <w:r>
        <w:rPr>
          <w:rFonts w:hint="default" w:ascii="Times New Roman" w:hAnsi="Times New Roman" w:eastAsia="宋体" w:cs="Times New Roman"/>
          <w:b w:val="0"/>
          <w:bCs w:val="0"/>
          <w:color w:val="000000" w:themeColor="text1"/>
          <w:sz w:val="28"/>
          <w:szCs w:val="28"/>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8"/>
          <w:szCs w:val="28"/>
          <w14:textFill>
            <w14:solidFill>
              <w14:schemeClr w14:val="tx1"/>
            </w14:solidFill>
          </w14:textFill>
        </w:rPr>
        <w:t>51型潜孔凿岩台车。</w:t>
      </w:r>
      <w:r>
        <w:rPr>
          <w:rFonts w:hint="default" w:ascii="Times New Roman" w:hAnsi="Times New Roman" w:eastAsia="宋体" w:cs="Times New Roman"/>
          <w:sz w:val="28"/>
          <w:szCs w:val="21"/>
          <w:lang w:eastAsia="zh-TW"/>
        </w:rPr>
        <w:t>钻孔模式取排距</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eastAsia="zh-TW"/>
        </w:rPr>
        <w:t>孔距</w:t>
      </w:r>
      <w:r>
        <w:rPr>
          <w:rFonts w:hint="default" w:ascii="Times New Roman" w:hAnsi="Times New Roman" w:eastAsia="宋体" w:cs="Times New Roman"/>
          <w:sz w:val="28"/>
          <w:szCs w:val="21"/>
        </w:rPr>
        <w:t>=3.5m×3.8m，</w:t>
      </w:r>
      <w:r>
        <w:rPr>
          <w:rFonts w:hint="default" w:ascii="Times New Roman" w:hAnsi="Times New Roman" w:eastAsia="宋体" w:cs="Times New Roman"/>
          <w:sz w:val="28"/>
          <w:szCs w:val="21"/>
          <w:lang w:eastAsia="zh-TW"/>
        </w:rPr>
        <w:t>钻孔成孔率取90%，总钻进效率</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eastAsia="zh-TW"/>
        </w:rPr>
        <w:t>包括接换钻杆、炮孔间移位、定位时间及操作者技术水平等因素</w:t>
      </w:r>
      <w:r>
        <w:rPr>
          <w:rFonts w:hint="default" w:ascii="Times New Roman" w:hAnsi="Times New Roman" w:eastAsia="宋体" w:cs="Times New Roman"/>
          <w:sz w:val="28"/>
          <w:szCs w:val="21"/>
        </w:rPr>
        <w:t>）</w:t>
      </w:r>
      <w:r>
        <w:rPr>
          <w:rFonts w:hint="default" w:ascii="Times New Roman" w:hAnsi="Times New Roman" w:eastAsia="宋体" w:cs="Times New Roman"/>
          <w:sz w:val="28"/>
          <w:szCs w:val="21"/>
          <w:lang w:eastAsia="zh-TW"/>
        </w:rPr>
        <w:t>取70%，钻机能力富裕系数取1.3</w:t>
      </w:r>
      <w:r>
        <w:rPr>
          <w:rFonts w:hint="default" w:ascii="Times New Roman" w:hAnsi="Times New Roman" w:eastAsia="宋体" w:cs="Times New Roman"/>
          <w:sz w:val="28"/>
          <w:szCs w:val="21"/>
        </w:rPr>
        <w:t>。</w:t>
      </w:r>
    </w:p>
    <w:p w14:paraId="66479F1C">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2、</w:t>
      </w:r>
      <w:r>
        <w:rPr>
          <w:rFonts w:hint="default" w:ascii="Times New Roman" w:hAnsi="Times New Roman" w:eastAsia="宋体" w:cs="Times New Roman"/>
          <w:b/>
          <w:bCs/>
          <w:color w:val="000000" w:themeColor="text1"/>
          <w:sz w:val="28"/>
          <w:szCs w:val="28"/>
          <w:lang w:val="en-GB"/>
          <w14:textFill>
            <w14:solidFill>
              <w14:schemeClr w14:val="tx1"/>
            </w14:solidFill>
          </w14:textFill>
        </w:rPr>
        <w:t>钻机数量的确定</w:t>
      </w:r>
    </w:p>
    <w:p w14:paraId="51B6F54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钻机台数：</w:t>
      </w:r>
    </w:p>
    <w:p w14:paraId="465E675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34" w:name="_Hlk87018643"/>
      <w:r>
        <w:rPr>
          <w:rFonts w:hint="default" w:ascii="Times New Roman" w:hAnsi="Times New Roman" w:eastAsia="宋体" w:cs="Times New Roman"/>
          <w:sz w:val="28"/>
          <w:szCs w:val="21"/>
        </w:rPr>
        <w:object>
          <v:shape id="_x0000_i1025" o:spt="75" type="#_x0000_t75" style="height:33pt;width:72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p>
    <w:p w14:paraId="4D1F6F6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式中，</w:t>
      </w:r>
    </w:p>
    <w:p w14:paraId="66F0CDB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N—所需设备数量，台；</w:t>
      </w:r>
    </w:p>
    <w:p w14:paraId="4F935B9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Q—设计的矿山规模，t/a，Q=800000t/a；</w:t>
      </w:r>
    </w:p>
    <w:p w14:paraId="2324C22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P—</w:t>
      </w:r>
      <w:bookmarkStart w:id="135" w:name="OLE_LINK4"/>
      <w:r>
        <w:rPr>
          <w:rFonts w:hint="default" w:ascii="Times New Roman" w:hAnsi="Times New Roman" w:eastAsia="宋体" w:cs="Times New Roman"/>
          <w:sz w:val="28"/>
          <w:szCs w:val="21"/>
        </w:rPr>
        <w:t>钻机台年穿孔效率</w:t>
      </w:r>
      <w:bookmarkEnd w:id="135"/>
      <w:r>
        <w:rPr>
          <w:rFonts w:hint="default" w:ascii="Times New Roman" w:hAnsi="Times New Roman" w:eastAsia="宋体" w:cs="Times New Roman"/>
          <w:sz w:val="28"/>
          <w:szCs w:val="21"/>
        </w:rPr>
        <w:t>，m/a，P=250×1×81=20250m；</w:t>
      </w:r>
    </w:p>
    <w:p w14:paraId="527AC47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eastAsia="zh-TW"/>
        </w:rPr>
      </w:pPr>
      <w:r>
        <w:rPr>
          <w:rFonts w:hint="default" w:ascii="Times New Roman" w:hAnsi="Times New Roman" w:eastAsia="宋体" w:cs="Times New Roman"/>
          <w:sz w:val="28"/>
          <w:szCs w:val="21"/>
          <w:lang w:eastAsia="zh-TW"/>
        </w:rPr>
        <w:t>q—每m炮孔的爆破量，t/m，q=30t/m；</w:t>
      </w:r>
    </w:p>
    <w:p w14:paraId="56953E1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e—废孔率，%，e=5%。</w:t>
      </w:r>
    </w:p>
    <w:p w14:paraId="108EFF79">
      <w:pPr>
        <w:pageBreakBefore w:val="0"/>
        <w:kinsoku/>
        <w:wordWrap/>
        <w:bidi w:val="0"/>
        <w:adjustRightInd w:val="0"/>
        <w:snapToGrid w:val="0"/>
        <w:spacing w:line="360" w:lineRule="auto"/>
        <w:ind w:firstLine="420" w:firstLineChars="200"/>
        <w:rPr>
          <w:rFonts w:hint="default" w:ascii="Times New Roman" w:hAnsi="Times New Roman" w:cs="Times New Roman"/>
          <w:iCs/>
        </w:rPr>
      </w:pPr>
      <m:oMathPara>
        <m:oMath>
          <m:r>
            <m:rPr/>
            <w:rPr>
              <w:rFonts w:hint="default" w:ascii="Cambria Math" w:hAnsi="Cambria Math" w:cs="Times New Roman"/>
            </w:rPr>
            <m:t>N=</m:t>
          </m:r>
          <m:f>
            <m:fPr>
              <m:ctrlPr>
                <w:rPr>
                  <w:rFonts w:hint="default" w:ascii="Cambria Math" w:hAnsi="Cambria Math" w:cs="Times New Roman"/>
                  <w:i/>
                </w:rPr>
              </m:ctrlPr>
            </m:fPr>
            <m:num>
              <m:r>
                <m:rPr/>
                <w:rPr>
                  <w:rFonts w:hint="default" w:ascii="Cambria Math" w:hAnsi="Cambria Math" w:cs="Times New Roman"/>
                </w:rPr>
                <m:t>Q</m:t>
              </m:r>
              <m:ctrlPr>
                <w:rPr>
                  <w:rFonts w:hint="default" w:ascii="Cambria Math" w:hAnsi="Cambria Math" w:cs="Times New Roman"/>
                  <w:i/>
                </w:rPr>
              </m:ctrlPr>
            </m:num>
            <m:den>
              <m:r>
                <m:rPr/>
                <w:rPr>
                  <w:rFonts w:hint="default" w:ascii="Cambria Math" w:hAnsi="Cambria Math" w:cs="Times New Roman"/>
                </w:rPr>
                <m:t>qP</m:t>
              </m:r>
              <m:r>
                <m:rPr>
                  <m:sty m:val="p"/>
                </m:rPr>
                <w:rPr>
                  <w:rFonts w:hint="default" w:ascii="Cambria Math" w:hAnsi="Cambria Math" w:cs="Times New Roman"/>
                </w:rPr>
                <m:t>（</m:t>
              </m:r>
              <m:r>
                <m:rPr/>
                <w:rPr>
                  <w:rFonts w:hint="default" w:ascii="Cambria Math" w:hAnsi="Cambria Math" w:cs="Times New Roman"/>
                </w:rPr>
                <m:t>1−e</m:t>
              </m:r>
              <m:r>
                <m:rPr>
                  <m:sty m:val="p"/>
                </m:rPr>
                <w:rPr>
                  <w:rFonts w:hint="default" w:ascii="Cambria Math" w:hAnsi="Cambria Math" w:cs="Times New Roman"/>
                </w:rPr>
                <m:t>）</m:t>
              </m:r>
              <m:ctrlPr>
                <w:rPr>
                  <w:rFonts w:hint="default" w:ascii="Cambria Math" w:hAnsi="Cambria Math" w:cs="Times New Roman"/>
                  <w:i/>
                </w:rPr>
              </m:ctrlPr>
            </m:den>
          </m:f>
          <m:r>
            <m:rPr/>
            <w:rPr>
              <w:rFonts w:hint="default" w:ascii="Cambria Math" w:hAnsi="Cambria Math" w:cs="Times New Roman"/>
            </w:rPr>
            <m:t>=</m:t>
          </m:r>
          <m:f>
            <m:fPr>
              <m:ctrlPr>
                <w:rPr>
                  <w:rFonts w:hint="default" w:ascii="Cambria Math" w:hAnsi="Cambria Math" w:cs="Times New Roman"/>
                  <w:i/>
                </w:rPr>
              </m:ctrlPr>
            </m:fPr>
            <m:num>
              <m:r>
                <m:rPr/>
                <w:rPr>
                  <w:rFonts w:hint="default" w:ascii="Cambria Math" w:hAnsi="Cambria Math" w:cs="Times New Roman"/>
                </w:rPr>
                <m:t>800000</m:t>
              </m:r>
              <m:ctrlPr>
                <w:rPr>
                  <w:rFonts w:hint="default" w:ascii="Cambria Math" w:hAnsi="Cambria Math" w:cs="Times New Roman"/>
                  <w:i/>
                </w:rPr>
              </m:ctrlPr>
            </m:num>
            <m:den>
              <m:r>
                <m:rPr/>
                <w:rPr>
                  <w:rFonts w:hint="default" w:ascii="Cambria Math" w:hAnsi="Cambria Math" w:cs="Times New Roman"/>
                </w:rPr>
                <m:t>30×20250×</m:t>
              </m:r>
              <m:d>
                <m:dPr>
                  <m:ctrlPr>
                    <w:rPr>
                      <w:rFonts w:hint="default" w:ascii="Cambria Math" w:hAnsi="Cambria Math" w:cs="Times New Roman"/>
                      <w:i/>
                    </w:rPr>
                  </m:ctrlPr>
                </m:dPr>
                <m:e>
                  <m:r>
                    <m:rPr/>
                    <w:rPr>
                      <w:rFonts w:hint="default" w:ascii="Cambria Math" w:hAnsi="Cambria Math" w:cs="Times New Roman"/>
                    </w:rPr>
                    <m:t>1−5%</m:t>
                  </m:r>
                  <m:ctrlPr>
                    <w:rPr>
                      <w:rFonts w:hint="default" w:ascii="Cambria Math" w:hAnsi="Cambria Math" w:cs="Times New Roman"/>
                      <w:i/>
                    </w:rPr>
                  </m:ctrlPr>
                </m:e>
              </m:d>
              <m:ctrlPr>
                <w:rPr>
                  <w:rFonts w:hint="default" w:ascii="Cambria Math" w:hAnsi="Cambria Math" w:cs="Times New Roman"/>
                  <w:i/>
                </w:rPr>
              </m:ctrlPr>
            </m:den>
          </m:f>
          <m:r>
            <m:rPr/>
            <w:rPr>
              <w:rFonts w:hint="default" w:ascii="Cambria Math" w:hAnsi="Cambria Math" w:cs="Times New Roman"/>
            </w:rPr>
            <m:t>=1.39≈2</m:t>
          </m:r>
          <m:r>
            <m:rPr>
              <m:sty m:val="p"/>
            </m:rPr>
            <w:rPr>
              <w:rFonts w:hint="default" w:ascii="Cambria Math" w:hAnsi="Cambria Math" w:cs="Times New Roman"/>
            </w:rPr>
            <m:t>台</m:t>
          </m:r>
        </m:oMath>
      </m:oMathPara>
    </w:p>
    <w:p w14:paraId="41B4B73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矿山已有的设备能满足生产要求。</w:t>
      </w:r>
    </w:p>
    <w:bookmarkEnd w:id="134"/>
    <w:p w14:paraId="53F99EBD">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3、采场穿孔爆破参数验算：</w:t>
      </w:r>
    </w:p>
    <w:p w14:paraId="7FCD98F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bookmarkStart w:id="136" w:name="_Hlk140059363"/>
      <w:r>
        <w:rPr>
          <w:rFonts w:hint="default" w:ascii="Times New Roman" w:hAnsi="Times New Roman" w:eastAsia="宋体" w:cs="Times New Roman"/>
          <w:b w:val="0"/>
          <w:bCs w:val="0"/>
          <w:color w:val="000000" w:themeColor="text1"/>
          <w:sz w:val="28"/>
          <w:szCs w:val="28"/>
          <w14:textFill>
            <w14:solidFill>
              <w14:schemeClr w14:val="tx1"/>
            </w14:solidFill>
          </w14:textFill>
        </w:rPr>
        <w:t>（1）常规爆破主爆孔参数确定</w:t>
      </w:r>
    </w:p>
    <w:p w14:paraId="301329C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1）钻孔形式</w:t>
      </w:r>
    </w:p>
    <w:p w14:paraId="110C4035">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设计主爆孔前排采用垂直孔，炮孔角度为90°。</w:t>
      </w:r>
    </w:p>
    <w:p w14:paraId="4930143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2）炮孔直径D</w:t>
      </w:r>
    </w:p>
    <w:p w14:paraId="167D428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钻孔直径为120mm。</w:t>
      </w:r>
    </w:p>
    <w:p w14:paraId="21FCF75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3）超深h和孔深L</w:t>
      </w:r>
    </w:p>
    <w:p w14:paraId="4CB0FC6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采矿台阶高度为15m。超深值与岩石坚硬程度、炮孔直径、底盘抵抗线有关，其值按下式计算：</w:t>
      </w:r>
    </w:p>
    <w:p w14:paraId="71A6C09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r>
            <m:rPr>
              <m:sty m:val="p"/>
            </m:rPr>
            <w:rPr>
              <w:rFonts w:hint="default" w:ascii="Cambria Math" w:hAnsi="Cambria Math" w:eastAsia="宋体" w:cs="Times New Roman"/>
              <w:color w:val="000000" w:themeColor="text1"/>
              <w:sz w:val="28"/>
              <w:szCs w:val="28"/>
              <w14:textFill>
                <w14:solidFill>
                  <w14:schemeClr w14:val="tx1"/>
                </w14:solidFill>
              </w14:textFill>
            </w:rPr>
            <m:t>h=（10~15）d</m:t>
          </m:r>
        </m:oMath>
      </m:oMathPara>
    </w:p>
    <w:p w14:paraId="3B64573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式中：</w:t>
      </w:r>
    </w:p>
    <w:p w14:paraId="32CC278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d—炮孔直径，mm。</w:t>
      </w:r>
    </w:p>
    <w:p w14:paraId="116CB539">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本次炮孔超深值取为1.5m。</w:t>
      </w:r>
    </w:p>
    <w:p w14:paraId="0956E6A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前排垂直孔深L：L=15/sin90°+1.5=16.5m。</w:t>
      </w:r>
    </w:p>
    <w:p w14:paraId="77399F42">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4）最小抵抗线W</w:t>
      </w:r>
    </w:p>
    <w:p w14:paraId="3003E8A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根据钻孔作业的安全条件：</w:t>
      </w:r>
    </w:p>
    <w:p w14:paraId="68ACD54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r>
            <m:rPr>
              <m:sty m:val="p"/>
            </m:rPr>
            <w:rPr>
              <w:rFonts w:hint="default" w:ascii="Cambria Math" w:hAnsi="Cambria Math" w:eastAsia="宋体" w:cs="Times New Roman"/>
              <w:color w:val="000000" w:themeColor="text1"/>
              <w:sz w:val="28"/>
              <w:szCs w:val="28"/>
              <w14:textFill>
                <w14:solidFill>
                  <w14:schemeClr w14:val="tx1"/>
                </w14:solidFill>
              </w14:textFill>
            </w:rPr>
            <m:t>W=（20~40）d</m:t>
          </m:r>
        </m:oMath>
      </m:oMathPara>
    </w:p>
    <w:p w14:paraId="0F738CC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式中：</w:t>
      </w:r>
    </w:p>
    <w:p w14:paraId="08555B2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d-为炮孔直径，取0.12m。</w:t>
      </w:r>
    </w:p>
    <w:p w14:paraId="7673BD4C">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经计算：W=（20~40）×0.12=2.4~4.8，取30d=3.6m。</w:t>
      </w:r>
    </w:p>
    <w:p w14:paraId="04D9008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5）孔距</w:t>
      </w:r>
    </w:p>
    <w:p w14:paraId="1ECA656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可用最小底盘抵抗线W与炮孔密集系数m的乘积来计算，即a=m×W。</w:t>
      </w:r>
      <w:r>
        <w:rPr>
          <w:rFonts w:hint="eastAsia" w:ascii="Times New Roman" w:hAnsi="Times New Roman" w:eastAsia="宋体" w:cs="Times New Roman"/>
          <w:b w:val="0"/>
          <w:bCs w:val="0"/>
          <w:color w:val="000000" w:themeColor="text1"/>
          <w:sz w:val="28"/>
          <w:szCs w:val="28"/>
          <w:lang w:eastAsia="zh-CN"/>
          <w14:textFill>
            <w14:solidFill>
              <w14:schemeClr w14:val="tx1"/>
            </w14:solidFill>
          </w14:textFill>
        </w:rPr>
        <w:t>设计</w:t>
      </w:r>
      <w:r>
        <w:rPr>
          <w:rFonts w:hint="default" w:ascii="Times New Roman" w:hAnsi="Times New Roman" w:eastAsia="宋体" w:cs="Times New Roman"/>
          <w:b w:val="0"/>
          <w:bCs w:val="0"/>
          <w:color w:val="000000" w:themeColor="text1"/>
          <w:sz w:val="28"/>
          <w:szCs w:val="28"/>
          <w14:textFill>
            <w14:solidFill>
              <w14:schemeClr w14:val="tx1"/>
            </w14:solidFill>
          </w14:textFill>
        </w:rPr>
        <w:t>结合类似矿山经验爆破孔网参数，确定孔距为a=4.5m。</w:t>
      </w:r>
    </w:p>
    <w:p w14:paraId="2F0880D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
        <m:r>
          <m:rPr>
            <m:sty m:val="p"/>
          </m:rPr>
          <w:rPr>
            <w:rFonts w:hint="default" w:ascii="Cambria Math" w:hAnsi="Cambria Math" w:eastAsia="宋体" w:cs="Times New Roman"/>
            <w:color w:val="000000" w:themeColor="text1"/>
            <w:sz w:val="28"/>
            <w:szCs w:val="28"/>
            <w14:textFill>
              <w14:solidFill>
                <w14:schemeClr w14:val="tx1"/>
              </w14:solidFill>
            </w14:textFill>
          </w:rPr>
          <m:t>a=(1.1~1.4)W=3.96~5.04m</m:t>
        </m:r>
      </m:oMath>
      <w:r>
        <w:rPr>
          <w:rFonts w:hint="default" w:ascii="Times New Roman" w:hAnsi="Times New Roman" w:eastAsia="宋体" w:cs="Times New Roman"/>
          <w:b w:val="0"/>
          <w:bCs w:val="0"/>
          <w:color w:val="000000" w:themeColor="text1"/>
          <w:sz w:val="28"/>
          <w:szCs w:val="28"/>
          <w14:textFill>
            <w14:solidFill>
              <w14:schemeClr w14:val="tx1"/>
            </w14:solidFill>
          </w14:textFill>
        </w:rPr>
        <w:t>，取4.5m。</w:t>
      </w:r>
    </w:p>
    <w:p w14:paraId="20EDF61F">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6）排距</w:t>
      </w:r>
    </w:p>
    <w:p w14:paraId="3927968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
        <m:r>
          <m:rPr>
            <m:sty m:val="p"/>
          </m:rPr>
          <w:rPr>
            <w:rFonts w:hint="default" w:ascii="Cambria Math" w:hAnsi="Cambria Math" w:eastAsia="宋体" w:cs="Times New Roman"/>
            <w:color w:val="000000" w:themeColor="text1"/>
            <w:sz w:val="28"/>
            <w:szCs w:val="28"/>
            <w14:textFill>
              <w14:solidFill>
                <w14:schemeClr w14:val="tx1"/>
              </w14:solidFill>
            </w14:textFill>
          </w:rPr>
          <m:t>b=0.866a≈4.0m</m:t>
        </m:r>
      </m:oMath>
      <w:r>
        <w:rPr>
          <w:rFonts w:hint="default" w:ascii="Times New Roman" w:hAnsi="Times New Roman" w:eastAsia="宋体" w:cs="Times New Roman"/>
          <w:b w:val="0"/>
          <w:bCs w:val="0"/>
          <w:color w:val="000000" w:themeColor="text1"/>
          <w:sz w:val="28"/>
          <w:szCs w:val="28"/>
          <w14:textFill>
            <w14:solidFill>
              <w14:schemeClr w14:val="tx1"/>
            </w14:solidFill>
          </w14:textFill>
        </w:rPr>
        <w:t xml:space="preserve"> </w:t>
      </w:r>
    </w:p>
    <w:p w14:paraId="4CE2928C">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7）堵塞长度</w:t>
      </w:r>
    </w:p>
    <w:p w14:paraId="0B127C1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①按采矿设计手册</w:t>
      </w:r>
    </w:p>
    <w:p w14:paraId="77FB6762">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L</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1</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=ZW</m:t>
          </m:r>
        </m:oMath>
      </m:oMathPara>
    </w:p>
    <w:p w14:paraId="571C89B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填塞系数Z=（0.9-1），取1.0。</w:t>
      </w:r>
    </w:p>
    <w:p w14:paraId="6A8339B2">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1</w:t>
      </w:r>
      <w:r>
        <w:rPr>
          <w:rFonts w:hint="default" w:ascii="Times New Roman" w:hAnsi="Times New Roman" w:eastAsia="宋体" w:cs="Times New Roman"/>
          <w:b w:val="0"/>
          <w:bCs w:val="0"/>
          <w:color w:val="000000" w:themeColor="text1"/>
          <w:sz w:val="28"/>
          <w:szCs w:val="28"/>
          <w14:textFill>
            <w14:solidFill>
              <w14:schemeClr w14:val="tx1"/>
            </w14:solidFill>
          </w14:textFill>
        </w:rPr>
        <w:t>=1.0×3.6=3.6m。</w:t>
      </w:r>
    </w:p>
    <w:p w14:paraId="69DBB026">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②按《有色金属采矿设计规范》</w:t>
      </w:r>
    </w:p>
    <w:p w14:paraId="7B11FA8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L</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1</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=（16~32）D=1.92~3.84m</m:t>
          </m:r>
        </m:oMath>
      </m:oMathPara>
    </w:p>
    <w:p w14:paraId="2B41F3B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eastAsia" w:ascii="Times New Roman" w:hAnsi="Times New Roman" w:eastAsia="宋体" w:cs="Times New Roman"/>
          <w:b w:val="0"/>
          <w:bCs w:val="0"/>
          <w:color w:val="000000" w:themeColor="text1"/>
          <w:sz w:val="28"/>
          <w:szCs w:val="28"/>
          <w:lang w:eastAsia="zh-CN"/>
          <w14:textFill>
            <w14:solidFill>
              <w14:schemeClr w14:val="tx1"/>
            </w14:solidFill>
          </w14:textFill>
        </w:rPr>
        <w:t>设计</w:t>
      </w:r>
      <w:r>
        <w:rPr>
          <w:rFonts w:hint="default" w:ascii="Times New Roman" w:hAnsi="Times New Roman" w:eastAsia="宋体" w:cs="Times New Roman"/>
          <w:b w:val="0"/>
          <w:bCs w:val="0"/>
          <w:color w:val="000000" w:themeColor="text1"/>
          <w:sz w:val="28"/>
          <w:szCs w:val="28"/>
          <w14:textFill>
            <w14:solidFill>
              <w14:schemeClr w14:val="tx1"/>
            </w14:solidFill>
          </w14:textFill>
        </w:rPr>
        <w:t>堵塞长度L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1</w:t>
      </w:r>
      <w:r>
        <w:rPr>
          <w:rFonts w:hint="default" w:ascii="Times New Roman" w:hAnsi="Times New Roman" w:eastAsia="宋体" w:cs="Times New Roman"/>
          <w:b w:val="0"/>
          <w:bCs w:val="0"/>
          <w:color w:val="000000" w:themeColor="text1"/>
          <w:sz w:val="28"/>
          <w:szCs w:val="28"/>
          <w14:textFill>
            <w14:solidFill>
              <w14:schemeClr w14:val="tx1"/>
            </w14:solidFill>
          </w14:textFill>
        </w:rPr>
        <w:t>取3.6m。</w:t>
      </w:r>
    </w:p>
    <w:p w14:paraId="5CE7D13A">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8）炮孔装药长度L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2</w:t>
      </w:r>
    </w:p>
    <w:p w14:paraId="04E75D4A">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L</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2</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=L−</m:t>
          </m:r>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L</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1</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oMath>
      </m:oMathPara>
    </w:p>
    <w:p w14:paraId="7B1C432E">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装药长度L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2</w:t>
      </w:r>
      <w:r>
        <w:rPr>
          <w:rFonts w:hint="default" w:ascii="Times New Roman" w:hAnsi="Times New Roman" w:eastAsia="宋体" w:cs="Times New Roman"/>
          <w:b w:val="0"/>
          <w:bCs w:val="0"/>
          <w:color w:val="000000" w:themeColor="text1"/>
          <w:sz w:val="28"/>
          <w:szCs w:val="28"/>
          <w14:textFill>
            <w14:solidFill>
              <w14:schemeClr w14:val="tx1"/>
            </w14:solidFill>
          </w14:textFill>
        </w:rPr>
        <w:t>=16.5-3.6=12.9m。</w:t>
      </w:r>
    </w:p>
    <w:p w14:paraId="0B9114BE">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9）单孔装药量</w:t>
      </w:r>
    </w:p>
    <w:p w14:paraId="49AFC466">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bookmarkStart w:id="137" w:name="_Hlk144987536"/>
      <m:oMathPara>
        <m:oMath>
          <m:r>
            <m:rPr>
              <m:sty m:val="p"/>
            </m:rPr>
            <w:rPr>
              <w:rFonts w:hint="default" w:ascii="Cambria Math" w:hAnsi="Cambria Math" w:eastAsia="宋体" w:cs="Times New Roman"/>
              <w:color w:val="000000" w:themeColor="text1"/>
              <w:sz w:val="28"/>
              <w:szCs w:val="28"/>
              <w14:textFill>
                <w14:solidFill>
                  <w14:schemeClr w14:val="tx1"/>
                </w14:solidFill>
              </w14:textFill>
            </w:rPr>
            <m:t>Q=D×</m:t>
          </m:r>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L</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2</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m:t>
          </m:r>
        </m:oMath>
      </m:oMathPara>
    </w:p>
    <w:p w14:paraId="14AEFCF9">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式中：</w:t>
      </w:r>
    </w:p>
    <w:p w14:paraId="0EA3D5B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Q-单孔装药量；</w:t>
      </w:r>
    </w:p>
    <w:p w14:paraId="46138203">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
        <m:r>
          <m:rPr>
            <m:sty m:val="p"/>
          </m:rPr>
          <w:rPr>
            <w:rFonts w:hint="default" w:ascii="Cambria Math" w:hAnsi="Cambria Math" w:eastAsia="宋体" w:cs="Times New Roman"/>
            <w:color w:val="000000" w:themeColor="text1"/>
            <w:sz w:val="28"/>
            <w:szCs w:val="28"/>
            <w14:textFill>
              <w14:solidFill>
                <w14:schemeClr w14:val="tx1"/>
              </w14:solidFill>
            </w14:textFill>
          </w:rPr>
          <m:t>D</m:t>
        </m:r>
      </m:oMath>
      <w:r>
        <w:rPr>
          <w:rFonts w:hint="default" w:ascii="Times New Roman" w:hAnsi="Times New Roman" w:eastAsia="宋体" w:cs="Times New Roman"/>
          <w:b w:val="0"/>
          <w:bCs w:val="0"/>
          <w:color w:val="000000" w:themeColor="text1"/>
          <w:sz w:val="28"/>
          <w:szCs w:val="28"/>
          <w14:textFill>
            <w14:solidFill>
              <w14:schemeClr w14:val="tx1"/>
            </w14:solidFill>
          </w14:textFill>
        </w:rPr>
        <w:t>-炮孔直径，120mm；</w:t>
      </w:r>
    </w:p>
    <w:p w14:paraId="4139B42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2</w:t>
      </w:r>
      <w:r>
        <w:rPr>
          <w:rFonts w:hint="default" w:ascii="Times New Roman" w:hAnsi="Times New Roman" w:eastAsia="宋体" w:cs="Times New Roman"/>
          <w:b w:val="0"/>
          <w:bCs w:val="0"/>
          <w:color w:val="000000" w:themeColor="text1"/>
          <w:sz w:val="28"/>
          <w:szCs w:val="28"/>
          <w14:textFill>
            <w14:solidFill>
              <w14:schemeClr w14:val="tx1"/>
            </w14:solidFill>
          </w14:textFill>
        </w:rPr>
        <w:t>-装药长度，12.9m；</w:t>
      </w:r>
    </w:p>
    <w:p w14:paraId="7D280CE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
        <m:r>
          <m:rPr>
            <m:sty m:val="p"/>
          </m:rPr>
          <w:rPr>
            <w:rFonts w:hint="default" w:ascii="Cambria Math" w:hAnsi="Cambria Math" w:eastAsia="宋体" w:cs="Times New Roman"/>
            <w:color w:val="000000" w:themeColor="text1"/>
            <w:sz w:val="28"/>
            <w:szCs w:val="28"/>
            <w14:textFill>
              <w14:solidFill>
                <w14:schemeClr w14:val="tx1"/>
              </w14:solidFill>
            </w14:textFill>
          </w:rPr>
          <m:t>∆</m:t>
        </m:r>
      </m:oMath>
      <w:r>
        <w:rPr>
          <w:rFonts w:hint="default" w:ascii="Times New Roman" w:hAnsi="Times New Roman" w:eastAsia="宋体" w:cs="Times New Roman"/>
          <w:b w:val="0"/>
          <w:bCs w:val="0"/>
          <w:color w:val="000000" w:themeColor="text1"/>
          <w:sz w:val="28"/>
          <w:szCs w:val="28"/>
          <w14:textFill>
            <w14:solidFill>
              <w14:schemeClr w14:val="tx1"/>
            </w14:solidFill>
          </w14:textFill>
        </w:rPr>
        <w:t>-装药密度，0.9t/m3。</w:t>
      </w:r>
    </w:p>
    <w:p w14:paraId="1B2845C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经计算：垂直孔：Q=0.012×12.9×0.9×1000=139.32kg。</w:t>
      </w:r>
      <w:bookmarkEnd w:id="137"/>
    </w:p>
    <w:p w14:paraId="6A80E11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（2）预裂爆破参数</w:t>
      </w:r>
    </w:p>
    <w:p w14:paraId="6FF186D0">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露天采场边坡靠帮爆破效果直接影响边坡的稳定性，爆破震动会破坏岩石的稳固性，因此采用控制爆破的措施来提高边坡稳定性。拟采用预裂爆破对靠帮边坡进行处理。为保证爆破效果，主爆孔和预裂孔之间设缓冲孔。靠帮爆破孔网孔参数如下：</w:t>
      </w:r>
    </w:p>
    <w:p w14:paraId="4735890C">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1）钻孔形式：预裂孔、缓冲孔均采用斜孔，炮孔倾角为60°。</w:t>
      </w:r>
    </w:p>
    <w:p w14:paraId="7B414EF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2）炮孔直径：预裂孔、缓冲孔孔径均为50mm</w:t>
      </w:r>
    </w:p>
    <w:p w14:paraId="49FAC15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3）不耦合系数：一般为2~5，取2，预裂爆破使用32mm药卷。</w:t>
      </w:r>
    </w:p>
    <w:p w14:paraId="0C4D0C2C">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4）最小抵抗线</w:t>
      </w:r>
    </w:p>
    <w:p w14:paraId="31C680D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bookmarkStart w:id="138" w:name="_Hlk144979521"/>
      <w:r>
        <w:rPr>
          <w:rFonts w:hint="default" w:ascii="Times New Roman" w:hAnsi="Times New Roman" w:eastAsia="宋体" w:cs="Times New Roman"/>
          <w:b w:val="0"/>
          <w:bCs w:val="0"/>
          <w:color w:val="000000" w:themeColor="text1"/>
          <w:sz w:val="28"/>
          <w:szCs w:val="28"/>
          <w14:textFill>
            <w14:solidFill>
              <w14:schemeClr w14:val="tx1"/>
            </w14:solidFill>
          </w14:textFill>
        </w:rPr>
        <w:t>W</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min</w:t>
      </w:r>
      <w:r>
        <w:rPr>
          <w:rFonts w:hint="default" w:ascii="Times New Roman" w:hAnsi="Times New Roman" w:eastAsia="宋体" w:cs="Times New Roman"/>
          <w:b w:val="0"/>
          <w:bCs w:val="0"/>
          <w:color w:val="000000" w:themeColor="text1"/>
          <w:sz w:val="28"/>
          <w:szCs w:val="28"/>
          <w14:textFill>
            <w14:solidFill>
              <w14:schemeClr w14:val="tx1"/>
            </w14:solidFill>
          </w14:textFill>
        </w:rPr>
        <w:t>=（20-40）d=（20-40）×32mm=0.64-1.28m，取为1m。</w:t>
      </w:r>
      <w:bookmarkEnd w:id="138"/>
    </w:p>
    <w:p w14:paraId="6829234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5）孔深与超深</w:t>
      </w:r>
    </w:p>
    <w:p w14:paraId="136FBDE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缓冲孔的孔深需根据预裂孔钻孔倾角及离预裂孔距离确定，孔底要和预裂孔保持不少于2.2m的水平距离，预裂孔、缓冲孔孔深如下：</w:t>
      </w:r>
    </w:p>
    <w:p w14:paraId="54E80FF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预裂孔孔深：L=H/Sinα+h</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超</w:t>
      </w:r>
      <w:r>
        <w:rPr>
          <w:rFonts w:hint="default" w:ascii="Times New Roman" w:hAnsi="Times New Roman" w:eastAsia="宋体" w:cs="Times New Roman"/>
          <w:b w:val="0"/>
          <w:bCs w:val="0"/>
          <w:color w:val="000000" w:themeColor="text1"/>
          <w:sz w:val="28"/>
          <w:szCs w:val="28"/>
          <w14:textFill>
            <w14:solidFill>
              <w14:schemeClr w14:val="tx1"/>
            </w14:solidFill>
          </w14:textFill>
        </w:rPr>
        <w:t>=15/sin60°+0.5=17.82m；</w:t>
      </w:r>
    </w:p>
    <w:p w14:paraId="31E0E82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预裂孔超深：取为0.5m。</w:t>
      </w:r>
    </w:p>
    <w:p w14:paraId="2340BDA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6）孔距</w:t>
      </w:r>
    </w:p>
    <w:p w14:paraId="68471CFA">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预裂孔：a=（8-12）D=0.72-1.08，取1.0m；</w:t>
      </w:r>
    </w:p>
    <w:p w14:paraId="5F8B59D5">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7）填塞长度：L</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2</w:t>
      </w:r>
      <w:r>
        <w:rPr>
          <w:rFonts w:hint="default" w:ascii="Times New Roman" w:hAnsi="Times New Roman" w:eastAsia="宋体" w:cs="Times New Roman"/>
          <w:b w:val="0"/>
          <w:bCs w:val="0"/>
          <w:color w:val="000000" w:themeColor="text1"/>
          <w:sz w:val="28"/>
          <w:szCs w:val="28"/>
          <w14:textFill>
            <w14:solidFill>
              <w14:schemeClr w14:val="tx1"/>
            </w14:solidFill>
          </w14:textFill>
        </w:rPr>
        <w:t>取1.5m。</w:t>
      </w:r>
    </w:p>
    <w:p w14:paraId="4DF7847E">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8）线装药密度：</w:t>
      </w:r>
    </w:p>
    <w:p w14:paraId="107E5578">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预裂孔：采用经验公式</w:t>
      </w:r>
    </w:p>
    <w:p w14:paraId="02608E87">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m:oMathPara>
        <m:oMath>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Q</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线</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=0.034（</m:t>
          </m:r>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σ</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压</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sSup>
            <m:sSupPr>
              <m:ctrlPr>
                <w:rPr>
                  <w:rFonts w:hint="default" w:ascii="Cambria Math" w:hAnsi="Cambria Math" w:eastAsia="宋体" w:cs="Times New Roman"/>
                  <w:b w:val="0"/>
                  <w:bCs w:val="0"/>
                  <w:color w:val="000000" w:themeColor="text1"/>
                  <w:sz w:val="28"/>
                  <w:szCs w:val="28"/>
                  <w14:textFill>
                    <w14:solidFill>
                      <w14:schemeClr w14:val="tx1"/>
                    </w14:solidFill>
                  </w14:textFill>
                </w:rPr>
              </m:ctrlPr>
            </m:sSupPr>
            <m:e>
              <m:r>
                <m:rPr>
                  <m:sty m:val="p"/>
                </m:rPr>
                <w:rPr>
                  <w:rFonts w:hint="default" w:ascii="Cambria Math" w:hAnsi="Cambria Math" w:eastAsia="宋体" w:cs="Times New Roman"/>
                  <w:color w:val="000000" w:themeColor="text1"/>
                  <w:sz w:val="28"/>
                  <w:szCs w:val="28"/>
                  <w14:textFill>
                    <w14:solidFill>
                      <w14:schemeClr w14:val="tx1"/>
                    </w14:solidFill>
                  </w14:textFill>
                </w:rPr>
                <m:t>）</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p>
              <m:r>
                <m:rPr>
                  <m:sty m:val="p"/>
                </m:rPr>
                <w:rPr>
                  <w:rFonts w:hint="default" w:ascii="Cambria Math" w:hAnsi="Cambria Math" w:eastAsia="宋体" w:cs="Times New Roman"/>
                  <w:color w:val="000000" w:themeColor="text1"/>
                  <w:sz w:val="28"/>
                  <w:szCs w:val="28"/>
                  <w14:textFill>
                    <w14:solidFill>
                      <w14:schemeClr w14:val="tx1"/>
                    </w14:solidFill>
                  </w14:textFill>
                </w:rPr>
                <m:t>0.63</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p>
          </m:sSup>
          <m:sSup>
            <m:sSupPr>
              <m:ctrlPr>
                <w:rPr>
                  <w:rFonts w:hint="default" w:ascii="Cambria Math" w:hAnsi="Cambria Math" w:eastAsia="宋体" w:cs="Times New Roman"/>
                  <w:b w:val="0"/>
                  <w:bCs w:val="0"/>
                  <w:color w:val="000000" w:themeColor="text1"/>
                  <w:sz w:val="28"/>
                  <w:szCs w:val="28"/>
                  <w14:textFill>
                    <w14:solidFill>
                      <w14:schemeClr w14:val="tx1"/>
                    </w14:solidFill>
                  </w14:textFill>
                </w:rPr>
              </m:ctrlPr>
            </m:sSupPr>
            <m:e>
              <m:r>
                <m:rPr>
                  <m:sty m:val="p"/>
                </m:rPr>
                <w:rPr>
                  <w:rFonts w:hint="default" w:ascii="Cambria Math" w:hAnsi="Cambria Math" w:eastAsia="宋体" w:cs="Times New Roman"/>
                  <w:color w:val="000000" w:themeColor="text1"/>
                  <w:sz w:val="28"/>
                  <w:szCs w:val="28"/>
                  <w14:textFill>
                    <w14:solidFill>
                      <w14:schemeClr w14:val="tx1"/>
                    </w14:solidFill>
                  </w14:textFill>
                </w:rPr>
                <m:t>a</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p>
              <m:r>
                <m:rPr>
                  <m:sty m:val="p"/>
                </m:rPr>
                <w:rPr>
                  <w:rFonts w:hint="default" w:ascii="Cambria Math" w:hAnsi="Cambria Math" w:eastAsia="宋体" w:cs="Times New Roman"/>
                  <w:color w:val="000000" w:themeColor="text1"/>
                  <w:sz w:val="28"/>
                  <w:szCs w:val="28"/>
                  <w14:textFill>
                    <w14:solidFill>
                      <w14:schemeClr w14:val="tx1"/>
                    </w14:solidFill>
                  </w14:textFill>
                </w:rPr>
                <m:t>0.67</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p>
          </m:sSup>
        </m:oMath>
      </m:oMathPara>
    </w:p>
    <w:p w14:paraId="673CE783">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式中：</w:t>
      </w:r>
    </w:p>
    <w:p w14:paraId="223650FB">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Q</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线</w:t>
      </w:r>
      <w:r>
        <w:rPr>
          <w:rFonts w:hint="default" w:ascii="Times New Roman" w:hAnsi="Times New Roman" w:eastAsia="宋体" w:cs="Times New Roman"/>
          <w:b w:val="0"/>
          <w:bCs w:val="0"/>
          <w:color w:val="000000" w:themeColor="text1"/>
          <w:sz w:val="28"/>
          <w:szCs w:val="28"/>
          <w14:textFill>
            <w14:solidFill>
              <w14:schemeClr w14:val="tx1"/>
            </w14:solidFill>
          </w14:textFill>
        </w:rPr>
        <w:t>—预裂爆破的线装药密度，kg/m；</w:t>
      </w:r>
    </w:p>
    <w:p w14:paraId="58148DD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σ</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压</w:t>
      </w:r>
      <w:r>
        <w:rPr>
          <w:rFonts w:hint="default" w:ascii="Times New Roman" w:hAnsi="Times New Roman" w:eastAsia="宋体" w:cs="Times New Roman"/>
          <w:b w:val="0"/>
          <w:bCs w:val="0"/>
          <w:color w:val="000000" w:themeColor="text1"/>
          <w:sz w:val="28"/>
          <w:szCs w:val="28"/>
          <w14:textFill>
            <w14:solidFill>
              <w14:schemeClr w14:val="tx1"/>
            </w14:solidFill>
          </w14:textFill>
        </w:rPr>
        <w:t>—岩石的极限抗压强度，70MPa；</w:t>
      </w:r>
    </w:p>
    <w:p w14:paraId="44199251">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a—炮孔间距，1m。</w:t>
      </w:r>
    </w:p>
    <w:p w14:paraId="61BF0D8F">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经计算：Q</w:t>
      </w:r>
      <w:r>
        <w:rPr>
          <w:rFonts w:hint="default" w:ascii="Times New Roman" w:hAnsi="Times New Roman" w:eastAsia="宋体" w:cs="Times New Roman"/>
          <w:b w:val="0"/>
          <w:bCs w:val="0"/>
          <w:color w:val="000000" w:themeColor="text1"/>
          <w:sz w:val="28"/>
          <w:szCs w:val="28"/>
          <w:vertAlign w:val="subscript"/>
          <w14:textFill>
            <w14:solidFill>
              <w14:schemeClr w14:val="tx1"/>
            </w14:solidFill>
          </w14:textFill>
        </w:rPr>
        <w:t>线</w:t>
      </w:r>
      <w:r>
        <w:rPr>
          <w:rFonts w:hint="default" w:ascii="Times New Roman" w:hAnsi="Times New Roman" w:eastAsia="宋体" w:cs="Times New Roman"/>
          <w:b w:val="0"/>
          <w:bCs w:val="0"/>
          <w:color w:val="000000" w:themeColor="text1"/>
          <w:sz w:val="28"/>
          <w:szCs w:val="28"/>
          <w14:textFill>
            <w14:solidFill>
              <w14:schemeClr w14:val="tx1"/>
            </w14:solidFill>
          </w14:textFill>
        </w:rPr>
        <w:t>=0.91kg/m。</w:t>
      </w:r>
    </w:p>
    <w:p w14:paraId="00795D34">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9）装药量的确定</w:t>
      </w:r>
    </w:p>
    <w:p w14:paraId="28BBA21D">
      <w:pPr>
        <w:pageBreakBefore w:val="0"/>
        <w:kinsoku/>
        <w:wordWrap/>
        <w:bidi w:val="0"/>
        <w:adjustRightInd w:val="0"/>
        <w:snapToGrid w:val="0"/>
        <w:spacing w:line="360" w:lineRule="auto"/>
        <w:ind w:firstLine="560" w:firstLineChars="200"/>
        <w:rPr>
          <w:rFonts w:hint="default" w:ascii="Times New Roman" w:hAnsi="Times New Roman" w:eastAsia="宋体" w:cs="Times New Roman"/>
          <w:b w:val="0"/>
          <w:bCs w:val="0"/>
          <w:color w:val="000000" w:themeColor="text1"/>
          <w:sz w:val="28"/>
          <w:szCs w:val="28"/>
          <w14:textFill>
            <w14:solidFill>
              <w14:schemeClr w14:val="tx1"/>
            </w14:solidFill>
          </w14:textFill>
        </w:rPr>
      </w:pPr>
      <w:r>
        <w:rPr>
          <w:rFonts w:hint="default" w:ascii="Times New Roman" w:hAnsi="Times New Roman" w:eastAsia="宋体" w:cs="Times New Roman"/>
          <w:b w:val="0"/>
          <w:bCs w:val="0"/>
          <w:color w:val="000000" w:themeColor="text1"/>
          <w:sz w:val="28"/>
          <w:szCs w:val="28"/>
          <w14:textFill>
            <w14:solidFill>
              <w14:schemeClr w14:val="tx1"/>
            </w14:solidFill>
          </w14:textFill>
        </w:rPr>
        <w:t>预裂孔：</w:t>
      </w:r>
      <w:bookmarkEnd w:id="136"/>
      <m:oMath>
        <m:r>
          <m:rPr>
            <m:sty m:val="p"/>
          </m:rPr>
          <w:rPr>
            <w:rFonts w:hint="default" w:ascii="Cambria Math" w:hAnsi="Cambria Math" w:eastAsia="宋体" w:cs="Times New Roman"/>
            <w:color w:val="000000" w:themeColor="text1"/>
            <w:sz w:val="28"/>
            <w:szCs w:val="28"/>
            <w14:textFill>
              <w14:solidFill>
                <w14:schemeClr w14:val="tx1"/>
              </w14:solidFill>
            </w14:textFill>
          </w:rPr>
          <m:t>Q=L×</m:t>
        </m:r>
        <m:sSub>
          <m:sSubPr>
            <m:ctrlPr>
              <w:rPr>
                <w:rFonts w:hint="default" w:ascii="Cambria Math" w:hAnsi="Cambria Math" w:eastAsia="宋体" w:cs="Times New Roman"/>
                <w:b w:val="0"/>
                <w:bCs w:val="0"/>
                <w:color w:val="000000" w:themeColor="text1"/>
                <w:sz w:val="28"/>
                <w:szCs w:val="28"/>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14:textFill>
                  <w14:solidFill>
                    <w14:schemeClr w14:val="tx1"/>
                  </w14:solidFill>
                </w14:textFill>
              </w:rPr>
              <m:t>Q</m:t>
            </m:r>
            <m:ctrlPr>
              <w:rPr>
                <w:rFonts w:hint="default" w:ascii="Cambria Math" w:hAnsi="Cambria Math" w:eastAsia="宋体" w:cs="Times New Roman"/>
                <w:b w:val="0"/>
                <w:bCs w:val="0"/>
                <w:color w:val="000000" w:themeColor="text1"/>
                <w:sz w:val="28"/>
                <w:szCs w:val="28"/>
                <w14:textFill>
                  <w14:solidFill>
                    <w14:schemeClr w14:val="tx1"/>
                  </w14:solidFill>
                </w14:textFill>
              </w:rPr>
            </m:ctrlPr>
          </m:e>
          <m:sub>
            <m:r>
              <m:rPr>
                <m:sty m:val="p"/>
              </m:rPr>
              <w:rPr>
                <w:rFonts w:hint="default" w:ascii="Cambria Math" w:hAnsi="Cambria Math" w:eastAsia="宋体" w:cs="Times New Roman"/>
                <w:color w:val="000000" w:themeColor="text1"/>
                <w:sz w:val="28"/>
                <w:szCs w:val="28"/>
                <w14:textFill>
                  <w14:solidFill>
                    <w14:schemeClr w14:val="tx1"/>
                  </w14:solidFill>
                </w14:textFill>
              </w:rPr>
              <m:t>线</m:t>
            </m:r>
            <m:ctrlPr>
              <w:rPr>
                <w:rFonts w:hint="default" w:ascii="Cambria Math" w:hAnsi="Cambria Math" w:eastAsia="宋体" w:cs="Times New Roman"/>
                <w:b w:val="0"/>
                <w:bCs w:val="0"/>
                <w:color w:val="000000" w:themeColor="text1"/>
                <w:sz w:val="28"/>
                <w:szCs w:val="28"/>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14:textFill>
              <w14:solidFill>
                <w14:schemeClr w14:val="tx1"/>
              </w14:solidFill>
            </w14:textFill>
          </w:rPr>
          <m:t>=17.82×0.91=16.22kg</m:t>
        </m:r>
      </m:oMath>
      <w:r>
        <w:rPr>
          <w:rFonts w:hint="default" w:ascii="Times New Roman" w:hAnsi="Times New Roman" w:eastAsia="宋体" w:cs="Times New Roman"/>
          <w:b w:val="0"/>
          <w:bCs w:val="0"/>
          <w:color w:val="000000" w:themeColor="text1"/>
          <w:sz w:val="28"/>
          <w:szCs w:val="28"/>
          <w14:textFill>
            <w14:solidFill>
              <w14:schemeClr w14:val="tx1"/>
            </w14:solidFill>
          </w14:textFill>
        </w:rPr>
        <w:t>。</w:t>
      </w:r>
    </w:p>
    <w:p w14:paraId="245C49C4">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bookmarkStart w:id="139" w:name="_Toc302142024"/>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b/>
          <w:bCs/>
          <w:color w:val="000000" w:themeColor="text1"/>
          <w:sz w:val="28"/>
          <w:szCs w:val="28"/>
          <w14:textFill>
            <w14:solidFill>
              <w14:schemeClr w14:val="tx1"/>
            </w14:solidFill>
          </w14:textFill>
        </w:rPr>
        <w:t>、爆破参数的选择：</w:t>
      </w:r>
    </w:p>
    <w:bookmarkEnd w:id="139"/>
    <w:p w14:paraId="10C28FCC">
      <w:pPr>
        <w:keepNext/>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18"/>
        </w:rPr>
      </w:pPr>
      <w:r>
        <w:rPr>
          <w:rFonts w:hint="default" w:ascii="Times New Roman" w:hAnsi="Times New Roman" w:eastAsia="宋体" w:cs="Times New Roman"/>
          <w:b/>
          <w:kern w:val="0"/>
          <w:sz w:val="24"/>
          <w:szCs w:val="18"/>
        </w:rPr>
        <w:t>表2.4-4</w:t>
      </w:r>
      <w:r>
        <w:rPr>
          <w:rFonts w:hint="default" w:ascii="Times New Roman" w:hAnsi="Times New Roman" w:eastAsia="宋体" w:cs="Times New Roman"/>
          <w:b/>
          <w:kern w:val="0"/>
          <w:sz w:val="24"/>
          <w:szCs w:val="18"/>
          <w:lang w:val="en-US" w:eastAsia="zh-CN"/>
        </w:rPr>
        <w:t xml:space="preserve">  </w:t>
      </w:r>
      <w:r>
        <w:rPr>
          <w:rFonts w:hint="default" w:ascii="Times New Roman" w:hAnsi="Times New Roman" w:eastAsia="宋体" w:cs="Times New Roman"/>
          <w:b/>
          <w:kern w:val="0"/>
          <w:sz w:val="24"/>
          <w:szCs w:val="18"/>
        </w:rPr>
        <w:t>爆破作业参数表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0"/>
        <w:gridCol w:w="1719"/>
        <w:gridCol w:w="2561"/>
        <w:gridCol w:w="2561"/>
      </w:tblGrid>
      <w:tr w14:paraId="05BA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25346C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kern w:val="0"/>
                <w:sz w:val="21"/>
                <w:szCs w:val="15"/>
              </w:rPr>
            </w:pPr>
            <w:bookmarkStart w:id="140" w:name="_Hlk142568077"/>
            <w:r>
              <w:rPr>
                <w:rFonts w:hint="default" w:ascii="Times New Roman" w:hAnsi="Times New Roman" w:eastAsia="宋体" w:cs="Times New Roman"/>
                <w:b/>
                <w:bCs w:val="0"/>
                <w:kern w:val="0"/>
                <w:sz w:val="21"/>
                <w:szCs w:val="15"/>
              </w:rPr>
              <w:t>类别</w:t>
            </w:r>
          </w:p>
        </w:tc>
        <w:tc>
          <w:tcPr>
            <w:tcW w:w="914" w:type="pct"/>
            <w:shd w:val="clear" w:color="auto" w:fill="auto"/>
            <w:noWrap/>
            <w:vAlign w:val="center"/>
          </w:tcPr>
          <w:p w14:paraId="6EE137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kern w:val="0"/>
                <w:sz w:val="21"/>
                <w:szCs w:val="15"/>
              </w:rPr>
            </w:pPr>
            <w:r>
              <w:rPr>
                <w:rFonts w:hint="default" w:ascii="Times New Roman" w:hAnsi="Times New Roman" w:eastAsia="宋体" w:cs="Times New Roman"/>
                <w:b/>
                <w:bCs w:val="0"/>
                <w:kern w:val="0"/>
                <w:sz w:val="21"/>
                <w:szCs w:val="15"/>
              </w:rPr>
              <w:t>单位</w:t>
            </w:r>
          </w:p>
        </w:tc>
        <w:tc>
          <w:tcPr>
            <w:tcW w:w="1362" w:type="pct"/>
            <w:shd w:val="clear" w:color="auto" w:fill="auto"/>
            <w:vAlign w:val="center"/>
          </w:tcPr>
          <w:p w14:paraId="23830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kern w:val="0"/>
                <w:sz w:val="21"/>
                <w:szCs w:val="15"/>
              </w:rPr>
            </w:pPr>
            <w:r>
              <w:rPr>
                <w:rFonts w:hint="default" w:ascii="Times New Roman" w:hAnsi="Times New Roman" w:eastAsia="宋体" w:cs="Times New Roman"/>
                <w:b/>
                <w:bCs w:val="0"/>
                <w:kern w:val="0"/>
                <w:sz w:val="21"/>
                <w:szCs w:val="15"/>
              </w:rPr>
              <w:t>主炮孔</w:t>
            </w:r>
          </w:p>
        </w:tc>
        <w:tc>
          <w:tcPr>
            <w:tcW w:w="1362" w:type="pct"/>
            <w:shd w:val="clear" w:color="auto" w:fill="auto"/>
            <w:vAlign w:val="center"/>
          </w:tcPr>
          <w:p w14:paraId="5AC51E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kern w:val="0"/>
                <w:sz w:val="21"/>
                <w:szCs w:val="15"/>
              </w:rPr>
            </w:pPr>
            <w:r>
              <w:rPr>
                <w:rFonts w:hint="default" w:ascii="Times New Roman" w:hAnsi="Times New Roman" w:eastAsia="宋体" w:cs="Times New Roman"/>
                <w:b/>
                <w:bCs w:val="0"/>
                <w:kern w:val="0"/>
                <w:sz w:val="21"/>
                <w:szCs w:val="15"/>
              </w:rPr>
              <w:t>预裂孔</w:t>
            </w:r>
          </w:p>
        </w:tc>
      </w:tr>
      <w:tr w14:paraId="58FE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3738A3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钻孔倾角</w:t>
            </w:r>
          </w:p>
        </w:tc>
        <w:tc>
          <w:tcPr>
            <w:tcW w:w="914" w:type="pct"/>
            <w:shd w:val="clear" w:color="auto" w:fill="auto"/>
            <w:noWrap/>
            <w:vAlign w:val="center"/>
          </w:tcPr>
          <w:p w14:paraId="0534EE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w:t>
            </w:r>
          </w:p>
        </w:tc>
        <w:tc>
          <w:tcPr>
            <w:tcW w:w="1362" w:type="pct"/>
            <w:shd w:val="clear" w:color="auto" w:fill="auto"/>
            <w:noWrap/>
            <w:vAlign w:val="center"/>
          </w:tcPr>
          <w:p w14:paraId="562A3C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90</w:t>
            </w:r>
          </w:p>
        </w:tc>
        <w:tc>
          <w:tcPr>
            <w:tcW w:w="1362" w:type="pct"/>
            <w:shd w:val="clear" w:color="auto" w:fill="auto"/>
            <w:noWrap/>
            <w:vAlign w:val="center"/>
          </w:tcPr>
          <w:p w14:paraId="247DE3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60</w:t>
            </w:r>
          </w:p>
        </w:tc>
      </w:tr>
      <w:tr w14:paraId="0ED3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2E951D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孔径</w:t>
            </w:r>
          </w:p>
        </w:tc>
        <w:tc>
          <w:tcPr>
            <w:tcW w:w="914" w:type="pct"/>
            <w:shd w:val="clear" w:color="auto" w:fill="auto"/>
            <w:noWrap/>
            <w:vAlign w:val="center"/>
          </w:tcPr>
          <w:p w14:paraId="3C0B70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mm</w:t>
            </w:r>
          </w:p>
        </w:tc>
        <w:tc>
          <w:tcPr>
            <w:tcW w:w="1362" w:type="pct"/>
            <w:shd w:val="clear" w:color="auto" w:fill="auto"/>
            <w:vAlign w:val="center"/>
          </w:tcPr>
          <w:p w14:paraId="787FBF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120</w:t>
            </w:r>
          </w:p>
        </w:tc>
        <w:tc>
          <w:tcPr>
            <w:tcW w:w="1362" w:type="pct"/>
            <w:shd w:val="clear" w:color="auto" w:fill="auto"/>
            <w:vAlign w:val="center"/>
          </w:tcPr>
          <w:p w14:paraId="45D644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50</w:t>
            </w:r>
          </w:p>
        </w:tc>
      </w:tr>
      <w:tr w14:paraId="2F90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6E112C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孔距</w:t>
            </w:r>
          </w:p>
        </w:tc>
        <w:tc>
          <w:tcPr>
            <w:tcW w:w="914" w:type="pct"/>
            <w:shd w:val="clear" w:color="auto" w:fill="auto"/>
            <w:noWrap/>
            <w:vAlign w:val="center"/>
          </w:tcPr>
          <w:p w14:paraId="014E1E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009973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4.5</w:t>
            </w:r>
          </w:p>
        </w:tc>
        <w:tc>
          <w:tcPr>
            <w:tcW w:w="1362" w:type="pct"/>
            <w:shd w:val="clear" w:color="auto" w:fill="auto"/>
            <w:noWrap/>
            <w:vAlign w:val="center"/>
          </w:tcPr>
          <w:p w14:paraId="6831D3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w:t>
            </w:r>
          </w:p>
        </w:tc>
      </w:tr>
      <w:tr w14:paraId="5692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72D677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排距</w:t>
            </w:r>
          </w:p>
        </w:tc>
        <w:tc>
          <w:tcPr>
            <w:tcW w:w="914" w:type="pct"/>
            <w:shd w:val="clear" w:color="auto" w:fill="auto"/>
            <w:noWrap/>
            <w:vAlign w:val="center"/>
          </w:tcPr>
          <w:p w14:paraId="03754D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7275A8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4</w:t>
            </w:r>
          </w:p>
        </w:tc>
        <w:tc>
          <w:tcPr>
            <w:tcW w:w="1362" w:type="pct"/>
            <w:shd w:val="clear" w:color="auto" w:fill="auto"/>
            <w:noWrap/>
            <w:vAlign w:val="center"/>
          </w:tcPr>
          <w:p w14:paraId="1F9FED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p>
        </w:tc>
      </w:tr>
      <w:tr w14:paraId="331C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101F4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最小抵抗线</w:t>
            </w:r>
          </w:p>
        </w:tc>
        <w:tc>
          <w:tcPr>
            <w:tcW w:w="914" w:type="pct"/>
            <w:shd w:val="clear" w:color="auto" w:fill="auto"/>
            <w:noWrap/>
            <w:vAlign w:val="center"/>
          </w:tcPr>
          <w:p w14:paraId="3A3EA0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2A2C8D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3.6</w:t>
            </w:r>
          </w:p>
        </w:tc>
        <w:tc>
          <w:tcPr>
            <w:tcW w:w="1362" w:type="pct"/>
            <w:shd w:val="clear" w:color="auto" w:fill="auto"/>
            <w:noWrap/>
            <w:vAlign w:val="center"/>
          </w:tcPr>
          <w:p w14:paraId="069598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w:t>
            </w:r>
          </w:p>
        </w:tc>
      </w:tr>
      <w:tr w14:paraId="67C3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55777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超深</w:t>
            </w:r>
          </w:p>
        </w:tc>
        <w:tc>
          <w:tcPr>
            <w:tcW w:w="914" w:type="pct"/>
            <w:shd w:val="clear" w:color="auto" w:fill="auto"/>
            <w:noWrap/>
            <w:vAlign w:val="center"/>
          </w:tcPr>
          <w:p w14:paraId="00C8F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55CFA7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1.5</w:t>
            </w:r>
          </w:p>
        </w:tc>
        <w:tc>
          <w:tcPr>
            <w:tcW w:w="1362" w:type="pct"/>
            <w:shd w:val="clear" w:color="auto" w:fill="auto"/>
            <w:noWrap/>
            <w:vAlign w:val="center"/>
          </w:tcPr>
          <w:p w14:paraId="6C33AE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0.5</w:t>
            </w:r>
          </w:p>
        </w:tc>
      </w:tr>
      <w:tr w14:paraId="079C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7D63FF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孔深</w:t>
            </w:r>
          </w:p>
        </w:tc>
        <w:tc>
          <w:tcPr>
            <w:tcW w:w="914" w:type="pct"/>
            <w:shd w:val="clear" w:color="auto" w:fill="auto"/>
            <w:noWrap/>
            <w:vAlign w:val="center"/>
          </w:tcPr>
          <w:p w14:paraId="009772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51E7A7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16.5</w:t>
            </w:r>
          </w:p>
        </w:tc>
        <w:tc>
          <w:tcPr>
            <w:tcW w:w="1362" w:type="pct"/>
            <w:shd w:val="clear" w:color="auto" w:fill="auto"/>
            <w:noWrap/>
            <w:vAlign w:val="center"/>
          </w:tcPr>
          <w:p w14:paraId="7D4B03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17.82</w:t>
            </w:r>
          </w:p>
        </w:tc>
      </w:tr>
      <w:tr w14:paraId="52B6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0FD150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填塞高度</w:t>
            </w:r>
          </w:p>
        </w:tc>
        <w:tc>
          <w:tcPr>
            <w:tcW w:w="914" w:type="pct"/>
            <w:shd w:val="clear" w:color="auto" w:fill="auto"/>
            <w:noWrap/>
            <w:vAlign w:val="center"/>
          </w:tcPr>
          <w:p w14:paraId="6759AD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m</w:t>
            </w:r>
          </w:p>
        </w:tc>
        <w:tc>
          <w:tcPr>
            <w:tcW w:w="1362" w:type="pct"/>
            <w:shd w:val="clear" w:color="auto" w:fill="auto"/>
            <w:noWrap/>
            <w:vAlign w:val="center"/>
          </w:tcPr>
          <w:p w14:paraId="46C961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3.6</w:t>
            </w:r>
          </w:p>
        </w:tc>
        <w:tc>
          <w:tcPr>
            <w:tcW w:w="1362" w:type="pct"/>
            <w:shd w:val="clear" w:color="auto" w:fill="auto"/>
            <w:noWrap/>
            <w:vAlign w:val="center"/>
          </w:tcPr>
          <w:p w14:paraId="36FB38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1.5</w:t>
            </w:r>
          </w:p>
        </w:tc>
      </w:tr>
      <w:tr w14:paraId="019F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2F92D1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单孔装药量</w:t>
            </w:r>
          </w:p>
        </w:tc>
        <w:tc>
          <w:tcPr>
            <w:tcW w:w="914" w:type="pct"/>
            <w:shd w:val="clear" w:color="auto" w:fill="auto"/>
            <w:noWrap/>
            <w:vAlign w:val="center"/>
          </w:tcPr>
          <w:p w14:paraId="3596E9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kg/孔</w:t>
            </w:r>
          </w:p>
        </w:tc>
        <w:tc>
          <w:tcPr>
            <w:tcW w:w="1362" w:type="pct"/>
            <w:shd w:val="clear" w:color="auto" w:fill="auto"/>
            <w:vAlign w:val="center"/>
          </w:tcPr>
          <w:p w14:paraId="405096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139.32</w:t>
            </w:r>
          </w:p>
        </w:tc>
        <w:tc>
          <w:tcPr>
            <w:tcW w:w="1362" w:type="pct"/>
            <w:shd w:val="clear" w:color="auto" w:fill="auto"/>
            <w:vAlign w:val="center"/>
          </w:tcPr>
          <w:p w14:paraId="6CE3E6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16.22</w:t>
            </w:r>
          </w:p>
        </w:tc>
      </w:tr>
      <w:tr w14:paraId="706E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2" w:type="pct"/>
            <w:shd w:val="clear" w:color="auto" w:fill="auto"/>
            <w:vAlign w:val="center"/>
          </w:tcPr>
          <w:p w14:paraId="7A974A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炸药单耗</w:t>
            </w:r>
          </w:p>
        </w:tc>
        <w:tc>
          <w:tcPr>
            <w:tcW w:w="914" w:type="pct"/>
            <w:shd w:val="clear" w:color="auto" w:fill="auto"/>
            <w:noWrap/>
            <w:vAlign w:val="center"/>
          </w:tcPr>
          <w:p w14:paraId="093366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kg/m</w:t>
            </w:r>
            <w:r>
              <w:rPr>
                <w:rFonts w:hint="default" w:ascii="Times New Roman" w:hAnsi="Times New Roman" w:eastAsia="宋体" w:cs="Times New Roman"/>
                <w:b w:val="0"/>
                <w:bCs/>
                <w:kern w:val="0"/>
                <w:sz w:val="21"/>
                <w:szCs w:val="15"/>
                <w:vertAlign w:val="superscript"/>
              </w:rPr>
              <w:t>3</w:t>
            </w:r>
          </w:p>
        </w:tc>
        <w:tc>
          <w:tcPr>
            <w:tcW w:w="1362" w:type="pct"/>
            <w:shd w:val="clear" w:color="auto" w:fill="auto"/>
            <w:vAlign w:val="center"/>
          </w:tcPr>
          <w:p w14:paraId="517211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r>
              <w:rPr>
                <w:rFonts w:hint="default" w:ascii="Times New Roman" w:hAnsi="Times New Roman" w:eastAsia="宋体" w:cs="Times New Roman"/>
                <w:b w:val="0"/>
                <w:bCs/>
                <w:kern w:val="0"/>
                <w:sz w:val="21"/>
                <w:szCs w:val="15"/>
              </w:rPr>
              <w:t>0.5</w:t>
            </w:r>
          </w:p>
        </w:tc>
        <w:tc>
          <w:tcPr>
            <w:tcW w:w="1362" w:type="pct"/>
            <w:shd w:val="clear" w:color="auto" w:fill="auto"/>
            <w:vAlign w:val="center"/>
          </w:tcPr>
          <w:p w14:paraId="0F8D92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kern w:val="0"/>
                <w:sz w:val="21"/>
                <w:szCs w:val="15"/>
              </w:rPr>
            </w:pPr>
          </w:p>
        </w:tc>
      </w:tr>
      <w:bookmarkEnd w:id="140"/>
    </w:tbl>
    <w:p w14:paraId="6DB394C0">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2.4.6.5 爆破安全距离</w:t>
      </w:r>
    </w:p>
    <w:p w14:paraId="17E2C22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一、爆破安全距离</w:t>
      </w:r>
    </w:p>
    <w:p w14:paraId="0108D18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矿山</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设计采用中深孔穿孔，数码电子雷管逐孔起爆方式</w:t>
      </w:r>
      <w:r>
        <w:rPr>
          <w:rFonts w:hint="default" w:ascii="Times New Roman" w:hAnsi="Times New Roman" w:eastAsia="宋体" w:cs="Times New Roman"/>
          <w:color w:val="000000" w:themeColor="text1"/>
          <w:sz w:val="28"/>
          <w:szCs w:val="28"/>
          <w:lang w:val="en-GB"/>
          <w14:textFill>
            <w14:solidFill>
              <w14:schemeClr w14:val="tx1"/>
            </w14:solidFill>
          </w14:textFill>
        </w:rPr>
        <w:t>，最小抵抗线为3.</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m，一次最大单孔装药量为139.32kg的条件下，爆破地震波、空气冲击波和飞石的计算安全距离如下。</w:t>
      </w:r>
    </w:p>
    <w:p w14:paraId="78C4F028">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lang w:val="en-GB"/>
          <w14:textFill>
            <w14:solidFill>
              <w14:schemeClr w14:val="tx1"/>
            </w14:solidFill>
          </w14:textFill>
        </w:rPr>
        <w:t>1、爆破振动安全距离</w:t>
      </w:r>
    </w:p>
    <w:p w14:paraId="2883FB0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bookmarkStart w:id="141" w:name="_Hlk142568195"/>
      <w:r>
        <w:rPr>
          <w:rFonts w:hint="default" w:ascii="Times New Roman" w:hAnsi="Times New Roman" w:eastAsia="宋体" w:cs="Times New Roman"/>
          <w:color w:val="000000" w:themeColor="text1"/>
          <w:sz w:val="28"/>
          <w:szCs w:val="28"/>
          <w:lang w:val="en-GB"/>
          <w14:textFill>
            <w14:solidFill>
              <w14:schemeClr w14:val="tx1"/>
            </w14:solidFill>
          </w14:textFill>
        </w:rPr>
        <w:t>根据《爆破安全规程》（GB6722-2014）中爆破振动安全允许距离计算公式：</w:t>
      </w:r>
    </w:p>
    <w:p w14:paraId="0293604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m:oMathPara>
        <m:oMath>
          <m:r>
            <m:rPr>
              <m:sty m:val="p"/>
            </m:rPr>
            <w:rPr>
              <w:rFonts w:hint="default" w:ascii="Cambria Math" w:hAnsi="Cambria Math" w:eastAsia="宋体" w:cs="Times New Roman"/>
              <w:color w:val="000000" w:themeColor="text1"/>
              <w:sz w:val="28"/>
              <w:szCs w:val="28"/>
              <w:lang w:val="en-GB"/>
              <w14:textFill>
                <w14:solidFill>
                  <w14:schemeClr w14:val="tx1"/>
                </w14:solidFill>
              </w14:textFill>
            </w:rPr>
            <m:t>R=（</m:t>
          </m:r>
          <m:f>
            <m:fPr>
              <m:ctrlPr>
                <w:rPr>
                  <w:rFonts w:hint="default" w:ascii="Cambria Math" w:hAnsi="Cambria Math" w:eastAsia="宋体" w:cs="Times New Roman"/>
                  <w:color w:val="000000" w:themeColor="text1"/>
                  <w:sz w:val="28"/>
                  <w:szCs w:val="28"/>
                  <w:lang w:val="en-GB"/>
                  <w14:textFill>
                    <w14:solidFill>
                      <w14:schemeClr w14:val="tx1"/>
                    </w14:solidFill>
                  </w14:textFill>
                </w:rPr>
              </m:ctrlPr>
            </m:fPr>
            <m:num>
              <m:r>
                <m:rPr>
                  <m:sty m:val="p"/>
                </m:rPr>
                <w:rPr>
                  <w:rFonts w:hint="default" w:ascii="Cambria Math" w:hAnsi="Cambria Math" w:eastAsia="宋体" w:cs="Times New Roman"/>
                  <w:color w:val="000000" w:themeColor="text1"/>
                  <w:sz w:val="28"/>
                  <w:szCs w:val="28"/>
                  <w:lang w:val="en-GB"/>
                  <w14:textFill>
                    <w14:solidFill>
                      <w14:schemeClr w14:val="tx1"/>
                    </w14:solidFill>
                  </w14:textFill>
                </w:rPr>
                <m:t>K</m:t>
              </m:r>
              <m:ctrlPr>
                <w:rPr>
                  <w:rFonts w:hint="default" w:ascii="Cambria Math" w:hAnsi="Cambria Math" w:eastAsia="宋体" w:cs="Times New Roman"/>
                  <w:color w:val="000000" w:themeColor="text1"/>
                  <w:sz w:val="28"/>
                  <w:szCs w:val="28"/>
                  <w:lang w:val="en-GB"/>
                  <w14:textFill>
                    <w14:solidFill>
                      <w14:schemeClr w14:val="tx1"/>
                    </w14:solidFill>
                  </w14:textFill>
                </w:rPr>
              </m:ctrlPr>
            </m:num>
            <m:den>
              <m:r>
                <m:rPr>
                  <m:sty m:val="p"/>
                </m:rPr>
                <w:rPr>
                  <w:rFonts w:hint="default" w:ascii="Cambria Math" w:hAnsi="Cambria Math" w:eastAsia="宋体" w:cs="Times New Roman"/>
                  <w:color w:val="000000" w:themeColor="text1"/>
                  <w:sz w:val="28"/>
                  <w:szCs w:val="28"/>
                  <w:lang w:val="en-GB"/>
                  <w14:textFill>
                    <w14:solidFill>
                      <w14:schemeClr w14:val="tx1"/>
                    </w14:solidFill>
                  </w14:textFill>
                </w:rPr>
                <m:t>V</m:t>
              </m:r>
              <m:ctrlPr>
                <w:rPr>
                  <w:rFonts w:hint="default" w:ascii="Cambria Math" w:hAnsi="Cambria Math" w:eastAsia="宋体" w:cs="Times New Roman"/>
                  <w:color w:val="000000" w:themeColor="text1"/>
                  <w:sz w:val="28"/>
                  <w:szCs w:val="28"/>
                  <w:lang w:val="en-GB"/>
                  <w14:textFill>
                    <w14:solidFill>
                      <w14:schemeClr w14:val="tx1"/>
                    </w14:solidFill>
                  </w14:textFill>
                </w:rPr>
              </m:ctrlPr>
            </m:den>
          </m:f>
          <m:sSup>
            <m:sSupPr>
              <m:ctrlPr>
                <w:rPr>
                  <w:rFonts w:hint="default" w:ascii="Cambria Math" w:hAnsi="Cambria Math" w:eastAsia="宋体" w:cs="Times New Roman"/>
                  <w:color w:val="000000" w:themeColor="text1"/>
                  <w:sz w:val="28"/>
                  <w:szCs w:val="28"/>
                  <w:lang w:val="en-GB"/>
                  <w14:textFill>
                    <w14:solidFill>
                      <w14:schemeClr w14:val="tx1"/>
                    </w14:solidFill>
                  </w14:textFill>
                </w:rPr>
              </m:ctrlPr>
            </m:sSupPr>
            <m:e>
              <m:r>
                <m:rPr>
                  <m:sty m:val="p"/>
                </m:rPr>
                <w:rPr>
                  <w:rFonts w:hint="default" w:ascii="Cambria Math" w:hAnsi="Cambria Math" w:eastAsia="宋体" w:cs="Times New Roman"/>
                  <w:color w:val="000000" w:themeColor="text1"/>
                  <w:sz w:val="28"/>
                  <w:szCs w:val="28"/>
                  <w:lang w:val="en-GB"/>
                  <w14:textFill>
                    <w14:solidFill>
                      <w14:schemeClr w14:val="tx1"/>
                    </w14:solidFill>
                  </w14:textFill>
                </w:rPr>
                <m:t>）</m:t>
              </m:r>
              <m:ctrlPr>
                <w:rPr>
                  <w:rFonts w:hint="default" w:ascii="Cambria Math" w:hAnsi="Cambria Math" w:eastAsia="宋体" w:cs="Times New Roman"/>
                  <w:color w:val="000000" w:themeColor="text1"/>
                  <w:sz w:val="28"/>
                  <w:szCs w:val="28"/>
                  <w:lang w:val="en-GB"/>
                  <w14:textFill>
                    <w14:solidFill>
                      <w14:schemeClr w14:val="tx1"/>
                    </w14:solidFill>
                  </w14:textFill>
                </w:rPr>
              </m:ctrlPr>
            </m:e>
            <m:sup>
              <m:f>
                <m:fPr>
                  <m:ctrlPr>
                    <w:rPr>
                      <w:rFonts w:hint="default" w:ascii="Cambria Math" w:hAnsi="Cambria Math" w:eastAsia="宋体" w:cs="Times New Roman"/>
                      <w:color w:val="000000" w:themeColor="text1"/>
                      <w:sz w:val="28"/>
                      <w:szCs w:val="28"/>
                      <w:lang w:val="en-GB"/>
                      <w14:textFill>
                        <w14:solidFill>
                          <w14:schemeClr w14:val="tx1"/>
                        </w14:solidFill>
                      </w14:textFill>
                    </w:rPr>
                  </m:ctrlPr>
                </m:fPr>
                <m:num>
                  <m:r>
                    <m:rPr>
                      <m:sty m:val="p"/>
                    </m:rPr>
                    <w:rPr>
                      <w:rFonts w:hint="default" w:ascii="Cambria Math" w:hAnsi="Cambria Math" w:eastAsia="宋体" w:cs="Times New Roman"/>
                      <w:color w:val="000000" w:themeColor="text1"/>
                      <w:sz w:val="28"/>
                      <w:szCs w:val="28"/>
                      <w:lang w:val="en-GB"/>
                      <w14:textFill>
                        <w14:solidFill>
                          <w14:schemeClr w14:val="tx1"/>
                        </w14:solidFill>
                      </w14:textFill>
                    </w:rPr>
                    <m:t>1</m:t>
                  </m:r>
                  <m:ctrlPr>
                    <w:rPr>
                      <w:rFonts w:hint="default" w:ascii="Cambria Math" w:hAnsi="Cambria Math" w:eastAsia="宋体" w:cs="Times New Roman"/>
                      <w:color w:val="000000" w:themeColor="text1"/>
                      <w:sz w:val="28"/>
                      <w:szCs w:val="28"/>
                      <w:lang w:val="en-GB"/>
                      <w14:textFill>
                        <w14:solidFill>
                          <w14:schemeClr w14:val="tx1"/>
                        </w14:solidFill>
                      </w14:textFill>
                    </w:rPr>
                  </m:ctrlPr>
                </m:num>
                <m:den>
                  <m:r>
                    <m:rPr>
                      <m:sty m:val="p"/>
                    </m:rPr>
                    <w:rPr>
                      <w:rFonts w:hint="default" w:ascii="Cambria Math" w:hAnsi="Cambria Math" w:eastAsia="宋体" w:cs="Times New Roman"/>
                      <w:color w:val="000000" w:themeColor="text1"/>
                      <w:sz w:val="28"/>
                      <w:szCs w:val="28"/>
                      <w:lang w:val="en-GB"/>
                      <w14:textFill>
                        <w14:solidFill>
                          <w14:schemeClr w14:val="tx1"/>
                        </w14:solidFill>
                      </w14:textFill>
                    </w:rPr>
                    <m:t>α</m:t>
                  </m:r>
                  <m:ctrlPr>
                    <w:rPr>
                      <w:rFonts w:hint="default" w:ascii="Cambria Math" w:hAnsi="Cambria Math" w:eastAsia="宋体" w:cs="Times New Roman"/>
                      <w:color w:val="000000" w:themeColor="text1"/>
                      <w:sz w:val="28"/>
                      <w:szCs w:val="28"/>
                      <w:lang w:val="en-GB"/>
                      <w14:textFill>
                        <w14:solidFill>
                          <w14:schemeClr w14:val="tx1"/>
                        </w14:solidFill>
                      </w14:textFill>
                    </w:rPr>
                  </m:ctrlPr>
                </m:den>
              </m:f>
              <m:ctrlPr>
                <w:rPr>
                  <w:rFonts w:hint="default" w:ascii="Cambria Math" w:hAnsi="Cambria Math" w:eastAsia="宋体" w:cs="Times New Roman"/>
                  <w:color w:val="000000" w:themeColor="text1"/>
                  <w:sz w:val="28"/>
                  <w:szCs w:val="28"/>
                  <w:lang w:val="en-GB"/>
                  <w14:textFill>
                    <w14:solidFill>
                      <w14:schemeClr w14:val="tx1"/>
                    </w14:solidFill>
                  </w14:textFill>
                </w:rPr>
              </m:ctrlPr>
            </m:sup>
          </m:sSup>
          <m:sSup>
            <m:sSupPr>
              <m:ctrlPr>
                <w:rPr>
                  <w:rFonts w:hint="default" w:ascii="Cambria Math" w:hAnsi="Cambria Math" w:eastAsia="宋体" w:cs="Times New Roman"/>
                  <w:color w:val="000000" w:themeColor="text1"/>
                  <w:sz w:val="28"/>
                  <w:szCs w:val="28"/>
                  <w:lang w:val="en-GB"/>
                  <w14:textFill>
                    <w14:solidFill>
                      <w14:schemeClr w14:val="tx1"/>
                    </w14:solidFill>
                  </w14:textFill>
                </w:rPr>
              </m:ctrlPr>
            </m:sSupPr>
            <m:e>
              <m:r>
                <m:rPr>
                  <m:sty m:val="p"/>
                </m:rPr>
                <w:rPr>
                  <w:rFonts w:hint="default" w:ascii="Cambria Math" w:hAnsi="Cambria Math" w:eastAsia="宋体" w:cs="Times New Roman"/>
                  <w:color w:val="000000" w:themeColor="text1"/>
                  <w:sz w:val="28"/>
                  <w:szCs w:val="28"/>
                  <w:lang w:val="en-GB"/>
                  <w14:textFill>
                    <w14:solidFill>
                      <w14:schemeClr w14:val="tx1"/>
                    </w14:solidFill>
                  </w14:textFill>
                </w:rPr>
                <m:t>Q</m:t>
              </m:r>
              <m:ctrlPr>
                <w:rPr>
                  <w:rFonts w:hint="default" w:ascii="Cambria Math" w:hAnsi="Cambria Math" w:eastAsia="宋体" w:cs="Times New Roman"/>
                  <w:color w:val="000000" w:themeColor="text1"/>
                  <w:sz w:val="28"/>
                  <w:szCs w:val="28"/>
                  <w:lang w:val="en-GB"/>
                  <w14:textFill>
                    <w14:solidFill>
                      <w14:schemeClr w14:val="tx1"/>
                    </w14:solidFill>
                  </w14:textFill>
                </w:rPr>
              </m:ctrlPr>
            </m:e>
            <m:sup>
              <m:f>
                <m:fPr>
                  <m:ctrlPr>
                    <w:rPr>
                      <w:rFonts w:hint="default" w:ascii="Cambria Math" w:hAnsi="Cambria Math" w:eastAsia="宋体" w:cs="Times New Roman"/>
                      <w:color w:val="000000" w:themeColor="text1"/>
                      <w:sz w:val="28"/>
                      <w:szCs w:val="28"/>
                      <w:lang w:val="en-GB"/>
                      <w14:textFill>
                        <w14:solidFill>
                          <w14:schemeClr w14:val="tx1"/>
                        </w14:solidFill>
                      </w14:textFill>
                    </w:rPr>
                  </m:ctrlPr>
                </m:fPr>
                <m:num>
                  <m:r>
                    <m:rPr>
                      <m:sty m:val="p"/>
                    </m:rPr>
                    <w:rPr>
                      <w:rFonts w:hint="default" w:ascii="Cambria Math" w:hAnsi="Cambria Math" w:eastAsia="宋体" w:cs="Times New Roman"/>
                      <w:color w:val="000000" w:themeColor="text1"/>
                      <w:sz w:val="28"/>
                      <w:szCs w:val="28"/>
                      <w:lang w:val="en-GB"/>
                      <w14:textFill>
                        <w14:solidFill>
                          <w14:schemeClr w14:val="tx1"/>
                        </w14:solidFill>
                      </w14:textFill>
                    </w:rPr>
                    <m:t>1</m:t>
                  </m:r>
                  <m:ctrlPr>
                    <w:rPr>
                      <w:rFonts w:hint="default" w:ascii="Cambria Math" w:hAnsi="Cambria Math" w:eastAsia="宋体" w:cs="Times New Roman"/>
                      <w:color w:val="000000" w:themeColor="text1"/>
                      <w:sz w:val="28"/>
                      <w:szCs w:val="28"/>
                      <w:lang w:val="en-GB"/>
                      <w14:textFill>
                        <w14:solidFill>
                          <w14:schemeClr w14:val="tx1"/>
                        </w14:solidFill>
                      </w14:textFill>
                    </w:rPr>
                  </m:ctrlPr>
                </m:num>
                <m:den>
                  <m:r>
                    <m:rPr>
                      <m:sty m:val="p"/>
                    </m:rPr>
                    <w:rPr>
                      <w:rFonts w:hint="default" w:ascii="Cambria Math" w:hAnsi="Cambria Math" w:eastAsia="宋体" w:cs="Times New Roman"/>
                      <w:color w:val="000000" w:themeColor="text1"/>
                      <w:sz w:val="28"/>
                      <w:szCs w:val="28"/>
                      <w:lang w:val="en-GB"/>
                      <w14:textFill>
                        <w14:solidFill>
                          <w14:schemeClr w14:val="tx1"/>
                        </w14:solidFill>
                      </w14:textFill>
                    </w:rPr>
                    <m:t>3</m:t>
                  </m:r>
                  <m:ctrlPr>
                    <w:rPr>
                      <w:rFonts w:hint="default" w:ascii="Cambria Math" w:hAnsi="Cambria Math" w:eastAsia="宋体" w:cs="Times New Roman"/>
                      <w:color w:val="000000" w:themeColor="text1"/>
                      <w:sz w:val="28"/>
                      <w:szCs w:val="28"/>
                      <w:lang w:val="en-GB"/>
                      <w14:textFill>
                        <w14:solidFill>
                          <w14:schemeClr w14:val="tx1"/>
                        </w14:solidFill>
                      </w14:textFill>
                    </w:rPr>
                  </m:ctrlPr>
                </m:den>
              </m:f>
              <m:ctrlPr>
                <w:rPr>
                  <w:rFonts w:hint="default" w:ascii="Cambria Math" w:hAnsi="Cambria Math" w:eastAsia="宋体" w:cs="Times New Roman"/>
                  <w:color w:val="000000" w:themeColor="text1"/>
                  <w:sz w:val="28"/>
                  <w:szCs w:val="28"/>
                  <w:lang w:val="en-GB"/>
                  <w14:textFill>
                    <w14:solidFill>
                      <w14:schemeClr w14:val="tx1"/>
                    </w14:solidFill>
                  </w14:textFill>
                </w:rPr>
              </m:ctrlPr>
            </m:sup>
          </m:sSup>
        </m:oMath>
      </m:oMathPara>
    </w:p>
    <w:p w14:paraId="06CA660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式中：</w:t>
      </w:r>
    </w:p>
    <w:p w14:paraId="558575C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R-爆破振动安全允许距离（m）；</w:t>
      </w:r>
    </w:p>
    <w:p w14:paraId="678E40E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Q-最大单段药量（kg）</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，矿山爆破作业选用Φ120mm的潜孔钻机，采用逐孔爆破，最大一段装药量</w:t>
      </w:r>
      <w:r>
        <w:rPr>
          <w:rFonts w:hint="default" w:ascii="Times New Roman" w:hAnsi="Times New Roman" w:eastAsia="宋体" w:cs="Times New Roman"/>
          <w:color w:val="000000" w:themeColor="text1"/>
          <w:sz w:val="28"/>
          <w:szCs w:val="28"/>
          <w:lang w:val="en-GB"/>
          <w14:textFill>
            <w14:solidFill>
              <w14:schemeClr w14:val="tx1"/>
            </w14:solidFill>
          </w14:textFill>
        </w:rPr>
        <w:t>Q</w:t>
      </w:r>
      <w:r>
        <w:rPr>
          <w:rFonts w:hint="default" w:ascii="Times New Roman" w:hAnsi="Times New Roman" w:eastAsia="宋体" w:cs="Times New Roman"/>
          <w:color w:val="000000" w:themeColor="text1"/>
          <w:sz w:val="28"/>
          <w:szCs w:val="28"/>
          <w:vertAlign w:val="subscript"/>
          <w:lang w:val="en-GB"/>
          <w14:textFill>
            <w14:solidFill>
              <w14:schemeClr w14:val="tx1"/>
            </w14:solidFill>
          </w14:textFill>
        </w:rPr>
        <w:t>max</w:t>
      </w:r>
      <w:r>
        <w:rPr>
          <w:rFonts w:hint="default" w:ascii="Times New Roman" w:hAnsi="Times New Roman" w:eastAsia="宋体" w:cs="Times New Roman"/>
          <w:color w:val="000000" w:themeColor="text1"/>
          <w:sz w:val="28"/>
          <w:szCs w:val="28"/>
          <w:lang w:val="en-GB"/>
          <w14:textFill>
            <w14:solidFill>
              <w14:schemeClr w14:val="tx1"/>
            </w14:solidFill>
          </w14:textFill>
        </w:rPr>
        <w:t>＝139.32kg；</w:t>
      </w:r>
    </w:p>
    <w:p w14:paraId="67EEF6B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V-保护对象所在地质点振动安全允许速度（cm/s）</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，设计矿山保护建（构）筑物按“工业和商业建筑物”允许振动速度考虑，</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V</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取3.5cm/s</w:t>
      </w:r>
      <w:r>
        <w:rPr>
          <w:rFonts w:hint="default" w:ascii="Times New Roman" w:hAnsi="Times New Roman" w:eastAsia="宋体" w:cs="Times New Roman"/>
          <w:color w:val="000000" w:themeColor="text1"/>
          <w:sz w:val="28"/>
          <w:szCs w:val="28"/>
          <w:lang w:val="en-GB"/>
          <w14:textFill>
            <w14:solidFill>
              <w14:schemeClr w14:val="tx1"/>
            </w14:solidFill>
          </w14:textFill>
        </w:rPr>
        <w:t>；</w:t>
      </w:r>
    </w:p>
    <w:p w14:paraId="1673C92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K、</w:t>
      </w:r>
      <w:r>
        <w:rPr>
          <w:rFonts w:hint="default" w:ascii="Times New Roman" w:hAnsi="Times New Roman" w:eastAsia="宋体" w:cs="Times New Roman"/>
          <w:color w:val="000000" w:themeColor="text1"/>
          <w:sz w:val="28"/>
          <w:szCs w:val="28"/>
          <w:lang w:val="en-GB"/>
          <w14:textFill>
            <w14:solidFill>
              <w14:schemeClr w14:val="tx1"/>
            </w14:solidFill>
          </w14:textFill>
        </w:rPr>
        <w:sym w:font="Symbol" w:char="F061"/>
      </w:r>
      <w:r>
        <w:rPr>
          <w:rFonts w:hint="default" w:ascii="Times New Roman" w:hAnsi="Times New Roman" w:eastAsia="宋体" w:cs="Times New Roman"/>
          <w:color w:val="000000" w:themeColor="text1"/>
          <w:sz w:val="28"/>
          <w:szCs w:val="28"/>
          <w:lang w:val="en-GB"/>
          <w14:textFill>
            <w14:solidFill>
              <w14:schemeClr w14:val="tx1"/>
            </w14:solidFill>
          </w14:textFill>
        </w:rPr>
        <w:t>-与爆破点至计算保护对象间的地形、地质条件有关的系数和衰减指数。</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设计</w:t>
      </w:r>
      <w:r>
        <w:rPr>
          <w:rFonts w:hint="default" w:ascii="Times New Roman" w:hAnsi="Times New Roman" w:eastAsia="宋体" w:cs="Times New Roman"/>
          <w:color w:val="000000" w:themeColor="text1"/>
          <w:sz w:val="28"/>
          <w:szCs w:val="28"/>
          <w:lang w:val="en-GB"/>
          <w14:textFill>
            <w14:solidFill>
              <w14:schemeClr w14:val="tx1"/>
            </w14:solidFill>
          </w14:textFill>
        </w:rPr>
        <w:t>参照设计规范，最终选取场地系数K=180，振动衰减系数α=1.6。</w:t>
      </w:r>
      <w:bookmarkEnd w:id="141"/>
    </w:p>
    <w:p w14:paraId="2897EB3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经计算：爆破振动安全距离</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R</w:t>
      </w:r>
      <w:r>
        <w:rPr>
          <w:rFonts w:hint="default" w:ascii="Times New Roman" w:hAnsi="Times New Roman" w:eastAsia="宋体" w:cs="Times New Roman"/>
          <w:color w:val="000000" w:themeColor="text1"/>
          <w:sz w:val="28"/>
          <w:szCs w:val="28"/>
          <w:lang w:val="en-GB"/>
          <w14:textFill>
            <w14:solidFill>
              <w14:schemeClr w14:val="tx1"/>
            </w14:solidFill>
          </w14:textFill>
        </w:rPr>
        <w:t>为60.84m。</w:t>
      </w:r>
    </w:p>
    <w:p w14:paraId="25D494E0">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lang w:val="en-GB"/>
          <w14:textFill>
            <w14:solidFill>
              <w14:schemeClr w14:val="tx1"/>
            </w14:solidFill>
          </w14:textFill>
        </w:rPr>
        <w:t>2、爆破冲击波安全距离计算</w:t>
      </w:r>
    </w:p>
    <w:p w14:paraId="627B517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空气冲击波对地面建筑物的安全距离计算公式：</w:t>
      </w:r>
    </w:p>
    <w:p w14:paraId="15FF3B2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m:oMathPara>
        <m:oMath>
          <m:sSub>
            <m:sSubPr>
              <m:ctrlPr>
                <w:rPr>
                  <w:rFonts w:hint="default" w:ascii="Cambria Math" w:hAnsi="Cambria Math" w:eastAsia="宋体" w:cs="Times New Roman"/>
                  <w:color w:val="000000" w:themeColor="text1"/>
                  <w:sz w:val="28"/>
                  <w:szCs w:val="28"/>
                  <w:lang w:val="en-GB"/>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lang w:val="en-GB"/>
                  <w14:textFill>
                    <w14:solidFill>
                      <w14:schemeClr w14:val="tx1"/>
                    </w14:solidFill>
                  </w14:textFill>
                </w:rPr>
                <m:t>R</m:t>
              </m:r>
              <m:ctrlPr>
                <w:rPr>
                  <w:rFonts w:hint="default" w:ascii="Cambria Math" w:hAnsi="Cambria Math" w:eastAsia="宋体" w:cs="Times New Roman"/>
                  <w:color w:val="000000" w:themeColor="text1"/>
                  <w:sz w:val="28"/>
                  <w:szCs w:val="28"/>
                  <w:lang w:val="en-GB"/>
                  <w14:textFill>
                    <w14:solidFill>
                      <w14:schemeClr w14:val="tx1"/>
                    </w14:solidFill>
                  </w14:textFill>
                </w:rPr>
              </m:ctrlPr>
            </m:e>
            <m:sub>
              <m:r>
                <m:rPr>
                  <m:sty m:val="p"/>
                </m:rPr>
                <w:rPr>
                  <w:rFonts w:hint="default" w:ascii="Cambria Math" w:hAnsi="Cambria Math" w:eastAsia="宋体" w:cs="Times New Roman"/>
                  <w:color w:val="000000" w:themeColor="text1"/>
                  <w:sz w:val="28"/>
                  <w:szCs w:val="28"/>
                  <w:lang w:val="en-GB"/>
                  <w14:textFill>
                    <w14:solidFill>
                      <w14:schemeClr w14:val="tx1"/>
                    </w14:solidFill>
                  </w14:textFill>
                </w:rPr>
                <m:t>K</m:t>
              </m:r>
              <m:ctrlPr>
                <w:rPr>
                  <w:rFonts w:hint="default" w:ascii="Cambria Math" w:hAnsi="Cambria Math" w:eastAsia="宋体" w:cs="Times New Roman"/>
                  <w:color w:val="000000" w:themeColor="text1"/>
                  <w:sz w:val="28"/>
                  <w:szCs w:val="28"/>
                  <w:lang w:val="en-GB"/>
                  <w14:textFill>
                    <w14:solidFill>
                      <w14:schemeClr w14:val="tx1"/>
                    </w14:solidFill>
                  </w14:textFill>
                </w:rPr>
              </m:ctrlPr>
            </m:sub>
          </m:sSub>
          <m:r>
            <m:rPr>
              <m:sty m:val="p"/>
            </m:rPr>
            <w:rPr>
              <w:rFonts w:hint="default" w:ascii="Cambria Math" w:hAnsi="Cambria Math" w:eastAsia="宋体" w:cs="Times New Roman"/>
              <w:color w:val="000000" w:themeColor="text1"/>
              <w:sz w:val="28"/>
              <w:szCs w:val="28"/>
              <w:lang w:val="en-GB"/>
              <w14:textFill>
                <w14:solidFill>
                  <w14:schemeClr w14:val="tx1"/>
                </w14:solidFill>
              </w14:textFill>
            </w:rPr>
            <m:t>=</m:t>
          </m:r>
          <m:sSub>
            <m:sSubPr>
              <m:ctrlPr>
                <w:rPr>
                  <w:rFonts w:hint="default" w:ascii="Cambria Math" w:hAnsi="Cambria Math" w:eastAsia="宋体" w:cs="Times New Roman"/>
                  <w:color w:val="000000" w:themeColor="text1"/>
                  <w:sz w:val="28"/>
                  <w:szCs w:val="28"/>
                  <w:lang w:val="en-GB"/>
                  <w14:textFill>
                    <w14:solidFill>
                      <w14:schemeClr w14:val="tx1"/>
                    </w14:solidFill>
                  </w14:textFill>
                </w:rPr>
              </m:ctrlPr>
            </m:sSubPr>
            <m:e>
              <m:r>
                <m:rPr>
                  <m:sty m:val="p"/>
                </m:rPr>
                <w:rPr>
                  <w:rFonts w:hint="default" w:ascii="Cambria Math" w:hAnsi="Cambria Math" w:eastAsia="宋体" w:cs="Times New Roman"/>
                  <w:color w:val="000000" w:themeColor="text1"/>
                  <w:sz w:val="28"/>
                  <w:szCs w:val="28"/>
                  <w:lang w:val="en-GB"/>
                  <w14:textFill>
                    <w14:solidFill>
                      <w14:schemeClr w14:val="tx1"/>
                    </w14:solidFill>
                  </w14:textFill>
                </w:rPr>
                <m:t>K</m:t>
              </m:r>
              <m:ctrlPr>
                <w:rPr>
                  <w:rFonts w:hint="default" w:ascii="Cambria Math" w:hAnsi="Cambria Math" w:eastAsia="宋体" w:cs="Times New Roman"/>
                  <w:color w:val="000000" w:themeColor="text1"/>
                  <w:sz w:val="28"/>
                  <w:szCs w:val="28"/>
                  <w:lang w:val="en-GB"/>
                  <w14:textFill>
                    <w14:solidFill>
                      <w14:schemeClr w14:val="tx1"/>
                    </w14:solidFill>
                  </w14:textFill>
                </w:rPr>
              </m:ctrlPr>
            </m:e>
            <m:sub>
              <m:r>
                <m:rPr>
                  <m:sty m:val="p"/>
                </m:rPr>
                <w:rPr>
                  <w:rFonts w:hint="default" w:ascii="Cambria Math" w:hAnsi="Cambria Math" w:eastAsia="宋体" w:cs="Times New Roman"/>
                  <w:color w:val="000000" w:themeColor="text1"/>
                  <w:sz w:val="28"/>
                  <w:szCs w:val="28"/>
                  <w:lang w:val="en-GB"/>
                  <w14:textFill>
                    <w14:solidFill>
                      <w14:schemeClr w14:val="tx1"/>
                    </w14:solidFill>
                  </w14:textFill>
                </w:rPr>
                <m:t>K</m:t>
              </m:r>
              <m:ctrlPr>
                <w:rPr>
                  <w:rFonts w:hint="default" w:ascii="Cambria Math" w:hAnsi="Cambria Math" w:eastAsia="宋体" w:cs="Times New Roman"/>
                  <w:color w:val="000000" w:themeColor="text1"/>
                  <w:sz w:val="28"/>
                  <w:szCs w:val="28"/>
                  <w:lang w:val="en-GB"/>
                  <w14:textFill>
                    <w14:solidFill>
                      <w14:schemeClr w14:val="tx1"/>
                    </w14:solidFill>
                  </w14:textFill>
                </w:rPr>
              </m:ctrlPr>
            </m:sub>
          </m:sSub>
          <m:rad>
            <m:radPr>
              <m:ctrlPr>
                <w:rPr>
                  <w:rFonts w:hint="default" w:ascii="Cambria Math" w:hAnsi="Cambria Math" w:eastAsia="宋体" w:cs="Times New Roman"/>
                  <w:color w:val="000000" w:themeColor="text1"/>
                  <w:sz w:val="28"/>
                  <w:szCs w:val="28"/>
                  <w:lang w:val="en-GB"/>
                  <w14:textFill>
                    <w14:solidFill>
                      <w14:schemeClr w14:val="tx1"/>
                    </w14:solidFill>
                  </w14:textFill>
                </w:rPr>
              </m:ctrlPr>
            </m:radPr>
            <m:deg>
              <m:r>
                <m:rPr>
                  <m:sty m:val="p"/>
                </m:rPr>
                <w:rPr>
                  <w:rFonts w:hint="default" w:ascii="Cambria Math" w:hAnsi="Cambria Math" w:eastAsia="宋体" w:cs="Times New Roman"/>
                  <w:color w:val="000000" w:themeColor="text1"/>
                  <w:sz w:val="28"/>
                  <w:szCs w:val="28"/>
                  <w:lang w:val="en-GB"/>
                  <w14:textFill>
                    <w14:solidFill>
                      <w14:schemeClr w14:val="tx1"/>
                    </w14:solidFill>
                  </w14:textFill>
                </w:rPr>
                <m:t>2</m:t>
              </m:r>
              <m:ctrlPr>
                <w:rPr>
                  <w:rFonts w:hint="default" w:ascii="Cambria Math" w:hAnsi="Cambria Math" w:eastAsia="宋体" w:cs="Times New Roman"/>
                  <w:color w:val="000000" w:themeColor="text1"/>
                  <w:sz w:val="28"/>
                  <w:szCs w:val="28"/>
                  <w:lang w:val="en-GB"/>
                  <w14:textFill>
                    <w14:solidFill>
                      <w14:schemeClr w14:val="tx1"/>
                    </w14:solidFill>
                  </w14:textFill>
                </w:rPr>
              </m:ctrlPr>
            </m:deg>
            <m:e>
              <m:r>
                <m:rPr>
                  <m:sty m:val="p"/>
                </m:rPr>
                <w:rPr>
                  <w:rFonts w:hint="default" w:ascii="Cambria Math" w:hAnsi="Cambria Math" w:eastAsia="宋体" w:cs="Times New Roman"/>
                  <w:color w:val="000000" w:themeColor="text1"/>
                  <w:sz w:val="28"/>
                  <w:szCs w:val="28"/>
                  <w:lang w:val="en-GB"/>
                  <w14:textFill>
                    <w14:solidFill>
                      <w14:schemeClr w14:val="tx1"/>
                    </w14:solidFill>
                  </w14:textFill>
                </w:rPr>
                <m:t>Q</m:t>
              </m:r>
              <m:ctrlPr>
                <w:rPr>
                  <w:rFonts w:hint="default" w:ascii="Cambria Math" w:hAnsi="Cambria Math" w:eastAsia="宋体" w:cs="Times New Roman"/>
                  <w:color w:val="000000" w:themeColor="text1"/>
                  <w:sz w:val="28"/>
                  <w:szCs w:val="28"/>
                  <w:lang w:val="en-GB"/>
                  <w14:textFill>
                    <w14:solidFill>
                      <w14:schemeClr w14:val="tx1"/>
                    </w14:solidFill>
                  </w14:textFill>
                </w:rPr>
              </m:ctrlPr>
            </m:e>
          </m:rad>
        </m:oMath>
      </m:oMathPara>
    </w:p>
    <w:p w14:paraId="5D4AE7C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式中：</w:t>
      </w:r>
    </w:p>
    <w:p w14:paraId="388D035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R</w:t>
      </w:r>
      <w:r>
        <w:rPr>
          <w:rFonts w:hint="default" w:ascii="Times New Roman" w:hAnsi="Times New Roman" w:eastAsia="宋体" w:cs="Times New Roman"/>
          <w:color w:val="000000" w:themeColor="text1"/>
          <w:sz w:val="28"/>
          <w:szCs w:val="28"/>
          <w:vertAlign w:val="subscript"/>
          <w:lang w:val="en-GB"/>
          <w14:textFill>
            <w14:solidFill>
              <w14:schemeClr w14:val="tx1"/>
            </w14:solidFill>
          </w14:textFill>
        </w:rPr>
        <w:t>K</w:t>
      </w:r>
      <w:r>
        <w:rPr>
          <w:rFonts w:hint="default" w:ascii="Times New Roman" w:hAnsi="Times New Roman" w:eastAsia="宋体" w:cs="Times New Roman"/>
          <w:color w:val="000000" w:themeColor="text1"/>
          <w:sz w:val="28"/>
          <w:szCs w:val="28"/>
          <w:lang w:val="en-GB"/>
          <w14:textFill>
            <w14:solidFill>
              <w14:schemeClr w14:val="tx1"/>
            </w14:solidFill>
          </w14:textFill>
        </w:rPr>
        <w:t>-空气冲击波的安全距离，m；</w:t>
      </w:r>
    </w:p>
    <w:p w14:paraId="6AC283F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K</w:t>
      </w:r>
      <w:r>
        <w:rPr>
          <w:rFonts w:hint="default" w:ascii="Times New Roman" w:hAnsi="Times New Roman" w:eastAsia="宋体" w:cs="Times New Roman"/>
          <w:color w:val="000000" w:themeColor="text1"/>
          <w:sz w:val="28"/>
          <w:szCs w:val="28"/>
          <w:vertAlign w:val="subscript"/>
          <w:lang w:val="en-GB"/>
          <w14:textFill>
            <w14:solidFill>
              <w14:schemeClr w14:val="tx1"/>
            </w14:solidFill>
          </w14:textFill>
        </w:rPr>
        <w:t>K</w:t>
      </w:r>
      <w:r>
        <w:rPr>
          <w:rFonts w:hint="default" w:ascii="Times New Roman" w:hAnsi="Times New Roman" w:eastAsia="宋体" w:cs="Times New Roman"/>
          <w:color w:val="000000" w:themeColor="text1"/>
          <w:sz w:val="28"/>
          <w:szCs w:val="28"/>
          <w:lang w:val="en-GB"/>
          <w14:textFill>
            <w14:solidFill>
              <w14:schemeClr w14:val="tx1"/>
            </w14:solidFill>
          </w14:textFill>
        </w:rPr>
        <w:t>-与爆破作用和破坏状态有关的系数，取2；</w:t>
      </w:r>
    </w:p>
    <w:p w14:paraId="76042C1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Q-最大一段装药量，取139.32kg。</w:t>
      </w:r>
    </w:p>
    <w:p w14:paraId="4A31C36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经计算，爆破空气冲击波安全距离为47.21m。</w:t>
      </w:r>
    </w:p>
    <w:p w14:paraId="1AA821BE">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lang w:val="en-GB"/>
          <w14:textFill>
            <w14:solidFill>
              <w14:schemeClr w14:val="tx1"/>
            </w14:solidFill>
          </w14:textFill>
        </w:rPr>
        <w:t>3、爆破飞石安全距离计算</w:t>
      </w:r>
    </w:p>
    <w:p w14:paraId="3B1CFC6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按照露天台阶爆破经验公式确定个别飞散物安全距离：</w:t>
      </w:r>
    </w:p>
    <w:p w14:paraId="0426C03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R=（1500~1600）×d</w:t>
      </w:r>
    </w:p>
    <w:p w14:paraId="0A134C4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式中，</w:t>
      </w:r>
    </w:p>
    <w:p w14:paraId="2CE1E8D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R—飞石距离，mm；</w:t>
      </w:r>
    </w:p>
    <w:p w14:paraId="3E4B023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d—钻孔直径，120mm。</w:t>
      </w:r>
    </w:p>
    <w:p w14:paraId="149CB6A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经计算，爆破飞石安全距离R=180~192m。</w:t>
      </w:r>
    </w:p>
    <w:p w14:paraId="1ACB4DD5">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lang w:val="en-GB"/>
          <w14:textFill>
            <w14:solidFill>
              <w14:schemeClr w14:val="tx1"/>
            </w14:solidFill>
          </w14:textFill>
        </w:rPr>
        <w:t>4、爆破安全警戒范围确定</w:t>
      </w:r>
    </w:p>
    <w:p w14:paraId="5B8EABB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通过设计确定的爆破参数，分别对爆破振动、爆破冲击波及爆破飞石安全距离进行了计算，并根据计算结果和《爆破安全规程》（GB6722-2014）的要求：爆破安全距离不小于200m，下坡方向的安全距离应增大50%。</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设计</w:t>
      </w:r>
      <w:r>
        <w:rPr>
          <w:rFonts w:hint="default" w:ascii="Times New Roman" w:hAnsi="Times New Roman" w:eastAsia="宋体" w:cs="Times New Roman"/>
          <w:color w:val="000000" w:themeColor="text1"/>
          <w:sz w:val="28"/>
          <w:szCs w:val="28"/>
          <w:lang w:val="en-GB"/>
          <w14:textFill>
            <w14:solidFill>
              <w14:schemeClr w14:val="tx1"/>
            </w14:solidFill>
          </w14:textFill>
        </w:rPr>
        <w:t>确定的爆破危险范围：最终爆破安全警戒范围为300m。</w:t>
      </w:r>
    </w:p>
    <w:p w14:paraId="11C8A37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由于实际爆破点的位置是不断变化的，所以每次实际警戒范围应按爆破点的实际位置，依设计要求的距离派出警戒人员，爆破开始前所有人员必须及时撤离到安全警戒线以外的安全地区。</w:t>
      </w:r>
    </w:p>
    <w:p w14:paraId="615D2038">
      <w:pPr>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default" w:ascii="Times New Roman" w:hAnsi="Times New Roman" w:eastAsia="宋体" w:cs="Times New Roman"/>
          <w:b/>
          <w:bCs/>
          <w:color w:val="000000" w:themeColor="text1"/>
          <w:sz w:val="28"/>
          <w:szCs w:val="28"/>
          <w:lang w:val="en-GB"/>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5、</w:t>
      </w:r>
      <w:r>
        <w:rPr>
          <w:rFonts w:hint="default" w:ascii="Times New Roman" w:hAnsi="Times New Roman" w:eastAsia="宋体" w:cs="Times New Roman"/>
          <w:b/>
          <w:bCs/>
          <w:color w:val="000000" w:themeColor="text1"/>
          <w:sz w:val="28"/>
          <w:szCs w:val="28"/>
          <w:lang w:val="en-GB"/>
          <w14:textFill>
            <w14:solidFill>
              <w14:schemeClr w14:val="tx1"/>
            </w14:solidFill>
          </w14:textFill>
        </w:rPr>
        <w:t>爆破安全措施：</w:t>
      </w:r>
    </w:p>
    <w:p w14:paraId="65533CA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采用以下技术措施预防及减少个别飞散物飞散距离：</w:t>
      </w:r>
    </w:p>
    <w:p w14:paraId="1CB2DEA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①根据灰岩矿具体情况，确定适合的爆破技术参数。</w:t>
      </w:r>
    </w:p>
    <w:p w14:paraId="4AF1834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②采用微差爆破和合理的起爆顺序。微差间隔时间选用30〜50ms，起爆顺序根据每次爆破现场情况进行合理选择。</w:t>
      </w:r>
    </w:p>
    <w:p w14:paraId="14135DF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③穿孔是重要环节之一，要做到穿孔位置、方向、角度和深度的准确性，不符合设计要求的炮孔，应采取补救措施。</w:t>
      </w:r>
    </w:p>
    <w:p w14:paraId="7944E77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④充填材料可采用穿孔留下的矿粉或粘土堵塞密实，不得混入矿岩块。</w:t>
      </w:r>
    </w:p>
    <w:p w14:paraId="4B932DE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⑤控制爆破区飞石安全距离不够，可采用多打孔少装药松动爆破或覆盖爆破方式（串连废旧轮胎覆盖）控制废石距离，确保爆破安全。</w:t>
      </w:r>
    </w:p>
    <w:p w14:paraId="55143BE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⑥每次爆破都要严格遵守所规定的爆破时间，根据每次爆破现场情况，认真做好安全警戒和安全防范。</w:t>
      </w:r>
    </w:p>
    <w:p w14:paraId="0E7E22B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⑦出现哑炮，采取重新起爆的严格控制措施。</w:t>
      </w:r>
    </w:p>
    <w:p w14:paraId="34F5346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⑧配备破碎锤用于大块二次破碎，避免了传统的二次爆破对周围环境的危害。</w:t>
      </w:r>
    </w:p>
    <w:p w14:paraId="3C5CB9B0">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2.4.6.6 铲装</w:t>
      </w:r>
      <w:r>
        <w:rPr>
          <w:rFonts w:hint="eastAsia" w:ascii="Times New Roman" w:hAnsi="Times New Roman" w:cs="Times New Roman"/>
          <w:lang w:val="en-US" w:eastAsia="zh-CN"/>
        </w:rPr>
        <w:t>作业</w:t>
      </w:r>
    </w:p>
    <w:p w14:paraId="0C0ADC6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lang w:eastAsia="zh-TW"/>
        </w:rPr>
      </w:pPr>
      <w:r>
        <w:rPr>
          <w:rFonts w:hint="default" w:ascii="Times New Roman" w:hAnsi="Times New Roman" w:eastAsia="宋体" w:cs="Times New Roman"/>
          <w:color w:val="000000" w:themeColor="text1"/>
          <w:sz w:val="28"/>
          <w:szCs w:val="28"/>
          <w:lang w:val="en-GB"/>
          <w14:textFill>
            <w14:solidFill>
              <w14:schemeClr w14:val="tx1"/>
            </w14:solidFill>
          </w14:textFill>
        </w:rPr>
        <w:t>矿山已有卡特349D挖掘机2台</w:t>
      </w:r>
      <w:r>
        <w:rPr>
          <w:rFonts w:hint="default" w:ascii="Times New Roman" w:hAnsi="Times New Roman" w:eastAsia="宋体" w:cs="Times New Roman"/>
          <w:color w:val="000000" w:themeColor="text1"/>
          <w:sz w:val="28"/>
          <w:szCs w:val="28"/>
          <w:lang w:val="en-GB" w:eastAsia="zh-TW"/>
          <w14:textFill>
            <w14:solidFill>
              <w14:schemeClr w14:val="tx1"/>
            </w14:solidFill>
          </w14:textFill>
        </w:rPr>
        <w:t>，斗容均为</w:t>
      </w:r>
      <w:r>
        <w:rPr>
          <w:rFonts w:hint="default" w:ascii="Times New Roman" w:hAnsi="Times New Roman" w:eastAsia="宋体" w:cs="Times New Roman"/>
          <w:color w:val="000000" w:themeColor="text1"/>
          <w:sz w:val="28"/>
          <w:szCs w:val="28"/>
          <w:lang w:val="en-GB"/>
          <w14:textFill>
            <w14:solidFill>
              <w14:schemeClr w14:val="tx1"/>
            </w14:solidFill>
          </w14:textFill>
        </w:rPr>
        <w:t>2m³，柳工50型装载机2台。</w:t>
      </w:r>
      <w:r>
        <w:rPr>
          <w:rFonts w:hint="default" w:ascii="Times New Roman" w:hAnsi="Times New Roman" w:eastAsia="宋体" w:cs="Times New Roman"/>
          <w:color w:val="000000" w:themeColor="text1"/>
          <w:sz w:val="28"/>
          <w:szCs w:val="28"/>
          <w14:textFill>
            <w14:solidFill>
              <w14:schemeClr w14:val="tx1"/>
            </w14:solidFill>
          </w14:textFill>
        </w:rPr>
        <w:t>经设计计算，</w:t>
      </w:r>
      <w:r>
        <w:rPr>
          <w:rFonts w:hint="default" w:ascii="Times New Roman" w:hAnsi="Times New Roman" w:eastAsia="宋体" w:cs="Times New Roman"/>
          <w:sz w:val="28"/>
          <w:szCs w:val="21"/>
          <w:lang w:eastAsia="zh-TW"/>
        </w:rPr>
        <w:t>矿山</w:t>
      </w:r>
      <w:r>
        <w:rPr>
          <w:rFonts w:hint="default" w:ascii="Times New Roman" w:hAnsi="Times New Roman" w:eastAsia="宋体" w:cs="Times New Roman"/>
          <w:sz w:val="28"/>
          <w:szCs w:val="21"/>
        </w:rPr>
        <w:t>需要2台挖掘机铲装，</w:t>
      </w:r>
      <w:r>
        <w:rPr>
          <w:rFonts w:hint="default" w:ascii="Times New Roman" w:hAnsi="Times New Roman" w:eastAsia="宋体" w:cs="Times New Roman"/>
          <w:sz w:val="28"/>
          <w:szCs w:val="21"/>
          <w:lang w:eastAsia="zh-TW"/>
        </w:rPr>
        <w:t>现有</w:t>
      </w:r>
      <w:r>
        <w:rPr>
          <w:rFonts w:hint="default" w:ascii="Times New Roman" w:hAnsi="Times New Roman" w:eastAsia="宋体" w:cs="Times New Roman"/>
          <w:sz w:val="28"/>
          <w:szCs w:val="21"/>
        </w:rPr>
        <w:t>2台</w:t>
      </w:r>
      <w:r>
        <w:rPr>
          <w:rFonts w:hint="default" w:ascii="Times New Roman" w:hAnsi="Times New Roman" w:eastAsia="宋体" w:cs="Times New Roman"/>
          <w:sz w:val="28"/>
          <w:szCs w:val="21"/>
          <w:lang w:eastAsia="zh-TW"/>
        </w:rPr>
        <w:t>挖掘机</w:t>
      </w:r>
      <w:r>
        <w:rPr>
          <w:rFonts w:hint="default" w:ascii="Times New Roman" w:hAnsi="Times New Roman" w:eastAsia="宋体" w:cs="Times New Roman"/>
          <w:sz w:val="28"/>
          <w:szCs w:val="21"/>
        </w:rPr>
        <w:t>能够</w:t>
      </w:r>
      <w:r>
        <w:rPr>
          <w:rFonts w:hint="default" w:ascii="Times New Roman" w:hAnsi="Times New Roman" w:eastAsia="宋体" w:cs="Times New Roman"/>
          <w:sz w:val="28"/>
          <w:szCs w:val="21"/>
          <w:lang w:eastAsia="zh-TW"/>
        </w:rPr>
        <w:t>满足生产要求。</w:t>
      </w:r>
    </w:p>
    <w:p w14:paraId="6AE78EF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default" w:ascii="Times New Roman" w:hAnsi="Times New Roman" w:eastAsia="宋体" w:cs="Times New Roman"/>
          <w:b/>
          <w:bCs w:val="0"/>
          <w:color w:val="000000" w:themeColor="text1"/>
          <w:sz w:val="28"/>
          <w14:textFill>
            <w14:solidFill>
              <w14:schemeClr w14:val="tx1"/>
            </w14:solidFill>
          </w14:textFill>
        </w:rPr>
        <w:t>7</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矿山供配电系统</w:t>
      </w:r>
    </w:p>
    <w:p w14:paraId="04925F95">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本矿为露天开采，矿区用电负荷不大，用电负荷约925kW，主要用电设备为破碎站用电、修理车间用电设备、供水系统用电、办公用电等。目前矿山用电由河底村南方电网引出的10kV高压线“T”接而来，矿山现已架设S11-800/10型变压器一台。10kV的高压电经变压器降压后，变为380V的低压电，然后送到低压配电柜的低压母线上，由母线再引入低压配电柜，由低压配电柜把电能分配给各用电设备，供电能力可以满足</w:t>
      </w:r>
      <w:r>
        <w:rPr>
          <w:rFonts w:hint="eastAsia" w:ascii="Times New Roman" w:hAnsi="Times New Roman" w:eastAsia="宋体" w:cs="Times New Roman"/>
          <w:color w:val="000000" w:themeColor="text1"/>
          <w:sz w:val="28"/>
          <w:szCs w:val="21"/>
          <w:lang w:eastAsia="zh-CN"/>
          <w14:textFill>
            <w14:solidFill>
              <w14:schemeClr w14:val="tx1"/>
            </w14:solidFill>
          </w14:textFill>
        </w:rPr>
        <w:t>设计</w:t>
      </w:r>
      <w:r>
        <w:rPr>
          <w:rFonts w:hint="default" w:ascii="Times New Roman" w:hAnsi="Times New Roman" w:eastAsia="宋体" w:cs="Times New Roman"/>
          <w:color w:val="000000" w:themeColor="text1"/>
          <w:sz w:val="28"/>
          <w:szCs w:val="21"/>
          <w14:textFill>
            <w14:solidFill>
              <w14:schemeClr w14:val="tx1"/>
            </w14:solidFill>
          </w14:textFill>
        </w:rPr>
        <w:t>的矿山建设项目用电需求。</w:t>
      </w:r>
    </w:p>
    <w:p w14:paraId="014F36ED">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1</w:t>
      </w:r>
      <w:r>
        <w:rPr>
          <w:rFonts w:hint="default" w:ascii="Times New Roman" w:hAnsi="Times New Roman" w:cs="Times New Roman"/>
        </w:rPr>
        <w:t xml:space="preserve"> 供配电系统</w:t>
      </w:r>
    </w:p>
    <w:p w14:paraId="60D29E0B">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1、本工程由矿区附近的河底村南方电网引出的10kV高压线“T”接而来，10kV的高压电经矿山变压器降压后，变为380V的低压电，然后送到低压配电柜，再由低压配电柜以放射式向各用电车间供电。</w:t>
      </w:r>
    </w:p>
    <w:p w14:paraId="50F1095B">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2、配电站的接线方式</w:t>
      </w:r>
    </w:p>
    <w:p w14:paraId="542DD253">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本工程由矿区附近的变电站引出的10kV高压线“T”接而来，采用10kV单回路受电，配电站内为单母线不分段运行方式。</w:t>
      </w:r>
    </w:p>
    <w:p w14:paraId="442101B1">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3、主要设备选型及操作方式：</w:t>
      </w:r>
    </w:p>
    <w:p w14:paraId="4F54F353">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（1）设备选型</w:t>
      </w:r>
    </w:p>
    <w:p w14:paraId="6010E990">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变压器采用S11型高原型变压器，低损耗，高环保，绝缘强度高。变压器户外落地式安装，变压器型号为S11-800/10。</w:t>
      </w:r>
    </w:p>
    <w:p w14:paraId="13BBA68A">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10kV配电装置采用成套开关柜，柜内选用真空断路器。</w:t>
      </w:r>
    </w:p>
    <w:p w14:paraId="0C22DF6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采用微机监控免维护直流屏。</w:t>
      </w:r>
    </w:p>
    <w:p w14:paraId="3CB282D2">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配电站采用计算机综合保护器。</w:t>
      </w:r>
    </w:p>
    <w:p w14:paraId="1B20EDBF">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（2）操作及监视：</w:t>
      </w:r>
    </w:p>
    <w:p w14:paraId="6FDF250F">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变压器回路可直接在开关柜上分合闸，在集中方式时，也可集中操作分合闸；电动机回路在集中方式时，由中央控制室分合闸，紧急情况时也可在机旁分闸；在机旁方式时，由机旁控制箱分合闸。运行状态除在开关柜上指示外，还将电气测量及各种状态信号、故障信号等送入全厂DCS计算机控制系统，由中控室监控。</w:t>
      </w:r>
    </w:p>
    <w:p w14:paraId="1237DDAA">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2</w:t>
      </w:r>
      <w:r>
        <w:rPr>
          <w:rFonts w:hint="default" w:ascii="Times New Roman" w:hAnsi="Times New Roman" w:cs="Times New Roman"/>
        </w:rPr>
        <w:t xml:space="preserve"> 继电保护及计量</w:t>
      </w:r>
    </w:p>
    <w:p w14:paraId="4ACF287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高压配电系统的继电保护按照GB50062-2008《电力装置的继电保护和自动设置设计规范》装设。</w:t>
      </w:r>
    </w:p>
    <w:p w14:paraId="453700D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配电站10kV进线保护：定时限过电流及电流速断；</w:t>
      </w:r>
    </w:p>
    <w:p w14:paraId="00AF559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配电站10kV变压器回路的保护：定时限过电流及电流速断，过负荷及瓦斯和温度保护；</w:t>
      </w:r>
    </w:p>
    <w:p w14:paraId="6B34A122">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配电站10kV高压电动机保护：反时限过电流及电流速断，低电压及单相接地保护；</w:t>
      </w:r>
    </w:p>
    <w:p w14:paraId="44857543">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配电站10kV电容器回路的保护：电流速断及定时限过电流保护。</w:t>
      </w:r>
    </w:p>
    <w:p w14:paraId="19FED84F">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10kV配电站各回路设多功能表。</w:t>
      </w:r>
    </w:p>
    <w:p w14:paraId="30CDD4FE">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3</w:t>
      </w:r>
      <w:r>
        <w:rPr>
          <w:rFonts w:hint="default" w:ascii="Times New Roman" w:hAnsi="Times New Roman" w:cs="Times New Roman"/>
        </w:rPr>
        <w:t xml:space="preserve"> </w:t>
      </w:r>
      <w:r>
        <w:t>功率因数补偿</w:t>
      </w:r>
    </w:p>
    <w:p w14:paraId="5D582214">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低压在配电室380V母线处设低压功率因数自动补偿装置进行补偿。补偿后各电气室380V母线处功率因数达0.92。</w:t>
      </w:r>
    </w:p>
    <w:p w14:paraId="095A8D58">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4</w:t>
      </w:r>
      <w:r>
        <w:rPr>
          <w:rFonts w:hint="default" w:ascii="Times New Roman" w:hAnsi="Times New Roman" w:cs="Times New Roman"/>
        </w:rPr>
        <w:t xml:space="preserve"> 配电线路</w:t>
      </w:r>
    </w:p>
    <w:p w14:paraId="4DAF117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所有动力电缆及控制电缆均采用铜芯电缆。</w:t>
      </w:r>
    </w:p>
    <w:p w14:paraId="2D241707">
      <w:pPr>
        <w:pStyle w:val="5"/>
        <w:pageBreakBefore w:val="0"/>
        <w:kinsoku/>
        <w:wordWrap/>
        <w:bidi w:val="0"/>
        <w:adjustRightInd w:val="0"/>
        <w:snapToGrid w:val="0"/>
        <w:spacing w:line="360" w:lineRule="auto"/>
        <w:ind w:firstLine="560"/>
        <w:rPr>
          <w:rFonts w:hint="eastAsia" w:ascii="Times New Roman" w:hAnsi="Times New Roman" w:eastAsia="黑体" w:cs="Times New Roman"/>
          <w:lang w:eastAsia="zh-CN"/>
        </w:rPr>
      </w:pPr>
      <w:r>
        <w:rPr>
          <w:rFonts w:hint="default" w:ascii="Times New Roman" w:hAnsi="Times New Roman" w:cs="Times New Roman"/>
        </w:rPr>
        <w:t>2.4.</w:t>
      </w:r>
      <w:r>
        <w:rPr>
          <w:rFonts w:hint="eastAsia" w:ascii="Times New Roman" w:hAnsi="Times New Roman" w:cs="Times New Roman"/>
          <w:lang w:val="en-US" w:eastAsia="zh-CN"/>
        </w:rPr>
        <w:t>7</w:t>
      </w:r>
      <w:r>
        <w:rPr>
          <w:rFonts w:hint="default" w:ascii="Times New Roman" w:hAnsi="Times New Roman" w:cs="Times New Roman"/>
        </w:rPr>
        <w:t>.</w:t>
      </w:r>
      <w:r>
        <w:rPr>
          <w:rFonts w:hint="eastAsia" w:ascii="Times New Roman" w:hAnsi="Times New Roman" w:cs="Times New Roman"/>
          <w:lang w:val="en-US" w:eastAsia="zh-CN"/>
        </w:rPr>
        <w:t>5</w:t>
      </w:r>
      <w:r>
        <w:rPr>
          <w:rFonts w:hint="default" w:ascii="Times New Roman" w:hAnsi="Times New Roman" w:cs="Times New Roman"/>
        </w:rPr>
        <w:t xml:space="preserve"> 防雷保护及接地系统</w:t>
      </w:r>
    </w:p>
    <w:p w14:paraId="5B574522">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1、按国家防雷规范设置防雷保护。</w:t>
      </w:r>
    </w:p>
    <w:p w14:paraId="675C9F9E">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10kV配电变压器及电动机应用避雷器保护，采用与旋转电机配套的氧化锌避雷器。</w:t>
      </w:r>
    </w:p>
    <w:p w14:paraId="34403296">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2、接地系统：</w:t>
      </w:r>
    </w:p>
    <w:p w14:paraId="66CE1C8B">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10kV系统为小电流接地系统。</w:t>
      </w:r>
    </w:p>
    <w:p w14:paraId="6B9C183D">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1"/>
          <w14:textFill>
            <w14:solidFill>
              <w14:schemeClr w14:val="tx1"/>
            </w14:solidFill>
          </w14:textFill>
        </w:rPr>
      </w:pPr>
      <w:r>
        <w:rPr>
          <w:rFonts w:hint="default" w:ascii="Times New Roman" w:hAnsi="Times New Roman" w:eastAsia="宋体" w:cs="Times New Roman"/>
          <w:color w:val="000000" w:themeColor="text1"/>
          <w:sz w:val="28"/>
          <w:szCs w:val="21"/>
          <w14:textFill>
            <w14:solidFill>
              <w14:schemeClr w14:val="tx1"/>
            </w14:solidFill>
          </w14:textFill>
        </w:rPr>
        <w:t>380/220V低压配电系统：破碎站、工业场地、办公区等均采用TN-C-S接地系统。</w:t>
      </w:r>
    </w:p>
    <w:p w14:paraId="19D4141C">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eastAsia" w:ascii="Times New Roman" w:hAnsi="Times New Roman" w:eastAsia="宋体" w:cs="Times New Roman"/>
          <w:b/>
          <w:bCs w:val="0"/>
          <w:color w:val="000000" w:themeColor="text1"/>
          <w:sz w:val="28"/>
          <w:lang w:val="en-US" w:eastAsia="zh-CN"/>
          <w14:textFill>
            <w14:solidFill>
              <w14:schemeClr w14:val="tx1"/>
            </w14:solidFill>
          </w14:textFill>
        </w:rPr>
        <w:t>8</w:t>
      </w:r>
      <w:r>
        <w:rPr>
          <w:rFonts w:hint="default" w:ascii="Times New Roman" w:hAnsi="Times New Roman" w:eastAsia="宋体" w:cs="Times New Roman"/>
          <w:b/>
          <w:bCs w:val="0"/>
          <w:color w:val="000000" w:themeColor="text1"/>
          <w:sz w:val="28"/>
          <w:lang w:val="en-GB"/>
          <w14:textFill>
            <w14:solidFill>
              <w14:schemeClr w14:val="tx1"/>
            </w14:solidFill>
          </w14:textFill>
        </w:rPr>
        <w:t xml:space="preserve"> </w:t>
      </w:r>
      <w:r>
        <w:rPr>
          <w:rFonts w:hint="eastAsia" w:ascii="Times New Roman" w:hAnsi="Times New Roman" w:eastAsia="宋体" w:cs="Times New Roman"/>
          <w:b/>
          <w:bCs w:val="0"/>
          <w:color w:val="000000" w:themeColor="text1"/>
          <w:sz w:val="28"/>
          <w:lang w:val="en-US" w:eastAsia="zh-CN"/>
          <w14:textFill>
            <w14:solidFill>
              <w14:schemeClr w14:val="tx1"/>
            </w14:solidFill>
          </w14:textFill>
        </w:rPr>
        <w:t>给排水</w:t>
      </w:r>
      <w:r>
        <w:rPr>
          <w:rFonts w:hint="default" w:ascii="Times New Roman" w:hAnsi="Times New Roman" w:eastAsia="宋体" w:cs="Times New Roman"/>
          <w:b/>
          <w:bCs w:val="0"/>
          <w:color w:val="000000" w:themeColor="text1"/>
          <w:sz w:val="28"/>
          <w:lang w:val="en-GB"/>
          <w14:textFill>
            <w14:solidFill>
              <w14:schemeClr w14:val="tx1"/>
            </w14:solidFill>
          </w14:textFill>
        </w:rPr>
        <w:t>系统</w:t>
      </w:r>
    </w:p>
    <w:p w14:paraId="23D21A36">
      <w:pPr>
        <w:pStyle w:val="5"/>
        <w:pageBreakBefore w:val="0"/>
        <w:kinsoku/>
        <w:wordWrap/>
        <w:bidi w:val="0"/>
        <w:adjustRightInd w:val="0"/>
        <w:snapToGrid w:val="0"/>
        <w:spacing w:line="360" w:lineRule="auto"/>
        <w:ind w:firstLine="560"/>
        <w:rPr>
          <w:rFonts w:hint="default" w:ascii="Times New Roman" w:hAnsi="Times New Roman" w:cs="Times New Roman"/>
          <w:lang w:val="en-US" w:eastAsia="zh-CN"/>
        </w:rPr>
      </w:pPr>
      <w:r>
        <w:rPr>
          <w:rFonts w:hint="eastAsia" w:ascii="Times New Roman" w:hAnsi="Times New Roman" w:cs="Times New Roman"/>
          <w:lang w:val="en-US" w:eastAsia="zh-CN"/>
        </w:rPr>
        <w:t>2.4.8.1 给水系统</w:t>
      </w:r>
    </w:p>
    <w:p w14:paraId="40C39383">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本工程生活、辅助生产、消防、绿化、浇洒道路及除尘用水等合并为一个给水系统，该系统由生产水池及管网构成，本工程消耗水量调节和消防用水量储存在生产水池内。</w:t>
      </w:r>
    </w:p>
    <w:p w14:paraId="26254612">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矿山目前有1个高位水池，位于矿山值班、材料室附近，标高2424m，容积200m</w:t>
      </w:r>
      <w:r>
        <w:rPr>
          <w:rFonts w:hint="default" w:ascii="Times New Roman" w:hAnsi="Times New Roman" w:cs="Times New Roman"/>
          <w:b w:val="0"/>
          <w:bCs w:val="0"/>
          <w:color w:val="000000" w:themeColor="text1"/>
          <w:sz w:val="28"/>
          <w:szCs w:val="28"/>
          <w:vertAlign w:val="superscript"/>
          <w14:textFill>
            <w14:solidFill>
              <w14:schemeClr w14:val="tx1"/>
            </w14:solidFill>
          </w14:textFill>
        </w:rPr>
        <w:t>3</w:t>
      </w:r>
      <w:r>
        <w:rPr>
          <w:rFonts w:hint="default" w:ascii="Times New Roman" w:hAnsi="Times New Roman" w:cs="Times New Roman"/>
          <w:b w:val="0"/>
          <w:bCs w:val="0"/>
          <w:color w:val="000000" w:themeColor="text1"/>
          <w:sz w:val="28"/>
          <w:szCs w:val="28"/>
          <w14:textFill>
            <w14:solidFill>
              <w14:schemeClr w14:val="tx1"/>
            </w14:solidFill>
          </w14:textFill>
        </w:rPr>
        <w:t>，矿山办公室、机修场地、破碎站用水均通过生产水池进行抽用，采用3分管连接，分别有水泵。露天采场及运输道路的洒水降尘用水，采用洒水车至下方的水池管道直接取水。</w:t>
      </w:r>
    </w:p>
    <w:p w14:paraId="16E266A0">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1、生产给水</w:t>
      </w:r>
    </w:p>
    <w:p w14:paraId="363BA7F1">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采场用水：露天采场用水标高2520m~2420m，主要为工作面及道路的洒水降尘，根据矿山的生产实际，采用洒水车取水。穿孔作业采用干式凿岩，配置干式收尘器，不需用水。</w:t>
      </w:r>
    </w:p>
    <w:p w14:paraId="0E324238">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机修车间用水：机修车间用水标高2389m，由生产水池通过管线供给。</w:t>
      </w:r>
    </w:p>
    <w:p w14:paraId="4856A8BA">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破碎站用水：破碎站用水标高2389m，由生产水池通过管线供给。</w:t>
      </w:r>
    </w:p>
    <w:p w14:paraId="261163F8">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2、生活给水</w:t>
      </w:r>
    </w:p>
    <w:p w14:paraId="79777B9A">
      <w:pPr>
        <w:pageBreakBefore w:val="0"/>
        <w:kinsoku/>
        <w:wordWrap/>
        <w:bidi w:val="0"/>
        <w:adjustRightInd w:val="0"/>
        <w:snapToGrid w:val="0"/>
        <w:spacing w:line="360" w:lineRule="auto"/>
        <w:ind w:firstLine="560" w:firstLineChars="20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sz w:val="28"/>
          <w:szCs w:val="28"/>
          <w14:textFill>
            <w14:solidFill>
              <w14:schemeClr w14:val="tx1"/>
            </w14:solidFill>
          </w14:textFill>
        </w:rPr>
        <w:t>主要作为采矿矿部、机修、办公区的生活用水，由现有生活水池通过管线供给各用水点，采用DN50镀锌钢管，接自室外生活给水管。</w:t>
      </w:r>
    </w:p>
    <w:p w14:paraId="6FE0D697">
      <w:pPr>
        <w:pStyle w:val="5"/>
        <w:pageBreakBefore w:val="0"/>
        <w:kinsoku/>
        <w:wordWrap/>
        <w:bidi w:val="0"/>
        <w:adjustRightInd w:val="0"/>
        <w:snapToGrid w:val="0"/>
        <w:spacing w:line="360" w:lineRule="auto"/>
        <w:ind w:firstLine="560"/>
        <w:rPr>
          <w:rFonts w:hint="default" w:ascii="Times New Roman" w:hAnsi="Times New Roman" w:cs="Times New Roman"/>
          <w:lang w:val="en-US" w:eastAsia="zh-CN"/>
        </w:rPr>
      </w:pPr>
      <w:r>
        <w:rPr>
          <w:rFonts w:hint="eastAsia" w:ascii="Times New Roman" w:hAnsi="Times New Roman" w:cs="Times New Roman"/>
          <w:lang w:val="en-US" w:eastAsia="zh-CN"/>
        </w:rPr>
        <w:t xml:space="preserve">2.7.8.2 </w:t>
      </w:r>
      <w:r>
        <w:rPr>
          <w:rFonts w:hint="default" w:ascii="Times New Roman" w:hAnsi="Times New Roman" w:cs="Times New Roman"/>
          <w:lang w:val="en-US" w:eastAsia="zh-CN"/>
        </w:rPr>
        <w:t>排水</w:t>
      </w:r>
      <w:r>
        <w:rPr>
          <w:rFonts w:hint="eastAsia" w:ascii="Times New Roman" w:hAnsi="Times New Roman" w:cs="Times New Roman"/>
          <w:lang w:val="en-US" w:eastAsia="zh-CN"/>
        </w:rPr>
        <w:t>系统</w:t>
      </w:r>
    </w:p>
    <w:p w14:paraId="322FAD0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42" w:name="_Hlk129347528"/>
      <w:r>
        <w:rPr>
          <w:rFonts w:hint="default" w:ascii="Times New Roman" w:hAnsi="Times New Roman" w:eastAsia="宋体" w:cs="Times New Roman"/>
          <w:sz w:val="28"/>
          <w:szCs w:val="21"/>
        </w:rPr>
        <w:t>1、露天采场排水</w:t>
      </w:r>
    </w:p>
    <w:p w14:paraId="72EF8A8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道路洒水和爆堆洒水均直接蒸发，不外排，露天采场排水主要为大气降雨，</w:t>
      </w:r>
      <w:r>
        <w:rPr>
          <w:rFonts w:hint="eastAsia" w:ascii="Times New Roman" w:hAnsi="Times New Roman" w:eastAsia="宋体" w:cs="Times New Roman"/>
          <w:sz w:val="28"/>
          <w:szCs w:val="21"/>
          <w:lang w:eastAsia="zh-CN"/>
        </w:rPr>
        <w:t>设计</w:t>
      </w:r>
      <w:r>
        <w:rPr>
          <w:rFonts w:hint="default" w:ascii="Times New Roman" w:hAnsi="Times New Roman" w:eastAsia="宋体" w:cs="Times New Roman"/>
          <w:sz w:val="28"/>
          <w:szCs w:val="21"/>
        </w:rPr>
        <w:t>境界为山坡露天采场，露天采场的降水通过台阶排水沟排至沉淀池。</w:t>
      </w:r>
    </w:p>
    <w:p w14:paraId="0EE3C41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2、生活区排水</w:t>
      </w:r>
    </w:p>
    <w:p w14:paraId="04447B7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生活区的生活污水主要是洗涤、冲洗厕所排水等，有机物含量相对较高，经化粪池及地埋式生物处理装置处理后外排。</w:t>
      </w:r>
    </w:p>
    <w:p w14:paraId="3AD87EA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3、其它排水</w:t>
      </w:r>
    </w:p>
    <w:p w14:paraId="46B8577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机汽修等排水除少量含油废水经隔油池处理，少量含酸、碱废水经中和处理后外排。无其它生产废水外排。</w:t>
      </w:r>
    </w:p>
    <w:bookmarkEnd w:id="142"/>
    <w:p w14:paraId="555A35AB">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eastAsia" w:ascii="Times New Roman" w:hAnsi="Times New Roman" w:eastAsia="宋体" w:cs="Times New Roman"/>
          <w:b/>
          <w:bCs w:val="0"/>
          <w:color w:val="000000" w:themeColor="text1"/>
          <w:sz w:val="28"/>
          <w:lang w:val="en-US" w:eastAsia="zh-CN"/>
          <w14:textFill>
            <w14:solidFill>
              <w14:schemeClr w14:val="tx1"/>
            </w14:solidFill>
          </w14:textFill>
        </w:rPr>
        <w:t xml:space="preserve">9 </w:t>
      </w:r>
      <w:r>
        <w:rPr>
          <w:rFonts w:hint="default" w:ascii="Times New Roman" w:hAnsi="Times New Roman" w:eastAsia="宋体" w:cs="Times New Roman"/>
          <w:b/>
          <w:bCs w:val="0"/>
          <w:color w:val="000000" w:themeColor="text1"/>
          <w:sz w:val="28"/>
          <w:lang w:val="en-GB"/>
          <w14:textFill>
            <w14:solidFill>
              <w14:schemeClr w14:val="tx1"/>
            </w14:solidFill>
          </w14:textFill>
        </w:rPr>
        <w:t>排土场</w:t>
      </w:r>
    </w:p>
    <w:p w14:paraId="6535420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根据地质资料，矿山表土层较薄，剥离的废土量为1.5万m³。设计剥离表土堆放于采空区内的临时表土堆场，待采场上部台阶靠帮后，逐步利用表土对靠帮台阶进行复垦。</w:t>
      </w:r>
    </w:p>
    <w:p w14:paraId="288CCCA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设计临时表土堆场面积为3000m</w:t>
      </w:r>
      <w:r>
        <w:rPr>
          <w:rFonts w:hint="default" w:ascii="Times New Roman" w:hAnsi="Times New Roman" w:eastAsia="宋体" w:cs="Times New Roman"/>
          <w:sz w:val="28"/>
          <w:szCs w:val="21"/>
          <w:vertAlign w:val="superscript"/>
        </w:rPr>
        <w:t>2</w:t>
      </w:r>
      <w:r>
        <w:rPr>
          <w:rFonts w:hint="default" w:ascii="Times New Roman" w:hAnsi="Times New Roman" w:eastAsia="宋体" w:cs="Times New Roman"/>
          <w:sz w:val="28"/>
          <w:szCs w:val="21"/>
        </w:rPr>
        <w:t>，堆高5m。</w:t>
      </w:r>
    </w:p>
    <w:p w14:paraId="610DC2F8">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2.4.</w:t>
      </w:r>
      <w:r>
        <w:rPr>
          <w:rFonts w:hint="eastAsia" w:ascii="Times New Roman" w:hAnsi="Times New Roman" w:eastAsia="宋体" w:cs="Times New Roman"/>
          <w:b/>
          <w:bCs w:val="0"/>
          <w:color w:val="000000" w:themeColor="text1"/>
          <w:sz w:val="28"/>
          <w:lang w:val="en-US" w:eastAsia="zh-CN"/>
          <w14:textFill>
            <w14:solidFill>
              <w14:schemeClr w14:val="tx1"/>
            </w14:solidFill>
          </w14:textFill>
        </w:rPr>
        <w:t>10</w:t>
      </w:r>
      <w:r>
        <w:rPr>
          <w:rFonts w:hint="default" w:ascii="Times New Roman" w:hAnsi="Times New Roman" w:eastAsia="宋体" w:cs="Times New Roman"/>
          <w:b/>
          <w:bCs w:val="0"/>
          <w:color w:val="000000" w:themeColor="text1"/>
          <w:sz w:val="28"/>
          <w:lang w:val="en-GB"/>
          <w14:textFill>
            <w14:solidFill>
              <w14:schemeClr w14:val="tx1"/>
            </w14:solidFill>
          </w14:textFill>
        </w:rPr>
        <w:t>安全管理及其他</w:t>
      </w:r>
    </w:p>
    <w:p w14:paraId="26C56EC8">
      <w:pPr>
        <w:pStyle w:val="5"/>
        <w:pageBreakBefore w:val="0"/>
        <w:kinsoku/>
        <w:wordWrap/>
        <w:bidi w:val="0"/>
        <w:adjustRightInd w:val="0"/>
        <w:snapToGrid w:val="0"/>
        <w:spacing w:line="360" w:lineRule="auto"/>
        <w:ind w:firstLine="560"/>
        <w:rPr>
          <w:rFonts w:hint="default" w:ascii="Times New Roman" w:hAnsi="Times New Roman" w:cs="Times New Roman"/>
        </w:rPr>
      </w:pPr>
      <w:r>
        <w:rPr>
          <w:rFonts w:hint="default" w:ascii="Times New Roman" w:hAnsi="Times New Roman" w:cs="Times New Roman"/>
        </w:rPr>
        <w:t>2.4.</w:t>
      </w:r>
      <w:r>
        <w:rPr>
          <w:rFonts w:hint="eastAsia" w:ascii="Times New Roman" w:hAnsi="Times New Roman" w:cs="Times New Roman"/>
          <w:lang w:val="en-US" w:eastAsia="zh-CN"/>
        </w:rPr>
        <w:t>10</w:t>
      </w:r>
      <w:r>
        <w:rPr>
          <w:rFonts w:hint="default" w:ascii="Times New Roman" w:hAnsi="Times New Roman" w:cs="Times New Roman"/>
        </w:rPr>
        <w:t>.1 生产组织及劳动定员</w:t>
      </w:r>
    </w:p>
    <w:p w14:paraId="6655AE2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矿山的矿山安全管理机构设置、部门职能、人员配备的建议及矿山安全教育和培训的基本要求。</w:t>
      </w:r>
    </w:p>
    <w:p w14:paraId="0D8B9ED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1、组织机构</w:t>
      </w:r>
    </w:p>
    <w:p w14:paraId="77E3A0F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本项目生产规模为80万t/a。该矿山由企业统一管理，只需设置一个矿山车间，组织机构如下。</w:t>
      </w:r>
    </w:p>
    <w:p w14:paraId="6E355481">
      <w:pPr>
        <w:keepLines w:val="0"/>
        <w:pageBreakBefore w:val="0"/>
        <w:kinsoku/>
        <w:wordWrap/>
        <w:overflowPunct/>
        <w:topLinePunct w:val="0"/>
        <w:autoSpaceDE/>
        <w:autoSpaceDN/>
        <w:bidi w:val="0"/>
        <w:adjustRightInd w:val="0"/>
        <w:snapToGrid w:val="0"/>
        <w:spacing w:before="156" w:beforeLines="50"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w:t>
      </w:r>
      <w:r>
        <w:rPr>
          <w:rFonts w:hint="default" w:ascii="Times New Roman" w:hAnsi="Times New Roman" w:eastAsia="宋体" w:cs="Times New Roman"/>
          <w:color w:val="000000" w:themeColor="text1"/>
          <w:sz w:val="28"/>
          <w:szCs w:val="28"/>
          <w:lang w:val="en-GB"/>
          <w14:textFill>
            <w14:solidFill>
              <w14:schemeClr w14:val="tx1"/>
            </w14:solidFill>
          </w14:textFill>
        </w:rPr>
        <w:t>劳动定员</w:t>
      </w:r>
    </w:p>
    <w:p w14:paraId="568AB5C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43" w:name="_Hlk101106919"/>
      <w:r>
        <w:rPr>
          <w:rFonts w:hint="default" w:ascii="Times New Roman" w:hAnsi="Times New Roman" w:eastAsia="宋体" w:cs="Times New Roman"/>
          <w:sz w:val="28"/>
          <w:szCs w:val="21"/>
        </w:rPr>
        <w:t>矿区采剥及破碎作业采用间断工作制，年工作300天，每天工作1班，每班工作8小时。本着精简的原则，</w:t>
      </w:r>
      <w:r>
        <w:rPr>
          <w:rFonts w:hint="default" w:ascii="Times New Roman" w:hAnsi="Times New Roman" w:eastAsia="宋体" w:cs="Times New Roman"/>
          <w:sz w:val="28"/>
          <w:szCs w:val="21"/>
          <w:lang w:val="zh-TW"/>
        </w:rPr>
        <w:t>本项目设置定员</w:t>
      </w:r>
      <w:r>
        <w:rPr>
          <w:rFonts w:hint="default" w:ascii="Times New Roman" w:hAnsi="Times New Roman" w:eastAsia="宋体" w:cs="Times New Roman"/>
          <w:sz w:val="28"/>
          <w:szCs w:val="21"/>
        </w:rPr>
        <w:t>17</w:t>
      </w:r>
      <w:r>
        <w:rPr>
          <w:rFonts w:hint="default" w:ascii="Times New Roman" w:hAnsi="Times New Roman" w:eastAsia="宋体" w:cs="Times New Roman"/>
          <w:sz w:val="28"/>
          <w:szCs w:val="21"/>
          <w:lang w:val="zh-TW"/>
        </w:rPr>
        <w:t>人</w:t>
      </w:r>
      <w:r>
        <w:rPr>
          <w:rFonts w:hint="default" w:ascii="Times New Roman" w:hAnsi="Times New Roman" w:eastAsia="宋体" w:cs="Times New Roman"/>
          <w:sz w:val="28"/>
          <w:szCs w:val="21"/>
        </w:rPr>
        <w:t>，</w:t>
      </w:r>
      <w:bookmarkEnd w:id="143"/>
      <w:r>
        <w:rPr>
          <w:rFonts w:hint="default" w:ascii="Times New Roman" w:hAnsi="Times New Roman" w:eastAsia="宋体" w:cs="Times New Roman"/>
          <w:sz w:val="28"/>
          <w:szCs w:val="21"/>
        </w:rPr>
        <w:t>岗位定员分布见表2.4-5。</w:t>
      </w:r>
    </w:p>
    <w:p w14:paraId="2FA9C7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表</w:t>
      </w:r>
      <w:r>
        <w:rPr>
          <w:rFonts w:hint="default" w:ascii="Times New Roman" w:hAnsi="Times New Roman" w:eastAsia="宋体" w:cs="Times New Roman"/>
          <w:sz w:val="24"/>
          <w:szCs w:val="24"/>
        </w:rPr>
        <w:t xml:space="preserve">2.4-5  </w:t>
      </w:r>
      <w:r>
        <w:rPr>
          <w:rFonts w:hint="default" w:ascii="Times New Roman" w:hAnsi="Times New Roman" w:eastAsia="宋体" w:cs="Times New Roman"/>
          <w:b/>
          <w:kern w:val="0"/>
          <w:sz w:val="24"/>
          <w:szCs w:val="24"/>
        </w:rPr>
        <w:t>矿山生产岗位定员明细表（单位：人）</w:t>
      </w:r>
    </w:p>
    <w:tbl>
      <w:tblPr>
        <w:tblStyle w:val="32"/>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88"/>
        <w:gridCol w:w="5820"/>
        <w:gridCol w:w="1687"/>
      </w:tblGrid>
      <w:tr w14:paraId="13D3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4FBC3F3A">
            <w:pPr>
              <w:pageBreakBefore w:val="0"/>
              <w:kinsoku/>
              <w:wordWrap/>
              <w:bidi w:val="0"/>
              <w:adjustRightInd w:val="0"/>
              <w:snapToGrid w:val="0"/>
              <w:spacing w:line="360" w:lineRule="auto"/>
              <w:jc w:val="center"/>
              <w:rPr>
                <w:rFonts w:hint="default" w:ascii="Times New Roman" w:hAnsi="Times New Roman" w:eastAsia="宋体" w:cs="Times New Roman"/>
                <w:szCs w:val="21"/>
              </w:rPr>
            </w:pPr>
            <w:bookmarkStart w:id="144" w:name="_Hlk101106927"/>
            <w:r>
              <w:rPr>
                <w:rFonts w:hint="default" w:ascii="Times New Roman" w:hAnsi="Times New Roman" w:eastAsia="宋体" w:cs="Times New Roman"/>
                <w:szCs w:val="21"/>
              </w:rPr>
              <w:t>序号</w:t>
            </w:r>
          </w:p>
        </w:tc>
        <w:tc>
          <w:tcPr>
            <w:tcW w:w="3165" w:type="pct"/>
            <w:shd w:val="clear" w:color="auto" w:fill="FFFFFF"/>
            <w:vAlign w:val="center"/>
          </w:tcPr>
          <w:p w14:paraId="6DAEE6CE">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部门</w:t>
            </w:r>
          </w:p>
        </w:tc>
        <w:tc>
          <w:tcPr>
            <w:tcW w:w="917" w:type="pct"/>
            <w:shd w:val="clear" w:color="auto" w:fill="FFFFFF"/>
            <w:vAlign w:val="center"/>
          </w:tcPr>
          <w:p w14:paraId="63F0904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总计</w:t>
            </w:r>
          </w:p>
        </w:tc>
      </w:tr>
      <w:tr w14:paraId="5E88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79EA9E8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一</w:t>
            </w:r>
          </w:p>
        </w:tc>
        <w:tc>
          <w:tcPr>
            <w:tcW w:w="3165" w:type="pct"/>
            <w:shd w:val="clear" w:color="auto" w:fill="FFFFFF"/>
            <w:vAlign w:val="center"/>
          </w:tcPr>
          <w:p w14:paraId="3352C3B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生产人员</w:t>
            </w:r>
          </w:p>
        </w:tc>
        <w:tc>
          <w:tcPr>
            <w:tcW w:w="917" w:type="pct"/>
            <w:shd w:val="clear" w:color="auto" w:fill="FFFFFF"/>
            <w:vAlign w:val="center"/>
          </w:tcPr>
          <w:p w14:paraId="2E7EF50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14</w:t>
            </w:r>
          </w:p>
        </w:tc>
      </w:tr>
      <w:tr w14:paraId="0311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7B50021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3165" w:type="pct"/>
            <w:shd w:val="clear" w:color="auto" w:fill="FFFFFF"/>
            <w:vAlign w:val="center"/>
          </w:tcPr>
          <w:p w14:paraId="09A2C752">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潜孔钻司机</w:t>
            </w:r>
          </w:p>
        </w:tc>
        <w:tc>
          <w:tcPr>
            <w:tcW w:w="917" w:type="pct"/>
            <w:shd w:val="clear" w:color="auto" w:fill="FFFFFF"/>
            <w:vAlign w:val="center"/>
          </w:tcPr>
          <w:p w14:paraId="607BF7F1">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r>
      <w:tr w14:paraId="481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7129DBD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3165" w:type="pct"/>
            <w:shd w:val="clear" w:color="auto" w:fill="FFFFFF"/>
            <w:vAlign w:val="center"/>
          </w:tcPr>
          <w:p w14:paraId="3A0FD62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液压挖掘机司机</w:t>
            </w:r>
          </w:p>
        </w:tc>
        <w:tc>
          <w:tcPr>
            <w:tcW w:w="917" w:type="pct"/>
            <w:shd w:val="clear" w:color="auto" w:fill="FFFFFF"/>
            <w:vAlign w:val="center"/>
          </w:tcPr>
          <w:p w14:paraId="7AB03BF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r>
      <w:tr w14:paraId="494E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5CBC9E28">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c>
          <w:tcPr>
            <w:tcW w:w="3165" w:type="pct"/>
            <w:shd w:val="clear" w:color="auto" w:fill="FFFFFF"/>
            <w:vAlign w:val="center"/>
          </w:tcPr>
          <w:p w14:paraId="10F07AC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推土机司机</w:t>
            </w:r>
          </w:p>
        </w:tc>
        <w:tc>
          <w:tcPr>
            <w:tcW w:w="917" w:type="pct"/>
            <w:shd w:val="clear" w:color="auto" w:fill="FFFFFF"/>
            <w:vAlign w:val="center"/>
          </w:tcPr>
          <w:p w14:paraId="652E575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r>
      <w:tr w14:paraId="4792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25D295B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3165" w:type="pct"/>
            <w:shd w:val="clear" w:color="auto" w:fill="FFFFFF"/>
            <w:vAlign w:val="center"/>
          </w:tcPr>
          <w:p w14:paraId="5963AD5A">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测量工</w:t>
            </w:r>
          </w:p>
        </w:tc>
        <w:tc>
          <w:tcPr>
            <w:tcW w:w="917" w:type="pct"/>
            <w:shd w:val="clear" w:color="auto" w:fill="FFFFFF"/>
            <w:vAlign w:val="center"/>
          </w:tcPr>
          <w:p w14:paraId="536880E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r>
      <w:tr w14:paraId="2FD6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5B820B34">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6</w:t>
            </w:r>
          </w:p>
        </w:tc>
        <w:tc>
          <w:tcPr>
            <w:tcW w:w="3165" w:type="pct"/>
            <w:shd w:val="clear" w:color="auto" w:fill="FFFFFF"/>
            <w:vAlign w:val="center"/>
          </w:tcPr>
          <w:p w14:paraId="2B822569">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专职安全员</w:t>
            </w:r>
          </w:p>
        </w:tc>
        <w:tc>
          <w:tcPr>
            <w:tcW w:w="917" w:type="pct"/>
            <w:shd w:val="clear" w:color="auto" w:fill="FFFFFF"/>
            <w:vAlign w:val="center"/>
          </w:tcPr>
          <w:p w14:paraId="21E7324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r>
      <w:tr w14:paraId="759C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67391EFF">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二</w:t>
            </w:r>
          </w:p>
        </w:tc>
        <w:tc>
          <w:tcPr>
            <w:tcW w:w="3165" w:type="pct"/>
            <w:shd w:val="clear" w:color="auto" w:fill="FFFFFF"/>
            <w:vAlign w:val="center"/>
          </w:tcPr>
          <w:p w14:paraId="3B9649F5">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管理技术人员</w:t>
            </w:r>
          </w:p>
        </w:tc>
        <w:tc>
          <w:tcPr>
            <w:tcW w:w="917" w:type="pct"/>
            <w:shd w:val="clear" w:color="auto" w:fill="FFFFFF"/>
            <w:vAlign w:val="center"/>
          </w:tcPr>
          <w:p w14:paraId="2DF1BBEB">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tc>
      </w:tr>
      <w:tr w14:paraId="4CAB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18" w:type="pct"/>
            <w:shd w:val="clear" w:color="auto" w:fill="FFFFFF"/>
            <w:vAlign w:val="center"/>
          </w:tcPr>
          <w:p w14:paraId="7105F90C">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合计</w:t>
            </w:r>
          </w:p>
        </w:tc>
        <w:tc>
          <w:tcPr>
            <w:tcW w:w="3165" w:type="pct"/>
            <w:shd w:val="clear" w:color="auto" w:fill="FFFFFF"/>
            <w:vAlign w:val="center"/>
          </w:tcPr>
          <w:p w14:paraId="240D738B">
            <w:pPr>
              <w:pageBreakBefore w:val="0"/>
              <w:kinsoku/>
              <w:wordWrap/>
              <w:bidi w:val="0"/>
              <w:adjustRightInd w:val="0"/>
              <w:snapToGrid w:val="0"/>
              <w:spacing w:line="360" w:lineRule="auto"/>
              <w:jc w:val="center"/>
              <w:rPr>
                <w:rFonts w:hint="default" w:ascii="Times New Roman" w:hAnsi="Times New Roman" w:eastAsia="宋体" w:cs="Times New Roman"/>
                <w:szCs w:val="21"/>
              </w:rPr>
            </w:pPr>
          </w:p>
        </w:tc>
        <w:tc>
          <w:tcPr>
            <w:tcW w:w="917" w:type="pct"/>
            <w:shd w:val="clear" w:color="auto" w:fill="FFFFFF"/>
            <w:vAlign w:val="center"/>
          </w:tcPr>
          <w:p w14:paraId="2C565287">
            <w:pPr>
              <w:pageBreakBefore w:val="0"/>
              <w:kinsoku/>
              <w:wordWrap/>
              <w:bidi w:val="0"/>
              <w:adjustRightInd w:val="0"/>
              <w:snapToGrid w:val="0"/>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17</w:t>
            </w:r>
          </w:p>
        </w:tc>
      </w:tr>
      <w:bookmarkEnd w:id="144"/>
    </w:tbl>
    <w:p w14:paraId="51F5E0C3">
      <w:pPr>
        <w:keepNext/>
        <w:keepLines w:val="0"/>
        <w:pageBreakBefore w:val="0"/>
        <w:widowControl w:val="0"/>
        <w:kinsoku/>
        <w:wordWrap/>
        <w:overflowPunct/>
        <w:topLinePunct w:val="0"/>
        <w:autoSpaceDE/>
        <w:autoSpaceDN/>
        <w:bidi w:val="0"/>
        <w:adjustRightInd w:val="0"/>
        <w:snapToGrid w:val="0"/>
        <w:spacing w:before="156" w:beforeLines="50"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安全教育培训</w:t>
      </w:r>
    </w:p>
    <w:p w14:paraId="43FB689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加强教育培训工作，教育培训对象包括主要负责人、安全生产管理人员、特种人员、普通员工。</w:t>
      </w:r>
    </w:p>
    <w:p w14:paraId="32CD367F">
      <w:pPr>
        <w:pageBreakBefore w:val="0"/>
        <w:kinsoku/>
        <w:wordWrap/>
        <w:bidi w:val="0"/>
        <w:adjustRightInd w:val="0"/>
        <w:snapToGrid w:val="0"/>
        <w:spacing w:line="360" w:lineRule="auto"/>
        <w:ind w:firstLine="560" w:firstLineChars="200"/>
        <w:rPr>
          <w:rFonts w:hint="default" w:ascii="Times New Roman" w:hAnsi="Times New Roman" w:cs="Times New Roman"/>
          <w:lang w:val="en-GB"/>
        </w:rPr>
      </w:pPr>
      <w:r>
        <w:rPr>
          <w:rFonts w:hint="default" w:ascii="Times New Roman" w:hAnsi="Times New Roman" w:eastAsia="黑体" w:cs="Times New Roman"/>
          <w:bCs/>
          <w:kern w:val="2"/>
          <w:sz w:val="28"/>
          <w:szCs w:val="28"/>
          <w:lang w:val="en-GB" w:eastAsia="zh-CN" w:bidi="ar-SA"/>
        </w:rPr>
        <w:t>2.4.1</w:t>
      </w:r>
      <w:r>
        <w:rPr>
          <w:rFonts w:hint="eastAsia" w:ascii="Times New Roman" w:hAnsi="Times New Roman" w:eastAsia="黑体" w:cs="Times New Roman"/>
          <w:bCs/>
          <w:kern w:val="2"/>
          <w:sz w:val="28"/>
          <w:szCs w:val="28"/>
          <w:lang w:val="en-US" w:eastAsia="zh-CN" w:bidi="ar-SA"/>
        </w:rPr>
        <w:t>0</w:t>
      </w:r>
      <w:r>
        <w:rPr>
          <w:rFonts w:hint="default" w:ascii="Times New Roman" w:hAnsi="Times New Roman" w:eastAsia="黑体" w:cs="Times New Roman"/>
          <w:bCs/>
          <w:kern w:val="2"/>
          <w:sz w:val="28"/>
          <w:szCs w:val="28"/>
          <w:lang w:val="en-GB" w:eastAsia="zh-CN" w:bidi="ar-SA"/>
        </w:rPr>
        <w:t>.2 破碎站</w:t>
      </w:r>
    </w:p>
    <w:p w14:paraId="5EB865E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破碎站于2022年扩建，位于露天采场东南侧2389m标高。破碎能力400t/h，日作业时间8h。设计利用原有破碎，未进行设计及新建。</w:t>
      </w:r>
    </w:p>
    <w:p w14:paraId="7812EFB5">
      <w:pPr>
        <w:pStyle w:val="5"/>
        <w:pageBreakBefore w:val="0"/>
        <w:kinsoku/>
        <w:wordWrap/>
        <w:bidi w:val="0"/>
        <w:adjustRightInd w:val="0"/>
        <w:snapToGrid w:val="0"/>
        <w:spacing w:line="360" w:lineRule="auto"/>
        <w:ind w:firstLine="560"/>
        <w:rPr>
          <w:rFonts w:hint="default" w:ascii="Times New Roman" w:hAnsi="Times New Roman" w:cs="Times New Roman"/>
          <w:lang w:val="en-GB"/>
        </w:rPr>
      </w:pPr>
      <w:r>
        <w:rPr>
          <w:rFonts w:hint="default" w:ascii="Times New Roman" w:hAnsi="Times New Roman" w:cs="Times New Roman"/>
          <w:lang w:val="en-GB"/>
        </w:rPr>
        <w:t>2.4.1</w:t>
      </w:r>
      <w:r>
        <w:rPr>
          <w:rFonts w:hint="eastAsia" w:ascii="Times New Roman" w:hAnsi="Times New Roman" w:cs="Times New Roman"/>
          <w:lang w:val="en-US" w:eastAsia="zh-CN"/>
        </w:rPr>
        <w:t>0</w:t>
      </w:r>
      <w:r>
        <w:rPr>
          <w:rFonts w:hint="default" w:ascii="Times New Roman" w:hAnsi="Times New Roman" w:cs="Times New Roman"/>
          <w:lang w:val="en-GB"/>
        </w:rPr>
        <w:t>.</w:t>
      </w:r>
      <w:r>
        <w:rPr>
          <w:rFonts w:hint="eastAsia" w:ascii="Times New Roman" w:hAnsi="Times New Roman" w:cs="Times New Roman"/>
          <w:lang w:val="en-US" w:eastAsia="zh-CN"/>
        </w:rPr>
        <w:t>3</w:t>
      </w:r>
      <w:r>
        <w:rPr>
          <w:rFonts w:hint="default" w:ascii="Times New Roman" w:hAnsi="Times New Roman" w:cs="Times New Roman"/>
          <w:lang w:val="en-GB"/>
        </w:rPr>
        <w:t xml:space="preserve"> 公用辅助设施及土建工程</w:t>
      </w:r>
    </w:p>
    <w:p w14:paraId="2613782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1、通信</w:t>
      </w:r>
    </w:p>
    <w:p w14:paraId="0D5DFC0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矿区地面范围内通讯考虑使用对讲机系统及移动手机，主要设采场3部、矿部办公室2部，生产技术科1部，值班室2部、安全员2部。矿山与外部联系采用商业移动通讯网络及电信通信网络。</w:t>
      </w:r>
    </w:p>
    <w:p w14:paraId="363086D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rPr>
        <w:t>2、机修</w:t>
      </w:r>
    </w:p>
    <w:p w14:paraId="514F502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设计露天开采最大采剥设备为潜孔钻机、挖掘机、装载机和自卸汽车。矿山机修设施已建成，并投入使用多年，因此设计推荐利用现有机、汽修设施。</w:t>
      </w:r>
    </w:p>
    <w:p w14:paraId="14B48E4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矿山机、汽修以简单的维护保养为主，负责露采及相应辅助设施生产设备的维护及故障的修理。</w:t>
      </w:r>
    </w:p>
    <w:p w14:paraId="117A9F5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3、土建</w:t>
      </w:r>
    </w:p>
    <w:p w14:paraId="72562A2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cs="Times New Roman"/>
          <w:lang w:val="en-GB"/>
        </w:rPr>
      </w:pPr>
      <w:r>
        <w:rPr>
          <w:rFonts w:hint="default" w:ascii="Times New Roman" w:hAnsi="Times New Roman" w:eastAsia="宋体" w:cs="Times New Roman"/>
          <w:color w:val="000000" w:themeColor="text1"/>
          <w:sz w:val="28"/>
          <w:szCs w:val="28"/>
          <w:lang w:val="en-GB"/>
          <w14:textFill>
            <w14:solidFill>
              <w14:schemeClr w14:val="tx1"/>
            </w14:solidFill>
          </w14:textFill>
        </w:rPr>
        <w:t>矿山机汽修场地、破碎站、生活及办公设施已经形成，设计利用现有设施。</w:t>
      </w:r>
    </w:p>
    <w:p w14:paraId="4E1CE57A">
      <w:pPr>
        <w:pStyle w:val="5"/>
        <w:keepNext/>
        <w:keepLines/>
        <w:pageBreakBefore w:val="0"/>
        <w:widowControl w:val="0"/>
        <w:kinsoku/>
        <w:wordWrap/>
        <w:overflowPunct/>
        <w:topLinePunct w:val="0"/>
        <w:autoSpaceDE/>
        <w:autoSpaceDN/>
        <w:bidi w:val="0"/>
        <w:adjustRightInd w:val="0"/>
        <w:snapToGrid w:val="0"/>
        <w:spacing w:line="360" w:lineRule="auto"/>
        <w:ind w:firstLine="560"/>
        <w:textAlignment w:val="auto"/>
        <w:rPr>
          <w:rFonts w:hint="default" w:ascii="Times New Roman" w:hAnsi="Times New Roman" w:cs="Times New Roman"/>
          <w:lang w:val="en-GB"/>
        </w:rPr>
      </w:pPr>
      <w:r>
        <w:rPr>
          <w:rFonts w:hint="default" w:ascii="Times New Roman" w:hAnsi="Times New Roman" w:cs="Times New Roman"/>
          <w:lang w:val="en-GB"/>
        </w:rPr>
        <w:t>2.4.1</w:t>
      </w:r>
      <w:r>
        <w:rPr>
          <w:rFonts w:hint="eastAsia" w:ascii="Times New Roman" w:hAnsi="Times New Roman" w:cs="Times New Roman"/>
          <w:lang w:val="en-US" w:eastAsia="zh-CN"/>
        </w:rPr>
        <w:t>0</w:t>
      </w:r>
      <w:r>
        <w:rPr>
          <w:rFonts w:hint="default" w:ascii="Times New Roman" w:hAnsi="Times New Roman" w:cs="Times New Roman"/>
          <w:lang w:val="en-GB"/>
        </w:rPr>
        <w:t>.</w:t>
      </w:r>
      <w:r>
        <w:rPr>
          <w:rFonts w:hint="default" w:ascii="Times New Roman" w:hAnsi="Times New Roman" w:cs="Times New Roman"/>
          <w:lang w:val="en-US" w:eastAsia="zh-CN"/>
        </w:rPr>
        <w:t>5</w:t>
      </w:r>
      <w:r>
        <w:rPr>
          <w:rFonts w:hint="default" w:ascii="Times New Roman" w:hAnsi="Times New Roman" w:cs="Times New Roman"/>
          <w:lang w:val="en-GB"/>
        </w:rPr>
        <w:t xml:space="preserve"> 主要技术经济指标</w:t>
      </w:r>
    </w:p>
    <w:p w14:paraId="266CA1AB">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4"/>
          <w:lang w:val="en-GB"/>
          <w14:textFill>
            <w14:solidFill>
              <w14:schemeClr w14:val="tx1"/>
            </w14:solidFill>
          </w14:textFill>
        </w:rPr>
      </w:pPr>
      <w:r>
        <w:rPr>
          <w:rFonts w:hint="default" w:ascii="Times New Roman" w:hAnsi="Times New Roman" w:eastAsia="宋体" w:cs="Times New Roman"/>
          <w:b/>
          <w:bCs/>
          <w:color w:val="000000" w:themeColor="text1"/>
          <w:sz w:val="28"/>
          <w:szCs w:val="24"/>
          <w14:textFill>
            <w14:solidFill>
              <w14:schemeClr w14:val="tx1"/>
            </w14:solidFill>
          </w14:textFill>
        </w:rPr>
        <w:t>一、</w:t>
      </w:r>
      <w:r>
        <w:rPr>
          <w:rFonts w:hint="default" w:ascii="Times New Roman" w:hAnsi="Times New Roman" w:eastAsia="宋体" w:cs="Times New Roman"/>
          <w:b/>
          <w:bCs/>
          <w:color w:val="000000" w:themeColor="text1"/>
          <w:sz w:val="28"/>
          <w:szCs w:val="24"/>
          <w:lang w:val="en-GB"/>
          <w14:textFill>
            <w14:solidFill>
              <w14:schemeClr w14:val="tx1"/>
            </w14:solidFill>
          </w14:textFill>
        </w:rPr>
        <w:t>投资及资金筹措</w:t>
      </w:r>
    </w:p>
    <w:p w14:paraId="59024B69">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4"/>
          <w14:textFill>
            <w14:solidFill>
              <w14:schemeClr w14:val="tx1"/>
            </w14:solidFill>
          </w14:textFill>
        </w:rPr>
      </w:pPr>
      <w:bookmarkStart w:id="145" w:name="_Toc153878931"/>
      <w:bookmarkStart w:id="146" w:name="_Toc240525381"/>
      <w:bookmarkStart w:id="147" w:name="_Toc198397220"/>
      <w:bookmarkStart w:id="148" w:name="_Toc345505685"/>
      <w:bookmarkStart w:id="149" w:name="_Toc123032038"/>
      <w:r>
        <w:rPr>
          <w:rFonts w:hint="default" w:ascii="Times New Roman" w:hAnsi="Times New Roman" w:eastAsia="宋体" w:cs="Times New Roman"/>
          <w:color w:val="000000" w:themeColor="text1"/>
          <w:sz w:val="28"/>
          <w:szCs w:val="24"/>
          <w14:textFill>
            <w14:solidFill>
              <w14:schemeClr w14:val="tx1"/>
            </w14:solidFill>
          </w14:textFill>
        </w:rPr>
        <w:t>1、建设</w:t>
      </w:r>
      <w:bookmarkEnd w:id="145"/>
      <w:bookmarkEnd w:id="146"/>
      <w:bookmarkEnd w:id="147"/>
      <w:bookmarkEnd w:id="148"/>
      <w:bookmarkEnd w:id="149"/>
      <w:r>
        <w:rPr>
          <w:rFonts w:hint="default" w:ascii="Times New Roman" w:hAnsi="Times New Roman" w:eastAsia="宋体" w:cs="Times New Roman"/>
          <w:color w:val="000000" w:themeColor="text1"/>
          <w:sz w:val="28"/>
          <w:szCs w:val="24"/>
          <w14:textFill>
            <w14:solidFill>
              <w14:schemeClr w14:val="tx1"/>
            </w14:solidFill>
          </w14:textFill>
        </w:rPr>
        <w:t>投资</w:t>
      </w:r>
    </w:p>
    <w:p w14:paraId="3A664109">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50" w:name="_Hlk109642403"/>
      <w:bookmarkStart w:id="151" w:name="_Toc240525382"/>
      <w:bookmarkStart w:id="152" w:name="_Toc153878932"/>
      <w:bookmarkStart w:id="153" w:name="_Toc345505686"/>
      <w:bookmarkStart w:id="154" w:name="_Toc198397221"/>
      <w:bookmarkStart w:id="155" w:name="_Toc123032039"/>
      <w:r>
        <w:rPr>
          <w:rFonts w:hint="default" w:ascii="Times New Roman" w:hAnsi="Times New Roman" w:eastAsia="宋体" w:cs="Times New Roman"/>
          <w:sz w:val="28"/>
          <w:szCs w:val="21"/>
        </w:rPr>
        <w:t>本项目总投资为719.68万元，利用原有资产400.00万元，建设投资总额200.35万元，流动资金119.34万元。</w:t>
      </w:r>
      <w:bookmarkEnd w:id="150"/>
      <w:r>
        <w:rPr>
          <w:rFonts w:hint="default" w:ascii="Times New Roman" w:hAnsi="Times New Roman" w:eastAsia="宋体" w:cs="Times New Roman"/>
          <w:sz w:val="28"/>
          <w:szCs w:val="21"/>
        </w:rPr>
        <w:t>投资内容为项目从筹建开工建设到竣工验收投产过程中的全部费用。</w:t>
      </w:r>
    </w:p>
    <w:p w14:paraId="4A4A6F5F">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themeColor="text1"/>
          <w:sz w:val="28"/>
          <w:szCs w:val="24"/>
          <w14:textFill>
            <w14:solidFill>
              <w14:schemeClr w14:val="tx1"/>
            </w14:solidFill>
          </w14:textFill>
        </w:rPr>
      </w:pPr>
      <w:r>
        <w:rPr>
          <w:rFonts w:hint="default" w:ascii="Times New Roman" w:hAnsi="Times New Roman" w:eastAsia="宋体" w:cs="Times New Roman"/>
          <w:color w:val="000000" w:themeColor="text1"/>
          <w:sz w:val="28"/>
          <w:szCs w:val="24"/>
          <w14:textFill>
            <w14:solidFill>
              <w14:schemeClr w14:val="tx1"/>
            </w14:solidFill>
          </w14:textFill>
        </w:rPr>
        <w:t>2、流动资金估算</w:t>
      </w:r>
      <w:bookmarkEnd w:id="151"/>
      <w:bookmarkEnd w:id="152"/>
      <w:bookmarkEnd w:id="153"/>
      <w:bookmarkEnd w:id="154"/>
      <w:bookmarkEnd w:id="155"/>
    </w:p>
    <w:p w14:paraId="45B0345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56" w:name="_Toc153878935"/>
      <w:bookmarkStart w:id="157" w:name="_Toc198397224"/>
      <w:bookmarkStart w:id="158" w:name="_Toc345505687"/>
      <w:bookmarkStart w:id="159" w:name="_Toc240525385"/>
      <w:r>
        <w:rPr>
          <w:rFonts w:hint="default" w:ascii="Times New Roman" w:hAnsi="Times New Roman" w:eastAsia="宋体" w:cs="Times New Roman"/>
          <w:sz w:val="28"/>
          <w:szCs w:val="21"/>
        </w:rPr>
        <w:t>生产流动资金按详细分项估算法计算，从表中可以看出，正常年流动资金额为119.34万元。</w:t>
      </w:r>
    </w:p>
    <w:bookmarkEnd w:id="156"/>
    <w:bookmarkEnd w:id="157"/>
    <w:bookmarkEnd w:id="158"/>
    <w:bookmarkEnd w:id="159"/>
    <w:p w14:paraId="2BEC683F">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4"/>
          <w14:textFill>
            <w14:solidFill>
              <w14:schemeClr w14:val="tx1"/>
            </w14:solidFill>
          </w14:textFill>
        </w:rPr>
      </w:pPr>
      <w:r>
        <w:rPr>
          <w:rFonts w:hint="default" w:ascii="Times New Roman" w:hAnsi="Times New Roman" w:eastAsia="宋体" w:cs="Times New Roman"/>
          <w:b/>
          <w:bCs/>
          <w:color w:val="000000" w:themeColor="text1"/>
          <w:sz w:val="28"/>
          <w:szCs w:val="24"/>
          <w14:textFill>
            <w14:solidFill>
              <w14:schemeClr w14:val="tx1"/>
            </w14:solidFill>
          </w14:textFill>
        </w:rPr>
        <w:t>二、总成本费用</w:t>
      </w:r>
    </w:p>
    <w:p w14:paraId="0A54282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GB"/>
        </w:rPr>
      </w:pPr>
      <w:r>
        <w:rPr>
          <w:rFonts w:hint="default" w:ascii="Times New Roman" w:hAnsi="Times New Roman" w:eastAsia="宋体" w:cs="Times New Roman"/>
          <w:sz w:val="28"/>
          <w:szCs w:val="21"/>
          <w:lang w:val="en-GB"/>
        </w:rPr>
        <w:t>该矿山年生产规模为80万t/a。年平均总成本费用（不含税）1090.68万元/a；年平均经营成本（不含税）1031.76万元/a；单位产品含税总成本费用19.76元/t。</w:t>
      </w:r>
    </w:p>
    <w:p w14:paraId="79B81B8C">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4"/>
          <w14:textFill>
            <w14:solidFill>
              <w14:schemeClr w14:val="tx1"/>
            </w14:solidFill>
          </w14:textFill>
        </w:rPr>
      </w:pPr>
      <w:r>
        <w:rPr>
          <w:rFonts w:hint="default" w:ascii="Times New Roman" w:hAnsi="Times New Roman" w:eastAsia="宋体" w:cs="Times New Roman"/>
          <w:b/>
          <w:bCs/>
          <w:color w:val="000000" w:themeColor="text1"/>
          <w:sz w:val="28"/>
          <w:szCs w:val="24"/>
          <w14:textFill>
            <w14:solidFill>
              <w14:schemeClr w14:val="tx1"/>
            </w14:solidFill>
          </w14:textFill>
        </w:rPr>
        <w:t>三、成本分析</w:t>
      </w:r>
    </w:p>
    <w:p w14:paraId="00280B0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原材料成本占制造成本的5.29%、燃料动力占制造成本的74.90%，工人工资及福利占13.35%，折旧费占4.69%，修理费占0.42%，其他费用占1.35%。</w:t>
      </w:r>
    </w:p>
    <w:p w14:paraId="3A69034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lang w:val="en-GB"/>
        </w:rPr>
        <w:t>制造成本占总成本费用66.71%，管理费用占总成本费用27.91%，财务费用占总成本费用0.47%，销售费用占总成本费用4.90%</w:t>
      </w:r>
    </w:p>
    <w:p w14:paraId="71563F15">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4"/>
          <w14:textFill>
            <w14:solidFill>
              <w14:schemeClr w14:val="tx1"/>
            </w14:solidFill>
          </w14:textFill>
        </w:rPr>
        <w:t>四、</w:t>
      </w:r>
      <w:r>
        <w:rPr>
          <w:rFonts w:hint="eastAsia" w:ascii="Times New Roman" w:hAnsi="Times New Roman" w:eastAsia="宋体" w:cs="Times New Roman"/>
          <w:b/>
          <w:bCs/>
          <w:color w:val="000000" w:themeColor="text1"/>
          <w:sz w:val="28"/>
          <w:szCs w:val="24"/>
          <w:lang w:val="en-US" w:eastAsia="zh-CN"/>
          <w14:textFill>
            <w14:solidFill>
              <w14:schemeClr w14:val="tx1"/>
            </w14:solidFill>
          </w14:textFill>
        </w:rPr>
        <w:t>盈利能力分析</w:t>
      </w:r>
    </w:p>
    <w:p w14:paraId="781DBC43">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以项目每年的现金流量分析计算本项目的财务内部收益率，反映项目所占用资金的盈利能力。进行盈利能力分析的指标有财务内部收益率、财务净现值、投资回收期、投资利润率、投资利税率、资本金净利润率等。经计算，本项目主要财务盈利能力指标如下：</w:t>
      </w:r>
    </w:p>
    <w:p w14:paraId="3F23026F">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1、全部投资财务内部收益率：</w:t>
      </w:r>
    </w:p>
    <w:p w14:paraId="0F1A382E">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所得税前：246.60%</w:t>
      </w:r>
    </w:p>
    <w:p w14:paraId="3ACB26AA">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所得税后：203.29%</w:t>
      </w:r>
    </w:p>
    <w:p w14:paraId="23AEEEFD">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2、全部投资财务净现值（I=12%）：</w:t>
      </w:r>
    </w:p>
    <w:p w14:paraId="099CC8E7">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所得税前：6323.59万元</w:t>
      </w:r>
    </w:p>
    <w:p w14:paraId="41C1EB69">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所得税后：5288.34万元</w:t>
      </w:r>
    </w:p>
    <w:p w14:paraId="4B69C148">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3、投资回收期：</w:t>
      </w:r>
    </w:p>
    <w:p w14:paraId="0F072DD5">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所得税前：1.41年</w:t>
      </w:r>
    </w:p>
    <w:p w14:paraId="502DDD3D">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所得税后：1.50年</w:t>
      </w:r>
    </w:p>
    <w:p w14:paraId="6346A904">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4、总投资收益率：181.38%</w:t>
      </w:r>
    </w:p>
    <w:p w14:paraId="1F09AF55">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sz w:val="28"/>
          <w:szCs w:val="21"/>
        </w:rPr>
      </w:pPr>
      <w:r>
        <w:rPr>
          <w:rFonts w:hint="default" w:ascii="Times New Roman" w:hAnsi="Times New Roman" w:eastAsia="宋体" w:cs="Times New Roman"/>
          <w:bCs/>
          <w:sz w:val="28"/>
          <w:szCs w:val="21"/>
        </w:rPr>
        <w:t>5、资本金净利润率：153.23%</w:t>
      </w:r>
    </w:p>
    <w:p w14:paraId="141D178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bCs/>
          <w:sz w:val="28"/>
          <w:szCs w:val="21"/>
        </w:rPr>
        <w:t>从以上指标来看，本项目有一定的财务效益，在同行业中属较好水平。</w:t>
      </w:r>
    </w:p>
    <w:p w14:paraId="2079485A">
      <w:pPr>
        <w:keepNext/>
        <w:pageBreakBefore w:val="0"/>
        <w:kinsoku/>
        <w:wordWrap/>
        <w:bidi w:val="0"/>
        <w:adjustRightInd w:val="0"/>
        <w:snapToGrid w:val="0"/>
        <w:spacing w:line="360" w:lineRule="auto"/>
        <w:ind w:firstLine="562" w:firstLineChars="200"/>
        <w:rPr>
          <w:rFonts w:hint="default" w:ascii="Times New Roman" w:hAnsi="Times New Roman" w:eastAsia="宋体" w:cs="Times New Roman"/>
          <w:b/>
          <w:bCs/>
          <w:color w:val="000000" w:themeColor="text1"/>
          <w:sz w:val="28"/>
          <w:szCs w:val="24"/>
          <w14:textFill>
            <w14:solidFill>
              <w14:schemeClr w14:val="tx1"/>
            </w14:solidFill>
          </w14:textFill>
        </w:rPr>
      </w:pPr>
      <w:r>
        <w:rPr>
          <w:rFonts w:hint="default" w:ascii="Times New Roman" w:hAnsi="Times New Roman" w:eastAsia="宋体" w:cs="Times New Roman"/>
          <w:b/>
          <w:bCs/>
          <w:color w:val="000000" w:themeColor="text1"/>
          <w:sz w:val="28"/>
          <w:szCs w:val="24"/>
          <w14:textFill>
            <w14:solidFill>
              <w14:schemeClr w14:val="tx1"/>
            </w14:solidFill>
          </w14:textFill>
        </w:rPr>
        <w:t>五、综合评价</w:t>
      </w:r>
    </w:p>
    <w:p w14:paraId="7BA548E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1、项目的产品具有良好的市场。</w:t>
      </w:r>
    </w:p>
    <w:p w14:paraId="0B86CEF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2、项目建成后每年可产出矿石80万t。</w:t>
      </w:r>
    </w:p>
    <w:p w14:paraId="18D1D28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3、可增加17人的就业。</w:t>
      </w:r>
    </w:p>
    <w:p w14:paraId="2380DF7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4、企业平均每年可以获净利润974.75万元；向国家缴纳增值税262.71万元；所得税325.13万元；资源税158.92万元，营业税金及附加26.27万元。</w:t>
      </w:r>
    </w:p>
    <w:p w14:paraId="5A6E7FD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5、项目投资财务内部收益率为203.29%（税后）；基建项目投资财务净现值（I=12%）为5288.34万元（税后）；总投资收益率为181.38%，资本金净利润率为153.23%，税后投资回收期为1.5年。以上指标表明基建项目具有较强的抗风险能力，同时具有较好的企业经济效益和社会效益。</w:t>
      </w:r>
    </w:p>
    <w:p w14:paraId="35CAF63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综上所述，该基建项目在经济上合理，技术上可行，有较好的经济效益和社会效益，研究认为本基建项目在技术经济上是可行的。</w:t>
      </w:r>
    </w:p>
    <w:p w14:paraId="1D1593C7">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themeColor="text1"/>
          <w:sz w:val="28"/>
          <w:szCs w:val="28"/>
          <w:lang w:val="en-GB"/>
          <w14:textFill>
            <w14:solidFill>
              <w14:schemeClr w14:val="tx1"/>
            </w14:solidFill>
          </w14:textFill>
        </w:rPr>
      </w:pPr>
      <w:r>
        <w:rPr>
          <w:rFonts w:hint="default" w:ascii="Times New Roman" w:hAnsi="Times New Roman" w:eastAsia="宋体" w:cs="Times New Roman"/>
          <w:bCs/>
          <w:color w:val="000000" w:themeColor="text1"/>
          <w:sz w:val="28"/>
          <w:szCs w:val="28"/>
          <w:lang w:val="en-GB"/>
          <w14:textFill>
            <w14:solidFill>
              <w14:schemeClr w14:val="tx1"/>
            </w14:solidFill>
          </w14:textFill>
        </w:rPr>
        <w:t>主要技术指标见表</w:t>
      </w:r>
      <w:r>
        <w:rPr>
          <w:rFonts w:hint="default" w:ascii="Times New Roman" w:hAnsi="Times New Roman" w:eastAsia="宋体" w:cs="Times New Roman"/>
          <w:bCs/>
          <w:color w:val="000000" w:themeColor="text1"/>
          <w:sz w:val="28"/>
          <w:szCs w:val="28"/>
          <w14:textFill>
            <w14:solidFill>
              <w14:schemeClr w14:val="tx1"/>
            </w14:solidFill>
          </w14:textFill>
        </w:rPr>
        <w:t>2.4</w:t>
      </w:r>
      <w:r>
        <w:rPr>
          <w:rFonts w:hint="default" w:ascii="Times New Roman" w:hAnsi="Times New Roman" w:eastAsia="宋体" w:cs="Times New Roman"/>
          <w:bCs/>
          <w:color w:val="000000" w:themeColor="text1"/>
          <w:sz w:val="28"/>
          <w:szCs w:val="28"/>
          <w:lang w:val="en-GB"/>
          <w14:textFill>
            <w14:solidFill>
              <w14:schemeClr w14:val="tx1"/>
            </w14:solidFill>
          </w14:textFill>
        </w:rPr>
        <w:t>-</w:t>
      </w:r>
      <w:r>
        <w:rPr>
          <w:rFonts w:hint="default" w:ascii="Times New Roman" w:hAnsi="Times New Roman" w:eastAsia="宋体" w:cs="Times New Roman"/>
          <w:bCs/>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bCs/>
          <w:color w:val="000000" w:themeColor="text1"/>
          <w:sz w:val="28"/>
          <w:szCs w:val="28"/>
          <w:lang w:val="en-GB"/>
          <w14:textFill>
            <w14:solidFill>
              <w14:schemeClr w14:val="tx1"/>
            </w14:solidFill>
          </w14:textFill>
        </w:rPr>
        <w:t>。</w:t>
      </w:r>
    </w:p>
    <w:p w14:paraId="76BCEA91">
      <w:pPr>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表2.4-</w:t>
      </w:r>
      <w:r>
        <w:rPr>
          <w:rFonts w:hint="default" w:ascii="Times New Roman" w:hAnsi="Times New Roman" w:eastAsia="宋体" w:cs="Times New Roman"/>
          <w:b/>
          <w:kern w:val="0"/>
          <w:sz w:val="24"/>
          <w:szCs w:val="24"/>
          <w:lang w:val="en-US" w:eastAsia="zh-CN"/>
        </w:rPr>
        <w:t>6</w:t>
      </w:r>
      <w:r>
        <w:rPr>
          <w:rFonts w:hint="default" w:ascii="Times New Roman" w:hAnsi="Times New Roman" w:eastAsia="宋体" w:cs="Times New Roman"/>
          <w:b/>
          <w:kern w:val="0"/>
          <w:sz w:val="24"/>
          <w:szCs w:val="24"/>
        </w:rPr>
        <w:t xml:space="preserve">  主要技术指标表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7"/>
        <w:gridCol w:w="2846"/>
        <w:gridCol w:w="1242"/>
        <w:gridCol w:w="3519"/>
        <w:gridCol w:w="967"/>
      </w:tblGrid>
      <w:tr w14:paraId="3CDD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blHeader/>
        </w:trPr>
        <w:tc>
          <w:tcPr>
            <w:tcW w:w="361" w:type="pct"/>
            <w:vAlign w:val="center"/>
          </w:tcPr>
          <w:p w14:paraId="19447E3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b/>
                <w:bCs/>
                <w:sz w:val="21"/>
                <w:szCs w:val="21"/>
              </w:rPr>
            </w:pPr>
            <w:bookmarkStart w:id="160" w:name="_Hlk99653992"/>
            <w:r>
              <w:rPr>
                <w:b/>
                <w:bCs/>
                <w:sz w:val="21"/>
                <w:szCs w:val="21"/>
              </w:rPr>
              <w:t>序号</w:t>
            </w:r>
          </w:p>
        </w:tc>
        <w:tc>
          <w:tcPr>
            <w:tcW w:w="1540" w:type="pct"/>
            <w:vAlign w:val="center"/>
          </w:tcPr>
          <w:p w14:paraId="5B9A725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b/>
                <w:bCs/>
                <w:sz w:val="21"/>
                <w:szCs w:val="21"/>
              </w:rPr>
            </w:pPr>
            <w:r>
              <w:rPr>
                <w:b/>
                <w:bCs/>
                <w:sz w:val="21"/>
                <w:szCs w:val="21"/>
              </w:rPr>
              <w:t>指标名称</w:t>
            </w:r>
          </w:p>
        </w:tc>
        <w:tc>
          <w:tcPr>
            <w:tcW w:w="672" w:type="pct"/>
            <w:vAlign w:val="center"/>
          </w:tcPr>
          <w:p w14:paraId="50C6D18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b/>
                <w:bCs/>
                <w:sz w:val="21"/>
                <w:szCs w:val="21"/>
              </w:rPr>
            </w:pPr>
            <w:r>
              <w:rPr>
                <w:b/>
                <w:bCs/>
                <w:sz w:val="21"/>
                <w:szCs w:val="21"/>
              </w:rPr>
              <w:t>单位</w:t>
            </w:r>
          </w:p>
        </w:tc>
        <w:tc>
          <w:tcPr>
            <w:tcW w:w="1904" w:type="pct"/>
            <w:vAlign w:val="center"/>
          </w:tcPr>
          <w:p w14:paraId="67549D9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b/>
                <w:bCs/>
                <w:sz w:val="21"/>
                <w:szCs w:val="21"/>
              </w:rPr>
            </w:pPr>
            <w:r>
              <w:rPr>
                <w:b/>
                <w:bCs/>
                <w:sz w:val="21"/>
                <w:szCs w:val="21"/>
              </w:rPr>
              <w:t>数量</w:t>
            </w:r>
          </w:p>
        </w:tc>
        <w:tc>
          <w:tcPr>
            <w:tcW w:w="523" w:type="pct"/>
            <w:vAlign w:val="center"/>
          </w:tcPr>
          <w:p w14:paraId="51DB722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b/>
                <w:bCs/>
                <w:sz w:val="21"/>
                <w:szCs w:val="21"/>
              </w:rPr>
            </w:pPr>
            <w:r>
              <w:rPr>
                <w:b/>
                <w:bCs/>
                <w:sz w:val="21"/>
                <w:szCs w:val="21"/>
              </w:rPr>
              <w:t>备注</w:t>
            </w:r>
          </w:p>
        </w:tc>
      </w:tr>
      <w:tr w14:paraId="7B5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059A318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w:t>
            </w:r>
          </w:p>
        </w:tc>
        <w:tc>
          <w:tcPr>
            <w:tcW w:w="4639" w:type="pct"/>
            <w:gridSpan w:val="4"/>
            <w:vAlign w:val="center"/>
          </w:tcPr>
          <w:p w14:paraId="76FDF4C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地质</w:t>
            </w:r>
          </w:p>
        </w:tc>
      </w:tr>
      <w:tr w14:paraId="3F0B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053E3F7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1.1</w:t>
            </w:r>
          </w:p>
        </w:tc>
        <w:tc>
          <w:tcPr>
            <w:tcW w:w="1540" w:type="pct"/>
            <w:vAlign w:val="center"/>
          </w:tcPr>
          <w:p w14:paraId="546B092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全矿地质资源量/储量</w:t>
            </w:r>
          </w:p>
        </w:tc>
        <w:tc>
          <w:tcPr>
            <w:tcW w:w="672" w:type="pct"/>
            <w:vAlign w:val="center"/>
          </w:tcPr>
          <w:p w14:paraId="0D837C0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69528E4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09957DA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C56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03888B8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C9A418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矿石量</w:t>
            </w:r>
          </w:p>
        </w:tc>
        <w:tc>
          <w:tcPr>
            <w:tcW w:w="672" w:type="pct"/>
            <w:vAlign w:val="center"/>
          </w:tcPr>
          <w:p w14:paraId="1AD5E3E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万t</w:t>
            </w:r>
          </w:p>
        </w:tc>
        <w:tc>
          <w:tcPr>
            <w:tcW w:w="1904" w:type="pct"/>
            <w:vAlign w:val="center"/>
          </w:tcPr>
          <w:p w14:paraId="161A159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1210.28</w:t>
            </w:r>
          </w:p>
        </w:tc>
        <w:tc>
          <w:tcPr>
            <w:tcW w:w="523" w:type="pct"/>
            <w:vAlign w:val="center"/>
          </w:tcPr>
          <w:p w14:paraId="5B281B9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53A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6FB944F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1.2</w:t>
            </w:r>
          </w:p>
        </w:tc>
        <w:tc>
          <w:tcPr>
            <w:tcW w:w="1540" w:type="pct"/>
            <w:vAlign w:val="center"/>
          </w:tcPr>
          <w:p w14:paraId="0768F81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采出矿石量</w:t>
            </w:r>
          </w:p>
        </w:tc>
        <w:tc>
          <w:tcPr>
            <w:tcW w:w="672" w:type="pct"/>
            <w:vAlign w:val="center"/>
          </w:tcPr>
          <w:p w14:paraId="1E0098B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万t</w:t>
            </w:r>
          </w:p>
        </w:tc>
        <w:tc>
          <w:tcPr>
            <w:tcW w:w="1904" w:type="pct"/>
            <w:vAlign w:val="center"/>
          </w:tcPr>
          <w:p w14:paraId="27574D1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727.64</w:t>
            </w:r>
          </w:p>
        </w:tc>
        <w:tc>
          <w:tcPr>
            <w:tcW w:w="523" w:type="pct"/>
            <w:vAlign w:val="center"/>
          </w:tcPr>
          <w:p w14:paraId="0D19024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C2E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7B3D07D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1.3</w:t>
            </w:r>
          </w:p>
        </w:tc>
        <w:tc>
          <w:tcPr>
            <w:tcW w:w="1540" w:type="pct"/>
            <w:vAlign w:val="center"/>
          </w:tcPr>
          <w:p w14:paraId="79E0C70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矿岩物理力学性质</w:t>
            </w:r>
          </w:p>
        </w:tc>
        <w:tc>
          <w:tcPr>
            <w:tcW w:w="672" w:type="pct"/>
            <w:vAlign w:val="center"/>
          </w:tcPr>
          <w:p w14:paraId="24833F3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1280D03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77A599C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069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360597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11DAB3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矿石体重</w:t>
            </w:r>
          </w:p>
        </w:tc>
        <w:tc>
          <w:tcPr>
            <w:tcW w:w="672" w:type="pct"/>
            <w:vAlign w:val="center"/>
          </w:tcPr>
          <w:p w14:paraId="1CDE05C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t/m</w:t>
            </w:r>
            <w:r>
              <w:rPr>
                <w:sz w:val="21"/>
                <w:szCs w:val="21"/>
                <w:vertAlign w:val="superscript"/>
              </w:rPr>
              <w:t>3</w:t>
            </w:r>
          </w:p>
        </w:tc>
        <w:tc>
          <w:tcPr>
            <w:tcW w:w="1904" w:type="pct"/>
            <w:vAlign w:val="center"/>
          </w:tcPr>
          <w:p w14:paraId="12C45A6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2.7</w:t>
            </w:r>
          </w:p>
        </w:tc>
        <w:tc>
          <w:tcPr>
            <w:tcW w:w="523" w:type="pct"/>
            <w:vAlign w:val="center"/>
          </w:tcPr>
          <w:p w14:paraId="53F6075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A50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EAC9ED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1E04F93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矿岩松散系数</w:t>
            </w:r>
          </w:p>
        </w:tc>
        <w:tc>
          <w:tcPr>
            <w:tcW w:w="672" w:type="pct"/>
            <w:vAlign w:val="center"/>
          </w:tcPr>
          <w:p w14:paraId="745021C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5526FDF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1.30</w:t>
            </w:r>
          </w:p>
        </w:tc>
        <w:tc>
          <w:tcPr>
            <w:tcW w:w="523" w:type="pct"/>
            <w:vAlign w:val="center"/>
          </w:tcPr>
          <w:p w14:paraId="65D7797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A80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41CC7C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F7E57C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矿石抗压强度</w:t>
            </w:r>
          </w:p>
        </w:tc>
        <w:tc>
          <w:tcPr>
            <w:tcW w:w="672" w:type="pct"/>
            <w:vAlign w:val="center"/>
          </w:tcPr>
          <w:p w14:paraId="35C685E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MPa</w:t>
            </w:r>
          </w:p>
        </w:tc>
        <w:tc>
          <w:tcPr>
            <w:tcW w:w="1904" w:type="pct"/>
            <w:vAlign w:val="center"/>
          </w:tcPr>
          <w:p w14:paraId="6EB1D03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70</w:t>
            </w:r>
            <w:r>
              <w:rPr>
                <w:rFonts w:hint="eastAsia"/>
                <w:sz w:val="21"/>
                <w:szCs w:val="21"/>
              </w:rPr>
              <w:t>~</w:t>
            </w:r>
            <w:r>
              <w:rPr>
                <w:sz w:val="21"/>
                <w:szCs w:val="21"/>
              </w:rPr>
              <w:t>160</w:t>
            </w:r>
          </w:p>
        </w:tc>
        <w:tc>
          <w:tcPr>
            <w:tcW w:w="523" w:type="pct"/>
            <w:vAlign w:val="center"/>
          </w:tcPr>
          <w:p w14:paraId="67FF3D5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63F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44BFE66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w:t>
            </w:r>
          </w:p>
        </w:tc>
        <w:tc>
          <w:tcPr>
            <w:tcW w:w="4639" w:type="pct"/>
            <w:gridSpan w:val="4"/>
            <w:vAlign w:val="center"/>
          </w:tcPr>
          <w:p w14:paraId="59D3F90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采矿</w:t>
            </w:r>
          </w:p>
        </w:tc>
      </w:tr>
      <w:tr w14:paraId="7BAB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65E2641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2.1</w:t>
            </w:r>
          </w:p>
        </w:tc>
        <w:tc>
          <w:tcPr>
            <w:tcW w:w="1540" w:type="pct"/>
            <w:vAlign w:val="center"/>
          </w:tcPr>
          <w:p w14:paraId="5C6A336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矿山规模</w:t>
            </w:r>
          </w:p>
        </w:tc>
        <w:tc>
          <w:tcPr>
            <w:tcW w:w="672" w:type="pct"/>
            <w:vAlign w:val="center"/>
          </w:tcPr>
          <w:p w14:paraId="4B500AF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2FABCA2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1AFF7DF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891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1F694E2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DDFFEB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矿石量</w:t>
            </w:r>
          </w:p>
        </w:tc>
        <w:tc>
          <w:tcPr>
            <w:tcW w:w="672" w:type="pct"/>
            <w:vAlign w:val="center"/>
          </w:tcPr>
          <w:p w14:paraId="314905B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w:t>
            </w:r>
            <w:r>
              <w:rPr>
                <w:rFonts w:hint="eastAsia"/>
                <w:sz w:val="21"/>
                <w:szCs w:val="21"/>
              </w:rPr>
              <w:t>t/a</w:t>
            </w:r>
          </w:p>
        </w:tc>
        <w:tc>
          <w:tcPr>
            <w:tcW w:w="1904" w:type="pct"/>
            <w:vAlign w:val="center"/>
          </w:tcPr>
          <w:p w14:paraId="3B5B58E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80</w:t>
            </w:r>
          </w:p>
        </w:tc>
        <w:tc>
          <w:tcPr>
            <w:tcW w:w="523" w:type="pct"/>
            <w:vAlign w:val="center"/>
          </w:tcPr>
          <w:p w14:paraId="2BEB0A3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22D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96989A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73268B1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剥离量</w:t>
            </w:r>
          </w:p>
        </w:tc>
        <w:tc>
          <w:tcPr>
            <w:tcW w:w="672" w:type="pct"/>
            <w:vAlign w:val="center"/>
          </w:tcPr>
          <w:p w14:paraId="3CF32E8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w:t>
            </w:r>
            <w:r>
              <w:rPr>
                <w:rFonts w:hint="eastAsia"/>
                <w:sz w:val="21"/>
                <w:szCs w:val="21"/>
              </w:rPr>
              <w:t>m</w:t>
            </w:r>
            <w:r>
              <w:rPr>
                <w:sz w:val="21"/>
                <w:szCs w:val="21"/>
                <w:vertAlign w:val="superscript"/>
              </w:rPr>
              <w:t>3</w:t>
            </w:r>
          </w:p>
        </w:tc>
        <w:tc>
          <w:tcPr>
            <w:tcW w:w="1904" w:type="pct"/>
            <w:vAlign w:val="center"/>
          </w:tcPr>
          <w:p w14:paraId="54279B1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1.5</w:t>
            </w:r>
          </w:p>
        </w:tc>
        <w:tc>
          <w:tcPr>
            <w:tcW w:w="523" w:type="pct"/>
            <w:vAlign w:val="center"/>
          </w:tcPr>
          <w:p w14:paraId="03B3013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BEC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5FB153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EABB6D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年</w:t>
            </w:r>
            <w:r>
              <w:rPr>
                <w:sz w:val="21"/>
                <w:szCs w:val="21"/>
              </w:rPr>
              <w:t>采剥总量</w:t>
            </w:r>
          </w:p>
        </w:tc>
        <w:tc>
          <w:tcPr>
            <w:tcW w:w="672" w:type="pct"/>
            <w:vAlign w:val="center"/>
          </w:tcPr>
          <w:p w14:paraId="346D1C8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w:t>
            </w:r>
            <w:r>
              <w:rPr>
                <w:rFonts w:hint="eastAsia"/>
                <w:sz w:val="21"/>
                <w:szCs w:val="21"/>
              </w:rPr>
              <w:t>m</w:t>
            </w:r>
            <w:r>
              <w:rPr>
                <w:sz w:val="21"/>
                <w:szCs w:val="21"/>
                <w:vertAlign w:val="superscript"/>
              </w:rPr>
              <w:t>3</w:t>
            </w:r>
          </w:p>
        </w:tc>
        <w:tc>
          <w:tcPr>
            <w:tcW w:w="1904" w:type="pct"/>
            <w:vAlign w:val="center"/>
          </w:tcPr>
          <w:p w14:paraId="67B081E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29.63</w:t>
            </w:r>
          </w:p>
        </w:tc>
        <w:tc>
          <w:tcPr>
            <w:tcW w:w="523" w:type="pct"/>
            <w:vAlign w:val="center"/>
          </w:tcPr>
          <w:p w14:paraId="7C427C0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075F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7D461D3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2.2</w:t>
            </w:r>
          </w:p>
        </w:tc>
        <w:tc>
          <w:tcPr>
            <w:tcW w:w="1540" w:type="pct"/>
            <w:vAlign w:val="center"/>
          </w:tcPr>
          <w:p w14:paraId="309E2CD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剥采比</w:t>
            </w:r>
          </w:p>
        </w:tc>
        <w:tc>
          <w:tcPr>
            <w:tcW w:w="672" w:type="pct"/>
            <w:vAlign w:val="center"/>
          </w:tcPr>
          <w:p w14:paraId="0BA77B8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581E17D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6B561E0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374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1" w:type="pct"/>
            <w:vMerge w:val="continue"/>
            <w:vAlign w:val="center"/>
          </w:tcPr>
          <w:p w14:paraId="2615B9D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12A65A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平均剥采比</w:t>
            </w:r>
          </w:p>
        </w:tc>
        <w:tc>
          <w:tcPr>
            <w:tcW w:w="672" w:type="pct"/>
            <w:vAlign w:val="center"/>
          </w:tcPr>
          <w:p w14:paraId="3C9A705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4A230B7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0.</w:t>
            </w:r>
            <w:r>
              <w:rPr>
                <w:rFonts w:hint="eastAsia"/>
                <w:sz w:val="21"/>
                <w:szCs w:val="21"/>
              </w:rPr>
              <w:t>0</w:t>
            </w:r>
            <w:r>
              <w:rPr>
                <w:sz w:val="21"/>
                <w:szCs w:val="21"/>
              </w:rPr>
              <w:t>1</w:t>
            </w:r>
          </w:p>
        </w:tc>
        <w:tc>
          <w:tcPr>
            <w:tcW w:w="523" w:type="pct"/>
            <w:vAlign w:val="center"/>
          </w:tcPr>
          <w:p w14:paraId="7C52C3C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4D1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5E6A710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72C8FF0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生产平均剥采比</w:t>
            </w:r>
          </w:p>
        </w:tc>
        <w:tc>
          <w:tcPr>
            <w:tcW w:w="672" w:type="pct"/>
            <w:vAlign w:val="center"/>
          </w:tcPr>
          <w:p w14:paraId="4BA6AD1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0225F1B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0.</w:t>
            </w:r>
            <w:r>
              <w:rPr>
                <w:rFonts w:hint="eastAsia"/>
                <w:sz w:val="21"/>
                <w:szCs w:val="21"/>
              </w:rPr>
              <w:t>0</w:t>
            </w:r>
            <w:r>
              <w:rPr>
                <w:sz w:val="21"/>
                <w:szCs w:val="21"/>
              </w:rPr>
              <w:t>1</w:t>
            </w:r>
          </w:p>
        </w:tc>
        <w:tc>
          <w:tcPr>
            <w:tcW w:w="523" w:type="pct"/>
            <w:vAlign w:val="center"/>
          </w:tcPr>
          <w:p w14:paraId="76C44B9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A42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10D8212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2.3</w:t>
            </w:r>
          </w:p>
        </w:tc>
        <w:tc>
          <w:tcPr>
            <w:tcW w:w="1540" w:type="pct"/>
            <w:vAlign w:val="center"/>
          </w:tcPr>
          <w:p w14:paraId="78F9FF1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矿山服务年限</w:t>
            </w:r>
          </w:p>
        </w:tc>
        <w:tc>
          <w:tcPr>
            <w:tcW w:w="672" w:type="pct"/>
            <w:vAlign w:val="center"/>
          </w:tcPr>
          <w:p w14:paraId="13637F5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264D87B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9年2个月</w:t>
            </w:r>
          </w:p>
        </w:tc>
        <w:tc>
          <w:tcPr>
            <w:tcW w:w="523" w:type="pct"/>
            <w:vAlign w:val="center"/>
          </w:tcPr>
          <w:p w14:paraId="5B37486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97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0DE36BE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2.4</w:t>
            </w:r>
          </w:p>
        </w:tc>
        <w:tc>
          <w:tcPr>
            <w:tcW w:w="1540" w:type="pct"/>
            <w:vAlign w:val="center"/>
          </w:tcPr>
          <w:p w14:paraId="2AE7BFE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矿山基建时间</w:t>
            </w:r>
          </w:p>
        </w:tc>
        <w:tc>
          <w:tcPr>
            <w:tcW w:w="672" w:type="pct"/>
            <w:vAlign w:val="center"/>
          </w:tcPr>
          <w:p w14:paraId="6ACD257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2D4F9C1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10</w:t>
            </w:r>
            <w:r>
              <w:rPr>
                <w:rFonts w:hint="eastAsia"/>
                <w:sz w:val="21"/>
                <w:szCs w:val="21"/>
              </w:rPr>
              <w:t>个月</w:t>
            </w:r>
          </w:p>
        </w:tc>
        <w:tc>
          <w:tcPr>
            <w:tcW w:w="523" w:type="pct"/>
            <w:vAlign w:val="center"/>
          </w:tcPr>
          <w:p w14:paraId="0709E3B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1BB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7064B74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40DB7B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基建工程量</w:t>
            </w:r>
          </w:p>
        </w:tc>
        <w:tc>
          <w:tcPr>
            <w:tcW w:w="672" w:type="pct"/>
            <w:vAlign w:val="center"/>
          </w:tcPr>
          <w:p w14:paraId="54BE717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w:t>
            </w:r>
            <w:r>
              <w:rPr>
                <w:rFonts w:hint="eastAsia"/>
                <w:sz w:val="21"/>
                <w:szCs w:val="21"/>
              </w:rPr>
              <w:t>m</w:t>
            </w:r>
            <w:r>
              <w:rPr>
                <w:sz w:val="21"/>
                <w:szCs w:val="21"/>
                <w:vertAlign w:val="superscript"/>
              </w:rPr>
              <w:t>3</w:t>
            </w:r>
          </w:p>
        </w:tc>
        <w:tc>
          <w:tcPr>
            <w:tcW w:w="1904" w:type="pct"/>
            <w:vAlign w:val="center"/>
          </w:tcPr>
          <w:p w14:paraId="2E2D6EF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3.21</w:t>
            </w:r>
          </w:p>
        </w:tc>
        <w:tc>
          <w:tcPr>
            <w:tcW w:w="523" w:type="pct"/>
            <w:vAlign w:val="center"/>
          </w:tcPr>
          <w:p w14:paraId="404E33E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C89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06FB597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0C5659E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其中：副产矿石量</w:t>
            </w:r>
          </w:p>
        </w:tc>
        <w:tc>
          <w:tcPr>
            <w:tcW w:w="672" w:type="pct"/>
            <w:vAlign w:val="center"/>
          </w:tcPr>
          <w:p w14:paraId="4AA51F7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万t</w:t>
            </w:r>
          </w:p>
        </w:tc>
        <w:tc>
          <w:tcPr>
            <w:tcW w:w="1904" w:type="pct"/>
            <w:vAlign w:val="center"/>
          </w:tcPr>
          <w:p w14:paraId="25912B9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4.93</w:t>
            </w:r>
          </w:p>
        </w:tc>
        <w:tc>
          <w:tcPr>
            <w:tcW w:w="523" w:type="pct"/>
            <w:vAlign w:val="center"/>
          </w:tcPr>
          <w:p w14:paraId="37885DE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787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5C8609A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2.5</w:t>
            </w:r>
          </w:p>
        </w:tc>
        <w:tc>
          <w:tcPr>
            <w:tcW w:w="1540" w:type="pct"/>
            <w:vAlign w:val="center"/>
          </w:tcPr>
          <w:p w14:paraId="72EB824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开拓运输方式</w:t>
            </w:r>
          </w:p>
        </w:tc>
        <w:tc>
          <w:tcPr>
            <w:tcW w:w="672" w:type="pct"/>
            <w:vAlign w:val="center"/>
          </w:tcPr>
          <w:p w14:paraId="2F3A37E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03DAF1C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公路开拓，汽车运输</w:t>
            </w:r>
          </w:p>
        </w:tc>
        <w:tc>
          <w:tcPr>
            <w:tcW w:w="523" w:type="pct"/>
            <w:vAlign w:val="center"/>
          </w:tcPr>
          <w:p w14:paraId="56F98F3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0B3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CF2431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0856852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汽车型号</w:t>
            </w:r>
          </w:p>
        </w:tc>
        <w:tc>
          <w:tcPr>
            <w:tcW w:w="672" w:type="pct"/>
            <w:vAlign w:val="center"/>
          </w:tcPr>
          <w:p w14:paraId="11B9DEB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34A9895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30t红岩金刚矿用自卸汽车</w:t>
            </w:r>
          </w:p>
        </w:tc>
        <w:tc>
          <w:tcPr>
            <w:tcW w:w="523" w:type="pct"/>
            <w:vAlign w:val="center"/>
          </w:tcPr>
          <w:p w14:paraId="6D73BFF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3D1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E1C78E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223A0EA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数量</w:t>
            </w:r>
          </w:p>
        </w:tc>
        <w:tc>
          <w:tcPr>
            <w:tcW w:w="672" w:type="pct"/>
            <w:vAlign w:val="center"/>
          </w:tcPr>
          <w:p w14:paraId="2F5F99C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辆</w:t>
            </w:r>
          </w:p>
        </w:tc>
        <w:tc>
          <w:tcPr>
            <w:tcW w:w="1904" w:type="pct"/>
            <w:vAlign w:val="center"/>
          </w:tcPr>
          <w:p w14:paraId="0E24D08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7</w:t>
            </w:r>
          </w:p>
        </w:tc>
        <w:tc>
          <w:tcPr>
            <w:tcW w:w="523" w:type="pct"/>
            <w:vAlign w:val="center"/>
          </w:tcPr>
          <w:p w14:paraId="1B2BC93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C38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51AA1A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31DF304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胶带</w:t>
            </w:r>
          </w:p>
        </w:tc>
        <w:tc>
          <w:tcPr>
            <w:tcW w:w="672" w:type="pct"/>
            <w:vAlign w:val="center"/>
          </w:tcPr>
          <w:p w14:paraId="1576569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段</w:t>
            </w:r>
          </w:p>
        </w:tc>
        <w:tc>
          <w:tcPr>
            <w:tcW w:w="1904" w:type="pct"/>
            <w:vAlign w:val="center"/>
          </w:tcPr>
          <w:p w14:paraId="0992F83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3段（H</w:t>
            </w:r>
            <w:r>
              <w:rPr>
                <w:sz w:val="21"/>
                <w:szCs w:val="21"/>
              </w:rPr>
              <w:t>10</w:t>
            </w:r>
            <w:r>
              <w:rPr>
                <w:rFonts w:hint="eastAsia"/>
                <w:sz w:val="21"/>
                <w:szCs w:val="21"/>
              </w:rPr>
              <w:t>00）</w:t>
            </w:r>
          </w:p>
        </w:tc>
        <w:tc>
          <w:tcPr>
            <w:tcW w:w="523" w:type="pct"/>
            <w:vAlign w:val="center"/>
          </w:tcPr>
          <w:p w14:paraId="2F85FB4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1A1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05CD93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0F327C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破碎机型号</w:t>
            </w:r>
          </w:p>
        </w:tc>
        <w:tc>
          <w:tcPr>
            <w:tcW w:w="672" w:type="pct"/>
            <w:vAlign w:val="center"/>
          </w:tcPr>
          <w:p w14:paraId="74A74A9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54BEE04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PE600×900颚式破碎机</w:t>
            </w:r>
          </w:p>
          <w:p w14:paraId="6DD4746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PF-1</w:t>
            </w:r>
            <w:r>
              <w:rPr>
                <w:sz w:val="21"/>
                <w:szCs w:val="21"/>
              </w:rPr>
              <w:t>2</w:t>
            </w:r>
            <w:r>
              <w:rPr>
                <w:rFonts w:hint="eastAsia"/>
                <w:sz w:val="21"/>
                <w:szCs w:val="21"/>
              </w:rPr>
              <w:t>1</w:t>
            </w:r>
            <w:r>
              <w:rPr>
                <w:sz w:val="21"/>
                <w:szCs w:val="21"/>
              </w:rPr>
              <w:t>4</w:t>
            </w:r>
            <w:r>
              <w:rPr>
                <w:rFonts w:hint="eastAsia"/>
                <w:sz w:val="21"/>
                <w:szCs w:val="21"/>
              </w:rPr>
              <w:t>反击破碎机</w:t>
            </w:r>
          </w:p>
        </w:tc>
        <w:tc>
          <w:tcPr>
            <w:tcW w:w="523" w:type="pct"/>
            <w:vAlign w:val="center"/>
          </w:tcPr>
          <w:p w14:paraId="2AC2B8C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27F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282414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516B12A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数量</w:t>
            </w:r>
          </w:p>
        </w:tc>
        <w:tc>
          <w:tcPr>
            <w:tcW w:w="672" w:type="pct"/>
            <w:vAlign w:val="center"/>
          </w:tcPr>
          <w:p w14:paraId="252219E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790D672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各一套</w:t>
            </w:r>
          </w:p>
        </w:tc>
        <w:tc>
          <w:tcPr>
            <w:tcW w:w="523" w:type="pct"/>
            <w:vAlign w:val="center"/>
          </w:tcPr>
          <w:p w14:paraId="358330F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440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46F9A73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2.6</w:t>
            </w:r>
          </w:p>
        </w:tc>
        <w:tc>
          <w:tcPr>
            <w:tcW w:w="1540" w:type="pct"/>
            <w:vAlign w:val="center"/>
          </w:tcPr>
          <w:p w14:paraId="659940E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二级矿量保有量</w:t>
            </w:r>
          </w:p>
        </w:tc>
        <w:tc>
          <w:tcPr>
            <w:tcW w:w="672" w:type="pct"/>
            <w:vAlign w:val="center"/>
          </w:tcPr>
          <w:p w14:paraId="43F9A50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6E3DE06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4059CBA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FFD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9C3F87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0A8B5F7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开拓矿量</w:t>
            </w:r>
          </w:p>
        </w:tc>
        <w:tc>
          <w:tcPr>
            <w:tcW w:w="672" w:type="pct"/>
            <w:vAlign w:val="center"/>
          </w:tcPr>
          <w:p w14:paraId="0A3DFF9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万t</w:t>
            </w:r>
          </w:p>
        </w:tc>
        <w:tc>
          <w:tcPr>
            <w:tcW w:w="1904" w:type="pct"/>
            <w:vAlign w:val="center"/>
          </w:tcPr>
          <w:p w14:paraId="0706DE7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131.51</w:t>
            </w:r>
          </w:p>
        </w:tc>
        <w:tc>
          <w:tcPr>
            <w:tcW w:w="523" w:type="pct"/>
            <w:vAlign w:val="center"/>
          </w:tcPr>
          <w:p w14:paraId="673E98A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EE2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33EF5C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13AC38E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备采矿量</w:t>
            </w:r>
          </w:p>
        </w:tc>
        <w:tc>
          <w:tcPr>
            <w:tcW w:w="672" w:type="pct"/>
            <w:vAlign w:val="center"/>
          </w:tcPr>
          <w:p w14:paraId="45EF9E8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万t</w:t>
            </w:r>
          </w:p>
        </w:tc>
        <w:tc>
          <w:tcPr>
            <w:tcW w:w="1904" w:type="pct"/>
            <w:vAlign w:val="center"/>
          </w:tcPr>
          <w:p w14:paraId="76F42DD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45.73</w:t>
            </w:r>
          </w:p>
        </w:tc>
        <w:tc>
          <w:tcPr>
            <w:tcW w:w="523" w:type="pct"/>
            <w:vAlign w:val="center"/>
          </w:tcPr>
          <w:p w14:paraId="06F92A6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A41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6AF2035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2.7</w:t>
            </w:r>
          </w:p>
        </w:tc>
        <w:tc>
          <w:tcPr>
            <w:tcW w:w="1540" w:type="pct"/>
            <w:vAlign w:val="center"/>
          </w:tcPr>
          <w:p w14:paraId="7B8250D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矿石贫化率</w:t>
            </w:r>
          </w:p>
        </w:tc>
        <w:tc>
          <w:tcPr>
            <w:tcW w:w="672" w:type="pct"/>
            <w:vAlign w:val="center"/>
          </w:tcPr>
          <w:p w14:paraId="263140E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w:t>
            </w:r>
          </w:p>
        </w:tc>
        <w:tc>
          <w:tcPr>
            <w:tcW w:w="1904" w:type="pct"/>
            <w:vAlign w:val="center"/>
          </w:tcPr>
          <w:p w14:paraId="48F6EC0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0</w:t>
            </w:r>
          </w:p>
        </w:tc>
        <w:tc>
          <w:tcPr>
            <w:tcW w:w="523" w:type="pct"/>
            <w:vAlign w:val="center"/>
          </w:tcPr>
          <w:p w14:paraId="41E1699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162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4CE2A22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2.8</w:t>
            </w:r>
          </w:p>
        </w:tc>
        <w:tc>
          <w:tcPr>
            <w:tcW w:w="1540" w:type="pct"/>
            <w:vAlign w:val="center"/>
          </w:tcPr>
          <w:p w14:paraId="259C957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矿石损失率</w:t>
            </w:r>
          </w:p>
        </w:tc>
        <w:tc>
          <w:tcPr>
            <w:tcW w:w="672" w:type="pct"/>
            <w:vAlign w:val="center"/>
          </w:tcPr>
          <w:p w14:paraId="12D18E1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w:t>
            </w:r>
          </w:p>
        </w:tc>
        <w:tc>
          <w:tcPr>
            <w:tcW w:w="1904" w:type="pct"/>
            <w:vAlign w:val="center"/>
          </w:tcPr>
          <w:p w14:paraId="62B89B6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5</w:t>
            </w:r>
          </w:p>
        </w:tc>
        <w:tc>
          <w:tcPr>
            <w:tcW w:w="523" w:type="pct"/>
            <w:vAlign w:val="center"/>
          </w:tcPr>
          <w:p w14:paraId="13B9325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B74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2809DBC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2.9</w:t>
            </w:r>
          </w:p>
        </w:tc>
        <w:tc>
          <w:tcPr>
            <w:tcW w:w="1540" w:type="pct"/>
            <w:vMerge w:val="restart"/>
            <w:vAlign w:val="center"/>
          </w:tcPr>
          <w:p w14:paraId="5811D47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工作制度</w:t>
            </w:r>
          </w:p>
        </w:tc>
        <w:tc>
          <w:tcPr>
            <w:tcW w:w="672" w:type="pct"/>
            <w:vAlign w:val="center"/>
          </w:tcPr>
          <w:p w14:paraId="7D41A5D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d/a</w:t>
            </w:r>
          </w:p>
        </w:tc>
        <w:tc>
          <w:tcPr>
            <w:tcW w:w="1904" w:type="pct"/>
            <w:vAlign w:val="center"/>
          </w:tcPr>
          <w:p w14:paraId="623BA0C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300</w:t>
            </w:r>
          </w:p>
        </w:tc>
        <w:tc>
          <w:tcPr>
            <w:tcW w:w="523" w:type="pct"/>
            <w:vAlign w:val="center"/>
          </w:tcPr>
          <w:p w14:paraId="46ED5C8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760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D87E92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Merge w:val="continue"/>
            <w:vAlign w:val="center"/>
          </w:tcPr>
          <w:p w14:paraId="1861D7C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672" w:type="pct"/>
            <w:vAlign w:val="center"/>
          </w:tcPr>
          <w:p w14:paraId="4A21A3E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班/d</w:t>
            </w:r>
          </w:p>
        </w:tc>
        <w:tc>
          <w:tcPr>
            <w:tcW w:w="1904" w:type="pct"/>
            <w:vAlign w:val="center"/>
          </w:tcPr>
          <w:p w14:paraId="1F95BBB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w:t>
            </w:r>
          </w:p>
        </w:tc>
        <w:tc>
          <w:tcPr>
            <w:tcW w:w="523" w:type="pct"/>
            <w:vAlign w:val="center"/>
          </w:tcPr>
          <w:p w14:paraId="17E237B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0073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D48298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Merge w:val="continue"/>
            <w:vAlign w:val="center"/>
          </w:tcPr>
          <w:p w14:paraId="6E5708F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672" w:type="pct"/>
            <w:vAlign w:val="center"/>
          </w:tcPr>
          <w:p w14:paraId="70461CD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h/班</w:t>
            </w:r>
          </w:p>
        </w:tc>
        <w:tc>
          <w:tcPr>
            <w:tcW w:w="1904" w:type="pct"/>
            <w:vAlign w:val="center"/>
          </w:tcPr>
          <w:p w14:paraId="5F84033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8</w:t>
            </w:r>
          </w:p>
        </w:tc>
        <w:tc>
          <w:tcPr>
            <w:tcW w:w="523" w:type="pct"/>
            <w:vAlign w:val="center"/>
          </w:tcPr>
          <w:p w14:paraId="1C86899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1BF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6B854EE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2.10</w:t>
            </w:r>
          </w:p>
        </w:tc>
        <w:tc>
          <w:tcPr>
            <w:tcW w:w="1540" w:type="pct"/>
            <w:vAlign w:val="center"/>
          </w:tcPr>
          <w:p w14:paraId="4891AC2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露天开采最终境界</w:t>
            </w:r>
          </w:p>
        </w:tc>
        <w:tc>
          <w:tcPr>
            <w:tcW w:w="672" w:type="pct"/>
            <w:vAlign w:val="center"/>
          </w:tcPr>
          <w:p w14:paraId="54E771D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021D3F3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4348F0D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796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3D96D5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02B1F78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上口尺寸（长、宽）</w:t>
            </w:r>
          </w:p>
        </w:tc>
        <w:tc>
          <w:tcPr>
            <w:tcW w:w="672" w:type="pct"/>
            <w:vAlign w:val="center"/>
          </w:tcPr>
          <w:p w14:paraId="78C807B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2B9D286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576</w:t>
            </w:r>
            <w:r>
              <w:rPr>
                <w:sz w:val="21"/>
                <w:szCs w:val="21"/>
              </w:rPr>
              <w:t>×</w:t>
            </w:r>
            <w:r>
              <w:rPr>
                <w:rFonts w:hint="eastAsia"/>
                <w:sz w:val="21"/>
                <w:szCs w:val="21"/>
              </w:rPr>
              <w:t>224</w:t>
            </w:r>
          </w:p>
        </w:tc>
        <w:tc>
          <w:tcPr>
            <w:tcW w:w="523" w:type="pct"/>
            <w:vAlign w:val="center"/>
          </w:tcPr>
          <w:p w14:paraId="12B5D00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31F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3518AC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2A39990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坑底尺寸（长、宽）</w:t>
            </w:r>
          </w:p>
        </w:tc>
        <w:tc>
          <w:tcPr>
            <w:tcW w:w="672" w:type="pct"/>
            <w:vAlign w:val="center"/>
          </w:tcPr>
          <w:p w14:paraId="70A2755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2431EBF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lang w:eastAsia="zh-TW"/>
              </w:rPr>
            </w:pPr>
            <w:r>
              <w:rPr>
                <w:rFonts w:hint="eastAsia"/>
                <w:sz w:val="21"/>
                <w:szCs w:val="21"/>
              </w:rPr>
              <w:t>500</w:t>
            </w:r>
            <w:r>
              <w:rPr>
                <w:sz w:val="21"/>
                <w:szCs w:val="21"/>
              </w:rPr>
              <w:t>×</w:t>
            </w:r>
            <w:r>
              <w:rPr>
                <w:rFonts w:hint="eastAsia"/>
                <w:sz w:val="21"/>
                <w:szCs w:val="21"/>
              </w:rPr>
              <w:t>140</w:t>
            </w:r>
          </w:p>
        </w:tc>
        <w:tc>
          <w:tcPr>
            <w:tcW w:w="523" w:type="pct"/>
            <w:vAlign w:val="center"/>
          </w:tcPr>
          <w:p w14:paraId="3AF2003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117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DDB3EE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189323F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总高度</w:t>
            </w:r>
          </w:p>
        </w:tc>
        <w:tc>
          <w:tcPr>
            <w:tcW w:w="672" w:type="pct"/>
            <w:vAlign w:val="center"/>
          </w:tcPr>
          <w:p w14:paraId="19FEA81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2EF7D40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82</w:t>
            </w:r>
          </w:p>
        </w:tc>
        <w:tc>
          <w:tcPr>
            <w:tcW w:w="523" w:type="pct"/>
            <w:vAlign w:val="center"/>
          </w:tcPr>
          <w:p w14:paraId="13F9A49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边坡</w:t>
            </w:r>
          </w:p>
        </w:tc>
      </w:tr>
      <w:tr w14:paraId="047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80350D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ACD04B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最高开采台阶标高</w:t>
            </w:r>
          </w:p>
        </w:tc>
        <w:tc>
          <w:tcPr>
            <w:tcW w:w="672" w:type="pct"/>
            <w:vAlign w:val="center"/>
          </w:tcPr>
          <w:p w14:paraId="575FB64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4444CD8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2495</w:t>
            </w:r>
          </w:p>
        </w:tc>
        <w:tc>
          <w:tcPr>
            <w:tcW w:w="523" w:type="pct"/>
            <w:vAlign w:val="center"/>
          </w:tcPr>
          <w:p w14:paraId="73E4912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E90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1BFDCA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8BD558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最低开采台阶标高</w:t>
            </w:r>
          </w:p>
        </w:tc>
        <w:tc>
          <w:tcPr>
            <w:tcW w:w="672" w:type="pct"/>
            <w:vAlign w:val="center"/>
          </w:tcPr>
          <w:p w14:paraId="5687F59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209D338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2420</w:t>
            </w:r>
          </w:p>
        </w:tc>
        <w:tc>
          <w:tcPr>
            <w:tcW w:w="523" w:type="pct"/>
            <w:vAlign w:val="center"/>
          </w:tcPr>
          <w:p w14:paraId="2407874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E05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0F0D084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52BA740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最终</w:t>
            </w:r>
            <w:r>
              <w:rPr>
                <w:rFonts w:hint="eastAsia"/>
                <w:sz w:val="21"/>
                <w:szCs w:val="21"/>
              </w:rPr>
              <w:t>帮坡</w:t>
            </w:r>
            <w:r>
              <w:rPr>
                <w:sz w:val="21"/>
                <w:szCs w:val="21"/>
              </w:rPr>
              <w:t>角</w:t>
            </w:r>
          </w:p>
        </w:tc>
        <w:tc>
          <w:tcPr>
            <w:tcW w:w="672" w:type="pct"/>
            <w:vAlign w:val="center"/>
          </w:tcPr>
          <w:p w14:paraId="7CABE9F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w:t>
            </w:r>
          </w:p>
        </w:tc>
        <w:tc>
          <w:tcPr>
            <w:tcW w:w="1904" w:type="pct"/>
            <w:vAlign w:val="center"/>
          </w:tcPr>
          <w:p w14:paraId="66B421C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47~4</w:t>
            </w:r>
            <w:r>
              <w:rPr>
                <w:rFonts w:hint="eastAsia"/>
                <w:sz w:val="21"/>
                <w:szCs w:val="21"/>
              </w:rPr>
              <w:t>8</w:t>
            </w:r>
          </w:p>
        </w:tc>
        <w:tc>
          <w:tcPr>
            <w:tcW w:w="523" w:type="pct"/>
            <w:vAlign w:val="center"/>
          </w:tcPr>
          <w:p w14:paraId="46BF226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327F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4880174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2.11</w:t>
            </w:r>
          </w:p>
        </w:tc>
        <w:tc>
          <w:tcPr>
            <w:tcW w:w="1540" w:type="pct"/>
            <w:vAlign w:val="center"/>
          </w:tcPr>
          <w:p w14:paraId="19D9A33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台阶参数</w:t>
            </w:r>
          </w:p>
        </w:tc>
        <w:tc>
          <w:tcPr>
            <w:tcW w:w="672" w:type="pct"/>
            <w:vAlign w:val="center"/>
          </w:tcPr>
          <w:p w14:paraId="1DB65FF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3016902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532BC08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E54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56AE00B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7BDC3A1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靠帮</w:t>
            </w:r>
            <w:r>
              <w:rPr>
                <w:sz w:val="21"/>
                <w:szCs w:val="21"/>
              </w:rPr>
              <w:t>台阶坡面角</w:t>
            </w:r>
          </w:p>
        </w:tc>
        <w:tc>
          <w:tcPr>
            <w:tcW w:w="672" w:type="pct"/>
            <w:vAlign w:val="center"/>
          </w:tcPr>
          <w:p w14:paraId="699E07A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w:t>
            </w:r>
          </w:p>
        </w:tc>
        <w:tc>
          <w:tcPr>
            <w:tcW w:w="1904" w:type="pct"/>
            <w:vAlign w:val="center"/>
          </w:tcPr>
          <w:p w14:paraId="69D597B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60</w:t>
            </w:r>
          </w:p>
        </w:tc>
        <w:tc>
          <w:tcPr>
            <w:tcW w:w="523" w:type="pct"/>
            <w:vAlign w:val="center"/>
          </w:tcPr>
          <w:p w14:paraId="06CD3E2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3A4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1E2067B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5A0B3D9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台阶高度</w:t>
            </w:r>
          </w:p>
        </w:tc>
        <w:tc>
          <w:tcPr>
            <w:tcW w:w="672" w:type="pct"/>
            <w:vAlign w:val="center"/>
          </w:tcPr>
          <w:p w14:paraId="4DFA22A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338EC4F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15</w:t>
            </w:r>
          </w:p>
        </w:tc>
        <w:tc>
          <w:tcPr>
            <w:tcW w:w="523" w:type="pct"/>
            <w:vAlign w:val="center"/>
          </w:tcPr>
          <w:p w14:paraId="228AA61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343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758686B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5C29A50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安全平台宽度</w:t>
            </w:r>
          </w:p>
        </w:tc>
        <w:tc>
          <w:tcPr>
            <w:tcW w:w="672" w:type="pct"/>
            <w:vAlign w:val="center"/>
          </w:tcPr>
          <w:p w14:paraId="1D1B3A6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77E0C71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5</w:t>
            </w:r>
          </w:p>
        </w:tc>
        <w:tc>
          <w:tcPr>
            <w:tcW w:w="523" w:type="pct"/>
            <w:vAlign w:val="center"/>
          </w:tcPr>
          <w:p w14:paraId="43CE077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085C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82541B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83B79C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清扫平台宽度</w:t>
            </w:r>
          </w:p>
        </w:tc>
        <w:tc>
          <w:tcPr>
            <w:tcW w:w="672" w:type="pct"/>
            <w:vAlign w:val="center"/>
          </w:tcPr>
          <w:p w14:paraId="347BA09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62192F0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8</w:t>
            </w:r>
          </w:p>
        </w:tc>
        <w:tc>
          <w:tcPr>
            <w:tcW w:w="523" w:type="pct"/>
            <w:vAlign w:val="center"/>
          </w:tcPr>
          <w:p w14:paraId="3F90B60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EA0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406D932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296A88A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场内公路</w:t>
            </w:r>
            <w:r>
              <w:rPr>
                <w:sz w:val="21"/>
                <w:szCs w:val="21"/>
              </w:rPr>
              <w:t>宽度</w:t>
            </w:r>
          </w:p>
        </w:tc>
        <w:tc>
          <w:tcPr>
            <w:tcW w:w="672" w:type="pct"/>
            <w:vAlign w:val="center"/>
          </w:tcPr>
          <w:p w14:paraId="3F2ABC5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7886308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路面宽4m，路基宽6m</w:t>
            </w:r>
          </w:p>
        </w:tc>
        <w:tc>
          <w:tcPr>
            <w:tcW w:w="523" w:type="pct"/>
            <w:vAlign w:val="center"/>
          </w:tcPr>
          <w:p w14:paraId="709181B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6B0E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41A01D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397A8E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工作</w:t>
            </w:r>
            <w:r>
              <w:rPr>
                <w:rFonts w:hint="eastAsia"/>
                <w:sz w:val="21"/>
                <w:szCs w:val="21"/>
              </w:rPr>
              <w:t>台阶</w:t>
            </w:r>
            <w:r>
              <w:rPr>
                <w:sz w:val="21"/>
                <w:szCs w:val="21"/>
              </w:rPr>
              <w:t>坡面角</w:t>
            </w:r>
          </w:p>
        </w:tc>
        <w:tc>
          <w:tcPr>
            <w:tcW w:w="672" w:type="pct"/>
            <w:vAlign w:val="center"/>
          </w:tcPr>
          <w:p w14:paraId="5293A8B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w:t>
            </w:r>
          </w:p>
        </w:tc>
        <w:tc>
          <w:tcPr>
            <w:tcW w:w="1904" w:type="pct"/>
            <w:vAlign w:val="center"/>
          </w:tcPr>
          <w:p w14:paraId="08F791A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90</w:t>
            </w:r>
          </w:p>
        </w:tc>
        <w:tc>
          <w:tcPr>
            <w:tcW w:w="523" w:type="pct"/>
            <w:vAlign w:val="center"/>
          </w:tcPr>
          <w:p w14:paraId="57C92C7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9CF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05D7D8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14B7688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最小工作平台宽度</w:t>
            </w:r>
          </w:p>
        </w:tc>
        <w:tc>
          <w:tcPr>
            <w:tcW w:w="672" w:type="pct"/>
            <w:vAlign w:val="center"/>
          </w:tcPr>
          <w:p w14:paraId="7C611BC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67B424C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25</w:t>
            </w:r>
          </w:p>
        </w:tc>
        <w:tc>
          <w:tcPr>
            <w:tcW w:w="523" w:type="pct"/>
            <w:vAlign w:val="center"/>
          </w:tcPr>
          <w:p w14:paraId="3BF9750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F4E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FD7B59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944718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同时开采的台阶数</w:t>
            </w:r>
          </w:p>
        </w:tc>
        <w:tc>
          <w:tcPr>
            <w:tcW w:w="672" w:type="pct"/>
            <w:vAlign w:val="center"/>
          </w:tcPr>
          <w:p w14:paraId="6C754D1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个</w:t>
            </w:r>
          </w:p>
        </w:tc>
        <w:tc>
          <w:tcPr>
            <w:tcW w:w="1904" w:type="pct"/>
            <w:vAlign w:val="center"/>
          </w:tcPr>
          <w:p w14:paraId="73D8C73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w:t>
            </w:r>
          </w:p>
        </w:tc>
        <w:tc>
          <w:tcPr>
            <w:tcW w:w="523" w:type="pct"/>
            <w:vAlign w:val="center"/>
          </w:tcPr>
          <w:p w14:paraId="5FD0CDB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54D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946727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5638BD8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最小工作线长度</w:t>
            </w:r>
          </w:p>
        </w:tc>
        <w:tc>
          <w:tcPr>
            <w:tcW w:w="672" w:type="pct"/>
            <w:vAlign w:val="center"/>
          </w:tcPr>
          <w:p w14:paraId="64C0ADA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m</w:t>
            </w:r>
          </w:p>
        </w:tc>
        <w:tc>
          <w:tcPr>
            <w:tcW w:w="1904" w:type="pct"/>
            <w:vAlign w:val="center"/>
          </w:tcPr>
          <w:p w14:paraId="08FB8D8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60</w:t>
            </w:r>
          </w:p>
        </w:tc>
        <w:tc>
          <w:tcPr>
            <w:tcW w:w="523" w:type="pct"/>
            <w:vAlign w:val="center"/>
          </w:tcPr>
          <w:p w14:paraId="524B76D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289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4E7E3B0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2.12</w:t>
            </w:r>
          </w:p>
        </w:tc>
        <w:tc>
          <w:tcPr>
            <w:tcW w:w="1540" w:type="pct"/>
            <w:vAlign w:val="center"/>
          </w:tcPr>
          <w:p w14:paraId="05F379E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排土场（废石场）</w:t>
            </w:r>
          </w:p>
        </w:tc>
        <w:tc>
          <w:tcPr>
            <w:tcW w:w="672" w:type="pct"/>
            <w:vAlign w:val="center"/>
          </w:tcPr>
          <w:p w14:paraId="0ACD39D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5C516E5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设置临时表土堆场</w:t>
            </w:r>
          </w:p>
        </w:tc>
        <w:tc>
          <w:tcPr>
            <w:tcW w:w="523" w:type="pct"/>
            <w:vAlign w:val="center"/>
          </w:tcPr>
          <w:p w14:paraId="4D0A2B3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C19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38BCD1F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w:t>
            </w:r>
          </w:p>
        </w:tc>
        <w:tc>
          <w:tcPr>
            <w:tcW w:w="4639" w:type="pct"/>
            <w:gridSpan w:val="4"/>
            <w:vAlign w:val="center"/>
          </w:tcPr>
          <w:p w14:paraId="2DF1FD0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供</w:t>
            </w:r>
            <w:r>
              <w:rPr>
                <w:rFonts w:hint="eastAsia"/>
                <w:sz w:val="21"/>
                <w:szCs w:val="21"/>
              </w:rPr>
              <w:t>配</w:t>
            </w:r>
            <w:r>
              <w:rPr>
                <w:sz w:val="21"/>
                <w:szCs w:val="21"/>
              </w:rPr>
              <w:t>电</w:t>
            </w:r>
          </w:p>
        </w:tc>
      </w:tr>
      <w:tr w14:paraId="2978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37D58E7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3.1</w:t>
            </w:r>
          </w:p>
        </w:tc>
        <w:tc>
          <w:tcPr>
            <w:tcW w:w="1540" w:type="pct"/>
            <w:vAlign w:val="center"/>
          </w:tcPr>
          <w:p w14:paraId="0228D0A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用电设备安装功率</w:t>
            </w:r>
          </w:p>
        </w:tc>
        <w:tc>
          <w:tcPr>
            <w:tcW w:w="672" w:type="pct"/>
            <w:vAlign w:val="center"/>
          </w:tcPr>
          <w:p w14:paraId="0DBC3C6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kW</w:t>
            </w:r>
          </w:p>
        </w:tc>
        <w:tc>
          <w:tcPr>
            <w:tcW w:w="1904" w:type="pct"/>
            <w:vAlign w:val="center"/>
          </w:tcPr>
          <w:p w14:paraId="0913651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925</w:t>
            </w:r>
          </w:p>
        </w:tc>
        <w:tc>
          <w:tcPr>
            <w:tcW w:w="523" w:type="pct"/>
            <w:vAlign w:val="center"/>
          </w:tcPr>
          <w:p w14:paraId="3948304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428D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16C060E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3.2</w:t>
            </w:r>
          </w:p>
        </w:tc>
        <w:tc>
          <w:tcPr>
            <w:tcW w:w="1540" w:type="pct"/>
            <w:vAlign w:val="center"/>
          </w:tcPr>
          <w:p w14:paraId="48DCF98A">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用电设备工作功率</w:t>
            </w:r>
          </w:p>
        </w:tc>
        <w:tc>
          <w:tcPr>
            <w:tcW w:w="672" w:type="pct"/>
            <w:vAlign w:val="center"/>
          </w:tcPr>
          <w:p w14:paraId="21353326">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kW</w:t>
            </w:r>
          </w:p>
        </w:tc>
        <w:tc>
          <w:tcPr>
            <w:tcW w:w="1904" w:type="pct"/>
            <w:vAlign w:val="center"/>
          </w:tcPr>
          <w:p w14:paraId="20D4B49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670</w:t>
            </w:r>
          </w:p>
        </w:tc>
        <w:tc>
          <w:tcPr>
            <w:tcW w:w="523" w:type="pct"/>
            <w:vAlign w:val="center"/>
          </w:tcPr>
          <w:p w14:paraId="1D55D10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2304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restart"/>
            <w:vAlign w:val="center"/>
          </w:tcPr>
          <w:p w14:paraId="56A696E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3.3</w:t>
            </w:r>
          </w:p>
        </w:tc>
        <w:tc>
          <w:tcPr>
            <w:tcW w:w="1540" w:type="pct"/>
            <w:vAlign w:val="center"/>
          </w:tcPr>
          <w:p w14:paraId="4FA5AAD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计算负荷</w:t>
            </w:r>
          </w:p>
        </w:tc>
        <w:tc>
          <w:tcPr>
            <w:tcW w:w="672" w:type="pct"/>
            <w:vAlign w:val="center"/>
          </w:tcPr>
          <w:p w14:paraId="19633EC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904" w:type="pct"/>
            <w:vAlign w:val="center"/>
          </w:tcPr>
          <w:p w14:paraId="0C476D4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523" w:type="pct"/>
            <w:vAlign w:val="center"/>
          </w:tcPr>
          <w:p w14:paraId="30F39A43">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DA7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62BEE941">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F91768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有功功率</w:t>
            </w:r>
          </w:p>
        </w:tc>
        <w:tc>
          <w:tcPr>
            <w:tcW w:w="672" w:type="pct"/>
            <w:vAlign w:val="center"/>
          </w:tcPr>
          <w:p w14:paraId="6E49811E">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kW</w:t>
            </w:r>
          </w:p>
        </w:tc>
        <w:tc>
          <w:tcPr>
            <w:tcW w:w="1904" w:type="pct"/>
            <w:vAlign w:val="center"/>
          </w:tcPr>
          <w:p w14:paraId="3DC8E07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442.75</w:t>
            </w:r>
          </w:p>
        </w:tc>
        <w:tc>
          <w:tcPr>
            <w:tcW w:w="523" w:type="pct"/>
            <w:vAlign w:val="center"/>
          </w:tcPr>
          <w:p w14:paraId="425FFBF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1E65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24108084">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6E75E3E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无功功率</w:t>
            </w:r>
          </w:p>
        </w:tc>
        <w:tc>
          <w:tcPr>
            <w:tcW w:w="672" w:type="pct"/>
            <w:vAlign w:val="center"/>
          </w:tcPr>
          <w:p w14:paraId="4888B4A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kVar</w:t>
            </w:r>
          </w:p>
        </w:tc>
        <w:tc>
          <w:tcPr>
            <w:tcW w:w="1904" w:type="pct"/>
            <w:vAlign w:val="center"/>
          </w:tcPr>
          <w:p w14:paraId="21068C8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376.49</w:t>
            </w:r>
          </w:p>
        </w:tc>
        <w:tc>
          <w:tcPr>
            <w:tcW w:w="523" w:type="pct"/>
            <w:vAlign w:val="center"/>
          </w:tcPr>
          <w:p w14:paraId="29A62DF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补偿后</w:t>
            </w:r>
          </w:p>
        </w:tc>
      </w:tr>
      <w:tr w14:paraId="5BA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Merge w:val="continue"/>
            <w:vAlign w:val="center"/>
          </w:tcPr>
          <w:p w14:paraId="363796C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76DE79A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视在功率</w:t>
            </w:r>
          </w:p>
        </w:tc>
        <w:tc>
          <w:tcPr>
            <w:tcW w:w="672" w:type="pct"/>
            <w:vAlign w:val="center"/>
          </w:tcPr>
          <w:p w14:paraId="7B6C826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kVA</w:t>
            </w:r>
          </w:p>
        </w:tc>
        <w:tc>
          <w:tcPr>
            <w:tcW w:w="1904" w:type="pct"/>
            <w:vAlign w:val="center"/>
          </w:tcPr>
          <w:p w14:paraId="4E898AF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581.18</w:t>
            </w:r>
          </w:p>
        </w:tc>
        <w:tc>
          <w:tcPr>
            <w:tcW w:w="523" w:type="pct"/>
            <w:vAlign w:val="center"/>
          </w:tcPr>
          <w:p w14:paraId="31BFE3F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7E007AB5">
        <w:tblPrEx>
          <w:tblCellMar>
            <w:top w:w="0" w:type="dxa"/>
            <w:left w:w="28" w:type="dxa"/>
            <w:bottom w:w="0" w:type="dxa"/>
            <w:right w:w="28" w:type="dxa"/>
          </w:tblCellMar>
        </w:tblPrEx>
        <w:trPr>
          <w:trHeight w:val="340" w:hRule="atLeast"/>
        </w:trPr>
        <w:tc>
          <w:tcPr>
            <w:tcW w:w="361" w:type="pct"/>
            <w:vMerge w:val="continue"/>
            <w:vAlign w:val="center"/>
          </w:tcPr>
          <w:p w14:paraId="67382B9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c>
          <w:tcPr>
            <w:tcW w:w="1540" w:type="pct"/>
            <w:vAlign w:val="center"/>
          </w:tcPr>
          <w:p w14:paraId="4354DBF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功率因数</w:t>
            </w:r>
          </w:p>
        </w:tc>
        <w:tc>
          <w:tcPr>
            <w:tcW w:w="672" w:type="pct"/>
            <w:vAlign w:val="center"/>
          </w:tcPr>
          <w:p w14:paraId="47C0A85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cosφ</w:t>
            </w:r>
          </w:p>
        </w:tc>
        <w:tc>
          <w:tcPr>
            <w:tcW w:w="1904" w:type="pct"/>
            <w:vAlign w:val="center"/>
          </w:tcPr>
          <w:p w14:paraId="5690C0B2">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0.87</w:t>
            </w:r>
          </w:p>
        </w:tc>
        <w:tc>
          <w:tcPr>
            <w:tcW w:w="523" w:type="pct"/>
            <w:vAlign w:val="center"/>
          </w:tcPr>
          <w:p w14:paraId="1E4662B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54AE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0DFD6400">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3.4</w:t>
            </w:r>
          </w:p>
        </w:tc>
        <w:tc>
          <w:tcPr>
            <w:tcW w:w="1540" w:type="pct"/>
            <w:vAlign w:val="center"/>
          </w:tcPr>
          <w:p w14:paraId="70B00669">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年总用电量</w:t>
            </w:r>
          </w:p>
        </w:tc>
        <w:tc>
          <w:tcPr>
            <w:tcW w:w="672" w:type="pct"/>
            <w:vAlign w:val="center"/>
          </w:tcPr>
          <w:p w14:paraId="39F9609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万</w:t>
            </w:r>
            <w:r>
              <w:rPr>
                <w:sz w:val="21"/>
                <w:szCs w:val="21"/>
              </w:rPr>
              <w:t>kWh/a</w:t>
            </w:r>
          </w:p>
        </w:tc>
        <w:tc>
          <w:tcPr>
            <w:tcW w:w="1904" w:type="pct"/>
            <w:vAlign w:val="center"/>
          </w:tcPr>
          <w:p w14:paraId="15C09585">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106.26</w:t>
            </w:r>
          </w:p>
        </w:tc>
        <w:tc>
          <w:tcPr>
            <w:tcW w:w="523" w:type="pct"/>
            <w:vAlign w:val="center"/>
          </w:tcPr>
          <w:p w14:paraId="5E1103DD">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tr w14:paraId="0D4A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61" w:type="pct"/>
            <w:vAlign w:val="center"/>
          </w:tcPr>
          <w:p w14:paraId="404CD05C">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3.5</w:t>
            </w:r>
          </w:p>
        </w:tc>
        <w:tc>
          <w:tcPr>
            <w:tcW w:w="1540" w:type="pct"/>
            <w:vAlign w:val="center"/>
          </w:tcPr>
          <w:p w14:paraId="09D35237">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单位矿石耗电量</w:t>
            </w:r>
          </w:p>
        </w:tc>
        <w:tc>
          <w:tcPr>
            <w:tcW w:w="672" w:type="pct"/>
            <w:vAlign w:val="center"/>
          </w:tcPr>
          <w:p w14:paraId="1FFDD5FB">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kWh/t</w:t>
            </w:r>
          </w:p>
        </w:tc>
        <w:tc>
          <w:tcPr>
            <w:tcW w:w="1904" w:type="pct"/>
            <w:vAlign w:val="center"/>
          </w:tcPr>
          <w:p w14:paraId="0C6D425F">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rFonts w:hint="eastAsia"/>
                <w:sz w:val="21"/>
                <w:szCs w:val="21"/>
              </w:rPr>
              <w:t>1.33</w:t>
            </w:r>
          </w:p>
        </w:tc>
        <w:tc>
          <w:tcPr>
            <w:tcW w:w="523" w:type="pct"/>
            <w:vAlign w:val="center"/>
          </w:tcPr>
          <w:p w14:paraId="3DCD85E8">
            <w:pPr>
              <w:pStyle w:val="64"/>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p>
        </w:tc>
      </w:tr>
      <w:bookmarkEnd w:id="160"/>
    </w:tbl>
    <w:p w14:paraId="0702E15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GB"/>
        </w:rPr>
        <w:t>设计安全专项投资约为59.70万元。安全设施专项投资详见表</w:t>
      </w:r>
      <w:r>
        <w:rPr>
          <w:rFonts w:hint="eastAsia" w:ascii="Times New Roman" w:hAnsi="Times New Roman" w:eastAsia="宋体" w:cs="Times New Roman"/>
          <w:sz w:val="28"/>
          <w:szCs w:val="21"/>
          <w:lang w:val="en-US" w:eastAsia="zh-CN"/>
        </w:rPr>
        <w:t>2.4-7</w:t>
      </w:r>
      <w:r>
        <w:rPr>
          <w:rFonts w:hint="default" w:ascii="Times New Roman" w:hAnsi="Times New Roman" w:eastAsia="宋体" w:cs="Times New Roman"/>
          <w:sz w:val="28"/>
          <w:szCs w:val="21"/>
          <w:lang w:val="en-GB"/>
        </w:rPr>
        <w:t>。矿山基建投产后每年按销售收入的2~2.5%提取安全生产专项费用。</w:t>
      </w:r>
    </w:p>
    <w:p w14:paraId="65F2A9EB">
      <w:pPr>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表2.4-</w:t>
      </w:r>
      <w:r>
        <w:rPr>
          <w:rFonts w:hint="default" w:ascii="Times New Roman" w:hAnsi="Times New Roman" w:eastAsia="宋体" w:cs="Times New Roman"/>
          <w:b/>
          <w:kern w:val="0"/>
          <w:sz w:val="24"/>
          <w:szCs w:val="24"/>
          <w:lang w:val="en-US" w:eastAsia="zh-CN"/>
        </w:rPr>
        <w:t>7</w:t>
      </w:r>
      <w:r>
        <w:rPr>
          <w:rFonts w:hint="default" w:ascii="Times New Roman" w:hAnsi="Times New Roman" w:eastAsia="宋体" w:cs="Times New Roman"/>
          <w:b/>
          <w:kern w:val="0"/>
          <w:sz w:val="24"/>
          <w:szCs w:val="24"/>
        </w:rPr>
        <w:t xml:space="preserve">  矿山安全设施专项投资明细表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078"/>
        <w:gridCol w:w="1905"/>
        <w:gridCol w:w="662"/>
        <w:gridCol w:w="662"/>
        <w:gridCol w:w="1491"/>
        <w:gridCol w:w="2941"/>
      </w:tblGrid>
      <w:tr w14:paraId="3BBD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52" w:type="pct"/>
            <w:shd w:val="clear" w:color="auto" w:fill="auto"/>
            <w:vAlign w:val="center"/>
          </w:tcPr>
          <w:p w14:paraId="5EAA982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序号</w:t>
            </w:r>
          </w:p>
        </w:tc>
        <w:tc>
          <w:tcPr>
            <w:tcW w:w="573" w:type="pct"/>
            <w:shd w:val="clear" w:color="auto" w:fill="auto"/>
            <w:vAlign w:val="center"/>
          </w:tcPr>
          <w:p w14:paraId="122B8E9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名称</w:t>
            </w:r>
          </w:p>
        </w:tc>
        <w:tc>
          <w:tcPr>
            <w:tcW w:w="1013" w:type="pct"/>
            <w:shd w:val="clear" w:color="auto" w:fill="auto"/>
            <w:vAlign w:val="center"/>
          </w:tcPr>
          <w:p w14:paraId="1BC3444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描述</w:t>
            </w:r>
          </w:p>
        </w:tc>
        <w:tc>
          <w:tcPr>
            <w:tcW w:w="352" w:type="pct"/>
            <w:shd w:val="clear" w:color="auto" w:fill="auto"/>
            <w:vAlign w:val="center"/>
          </w:tcPr>
          <w:p w14:paraId="1EEB593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单位</w:t>
            </w:r>
          </w:p>
        </w:tc>
        <w:tc>
          <w:tcPr>
            <w:tcW w:w="352" w:type="pct"/>
            <w:shd w:val="clear" w:color="auto" w:fill="auto"/>
            <w:vAlign w:val="center"/>
          </w:tcPr>
          <w:p w14:paraId="3F47854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数量</w:t>
            </w:r>
          </w:p>
        </w:tc>
        <w:tc>
          <w:tcPr>
            <w:tcW w:w="793" w:type="pct"/>
            <w:shd w:val="clear" w:color="auto" w:fill="auto"/>
            <w:vAlign w:val="center"/>
          </w:tcPr>
          <w:p w14:paraId="27EFD14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投资（万元）</w:t>
            </w:r>
          </w:p>
        </w:tc>
        <w:tc>
          <w:tcPr>
            <w:tcW w:w="1564" w:type="pct"/>
            <w:shd w:val="clear" w:color="auto" w:fill="auto"/>
            <w:vAlign w:val="center"/>
          </w:tcPr>
          <w:p w14:paraId="0F78AAE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设置位置（备注）</w:t>
            </w:r>
          </w:p>
        </w:tc>
      </w:tr>
      <w:tr w14:paraId="58C5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restart"/>
            <w:shd w:val="clear" w:color="auto" w:fill="auto"/>
            <w:vAlign w:val="center"/>
          </w:tcPr>
          <w:p w14:paraId="4F9D99E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c>
          <w:tcPr>
            <w:tcW w:w="573" w:type="pct"/>
            <w:vMerge w:val="restart"/>
            <w:shd w:val="clear" w:color="auto" w:fill="auto"/>
            <w:vAlign w:val="center"/>
          </w:tcPr>
          <w:p w14:paraId="4920042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露天采场</w:t>
            </w:r>
          </w:p>
        </w:tc>
        <w:tc>
          <w:tcPr>
            <w:tcW w:w="1013" w:type="pct"/>
            <w:shd w:val="clear" w:color="auto" w:fill="auto"/>
            <w:vAlign w:val="center"/>
          </w:tcPr>
          <w:p w14:paraId="39A750F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边界安全护栏</w:t>
            </w:r>
          </w:p>
        </w:tc>
        <w:tc>
          <w:tcPr>
            <w:tcW w:w="352" w:type="pct"/>
            <w:shd w:val="clear" w:color="auto" w:fill="auto"/>
            <w:vAlign w:val="center"/>
          </w:tcPr>
          <w:p w14:paraId="5F16FC4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m</w:t>
            </w:r>
          </w:p>
        </w:tc>
        <w:tc>
          <w:tcPr>
            <w:tcW w:w="352" w:type="pct"/>
            <w:shd w:val="clear" w:color="auto" w:fill="auto"/>
            <w:vAlign w:val="center"/>
          </w:tcPr>
          <w:p w14:paraId="6012928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1320</w:t>
            </w:r>
          </w:p>
        </w:tc>
        <w:tc>
          <w:tcPr>
            <w:tcW w:w="793" w:type="pct"/>
            <w:shd w:val="clear" w:color="auto" w:fill="auto"/>
            <w:vAlign w:val="center"/>
          </w:tcPr>
          <w:p w14:paraId="2DEF0B5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16</w:t>
            </w:r>
          </w:p>
        </w:tc>
        <w:tc>
          <w:tcPr>
            <w:tcW w:w="1564" w:type="pct"/>
            <w:shd w:val="clear" w:color="auto" w:fill="auto"/>
            <w:vAlign w:val="center"/>
          </w:tcPr>
          <w:p w14:paraId="69283DF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开采终了境界外侧</w:t>
            </w:r>
          </w:p>
        </w:tc>
      </w:tr>
      <w:tr w14:paraId="464D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2270750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vAlign w:val="center"/>
          </w:tcPr>
          <w:p w14:paraId="47ABC5C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27D476C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安全警示标</w:t>
            </w:r>
          </w:p>
          <w:p w14:paraId="28F1DB6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志、标语</w:t>
            </w:r>
          </w:p>
        </w:tc>
        <w:tc>
          <w:tcPr>
            <w:tcW w:w="352" w:type="pct"/>
            <w:shd w:val="clear" w:color="auto" w:fill="auto"/>
            <w:vAlign w:val="center"/>
          </w:tcPr>
          <w:p w14:paraId="2ECE557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块</w:t>
            </w:r>
          </w:p>
        </w:tc>
        <w:tc>
          <w:tcPr>
            <w:tcW w:w="352" w:type="pct"/>
            <w:shd w:val="clear" w:color="auto" w:fill="auto"/>
            <w:vAlign w:val="center"/>
          </w:tcPr>
          <w:p w14:paraId="5B59B83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20</w:t>
            </w:r>
          </w:p>
        </w:tc>
        <w:tc>
          <w:tcPr>
            <w:tcW w:w="793" w:type="pct"/>
            <w:shd w:val="clear" w:color="auto" w:fill="auto"/>
            <w:vAlign w:val="center"/>
          </w:tcPr>
          <w:p w14:paraId="4F1A31C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3</w:t>
            </w:r>
          </w:p>
        </w:tc>
        <w:tc>
          <w:tcPr>
            <w:tcW w:w="1564" w:type="pct"/>
            <w:shd w:val="clear" w:color="auto" w:fill="auto"/>
            <w:vAlign w:val="center"/>
          </w:tcPr>
          <w:p w14:paraId="7012B4D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采场边缘，采场台阶边缘、</w:t>
            </w:r>
          </w:p>
          <w:p w14:paraId="235AC22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坡脚，台阶公路入口、边缘</w:t>
            </w:r>
          </w:p>
        </w:tc>
      </w:tr>
      <w:tr w14:paraId="2358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restart"/>
            <w:shd w:val="clear" w:color="auto" w:fill="auto"/>
            <w:vAlign w:val="center"/>
          </w:tcPr>
          <w:p w14:paraId="54F32CC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573" w:type="pct"/>
            <w:vMerge w:val="restart"/>
            <w:shd w:val="clear" w:color="auto" w:fill="auto"/>
            <w:vAlign w:val="center"/>
          </w:tcPr>
          <w:p w14:paraId="30E3BBF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汽车运输</w:t>
            </w:r>
          </w:p>
        </w:tc>
        <w:tc>
          <w:tcPr>
            <w:tcW w:w="1013" w:type="pct"/>
            <w:shd w:val="clear" w:color="auto" w:fill="auto"/>
            <w:vAlign w:val="center"/>
          </w:tcPr>
          <w:p w14:paraId="68DAEFB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安全警示牌</w:t>
            </w:r>
          </w:p>
        </w:tc>
        <w:tc>
          <w:tcPr>
            <w:tcW w:w="352" w:type="pct"/>
            <w:shd w:val="clear" w:color="auto" w:fill="auto"/>
            <w:vAlign w:val="center"/>
          </w:tcPr>
          <w:p w14:paraId="2154958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块</w:t>
            </w:r>
          </w:p>
        </w:tc>
        <w:tc>
          <w:tcPr>
            <w:tcW w:w="352" w:type="pct"/>
            <w:shd w:val="clear" w:color="auto" w:fill="auto"/>
            <w:vAlign w:val="center"/>
          </w:tcPr>
          <w:p w14:paraId="2AC7673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793" w:type="pct"/>
            <w:shd w:val="clear" w:color="auto" w:fill="auto"/>
            <w:vAlign w:val="center"/>
          </w:tcPr>
          <w:p w14:paraId="5CFBCBD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0.3</w:t>
            </w:r>
          </w:p>
        </w:tc>
        <w:tc>
          <w:tcPr>
            <w:tcW w:w="1564" w:type="pct"/>
            <w:shd w:val="clear" w:color="auto" w:fill="auto"/>
            <w:vAlign w:val="center"/>
          </w:tcPr>
          <w:p w14:paraId="542695F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矿区道路边缘、入口、弯道处</w:t>
            </w:r>
          </w:p>
        </w:tc>
      </w:tr>
      <w:tr w14:paraId="1410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7B74AC0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vAlign w:val="center"/>
          </w:tcPr>
          <w:p w14:paraId="7C3AE97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1163C94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限速标准</w:t>
            </w:r>
          </w:p>
        </w:tc>
        <w:tc>
          <w:tcPr>
            <w:tcW w:w="352" w:type="pct"/>
            <w:shd w:val="clear" w:color="auto" w:fill="auto"/>
            <w:vAlign w:val="center"/>
          </w:tcPr>
          <w:p w14:paraId="09B3A17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块</w:t>
            </w:r>
          </w:p>
        </w:tc>
        <w:tc>
          <w:tcPr>
            <w:tcW w:w="352" w:type="pct"/>
            <w:shd w:val="clear" w:color="auto" w:fill="auto"/>
            <w:vAlign w:val="center"/>
          </w:tcPr>
          <w:p w14:paraId="4A25DC7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6</w:t>
            </w:r>
          </w:p>
        </w:tc>
        <w:tc>
          <w:tcPr>
            <w:tcW w:w="793" w:type="pct"/>
            <w:shd w:val="clear" w:color="auto" w:fill="auto"/>
            <w:vAlign w:val="center"/>
          </w:tcPr>
          <w:p w14:paraId="48CA195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6FD9592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公路弯道、靠近边坡地段</w:t>
            </w:r>
          </w:p>
        </w:tc>
      </w:tr>
      <w:tr w14:paraId="0EA5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1E7F49B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vAlign w:val="center"/>
          </w:tcPr>
          <w:p w14:paraId="048FD03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611FFB7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安全车挡</w:t>
            </w:r>
          </w:p>
        </w:tc>
        <w:tc>
          <w:tcPr>
            <w:tcW w:w="352" w:type="pct"/>
            <w:shd w:val="clear" w:color="auto" w:fill="auto"/>
            <w:vAlign w:val="center"/>
          </w:tcPr>
          <w:p w14:paraId="6B9AFEF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3D5C562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683</w:t>
            </w:r>
          </w:p>
        </w:tc>
        <w:tc>
          <w:tcPr>
            <w:tcW w:w="793" w:type="pct"/>
            <w:shd w:val="clear" w:color="auto" w:fill="auto"/>
            <w:vAlign w:val="center"/>
          </w:tcPr>
          <w:p w14:paraId="2AB66B1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1564" w:type="pct"/>
            <w:shd w:val="clear" w:color="auto" w:fill="auto"/>
            <w:vAlign w:val="center"/>
          </w:tcPr>
          <w:p w14:paraId="197A05B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装卸载点</w:t>
            </w:r>
          </w:p>
        </w:tc>
      </w:tr>
      <w:tr w14:paraId="6548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5E4EE7A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vAlign w:val="center"/>
          </w:tcPr>
          <w:p w14:paraId="551E9EF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4A682EC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凸镜</w:t>
            </w:r>
          </w:p>
        </w:tc>
        <w:tc>
          <w:tcPr>
            <w:tcW w:w="352" w:type="pct"/>
            <w:shd w:val="clear" w:color="auto" w:fill="auto"/>
            <w:vAlign w:val="center"/>
          </w:tcPr>
          <w:p w14:paraId="0A390BA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个</w:t>
            </w:r>
          </w:p>
        </w:tc>
        <w:tc>
          <w:tcPr>
            <w:tcW w:w="352" w:type="pct"/>
            <w:shd w:val="clear" w:color="auto" w:fill="auto"/>
            <w:vAlign w:val="center"/>
          </w:tcPr>
          <w:p w14:paraId="4A98E2F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w:t>
            </w:r>
          </w:p>
        </w:tc>
        <w:tc>
          <w:tcPr>
            <w:tcW w:w="793" w:type="pct"/>
            <w:shd w:val="clear" w:color="auto" w:fill="auto"/>
            <w:vAlign w:val="center"/>
          </w:tcPr>
          <w:p w14:paraId="6D6B682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73B1244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公路的转弯处</w:t>
            </w:r>
          </w:p>
        </w:tc>
      </w:tr>
      <w:tr w14:paraId="4F9D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restart"/>
            <w:shd w:val="clear" w:color="auto" w:fill="auto"/>
            <w:vAlign w:val="center"/>
          </w:tcPr>
          <w:p w14:paraId="09FA892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w:t>
            </w:r>
          </w:p>
        </w:tc>
        <w:tc>
          <w:tcPr>
            <w:tcW w:w="573" w:type="pct"/>
            <w:vMerge w:val="restart"/>
            <w:shd w:val="clear" w:color="auto" w:fill="auto"/>
            <w:vAlign w:val="center"/>
          </w:tcPr>
          <w:p w14:paraId="545E9A3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供、配电</w:t>
            </w:r>
          </w:p>
          <w:p w14:paraId="3393B79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设施</w:t>
            </w:r>
          </w:p>
        </w:tc>
        <w:tc>
          <w:tcPr>
            <w:tcW w:w="1013" w:type="pct"/>
            <w:shd w:val="clear" w:color="auto" w:fill="auto"/>
            <w:vAlign w:val="center"/>
          </w:tcPr>
          <w:p w14:paraId="607AF21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采矿场供电线路</w:t>
            </w:r>
          </w:p>
          <w:p w14:paraId="63B5A75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保护及避雷设施</w:t>
            </w:r>
          </w:p>
        </w:tc>
        <w:tc>
          <w:tcPr>
            <w:tcW w:w="352" w:type="pct"/>
            <w:shd w:val="clear" w:color="auto" w:fill="auto"/>
            <w:vAlign w:val="center"/>
          </w:tcPr>
          <w:p w14:paraId="2A42579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0F6A9C0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793" w:type="pct"/>
            <w:shd w:val="clear" w:color="auto" w:fill="auto"/>
            <w:vAlign w:val="center"/>
          </w:tcPr>
          <w:p w14:paraId="7D1C3C6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3</w:t>
            </w:r>
          </w:p>
        </w:tc>
        <w:tc>
          <w:tcPr>
            <w:tcW w:w="1564" w:type="pct"/>
            <w:shd w:val="clear" w:color="auto" w:fill="auto"/>
            <w:vAlign w:val="center"/>
          </w:tcPr>
          <w:p w14:paraId="6A3CFD1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按专项设计设置</w:t>
            </w:r>
          </w:p>
        </w:tc>
      </w:tr>
      <w:tr w14:paraId="5EE6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3FC0F58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22ACCE1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20038F3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保护接地设施</w:t>
            </w:r>
          </w:p>
        </w:tc>
        <w:tc>
          <w:tcPr>
            <w:tcW w:w="352" w:type="pct"/>
            <w:shd w:val="clear" w:color="auto" w:fill="auto"/>
            <w:vAlign w:val="center"/>
          </w:tcPr>
          <w:p w14:paraId="26582AE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7F45072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793" w:type="pct"/>
            <w:shd w:val="clear" w:color="auto" w:fill="auto"/>
            <w:vAlign w:val="center"/>
          </w:tcPr>
          <w:p w14:paraId="297D0DD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3</w:t>
            </w:r>
          </w:p>
        </w:tc>
        <w:tc>
          <w:tcPr>
            <w:tcW w:w="1564" w:type="pct"/>
            <w:shd w:val="clear" w:color="auto" w:fill="auto"/>
            <w:vAlign w:val="center"/>
          </w:tcPr>
          <w:p w14:paraId="6A1EB9F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按专项设计设置</w:t>
            </w:r>
          </w:p>
        </w:tc>
      </w:tr>
      <w:tr w14:paraId="776A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shd w:val="clear" w:color="auto" w:fill="auto"/>
            <w:vAlign w:val="center"/>
          </w:tcPr>
          <w:p w14:paraId="0ACB3D5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573" w:type="pct"/>
            <w:shd w:val="clear" w:color="auto" w:fill="auto"/>
            <w:vAlign w:val="center"/>
          </w:tcPr>
          <w:p w14:paraId="53D7B1E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监测设施</w:t>
            </w:r>
          </w:p>
        </w:tc>
        <w:tc>
          <w:tcPr>
            <w:tcW w:w="1013" w:type="pct"/>
            <w:shd w:val="clear" w:color="auto" w:fill="auto"/>
            <w:vAlign w:val="center"/>
          </w:tcPr>
          <w:p w14:paraId="12E1E39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采场边坡位</w:t>
            </w:r>
          </w:p>
          <w:p w14:paraId="6ECDB30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移观测设备</w:t>
            </w:r>
          </w:p>
        </w:tc>
        <w:tc>
          <w:tcPr>
            <w:tcW w:w="352" w:type="pct"/>
            <w:shd w:val="clear" w:color="auto" w:fill="auto"/>
            <w:vAlign w:val="center"/>
          </w:tcPr>
          <w:p w14:paraId="408B0B9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个</w:t>
            </w:r>
          </w:p>
        </w:tc>
        <w:tc>
          <w:tcPr>
            <w:tcW w:w="352" w:type="pct"/>
            <w:shd w:val="clear" w:color="auto" w:fill="auto"/>
            <w:vAlign w:val="center"/>
          </w:tcPr>
          <w:p w14:paraId="26D9D15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w:t>
            </w:r>
          </w:p>
        </w:tc>
        <w:tc>
          <w:tcPr>
            <w:tcW w:w="793" w:type="pct"/>
            <w:shd w:val="clear" w:color="auto" w:fill="auto"/>
            <w:vAlign w:val="center"/>
          </w:tcPr>
          <w:p w14:paraId="51B1C10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w:t>
            </w:r>
          </w:p>
        </w:tc>
        <w:tc>
          <w:tcPr>
            <w:tcW w:w="1564" w:type="pct"/>
            <w:shd w:val="clear" w:color="auto" w:fill="auto"/>
            <w:vAlign w:val="center"/>
          </w:tcPr>
          <w:p w14:paraId="1B567D1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位移监测桩</w:t>
            </w:r>
          </w:p>
        </w:tc>
      </w:tr>
      <w:tr w14:paraId="1A34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restart"/>
            <w:shd w:val="clear" w:color="auto" w:fill="auto"/>
            <w:vAlign w:val="center"/>
          </w:tcPr>
          <w:p w14:paraId="2624F0F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6</w:t>
            </w:r>
          </w:p>
        </w:tc>
        <w:tc>
          <w:tcPr>
            <w:tcW w:w="573" w:type="pct"/>
            <w:vMerge w:val="restart"/>
            <w:shd w:val="clear" w:color="auto" w:fill="auto"/>
            <w:vAlign w:val="center"/>
          </w:tcPr>
          <w:p w14:paraId="5115285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矿山应急</w:t>
            </w:r>
          </w:p>
          <w:p w14:paraId="45CBAA8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救援器材</w:t>
            </w:r>
          </w:p>
          <w:p w14:paraId="1A6304DF">
            <w:pPr>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及设备</w:t>
            </w:r>
          </w:p>
        </w:tc>
        <w:tc>
          <w:tcPr>
            <w:tcW w:w="1013" w:type="pct"/>
            <w:shd w:val="clear" w:color="auto" w:fill="auto"/>
            <w:vAlign w:val="center"/>
          </w:tcPr>
          <w:p w14:paraId="6F6D4F6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对讲机</w:t>
            </w:r>
          </w:p>
        </w:tc>
        <w:tc>
          <w:tcPr>
            <w:tcW w:w="352" w:type="pct"/>
            <w:shd w:val="clear" w:color="auto" w:fill="auto"/>
            <w:vAlign w:val="center"/>
          </w:tcPr>
          <w:p w14:paraId="74AAB9F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台</w:t>
            </w:r>
          </w:p>
        </w:tc>
        <w:tc>
          <w:tcPr>
            <w:tcW w:w="352" w:type="pct"/>
            <w:shd w:val="clear" w:color="auto" w:fill="auto"/>
            <w:vAlign w:val="center"/>
          </w:tcPr>
          <w:p w14:paraId="0FA0CDC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793" w:type="pct"/>
            <w:shd w:val="clear" w:color="auto" w:fill="auto"/>
            <w:vAlign w:val="center"/>
          </w:tcPr>
          <w:p w14:paraId="09988BB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0.7</w:t>
            </w:r>
          </w:p>
        </w:tc>
        <w:tc>
          <w:tcPr>
            <w:tcW w:w="1564" w:type="pct"/>
            <w:shd w:val="clear" w:color="auto" w:fill="auto"/>
            <w:vAlign w:val="center"/>
          </w:tcPr>
          <w:p w14:paraId="46BA6EE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605E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0DE6735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310D4547">
            <w:pPr>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45C23AF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液压起重器</w:t>
            </w:r>
          </w:p>
        </w:tc>
        <w:tc>
          <w:tcPr>
            <w:tcW w:w="352" w:type="pct"/>
            <w:shd w:val="clear" w:color="auto" w:fill="auto"/>
            <w:vAlign w:val="center"/>
          </w:tcPr>
          <w:p w14:paraId="64F5F54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台</w:t>
            </w:r>
          </w:p>
        </w:tc>
        <w:tc>
          <w:tcPr>
            <w:tcW w:w="352" w:type="pct"/>
            <w:shd w:val="clear" w:color="auto" w:fill="auto"/>
            <w:vAlign w:val="center"/>
          </w:tcPr>
          <w:p w14:paraId="050D486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793" w:type="pct"/>
            <w:shd w:val="clear" w:color="auto" w:fill="auto"/>
            <w:vAlign w:val="center"/>
          </w:tcPr>
          <w:p w14:paraId="78E4C74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3.5</w:t>
            </w:r>
          </w:p>
        </w:tc>
        <w:tc>
          <w:tcPr>
            <w:tcW w:w="1564" w:type="pct"/>
            <w:shd w:val="clear" w:color="auto" w:fill="auto"/>
            <w:vAlign w:val="center"/>
          </w:tcPr>
          <w:p w14:paraId="3E4D3DD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10DD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45843BC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078F418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26A23D4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千斤顶</w:t>
            </w:r>
          </w:p>
        </w:tc>
        <w:tc>
          <w:tcPr>
            <w:tcW w:w="352" w:type="pct"/>
            <w:shd w:val="clear" w:color="auto" w:fill="auto"/>
            <w:vAlign w:val="center"/>
          </w:tcPr>
          <w:p w14:paraId="6534D63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台</w:t>
            </w:r>
          </w:p>
        </w:tc>
        <w:tc>
          <w:tcPr>
            <w:tcW w:w="352" w:type="pct"/>
            <w:shd w:val="clear" w:color="auto" w:fill="auto"/>
            <w:vAlign w:val="center"/>
          </w:tcPr>
          <w:p w14:paraId="5F01680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793" w:type="pct"/>
            <w:shd w:val="clear" w:color="auto" w:fill="auto"/>
            <w:vAlign w:val="center"/>
          </w:tcPr>
          <w:p w14:paraId="662A208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1.3</w:t>
            </w:r>
          </w:p>
        </w:tc>
        <w:tc>
          <w:tcPr>
            <w:tcW w:w="1564" w:type="pct"/>
            <w:shd w:val="clear" w:color="auto" w:fill="auto"/>
            <w:vAlign w:val="center"/>
          </w:tcPr>
          <w:p w14:paraId="0AC3F0C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7C0D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7A66DE1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7CACF9D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6F462F7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工具组</w:t>
            </w:r>
          </w:p>
        </w:tc>
        <w:tc>
          <w:tcPr>
            <w:tcW w:w="352" w:type="pct"/>
            <w:shd w:val="clear" w:color="auto" w:fill="auto"/>
            <w:vAlign w:val="center"/>
          </w:tcPr>
          <w:p w14:paraId="34C0A31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套</w:t>
            </w:r>
          </w:p>
        </w:tc>
        <w:tc>
          <w:tcPr>
            <w:tcW w:w="352" w:type="pct"/>
            <w:shd w:val="clear" w:color="auto" w:fill="auto"/>
            <w:vAlign w:val="center"/>
          </w:tcPr>
          <w:p w14:paraId="1E5E358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793" w:type="pct"/>
            <w:shd w:val="clear" w:color="auto" w:fill="auto"/>
            <w:vAlign w:val="center"/>
          </w:tcPr>
          <w:p w14:paraId="39A5556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0.6</w:t>
            </w:r>
          </w:p>
        </w:tc>
        <w:tc>
          <w:tcPr>
            <w:tcW w:w="1564" w:type="pct"/>
            <w:shd w:val="clear" w:color="auto" w:fill="auto"/>
            <w:vAlign w:val="center"/>
          </w:tcPr>
          <w:p w14:paraId="058FC5F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42C8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4C660F3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769723F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45F2CE6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安全帽</w:t>
            </w:r>
          </w:p>
        </w:tc>
        <w:tc>
          <w:tcPr>
            <w:tcW w:w="352" w:type="pct"/>
            <w:shd w:val="clear" w:color="auto" w:fill="auto"/>
            <w:vAlign w:val="center"/>
          </w:tcPr>
          <w:p w14:paraId="3EE6812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顶</w:t>
            </w:r>
          </w:p>
        </w:tc>
        <w:tc>
          <w:tcPr>
            <w:tcW w:w="352" w:type="pct"/>
            <w:shd w:val="clear" w:color="auto" w:fill="auto"/>
            <w:vAlign w:val="center"/>
          </w:tcPr>
          <w:p w14:paraId="686481A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20</w:t>
            </w:r>
          </w:p>
        </w:tc>
        <w:tc>
          <w:tcPr>
            <w:tcW w:w="793" w:type="pct"/>
            <w:shd w:val="clear" w:color="auto" w:fill="auto"/>
            <w:vAlign w:val="center"/>
          </w:tcPr>
          <w:p w14:paraId="7AA8DDE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5293095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7D26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4AEAC7C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6AEC5F7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2AC09F3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水鞋</w:t>
            </w:r>
          </w:p>
        </w:tc>
        <w:tc>
          <w:tcPr>
            <w:tcW w:w="352" w:type="pct"/>
            <w:shd w:val="clear" w:color="auto" w:fill="auto"/>
            <w:vAlign w:val="center"/>
          </w:tcPr>
          <w:p w14:paraId="49E9D7F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双</w:t>
            </w:r>
          </w:p>
        </w:tc>
        <w:tc>
          <w:tcPr>
            <w:tcW w:w="352" w:type="pct"/>
            <w:shd w:val="clear" w:color="auto" w:fill="auto"/>
            <w:vAlign w:val="center"/>
          </w:tcPr>
          <w:p w14:paraId="7AF5A75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20</w:t>
            </w:r>
          </w:p>
        </w:tc>
        <w:tc>
          <w:tcPr>
            <w:tcW w:w="793" w:type="pct"/>
            <w:shd w:val="clear" w:color="auto" w:fill="auto"/>
            <w:vAlign w:val="center"/>
          </w:tcPr>
          <w:p w14:paraId="27E5D7E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251D9B7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136A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00817E9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6225C4B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4F11174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担架</w:t>
            </w:r>
          </w:p>
        </w:tc>
        <w:tc>
          <w:tcPr>
            <w:tcW w:w="352" w:type="pct"/>
            <w:shd w:val="clear" w:color="auto" w:fill="auto"/>
            <w:vAlign w:val="center"/>
          </w:tcPr>
          <w:p w14:paraId="429F72E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副</w:t>
            </w:r>
          </w:p>
        </w:tc>
        <w:tc>
          <w:tcPr>
            <w:tcW w:w="352" w:type="pct"/>
            <w:shd w:val="clear" w:color="auto" w:fill="auto"/>
            <w:vAlign w:val="center"/>
          </w:tcPr>
          <w:p w14:paraId="652EC69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793" w:type="pct"/>
            <w:shd w:val="clear" w:color="auto" w:fill="auto"/>
            <w:vAlign w:val="center"/>
          </w:tcPr>
          <w:p w14:paraId="5572609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07C63C9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6689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465EDF5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22C9C63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15D846E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急救箱</w:t>
            </w:r>
          </w:p>
        </w:tc>
        <w:tc>
          <w:tcPr>
            <w:tcW w:w="352" w:type="pct"/>
            <w:shd w:val="clear" w:color="auto" w:fill="auto"/>
            <w:vAlign w:val="center"/>
          </w:tcPr>
          <w:p w14:paraId="1C46A92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个</w:t>
            </w:r>
          </w:p>
        </w:tc>
        <w:tc>
          <w:tcPr>
            <w:tcW w:w="352" w:type="pct"/>
            <w:shd w:val="clear" w:color="auto" w:fill="auto"/>
            <w:vAlign w:val="center"/>
          </w:tcPr>
          <w:p w14:paraId="106758F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793" w:type="pct"/>
            <w:shd w:val="clear" w:color="auto" w:fill="auto"/>
            <w:vAlign w:val="center"/>
          </w:tcPr>
          <w:p w14:paraId="066A2DD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0.3</w:t>
            </w:r>
          </w:p>
        </w:tc>
        <w:tc>
          <w:tcPr>
            <w:tcW w:w="1564" w:type="pct"/>
            <w:shd w:val="clear" w:color="auto" w:fill="auto"/>
            <w:vAlign w:val="center"/>
          </w:tcPr>
          <w:p w14:paraId="78F1987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246A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7EF434B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1B81C72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5499E8F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安全带</w:t>
            </w:r>
          </w:p>
        </w:tc>
        <w:tc>
          <w:tcPr>
            <w:tcW w:w="352" w:type="pct"/>
            <w:shd w:val="clear" w:color="auto" w:fill="auto"/>
            <w:vAlign w:val="center"/>
          </w:tcPr>
          <w:p w14:paraId="5DDD17A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套</w:t>
            </w:r>
          </w:p>
        </w:tc>
        <w:tc>
          <w:tcPr>
            <w:tcW w:w="352" w:type="pct"/>
            <w:shd w:val="clear" w:color="auto" w:fill="auto"/>
            <w:vAlign w:val="center"/>
          </w:tcPr>
          <w:p w14:paraId="7C4F3F7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793" w:type="pct"/>
            <w:shd w:val="clear" w:color="auto" w:fill="auto"/>
            <w:vAlign w:val="center"/>
          </w:tcPr>
          <w:p w14:paraId="1C7A9C0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64D387B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2C66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2BF5818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1DB7681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20AC9ED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安全绳</w:t>
            </w:r>
          </w:p>
        </w:tc>
        <w:tc>
          <w:tcPr>
            <w:tcW w:w="352" w:type="pct"/>
            <w:shd w:val="clear" w:color="auto" w:fill="auto"/>
            <w:vAlign w:val="center"/>
          </w:tcPr>
          <w:p w14:paraId="4FBD81A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m</w:t>
            </w:r>
          </w:p>
        </w:tc>
        <w:tc>
          <w:tcPr>
            <w:tcW w:w="352" w:type="pct"/>
            <w:shd w:val="clear" w:color="auto" w:fill="auto"/>
            <w:vAlign w:val="center"/>
          </w:tcPr>
          <w:p w14:paraId="7003F03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500</w:t>
            </w:r>
          </w:p>
        </w:tc>
        <w:tc>
          <w:tcPr>
            <w:tcW w:w="793" w:type="pct"/>
            <w:shd w:val="clear" w:color="auto" w:fill="auto"/>
            <w:vAlign w:val="center"/>
          </w:tcPr>
          <w:p w14:paraId="687073E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0.1</w:t>
            </w:r>
          </w:p>
        </w:tc>
        <w:tc>
          <w:tcPr>
            <w:tcW w:w="1564" w:type="pct"/>
            <w:shd w:val="clear" w:color="auto" w:fill="auto"/>
            <w:vAlign w:val="center"/>
          </w:tcPr>
          <w:p w14:paraId="746EAEA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59C0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3136A02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777C1B4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0390C76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应急灯</w:t>
            </w:r>
          </w:p>
        </w:tc>
        <w:tc>
          <w:tcPr>
            <w:tcW w:w="352" w:type="pct"/>
            <w:shd w:val="clear" w:color="auto" w:fill="auto"/>
            <w:vAlign w:val="center"/>
          </w:tcPr>
          <w:p w14:paraId="54AA31D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盏</w:t>
            </w:r>
          </w:p>
        </w:tc>
        <w:tc>
          <w:tcPr>
            <w:tcW w:w="352" w:type="pct"/>
            <w:shd w:val="clear" w:color="auto" w:fill="auto"/>
            <w:vAlign w:val="center"/>
          </w:tcPr>
          <w:p w14:paraId="76CDC08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793" w:type="pct"/>
            <w:shd w:val="clear" w:color="auto" w:fill="auto"/>
            <w:vAlign w:val="center"/>
          </w:tcPr>
          <w:p w14:paraId="2E3F203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0.5</w:t>
            </w:r>
          </w:p>
        </w:tc>
        <w:tc>
          <w:tcPr>
            <w:tcW w:w="1564" w:type="pct"/>
            <w:shd w:val="clear" w:color="auto" w:fill="auto"/>
            <w:vAlign w:val="center"/>
          </w:tcPr>
          <w:p w14:paraId="32CC24A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4090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2CA66D6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7670304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1AE1304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帐蓬</w:t>
            </w:r>
          </w:p>
        </w:tc>
        <w:tc>
          <w:tcPr>
            <w:tcW w:w="352" w:type="pct"/>
            <w:shd w:val="clear" w:color="auto" w:fill="auto"/>
            <w:vAlign w:val="center"/>
          </w:tcPr>
          <w:p w14:paraId="7E823F9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套</w:t>
            </w:r>
          </w:p>
        </w:tc>
        <w:tc>
          <w:tcPr>
            <w:tcW w:w="352" w:type="pct"/>
            <w:shd w:val="clear" w:color="auto" w:fill="auto"/>
            <w:vAlign w:val="center"/>
          </w:tcPr>
          <w:p w14:paraId="0C20F81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793" w:type="pct"/>
            <w:shd w:val="clear" w:color="auto" w:fill="auto"/>
            <w:vAlign w:val="center"/>
          </w:tcPr>
          <w:p w14:paraId="6734023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0.8</w:t>
            </w:r>
          </w:p>
        </w:tc>
        <w:tc>
          <w:tcPr>
            <w:tcW w:w="1564" w:type="pct"/>
            <w:shd w:val="clear" w:color="auto" w:fill="auto"/>
            <w:vAlign w:val="center"/>
          </w:tcPr>
          <w:p w14:paraId="525180E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7092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391D114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4C90134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1545960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切割锯</w:t>
            </w:r>
          </w:p>
        </w:tc>
        <w:tc>
          <w:tcPr>
            <w:tcW w:w="352" w:type="pct"/>
            <w:shd w:val="clear" w:color="auto" w:fill="auto"/>
            <w:vAlign w:val="center"/>
          </w:tcPr>
          <w:p w14:paraId="7E5FE69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把</w:t>
            </w:r>
          </w:p>
        </w:tc>
        <w:tc>
          <w:tcPr>
            <w:tcW w:w="352" w:type="pct"/>
            <w:shd w:val="clear" w:color="auto" w:fill="auto"/>
            <w:vAlign w:val="center"/>
          </w:tcPr>
          <w:p w14:paraId="5F5BD7B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w:t>
            </w:r>
          </w:p>
        </w:tc>
        <w:tc>
          <w:tcPr>
            <w:tcW w:w="793" w:type="pct"/>
            <w:shd w:val="clear" w:color="auto" w:fill="auto"/>
            <w:vAlign w:val="center"/>
          </w:tcPr>
          <w:p w14:paraId="6BF9C45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1.8</w:t>
            </w:r>
          </w:p>
        </w:tc>
        <w:tc>
          <w:tcPr>
            <w:tcW w:w="1564" w:type="pct"/>
            <w:shd w:val="clear" w:color="auto" w:fill="auto"/>
            <w:vAlign w:val="center"/>
          </w:tcPr>
          <w:p w14:paraId="5D1D4BF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3F55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4844452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1A085C2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037CEEF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灭火器</w:t>
            </w:r>
          </w:p>
        </w:tc>
        <w:tc>
          <w:tcPr>
            <w:tcW w:w="352" w:type="pct"/>
            <w:shd w:val="clear" w:color="auto" w:fill="auto"/>
            <w:vAlign w:val="center"/>
          </w:tcPr>
          <w:p w14:paraId="6632FD1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只</w:t>
            </w:r>
          </w:p>
        </w:tc>
        <w:tc>
          <w:tcPr>
            <w:tcW w:w="352" w:type="pct"/>
            <w:shd w:val="clear" w:color="auto" w:fill="auto"/>
            <w:vAlign w:val="center"/>
          </w:tcPr>
          <w:p w14:paraId="332F097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793" w:type="pct"/>
            <w:shd w:val="clear" w:color="auto" w:fill="auto"/>
            <w:vAlign w:val="center"/>
          </w:tcPr>
          <w:p w14:paraId="1097498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0.6</w:t>
            </w:r>
          </w:p>
        </w:tc>
        <w:tc>
          <w:tcPr>
            <w:tcW w:w="1564" w:type="pct"/>
            <w:shd w:val="clear" w:color="auto" w:fill="auto"/>
            <w:vAlign w:val="center"/>
          </w:tcPr>
          <w:p w14:paraId="4DC5818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矿山仓库</w:t>
            </w:r>
          </w:p>
        </w:tc>
      </w:tr>
      <w:tr w14:paraId="70FE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5131D2C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258BEC5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029914F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运输车辆</w:t>
            </w:r>
          </w:p>
        </w:tc>
        <w:tc>
          <w:tcPr>
            <w:tcW w:w="352" w:type="pct"/>
            <w:shd w:val="clear" w:color="auto" w:fill="auto"/>
            <w:vAlign w:val="center"/>
          </w:tcPr>
          <w:p w14:paraId="5ED807C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辆</w:t>
            </w:r>
          </w:p>
        </w:tc>
        <w:tc>
          <w:tcPr>
            <w:tcW w:w="352" w:type="pct"/>
            <w:shd w:val="clear" w:color="auto" w:fill="auto"/>
            <w:vAlign w:val="center"/>
          </w:tcPr>
          <w:p w14:paraId="1865617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793" w:type="pct"/>
            <w:shd w:val="clear" w:color="auto" w:fill="auto"/>
            <w:vAlign w:val="center"/>
          </w:tcPr>
          <w:p w14:paraId="7EA27AE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1564" w:type="pct"/>
            <w:shd w:val="clear" w:color="auto" w:fill="auto"/>
            <w:vAlign w:val="center"/>
          </w:tcPr>
          <w:p w14:paraId="4FFA44D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利用生产设备</w:t>
            </w:r>
          </w:p>
        </w:tc>
      </w:tr>
      <w:tr w14:paraId="1F61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shd w:val="clear" w:color="auto" w:fill="auto"/>
            <w:vAlign w:val="center"/>
          </w:tcPr>
          <w:p w14:paraId="6FEC34F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7</w:t>
            </w:r>
          </w:p>
        </w:tc>
        <w:tc>
          <w:tcPr>
            <w:tcW w:w="573" w:type="pct"/>
            <w:shd w:val="clear" w:color="auto" w:fill="auto"/>
            <w:vAlign w:val="center"/>
          </w:tcPr>
          <w:p w14:paraId="096AD65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通信联</w:t>
            </w:r>
          </w:p>
          <w:p w14:paraId="1889427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络系统</w:t>
            </w:r>
          </w:p>
        </w:tc>
        <w:tc>
          <w:tcPr>
            <w:tcW w:w="1013" w:type="pct"/>
            <w:shd w:val="clear" w:color="auto" w:fill="auto"/>
            <w:vAlign w:val="center"/>
          </w:tcPr>
          <w:p w14:paraId="4FD2A9D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固定电话、手机、</w:t>
            </w:r>
          </w:p>
          <w:p w14:paraId="06BBCEA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无线对讲机</w:t>
            </w:r>
          </w:p>
        </w:tc>
        <w:tc>
          <w:tcPr>
            <w:tcW w:w="352" w:type="pct"/>
            <w:shd w:val="clear" w:color="auto" w:fill="auto"/>
            <w:vAlign w:val="center"/>
          </w:tcPr>
          <w:p w14:paraId="6DF6C16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台</w:t>
            </w:r>
          </w:p>
        </w:tc>
        <w:tc>
          <w:tcPr>
            <w:tcW w:w="352" w:type="pct"/>
            <w:shd w:val="clear" w:color="auto" w:fill="auto"/>
            <w:vAlign w:val="center"/>
          </w:tcPr>
          <w:p w14:paraId="2B31E24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6</w:t>
            </w:r>
          </w:p>
        </w:tc>
        <w:tc>
          <w:tcPr>
            <w:tcW w:w="793" w:type="pct"/>
            <w:shd w:val="clear" w:color="auto" w:fill="auto"/>
            <w:vAlign w:val="center"/>
          </w:tcPr>
          <w:p w14:paraId="5F424FF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w:t>
            </w:r>
          </w:p>
        </w:tc>
        <w:tc>
          <w:tcPr>
            <w:tcW w:w="1564" w:type="pct"/>
            <w:shd w:val="clear" w:color="auto" w:fill="auto"/>
            <w:vAlign w:val="center"/>
          </w:tcPr>
          <w:p w14:paraId="56B59C2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值班室、单班班长、</w:t>
            </w:r>
          </w:p>
          <w:p w14:paraId="1F08DE0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专职安全员</w:t>
            </w:r>
          </w:p>
        </w:tc>
      </w:tr>
      <w:tr w14:paraId="1ADF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restart"/>
            <w:shd w:val="clear" w:color="auto" w:fill="auto"/>
            <w:vAlign w:val="center"/>
          </w:tcPr>
          <w:p w14:paraId="309B856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w:t>
            </w:r>
          </w:p>
        </w:tc>
        <w:tc>
          <w:tcPr>
            <w:tcW w:w="573" w:type="pct"/>
            <w:vMerge w:val="restart"/>
            <w:shd w:val="clear" w:color="auto" w:fill="auto"/>
            <w:vAlign w:val="center"/>
          </w:tcPr>
          <w:p w14:paraId="2B739E2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个人安全</w:t>
            </w:r>
          </w:p>
          <w:p w14:paraId="0938143C">
            <w:pPr>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防护用品</w:t>
            </w:r>
          </w:p>
        </w:tc>
        <w:tc>
          <w:tcPr>
            <w:tcW w:w="1013" w:type="pct"/>
            <w:shd w:val="clear" w:color="auto" w:fill="auto"/>
            <w:vAlign w:val="center"/>
          </w:tcPr>
          <w:p w14:paraId="671EA6E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安全帽</w:t>
            </w:r>
          </w:p>
        </w:tc>
        <w:tc>
          <w:tcPr>
            <w:tcW w:w="352" w:type="pct"/>
            <w:shd w:val="clear" w:color="auto" w:fill="auto"/>
            <w:vAlign w:val="center"/>
          </w:tcPr>
          <w:p w14:paraId="3D2EF85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顶</w:t>
            </w:r>
          </w:p>
        </w:tc>
        <w:tc>
          <w:tcPr>
            <w:tcW w:w="352" w:type="pct"/>
            <w:shd w:val="clear" w:color="auto" w:fill="auto"/>
            <w:vAlign w:val="center"/>
          </w:tcPr>
          <w:p w14:paraId="5E62C1A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40</w:t>
            </w:r>
          </w:p>
        </w:tc>
        <w:tc>
          <w:tcPr>
            <w:tcW w:w="793" w:type="pct"/>
            <w:shd w:val="clear" w:color="auto" w:fill="auto"/>
            <w:vAlign w:val="center"/>
          </w:tcPr>
          <w:p w14:paraId="5CFEA9E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0.6</w:t>
            </w:r>
          </w:p>
        </w:tc>
        <w:tc>
          <w:tcPr>
            <w:tcW w:w="1564" w:type="pct"/>
            <w:shd w:val="clear" w:color="auto" w:fill="auto"/>
            <w:vAlign w:val="center"/>
          </w:tcPr>
          <w:p w14:paraId="150989B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r>
      <w:tr w14:paraId="5E69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32667A2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0E844A2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5CD645E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安全带</w:t>
            </w:r>
          </w:p>
        </w:tc>
        <w:tc>
          <w:tcPr>
            <w:tcW w:w="352" w:type="pct"/>
            <w:shd w:val="clear" w:color="auto" w:fill="auto"/>
            <w:vAlign w:val="center"/>
          </w:tcPr>
          <w:p w14:paraId="2B805F9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套</w:t>
            </w:r>
          </w:p>
        </w:tc>
        <w:tc>
          <w:tcPr>
            <w:tcW w:w="352" w:type="pct"/>
            <w:shd w:val="clear" w:color="auto" w:fill="auto"/>
            <w:vAlign w:val="center"/>
          </w:tcPr>
          <w:p w14:paraId="5E4EDFB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w:t>
            </w:r>
          </w:p>
        </w:tc>
        <w:tc>
          <w:tcPr>
            <w:tcW w:w="793" w:type="pct"/>
            <w:shd w:val="clear" w:color="auto" w:fill="auto"/>
            <w:vAlign w:val="center"/>
          </w:tcPr>
          <w:p w14:paraId="2AFC0C7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0.3</w:t>
            </w:r>
          </w:p>
        </w:tc>
        <w:tc>
          <w:tcPr>
            <w:tcW w:w="1564" w:type="pct"/>
            <w:shd w:val="clear" w:color="auto" w:fill="auto"/>
            <w:vAlign w:val="center"/>
          </w:tcPr>
          <w:p w14:paraId="046A8BF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涉及高处作业人员</w:t>
            </w:r>
          </w:p>
        </w:tc>
      </w:tr>
      <w:tr w14:paraId="53CA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vMerge w:val="continue"/>
            <w:vAlign w:val="center"/>
          </w:tcPr>
          <w:p w14:paraId="3A42166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573" w:type="pct"/>
            <w:vMerge w:val="continue"/>
            <w:shd w:val="clear" w:color="auto" w:fill="auto"/>
            <w:vAlign w:val="center"/>
          </w:tcPr>
          <w:p w14:paraId="2EF6AFF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rPr>
            </w:pPr>
          </w:p>
        </w:tc>
        <w:tc>
          <w:tcPr>
            <w:tcW w:w="1013" w:type="pct"/>
            <w:shd w:val="clear" w:color="auto" w:fill="auto"/>
            <w:vAlign w:val="center"/>
          </w:tcPr>
          <w:p w14:paraId="4F3ECBB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其它</w:t>
            </w:r>
          </w:p>
        </w:tc>
        <w:tc>
          <w:tcPr>
            <w:tcW w:w="352" w:type="pct"/>
            <w:shd w:val="clear" w:color="auto" w:fill="auto"/>
            <w:vAlign w:val="center"/>
          </w:tcPr>
          <w:p w14:paraId="64AF736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5126E74C">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793" w:type="pct"/>
            <w:shd w:val="clear" w:color="auto" w:fill="auto"/>
            <w:vAlign w:val="center"/>
          </w:tcPr>
          <w:p w14:paraId="2FBEE246">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2.7</w:t>
            </w:r>
          </w:p>
        </w:tc>
        <w:tc>
          <w:tcPr>
            <w:tcW w:w="1564" w:type="pct"/>
            <w:shd w:val="clear" w:color="auto" w:fill="auto"/>
            <w:vAlign w:val="center"/>
          </w:tcPr>
          <w:p w14:paraId="1D73296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全矿工作人员</w:t>
            </w:r>
          </w:p>
        </w:tc>
      </w:tr>
      <w:tr w14:paraId="26A5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shd w:val="clear" w:color="auto" w:fill="auto"/>
            <w:vAlign w:val="center"/>
          </w:tcPr>
          <w:p w14:paraId="6E12141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9</w:t>
            </w:r>
          </w:p>
        </w:tc>
        <w:tc>
          <w:tcPr>
            <w:tcW w:w="573" w:type="pct"/>
            <w:shd w:val="clear" w:color="auto" w:fill="auto"/>
            <w:vAlign w:val="center"/>
          </w:tcPr>
          <w:p w14:paraId="787B180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安全标志</w:t>
            </w:r>
          </w:p>
        </w:tc>
        <w:tc>
          <w:tcPr>
            <w:tcW w:w="1013" w:type="pct"/>
            <w:shd w:val="clear" w:color="auto" w:fill="auto"/>
            <w:vAlign w:val="center"/>
          </w:tcPr>
          <w:p w14:paraId="198DF31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352" w:type="pct"/>
            <w:shd w:val="clear" w:color="auto" w:fill="auto"/>
            <w:vAlign w:val="center"/>
          </w:tcPr>
          <w:p w14:paraId="2C950AD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012FC71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793" w:type="pct"/>
            <w:shd w:val="clear" w:color="auto" w:fill="auto"/>
            <w:vAlign w:val="center"/>
          </w:tcPr>
          <w:p w14:paraId="383176B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4</w:t>
            </w:r>
          </w:p>
        </w:tc>
        <w:tc>
          <w:tcPr>
            <w:tcW w:w="1564" w:type="pct"/>
            <w:shd w:val="clear" w:color="auto" w:fill="auto"/>
            <w:vAlign w:val="center"/>
          </w:tcPr>
          <w:p w14:paraId="5A5B72F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矿区存在危险源的地方</w:t>
            </w:r>
          </w:p>
        </w:tc>
      </w:tr>
      <w:tr w14:paraId="2C04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2" w:type="pct"/>
            <w:shd w:val="clear" w:color="auto" w:fill="auto"/>
            <w:vAlign w:val="center"/>
          </w:tcPr>
          <w:p w14:paraId="78B6E58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10</w:t>
            </w:r>
          </w:p>
        </w:tc>
        <w:tc>
          <w:tcPr>
            <w:tcW w:w="573" w:type="pct"/>
            <w:shd w:val="clear" w:color="auto" w:fill="auto"/>
            <w:vAlign w:val="center"/>
          </w:tcPr>
          <w:p w14:paraId="546DD577">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合计</w:t>
            </w:r>
          </w:p>
        </w:tc>
        <w:tc>
          <w:tcPr>
            <w:tcW w:w="1013" w:type="pct"/>
            <w:shd w:val="clear" w:color="auto" w:fill="auto"/>
            <w:vAlign w:val="center"/>
          </w:tcPr>
          <w:p w14:paraId="5A855A9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p>
        </w:tc>
        <w:tc>
          <w:tcPr>
            <w:tcW w:w="352" w:type="pct"/>
            <w:shd w:val="clear" w:color="auto" w:fill="auto"/>
            <w:vAlign w:val="center"/>
          </w:tcPr>
          <w:p w14:paraId="2961B451">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352" w:type="pct"/>
            <w:shd w:val="clear" w:color="auto" w:fill="auto"/>
            <w:vAlign w:val="center"/>
          </w:tcPr>
          <w:p w14:paraId="5EBD024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lang w:eastAsia="zh-CN"/>
              </w:rPr>
            </w:pPr>
          </w:p>
        </w:tc>
        <w:tc>
          <w:tcPr>
            <w:tcW w:w="793" w:type="pct"/>
            <w:shd w:val="clear" w:color="auto" w:fill="auto"/>
            <w:vAlign w:val="center"/>
          </w:tcPr>
          <w:p w14:paraId="34E557E0">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59.7</w:t>
            </w:r>
          </w:p>
        </w:tc>
        <w:tc>
          <w:tcPr>
            <w:tcW w:w="1564" w:type="pct"/>
            <w:shd w:val="clear" w:color="auto" w:fill="auto"/>
            <w:vAlign w:val="center"/>
          </w:tcPr>
          <w:p w14:paraId="49A315A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color w:val="000000"/>
                <w:kern w:val="0"/>
                <w:sz w:val="21"/>
                <w:szCs w:val="21"/>
                <w:lang w:eastAsia="zh-CN"/>
              </w:rPr>
            </w:pPr>
          </w:p>
        </w:tc>
      </w:tr>
    </w:tbl>
    <w:p w14:paraId="5E92B71F">
      <w:pPr>
        <w:pageBreakBefore w:val="0"/>
        <w:widowControl/>
        <w:kinsoku/>
        <w:wordWrap/>
        <w:bidi w:val="0"/>
        <w:adjustRightInd w:val="0"/>
        <w:snapToGrid w:val="0"/>
        <w:spacing w:line="360" w:lineRule="auto"/>
        <w:jc w:val="left"/>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lang w:val="en-GB"/>
          <w14:textFill>
            <w14:solidFill>
              <w14:schemeClr w14:val="tx1"/>
            </w14:solidFill>
          </w14:textFill>
        </w:rPr>
        <w:br w:type="page"/>
      </w:r>
    </w:p>
    <w:p w14:paraId="3EF15D26">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161" w:name="_Toc24945"/>
      <w:bookmarkStart w:id="162" w:name="_Toc21916"/>
      <w:r>
        <w:rPr>
          <w:rFonts w:hint="default" w:ascii="Times New Roman" w:hAnsi="Times New Roman" w:cs="Times New Roman"/>
          <w:b/>
          <w:bCs w:val="0"/>
          <w:color w:val="000000" w:themeColor="text1"/>
          <w:lang w:val="en-GB"/>
          <w14:textFill>
            <w14:solidFill>
              <w14:schemeClr w14:val="tx1"/>
            </w14:solidFill>
          </w14:textFill>
        </w:rPr>
        <w:t>3.定性定量评价</w:t>
      </w:r>
      <w:bookmarkEnd w:id="161"/>
      <w:bookmarkEnd w:id="162"/>
    </w:p>
    <w:p w14:paraId="587D6E7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XX。</w:t>
      </w:r>
    </w:p>
    <w:p w14:paraId="6DFB618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p>
    <w:p w14:paraId="69254F5D">
      <w:pPr>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br w:type="page"/>
      </w:r>
    </w:p>
    <w:p w14:paraId="43880660">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163" w:name="_Toc32231"/>
      <w:bookmarkStart w:id="164" w:name="_Toc17815"/>
      <w:r>
        <w:rPr>
          <w:rFonts w:hint="default" w:ascii="Times New Roman" w:hAnsi="Times New Roman" w:cs="Times New Roman"/>
          <w:b/>
          <w:bCs w:val="0"/>
          <w:color w:val="000000" w:themeColor="text1"/>
          <w:lang w:val="en-GB"/>
          <w14:textFill>
            <w14:solidFill>
              <w14:schemeClr w14:val="tx1"/>
            </w14:solidFill>
          </w14:textFill>
        </w:rPr>
        <w:t>4.安全对策措施建议</w:t>
      </w:r>
      <w:bookmarkEnd w:id="163"/>
      <w:bookmarkEnd w:id="164"/>
    </w:p>
    <w:p w14:paraId="420C069C">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65" w:name="_Toc11264"/>
      <w:bookmarkStart w:id="166" w:name="_Toc32591"/>
      <w:r>
        <w:rPr>
          <w:rFonts w:hint="default" w:ascii="Times New Roman" w:hAnsi="Times New Roman" w:cs="Times New Roman"/>
          <w:b/>
          <w:bCs w:val="0"/>
          <w:color w:val="000000" w:themeColor="text1"/>
          <w:lang w:val="en-GB"/>
          <w14:textFill>
            <w14:solidFill>
              <w14:schemeClr w14:val="tx1"/>
            </w14:solidFill>
          </w14:textFill>
        </w:rPr>
        <w:t>4.1 安全对策措施建议的主要原则</w:t>
      </w:r>
      <w:bookmarkEnd w:id="165"/>
      <w:bookmarkEnd w:id="166"/>
    </w:p>
    <w:p w14:paraId="6142138A">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4.1.1 安全对策措施建议的基本要求</w:t>
      </w:r>
    </w:p>
    <w:p w14:paraId="7AC5549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 xml:space="preserve">（1）能消除或减弱生产过程中产生的危险、有害因素； </w:t>
      </w:r>
    </w:p>
    <w:p w14:paraId="2F7079C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（2）处置危险和有害物，使其降低到国家规定的限值内；</w:t>
      </w:r>
    </w:p>
    <w:p w14:paraId="62BD598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（3）预防生产装置失灵和操作失误产生的危险、危害；</w:t>
      </w:r>
    </w:p>
    <w:p w14:paraId="1A01AE8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（4）能有效地预防重大事故和职业危害的发生；</w:t>
      </w:r>
    </w:p>
    <w:p w14:paraId="0550AF3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（5）发生意外事故时，能为遇险人员提供自救和互救条件。</w:t>
      </w:r>
    </w:p>
    <w:p w14:paraId="468C43BD">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4.1.2 制定安全对策措施建议的原则</w:t>
      </w:r>
    </w:p>
    <w:p w14:paraId="64CF42D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（1）当安全对策措施建议与经济效益发生矛盾时，应优先考虑安全对策措施建议的要求；</w:t>
      </w:r>
    </w:p>
    <w:p w14:paraId="4F2C111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（2）确定安全对策措施建议等级顺序要求的具体原则为：消除、预防、减弱、隔离、联锁、警告；</w:t>
      </w:r>
    </w:p>
    <w:p w14:paraId="1840450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（3）安全对策措施建议应具有针对性、可操作性和经济合理性；</w:t>
      </w:r>
    </w:p>
    <w:p w14:paraId="2C68A03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（4）安全对策措施建议应符合国家有关法律、法规、标准、规范和行业标准的要求。</w:t>
      </w:r>
    </w:p>
    <w:p w14:paraId="5522416B">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67" w:name="_Toc4716"/>
      <w:bookmarkStart w:id="168" w:name="_Toc18525"/>
      <w:r>
        <w:rPr>
          <w:rFonts w:hint="default" w:ascii="Times New Roman" w:hAnsi="Times New Roman" w:cs="Times New Roman"/>
          <w:b/>
          <w:bCs w:val="0"/>
          <w:color w:val="000000" w:themeColor="text1"/>
          <w:lang w:val="en-GB"/>
          <w14:textFill>
            <w14:solidFill>
              <w14:schemeClr w14:val="tx1"/>
            </w14:solidFill>
          </w14:textFill>
        </w:rPr>
        <w:t>4.2 初步设计方案中提出的主要</w:t>
      </w:r>
      <w:bookmarkEnd w:id="167"/>
      <w:r>
        <w:rPr>
          <w:rFonts w:hint="default" w:ascii="Times New Roman" w:hAnsi="Times New Roman" w:cs="Times New Roman"/>
          <w:b/>
          <w:bCs w:val="0"/>
          <w:color w:val="000000" w:themeColor="text1"/>
          <w:lang w:val="en-GB"/>
          <w14:textFill>
            <w14:solidFill>
              <w14:schemeClr w14:val="tx1"/>
            </w14:solidFill>
          </w14:textFill>
        </w:rPr>
        <w:t>问题及建议</w:t>
      </w:r>
      <w:bookmarkEnd w:id="168"/>
    </w:p>
    <w:p w14:paraId="150E977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矿山在生产过程中，爆破警戒范围内存在有破碎站、电力设施等。在爆破过程中采取以下安全技术措施：</w:t>
      </w:r>
    </w:p>
    <w:p w14:paraId="356D872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69" w:name="_Toc1445"/>
      <w:r>
        <w:rPr>
          <w:rFonts w:hint="default" w:ascii="Times New Roman" w:hAnsi="Times New Roman" w:eastAsia="宋体" w:cs="Times New Roman"/>
          <w:sz w:val="28"/>
          <w:szCs w:val="21"/>
        </w:rPr>
        <w:t>1、因矿权范围限制，矿区内资源量无法充分进行开采，在后续开采过程中应严格按设计范围进行开采，避免越界开采等现象；严格按设计预留安全平台和清扫平台，避免开采形成高陡边坡。</w:t>
      </w:r>
    </w:p>
    <w:p w14:paraId="02353C3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2、矿区附近仙人洞采石场的破碎站，矿山开采需要对破碎站进行保护。</w:t>
      </w:r>
    </w:p>
    <w:p w14:paraId="41CAE964">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8"/>
        </w:rPr>
        <w:t>3、爆破警戒范围内存在生产生活设施和公路，需按设计要求采取相应的技术措施。</w:t>
      </w:r>
    </w:p>
    <w:p w14:paraId="1A338A59">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70" w:name="_Toc26200"/>
      <w:r>
        <w:rPr>
          <w:rFonts w:hint="default" w:ascii="Times New Roman" w:hAnsi="Times New Roman" w:cs="Times New Roman"/>
          <w:b/>
          <w:bCs w:val="0"/>
          <w:color w:val="000000" w:themeColor="text1"/>
          <w:lang w:val="en-GB"/>
          <w14:textFill>
            <w14:solidFill>
              <w14:schemeClr w14:val="tx1"/>
            </w14:solidFill>
          </w14:textFill>
        </w:rPr>
        <w:t>4.3 各单元安全对策措施建议</w:t>
      </w:r>
      <w:bookmarkEnd w:id="169"/>
      <w:bookmarkEnd w:id="170"/>
    </w:p>
    <w:p w14:paraId="3A9F16F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4.3.1 总平面布置单元</w:t>
      </w:r>
    </w:p>
    <w:p w14:paraId="2491073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1）因矿权范围限制，对于矿区东面287m处鹤庆县金墩乡仙人洞石料厂普通建筑材料用灰岩矿，设计将靠近其300m范围的区域设置为禁采区，附近矿区内资源量无法充分进行开采，在后续开采过程中应严格按设计范围进行开采，禁止越过设计禁采区，避免越界开采等现象。</w:t>
      </w:r>
    </w:p>
    <w:p w14:paraId="3604A6C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（2）严格按设计预留安全平台和清扫平台，避免开采形成高陡边坡。</w:t>
      </w:r>
    </w:p>
    <w:p w14:paraId="4EF7B82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（3）矿山值班室、材料室位于矿区东南南侧矿界内，位于300m爆破警戒范围内，初步设计中未说明相应的保护措施，应</w:t>
      </w:r>
      <w:bookmarkStart w:id="192" w:name="_GoBack"/>
      <w:bookmarkEnd w:id="192"/>
      <w:r>
        <w:rPr>
          <w:rFonts w:hint="default" w:ascii="Times New Roman" w:hAnsi="Times New Roman" w:eastAsia="宋体" w:cs="Times New Roman"/>
          <w:color w:val="000000" w:themeColor="text1"/>
          <w:sz w:val="28"/>
          <w:szCs w:val="28"/>
          <w14:textFill>
            <w14:solidFill>
              <w14:schemeClr w14:val="tx1"/>
            </w14:solidFill>
          </w14:textFill>
        </w:rPr>
        <w:t>在下一步安全设施设计中补充。</w:t>
      </w:r>
    </w:p>
    <w:p w14:paraId="5E93078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（4）东北面70m仙人洞采石场的破碎站，双方签订了安全协议，双方应按协议严格执行，爆破作业时所有人员撤出爆破警戒范围，并设岗警戒。</w:t>
      </w:r>
    </w:p>
    <w:p w14:paraId="3FCD1C1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（5）东南面205m处该矿山破碎站位于300m爆破警戒范围内，初步设计中未说明相应的保护措施，应在下一步安全设施设计中补充。</w:t>
      </w:r>
    </w:p>
    <w:p w14:paraId="1A85DC0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6）矿区周边存在电力设施，矿权西北面372m处为500kV黄太甲线、西北面372m处有500kV黄太甲线047号电塔；矿权西面336m处为500kV黄太乙线。以上电力设施水平距离位于500m电力设施保护范围内，矿权方应当征得电力设施产权人的同意，双方签订了安全协议，提出安全防护方案报经县级以上电力行政主管部门批准后方可作业；矿山下一步设计和开采过程中应严格落实安全防护措施。</w:t>
      </w:r>
    </w:p>
    <w:p w14:paraId="0AD0647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（7）矿区边界设置明显界桩，严禁越界开采，并设置防护网及警示标志，禁止人员及设备在边坡底下停留或作业。边坡底设置不低于2m的挡墙。</w:t>
      </w:r>
    </w:p>
    <w:p w14:paraId="2C7408C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）初步设计未对机修部分进行说明，下一步应进行补充。</w:t>
      </w:r>
    </w:p>
    <w:p w14:paraId="66DCDCB3">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4.3.2 矿山开拓运输单元</w:t>
      </w:r>
    </w:p>
    <w:p w14:paraId="28B954E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GB"/>
          <w14:textFill>
            <w14:solidFill>
              <w14:schemeClr w14:val="tx1"/>
            </w14:solidFill>
          </w14:textFill>
        </w:rPr>
        <w:t>）矿区道路边坡需加强支护并设置安全警示牌，山坡填方的弯道、坡度较大的填方地段以及高路基外侧应设置护栏或挡车墙，在下一步安全设施设计中应补充、完善。同时，矿山应建立道路安全管理制度，定期对运输设备进行检查维护。</w:t>
      </w:r>
    </w:p>
    <w:p w14:paraId="235D389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2</w:t>
      </w:r>
      <w:r>
        <w:rPr>
          <w:rFonts w:hint="default" w:ascii="Times New Roman" w:hAnsi="Times New Roman" w:eastAsia="宋体" w:cs="Times New Roman"/>
          <w:color w:val="000000" w:themeColor="text1"/>
          <w:sz w:val="28"/>
          <w:szCs w:val="28"/>
          <w:lang w:val="en-GB"/>
          <w14:textFill>
            <w14:solidFill>
              <w14:schemeClr w14:val="tx1"/>
            </w14:solidFill>
          </w14:textFill>
        </w:rPr>
        <w:t>）根据预选危险性分析，开拓运输环节存在众多危险有害因素，危害程度为Ⅱ～Ⅳ级，危害程度较高，在今后的矿山建设和矿山生产过程中，矿山应当从主观上高度重视矿山内外部视运输环节中的危害，</w:t>
      </w:r>
      <w:r>
        <w:rPr>
          <w:rFonts w:hint="default" w:ascii="Times New Roman" w:hAnsi="Times New Roman" w:eastAsia="宋体" w:cs="Times New Roman"/>
          <w:color w:val="000000" w:themeColor="text1"/>
          <w:sz w:val="28"/>
          <w:szCs w:val="28"/>
          <w14:textFill>
            <w14:solidFill>
              <w14:schemeClr w14:val="tx1"/>
            </w14:solidFill>
          </w14:textFill>
        </w:rPr>
        <w:t>在安全设施设计中要</w:t>
      </w:r>
      <w:r>
        <w:rPr>
          <w:rFonts w:hint="default" w:ascii="Times New Roman" w:hAnsi="Times New Roman" w:eastAsia="宋体" w:cs="Times New Roman"/>
          <w:color w:val="000000" w:themeColor="text1"/>
          <w:sz w:val="28"/>
          <w:szCs w:val="28"/>
          <w:lang w:val="en-GB"/>
          <w14:textFill>
            <w14:solidFill>
              <w14:schemeClr w14:val="tx1"/>
            </w14:solidFill>
          </w14:textFill>
        </w:rPr>
        <w:t>充分落实上述安全对策措施，确保矿山安全生产。</w:t>
      </w:r>
    </w:p>
    <w:p w14:paraId="2ED85B71">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4.3.3 采剥单元</w:t>
      </w:r>
    </w:p>
    <w:p w14:paraId="3E77EC87">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4.3.3.1 采场子单元</w:t>
      </w:r>
    </w:p>
    <w:p w14:paraId="5AA9E2E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（1）界外高陡边坡对矿山安全构成一定影响，可能发生滑坡、滚石等，对过往行人车辆构成威胁，应完善边坡截排水设施，定期进行巡查，发现浮石、开裂等隐患，及时处理。</w:t>
      </w:r>
    </w:p>
    <w:p w14:paraId="5C6052D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（2）采空区存在高陡边坡，在安全设施设计中应完善高陡边坡的处理方式和防护措施</w:t>
      </w: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矿山应严格落实边坡管理制度和监测实施方案，按要求委托有资质的单位进行边坡稳定性分析研究。</w:t>
      </w:r>
    </w:p>
    <w:p w14:paraId="5E63031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仙人洞破碎站位于爆破警戒范围内，爆破时，位于300m爆破警戒线以内的破碎站停止生产，工业场地内所有人员撤离至300m爆破警戒范围以外，并对房屋、设备设施做相应防护，确保生产安全。矿山将来生产中要加强矿区爆破警戒工作，以防止爆破安全事故发生。</w:t>
      </w:r>
    </w:p>
    <w:p w14:paraId="020A011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（4）矿区与西北面500kV黄太甲线及其电塔和西面500kV黄太乙线的距离不足500m，矿山拟采用爆破方式进行开采，应按照《云南省电力设施保护条例》的规定，严格按照安全防护方案进行生产活动。</w:t>
      </w:r>
    </w:p>
    <w:p w14:paraId="0E5CBB0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（5）</w:t>
      </w:r>
      <w:r>
        <w:rPr>
          <w:rFonts w:hint="default" w:ascii="Times New Roman" w:hAnsi="Times New Roman" w:eastAsia="宋体" w:cs="Times New Roman"/>
          <w:color w:val="000000" w:themeColor="text1"/>
          <w:sz w:val="28"/>
          <w:szCs w:val="28"/>
          <w:lang w:val="en-GB"/>
          <w14:textFill>
            <w14:solidFill>
              <w14:schemeClr w14:val="tx1"/>
            </w14:solidFill>
          </w14:textFill>
        </w:rPr>
        <w:t>设计应进一步完善采场应采取的安全措施，矿山在露天矿边界应设可靠的围栏或醒目的警示标志，防止无关人员误入。露天矿边界上2m范围内，可能危及人员安全的树木及其他植物、不稳固材料和岩石等，应予清除。露天矿边界上覆盖的松散岩土层厚度超过2m时，其倾角应小于自然安息角。</w:t>
      </w:r>
    </w:p>
    <w:p w14:paraId="2726E66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）作业人员在进行高处作业时，应按照要求佩戴安全帽、安全带等劳动防护用品，避免发生高处坠落事故。</w:t>
      </w:r>
    </w:p>
    <w:p w14:paraId="43B032F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7</w:t>
      </w:r>
      <w:r>
        <w:rPr>
          <w:rFonts w:hint="default" w:ascii="Times New Roman" w:hAnsi="Times New Roman" w:eastAsia="宋体" w:cs="Times New Roman"/>
          <w:color w:val="000000" w:themeColor="text1"/>
          <w:sz w:val="28"/>
          <w:szCs w:val="28"/>
          <w:lang w:val="en-GB"/>
          <w14:textFill>
            <w14:solidFill>
              <w14:schemeClr w14:val="tx1"/>
            </w14:solidFill>
          </w14:textFill>
        </w:rPr>
        <w:t>）矿山采矿后将形成一定的采空区，采空区应加强安全管理，采取相应安全措施，并设置相应的安全警示标志标语，以防人员误入发生事故。</w:t>
      </w:r>
    </w:p>
    <w:p w14:paraId="27101CF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）定期对采空区及采区进行检查，发现灾害隐患时及时采取相应的控制及治理措施。</w:t>
      </w:r>
    </w:p>
    <w:p w14:paraId="23459141">
      <w:pPr>
        <w:pStyle w:val="5"/>
        <w:pageBreakBefore w:val="0"/>
        <w:kinsoku/>
        <w:wordWrap/>
        <w:bidi w:val="0"/>
        <w:adjustRightInd w:val="0"/>
        <w:snapToGrid w:val="0"/>
        <w:spacing w:line="360" w:lineRule="auto"/>
        <w:ind w:firstLine="560"/>
        <w:rPr>
          <w:rFonts w:hint="default" w:ascii="Times New Roman" w:hAnsi="Times New Roman" w:cs="Times New Roman"/>
          <w:color w:val="000000" w:themeColor="text1"/>
          <w:lang w:val="en-GB"/>
          <w14:textFill>
            <w14:solidFill>
              <w14:schemeClr w14:val="tx1"/>
            </w14:solidFill>
          </w14:textFill>
        </w:rPr>
      </w:pPr>
      <w:r>
        <w:rPr>
          <w:rFonts w:hint="default" w:ascii="Times New Roman" w:hAnsi="Times New Roman" w:cs="Times New Roman"/>
          <w:color w:val="000000" w:themeColor="text1"/>
          <w:lang w:val="en-GB"/>
          <w14:textFill>
            <w14:solidFill>
              <w14:schemeClr w14:val="tx1"/>
            </w14:solidFill>
          </w14:textFill>
        </w:rPr>
        <w:t>4.3.3.</w:t>
      </w: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lang w:val="en-GB"/>
          <w14:textFill>
            <w14:solidFill>
              <w14:schemeClr w14:val="tx1"/>
            </w14:solidFill>
          </w14:textFill>
        </w:rPr>
        <w:t xml:space="preserve"> 铲装运输子单元</w:t>
      </w:r>
    </w:p>
    <w:p w14:paraId="4D2031D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（1）铲装设备在工作台阶上铲装作业时，应尽量避免靠近平台边缘，由于工作台阶边缘矿岩松散，有可能导致铲装设备坠落、倾翻。</w:t>
      </w:r>
    </w:p>
    <w:p w14:paraId="3B83DAE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（2）挖掘机汽笛或警报器应完好，进行各种操作时，均应发出警告信号。挖掘机作业时，悬臂和铲斗下面及工作面附近，不应有人停留。</w:t>
      </w:r>
    </w:p>
    <w:p w14:paraId="4DE6047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（3）对运输设备建立定期的检测和保养制度，以确保运输设备的安全可靠性，防止机械失灵造成安全事故；建立运输系统各岗位安全职责及安全操作规程安全管理制度。</w:t>
      </w:r>
    </w:p>
    <w:p w14:paraId="167667B3">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4.3.4 供水系统单元</w:t>
      </w:r>
    </w:p>
    <w:p w14:paraId="2F0765A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设计中对供水系统进行了简单说明，设计的矿山供水系统符合《金属非金属矿山安全规程》（GB16423-2020）的相关规定。</w:t>
      </w:r>
    </w:p>
    <w:p w14:paraId="11B18FB4">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4.3.5 防尘单元</w:t>
      </w:r>
    </w:p>
    <w:p w14:paraId="5973BB5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（1）安全设施设计应补充矿山配备的洒水设备。</w:t>
      </w:r>
    </w:p>
    <w:p w14:paraId="730DE3A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（2）矿山凿岩应湿式作业或在穿孔设备上配备干式捕尘装置。</w:t>
      </w:r>
    </w:p>
    <w:p w14:paraId="58A7C57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（3）完善破碎站的防尘措施。</w:t>
      </w:r>
    </w:p>
    <w:p w14:paraId="44DA4BE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（4）完善登记发放领取台账。</w:t>
      </w:r>
    </w:p>
    <w:p w14:paraId="5CFAFFEB">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4.3.6 矿山电气单元</w:t>
      </w:r>
    </w:p>
    <w:p w14:paraId="78ED771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8"/>
          <w:lang w:val="en-GB"/>
        </w:rPr>
      </w:pPr>
      <w:r>
        <w:rPr>
          <w:rFonts w:hint="default" w:ascii="Times New Roman" w:hAnsi="Times New Roman" w:eastAsia="宋体" w:cs="Times New Roman"/>
          <w:sz w:val="28"/>
          <w:szCs w:val="28"/>
          <w:lang w:val="en-GB"/>
        </w:rPr>
        <w:t>（1）根据《建筑物防雷设计规范》（GB50057-2010），矿区地表建构筑物属第三类防雷建筑物。建议矿区各类建构筑物按照国家标准、规程和规范的有关要求，设置防雷接地保护装置。并按建筑物的类别满足防雷等级的要求。防雷设施能够满足放直接雷、雷电侵入及感应雷的要求；</w:t>
      </w:r>
    </w:p>
    <w:p w14:paraId="45C68E21">
      <w:pPr>
        <w:pageBreakBefore w:val="0"/>
        <w:kinsoku/>
        <w:wordWrap/>
        <w:bidi w:val="0"/>
        <w:adjustRightInd w:val="0"/>
        <w:snapToGrid w:val="0"/>
        <w:spacing w:line="360" w:lineRule="auto"/>
        <w:ind w:firstLine="560" w:firstLineChars="200"/>
        <w:rPr>
          <w:rFonts w:hint="default" w:ascii="Times New Roman" w:hAnsi="Times New Roman" w:eastAsia="宋体" w:cs="Times New Roman"/>
          <w:lang w:val="en-GB"/>
        </w:rPr>
      </w:pPr>
      <w:r>
        <w:rPr>
          <w:rFonts w:hint="default" w:ascii="Times New Roman" w:hAnsi="Times New Roman" w:eastAsia="宋体" w:cs="Times New Roman"/>
          <w:sz w:val="28"/>
          <w:szCs w:val="28"/>
          <w:lang w:val="en-GB"/>
        </w:rPr>
        <w:t>（2）设计中未明确电缆型号规格等具体内容，下一步设计中应进行明确。</w:t>
      </w:r>
    </w:p>
    <w:p w14:paraId="37307F5E">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4.3.7 防排水与防灭火单元</w:t>
      </w:r>
    </w:p>
    <w:p w14:paraId="467367E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1、初步设计未对工业场地排水设施进行描述，下一步的安全设施设计中应对工业场地排水设施进一步完善。</w:t>
      </w:r>
    </w:p>
    <w:p w14:paraId="13AF1F5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2、完善</w:t>
      </w:r>
      <w:r>
        <w:rPr>
          <w:rFonts w:hint="default" w:ascii="Times New Roman" w:hAnsi="Times New Roman" w:eastAsia="宋体" w:cs="Times New Roman"/>
          <w:color w:val="000000" w:themeColor="text1"/>
          <w:sz w:val="28"/>
          <w:szCs w:val="28"/>
          <w:lang w:val="en-GB"/>
          <w14:textFill>
            <w14:solidFill>
              <w14:schemeClr w14:val="tx1"/>
            </w14:solidFill>
          </w14:textFill>
        </w:rPr>
        <w:t>重要采掘设备、</w:t>
      </w:r>
      <w:r>
        <w:rPr>
          <w:rFonts w:hint="default" w:ascii="Times New Roman" w:hAnsi="Times New Roman" w:eastAsia="宋体" w:cs="Times New Roman"/>
          <w:color w:val="000000" w:themeColor="text1"/>
          <w:sz w:val="28"/>
          <w:szCs w:val="28"/>
          <w14:textFill>
            <w14:solidFill>
              <w14:schemeClr w14:val="tx1"/>
            </w14:solidFill>
          </w14:textFill>
        </w:rPr>
        <w:t>配电室、生活办公区配备灭火器要求。</w:t>
      </w:r>
    </w:p>
    <w:p w14:paraId="485B0AA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3、汛期时应做好矿区的防汛工作，包括明确防汛安全生产责任制，建立紧急预案，详细检查排洪系统的安全状况，配备足够物资，确保通信、照明、道路、供电可靠和畅通等。</w:t>
      </w:r>
    </w:p>
    <w:p w14:paraId="0D2C8497">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4.3.8 安全管理单元</w:t>
      </w:r>
    </w:p>
    <w:p w14:paraId="533A6DA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bookmarkStart w:id="171" w:name="_Toc7729"/>
      <w:r>
        <w:rPr>
          <w:rFonts w:hint="default" w:ascii="Times New Roman" w:hAnsi="Times New Roman" w:eastAsia="宋体" w:cs="Times New Roman"/>
          <w:color w:val="000000" w:themeColor="text1"/>
          <w:sz w:val="28"/>
          <w:szCs w:val="28"/>
          <w14:textFill>
            <w14:solidFill>
              <w14:schemeClr w14:val="tx1"/>
            </w14:solidFill>
          </w14:textFill>
        </w:rPr>
        <w:t>（1）设计未明确该矿山的安全生产管理机构、安全生产责任制、安全管理制度、安全技术操作规程等安全管理内容，下一步安全设施设计应根据生产的发展及建设项目的具体情况，及时建立健全安全管理内容。</w:t>
      </w:r>
    </w:p>
    <w:p w14:paraId="3C5FDF9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（2）露天矿山必须设置安全管理职能机构，初步设计未明确，下一步安全设施设计中应补充设立。</w:t>
      </w:r>
      <w:r>
        <w:rPr>
          <w:rFonts w:hint="default" w:ascii="Times New Roman" w:hAnsi="Times New Roman" w:eastAsia="宋体" w:cs="Times New Roman"/>
          <w:sz w:val="28"/>
          <w:szCs w:val="28"/>
        </w:rPr>
        <w:t>企业必须依法设立安全管理机构或者配备专职安全生产管理人员，</w:t>
      </w:r>
      <w:r>
        <w:rPr>
          <w:rFonts w:hint="default" w:ascii="Times New Roman" w:hAnsi="Times New Roman" w:eastAsia="宋体" w:cs="Times New Roman"/>
          <w:color w:val="000000" w:themeColor="text1"/>
          <w:sz w:val="28"/>
          <w:szCs w:val="28"/>
          <w:lang w:val="en-GB"/>
          <w14:textFill>
            <w14:solidFill>
              <w14:schemeClr w14:val="tx1"/>
            </w14:solidFill>
          </w14:textFill>
        </w:rPr>
        <w:t>安全管理人员不少于2人，</w:t>
      </w:r>
      <w:r>
        <w:rPr>
          <w:rFonts w:hint="default" w:ascii="Times New Roman" w:hAnsi="Times New Roman" w:eastAsia="宋体" w:cs="Times New Roman"/>
          <w:sz w:val="28"/>
          <w:szCs w:val="28"/>
        </w:rPr>
        <w:t>应当有注册安全工程师从事安全生产管理工作。专职安全生产管理人员应当从事矿山工作5年及以上、具有相应的非煤矿山安全生产专业知识和工作经验并熟悉本矿生产系统，该矿山</w:t>
      </w:r>
      <w:r>
        <w:rPr>
          <w:rFonts w:hint="default" w:ascii="Times New Roman" w:hAnsi="Times New Roman" w:eastAsia="宋体" w:cs="Times New Roman"/>
          <w:color w:val="000000" w:themeColor="text1"/>
          <w:sz w:val="28"/>
          <w:szCs w:val="28"/>
          <w:lang w:val="en-GB"/>
          <w14:textFill>
            <w14:solidFill>
              <w14:schemeClr w14:val="tx1"/>
            </w14:solidFill>
          </w14:textFill>
        </w:rPr>
        <w:t>类型为非煤矿山露天矿山。</w:t>
      </w:r>
    </w:p>
    <w:p w14:paraId="1CBC501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3</w:t>
      </w:r>
      <w:r>
        <w:rPr>
          <w:rFonts w:hint="default" w:ascii="Times New Roman" w:hAnsi="Times New Roman" w:eastAsia="宋体" w:cs="Times New Roman"/>
          <w:color w:val="000000" w:themeColor="text1"/>
          <w:sz w:val="28"/>
          <w:szCs w:val="28"/>
          <w:lang w:val="en-GB"/>
          <w14:textFill>
            <w14:solidFill>
              <w14:schemeClr w14:val="tx1"/>
            </w14:solidFill>
          </w14:textFill>
        </w:rPr>
        <w:t>）建立安全生产管理机构，确定主要负责人和安全管理人员，并要参加当地应急管理部门组织的</w:t>
      </w:r>
      <w:r>
        <w:rPr>
          <w:rFonts w:hint="default" w:ascii="Times New Roman" w:hAnsi="Times New Roman" w:eastAsia="宋体" w:cs="Times New Roman"/>
          <w:color w:val="000000" w:themeColor="text1"/>
          <w:sz w:val="28"/>
          <w:szCs w:val="28"/>
          <w14:textFill>
            <w14:solidFill>
              <w14:schemeClr w14:val="tx1"/>
            </w14:solidFill>
          </w14:textFill>
        </w:rPr>
        <w:t>合格</w:t>
      </w:r>
      <w:r>
        <w:rPr>
          <w:rFonts w:hint="default" w:ascii="Times New Roman" w:hAnsi="Times New Roman" w:eastAsia="宋体" w:cs="Times New Roman"/>
          <w:color w:val="000000" w:themeColor="text1"/>
          <w:sz w:val="28"/>
          <w:szCs w:val="28"/>
          <w:lang w:val="en-GB"/>
          <w14:textFill>
            <w14:solidFill>
              <w14:schemeClr w14:val="tx1"/>
            </w14:solidFill>
          </w14:textFill>
        </w:rPr>
        <w:t>培训，取得相应安全合格证，特种作业人员也要取得特种作业资格证；</w:t>
      </w:r>
    </w:p>
    <w:p w14:paraId="2B13B98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）企业应</w:t>
      </w:r>
      <w:r>
        <w:rPr>
          <w:rFonts w:hint="default" w:ascii="Times New Roman" w:hAnsi="Times New Roman" w:cs="Times New Roman"/>
          <w:sz w:val="28"/>
          <w:szCs w:val="28"/>
        </w:rPr>
        <w:t>建立健全</w:t>
      </w:r>
      <w:r>
        <w:rPr>
          <w:rFonts w:hint="default" w:ascii="Times New Roman" w:hAnsi="Times New Roman" w:eastAsia="宋体" w:cs="Times New Roman"/>
          <w:color w:val="000000" w:themeColor="text1"/>
          <w:sz w:val="28"/>
          <w:szCs w:val="28"/>
          <w:lang w:val="en-GB"/>
          <w14:textFill>
            <w14:solidFill>
              <w14:schemeClr w14:val="tx1"/>
            </w14:solidFill>
          </w14:textFill>
        </w:rPr>
        <w:t>各安全责任制、安全管理制度、安全操作规程及相应的安全管理台账。</w:t>
      </w:r>
    </w:p>
    <w:p w14:paraId="66B4125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（5）企业应按导则要求规范编制应急预案、签订应急救援协议、进行应急预案演练。</w:t>
      </w:r>
    </w:p>
    <w:p w14:paraId="142897B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企业应当严格执行《生产经营单位安全培训规定》（原国家安全监管总局令第3号）、《特种作业人员安全技术培训考核管理规定》（原国家安全监管总局令第30号）等规章，强化从业人员安全素质和技能提升，不得安排未经安全生产培训合格的从业人员上岗。</w:t>
      </w:r>
    </w:p>
    <w:p w14:paraId="046654E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7</w:t>
      </w:r>
      <w:r>
        <w:rPr>
          <w:rFonts w:hint="default" w:ascii="Times New Roman" w:hAnsi="Times New Roman" w:eastAsia="宋体" w:cs="Times New Roman"/>
          <w:color w:val="000000" w:themeColor="text1"/>
          <w:sz w:val="28"/>
          <w:szCs w:val="28"/>
          <w:lang w:val="en-GB"/>
          <w14:textFill>
            <w14:solidFill>
              <w14:schemeClr w14:val="tx1"/>
            </w14:solidFill>
          </w14:textFill>
        </w:rPr>
        <w:t>）矿山未建立安全风险分级管控制度。应当建立安全风险分级管控制度，按照安全风险分级采取相应的管控措施。</w:t>
      </w:r>
    </w:p>
    <w:p w14:paraId="616028CF">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72" w:name="_Toc15909"/>
      <w:r>
        <w:rPr>
          <w:rFonts w:hint="default" w:ascii="Times New Roman" w:hAnsi="Times New Roman" w:cs="Times New Roman"/>
          <w:b/>
          <w:bCs w:val="0"/>
          <w:color w:val="000000" w:themeColor="text1"/>
          <w:lang w:val="en-GB"/>
          <w14:textFill>
            <w14:solidFill>
              <w14:schemeClr w14:val="tx1"/>
            </w14:solidFill>
          </w14:textFill>
        </w:rPr>
        <w:t>4.4 其他对策措施建议</w:t>
      </w:r>
      <w:bookmarkEnd w:id="171"/>
      <w:bookmarkEnd w:id="172"/>
    </w:p>
    <w:p w14:paraId="7F3AFD9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（1）矿山应委托有相应资质的设计单位编制安全设施设计，施工及监理单位应由有相应资质的单位承担。</w:t>
      </w:r>
    </w:p>
    <w:p w14:paraId="7F66C57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（2）按设计要求有计划、有序地进行开采，合理布置工业场地、设备设施，避免相互制约和影响，协调好各采剥作业面间的相互关系，确保作业安全。</w:t>
      </w:r>
    </w:p>
    <w:p w14:paraId="1DC39B9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根据边坡失稳的影响因素分析，结合料场现有资料反映的工程及水文地质特征，建议加强可能对边坡稳定性产生影响地质等方面的研究；在生产过程中应对边坡参数进行详细确定，对边坡加固和维护做进一步说明和提出预防和控制措施系统，并根据生产实际情况调整边坡参数，以减少边坡失稳的可能性；对可能发生的坍塌、滚石影响及作业面人员、设备的安全条件采取安全可靠的措施。</w:t>
      </w:r>
    </w:p>
    <w:p w14:paraId="78B2543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露天矿边界设置可靠的围栏和醒目的安全警示标志；建立边坡安全管理和检查制度，定期进行边坡检查，建立边坡检查记录；特别是暴雨后应加强巡视检查，发现隐患立即处理；发现边坡不稳定征兆，应及时停工，撤出设备，采取护坡、削坡等处理措施。</w:t>
      </w:r>
    </w:p>
    <w:p w14:paraId="1256BBE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（5）临近采场的设备、设施、线路等，设置位置和铺设线路应与采剥工作面的开采规划统筹协调、合理布局，有效预防和避免</w:t>
      </w:r>
      <w:r>
        <w:rPr>
          <w:rFonts w:hint="default" w:ascii="Times New Roman" w:hAnsi="Times New Roman" w:eastAsia="宋体" w:cs="Times New Roman"/>
          <w:color w:val="000000" w:themeColor="text1"/>
          <w:sz w:val="28"/>
          <w:szCs w:val="28"/>
          <w14:textFill>
            <w14:solidFill>
              <w14:schemeClr w14:val="tx1"/>
            </w14:solidFill>
          </w14:textFill>
        </w:rPr>
        <w:t>落石等伤害事故</w:t>
      </w:r>
      <w:r>
        <w:rPr>
          <w:rFonts w:hint="default" w:ascii="Times New Roman" w:hAnsi="Times New Roman" w:eastAsia="宋体" w:cs="Times New Roman"/>
          <w:color w:val="000000" w:themeColor="text1"/>
          <w:sz w:val="28"/>
          <w:szCs w:val="28"/>
          <w:lang w:val="en-GB"/>
          <w14:textFill>
            <w14:solidFill>
              <w14:schemeClr w14:val="tx1"/>
            </w14:solidFill>
          </w14:textFill>
        </w:rPr>
        <w:t>。</w:t>
      </w:r>
    </w:p>
    <w:p w14:paraId="75F6BF3B">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（6）车辆卸载点设置可靠车挡，雷雨天及凌冻期运输车辆应安装防滑链。</w:t>
      </w:r>
    </w:p>
    <w:p w14:paraId="38152E1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7）道路设置安全警示标牌。包括：限速、弯道、路口指示、停车指示等标志；沿道路外侧设立安全桩或安全墙；建立道路运输安全管理制度，对操作人员的行为进行规范，定期进行车辆维护保养确保车况良好。进行各种机械设备操作时，均应发出警告信号。夜间作业时，车下及前后的所有信号、照明灯应完好；雨雪天运输车辆应采取防滑措施（如防滑链等）。</w:t>
      </w:r>
    </w:p>
    <w:p w14:paraId="77296FA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）企业应划拨一定的安全管理资金，用于开展安全宣传活动，对从业人员进行安全教育和培训，特殊工种的培训取证，为从业人员配备劳保用品，购买工伤保险，以及完善安全设施、设备及治理安全隐患等。</w:t>
      </w:r>
    </w:p>
    <w:p w14:paraId="15C97EAD">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）作业人员在高于地面2m（含2m）以上高处作业，应系安全带并牢靠固定好；作业前，应对坡面危石、浮石、孤石进行清理。</w:t>
      </w:r>
    </w:p>
    <w:p w14:paraId="28E1FBE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w:t>
      </w:r>
      <w:r>
        <w:rPr>
          <w:rFonts w:hint="default" w:ascii="Times New Roman" w:hAnsi="Times New Roman" w:eastAsia="宋体" w:cs="Times New Roman"/>
          <w:color w:val="000000" w:themeColor="text1"/>
          <w:sz w:val="28"/>
          <w:szCs w:val="28"/>
          <w14:textFill>
            <w14:solidFill>
              <w14:schemeClr w14:val="tx1"/>
            </w14:solidFill>
          </w14:textFill>
        </w:rPr>
        <w:t>0</w:t>
      </w:r>
      <w:r>
        <w:rPr>
          <w:rFonts w:hint="default" w:ascii="Times New Roman" w:hAnsi="Times New Roman" w:eastAsia="宋体" w:cs="Times New Roman"/>
          <w:color w:val="000000" w:themeColor="text1"/>
          <w:sz w:val="28"/>
          <w:szCs w:val="28"/>
          <w:lang w:val="en-GB"/>
          <w14:textFill>
            <w14:solidFill>
              <w14:schemeClr w14:val="tx1"/>
            </w14:solidFill>
          </w14:textFill>
        </w:rPr>
        <w:t>）对员工进行操作技术培训和安全教育（安全教育中除包括思想、纪律、安全知识、消防器材使用、个体防护用品使用等内容外，还应包括事故紧急处理、抢救、报告方法的教育），既保证员工安全健康，又保证在紧急事故中能采取正确的处理方法，使事故损失降到最低。</w:t>
      </w:r>
    </w:p>
    <w:p w14:paraId="3B9CB41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GB"/>
          <w14:textFill>
            <w14:solidFill>
              <w14:schemeClr w14:val="tx1"/>
            </w14:solidFill>
          </w14:textFill>
        </w:rPr>
        <w:t>）根据国家有关规定，购买、发放具有产品合格证的劳动防护用品，建立防护品更换、报废制度，并保证职工能正确使用。</w:t>
      </w:r>
    </w:p>
    <w:p w14:paraId="4466670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w:t>
      </w:r>
      <w:r>
        <w:rPr>
          <w:rFonts w:hint="default" w:ascii="Times New Roman" w:hAnsi="Times New Roman" w:eastAsia="宋体" w:cs="Times New Roman"/>
          <w:color w:val="000000" w:themeColor="text1"/>
          <w:sz w:val="28"/>
          <w:szCs w:val="28"/>
          <w14:textFill>
            <w14:solidFill>
              <w14:schemeClr w14:val="tx1"/>
            </w14:solidFill>
          </w14:textFill>
        </w:rPr>
        <w:t>2</w:t>
      </w:r>
      <w:r>
        <w:rPr>
          <w:rFonts w:hint="default" w:ascii="Times New Roman" w:hAnsi="Times New Roman" w:eastAsia="宋体" w:cs="Times New Roman"/>
          <w:color w:val="000000" w:themeColor="text1"/>
          <w:sz w:val="28"/>
          <w:szCs w:val="28"/>
          <w:lang w:val="en-GB"/>
          <w14:textFill>
            <w14:solidFill>
              <w14:schemeClr w14:val="tx1"/>
            </w14:solidFill>
          </w14:textFill>
        </w:rPr>
        <w:t>）凡禁止跨越、禁止通行、禁止烟火的场所均应设置红色禁止标志；凡易发生坠落、触电伤人、机械伤害、主要交通道口等处均应设置黄色警告标志；所设各类安全标志应牢固、醒目、易于识别，真正起到应有警示作用。</w:t>
      </w:r>
    </w:p>
    <w:p w14:paraId="1AC3242C">
      <w:pPr>
        <w:pageBreakBefore w:val="0"/>
        <w:widowControl/>
        <w:kinsoku/>
        <w:wordWrap/>
        <w:bidi w:val="0"/>
        <w:adjustRightInd w:val="0"/>
        <w:snapToGrid w:val="0"/>
        <w:spacing w:line="360" w:lineRule="auto"/>
        <w:jc w:val="left"/>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lang w:val="en-GB"/>
          <w14:textFill>
            <w14:solidFill>
              <w14:schemeClr w14:val="tx1"/>
            </w14:solidFill>
          </w14:textFill>
        </w:rPr>
        <w:br w:type="page"/>
      </w:r>
    </w:p>
    <w:p w14:paraId="0F13127F">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173" w:name="_Toc3286"/>
      <w:bookmarkStart w:id="174" w:name="_Toc2543"/>
      <w:r>
        <w:rPr>
          <w:rFonts w:hint="default" w:ascii="Times New Roman" w:hAnsi="Times New Roman" w:cs="Times New Roman"/>
          <w:b/>
          <w:bCs w:val="0"/>
          <w:color w:val="000000" w:themeColor="text1"/>
          <w:lang w:val="en-GB"/>
          <w14:textFill>
            <w14:solidFill>
              <w14:schemeClr w14:val="tx1"/>
            </w14:solidFill>
          </w14:textFill>
        </w:rPr>
        <w:t>5.安全预评价结论</w:t>
      </w:r>
      <w:bookmarkEnd w:id="173"/>
      <w:bookmarkEnd w:id="174"/>
    </w:p>
    <w:p w14:paraId="27A907AF">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75" w:name="_Toc11062"/>
      <w:bookmarkStart w:id="176" w:name="_Toc13228"/>
      <w:r>
        <w:rPr>
          <w:rFonts w:hint="default" w:ascii="Times New Roman" w:hAnsi="Times New Roman" w:cs="Times New Roman"/>
          <w:b/>
          <w:bCs w:val="0"/>
          <w:color w:val="000000" w:themeColor="text1"/>
          <w:lang w:val="en-GB"/>
          <w14:textFill>
            <w14:solidFill>
              <w14:schemeClr w14:val="tx1"/>
            </w14:solidFill>
          </w14:textFill>
        </w:rPr>
        <w:t>5.1 主要危险、有害因素评价结果</w:t>
      </w:r>
      <w:bookmarkEnd w:id="175"/>
      <w:bookmarkEnd w:id="176"/>
    </w:p>
    <w:p w14:paraId="23886AB1">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5.1.1 该项目存在的主要危险、有害因素</w:t>
      </w:r>
    </w:p>
    <w:p w14:paraId="3AB72DD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该项目存在的主要危险、有害因素为：坍塌、滑坡、滚石、泥石流、</w:t>
      </w:r>
      <w:r>
        <w:rPr>
          <w:rFonts w:hint="default" w:ascii="Times New Roman" w:hAnsi="Times New Roman" w:eastAsia="宋体" w:cs="Times New Roman"/>
          <w:color w:val="000000" w:themeColor="text1"/>
          <w:sz w:val="28"/>
          <w:szCs w:val="28"/>
          <w14:textFill>
            <w14:solidFill>
              <w14:schemeClr w14:val="tx1"/>
            </w14:solidFill>
          </w14:textFill>
        </w:rPr>
        <w:t>爆破伤害、</w:t>
      </w:r>
      <w:r>
        <w:rPr>
          <w:rFonts w:hint="default" w:ascii="Times New Roman" w:hAnsi="Times New Roman" w:eastAsia="宋体" w:cs="Times New Roman"/>
          <w:color w:val="000000" w:themeColor="text1"/>
          <w:sz w:val="28"/>
          <w:szCs w:val="28"/>
          <w:lang w:val="en-GB"/>
          <w14:textFill>
            <w14:solidFill>
              <w14:schemeClr w14:val="tx1"/>
            </w14:solidFill>
          </w14:textFill>
        </w:rPr>
        <w:t>高处坠落、物体打击、机械伤害、车辆伤害、触电、火灾、</w:t>
      </w:r>
      <w:r>
        <w:rPr>
          <w:rFonts w:hint="default" w:ascii="Times New Roman" w:hAnsi="Times New Roman" w:eastAsia="宋体" w:cs="Times New Roman"/>
          <w:color w:val="000000" w:themeColor="text1"/>
          <w:sz w:val="28"/>
          <w:szCs w:val="28"/>
          <w14:textFill>
            <w14:solidFill>
              <w14:schemeClr w14:val="tx1"/>
            </w14:solidFill>
          </w14:textFill>
        </w:rPr>
        <w:t>淹溺、其他</w:t>
      </w:r>
      <w:r>
        <w:rPr>
          <w:rFonts w:hint="default" w:ascii="Times New Roman" w:hAnsi="Times New Roman" w:eastAsia="宋体" w:cs="Times New Roman"/>
          <w:color w:val="000000" w:themeColor="text1"/>
          <w:sz w:val="28"/>
          <w:szCs w:val="28"/>
          <w:lang w:val="en-GB"/>
          <w14:textFill>
            <w14:solidFill>
              <w14:schemeClr w14:val="tx1"/>
            </w14:solidFill>
          </w14:textFill>
        </w:rPr>
        <w:t>伤害等。</w:t>
      </w:r>
    </w:p>
    <w:p w14:paraId="03C563E2">
      <w:pPr>
        <w:pStyle w:val="4"/>
        <w:pageBreakBefore w:val="0"/>
        <w:kinsoku/>
        <w:wordWrap/>
        <w:bidi w:val="0"/>
        <w:adjustRightInd w:val="0"/>
        <w:snapToGrid w:val="0"/>
        <w:spacing w:line="360" w:lineRule="auto"/>
        <w:ind w:firstLine="560"/>
        <w:rPr>
          <w:rFonts w:hint="default" w:ascii="Times New Roman" w:hAnsi="Times New Roman" w:eastAsia="宋体" w:cs="Times New Roman"/>
          <w:b/>
          <w:bCs w:val="0"/>
          <w:color w:val="000000" w:themeColor="text1"/>
          <w:sz w:val="28"/>
          <w:lang w:val="en-GB"/>
          <w14:textFill>
            <w14:solidFill>
              <w14:schemeClr w14:val="tx1"/>
            </w14:solidFill>
          </w14:textFill>
        </w:rPr>
      </w:pPr>
      <w:r>
        <w:rPr>
          <w:rFonts w:hint="default" w:ascii="Times New Roman" w:hAnsi="Times New Roman" w:eastAsia="宋体" w:cs="Times New Roman"/>
          <w:b/>
          <w:bCs w:val="0"/>
          <w:color w:val="000000" w:themeColor="text1"/>
          <w:sz w:val="28"/>
          <w:lang w:val="en-GB"/>
          <w14:textFill>
            <w14:solidFill>
              <w14:schemeClr w14:val="tx1"/>
            </w14:solidFill>
          </w14:textFill>
        </w:rPr>
        <w:t>5.1.2 该项目存在的主要危险、有害因素存在的部位</w:t>
      </w:r>
    </w:p>
    <w:p w14:paraId="0AA13B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4"/>
          <w:szCs w:val="24"/>
          <w:lang w:val="en-GB"/>
          <w14:textFill>
            <w14:solidFill>
              <w14:schemeClr w14:val="tx1"/>
            </w14:solidFill>
          </w14:textFill>
        </w:rPr>
      </w:pPr>
      <w:r>
        <w:rPr>
          <w:rFonts w:hint="default" w:ascii="Times New Roman" w:hAnsi="Times New Roman" w:eastAsia="宋体" w:cs="Times New Roman"/>
          <w:b/>
          <w:color w:val="000000" w:themeColor="text1"/>
          <w:sz w:val="24"/>
          <w:szCs w:val="24"/>
          <w:lang w:val="en-GB"/>
          <w14:textFill>
            <w14:solidFill>
              <w14:schemeClr w14:val="tx1"/>
            </w14:solidFill>
          </w14:textFill>
        </w:rPr>
        <w:t>表5.1-1</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4"/>
          <w:szCs w:val="24"/>
          <w:lang w:val="en-GB"/>
          <w14:textFill>
            <w14:solidFill>
              <w14:schemeClr w14:val="tx1"/>
            </w14:solidFill>
          </w14:textFill>
        </w:rPr>
        <w:t xml:space="preserve"> 矿山主要存在的危险、有害因素分布表</w:t>
      </w:r>
    </w:p>
    <w:tbl>
      <w:tblPr>
        <w:tblStyle w:val="32"/>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538"/>
        <w:gridCol w:w="3161"/>
        <w:gridCol w:w="2733"/>
        <w:gridCol w:w="2353"/>
      </w:tblGrid>
      <w:tr w14:paraId="3C879B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8" w:type="pct"/>
            <w:tcBorders>
              <w:left w:val="single" w:color="auto" w:sz="4" w:space="0"/>
            </w:tcBorders>
            <w:vAlign w:val="center"/>
          </w:tcPr>
          <w:p w14:paraId="71F457E2">
            <w:pPr>
              <w:pageBreakBefore w:val="0"/>
              <w:kinsoku/>
              <w:wordWrap/>
              <w:bidi w:val="0"/>
              <w:adjustRightInd w:val="0"/>
              <w:snapToGrid w:val="0"/>
              <w:spacing w:line="360" w:lineRule="auto"/>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项目</w:t>
            </w:r>
          </w:p>
        </w:tc>
        <w:tc>
          <w:tcPr>
            <w:tcW w:w="286" w:type="pct"/>
            <w:vAlign w:val="center"/>
          </w:tcPr>
          <w:p w14:paraId="23C83F90">
            <w:pPr>
              <w:pageBreakBefore w:val="0"/>
              <w:kinsoku/>
              <w:wordWrap/>
              <w:bidi w:val="0"/>
              <w:adjustRightInd w:val="0"/>
              <w:snapToGrid w:val="0"/>
              <w:spacing w:line="360" w:lineRule="auto"/>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序号</w:t>
            </w:r>
          </w:p>
        </w:tc>
        <w:tc>
          <w:tcPr>
            <w:tcW w:w="1681" w:type="pct"/>
            <w:vAlign w:val="center"/>
          </w:tcPr>
          <w:p w14:paraId="4405DBAD">
            <w:pPr>
              <w:pageBreakBefore w:val="0"/>
              <w:kinsoku/>
              <w:wordWrap/>
              <w:bidi w:val="0"/>
              <w:adjustRightInd w:val="0"/>
              <w:snapToGrid w:val="0"/>
              <w:spacing w:line="360" w:lineRule="auto"/>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危险因素分类</w:t>
            </w:r>
          </w:p>
        </w:tc>
        <w:tc>
          <w:tcPr>
            <w:tcW w:w="1453" w:type="pct"/>
            <w:tcBorders>
              <w:right w:val="single" w:color="auto" w:sz="4" w:space="0"/>
            </w:tcBorders>
            <w:vAlign w:val="center"/>
          </w:tcPr>
          <w:p w14:paraId="1F134852">
            <w:pPr>
              <w:pageBreakBefore w:val="0"/>
              <w:kinsoku/>
              <w:wordWrap/>
              <w:bidi w:val="0"/>
              <w:adjustRightInd w:val="0"/>
              <w:snapToGrid w:val="0"/>
              <w:spacing w:line="360" w:lineRule="auto"/>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可能存在部位</w:t>
            </w:r>
          </w:p>
        </w:tc>
        <w:tc>
          <w:tcPr>
            <w:tcW w:w="1251" w:type="pct"/>
            <w:tcBorders>
              <w:right w:val="single" w:color="auto" w:sz="4" w:space="0"/>
            </w:tcBorders>
            <w:vAlign w:val="center"/>
          </w:tcPr>
          <w:p w14:paraId="52AF82D6">
            <w:pPr>
              <w:pageBreakBefore w:val="0"/>
              <w:kinsoku/>
              <w:wordWrap/>
              <w:bidi w:val="0"/>
              <w:adjustRightInd w:val="0"/>
              <w:snapToGrid w:val="0"/>
              <w:spacing w:line="360" w:lineRule="auto"/>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可能造成的后果</w:t>
            </w:r>
          </w:p>
        </w:tc>
      </w:tr>
      <w:tr w14:paraId="3AF935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28" w:type="pct"/>
            <w:vMerge w:val="restart"/>
            <w:tcBorders>
              <w:left w:val="single" w:color="auto" w:sz="4" w:space="0"/>
            </w:tcBorders>
            <w:vAlign w:val="center"/>
          </w:tcPr>
          <w:p w14:paraId="1F8C7F1C">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危险因素</w:t>
            </w:r>
          </w:p>
        </w:tc>
        <w:tc>
          <w:tcPr>
            <w:tcW w:w="286" w:type="pct"/>
            <w:vAlign w:val="center"/>
          </w:tcPr>
          <w:p w14:paraId="29FB03CF">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1681" w:type="pct"/>
            <w:vAlign w:val="center"/>
          </w:tcPr>
          <w:p w14:paraId="2ED7C5C8">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滚石、边坡失稳、滑坡、泥石流</w:t>
            </w:r>
          </w:p>
        </w:tc>
        <w:tc>
          <w:tcPr>
            <w:tcW w:w="1453" w:type="pct"/>
            <w:tcBorders>
              <w:right w:val="single" w:color="auto" w:sz="4" w:space="0"/>
            </w:tcBorders>
            <w:vAlign w:val="center"/>
          </w:tcPr>
          <w:p w14:paraId="76F689CB">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采场边坡</w:t>
            </w:r>
          </w:p>
        </w:tc>
        <w:tc>
          <w:tcPr>
            <w:tcW w:w="1251" w:type="pct"/>
            <w:tcBorders>
              <w:right w:val="single" w:color="auto" w:sz="4" w:space="0"/>
            </w:tcBorders>
            <w:vAlign w:val="center"/>
          </w:tcPr>
          <w:p w14:paraId="5EFB13E9">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464C70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28" w:type="pct"/>
            <w:vMerge w:val="continue"/>
            <w:tcBorders>
              <w:left w:val="single" w:color="auto" w:sz="4" w:space="0"/>
            </w:tcBorders>
            <w:vAlign w:val="center"/>
          </w:tcPr>
          <w:p w14:paraId="0A405657">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BBBAAE3">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1681" w:type="pct"/>
            <w:vAlign w:val="center"/>
          </w:tcPr>
          <w:p w14:paraId="55B5B7C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爆破伤害</w:t>
            </w:r>
          </w:p>
        </w:tc>
        <w:tc>
          <w:tcPr>
            <w:tcW w:w="1453" w:type="pct"/>
            <w:tcBorders>
              <w:right w:val="single" w:color="auto" w:sz="4" w:space="0"/>
            </w:tcBorders>
            <w:vAlign w:val="center"/>
          </w:tcPr>
          <w:p w14:paraId="4C78F83C">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爆破器材运输、使用、销毁过程、采场穿孔爆破作业</w:t>
            </w:r>
          </w:p>
        </w:tc>
        <w:tc>
          <w:tcPr>
            <w:tcW w:w="1251" w:type="pct"/>
            <w:tcBorders>
              <w:right w:val="single" w:color="auto" w:sz="4" w:space="0"/>
            </w:tcBorders>
            <w:vAlign w:val="center"/>
          </w:tcPr>
          <w:p w14:paraId="7DFBB60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人员伤亡、设备损失</w:t>
            </w:r>
          </w:p>
        </w:tc>
      </w:tr>
      <w:tr w14:paraId="42A7A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328" w:type="pct"/>
            <w:vMerge w:val="continue"/>
            <w:tcBorders>
              <w:left w:val="single" w:color="auto" w:sz="4" w:space="0"/>
            </w:tcBorders>
            <w:vAlign w:val="center"/>
          </w:tcPr>
          <w:p w14:paraId="3707836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2693863">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1681" w:type="pct"/>
            <w:vAlign w:val="center"/>
          </w:tcPr>
          <w:p w14:paraId="2757E1A9">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物体打击</w:t>
            </w:r>
          </w:p>
        </w:tc>
        <w:tc>
          <w:tcPr>
            <w:tcW w:w="1453" w:type="pct"/>
            <w:tcBorders>
              <w:right w:val="single" w:color="auto" w:sz="4" w:space="0"/>
            </w:tcBorders>
            <w:vAlign w:val="center"/>
          </w:tcPr>
          <w:p w14:paraId="0ED94C16">
            <w:pPr>
              <w:pStyle w:val="11"/>
              <w:pageBreakBefore w:val="0"/>
              <w:kinsoku/>
              <w:wordWrap/>
              <w:bidi w:val="0"/>
              <w:adjustRightInd w:val="0"/>
              <w:snapToGrid w:val="0"/>
              <w:spacing w:line="36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采场矿废石搬运、铲装作业工作面等</w:t>
            </w:r>
          </w:p>
        </w:tc>
        <w:tc>
          <w:tcPr>
            <w:tcW w:w="1251" w:type="pct"/>
            <w:tcBorders>
              <w:right w:val="single" w:color="auto" w:sz="4" w:space="0"/>
            </w:tcBorders>
            <w:vAlign w:val="center"/>
          </w:tcPr>
          <w:p w14:paraId="3E9D04F5">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3A512C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665F8AFB">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2218B25">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1681" w:type="pct"/>
            <w:vAlign w:val="center"/>
          </w:tcPr>
          <w:p w14:paraId="1586AD7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高处坠落</w:t>
            </w:r>
          </w:p>
        </w:tc>
        <w:tc>
          <w:tcPr>
            <w:tcW w:w="1453" w:type="pct"/>
            <w:tcBorders>
              <w:right w:val="single" w:color="auto" w:sz="4" w:space="0"/>
            </w:tcBorders>
            <w:vAlign w:val="center"/>
          </w:tcPr>
          <w:p w14:paraId="38967BF7">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采场边坡工艺过程中2m及以上的作业平台等</w:t>
            </w:r>
          </w:p>
        </w:tc>
        <w:tc>
          <w:tcPr>
            <w:tcW w:w="1251" w:type="pct"/>
            <w:tcBorders>
              <w:right w:val="single" w:color="auto" w:sz="4" w:space="0"/>
            </w:tcBorders>
            <w:vAlign w:val="center"/>
          </w:tcPr>
          <w:p w14:paraId="1FAE2543">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30532B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A75CE41">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2268EAB3">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1681" w:type="pct"/>
            <w:vAlign w:val="center"/>
          </w:tcPr>
          <w:p w14:paraId="1C8FFEAB">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车辆伤害</w:t>
            </w:r>
          </w:p>
        </w:tc>
        <w:tc>
          <w:tcPr>
            <w:tcW w:w="1453" w:type="pct"/>
            <w:tcBorders>
              <w:right w:val="single" w:color="auto" w:sz="4" w:space="0"/>
            </w:tcBorders>
            <w:vAlign w:val="center"/>
          </w:tcPr>
          <w:p w14:paraId="6586BF19">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运输过程中的各种车辆设备</w:t>
            </w:r>
          </w:p>
        </w:tc>
        <w:tc>
          <w:tcPr>
            <w:tcW w:w="1251" w:type="pct"/>
            <w:tcBorders>
              <w:right w:val="single" w:color="auto" w:sz="4" w:space="0"/>
            </w:tcBorders>
            <w:vAlign w:val="center"/>
          </w:tcPr>
          <w:p w14:paraId="36787081">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2E8780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57893DD7">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242F0580">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1681" w:type="pct"/>
            <w:vAlign w:val="center"/>
          </w:tcPr>
          <w:p w14:paraId="3038665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机械伤害</w:t>
            </w:r>
          </w:p>
        </w:tc>
        <w:tc>
          <w:tcPr>
            <w:tcW w:w="1453" w:type="pct"/>
            <w:tcBorders>
              <w:right w:val="single" w:color="auto" w:sz="4" w:space="0"/>
            </w:tcBorders>
            <w:vAlign w:val="center"/>
          </w:tcPr>
          <w:p w14:paraId="57DC6EFE">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各种设备引起的机械事故</w:t>
            </w:r>
          </w:p>
        </w:tc>
        <w:tc>
          <w:tcPr>
            <w:tcW w:w="1251" w:type="pct"/>
            <w:tcBorders>
              <w:right w:val="single" w:color="auto" w:sz="4" w:space="0"/>
            </w:tcBorders>
            <w:vAlign w:val="center"/>
          </w:tcPr>
          <w:p w14:paraId="758C83CB">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人员伤亡、设备损失</w:t>
            </w:r>
          </w:p>
        </w:tc>
      </w:tr>
      <w:tr w14:paraId="213FAE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A4F58A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8D0F8F6">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1681" w:type="pct"/>
            <w:vAlign w:val="center"/>
          </w:tcPr>
          <w:p w14:paraId="6140E47A">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火灾、爆炸</w:t>
            </w:r>
          </w:p>
        </w:tc>
        <w:tc>
          <w:tcPr>
            <w:tcW w:w="1453" w:type="pct"/>
            <w:tcBorders>
              <w:right w:val="single" w:color="auto" w:sz="4" w:space="0"/>
            </w:tcBorders>
            <w:vAlign w:val="center"/>
          </w:tcPr>
          <w:p w14:paraId="5D034D90">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机械设备及电气设备、线路、柴油储存区</w:t>
            </w:r>
          </w:p>
        </w:tc>
        <w:tc>
          <w:tcPr>
            <w:tcW w:w="1251" w:type="pct"/>
            <w:tcBorders>
              <w:right w:val="single" w:color="auto" w:sz="4" w:space="0"/>
            </w:tcBorders>
            <w:vAlign w:val="center"/>
          </w:tcPr>
          <w:p w14:paraId="7124D16F">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人员伤亡、设备损失</w:t>
            </w:r>
          </w:p>
        </w:tc>
      </w:tr>
      <w:tr w14:paraId="61FC56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EC1BC82">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5C20870C">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1681" w:type="pct"/>
            <w:vAlign w:val="center"/>
          </w:tcPr>
          <w:p w14:paraId="2A688CF7">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触电、雷电</w:t>
            </w:r>
          </w:p>
        </w:tc>
        <w:tc>
          <w:tcPr>
            <w:tcW w:w="1453" w:type="pct"/>
            <w:tcBorders>
              <w:right w:val="single" w:color="auto" w:sz="4" w:space="0"/>
            </w:tcBorders>
            <w:vAlign w:val="center"/>
          </w:tcPr>
          <w:p w14:paraId="081CEC9A">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各种电气设备及其线路</w:t>
            </w:r>
          </w:p>
        </w:tc>
        <w:tc>
          <w:tcPr>
            <w:tcW w:w="1251" w:type="pct"/>
            <w:tcBorders>
              <w:right w:val="single" w:color="auto" w:sz="4" w:space="0"/>
            </w:tcBorders>
            <w:vAlign w:val="center"/>
          </w:tcPr>
          <w:p w14:paraId="4B0BF1F8">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人员伤亡、设备损坏</w:t>
            </w:r>
          </w:p>
        </w:tc>
      </w:tr>
      <w:tr w14:paraId="57B94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6DA48E3E">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58AC96CD">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1681" w:type="pct"/>
            <w:vAlign w:val="center"/>
          </w:tcPr>
          <w:p w14:paraId="51319CD4">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淹溺</w:t>
            </w:r>
          </w:p>
        </w:tc>
        <w:tc>
          <w:tcPr>
            <w:tcW w:w="1453" w:type="pct"/>
            <w:tcBorders>
              <w:right w:val="single" w:color="auto" w:sz="4" w:space="0"/>
            </w:tcBorders>
            <w:vAlign w:val="center"/>
          </w:tcPr>
          <w:p w14:paraId="4ACB74B8">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高位水池等</w:t>
            </w:r>
          </w:p>
        </w:tc>
        <w:tc>
          <w:tcPr>
            <w:tcW w:w="1251" w:type="pct"/>
            <w:tcBorders>
              <w:right w:val="single" w:color="auto" w:sz="4" w:space="0"/>
            </w:tcBorders>
            <w:vAlign w:val="center"/>
          </w:tcPr>
          <w:p w14:paraId="382D25B1">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7D82C8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53E6CF91">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0324EB4C">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3218" w:type="dxa"/>
            <w:vAlign w:val="center"/>
          </w:tcPr>
          <w:p w14:paraId="32BA2E9B">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粉尘</w:t>
            </w:r>
          </w:p>
        </w:tc>
        <w:tc>
          <w:tcPr>
            <w:tcW w:w="2782" w:type="dxa"/>
            <w:tcBorders>
              <w:right w:val="single" w:color="auto" w:sz="4" w:space="0"/>
            </w:tcBorders>
            <w:vAlign w:val="center"/>
          </w:tcPr>
          <w:p w14:paraId="32EBD19C">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采场铲装、凿岩工作面、矿岩转运作业</w:t>
            </w:r>
          </w:p>
        </w:tc>
        <w:tc>
          <w:tcPr>
            <w:tcW w:w="2395" w:type="dxa"/>
            <w:tcBorders>
              <w:right w:val="single" w:color="auto" w:sz="4" w:space="0"/>
            </w:tcBorders>
            <w:vAlign w:val="center"/>
          </w:tcPr>
          <w:p w14:paraId="6F4A9B4A">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慢性伤害、职业病</w:t>
            </w:r>
          </w:p>
        </w:tc>
      </w:tr>
      <w:tr w14:paraId="06FEF4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45EC11ED">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7256F534">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3218" w:type="dxa"/>
            <w:vAlign w:val="center"/>
          </w:tcPr>
          <w:p w14:paraId="7CA95F62">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噪声</w:t>
            </w:r>
          </w:p>
        </w:tc>
        <w:tc>
          <w:tcPr>
            <w:tcW w:w="2782" w:type="dxa"/>
            <w:tcBorders>
              <w:right w:val="single" w:color="auto" w:sz="4" w:space="0"/>
            </w:tcBorders>
            <w:vAlign w:val="center"/>
          </w:tcPr>
          <w:p w14:paraId="6FCAE810">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挖掘机、穿孔凿岩等设备</w:t>
            </w:r>
          </w:p>
        </w:tc>
        <w:tc>
          <w:tcPr>
            <w:tcW w:w="2395" w:type="dxa"/>
            <w:tcBorders>
              <w:right w:val="single" w:color="auto" w:sz="4" w:space="0"/>
            </w:tcBorders>
            <w:vAlign w:val="center"/>
          </w:tcPr>
          <w:p w14:paraId="51210119">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慢性伤害、职业病</w:t>
            </w:r>
          </w:p>
        </w:tc>
      </w:tr>
      <w:tr w14:paraId="764219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BEDFFE3">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2F6B957C">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3218" w:type="dxa"/>
            <w:vAlign w:val="center"/>
          </w:tcPr>
          <w:p w14:paraId="7331CB4F">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高温</w:t>
            </w:r>
          </w:p>
        </w:tc>
        <w:tc>
          <w:tcPr>
            <w:tcW w:w="2782" w:type="dxa"/>
            <w:tcBorders>
              <w:right w:val="single" w:color="auto" w:sz="4" w:space="0"/>
            </w:tcBorders>
            <w:vAlign w:val="center"/>
          </w:tcPr>
          <w:p w14:paraId="70DD0D44">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露天作业</w:t>
            </w:r>
          </w:p>
        </w:tc>
        <w:tc>
          <w:tcPr>
            <w:tcW w:w="2395" w:type="dxa"/>
            <w:tcBorders>
              <w:right w:val="single" w:color="auto" w:sz="4" w:space="0"/>
            </w:tcBorders>
            <w:vAlign w:val="center"/>
          </w:tcPr>
          <w:p w14:paraId="40BCF4FF">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中暑等</w:t>
            </w:r>
          </w:p>
        </w:tc>
      </w:tr>
      <w:tr w14:paraId="3960AE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1FADD514">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7A19BF7">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w:t>
            </w:r>
          </w:p>
        </w:tc>
        <w:tc>
          <w:tcPr>
            <w:tcW w:w="1681" w:type="pct"/>
            <w:vAlign w:val="center"/>
          </w:tcPr>
          <w:p w14:paraId="14EA2DEF">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其他伤害</w:t>
            </w:r>
          </w:p>
        </w:tc>
        <w:tc>
          <w:tcPr>
            <w:tcW w:w="1453" w:type="pct"/>
            <w:tcBorders>
              <w:right w:val="single" w:color="auto" w:sz="4" w:space="0"/>
            </w:tcBorders>
            <w:vAlign w:val="center"/>
          </w:tcPr>
          <w:p w14:paraId="77C8BA2F">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整个矿山</w:t>
            </w:r>
          </w:p>
        </w:tc>
        <w:tc>
          <w:tcPr>
            <w:tcW w:w="1251" w:type="pct"/>
            <w:tcBorders>
              <w:right w:val="single" w:color="auto" w:sz="4" w:space="0"/>
            </w:tcBorders>
            <w:vAlign w:val="center"/>
          </w:tcPr>
          <w:p w14:paraId="1D1DFECC">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人员伤亡</w:t>
            </w:r>
          </w:p>
        </w:tc>
      </w:tr>
      <w:tr w14:paraId="7BC9C5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0BB4DBE">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E5C0E56">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1681" w:type="pct"/>
            <w:vAlign w:val="center"/>
          </w:tcPr>
          <w:p w14:paraId="1AB9EA2D">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未建立安全生产责任制、安全管理制度及操作规程，或者不健全</w:t>
            </w:r>
          </w:p>
        </w:tc>
        <w:tc>
          <w:tcPr>
            <w:tcW w:w="2782" w:type="dxa"/>
            <w:vMerge w:val="restart"/>
            <w:tcBorders>
              <w:right w:val="single" w:color="auto" w:sz="4" w:space="0"/>
            </w:tcBorders>
            <w:vAlign w:val="center"/>
          </w:tcPr>
          <w:p w14:paraId="050AF05D">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安全管理过程中，安全生产命令执行过程中</w:t>
            </w:r>
          </w:p>
        </w:tc>
        <w:tc>
          <w:tcPr>
            <w:tcW w:w="2395" w:type="dxa"/>
            <w:vMerge w:val="restart"/>
            <w:tcBorders>
              <w:right w:val="single" w:color="auto" w:sz="4" w:space="0"/>
            </w:tcBorders>
            <w:vAlign w:val="center"/>
          </w:tcPr>
          <w:p w14:paraId="0F2729E7">
            <w:pPr>
              <w:pageBreakBefore w:val="0"/>
              <w:kinsoku/>
              <w:wordWrap/>
              <w:bidi w:val="0"/>
              <w:adjustRightInd w:val="0"/>
              <w:snapToGrid w:val="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szCs w:val="21"/>
              </w:rPr>
              <w:t>人员伤亡</w:t>
            </w:r>
          </w:p>
        </w:tc>
      </w:tr>
      <w:tr w14:paraId="05FD6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1E27A04B">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5F7CE47">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w:t>
            </w:r>
          </w:p>
        </w:tc>
        <w:tc>
          <w:tcPr>
            <w:tcW w:w="1681" w:type="pct"/>
            <w:vAlign w:val="center"/>
          </w:tcPr>
          <w:p w14:paraId="680EFEF3">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特种作业人员未取证上岗</w:t>
            </w:r>
          </w:p>
        </w:tc>
        <w:tc>
          <w:tcPr>
            <w:tcW w:w="1453" w:type="pct"/>
            <w:vMerge w:val="continue"/>
            <w:tcBorders>
              <w:right w:val="single" w:color="auto" w:sz="4" w:space="0"/>
            </w:tcBorders>
            <w:vAlign w:val="center"/>
          </w:tcPr>
          <w:p w14:paraId="04EF0586">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7B42B372">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r>
      <w:tr w14:paraId="470F8C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8" w:type="pct"/>
            <w:vMerge w:val="continue"/>
            <w:tcBorders>
              <w:left w:val="single" w:color="auto" w:sz="4" w:space="0"/>
            </w:tcBorders>
            <w:vAlign w:val="center"/>
          </w:tcPr>
          <w:p w14:paraId="26DACB03">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7C2D104">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1681" w:type="pct"/>
            <w:vAlign w:val="center"/>
          </w:tcPr>
          <w:p w14:paraId="6EDD68CC">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职业安全健康管理不完善</w:t>
            </w:r>
          </w:p>
        </w:tc>
        <w:tc>
          <w:tcPr>
            <w:tcW w:w="1453" w:type="pct"/>
            <w:vMerge w:val="continue"/>
            <w:tcBorders>
              <w:right w:val="single" w:color="auto" w:sz="4" w:space="0"/>
            </w:tcBorders>
            <w:vAlign w:val="center"/>
          </w:tcPr>
          <w:p w14:paraId="1EE2066D">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25D5BF14">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r>
      <w:tr w14:paraId="48ACC2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28" w:type="pct"/>
            <w:vMerge w:val="continue"/>
            <w:tcBorders>
              <w:left w:val="single" w:color="auto" w:sz="4" w:space="0"/>
            </w:tcBorders>
            <w:vAlign w:val="center"/>
          </w:tcPr>
          <w:p w14:paraId="77DFC120">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380D7EA5">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w:t>
            </w:r>
          </w:p>
        </w:tc>
        <w:tc>
          <w:tcPr>
            <w:tcW w:w="1681" w:type="pct"/>
            <w:vAlign w:val="center"/>
          </w:tcPr>
          <w:p w14:paraId="6D0FEF7F">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职业安全健康投入不足</w:t>
            </w:r>
          </w:p>
        </w:tc>
        <w:tc>
          <w:tcPr>
            <w:tcW w:w="1453" w:type="pct"/>
            <w:vMerge w:val="continue"/>
            <w:tcBorders>
              <w:right w:val="single" w:color="auto" w:sz="4" w:space="0"/>
            </w:tcBorders>
            <w:vAlign w:val="center"/>
          </w:tcPr>
          <w:p w14:paraId="7E9DC8F9">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40CA7470">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r>
      <w:tr w14:paraId="14ED2F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8" w:type="pct"/>
            <w:vMerge w:val="continue"/>
            <w:tcBorders>
              <w:left w:val="single" w:color="auto" w:sz="4" w:space="0"/>
            </w:tcBorders>
            <w:vAlign w:val="center"/>
          </w:tcPr>
          <w:p w14:paraId="7335C0B3">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31B4538E">
            <w:pPr>
              <w:pageBreakBefore w:val="0"/>
              <w:kinsoku/>
              <w:wordWrap/>
              <w:bidi w:val="0"/>
              <w:adjustRightInd w:val="0"/>
              <w:snapToGrid w:val="0"/>
              <w:spacing w:line="360" w:lineRule="auto"/>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18</w:t>
            </w:r>
          </w:p>
        </w:tc>
        <w:tc>
          <w:tcPr>
            <w:tcW w:w="1681" w:type="pct"/>
            <w:vAlign w:val="center"/>
          </w:tcPr>
          <w:p w14:paraId="67F0D550">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违章指挥、违章操作</w:t>
            </w:r>
          </w:p>
        </w:tc>
        <w:tc>
          <w:tcPr>
            <w:tcW w:w="1453" w:type="pct"/>
            <w:vMerge w:val="continue"/>
            <w:tcBorders>
              <w:right w:val="single" w:color="auto" w:sz="4" w:space="0"/>
            </w:tcBorders>
            <w:vAlign w:val="center"/>
          </w:tcPr>
          <w:p w14:paraId="6F92BA30">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21138938">
            <w:pPr>
              <w:pageBreakBefore w:val="0"/>
              <w:kinsoku/>
              <w:wordWrap/>
              <w:bidi w:val="0"/>
              <w:adjustRightInd w:val="0"/>
              <w:snapToGrid w:val="0"/>
              <w:spacing w:line="360" w:lineRule="auto"/>
              <w:rPr>
                <w:rFonts w:hint="default" w:ascii="Times New Roman" w:hAnsi="Times New Roman" w:eastAsia="宋体" w:cs="Times New Roman"/>
                <w:color w:val="000000" w:themeColor="text1"/>
                <w:szCs w:val="21"/>
                <w14:textFill>
                  <w14:solidFill>
                    <w14:schemeClr w14:val="tx1"/>
                  </w14:solidFill>
                </w14:textFill>
              </w:rPr>
            </w:pPr>
          </w:p>
        </w:tc>
      </w:tr>
    </w:tbl>
    <w:p w14:paraId="4D6A3002">
      <w:pPr>
        <w:pStyle w:val="3"/>
        <w:pageBreakBefore w:val="0"/>
        <w:kinsoku/>
        <w:wordWrap/>
        <w:bidi w:val="0"/>
        <w:adjustRightInd w:val="0"/>
        <w:snapToGrid w:val="0"/>
        <w:spacing w:before="312" w:beforeLines="100"/>
        <w:rPr>
          <w:rFonts w:hint="default" w:ascii="Times New Roman" w:hAnsi="Times New Roman" w:cs="Times New Roman"/>
          <w:b/>
          <w:bCs w:val="0"/>
          <w:color w:val="000000" w:themeColor="text1"/>
          <w:lang w:val="en-GB"/>
          <w14:textFill>
            <w14:solidFill>
              <w14:schemeClr w14:val="tx1"/>
            </w14:solidFill>
          </w14:textFill>
        </w:rPr>
      </w:pPr>
      <w:bookmarkStart w:id="177" w:name="_Toc6043"/>
      <w:bookmarkStart w:id="178" w:name="_Toc15126"/>
      <w:r>
        <w:rPr>
          <w:rFonts w:hint="default" w:ascii="Times New Roman" w:hAnsi="Times New Roman" w:cs="Times New Roman"/>
          <w:b/>
          <w:bCs w:val="0"/>
          <w:color w:val="000000" w:themeColor="text1"/>
          <w:lang w:val="en-GB"/>
          <w14:textFill>
            <w14:solidFill>
              <w14:schemeClr w14:val="tx1"/>
            </w14:solidFill>
          </w14:textFill>
        </w:rPr>
        <w:t>5.2 该项目应重点防范的危险、有害因素</w:t>
      </w:r>
      <w:bookmarkEnd w:id="177"/>
      <w:bookmarkEnd w:id="178"/>
    </w:p>
    <w:p w14:paraId="5F33763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该项目应重点防范的危险、有害因素：边坡失稳（滑坡）、</w:t>
      </w:r>
      <w:r>
        <w:rPr>
          <w:rFonts w:hint="default" w:ascii="Times New Roman" w:hAnsi="Times New Roman" w:eastAsia="宋体" w:cs="Times New Roman"/>
          <w:color w:val="000000" w:themeColor="text1"/>
          <w:sz w:val="28"/>
          <w:szCs w:val="28"/>
          <w14:textFill>
            <w14:solidFill>
              <w14:schemeClr w14:val="tx1"/>
            </w14:solidFill>
          </w14:textFill>
        </w:rPr>
        <w:t>爆破伤害、</w:t>
      </w:r>
      <w:r>
        <w:rPr>
          <w:rFonts w:hint="default" w:ascii="Times New Roman" w:hAnsi="Times New Roman" w:eastAsia="宋体" w:cs="Times New Roman"/>
          <w:color w:val="000000" w:themeColor="text1"/>
          <w:sz w:val="28"/>
          <w:szCs w:val="28"/>
          <w:lang w:val="en-GB"/>
          <w14:textFill>
            <w14:solidFill>
              <w14:schemeClr w14:val="tx1"/>
            </w14:solidFill>
          </w14:textFill>
        </w:rPr>
        <w:t>高处坠落、机械伤害、车辆伤害、触电</w:t>
      </w:r>
      <w:r>
        <w:rPr>
          <w:rFonts w:hint="default" w:ascii="Times New Roman" w:hAnsi="Times New Roman" w:eastAsia="宋体" w:cs="Times New Roman"/>
          <w:color w:val="000000" w:themeColor="text1"/>
          <w:sz w:val="28"/>
          <w:szCs w:val="28"/>
          <w14:textFill>
            <w14:solidFill>
              <w14:schemeClr w14:val="tx1"/>
            </w14:solidFill>
          </w14:textFill>
        </w:rPr>
        <w:t>等</w:t>
      </w:r>
      <w:r>
        <w:rPr>
          <w:rFonts w:hint="default" w:ascii="Times New Roman" w:hAnsi="Times New Roman" w:eastAsia="宋体" w:cs="Times New Roman"/>
          <w:color w:val="000000" w:themeColor="text1"/>
          <w:sz w:val="28"/>
          <w:szCs w:val="28"/>
          <w:lang w:val="en-GB"/>
          <w14:textFill>
            <w14:solidFill>
              <w14:schemeClr w14:val="tx1"/>
            </w14:solidFill>
          </w14:textFill>
        </w:rPr>
        <w:t>。</w:t>
      </w:r>
    </w:p>
    <w:p w14:paraId="5F9C8572">
      <w:pPr>
        <w:pStyle w:val="3"/>
        <w:pageBreakBefore w:val="0"/>
        <w:kinsoku/>
        <w:wordWrap/>
        <w:bidi w:val="0"/>
        <w:adjustRightInd w:val="0"/>
        <w:snapToGrid w:val="0"/>
        <w:rPr>
          <w:rFonts w:hint="default" w:ascii="Times New Roman" w:hAnsi="Times New Roman" w:eastAsia="宋体" w:cs="Times New Roman"/>
          <w:color w:val="000000" w:themeColor="text1"/>
          <w:sz w:val="28"/>
          <w:szCs w:val="28"/>
          <w:lang w:val="en-GB"/>
          <w14:textFill>
            <w14:solidFill>
              <w14:schemeClr w14:val="tx1"/>
            </w14:solidFill>
          </w14:textFill>
        </w:rPr>
      </w:pPr>
      <w:bookmarkStart w:id="179" w:name="_Toc10385"/>
      <w:bookmarkStart w:id="180" w:name="_Toc21285"/>
      <w:r>
        <w:rPr>
          <w:rFonts w:hint="default" w:ascii="Times New Roman" w:hAnsi="Times New Roman" w:cs="Times New Roman"/>
          <w:b/>
          <w:bCs w:val="0"/>
          <w:color w:val="000000" w:themeColor="text1"/>
          <w:lang w:val="en-GB"/>
          <w14:textFill>
            <w14:solidFill>
              <w14:schemeClr w14:val="tx1"/>
            </w14:solidFill>
          </w14:textFill>
        </w:rPr>
        <w:t>5.3 该项目应重视安全对策措施建议</w:t>
      </w:r>
      <w:bookmarkEnd w:id="179"/>
      <w:bookmarkEnd w:id="180"/>
    </w:p>
    <w:p w14:paraId="0B9E422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bookmarkStart w:id="181" w:name="_Toc11567"/>
      <w:r>
        <w:rPr>
          <w:rFonts w:hint="default" w:ascii="Times New Roman" w:hAnsi="Times New Roman" w:eastAsia="宋体" w:cs="Times New Roman"/>
          <w:color w:val="000000" w:themeColor="text1"/>
          <w:sz w:val="28"/>
          <w:szCs w:val="28"/>
          <w14:textFill>
            <w14:solidFill>
              <w14:schemeClr w14:val="tx1"/>
            </w14:solidFill>
          </w14:textFill>
        </w:rPr>
        <w:t>（1）因矿权范围限制，对于矿区东面287m处鹤庆县金墩乡仙人洞石料厂普通建筑材料用灰岩矿，设计将靠近其300m范围的区域设置为禁采区，附近矿区内资源量无法充分进行开采，在后续开采过程中应严格按设计范围进行开采，禁止越过设计禁采区，避免越界开采等现象。</w:t>
      </w:r>
    </w:p>
    <w:p w14:paraId="7F915A1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w:t>
      </w:r>
      <w:r>
        <w:rPr>
          <w:rFonts w:hint="default" w:ascii="Times New Roman" w:hAnsi="Times New Roman" w:cs="Times New Roman"/>
          <w:sz w:val="28"/>
          <w:szCs w:val="28"/>
          <w:lang w:val="en-GB"/>
        </w:rPr>
        <w:t>下一步安全设施设计明确设计开采范围拐点</w:t>
      </w:r>
      <w:r>
        <w:rPr>
          <w:rFonts w:hint="default" w:ascii="Times New Roman" w:hAnsi="Times New Roman" w:cs="Times New Roman"/>
          <w:sz w:val="28"/>
          <w:szCs w:val="28"/>
          <w:lang w:val="en-GB" w:eastAsia="zh-CN"/>
        </w:rPr>
        <w:t>，</w:t>
      </w:r>
      <w:r>
        <w:rPr>
          <w:rFonts w:hint="default" w:ascii="Times New Roman" w:hAnsi="Times New Roman" w:cs="Times New Roman"/>
          <w:sz w:val="28"/>
          <w:szCs w:val="28"/>
          <w:lang w:val="en-GB"/>
        </w:rPr>
        <w:t>在开采过程中严格按设计划定的开采区域开采，禁止超越边界开采。</w:t>
      </w:r>
    </w:p>
    <w:p w14:paraId="59B24DB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3</w:t>
      </w:r>
      <w:r>
        <w:rPr>
          <w:rFonts w:hint="default" w:ascii="Times New Roman" w:hAnsi="Times New Roman" w:eastAsia="宋体" w:cs="Times New Roman"/>
          <w:color w:val="000000" w:themeColor="text1"/>
          <w:sz w:val="28"/>
          <w:szCs w:val="28"/>
          <w:lang w:eastAsia="zh-CN"/>
          <w14:textFill>
            <w14:solidFill>
              <w14:schemeClr w14:val="tx1"/>
            </w14:solidFill>
          </w14:textFill>
        </w:rPr>
        <w:t>）矿山应建立边坡监测预报制度，定期监测边坡滑移、滑坡、坍塌。对有潜在危险的边坡应实施实时测控。</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制定边坡监测方案，每五年进行边坡稳定性分析。</w:t>
      </w:r>
    </w:p>
    <w:p w14:paraId="250EE15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eastAsia="zh-CN"/>
          <w14:textFill>
            <w14:solidFill>
              <w14:schemeClr w14:val="tx1"/>
            </w14:solidFill>
          </w14:textFill>
        </w:rPr>
      </w:pP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lang w:eastAsia="zh-CN"/>
          <w14:textFill>
            <w14:solidFill>
              <w14:schemeClr w14:val="tx1"/>
            </w14:solidFill>
          </w14:textFill>
        </w:rPr>
        <w:t>）矿山应建立边坡安全检查制度。明确有经验的人员专门负责边坡安全管理工作，及时消除事故隐患，发现坡面的裂隙、浮石等情况，必须迅速处理。在作业前及放炮后必须对坡面进行安全检查、边坡清理。</w:t>
      </w:r>
    </w:p>
    <w:p w14:paraId="7806B33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5</w:t>
      </w: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制定</w:t>
      </w:r>
      <w:r>
        <w:rPr>
          <w:rFonts w:hint="default" w:ascii="Times New Roman" w:hAnsi="Times New Roman" w:eastAsia="宋体" w:cs="Times New Roman"/>
          <w:color w:val="000000" w:themeColor="text1"/>
          <w:sz w:val="28"/>
          <w:szCs w:val="28"/>
          <w:lang w:eastAsia="zh-CN"/>
          <w14:textFill>
            <w14:solidFill>
              <w14:schemeClr w14:val="tx1"/>
            </w14:solidFill>
          </w14:textFill>
        </w:rPr>
        <w:t>新旧采场的过度方案，</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对矿山此前开采形成的采空区进行排险，依据现场情况制定</w:t>
      </w:r>
      <w:r>
        <w:rPr>
          <w:rFonts w:hint="default" w:ascii="Times New Roman" w:hAnsi="Times New Roman" w:eastAsia="宋体" w:cs="Times New Roman"/>
          <w:color w:val="000000" w:themeColor="text1"/>
          <w:sz w:val="28"/>
          <w:szCs w:val="28"/>
          <w:lang w:eastAsia="zh-CN"/>
          <w14:textFill>
            <w14:solidFill>
              <w14:schemeClr w14:val="tx1"/>
            </w14:solidFill>
          </w14:textFill>
        </w:rPr>
        <w:t>安全措施，</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如进行边坡修整、清理浮石、高陡边坡削坡处理等；对现有工业场所的建筑设施、生产设备进行统计检查，明确利旧建筑设施是否满足功能需要，是否进行修善更换。</w:t>
      </w:r>
    </w:p>
    <w:p w14:paraId="42EE574E">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color w:val="000000" w:themeColor="text1"/>
          <w:sz w:val="28"/>
          <w:szCs w:val="28"/>
          <w:lang w:eastAsia="zh-CN"/>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矿山值班室、材料室位于矿区东南南侧矿界内，位于300m爆破警戒范围内，初步设计中未说明相应的保护措施，应在下一步安全设施设计中补充。</w:t>
      </w:r>
    </w:p>
    <w:p w14:paraId="005D524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7</w:t>
      </w:r>
      <w:r>
        <w:rPr>
          <w:rFonts w:hint="default" w:ascii="Times New Roman" w:hAnsi="Times New Roman" w:eastAsia="宋体" w:cs="Times New Roman"/>
          <w:color w:val="000000" w:themeColor="text1"/>
          <w:sz w:val="28"/>
          <w:szCs w:val="28"/>
          <w14:textFill>
            <w14:solidFill>
              <w14:schemeClr w14:val="tx1"/>
            </w14:solidFill>
          </w14:textFill>
        </w:rPr>
        <w:t>）东南面205m处该矿山破碎站位于300m爆破警戒范围内，初步设计中未说明相应的保护措施，应在下一步安全设施设计中补充。</w:t>
      </w:r>
    </w:p>
    <w:p w14:paraId="2F0F96A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cs="Times New Roman"/>
        </w:rPr>
      </w:pP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8</w:t>
      </w:r>
      <w:r>
        <w:rPr>
          <w:rFonts w:hint="default" w:ascii="Times New Roman" w:hAnsi="Times New Roman" w:eastAsia="宋体" w:cs="Times New Roman"/>
          <w:color w:val="000000" w:themeColor="text1"/>
          <w:sz w:val="28"/>
          <w:szCs w:val="28"/>
          <w14:textFill>
            <w14:solidFill>
              <w14:schemeClr w14:val="tx1"/>
            </w14:solidFill>
          </w14:textFill>
        </w:rPr>
        <w:t>）矿区周边存在电力设施，矿权西北面372m处为500kV黄太甲线、西北面372m处有500kV黄太甲线047号电塔；矿权西面336m处为500kV黄太乙线。以上电力设施水平距离位于500m电力设施保护范围内，矿权方应当征得电力设施产权人的同意，双方签订了安全协议，提出安全防护方案报经县级以上电力行政主管部门批准后方可作业；安全协议中约定了应遵守的事项，矿山下一步安全设施设计和开采过程中应严格落实到位。</w:t>
      </w:r>
    </w:p>
    <w:p w14:paraId="7D107BD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9</w:t>
      </w:r>
      <w:r>
        <w:rPr>
          <w:rFonts w:hint="default" w:ascii="Times New Roman" w:hAnsi="Times New Roman" w:eastAsia="宋体" w:cs="Times New Roman"/>
          <w:color w:val="000000" w:themeColor="text1"/>
          <w:sz w:val="28"/>
          <w:szCs w:val="28"/>
          <w14:textFill>
            <w14:solidFill>
              <w14:schemeClr w14:val="tx1"/>
            </w14:solidFill>
          </w14:textFill>
        </w:rPr>
        <w:t>）矿区边界设置明显界桩，严禁越界开采，并设置防护网及警示标志，禁止人员及设备在边坡底下停留或作业。边坡底设置不低于2m的挡墙。</w:t>
      </w:r>
    </w:p>
    <w:p w14:paraId="08410D1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10</w:t>
      </w: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仙人洞破碎站位于爆破警戒范围内，爆破时，位于300m爆破警戒线以内的破碎站停止生产，工业场地内所有人员撤离至300m爆破警戒范围以外，并对房屋、设备设施做相应防护，确保生产安全。矿山将来生产中要加强矿区爆破警戒工作，以防止爆破安全事故发生。</w:t>
      </w:r>
    </w:p>
    <w:p w14:paraId="1370B28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cs="Times New Roman"/>
        </w:rPr>
      </w:pP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11</w:t>
      </w: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GB"/>
          <w14:textFill>
            <w14:solidFill>
              <w14:schemeClr w14:val="tx1"/>
            </w14:solidFill>
          </w14:textFill>
        </w:rPr>
        <w:t>设计应进一步完善采场应采取的安全措施，矿山在露天矿边界应设可靠的围栏或醒目的警示标志，防止无关人员误入。露天矿边界上2m范围内，可能危及人员安全的树木及其他植物、不稳固材料和岩石等，应予清除。露天矿边界上覆盖的松散岩土层厚度超过2m时，其倾角应小于自然安息角。</w:t>
      </w:r>
    </w:p>
    <w:p w14:paraId="58850B0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12</w:t>
      </w:r>
      <w:r>
        <w:rPr>
          <w:rFonts w:hint="default" w:ascii="Times New Roman" w:hAnsi="Times New Roman" w:eastAsia="宋体" w:cs="Times New Roman"/>
          <w:color w:val="000000" w:themeColor="text1"/>
          <w:sz w:val="28"/>
          <w:szCs w:val="28"/>
          <w:lang w:val="en-GB"/>
          <w14:textFill>
            <w14:solidFill>
              <w14:schemeClr w14:val="tx1"/>
            </w14:solidFill>
          </w14:textFill>
        </w:rPr>
        <w:t>）定期对采空区及采区进行检查，发现灾害隐患时及时采取相应的控制及治理措施。</w:t>
      </w:r>
    </w:p>
    <w:p w14:paraId="500432C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13</w:t>
      </w:r>
      <w:r>
        <w:rPr>
          <w:rFonts w:hint="default" w:ascii="Times New Roman" w:hAnsi="Times New Roman" w:eastAsia="宋体" w:cs="Times New Roman"/>
          <w:color w:val="000000" w:themeColor="text1"/>
          <w:sz w:val="28"/>
          <w:szCs w:val="28"/>
          <w14:textFill>
            <w14:solidFill>
              <w14:schemeClr w14:val="tx1"/>
            </w14:solidFill>
          </w14:textFill>
        </w:rPr>
        <w:t>）设计未明确该矿山的安全生产管理机构、安全生产责任制、安全管理制度、安全技术操作规程等安全管理内容，下一步安全设施设计应根据生产的发展及建设项目的具体情况，及时建立健全安全管理内容。</w:t>
      </w:r>
    </w:p>
    <w:p w14:paraId="3DA864C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color w:val="000000" w:themeColor="text1"/>
          <w:sz w:val="28"/>
          <w:szCs w:val="28"/>
          <w:lang w:val="en-GB"/>
          <w14:textFill>
            <w14:solidFill>
              <w14:schemeClr w14:val="tx1"/>
            </w14:solidFill>
          </w14:textFill>
        </w:rPr>
        <w:t>）露天矿山必须设置安全管理职能机构，初步设计未明确，下一步安全设施设计中应补充设立。</w:t>
      </w:r>
      <w:r>
        <w:rPr>
          <w:rFonts w:hint="default" w:ascii="Times New Roman" w:hAnsi="Times New Roman" w:eastAsia="宋体" w:cs="Times New Roman"/>
          <w:sz w:val="28"/>
          <w:szCs w:val="28"/>
        </w:rPr>
        <w:t>企业必须依法设立安全管理机构或者配备专职安全生产管理人员，</w:t>
      </w:r>
      <w:r>
        <w:rPr>
          <w:rFonts w:hint="default" w:ascii="Times New Roman" w:hAnsi="Times New Roman" w:eastAsia="宋体" w:cs="Times New Roman"/>
          <w:color w:val="000000" w:themeColor="text1"/>
          <w:sz w:val="28"/>
          <w:szCs w:val="28"/>
          <w:lang w:val="en-GB"/>
          <w14:textFill>
            <w14:solidFill>
              <w14:schemeClr w14:val="tx1"/>
            </w14:solidFill>
          </w14:textFill>
        </w:rPr>
        <w:t>安全管理人员不少于2人，</w:t>
      </w:r>
      <w:r>
        <w:rPr>
          <w:rFonts w:hint="default" w:ascii="Times New Roman" w:hAnsi="Times New Roman" w:eastAsia="宋体" w:cs="Times New Roman"/>
          <w:sz w:val="28"/>
          <w:szCs w:val="28"/>
        </w:rPr>
        <w:t>应当有注册安全工程师从事安全生产管理工作。专职安全生产管理人员应当从事矿山工作5年及以上、具有相应的非煤矿山安全生产专业知识和工作经验并熟悉本矿生产系统，该矿山</w:t>
      </w:r>
      <w:r>
        <w:rPr>
          <w:rFonts w:hint="default" w:ascii="Times New Roman" w:hAnsi="Times New Roman" w:eastAsia="宋体" w:cs="Times New Roman"/>
          <w:color w:val="000000" w:themeColor="text1"/>
          <w:sz w:val="28"/>
          <w:szCs w:val="28"/>
          <w:lang w:val="en-GB"/>
          <w14:textFill>
            <w14:solidFill>
              <w14:schemeClr w14:val="tx1"/>
            </w14:solidFill>
          </w14:textFill>
        </w:rPr>
        <w:t>类型为非煤矿山露天矿山。</w:t>
      </w:r>
    </w:p>
    <w:p w14:paraId="1976FD3F">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5</w:t>
      </w:r>
      <w:r>
        <w:rPr>
          <w:rFonts w:hint="default" w:ascii="Times New Roman" w:hAnsi="Times New Roman" w:eastAsia="宋体" w:cs="Times New Roman"/>
          <w:color w:val="000000" w:themeColor="text1"/>
          <w:sz w:val="28"/>
          <w:szCs w:val="28"/>
          <w:lang w:val="en-GB"/>
          <w14:textFill>
            <w14:solidFill>
              <w14:schemeClr w14:val="tx1"/>
            </w14:solidFill>
          </w14:textFill>
        </w:rPr>
        <w:t>）建立安全生产管理机构，确定主要负责人和安全管理人员，并要参加当地应急管理部门组织的</w:t>
      </w:r>
      <w:r>
        <w:rPr>
          <w:rFonts w:hint="default" w:ascii="Times New Roman" w:hAnsi="Times New Roman" w:eastAsia="宋体" w:cs="Times New Roman"/>
          <w:color w:val="000000" w:themeColor="text1"/>
          <w:sz w:val="28"/>
          <w:szCs w:val="28"/>
          <w14:textFill>
            <w14:solidFill>
              <w14:schemeClr w14:val="tx1"/>
            </w14:solidFill>
          </w14:textFill>
        </w:rPr>
        <w:t>合格</w:t>
      </w:r>
      <w:r>
        <w:rPr>
          <w:rFonts w:hint="default" w:ascii="Times New Roman" w:hAnsi="Times New Roman" w:eastAsia="宋体" w:cs="Times New Roman"/>
          <w:color w:val="000000" w:themeColor="text1"/>
          <w:sz w:val="28"/>
          <w:szCs w:val="28"/>
          <w:lang w:val="en-GB"/>
          <w14:textFill>
            <w14:solidFill>
              <w14:schemeClr w14:val="tx1"/>
            </w14:solidFill>
          </w14:textFill>
        </w:rPr>
        <w:t>培训，取得相应安全合格证，特种作业人员也要取得特种作业资格证；</w:t>
      </w:r>
    </w:p>
    <w:p w14:paraId="053C40E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color w:val="000000" w:themeColor="text1"/>
          <w:sz w:val="28"/>
          <w:szCs w:val="28"/>
          <w:lang w:val="en-GB"/>
          <w14:textFill>
            <w14:solidFill>
              <w14:schemeClr w14:val="tx1"/>
            </w14:solidFill>
          </w14:textFill>
        </w:rPr>
        <w:t>）企业应</w:t>
      </w:r>
      <w:r>
        <w:rPr>
          <w:rFonts w:hint="default" w:ascii="Times New Roman" w:hAnsi="Times New Roman" w:cs="Times New Roman"/>
          <w:sz w:val="28"/>
          <w:szCs w:val="28"/>
        </w:rPr>
        <w:t>建立健全</w:t>
      </w:r>
      <w:r>
        <w:rPr>
          <w:rFonts w:hint="default" w:ascii="Times New Roman" w:hAnsi="Times New Roman" w:eastAsia="宋体" w:cs="Times New Roman"/>
          <w:color w:val="000000" w:themeColor="text1"/>
          <w:sz w:val="28"/>
          <w:szCs w:val="28"/>
          <w:lang w:val="en-GB"/>
          <w14:textFill>
            <w14:solidFill>
              <w14:schemeClr w14:val="tx1"/>
            </w14:solidFill>
          </w14:textFill>
        </w:rPr>
        <w:t>各安全责任制、安全管理制度、安全操作规程及相应的安全管理台账。</w:t>
      </w:r>
    </w:p>
    <w:p w14:paraId="4D7D3810">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7</w:t>
      </w:r>
      <w:r>
        <w:rPr>
          <w:rFonts w:hint="default" w:ascii="Times New Roman" w:hAnsi="Times New Roman" w:eastAsia="宋体" w:cs="Times New Roman"/>
          <w:color w:val="000000" w:themeColor="text1"/>
          <w:sz w:val="28"/>
          <w:szCs w:val="28"/>
          <w:lang w:val="en-GB"/>
          <w14:textFill>
            <w14:solidFill>
              <w14:schemeClr w14:val="tx1"/>
            </w14:solidFill>
          </w14:textFill>
        </w:rPr>
        <w:t>）企业应按导则要求规范编制应急预案、签订应急救援协议、进行应急预案演练。</w:t>
      </w:r>
    </w:p>
    <w:p w14:paraId="0FE1885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8</w:t>
      </w:r>
      <w:r>
        <w:rPr>
          <w:rFonts w:hint="default" w:ascii="Times New Roman" w:hAnsi="Times New Roman" w:eastAsia="宋体" w:cs="Times New Roman"/>
          <w:color w:val="000000" w:themeColor="text1"/>
          <w:sz w:val="28"/>
          <w:szCs w:val="28"/>
          <w:lang w:val="en-GB"/>
          <w14:textFill>
            <w14:solidFill>
              <w14:schemeClr w14:val="tx1"/>
            </w14:solidFill>
          </w14:textFill>
        </w:rPr>
        <w:t>）企业应当严格执行《生产经营单位安全培训规定》（原国家安全监管总局令第3号）、《特种作业人员安全技术培训考核管理规定》（原国家安全监管总局令第30号）等规章，强化从业人员安全素质和技能提升，不得安排未经安全生产培训合格的从业人员上岗。</w:t>
      </w:r>
    </w:p>
    <w:p w14:paraId="5F9704D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w:t>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9</w:t>
      </w:r>
      <w:r>
        <w:rPr>
          <w:rFonts w:hint="default" w:ascii="Times New Roman" w:hAnsi="Times New Roman" w:eastAsia="宋体" w:cs="Times New Roman"/>
          <w:color w:val="000000" w:themeColor="text1"/>
          <w:sz w:val="28"/>
          <w:szCs w:val="28"/>
          <w:lang w:val="en-GB"/>
          <w14:textFill>
            <w14:solidFill>
              <w14:schemeClr w14:val="tx1"/>
            </w14:solidFill>
          </w14:textFill>
        </w:rPr>
        <w:t>）矿山未建立安全风险分级管控制度。应当建立安全风险分级管控制度，按照安全风险分级采取相应的管控措施。</w:t>
      </w:r>
    </w:p>
    <w:p w14:paraId="502E2140">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82" w:name="_Toc2947"/>
      <w:r>
        <w:rPr>
          <w:rFonts w:hint="default" w:ascii="Times New Roman" w:hAnsi="Times New Roman" w:cs="Times New Roman"/>
          <w:b/>
          <w:bCs w:val="0"/>
          <w:color w:val="000000" w:themeColor="text1"/>
          <w:lang w:val="en-GB"/>
          <w14:textFill>
            <w14:solidFill>
              <w14:schemeClr w14:val="tx1"/>
            </w14:solidFill>
          </w14:textFill>
        </w:rPr>
        <w:t>5.4 评价结果综述</w:t>
      </w:r>
      <w:bookmarkEnd w:id="181"/>
      <w:bookmarkEnd w:id="182"/>
    </w:p>
    <w:p w14:paraId="23434DE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辽宁诺诚安全科技有限公司本着合法性、科学性、公正性、针对性的评价原则及对工作高度负责的态度，根据《安全生产许可证条例》《非煤矿矿山企业安全生产许可证实施办法》和《建设项目安全设施“三同时”监督管理办法》的规定，受企业委托，依据《安全生产法》《矿山安全法》《金属非金属矿山安全规程》等国家和地方法律、法规、标准、规范及政策文件的要求，对该项目初步设计报告中设计方案所涉及的厂址选择及总平面布置、开拓运输系统、采剥工艺、矿山防尘、矿山电气、防排水及防灭火、供水系统、安全管理等进行了安全预评价。</w:t>
      </w:r>
    </w:p>
    <w:p w14:paraId="5226D548">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依据各单元主要危险有害因素辨识、定性定量分析结果及安全评价结论：初步设计方案所涉及的厂址选择及总平面布置单元、矿山开拓运输单元、采剥单元、</w:t>
      </w:r>
      <w:r>
        <w:rPr>
          <w:rFonts w:hint="default" w:ascii="Times New Roman" w:hAnsi="Times New Roman" w:eastAsia="宋体" w:cs="Times New Roman"/>
          <w:color w:val="000000" w:themeColor="text1"/>
          <w:sz w:val="28"/>
          <w:szCs w:val="28"/>
          <w14:textFill>
            <w14:solidFill>
              <w14:schemeClr w14:val="tx1"/>
            </w14:solidFill>
          </w14:textFill>
        </w:rPr>
        <w:t>供水系统</w:t>
      </w:r>
      <w:r>
        <w:rPr>
          <w:rFonts w:hint="default" w:ascii="Times New Roman" w:hAnsi="Times New Roman" w:eastAsia="宋体" w:cs="Times New Roman"/>
          <w:color w:val="000000" w:themeColor="text1"/>
          <w:sz w:val="28"/>
          <w:szCs w:val="28"/>
          <w:lang w:val="en-GB"/>
          <w14:textFill>
            <w14:solidFill>
              <w14:schemeClr w14:val="tx1"/>
            </w14:solidFill>
          </w14:textFill>
        </w:rPr>
        <w:t>单元、</w:t>
      </w:r>
      <w:r>
        <w:rPr>
          <w:rFonts w:hint="default" w:ascii="Times New Roman" w:hAnsi="Times New Roman" w:eastAsia="宋体" w:cs="Times New Roman"/>
          <w:color w:val="000000" w:themeColor="text1"/>
          <w:sz w:val="28"/>
          <w:szCs w:val="28"/>
          <w14:textFill>
            <w14:solidFill>
              <w14:schemeClr w14:val="tx1"/>
            </w14:solidFill>
          </w14:textFill>
        </w:rPr>
        <w:t>防尘单元、</w:t>
      </w:r>
      <w:r>
        <w:rPr>
          <w:rFonts w:hint="default" w:ascii="Times New Roman" w:hAnsi="Times New Roman" w:eastAsia="宋体" w:cs="Times New Roman"/>
          <w:color w:val="000000" w:themeColor="text1"/>
          <w:sz w:val="28"/>
          <w:szCs w:val="28"/>
          <w:lang w:val="en-GB"/>
          <w14:textFill>
            <w14:solidFill>
              <w14:schemeClr w14:val="tx1"/>
            </w14:solidFill>
          </w14:textFill>
        </w:rPr>
        <w:t>矿山电气单元、防排水与防灭火单元符合国家有关法律、法规、规范及技术标准要求。</w:t>
      </w:r>
    </w:p>
    <w:p w14:paraId="543C24A1">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83" w:name="_Toc2823"/>
      <w:bookmarkStart w:id="184" w:name="_Toc32376"/>
      <w:r>
        <w:rPr>
          <w:rFonts w:hint="default" w:ascii="Times New Roman" w:hAnsi="Times New Roman" w:cs="Times New Roman"/>
          <w:b/>
          <w:bCs w:val="0"/>
          <w:color w:val="000000" w:themeColor="text1"/>
          <w:lang w:val="en-GB"/>
          <w14:textFill>
            <w14:solidFill>
              <w14:schemeClr w14:val="tx1"/>
            </w14:solidFill>
          </w14:textFill>
        </w:rPr>
        <w:t>5.5 安全预评价结论</w:t>
      </w:r>
      <w:bookmarkEnd w:id="183"/>
      <w:bookmarkEnd w:id="184"/>
    </w:p>
    <w:p w14:paraId="46EBEB9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14:paraId="533EF6D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按照评价要求和各单元的分析评价结论，对鹤庆县河底普通建筑材料用石灰岩矿80万t/a露天采矿工程项目形成以下预评价结论：</w:t>
      </w:r>
    </w:p>
    <w:p w14:paraId="1F2D77C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（1）鹤庆县河底普通建筑材料用石灰岩矿80万t/a露天采矿工程初步设计建设项目证照齐全、有效，建设项目建设程序合法。</w:t>
      </w:r>
    </w:p>
    <w:p w14:paraId="0F0D0D7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（2）鹤庆县河底普通建筑材料用石灰岩矿80万t/a露天采矿工程初步设计建设项目的选址合理，符合有关法律、法规、标准和规程的规定。</w:t>
      </w:r>
    </w:p>
    <w:p w14:paraId="3B1CE9E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（3）</w:t>
      </w:r>
      <w:r>
        <w:rPr>
          <w:rFonts w:hint="default" w:ascii="Times New Roman" w:hAnsi="Times New Roman" w:eastAsia="宋体" w:cs="Times New Roman"/>
          <w:color w:val="000000" w:themeColor="text1"/>
          <w:sz w:val="28"/>
          <w:szCs w:val="28"/>
          <w:lang w:val="en-GB"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GB"/>
          <w14:textFill>
            <w14:solidFill>
              <w14:schemeClr w14:val="tx1"/>
            </w14:solidFill>
          </w14:textFill>
        </w:rPr>
        <w:t>鹤庆县河底普通建筑材料用石灰岩矿80万t/a露天采矿工程初步设计</w:t>
      </w:r>
      <w:r>
        <w:rPr>
          <w:rFonts w:hint="default" w:ascii="Times New Roman" w:hAnsi="Times New Roman" w:eastAsia="宋体" w:cs="Times New Roman"/>
          <w:color w:val="000000" w:themeColor="text1"/>
          <w:sz w:val="28"/>
          <w:szCs w:val="28"/>
          <w:lang w:val="en-GB"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GB"/>
          <w14:textFill>
            <w14:solidFill>
              <w14:schemeClr w14:val="tx1"/>
            </w14:solidFill>
          </w14:textFill>
        </w:rPr>
        <w:t>方案中的工艺设计总体上符合《金属非金属矿山安全规程》（GB16423-2020）等法规的有关规定，露天开采各工艺参数符合相关规范要求。</w:t>
      </w:r>
    </w:p>
    <w:p w14:paraId="0A42DBB5">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（4）项目中虽然存在坍塌、滑坡、滚石、泥石流、</w:t>
      </w:r>
      <w:r>
        <w:rPr>
          <w:rFonts w:hint="default" w:ascii="Times New Roman" w:hAnsi="Times New Roman" w:eastAsia="宋体" w:cs="Times New Roman"/>
          <w:color w:val="000000" w:themeColor="text1"/>
          <w:sz w:val="28"/>
          <w:szCs w:val="28"/>
          <w14:textFill>
            <w14:solidFill>
              <w14:schemeClr w14:val="tx1"/>
            </w14:solidFill>
          </w14:textFill>
        </w:rPr>
        <w:t>爆破伤害、</w:t>
      </w:r>
      <w:r>
        <w:rPr>
          <w:rFonts w:hint="default" w:ascii="Times New Roman" w:hAnsi="Times New Roman" w:eastAsia="宋体" w:cs="Times New Roman"/>
          <w:color w:val="000000" w:themeColor="text1"/>
          <w:sz w:val="28"/>
          <w:szCs w:val="28"/>
          <w:lang w:val="en-GB"/>
          <w14:textFill>
            <w14:solidFill>
              <w14:schemeClr w14:val="tx1"/>
            </w14:solidFill>
          </w14:textFill>
        </w:rPr>
        <w:t>高处坠落、物体打击、机械伤害、车辆伤害、触电、火灾、</w:t>
      </w:r>
      <w:r>
        <w:rPr>
          <w:rFonts w:hint="default" w:ascii="Times New Roman" w:hAnsi="Times New Roman" w:eastAsia="宋体" w:cs="Times New Roman"/>
          <w:color w:val="000000" w:themeColor="text1"/>
          <w:sz w:val="28"/>
          <w:szCs w:val="28"/>
          <w14:textFill>
            <w14:solidFill>
              <w14:schemeClr w14:val="tx1"/>
            </w14:solidFill>
          </w14:textFill>
        </w:rPr>
        <w:t>淹溺、其他</w:t>
      </w:r>
      <w:r>
        <w:rPr>
          <w:rFonts w:hint="default" w:ascii="Times New Roman" w:hAnsi="Times New Roman" w:eastAsia="宋体" w:cs="Times New Roman"/>
          <w:color w:val="000000" w:themeColor="text1"/>
          <w:sz w:val="28"/>
          <w:szCs w:val="28"/>
          <w:lang w:val="en-GB"/>
          <w14:textFill>
            <w14:solidFill>
              <w14:schemeClr w14:val="tx1"/>
            </w14:solidFill>
          </w14:textFill>
        </w:rPr>
        <w:t>伤害等潜在的危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既可为满足该项目安全生产的要求奠定基础，该项目潜在的危险、有害因素能得到控制，在可接受的范围内。</w:t>
      </w:r>
    </w:p>
    <w:p w14:paraId="1092B572">
      <w:pPr>
        <w:pageBreakBefore w:val="0"/>
        <w:kinsoku/>
        <w:wordWrap/>
        <w:bidi w:val="0"/>
        <w:adjustRightInd w:val="0"/>
        <w:snapToGrid w:val="0"/>
        <w:spacing w:line="360" w:lineRule="auto"/>
        <w:ind w:firstLine="562" w:firstLineChars="200"/>
        <w:rPr>
          <w:rFonts w:hint="default" w:ascii="Times New Roman" w:hAnsi="Times New Roman" w:eastAsia="宋体" w:cs="Times New Roman"/>
          <w:b/>
          <w:color w:val="000000" w:themeColor="text1"/>
          <w:sz w:val="28"/>
          <w:szCs w:val="28"/>
          <w:lang w:val="en-GB"/>
          <w14:textFill>
            <w14:solidFill>
              <w14:schemeClr w14:val="tx1"/>
            </w14:solidFill>
          </w14:textFill>
        </w:rPr>
      </w:pPr>
      <w:r>
        <w:rPr>
          <w:rFonts w:hint="default" w:ascii="Times New Roman" w:hAnsi="Times New Roman" w:eastAsia="宋体" w:cs="Times New Roman"/>
          <w:b/>
          <w:color w:val="000000" w:themeColor="text1"/>
          <w:sz w:val="28"/>
          <w:szCs w:val="28"/>
          <w:lang w:val="en-GB"/>
          <w14:textFill>
            <w14:solidFill>
              <w14:schemeClr w14:val="tx1"/>
            </w14:solidFill>
          </w14:textFill>
        </w:rPr>
        <w:t>经评价认为：鹤庆县河底普通建筑材料用石灰岩矿80万t/a露天采矿工程建设</w:t>
      </w: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方案</w:t>
      </w:r>
      <w:r>
        <w:rPr>
          <w:rFonts w:hint="default" w:ascii="Times New Roman" w:hAnsi="Times New Roman" w:eastAsia="宋体" w:cs="Times New Roman"/>
          <w:b/>
          <w:color w:val="000000" w:themeColor="text1"/>
          <w:sz w:val="28"/>
          <w:szCs w:val="28"/>
          <w:lang w:val="en-GB"/>
          <w14:textFill>
            <w14:solidFill>
              <w14:schemeClr w14:val="tx1"/>
            </w14:solidFill>
          </w14:textFill>
        </w:rPr>
        <w:t>从安全生产角度符合国家安全有关法律法规、标准和规范的要求。</w:t>
      </w:r>
    </w:p>
    <w:p w14:paraId="6AFD2189">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t>在今后的设计、施工和生产过程中，建设单位应按有关法规和标准的要求，认真落实各项安全措施和预防手段，确保该项目的安全设施与主体工程同时设计、同时施工、同时投入生产和使用。根据本安全预评价报告中提出的安全对策措施，该项目应在下一步安全设施设计中进行完善与补充，以保证该项目建成投产后能安全运行。</w:t>
      </w:r>
    </w:p>
    <w:p w14:paraId="58580475">
      <w:pPr>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lang w:val="en-GB"/>
          <w14:textFill>
            <w14:solidFill>
              <w14:schemeClr w14:val="tx1"/>
            </w14:solidFill>
          </w14:textFill>
        </w:rPr>
        <w:br w:type="page"/>
      </w:r>
    </w:p>
    <w:p w14:paraId="79A7074F">
      <w:pPr>
        <w:pStyle w:val="2"/>
        <w:pageBreakBefore w:val="0"/>
        <w:kinsoku/>
        <w:wordWrap/>
        <w:bidi w:val="0"/>
        <w:adjustRightInd w:val="0"/>
        <w:snapToGrid w:val="0"/>
        <w:spacing w:beforeLines="0" w:afterLines="0"/>
        <w:rPr>
          <w:rFonts w:hint="default" w:ascii="Times New Roman" w:hAnsi="Times New Roman" w:cs="Times New Roman"/>
          <w:b/>
          <w:bCs w:val="0"/>
          <w:color w:val="000000" w:themeColor="text1"/>
          <w:lang w:val="en-GB"/>
          <w14:textFill>
            <w14:solidFill>
              <w14:schemeClr w14:val="tx1"/>
            </w14:solidFill>
          </w14:textFill>
        </w:rPr>
      </w:pPr>
      <w:bookmarkStart w:id="185" w:name="_Toc14433"/>
      <w:bookmarkStart w:id="186" w:name="_Toc14294"/>
      <w:r>
        <w:rPr>
          <w:rFonts w:hint="default" w:ascii="Times New Roman" w:hAnsi="Times New Roman" w:cs="Times New Roman"/>
          <w:b/>
          <w:bCs w:val="0"/>
          <w:color w:val="000000" w:themeColor="text1"/>
          <w:lang w:val="en-GB"/>
          <w14:textFill>
            <w14:solidFill>
              <w14:schemeClr w14:val="tx1"/>
            </w14:solidFill>
          </w14:textFill>
        </w:rPr>
        <w:t>6.附件及附图</w:t>
      </w:r>
      <w:bookmarkEnd w:id="185"/>
      <w:bookmarkEnd w:id="186"/>
    </w:p>
    <w:p w14:paraId="62957DC1">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87" w:name="_Toc537"/>
      <w:bookmarkStart w:id="188" w:name="_Toc23929"/>
      <w:r>
        <w:rPr>
          <w:rFonts w:hint="default" w:ascii="Times New Roman" w:hAnsi="Times New Roman" w:cs="Times New Roman"/>
          <w:b/>
          <w:bCs w:val="0"/>
          <w:color w:val="000000" w:themeColor="text1"/>
          <w:lang w:val="en-GB"/>
          <w14:textFill>
            <w14:solidFill>
              <w14:schemeClr w14:val="tx1"/>
            </w14:solidFill>
          </w14:textFill>
        </w:rPr>
        <w:t>6.1 附件</w:t>
      </w:r>
      <w:bookmarkEnd w:id="187"/>
      <w:bookmarkEnd w:id="188"/>
    </w:p>
    <w:p w14:paraId="5B607B4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bookmarkStart w:id="189" w:name="_Toc1582"/>
      <w:r>
        <w:rPr>
          <w:rFonts w:hint="default" w:ascii="Times New Roman" w:hAnsi="Times New Roman" w:eastAsia="宋体" w:cs="Times New Roman"/>
          <w:color w:val="000000" w:themeColor="text1"/>
          <w:sz w:val="28"/>
          <w:szCs w:val="28"/>
          <w14:textFill>
            <w14:solidFill>
              <w14:schemeClr w14:val="tx1"/>
            </w14:solidFill>
          </w14:textFill>
        </w:rPr>
        <w:t>附件1：委托书；</w:t>
      </w:r>
    </w:p>
    <w:p w14:paraId="3F5DC336">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附件2：</w:t>
      </w:r>
      <w:r>
        <w:rPr>
          <w:rFonts w:hint="default" w:ascii="Times New Roman" w:hAnsi="Times New Roman" w:eastAsia="宋体" w:cs="Times New Roman"/>
          <w:color w:val="000000" w:themeColor="text1"/>
          <w:sz w:val="28"/>
          <w:szCs w:val="28"/>
          <w:lang w:val="en-GB"/>
          <w14:textFill>
            <w14:solidFill>
              <w14:schemeClr w14:val="tx1"/>
            </w14:solidFill>
          </w14:textFill>
        </w:rPr>
        <w:t>提供基础资料的真实性承诺；</w:t>
      </w:r>
    </w:p>
    <w:p w14:paraId="62655994">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附件3：</w:t>
      </w:r>
      <w:r>
        <w:rPr>
          <w:rFonts w:hint="default" w:ascii="Times New Roman" w:hAnsi="Times New Roman" w:eastAsia="宋体" w:cs="Times New Roman"/>
          <w:color w:val="000000" w:themeColor="text1"/>
          <w:sz w:val="28"/>
          <w:szCs w:val="28"/>
          <w:lang w:val="en-GB"/>
          <w14:textFill>
            <w14:solidFill>
              <w14:schemeClr w14:val="tx1"/>
            </w14:solidFill>
          </w14:textFill>
        </w:rPr>
        <w:t>营业执照；</w:t>
      </w:r>
    </w:p>
    <w:p w14:paraId="23DF32C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附件4：</w:t>
      </w:r>
      <w:r>
        <w:rPr>
          <w:rFonts w:hint="default" w:ascii="Times New Roman" w:hAnsi="Times New Roman" w:eastAsia="宋体" w:cs="Times New Roman"/>
          <w:color w:val="000000" w:themeColor="text1"/>
          <w:sz w:val="28"/>
          <w:szCs w:val="28"/>
          <w:lang w:val="en-GB"/>
          <w14:textFill>
            <w14:solidFill>
              <w14:schemeClr w14:val="tx1"/>
            </w14:solidFill>
          </w14:textFill>
        </w:rPr>
        <w:t>采矿许可证；</w:t>
      </w:r>
    </w:p>
    <w:p w14:paraId="4AA705AA">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附件5：</w:t>
      </w:r>
      <w:r>
        <w:rPr>
          <w:rFonts w:hint="default" w:ascii="Times New Roman" w:hAnsi="Times New Roman" w:eastAsia="宋体" w:cs="Times New Roman"/>
          <w:color w:val="000000" w:themeColor="text1"/>
          <w:sz w:val="28"/>
          <w:szCs w:val="28"/>
          <w:lang w:val="en-GB"/>
          <w14:textFill>
            <w14:solidFill>
              <w14:schemeClr w14:val="tx1"/>
            </w14:solidFill>
          </w14:textFill>
        </w:rPr>
        <w:t>《鹤庆县河底普通建筑材料用石灰岩矿80万t/年露天采矿工程初步设计》</w:t>
      </w:r>
      <w:r>
        <w:rPr>
          <w:rFonts w:hint="default" w:ascii="Times New Roman" w:hAnsi="Times New Roman" w:eastAsia="宋体" w:cs="Times New Roman"/>
          <w:color w:val="000000" w:themeColor="text1"/>
          <w:sz w:val="28"/>
          <w:szCs w:val="28"/>
          <w14:textFill>
            <w14:solidFill>
              <w14:schemeClr w14:val="tx1"/>
            </w14:solidFill>
          </w14:textFill>
        </w:rPr>
        <w:t>封面及编制单位资质；</w:t>
      </w:r>
    </w:p>
    <w:p w14:paraId="15D6A883">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附件6：</w:t>
      </w:r>
      <w:r>
        <w:rPr>
          <w:rFonts w:hint="default" w:ascii="Times New Roman" w:hAnsi="Times New Roman" w:eastAsia="宋体" w:cs="Times New Roman"/>
          <w:color w:val="000000" w:themeColor="text1"/>
          <w:sz w:val="28"/>
          <w:szCs w:val="28"/>
          <w:lang w:val="en-GB"/>
          <w14:textFill>
            <w14:solidFill>
              <w14:schemeClr w14:val="tx1"/>
            </w14:solidFill>
          </w14:textFill>
        </w:rPr>
        <w:t>《关于批准〈鹤庆县非煤矿山转型升级“四个一批”调整方案〉的函》（鹤政函〔2017〕19号）；</w:t>
      </w:r>
    </w:p>
    <w:p w14:paraId="3741FC91">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附件7：</w:t>
      </w:r>
      <w:r>
        <w:rPr>
          <w:rFonts w:hint="default" w:ascii="Times New Roman" w:hAnsi="Times New Roman" w:eastAsia="宋体" w:cs="Times New Roman"/>
          <w:color w:val="000000" w:themeColor="text1"/>
          <w:sz w:val="28"/>
          <w:szCs w:val="28"/>
          <w:lang w:val="en-GB"/>
          <w14:textFill>
            <w14:solidFill>
              <w14:schemeClr w14:val="tx1"/>
            </w14:solidFill>
          </w14:textFill>
        </w:rPr>
        <w:t>《关于鹤庆县俊峰石料有限责任公司新立（转型升级）联勘联审及相关规划等有关情况审查意见》（鹤庆县自然资源局2019年8月）；</w:t>
      </w:r>
    </w:p>
    <w:p w14:paraId="464F9587">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附件8：</w:t>
      </w:r>
      <w:r>
        <w:rPr>
          <w:rFonts w:hint="default" w:ascii="Times New Roman" w:hAnsi="Times New Roman" w:eastAsia="宋体" w:cs="Times New Roman"/>
          <w:color w:val="000000" w:themeColor="text1"/>
          <w:sz w:val="28"/>
          <w:szCs w:val="28"/>
          <w:lang w:val="en-GB"/>
          <w14:textFill>
            <w14:solidFill>
              <w14:schemeClr w14:val="tx1"/>
            </w14:solidFill>
          </w14:textFill>
        </w:rPr>
        <w:t>《关于〈云南省鹤庆县河底村普通建筑材料用石灰岩矿资源储量核实报告〉（2019）评审备案证明》（大自然资储备字〔2019〕28号）；</w:t>
      </w:r>
    </w:p>
    <w:p w14:paraId="478DA802">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附件9：</w:t>
      </w:r>
      <w:r>
        <w:rPr>
          <w:rFonts w:hint="default" w:ascii="Times New Roman" w:hAnsi="Times New Roman" w:eastAsia="宋体" w:cs="Times New Roman"/>
          <w:color w:val="000000" w:themeColor="text1"/>
          <w:sz w:val="28"/>
          <w:szCs w:val="28"/>
          <w:lang w:val="en-GB"/>
          <w14:textFill>
            <w14:solidFill>
              <w14:schemeClr w14:val="tx1"/>
            </w14:solidFill>
          </w14:textFill>
        </w:rPr>
        <w:t>《关于〈云南省鹤庆县河底村普通建筑材料用石灰岩矿外围接替资源勘查报告〉（2019）评审备案证明》（大自然资储备字〔2019〕29号）；</w:t>
      </w:r>
    </w:p>
    <w:p w14:paraId="05BC849C">
      <w:pPr>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000000" w:themeColor="text1"/>
          <w:sz w:val="28"/>
          <w:szCs w:val="28"/>
          <w:lang w:val="en-GB"/>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附件10：</w:t>
      </w:r>
      <w:r>
        <w:rPr>
          <w:rFonts w:hint="default" w:ascii="Times New Roman" w:hAnsi="Times New Roman" w:eastAsia="宋体" w:cs="Times New Roman"/>
          <w:color w:val="000000" w:themeColor="text1"/>
          <w:sz w:val="28"/>
          <w:szCs w:val="28"/>
          <w:lang w:val="en-GB"/>
          <w14:textFill>
            <w14:solidFill>
              <w14:schemeClr w14:val="tx1"/>
            </w14:solidFill>
          </w14:textFill>
        </w:rPr>
        <w:t>附近矿山：仙人洞采石场采矿证。</w:t>
      </w:r>
    </w:p>
    <w:p w14:paraId="20096CB8">
      <w:pPr>
        <w:pStyle w:val="3"/>
        <w:pageBreakBefore w:val="0"/>
        <w:kinsoku/>
        <w:wordWrap/>
        <w:bidi w:val="0"/>
        <w:adjustRightInd w:val="0"/>
        <w:snapToGrid w:val="0"/>
        <w:rPr>
          <w:rFonts w:hint="default" w:ascii="Times New Roman" w:hAnsi="Times New Roman" w:cs="Times New Roman"/>
          <w:b/>
          <w:bCs w:val="0"/>
          <w:color w:val="000000" w:themeColor="text1"/>
          <w:lang w:val="en-GB"/>
          <w14:textFill>
            <w14:solidFill>
              <w14:schemeClr w14:val="tx1"/>
            </w14:solidFill>
          </w14:textFill>
        </w:rPr>
      </w:pPr>
      <w:bookmarkStart w:id="190" w:name="_Toc5155"/>
      <w:r>
        <w:rPr>
          <w:rFonts w:hint="default" w:ascii="Times New Roman" w:hAnsi="Times New Roman" w:cs="Times New Roman"/>
          <w:b/>
          <w:bCs w:val="0"/>
          <w:color w:val="000000" w:themeColor="text1"/>
          <w:lang w:val="en-GB"/>
          <w14:textFill>
            <w14:solidFill>
              <w14:schemeClr w14:val="tx1"/>
            </w14:solidFill>
          </w14:textFill>
        </w:rPr>
        <w:t>6.2 附图</w:t>
      </w:r>
      <w:bookmarkEnd w:id="189"/>
      <w:bookmarkEnd w:id="190"/>
    </w:p>
    <w:p w14:paraId="5C3997F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191" w:name="_Hlk129351797"/>
      <w:r>
        <w:rPr>
          <w:rFonts w:hint="default" w:ascii="Times New Roman" w:hAnsi="Times New Roman" w:eastAsia="宋体" w:cs="Times New Roman"/>
          <w:sz w:val="28"/>
          <w:szCs w:val="21"/>
        </w:rPr>
        <w:t>附图1：地形地质</w:t>
      </w:r>
      <w:r>
        <w:rPr>
          <w:rFonts w:hint="default" w:ascii="Times New Roman" w:hAnsi="Times New Roman" w:eastAsia="宋体" w:cs="Times New Roman"/>
          <w:sz w:val="28"/>
          <w:szCs w:val="21"/>
          <w:lang w:eastAsia="zh-CN"/>
        </w:rPr>
        <w:t>、</w:t>
      </w:r>
      <w:r>
        <w:rPr>
          <w:rFonts w:hint="default" w:ascii="Times New Roman" w:hAnsi="Times New Roman" w:eastAsia="宋体" w:cs="Times New Roman"/>
          <w:sz w:val="28"/>
          <w:szCs w:val="21"/>
        </w:rPr>
        <w:t>矿区范围</w:t>
      </w:r>
      <w:r>
        <w:rPr>
          <w:rFonts w:hint="default" w:ascii="Times New Roman" w:hAnsi="Times New Roman" w:eastAsia="宋体" w:cs="Times New Roman"/>
          <w:sz w:val="28"/>
          <w:szCs w:val="21"/>
          <w:lang w:val="en-US" w:eastAsia="zh-CN"/>
        </w:rPr>
        <w:t>及开采现状</w:t>
      </w:r>
      <w:r>
        <w:rPr>
          <w:rFonts w:hint="default" w:ascii="Times New Roman" w:hAnsi="Times New Roman" w:eastAsia="宋体" w:cs="Times New Roman"/>
          <w:sz w:val="28"/>
          <w:szCs w:val="21"/>
        </w:rPr>
        <w:t>图；</w:t>
      </w:r>
    </w:p>
    <w:p w14:paraId="2BFB23A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rPr>
        <w:t>附图2：总平面布置图；</w:t>
      </w:r>
    </w:p>
    <w:p w14:paraId="6765B2E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rPr>
        <w:t>附图3：开拓系统图</w:t>
      </w:r>
      <w:r>
        <w:rPr>
          <w:rFonts w:hint="default" w:ascii="Times New Roman" w:hAnsi="Times New Roman" w:eastAsia="宋体" w:cs="Times New Roman"/>
          <w:sz w:val="28"/>
          <w:szCs w:val="21"/>
          <w:lang w:val="en-US" w:eastAsia="zh-CN"/>
        </w:rPr>
        <w:t>;</w:t>
      </w:r>
    </w:p>
    <w:p w14:paraId="735092A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附图4：开采终了图；</w:t>
      </w:r>
    </w:p>
    <w:p w14:paraId="1EB464E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附图5：防排水系统图；</w:t>
      </w:r>
    </w:p>
    <w:p w14:paraId="7684382B">
      <w:pPr>
        <w:pageBreakBefore w:val="0"/>
        <w:kinsoku/>
        <w:wordWrap/>
        <w:bidi w:val="0"/>
        <w:adjustRightInd w:val="0"/>
        <w:snapToGrid w:val="0"/>
        <w:spacing w:line="360" w:lineRule="auto"/>
        <w:ind w:firstLine="560" w:firstLineChars="200"/>
        <w:rPr>
          <w:rFonts w:hint="default" w:ascii="Times New Roman" w:hAnsi="Times New Roman" w:cs="Times New Roman"/>
          <w:lang w:val="en-US" w:eastAsia="zh-CN"/>
        </w:rPr>
      </w:pPr>
      <w:r>
        <w:rPr>
          <w:rFonts w:hint="default" w:ascii="Times New Roman" w:hAnsi="Times New Roman" w:eastAsia="宋体" w:cs="Times New Roman"/>
          <w:sz w:val="28"/>
          <w:szCs w:val="21"/>
        </w:rPr>
        <w:t>附图6：供配电</w:t>
      </w:r>
      <w:r>
        <w:rPr>
          <w:rFonts w:hint="default" w:ascii="Times New Roman" w:hAnsi="Times New Roman" w:eastAsia="宋体" w:cs="Times New Roman"/>
          <w:sz w:val="28"/>
          <w:szCs w:val="21"/>
          <w:lang w:val="en-US" w:eastAsia="zh-CN"/>
        </w:rPr>
        <w:t>系统图。</w:t>
      </w:r>
    </w:p>
    <w:bookmarkEnd w:id="191"/>
    <w:p w14:paraId="5A2C1064">
      <w:pPr>
        <w:pageBreakBefore w:val="0"/>
        <w:kinsoku/>
        <w:wordWrap/>
        <w:bidi w:val="0"/>
        <w:adjustRightInd w:val="0"/>
        <w:snapToGrid w:val="0"/>
        <w:spacing w:line="360" w:lineRule="auto"/>
        <w:ind w:firstLine="420" w:firstLineChars="200"/>
        <w:rPr>
          <w:rFonts w:hint="default" w:ascii="Times New Roman" w:hAnsi="Times New Roman" w:eastAsia="宋体" w:cs="Times New Roman"/>
          <w:color w:val="00B050"/>
          <w:lang w:val="en-GB"/>
        </w:rPr>
      </w:pPr>
    </w:p>
    <w:sectPr>
      <w:pgSz w:w="11906" w:h="16838"/>
      <w:pgMar w:top="1417" w:right="1134" w:bottom="113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E625">
    <w:pPr>
      <w:pStyle w:val="23"/>
      <w:pBdr>
        <w:top w:val="none" w:color="auto" w:sz="0" w:space="1"/>
        <w:left w:val="none" w:color="auto" w:sz="0" w:space="0"/>
        <w:bottom w:val="none" w:color="auto" w:sz="0" w:space="0"/>
        <w:right w:val="none" w:color="auto" w:sz="0" w:space="0"/>
        <w:between w:val="none" w:color="auto" w:sz="0" w:space="0"/>
      </w:pBdr>
      <w:tabs>
        <w:tab w:val="right" w:pos="9214"/>
        <w:tab w:val="clear" w:pos="8306"/>
      </w:tabs>
      <w:spacing w:line="300" w:lineRule="exact"/>
      <w:ind w:right="240"/>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71F2">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3D4D4">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E3D4D4">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445C1">
    <w:pPr>
      <w:pStyle w:val="23"/>
      <w:keepNext w:val="0"/>
      <w:keepLines w:val="0"/>
      <w:pageBreakBefore w:val="0"/>
      <w:widowControl w:val="0"/>
      <w:pBdr>
        <w:top w:val="single" w:color="auto" w:sz="4" w:space="0"/>
      </w:pBdr>
      <w:kinsoku/>
      <w:wordWrap/>
      <w:overflowPunct/>
      <w:topLinePunct w:val="0"/>
      <w:autoSpaceDE/>
      <w:autoSpaceDN/>
      <w:bidi w:val="0"/>
      <w:adjustRightInd w:val="0"/>
      <w:snapToGrid w:val="0"/>
      <w:ind w:firstLine="0" w:firstLineChars="0"/>
      <w:textAlignment w:val="auto"/>
      <w:rPr>
        <w:rFonts w:hint="eastAsia" w:ascii="楷体" w:hAnsi="楷体" w:eastAsia="楷体" w:cs="楷体"/>
      </w:rPr>
    </w:pPr>
    <w:r>
      <w:rPr>
        <w:rFonts w:hint="eastAsia" w:ascii="楷体" w:hAnsi="楷体" w:eastAsia="楷体" w:cs="楷体"/>
        <w:lang w:eastAsia="zh-CN"/>
      </w:rPr>
      <w:drawing>
        <wp:inline distT="0" distB="0" distL="114300" distR="114300">
          <wp:extent cx="363855" cy="136525"/>
          <wp:effectExtent l="0" t="0" r="0" b="15875"/>
          <wp:docPr id="12"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rPr>
      <mc:AlternateContent>
        <mc:Choice Requires="wps">
          <w:drawing>
            <wp:anchor distT="0" distB="0" distL="114300" distR="114300" simplePos="0" relativeHeight="251660288" behindDoc="0" locked="0" layoutInCell="1" allowOverlap="1">
              <wp:simplePos x="0" y="0"/>
              <wp:positionH relativeFrom="margin">
                <wp:posOffset>5472430</wp:posOffset>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9A43A5A">
                          <w:pPr>
                            <w:pStyle w:val="23"/>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430.9pt;margin-top:0pt;height:144pt;width:144pt;mso-position-horizontal-relative:margin;mso-wrap-style:none;z-index:251660288;mso-width-relative:page;mso-height-relative:page;" filled="f" stroked="f" coordsize="21600,21600" o:gfxdata="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6TX+9cAAAAJAQAADwAAAAAAAAABACAAAAAi&#10;AAAAZHJzL2Rvd25yZXYueG1sUEsBAhQAFAAAAAgAh07iQDviuy/SAQAApQMAAA4AAAAAAAAAAQAg&#10;AAAAJgEAAGRycy9lMm9Eb2MueG1sUEsFBgAAAAAGAAYAWQEAAGoFAAAAAA==&#10;">
              <v:fill on="f" focussize="0,0"/>
              <v:stroke on="f" weight="1.25pt"/>
              <v:imagedata o:title=""/>
              <o:lock v:ext="edit" aspectratio="f"/>
              <v:textbox inset="0mm,0mm,0mm,0mm" style="mso-fit-shape-to-text:t;">
                <w:txbxContent>
                  <w:p w14:paraId="09A43A5A">
                    <w:pPr>
                      <w:pStyle w:val="23"/>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r>
      <w:rPr>
        <w:rFonts w:hint="eastAsia" w:ascii="楷体" w:hAnsi="楷体" w:eastAsia="楷体" w:cs="楷体"/>
      </w:rPr>
      <w:t>辽宁诺诚安全科技有限公司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40465">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A8AD">
    <w:pPr>
      <w:keepNext w:val="0"/>
      <w:keepLines w:val="0"/>
      <w:pageBreakBefore w:val="0"/>
      <w:widowControl w:val="0"/>
      <w:pBdr>
        <w:bottom w:val="single" w:color="auto" w:sz="4" w:space="0"/>
      </w:pBdr>
      <w:kinsoku/>
      <w:wordWrap/>
      <w:overflowPunct/>
      <w:topLinePunct w:val="0"/>
      <w:autoSpaceDE w:val="0"/>
      <w:autoSpaceDN w:val="0"/>
      <w:bidi w:val="0"/>
      <w:adjustRightInd w:val="0"/>
      <w:snapToGrid w:val="0"/>
      <w:spacing w:line="240" w:lineRule="auto"/>
      <w:jc w:val="center"/>
      <w:textAlignment w:val="auto"/>
      <w:rPr>
        <w:rFonts w:hint="eastAsia" w:ascii="楷体" w:hAnsi="楷体" w:eastAsia="楷体" w:cs="楷体"/>
        <w:sz w:val="21"/>
        <w:szCs w:val="21"/>
      </w:rPr>
    </w:pPr>
    <w:r>
      <w:rPr>
        <w:rFonts w:hint="eastAsia" w:ascii="楷体" w:hAnsi="楷体" w:eastAsia="楷体" w:cs="楷体"/>
        <w:color w:val="000000"/>
        <w:kern w:val="0"/>
        <w:sz w:val="21"/>
        <w:szCs w:val="21"/>
        <w:lang w:bidi="zh-CN"/>
      </w:rPr>
      <w:t>鹤庆县河底普通建筑材料用石灰岩矿80万t/a露天采矿工程安全预评价报告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A6F3"/>
    <w:multiLevelType w:val="singleLevel"/>
    <w:tmpl w:val="80E4A6F3"/>
    <w:lvl w:ilvl="0" w:tentative="0">
      <w:start w:val="1"/>
      <w:numFmt w:val="decimal"/>
      <w:pStyle w:val="55"/>
      <w:lvlText w:val="%1."/>
      <w:lvlJc w:val="left"/>
      <w:pPr>
        <w:ind w:left="425" w:hanging="425"/>
      </w:pPr>
      <w:rPr>
        <w:rFonts w:hint="default"/>
      </w:rPr>
    </w:lvl>
  </w:abstractNum>
  <w:abstractNum w:abstractNumId="1">
    <w:nsid w:val="473D27FE"/>
    <w:multiLevelType w:val="multilevel"/>
    <w:tmpl w:val="473D27FE"/>
    <w:lvl w:ilvl="0" w:tentative="0">
      <w:start w:val="1"/>
      <w:numFmt w:val="decimal"/>
      <w:suff w:val="space"/>
      <w:lvlText w:val="第%1章"/>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none"/>
      <w:suff w:val="space"/>
      <w:lvlText w:val=""/>
      <w:lvlJc w:val="center"/>
      <w:pPr>
        <w:ind w:left="0" w:firstLine="0"/>
      </w:pPr>
      <w:rPr>
        <w:rFonts w:hint="eastAsia"/>
      </w:rPr>
    </w:lvl>
    <w:lvl w:ilvl="5" w:tentative="0">
      <w:start w:val="1"/>
      <w:numFmt w:val="decimal"/>
      <w:lvlRestart w:val="1"/>
      <w:pStyle w:val="7"/>
      <w:suff w:val="space"/>
      <w:lvlText w:val="表%1-%6"/>
      <w:lvlJc w:val="center"/>
      <w:pPr>
        <w:ind w:left="0" w:firstLine="0"/>
      </w:pPr>
      <w:rPr>
        <w:rFonts w:hint="eastAsia"/>
      </w:rPr>
    </w:lvl>
    <w:lvl w:ilvl="6" w:tentative="0">
      <w:start w:val="1"/>
      <w:numFmt w:val="decimal"/>
      <w:lvlRestart w:val="1"/>
      <w:pStyle w:val="8"/>
      <w:suff w:val="space"/>
      <w:lvlText w:val="图%1-%7"/>
      <w:lvlJc w:val="center"/>
      <w:pPr>
        <w:ind w:left="0" w:firstLine="0"/>
      </w:pPr>
      <w:rPr>
        <w:rFonts w:hint="eastAsia"/>
      </w:rPr>
    </w:lvl>
    <w:lvl w:ilvl="7" w:tentative="0">
      <w:start w:val="1"/>
      <w:numFmt w:val="decimal"/>
      <w:lvlText w:val="%1.%2.%3.%4.%5.%6.%7.%8"/>
      <w:lvlJc w:val="left"/>
      <w:pPr>
        <w:tabs>
          <w:tab w:val="left" w:pos="992"/>
        </w:tabs>
        <w:ind w:left="0" w:firstLine="0"/>
      </w:pPr>
      <w:rPr>
        <w:rFonts w:hint="eastAsia"/>
      </w:rPr>
    </w:lvl>
    <w:lvl w:ilvl="8" w:tentative="0">
      <w:start w:val="1"/>
      <w:numFmt w:val="decimal"/>
      <w:lvlText w:val="%1.%2.%3.%4.%5.%6.%7.%8.%9"/>
      <w:lvlJc w:val="left"/>
      <w:pPr>
        <w:tabs>
          <w:tab w:val="left" w:pos="992"/>
        </w:tabs>
        <w:ind w:left="0" w:firstLine="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525" w:firstLine="0"/>
      </w:pPr>
      <w:rPr>
        <w:rFonts w:hint="eastAsia" w:ascii="黑体" w:hAnsi="Times New Roman" w:eastAsia="黑体"/>
        <w:b w:val="0"/>
        <w:i w:val="0"/>
        <w:color w:val="auto"/>
        <w:sz w:val="21"/>
      </w:rPr>
    </w:lvl>
    <w:lvl w:ilvl="3" w:tentative="0">
      <w:start w:val="1"/>
      <w:numFmt w:val="decimal"/>
      <w:suff w:val="nothing"/>
      <w:lvlText w:val="%1%2.%3.%4　"/>
      <w:lvlJc w:val="left"/>
      <w:pPr>
        <w:ind w:left="840" w:firstLine="0"/>
      </w:pPr>
      <w:rPr>
        <w:rFonts w:hint="eastAsia" w:ascii="黑体" w:hAnsi="Times New Roman" w:eastAsia="黑体"/>
        <w:b w:val="0"/>
        <w:i w:val="0"/>
        <w:sz w:val="21"/>
      </w:rPr>
    </w:lvl>
    <w:lvl w:ilvl="4" w:tentative="0">
      <w:start w:val="1"/>
      <w:numFmt w:val="decimal"/>
      <w:pStyle w:val="53"/>
      <w:suff w:val="nothing"/>
      <w:lvlText w:val="%1%2.%3.%4.%5　"/>
      <w:lvlJc w:val="left"/>
      <w:pPr>
        <w:ind w:left="945"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7AEB6E00"/>
    <w:multiLevelType w:val="singleLevel"/>
    <w:tmpl w:val="7AEB6E00"/>
    <w:lvl w:ilvl="0" w:tentative="0">
      <w:start w:val="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05CF2"/>
    <w:rsid w:val="00012969"/>
    <w:rsid w:val="00024CF7"/>
    <w:rsid w:val="00026A3E"/>
    <w:rsid w:val="00036884"/>
    <w:rsid w:val="000369AA"/>
    <w:rsid w:val="00040EC7"/>
    <w:rsid w:val="000445DA"/>
    <w:rsid w:val="00076772"/>
    <w:rsid w:val="00077151"/>
    <w:rsid w:val="00095BCE"/>
    <w:rsid w:val="000A222A"/>
    <w:rsid w:val="000A602A"/>
    <w:rsid w:val="000B142F"/>
    <w:rsid w:val="000B42EB"/>
    <w:rsid w:val="000C2FD9"/>
    <w:rsid w:val="000D38BA"/>
    <w:rsid w:val="000E15DE"/>
    <w:rsid w:val="000E5EFA"/>
    <w:rsid w:val="000E7064"/>
    <w:rsid w:val="000F73F7"/>
    <w:rsid w:val="001077D0"/>
    <w:rsid w:val="00123EAD"/>
    <w:rsid w:val="001244FA"/>
    <w:rsid w:val="001254FF"/>
    <w:rsid w:val="001334B5"/>
    <w:rsid w:val="0013692A"/>
    <w:rsid w:val="00137647"/>
    <w:rsid w:val="0015199D"/>
    <w:rsid w:val="001604E9"/>
    <w:rsid w:val="00161BD6"/>
    <w:rsid w:val="00172A27"/>
    <w:rsid w:val="001C2A0C"/>
    <w:rsid w:val="001D206C"/>
    <w:rsid w:val="001F4ECF"/>
    <w:rsid w:val="002164F1"/>
    <w:rsid w:val="00244E75"/>
    <w:rsid w:val="002464C0"/>
    <w:rsid w:val="00256238"/>
    <w:rsid w:val="00274826"/>
    <w:rsid w:val="00276E33"/>
    <w:rsid w:val="00283E44"/>
    <w:rsid w:val="00290817"/>
    <w:rsid w:val="002938AE"/>
    <w:rsid w:val="002A639D"/>
    <w:rsid w:val="002D7601"/>
    <w:rsid w:val="002F18B8"/>
    <w:rsid w:val="00306A5B"/>
    <w:rsid w:val="00314F58"/>
    <w:rsid w:val="003179FC"/>
    <w:rsid w:val="00320C05"/>
    <w:rsid w:val="00327373"/>
    <w:rsid w:val="003278CE"/>
    <w:rsid w:val="00333E1C"/>
    <w:rsid w:val="00334AF2"/>
    <w:rsid w:val="00340445"/>
    <w:rsid w:val="00357030"/>
    <w:rsid w:val="00363F51"/>
    <w:rsid w:val="0038268A"/>
    <w:rsid w:val="00384A05"/>
    <w:rsid w:val="00396E81"/>
    <w:rsid w:val="0039779A"/>
    <w:rsid w:val="003A6146"/>
    <w:rsid w:val="003B2B46"/>
    <w:rsid w:val="003C7C89"/>
    <w:rsid w:val="003D7955"/>
    <w:rsid w:val="003E466F"/>
    <w:rsid w:val="003F13E1"/>
    <w:rsid w:val="004025AD"/>
    <w:rsid w:val="0041339D"/>
    <w:rsid w:val="00423CE1"/>
    <w:rsid w:val="0043695B"/>
    <w:rsid w:val="00443D24"/>
    <w:rsid w:val="00454ECF"/>
    <w:rsid w:val="00462625"/>
    <w:rsid w:val="004907EE"/>
    <w:rsid w:val="004B0067"/>
    <w:rsid w:val="004C3DB1"/>
    <w:rsid w:val="004D6D3D"/>
    <w:rsid w:val="004E04FC"/>
    <w:rsid w:val="004E6A39"/>
    <w:rsid w:val="004F081A"/>
    <w:rsid w:val="004F20EB"/>
    <w:rsid w:val="004F23CA"/>
    <w:rsid w:val="004F748D"/>
    <w:rsid w:val="00502641"/>
    <w:rsid w:val="00505BD7"/>
    <w:rsid w:val="00512A71"/>
    <w:rsid w:val="00513E95"/>
    <w:rsid w:val="005256A3"/>
    <w:rsid w:val="00533652"/>
    <w:rsid w:val="00533E48"/>
    <w:rsid w:val="0054253D"/>
    <w:rsid w:val="005463B9"/>
    <w:rsid w:val="00554678"/>
    <w:rsid w:val="005554E9"/>
    <w:rsid w:val="0056239D"/>
    <w:rsid w:val="005646EA"/>
    <w:rsid w:val="005748A1"/>
    <w:rsid w:val="00575101"/>
    <w:rsid w:val="005811DB"/>
    <w:rsid w:val="00592CE9"/>
    <w:rsid w:val="005A1F76"/>
    <w:rsid w:val="005A74C8"/>
    <w:rsid w:val="005B52C7"/>
    <w:rsid w:val="005E0283"/>
    <w:rsid w:val="005E0F66"/>
    <w:rsid w:val="005F277D"/>
    <w:rsid w:val="005F37CA"/>
    <w:rsid w:val="00623B62"/>
    <w:rsid w:val="00624742"/>
    <w:rsid w:val="00631227"/>
    <w:rsid w:val="00640B76"/>
    <w:rsid w:val="00644E73"/>
    <w:rsid w:val="00645845"/>
    <w:rsid w:val="00666782"/>
    <w:rsid w:val="00672E18"/>
    <w:rsid w:val="00676604"/>
    <w:rsid w:val="00684DFA"/>
    <w:rsid w:val="0068747E"/>
    <w:rsid w:val="006C00F7"/>
    <w:rsid w:val="006D29A0"/>
    <w:rsid w:val="006E0E2B"/>
    <w:rsid w:val="006E230C"/>
    <w:rsid w:val="006F54DE"/>
    <w:rsid w:val="0070630C"/>
    <w:rsid w:val="0071132D"/>
    <w:rsid w:val="007270B9"/>
    <w:rsid w:val="00732AD2"/>
    <w:rsid w:val="007369EA"/>
    <w:rsid w:val="007371A1"/>
    <w:rsid w:val="0076259A"/>
    <w:rsid w:val="00763A9D"/>
    <w:rsid w:val="00764257"/>
    <w:rsid w:val="00774321"/>
    <w:rsid w:val="007826BA"/>
    <w:rsid w:val="00793024"/>
    <w:rsid w:val="00797237"/>
    <w:rsid w:val="007B7CB3"/>
    <w:rsid w:val="007E1675"/>
    <w:rsid w:val="00810B62"/>
    <w:rsid w:val="00811EDC"/>
    <w:rsid w:val="00815981"/>
    <w:rsid w:val="00820D55"/>
    <w:rsid w:val="00823D82"/>
    <w:rsid w:val="00830C7B"/>
    <w:rsid w:val="0083263F"/>
    <w:rsid w:val="00833B57"/>
    <w:rsid w:val="00843025"/>
    <w:rsid w:val="008538EA"/>
    <w:rsid w:val="008609F5"/>
    <w:rsid w:val="00860A74"/>
    <w:rsid w:val="00867CE1"/>
    <w:rsid w:val="008945A2"/>
    <w:rsid w:val="008A43DA"/>
    <w:rsid w:val="008F188F"/>
    <w:rsid w:val="00900A4C"/>
    <w:rsid w:val="009214B1"/>
    <w:rsid w:val="00923A47"/>
    <w:rsid w:val="00927A9E"/>
    <w:rsid w:val="0094269C"/>
    <w:rsid w:val="009510CE"/>
    <w:rsid w:val="009647D0"/>
    <w:rsid w:val="00972954"/>
    <w:rsid w:val="0098671E"/>
    <w:rsid w:val="009901D9"/>
    <w:rsid w:val="00990380"/>
    <w:rsid w:val="009921FA"/>
    <w:rsid w:val="009B26AF"/>
    <w:rsid w:val="009B5038"/>
    <w:rsid w:val="009B53A5"/>
    <w:rsid w:val="009B606C"/>
    <w:rsid w:val="009C2D9B"/>
    <w:rsid w:val="009D1182"/>
    <w:rsid w:val="009D4212"/>
    <w:rsid w:val="009D4A41"/>
    <w:rsid w:val="009F0C98"/>
    <w:rsid w:val="009F2FBB"/>
    <w:rsid w:val="00A231D2"/>
    <w:rsid w:val="00A25AD8"/>
    <w:rsid w:val="00A32480"/>
    <w:rsid w:val="00A36F42"/>
    <w:rsid w:val="00A41325"/>
    <w:rsid w:val="00A43D5A"/>
    <w:rsid w:val="00A45EBE"/>
    <w:rsid w:val="00A63D44"/>
    <w:rsid w:val="00A8594A"/>
    <w:rsid w:val="00A93D43"/>
    <w:rsid w:val="00AB5C9E"/>
    <w:rsid w:val="00AC110C"/>
    <w:rsid w:val="00AD3310"/>
    <w:rsid w:val="00AD63D0"/>
    <w:rsid w:val="00AE0265"/>
    <w:rsid w:val="00AE406D"/>
    <w:rsid w:val="00AE6B1F"/>
    <w:rsid w:val="00AF3B4C"/>
    <w:rsid w:val="00B00A38"/>
    <w:rsid w:val="00B02300"/>
    <w:rsid w:val="00B17EFF"/>
    <w:rsid w:val="00B36603"/>
    <w:rsid w:val="00B55862"/>
    <w:rsid w:val="00B75AA8"/>
    <w:rsid w:val="00B87CB5"/>
    <w:rsid w:val="00B94298"/>
    <w:rsid w:val="00B961A9"/>
    <w:rsid w:val="00BA137F"/>
    <w:rsid w:val="00BB19B9"/>
    <w:rsid w:val="00BB418F"/>
    <w:rsid w:val="00BC49E4"/>
    <w:rsid w:val="00BC59B3"/>
    <w:rsid w:val="00BC7D4E"/>
    <w:rsid w:val="00BE0046"/>
    <w:rsid w:val="00BF447B"/>
    <w:rsid w:val="00C04902"/>
    <w:rsid w:val="00C37B29"/>
    <w:rsid w:val="00C41A24"/>
    <w:rsid w:val="00C529BB"/>
    <w:rsid w:val="00C55CE0"/>
    <w:rsid w:val="00C60237"/>
    <w:rsid w:val="00C66FEA"/>
    <w:rsid w:val="00C719FF"/>
    <w:rsid w:val="00C73EF0"/>
    <w:rsid w:val="00C87A41"/>
    <w:rsid w:val="00C95385"/>
    <w:rsid w:val="00C95969"/>
    <w:rsid w:val="00C96F1E"/>
    <w:rsid w:val="00CA32A3"/>
    <w:rsid w:val="00CA5733"/>
    <w:rsid w:val="00CB6D29"/>
    <w:rsid w:val="00CD52E3"/>
    <w:rsid w:val="00CE0AD6"/>
    <w:rsid w:val="00CE2E88"/>
    <w:rsid w:val="00CE5A86"/>
    <w:rsid w:val="00CF5026"/>
    <w:rsid w:val="00D13810"/>
    <w:rsid w:val="00D2107D"/>
    <w:rsid w:val="00D45F12"/>
    <w:rsid w:val="00D46EA3"/>
    <w:rsid w:val="00D47E09"/>
    <w:rsid w:val="00D5715A"/>
    <w:rsid w:val="00D703AA"/>
    <w:rsid w:val="00D84FB8"/>
    <w:rsid w:val="00D877EA"/>
    <w:rsid w:val="00D9041A"/>
    <w:rsid w:val="00D9346B"/>
    <w:rsid w:val="00D96442"/>
    <w:rsid w:val="00DD53EC"/>
    <w:rsid w:val="00DF5DD4"/>
    <w:rsid w:val="00DF633E"/>
    <w:rsid w:val="00E0087A"/>
    <w:rsid w:val="00E0265E"/>
    <w:rsid w:val="00E060A4"/>
    <w:rsid w:val="00E1055F"/>
    <w:rsid w:val="00E10ABC"/>
    <w:rsid w:val="00E2429A"/>
    <w:rsid w:val="00E25E0B"/>
    <w:rsid w:val="00E26B0A"/>
    <w:rsid w:val="00E27FD6"/>
    <w:rsid w:val="00E33700"/>
    <w:rsid w:val="00E347F5"/>
    <w:rsid w:val="00E35B4E"/>
    <w:rsid w:val="00E51C54"/>
    <w:rsid w:val="00E56737"/>
    <w:rsid w:val="00E71203"/>
    <w:rsid w:val="00E71E6A"/>
    <w:rsid w:val="00E731D9"/>
    <w:rsid w:val="00E76758"/>
    <w:rsid w:val="00E861E0"/>
    <w:rsid w:val="00E90697"/>
    <w:rsid w:val="00E93921"/>
    <w:rsid w:val="00EA2A65"/>
    <w:rsid w:val="00EA2C10"/>
    <w:rsid w:val="00EB2569"/>
    <w:rsid w:val="00EC4CD0"/>
    <w:rsid w:val="00ED1350"/>
    <w:rsid w:val="00ED3FBF"/>
    <w:rsid w:val="00EF6CEE"/>
    <w:rsid w:val="00F0462C"/>
    <w:rsid w:val="00F12063"/>
    <w:rsid w:val="00F14EE4"/>
    <w:rsid w:val="00F159F8"/>
    <w:rsid w:val="00F207D7"/>
    <w:rsid w:val="00F20871"/>
    <w:rsid w:val="00F23E8A"/>
    <w:rsid w:val="00F24824"/>
    <w:rsid w:val="00F2749C"/>
    <w:rsid w:val="00F42096"/>
    <w:rsid w:val="00F568E3"/>
    <w:rsid w:val="00F651DC"/>
    <w:rsid w:val="00F70239"/>
    <w:rsid w:val="00F704CC"/>
    <w:rsid w:val="00F72B42"/>
    <w:rsid w:val="00F72FB2"/>
    <w:rsid w:val="00F7752B"/>
    <w:rsid w:val="00F82878"/>
    <w:rsid w:val="00F964BB"/>
    <w:rsid w:val="00FA0DAA"/>
    <w:rsid w:val="00FB2359"/>
    <w:rsid w:val="00FC1561"/>
    <w:rsid w:val="00FC3AB1"/>
    <w:rsid w:val="00FC5949"/>
    <w:rsid w:val="00FE2C25"/>
    <w:rsid w:val="00FF7105"/>
    <w:rsid w:val="011351A1"/>
    <w:rsid w:val="025A704C"/>
    <w:rsid w:val="030C1793"/>
    <w:rsid w:val="034F070B"/>
    <w:rsid w:val="034F162B"/>
    <w:rsid w:val="035D3E78"/>
    <w:rsid w:val="0493726F"/>
    <w:rsid w:val="04AB1E9B"/>
    <w:rsid w:val="04C11B1B"/>
    <w:rsid w:val="051A13EE"/>
    <w:rsid w:val="056B1570"/>
    <w:rsid w:val="06C40ABC"/>
    <w:rsid w:val="06D930D1"/>
    <w:rsid w:val="06FF70B4"/>
    <w:rsid w:val="071645E6"/>
    <w:rsid w:val="07AD00FC"/>
    <w:rsid w:val="086931A2"/>
    <w:rsid w:val="08DF64FD"/>
    <w:rsid w:val="097F3CA4"/>
    <w:rsid w:val="0A2A25EC"/>
    <w:rsid w:val="0AA47E32"/>
    <w:rsid w:val="0ABC3D29"/>
    <w:rsid w:val="0B367CB1"/>
    <w:rsid w:val="0B6A63A0"/>
    <w:rsid w:val="0B816EC2"/>
    <w:rsid w:val="0B9A61A1"/>
    <w:rsid w:val="0BCE044A"/>
    <w:rsid w:val="0CC45DD2"/>
    <w:rsid w:val="0CDE1BC4"/>
    <w:rsid w:val="0D492420"/>
    <w:rsid w:val="0D546832"/>
    <w:rsid w:val="0D8916B5"/>
    <w:rsid w:val="0D9D3E48"/>
    <w:rsid w:val="0DA519A8"/>
    <w:rsid w:val="0E5908A7"/>
    <w:rsid w:val="0E7C5984"/>
    <w:rsid w:val="0EC24ADC"/>
    <w:rsid w:val="0ED013F1"/>
    <w:rsid w:val="0EE65BD1"/>
    <w:rsid w:val="0EE91E83"/>
    <w:rsid w:val="0F5C08A7"/>
    <w:rsid w:val="0FFF2C18"/>
    <w:rsid w:val="105C6685"/>
    <w:rsid w:val="105E7D39"/>
    <w:rsid w:val="106D604A"/>
    <w:rsid w:val="107374DA"/>
    <w:rsid w:val="118F65E6"/>
    <w:rsid w:val="12F12E45"/>
    <w:rsid w:val="1341782F"/>
    <w:rsid w:val="13DD48AB"/>
    <w:rsid w:val="142448D3"/>
    <w:rsid w:val="14741B9C"/>
    <w:rsid w:val="14FF5E44"/>
    <w:rsid w:val="16943004"/>
    <w:rsid w:val="16D13CE6"/>
    <w:rsid w:val="17112E63"/>
    <w:rsid w:val="17772E6E"/>
    <w:rsid w:val="17E11B06"/>
    <w:rsid w:val="182E2D95"/>
    <w:rsid w:val="18995458"/>
    <w:rsid w:val="18F8226D"/>
    <w:rsid w:val="1970758B"/>
    <w:rsid w:val="19913A18"/>
    <w:rsid w:val="19B9533B"/>
    <w:rsid w:val="1A0E5694"/>
    <w:rsid w:val="1A7D4E13"/>
    <w:rsid w:val="1ADE73D2"/>
    <w:rsid w:val="1AE355AC"/>
    <w:rsid w:val="1AE56041"/>
    <w:rsid w:val="1B7B20F9"/>
    <w:rsid w:val="1B8A69D3"/>
    <w:rsid w:val="1BDB2070"/>
    <w:rsid w:val="1C8226D9"/>
    <w:rsid w:val="1C90538C"/>
    <w:rsid w:val="1C9B22E3"/>
    <w:rsid w:val="1CB56FA5"/>
    <w:rsid w:val="1CC33DE3"/>
    <w:rsid w:val="1CD8507F"/>
    <w:rsid w:val="1CE646BB"/>
    <w:rsid w:val="1D016F25"/>
    <w:rsid w:val="1D1E3640"/>
    <w:rsid w:val="1DF15340"/>
    <w:rsid w:val="1DF425C5"/>
    <w:rsid w:val="1E26120E"/>
    <w:rsid w:val="1E2904F6"/>
    <w:rsid w:val="1E653457"/>
    <w:rsid w:val="1E730FEE"/>
    <w:rsid w:val="1EA04EBF"/>
    <w:rsid w:val="1EA27147"/>
    <w:rsid w:val="1EB021C8"/>
    <w:rsid w:val="1EC73863"/>
    <w:rsid w:val="1EDD30C0"/>
    <w:rsid w:val="1F085EE0"/>
    <w:rsid w:val="1FC5422C"/>
    <w:rsid w:val="1FCC7C73"/>
    <w:rsid w:val="200F7270"/>
    <w:rsid w:val="201F4BED"/>
    <w:rsid w:val="20335387"/>
    <w:rsid w:val="203C622E"/>
    <w:rsid w:val="204506CD"/>
    <w:rsid w:val="20513D98"/>
    <w:rsid w:val="20DE0E36"/>
    <w:rsid w:val="2106203C"/>
    <w:rsid w:val="212F6099"/>
    <w:rsid w:val="218A325D"/>
    <w:rsid w:val="21A01388"/>
    <w:rsid w:val="21F52495"/>
    <w:rsid w:val="220B6D08"/>
    <w:rsid w:val="22162A0C"/>
    <w:rsid w:val="22956632"/>
    <w:rsid w:val="237C2AB0"/>
    <w:rsid w:val="23907634"/>
    <w:rsid w:val="23C149FC"/>
    <w:rsid w:val="24003A9F"/>
    <w:rsid w:val="24056B85"/>
    <w:rsid w:val="24B222C6"/>
    <w:rsid w:val="25391B17"/>
    <w:rsid w:val="258C3110"/>
    <w:rsid w:val="25971636"/>
    <w:rsid w:val="25B0408F"/>
    <w:rsid w:val="25B52A1E"/>
    <w:rsid w:val="263C4254"/>
    <w:rsid w:val="266313E8"/>
    <w:rsid w:val="274B18DF"/>
    <w:rsid w:val="279066BB"/>
    <w:rsid w:val="27A67DCA"/>
    <w:rsid w:val="2939678A"/>
    <w:rsid w:val="29404E93"/>
    <w:rsid w:val="29583C63"/>
    <w:rsid w:val="29C94281"/>
    <w:rsid w:val="2A0F2353"/>
    <w:rsid w:val="2A273E43"/>
    <w:rsid w:val="2B162954"/>
    <w:rsid w:val="2B180402"/>
    <w:rsid w:val="2B1B34A6"/>
    <w:rsid w:val="2B481888"/>
    <w:rsid w:val="2C270E8F"/>
    <w:rsid w:val="2C7935D0"/>
    <w:rsid w:val="2CB805B4"/>
    <w:rsid w:val="2E670B65"/>
    <w:rsid w:val="2F8E4E74"/>
    <w:rsid w:val="302A7A01"/>
    <w:rsid w:val="305E27A1"/>
    <w:rsid w:val="315629B7"/>
    <w:rsid w:val="31F14A27"/>
    <w:rsid w:val="320F75A3"/>
    <w:rsid w:val="32243A04"/>
    <w:rsid w:val="322E44A1"/>
    <w:rsid w:val="328567E1"/>
    <w:rsid w:val="3317670F"/>
    <w:rsid w:val="33465C5F"/>
    <w:rsid w:val="336800CF"/>
    <w:rsid w:val="336D41AA"/>
    <w:rsid w:val="341B0058"/>
    <w:rsid w:val="35443EA2"/>
    <w:rsid w:val="354D466A"/>
    <w:rsid w:val="35943D87"/>
    <w:rsid w:val="35A06E06"/>
    <w:rsid w:val="35A73FA9"/>
    <w:rsid w:val="35D36354"/>
    <w:rsid w:val="361D4821"/>
    <w:rsid w:val="36701B8E"/>
    <w:rsid w:val="368D5CC7"/>
    <w:rsid w:val="370B16FF"/>
    <w:rsid w:val="37E06880"/>
    <w:rsid w:val="37F45F1C"/>
    <w:rsid w:val="38127709"/>
    <w:rsid w:val="38871C41"/>
    <w:rsid w:val="38F85D85"/>
    <w:rsid w:val="39065067"/>
    <w:rsid w:val="39656249"/>
    <w:rsid w:val="39CE36E9"/>
    <w:rsid w:val="3A5B1371"/>
    <w:rsid w:val="3B3A71D3"/>
    <w:rsid w:val="3B8D3DE0"/>
    <w:rsid w:val="3BA56902"/>
    <w:rsid w:val="3C335C3C"/>
    <w:rsid w:val="3D3C4291"/>
    <w:rsid w:val="3D5B233F"/>
    <w:rsid w:val="3D6452D8"/>
    <w:rsid w:val="3D665DB8"/>
    <w:rsid w:val="3DAA0180"/>
    <w:rsid w:val="3DAC3EF8"/>
    <w:rsid w:val="3DC573B0"/>
    <w:rsid w:val="3EAF0AC5"/>
    <w:rsid w:val="3F081602"/>
    <w:rsid w:val="3F2D1692"/>
    <w:rsid w:val="40260A3F"/>
    <w:rsid w:val="408C3C12"/>
    <w:rsid w:val="41246690"/>
    <w:rsid w:val="41FA17F0"/>
    <w:rsid w:val="425E3116"/>
    <w:rsid w:val="426967E6"/>
    <w:rsid w:val="42870A90"/>
    <w:rsid w:val="42A5039E"/>
    <w:rsid w:val="42CB4C14"/>
    <w:rsid w:val="4338647E"/>
    <w:rsid w:val="435253A9"/>
    <w:rsid w:val="43C65214"/>
    <w:rsid w:val="44360F4D"/>
    <w:rsid w:val="450263AE"/>
    <w:rsid w:val="4519688E"/>
    <w:rsid w:val="456808A4"/>
    <w:rsid w:val="45A647DD"/>
    <w:rsid w:val="45F71245"/>
    <w:rsid w:val="46287757"/>
    <w:rsid w:val="46D73402"/>
    <w:rsid w:val="47707D5E"/>
    <w:rsid w:val="4815620E"/>
    <w:rsid w:val="482E134B"/>
    <w:rsid w:val="4852089E"/>
    <w:rsid w:val="48B2228F"/>
    <w:rsid w:val="49373210"/>
    <w:rsid w:val="495963F5"/>
    <w:rsid w:val="49E5322B"/>
    <w:rsid w:val="4A050C18"/>
    <w:rsid w:val="4A1E181A"/>
    <w:rsid w:val="4A596036"/>
    <w:rsid w:val="4A5C49CE"/>
    <w:rsid w:val="4B2477C4"/>
    <w:rsid w:val="4C136BC5"/>
    <w:rsid w:val="4C4B4B2E"/>
    <w:rsid w:val="4CA62F94"/>
    <w:rsid w:val="4D97453A"/>
    <w:rsid w:val="4EB26E63"/>
    <w:rsid w:val="4EEA3009"/>
    <w:rsid w:val="4F6E0B6B"/>
    <w:rsid w:val="4F836C18"/>
    <w:rsid w:val="502E1B40"/>
    <w:rsid w:val="505B4364"/>
    <w:rsid w:val="505C5E87"/>
    <w:rsid w:val="52093973"/>
    <w:rsid w:val="52A15610"/>
    <w:rsid w:val="531A6615"/>
    <w:rsid w:val="53306616"/>
    <w:rsid w:val="5344199A"/>
    <w:rsid w:val="53861ABE"/>
    <w:rsid w:val="538B77B9"/>
    <w:rsid w:val="53B15C19"/>
    <w:rsid w:val="53B15DFB"/>
    <w:rsid w:val="54317620"/>
    <w:rsid w:val="54E0511C"/>
    <w:rsid w:val="553B4932"/>
    <w:rsid w:val="567237FC"/>
    <w:rsid w:val="571D04D9"/>
    <w:rsid w:val="573C590A"/>
    <w:rsid w:val="576A5E97"/>
    <w:rsid w:val="57C66941"/>
    <w:rsid w:val="57D1348E"/>
    <w:rsid w:val="58981E9D"/>
    <w:rsid w:val="59B0305E"/>
    <w:rsid w:val="59C77C98"/>
    <w:rsid w:val="59E07889"/>
    <w:rsid w:val="59FA20DB"/>
    <w:rsid w:val="5A1A1B93"/>
    <w:rsid w:val="5AAE0E58"/>
    <w:rsid w:val="5AEC118B"/>
    <w:rsid w:val="5B3845AB"/>
    <w:rsid w:val="5C4D1749"/>
    <w:rsid w:val="5C565624"/>
    <w:rsid w:val="5C7A0BE1"/>
    <w:rsid w:val="5CDF6F73"/>
    <w:rsid w:val="5D8365CC"/>
    <w:rsid w:val="5DA21B1C"/>
    <w:rsid w:val="5E3370B3"/>
    <w:rsid w:val="5F054121"/>
    <w:rsid w:val="5F143EC1"/>
    <w:rsid w:val="5FE53928"/>
    <w:rsid w:val="5FEA3A8A"/>
    <w:rsid w:val="5FF56888"/>
    <w:rsid w:val="6014486C"/>
    <w:rsid w:val="602533A4"/>
    <w:rsid w:val="609C3BEC"/>
    <w:rsid w:val="61001CE1"/>
    <w:rsid w:val="611D7F7F"/>
    <w:rsid w:val="61A86601"/>
    <w:rsid w:val="61DE7129"/>
    <w:rsid w:val="622B7232"/>
    <w:rsid w:val="62781E63"/>
    <w:rsid w:val="63186F76"/>
    <w:rsid w:val="63CA5AFC"/>
    <w:rsid w:val="63F817F5"/>
    <w:rsid w:val="64715D1E"/>
    <w:rsid w:val="652E32C1"/>
    <w:rsid w:val="65813E40"/>
    <w:rsid w:val="658234D4"/>
    <w:rsid w:val="662270C4"/>
    <w:rsid w:val="663416A0"/>
    <w:rsid w:val="66684060"/>
    <w:rsid w:val="66A01F9C"/>
    <w:rsid w:val="66F7007F"/>
    <w:rsid w:val="671B1E32"/>
    <w:rsid w:val="675A5542"/>
    <w:rsid w:val="67C40054"/>
    <w:rsid w:val="67F8441E"/>
    <w:rsid w:val="68054A4C"/>
    <w:rsid w:val="689A0D7A"/>
    <w:rsid w:val="68BC6536"/>
    <w:rsid w:val="68C06926"/>
    <w:rsid w:val="68D57496"/>
    <w:rsid w:val="68D77266"/>
    <w:rsid w:val="69124A9B"/>
    <w:rsid w:val="69746325"/>
    <w:rsid w:val="69890D36"/>
    <w:rsid w:val="6A113536"/>
    <w:rsid w:val="6A5979E2"/>
    <w:rsid w:val="6A843C96"/>
    <w:rsid w:val="6BCE55FC"/>
    <w:rsid w:val="6C7D4041"/>
    <w:rsid w:val="6CF05300"/>
    <w:rsid w:val="6D153DFE"/>
    <w:rsid w:val="6D861066"/>
    <w:rsid w:val="6DAA057E"/>
    <w:rsid w:val="6DE17566"/>
    <w:rsid w:val="6DED04AC"/>
    <w:rsid w:val="6DEF6E11"/>
    <w:rsid w:val="6E1D39B2"/>
    <w:rsid w:val="6E680A75"/>
    <w:rsid w:val="6EBE50C2"/>
    <w:rsid w:val="6F2961BE"/>
    <w:rsid w:val="6F4A35AA"/>
    <w:rsid w:val="6F995F5E"/>
    <w:rsid w:val="6FAF4E84"/>
    <w:rsid w:val="70395C9A"/>
    <w:rsid w:val="70451544"/>
    <w:rsid w:val="70A22325"/>
    <w:rsid w:val="70AA0566"/>
    <w:rsid w:val="70C920F0"/>
    <w:rsid w:val="70D626B4"/>
    <w:rsid w:val="716471C5"/>
    <w:rsid w:val="720F1942"/>
    <w:rsid w:val="726561CB"/>
    <w:rsid w:val="730B5DC7"/>
    <w:rsid w:val="736E6C98"/>
    <w:rsid w:val="737F2F3A"/>
    <w:rsid w:val="742970E4"/>
    <w:rsid w:val="748718CE"/>
    <w:rsid w:val="74A14721"/>
    <w:rsid w:val="759C6025"/>
    <w:rsid w:val="75B50E95"/>
    <w:rsid w:val="75B76BFD"/>
    <w:rsid w:val="761262E7"/>
    <w:rsid w:val="761E1475"/>
    <w:rsid w:val="76D72EF8"/>
    <w:rsid w:val="77F35CA4"/>
    <w:rsid w:val="78905BAB"/>
    <w:rsid w:val="79E9540B"/>
    <w:rsid w:val="7A2615A8"/>
    <w:rsid w:val="7A27526A"/>
    <w:rsid w:val="7A6371F2"/>
    <w:rsid w:val="7AE73ABC"/>
    <w:rsid w:val="7AF246DD"/>
    <w:rsid w:val="7B1F572E"/>
    <w:rsid w:val="7BB94D8B"/>
    <w:rsid w:val="7BC83F81"/>
    <w:rsid w:val="7BF73FB5"/>
    <w:rsid w:val="7C5A425C"/>
    <w:rsid w:val="7C6157D4"/>
    <w:rsid w:val="7C7B3CF5"/>
    <w:rsid w:val="7CF00B69"/>
    <w:rsid w:val="7D0532A9"/>
    <w:rsid w:val="7D4F0F94"/>
    <w:rsid w:val="7D877CD5"/>
    <w:rsid w:val="7DA442C3"/>
    <w:rsid w:val="7DCB5EDE"/>
    <w:rsid w:val="7E230910"/>
    <w:rsid w:val="7E351C0B"/>
    <w:rsid w:val="7E4C32B3"/>
    <w:rsid w:val="7E9B42F0"/>
    <w:rsid w:val="7EF742CC"/>
    <w:rsid w:val="7F035D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5"/>
    <w:qFormat/>
    <w:uiPriority w:val="9"/>
    <w:pPr>
      <w:keepNext/>
      <w:keepLines/>
      <w:spacing w:beforeLines="100" w:afterLines="100" w:line="360" w:lineRule="auto"/>
      <w:jc w:val="center"/>
      <w:outlineLvl w:val="0"/>
    </w:pPr>
    <w:rPr>
      <w:rFonts w:eastAsia="黑体"/>
      <w:bCs/>
      <w:kern w:val="44"/>
      <w:sz w:val="32"/>
      <w:szCs w:val="44"/>
    </w:rPr>
  </w:style>
  <w:style w:type="paragraph" w:styleId="3">
    <w:name w:val="heading 2"/>
    <w:basedOn w:val="1"/>
    <w:next w:val="1"/>
    <w:link w:val="47"/>
    <w:unhideWhenUsed/>
    <w:qFormat/>
    <w:uiPriority w:val="9"/>
    <w:pPr>
      <w:keepNext/>
      <w:keepLines/>
      <w:spacing w:line="360" w:lineRule="auto"/>
      <w:jc w:val="center"/>
      <w:outlineLvl w:val="1"/>
    </w:pPr>
    <w:rPr>
      <w:rFonts w:eastAsia="黑体" w:asciiTheme="majorHAnsi" w:hAnsiTheme="majorHAnsi" w:cstheme="majorBidi"/>
      <w:bCs/>
      <w:sz w:val="30"/>
      <w:szCs w:val="32"/>
    </w:rPr>
  </w:style>
  <w:style w:type="paragraph" w:styleId="4">
    <w:name w:val="heading 3"/>
    <w:basedOn w:val="1"/>
    <w:next w:val="1"/>
    <w:link w:val="48"/>
    <w:unhideWhenUsed/>
    <w:qFormat/>
    <w:uiPriority w:val="9"/>
    <w:pPr>
      <w:keepNext/>
      <w:keepLines/>
      <w:ind w:firstLine="200" w:firstLineChars="200"/>
      <w:jc w:val="left"/>
      <w:outlineLvl w:val="2"/>
    </w:pPr>
    <w:rPr>
      <w:rFonts w:eastAsia="黑体"/>
      <w:bCs/>
      <w:sz w:val="28"/>
      <w:szCs w:val="32"/>
    </w:rPr>
  </w:style>
  <w:style w:type="paragraph" w:styleId="5">
    <w:name w:val="heading 4"/>
    <w:basedOn w:val="1"/>
    <w:next w:val="1"/>
    <w:link w:val="49"/>
    <w:unhideWhenUsed/>
    <w:qFormat/>
    <w:uiPriority w:val="9"/>
    <w:pPr>
      <w:keepNext/>
      <w:keepLines/>
      <w:ind w:firstLine="200" w:firstLineChars="200"/>
      <w:jc w:val="left"/>
      <w:outlineLvl w:val="3"/>
    </w:pPr>
    <w:rPr>
      <w:rFonts w:eastAsia="黑体" w:asciiTheme="majorHAnsi" w:hAnsiTheme="majorHAnsi" w:cstheme="majorBidi"/>
      <w:bCs/>
      <w:sz w:val="28"/>
      <w:szCs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paragraph" w:styleId="7">
    <w:name w:val="heading 6"/>
    <w:basedOn w:val="1"/>
    <w:next w:val="1"/>
    <w:qFormat/>
    <w:uiPriority w:val="0"/>
    <w:pPr>
      <w:keepNext/>
      <w:keepLines/>
      <w:numPr>
        <w:ilvl w:val="5"/>
        <w:numId w:val="1"/>
      </w:numPr>
      <w:spacing w:before="120" w:after="120"/>
      <w:jc w:val="center"/>
      <w:outlineLvl w:val="5"/>
    </w:pPr>
    <w:rPr>
      <w:rFonts w:ascii="Arial" w:hAnsi="Arial" w:eastAsia="黑体"/>
      <w:b/>
      <w:bCs/>
    </w:rPr>
  </w:style>
  <w:style w:type="paragraph" w:styleId="8">
    <w:name w:val="heading 7"/>
    <w:basedOn w:val="1"/>
    <w:next w:val="1"/>
    <w:qFormat/>
    <w:uiPriority w:val="0"/>
    <w:pPr>
      <w:keepNext/>
      <w:keepLines/>
      <w:numPr>
        <w:ilvl w:val="6"/>
        <w:numId w:val="1"/>
      </w:numPr>
      <w:spacing w:before="120" w:after="120"/>
      <w:jc w:val="center"/>
      <w:outlineLvl w:val="6"/>
    </w:pPr>
    <w:rPr>
      <w:b/>
      <w:bCs/>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style>
  <w:style w:type="paragraph" w:styleId="10">
    <w:name w:val="Normal Indent"/>
    <w:basedOn w:val="1"/>
    <w:next w:val="1"/>
    <w:qFormat/>
    <w:uiPriority w:val="0"/>
    <w:pPr>
      <w:widowControl/>
      <w:ind w:firstLine="420"/>
      <w:jc w:val="left"/>
    </w:pPr>
    <w:rPr>
      <w:kern w:val="0"/>
      <w:sz w:val="20"/>
      <w:szCs w:val="20"/>
    </w:rPr>
  </w:style>
  <w:style w:type="paragraph" w:styleId="11">
    <w:name w:val="annotation text"/>
    <w:basedOn w:val="1"/>
    <w:link w:val="56"/>
    <w:qFormat/>
    <w:uiPriority w:val="0"/>
    <w:pPr>
      <w:jc w:val="left"/>
    </w:pPr>
    <w:rPr>
      <w:rFonts w:ascii="Times New Roman" w:hAnsi="Times New Roman"/>
      <w:sz w:val="28"/>
      <w:szCs w:val="24"/>
    </w:rPr>
  </w:style>
  <w:style w:type="paragraph" w:styleId="12">
    <w:name w:val="Body Text"/>
    <w:basedOn w:val="1"/>
    <w:semiHidden/>
    <w:unhideWhenUsed/>
    <w:qFormat/>
    <w:uiPriority w:val="99"/>
    <w:pPr>
      <w:spacing w:after="120"/>
    </w:pPr>
  </w:style>
  <w:style w:type="paragraph" w:styleId="13">
    <w:name w:val="Body Text Indent"/>
    <w:basedOn w:val="1"/>
    <w:next w:val="14"/>
    <w:qFormat/>
    <w:uiPriority w:val="0"/>
    <w:pPr>
      <w:spacing w:after="120"/>
      <w:ind w:left="420" w:leftChars="200"/>
    </w:pPr>
  </w:style>
  <w:style w:type="paragraph" w:styleId="14">
    <w:name w:val="header"/>
    <w:basedOn w:val="1"/>
    <w:next w:val="15"/>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5">
    <w:name w:val="样式5"/>
    <w:basedOn w:val="10"/>
    <w:qFormat/>
    <w:uiPriority w:val="0"/>
    <w:pPr>
      <w:spacing w:before="100" w:beforeLines="0" w:beforeAutospacing="1" w:after="100" w:afterLines="0" w:afterAutospacing="1" w:line="240" w:lineRule="auto"/>
      <w:ind w:left="284"/>
    </w:pPr>
    <w:rPr>
      <w:bCs/>
      <w:sz w:val="24"/>
      <w:szCs w:val="24"/>
    </w:rPr>
  </w:style>
  <w:style w:type="paragraph" w:styleId="16">
    <w:name w:val="toc 5"/>
    <w:basedOn w:val="1"/>
    <w:next w:val="1"/>
    <w:unhideWhenUsed/>
    <w:qFormat/>
    <w:uiPriority w:val="39"/>
    <w:pPr>
      <w:ind w:left="1680" w:leftChars="800"/>
    </w:pPr>
  </w:style>
  <w:style w:type="paragraph" w:styleId="17">
    <w:name w:val="toc 3"/>
    <w:basedOn w:val="1"/>
    <w:next w:val="1"/>
    <w:unhideWhenUsed/>
    <w:qFormat/>
    <w:uiPriority w:val="39"/>
    <w:pPr>
      <w:ind w:left="840" w:leftChars="400"/>
    </w:pPr>
  </w:style>
  <w:style w:type="paragraph" w:styleId="18">
    <w:name w:val="Plain Text"/>
    <w:basedOn w:val="1"/>
    <w:link w:val="54"/>
    <w:qFormat/>
    <w:uiPriority w:val="0"/>
    <w:rPr>
      <w:rFonts w:ascii="宋体" w:hAnsi="Courier New" w:eastAsia="宋体" w:cs="Courier New"/>
      <w:szCs w:val="21"/>
    </w:rPr>
  </w:style>
  <w:style w:type="paragraph" w:styleId="19">
    <w:name w:val="toc 8"/>
    <w:basedOn w:val="1"/>
    <w:next w:val="1"/>
    <w:unhideWhenUsed/>
    <w:qFormat/>
    <w:uiPriority w:val="39"/>
    <w:pPr>
      <w:ind w:left="2940" w:leftChars="1400"/>
    </w:pPr>
  </w:style>
  <w:style w:type="paragraph" w:styleId="20">
    <w:name w:val="Date"/>
    <w:basedOn w:val="1"/>
    <w:next w:val="1"/>
    <w:link w:val="58"/>
    <w:semiHidden/>
    <w:unhideWhenUsed/>
    <w:qFormat/>
    <w:uiPriority w:val="99"/>
    <w:pPr>
      <w:ind w:left="100" w:leftChars="2500"/>
    </w:pPr>
  </w:style>
  <w:style w:type="paragraph" w:styleId="21">
    <w:name w:val="Body Text Indent 2"/>
    <w:basedOn w:val="1"/>
    <w:link w:val="51"/>
    <w:unhideWhenUsed/>
    <w:qFormat/>
    <w:uiPriority w:val="99"/>
    <w:pPr>
      <w:spacing w:after="120" w:line="480" w:lineRule="auto"/>
      <w:ind w:left="420" w:leftChars="200"/>
    </w:pPr>
    <w:rPr>
      <w:rFonts w:ascii="Times New Roman" w:hAnsi="Times New Roman" w:eastAsia="宋体" w:cs="Times New Roman"/>
    </w:rPr>
  </w:style>
  <w:style w:type="paragraph" w:styleId="22">
    <w:name w:val="Balloon Text"/>
    <w:basedOn w:val="1"/>
    <w:link w:val="43"/>
    <w:unhideWhenUsed/>
    <w:qFormat/>
    <w:uiPriority w:val="0"/>
    <w:rPr>
      <w:sz w:val="18"/>
      <w:szCs w:val="18"/>
    </w:rPr>
  </w:style>
  <w:style w:type="paragraph" w:styleId="23">
    <w:name w:val="footer"/>
    <w:basedOn w:val="1"/>
    <w:next w:val="18"/>
    <w:link w:val="42"/>
    <w:unhideWhenUsed/>
    <w:qFormat/>
    <w:uiPriority w:val="99"/>
    <w:pPr>
      <w:tabs>
        <w:tab w:val="center" w:pos="4153"/>
        <w:tab w:val="right" w:pos="8306"/>
      </w:tabs>
      <w:snapToGrid w:val="0"/>
      <w:jc w:val="left"/>
    </w:pPr>
    <w:rPr>
      <w:sz w:val="18"/>
      <w:szCs w:val="18"/>
    </w:rPr>
  </w:style>
  <w:style w:type="paragraph" w:styleId="24">
    <w:name w:val="toc 1"/>
    <w:basedOn w:val="1"/>
    <w:next w:val="1"/>
    <w:unhideWhenUsed/>
    <w:qFormat/>
    <w:uiPriority w:val="39"/>
  </w:style>
  <w:style w:type="paragraph" w:styleId="25">
    <w:name w:val="toc 4"/>
    <w:basedOn w:val="1"/>
    <w:next w:val="1"/>
    <w:unhideWhenUsed/>
    <w:qFormat/>
    <w:uiPriority w:val="39"/>
    <w:pPr>
      <w:ind w:left="1260" w:leftChars="600"/>
    </w:pPr>
  </w:style>
  <w:style w:type="paragraph" w:styleId="26">
    <w:name w:val="toc 6"/>
    <w:basedOn w:val="1"/>
    <w:next w:val="1"/>
    <w:unhideWhenUsed/>
    <w:qFormat/>
    <w:uiPriority w:val="39"/>
    <w:pPr>
      <w:ind w:left="2100" w:leftChars="1000"/>
    </w:pPr>
  </w:style>
  <w:style w:type="paragraph" w:styleId="27">
    <w:name w:val="toc 2"/>
    <w:basedOn w:val="1"/>
    <w:next w:val="1"/>
    <w:unhideWhenUsed/>
    <w:qFormat/>
    <w:uiPriority w:val="39"/>
    <w:pPr>
      <w:ind w:left="420" w:leftChars="200"/>
    </w:pPr>
  </w:style>
  <w:style w:type="paragraph" w:styleId="28">
    <w:name w:val="toc 9"/>
    <w:basedOn w:val="1"/>
    <w:next w:val="1"/>
    <w:unhideWhenUsed/>
    <w:qFormat/>
    <w:uiPriority w:val="39"/>
    <w:pPr>
      <w:ind w:left="3360" w:leftChars="1600"/>
    </w:pPr>
  </w:style>
  <w:style w:type="paragraph" w:styleId="29">
    <w:name w:val="Normal (Web)"/>
    <w:basedOn w:val="1"/>
    <w:qFormat/>
    <w:uiPriority w:val="0"/>
    <w:pPr>
      <w:widowControl/>
      <w:spacing w:before="100" w:beforeAutospacing="1" w:after="100" w:afterAutospacing="1" w:line="360" w:lineRule="auto"/>
      <w:jc w:val="left"/>
    </w:pPr>
    <w:rPr>
      <w:rFonts w:ascii="宋体" w:hAnsi="宋体" w:eastAsia="宋体" w:cs="Times New Roman"/>
      <w:kern w:val="0"/>
      <w:sz w:val="24"/>
      <w:szCs w:val="24"/>
    </w:rPr>
  </w:style>
  <w:style w:type="paragraph" w:styleId="30">
    <w:name w:val="annotation subject"/>
    <w:basedOn w:val="11"/>
    <w:next w:val="11"/>
    <w:link w:val="57"/>
    <w:semiHidden/>
    <w:unhideWhenUsed/>
    <w:qFormat/>
    <w:uiPriority w:val="99"/>
    <w:rPr>
      <w:rFonts w:asciiTheme="minorHAnsi" w:hAnsiTheme="minorHAnsi"/>
      <w:b/>
      <w:bCs/>
      <w:sz w:val="21"/>
      <w:szCs w:val="22"/>
    </w:rPr>
  </w:style>
  <w:style w:type="paragraph" w:styleId="31">
    <w:name w:val="Body Text First Indent"/>
    <w:basedOn w:val="12"/>
    <w:semiHidden/>
    <w:unhideWhenUsed/>
    <w:qFormat/>
    <w:uiPriority w:val="99"/>
    <w:pPr>
      <w:ind w:firstLine="420" w:firstLineChars="100"/>
    </w:p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Hyperlink"/>
    <w:basedOn w:val="34"/>
    <w:unhideWhenUsed/>
    <w:qFormat/>
    <w:uiPriority w:val="99"/>
    <w:rPr>
      <w:color w:val="0000FF" w:themeColor="hyperlink"/>
      <w:u w:val="single"/>
      <w14:textFill>
        <w14:solidFill>
          <w14:schemeClr w14:val="hlink"/>
        </w14:solidFill>
      </w14:textFill>
    </w:rPr>
  </w:style>
  <w:style w:type="character" w:styleId="37">
    <w:name w:val="annotation reference"/>
    <w:basedOn w:val="34"/>
    <w:semiHidden/>
    <w:unhideWhenUsed/>
    <w:qFormat/>
    <w:uiPriority w:val="99"/>
    <w:rPr>
      <w:sz w:val="21"/>
      <w:szCs w:val="21"/>
    </w:rPr>
  </w:style>
  <w:style w:type="paragraph" w:customStyle="1" w:styleId="38">
    <w:name w:val="Default"/>
    <w:unhideWhenUsed/>
    <w:qFormat/>
    <w:uiPriority w:val="0"/>
    <w:pPr>
      <w:widowControl w:val="0"/>
      <w:autoSpaceDE w:val="0"/>
      <w:autoSpaceDN w:val="0"/>
      <w:adjustRightInd w:val="0"/>
    </w:pPr>
    <w:rPr>
      <w:rFonts w:hint="eastAsia" w:ascii="宋体" w:hAnsi="Times New Roman" w:eastAsia="宋体" w:cs="宋体"/>
      <w:color w:val="000000"/>
      <w:kern w:val="2"/>
      <w:sz w:val="24"/>
      <w:szCs w:val="24"/>
      <w:lang w:val="en-US" w:eastAsia="zh-CN" w:bidi="ar-SA"/>
    </w:rPr>
  </w:style>
  <w:style w:type="paragraph" w:customStyle="1" w:styleId="39">
    <w:name w:val="正文首行缩进 21"/>
    <w:basedOn w:val="13"/>
    <w:qFormat/>
    <w:uiPriority w:val="0"/>
    <w:pPr>
      <w:ind w:firstLine="420" w:firstLineChars="200"/>
    </w:pPr>
    <w:rPr>
      <w:rFonts w:ascii="Times New Roman" w:hAnsi="Times New Roman"/>
      <w:szCs w:val="24"/>
    </w:rPr>
  </w:style>
  <w:style w:type="paragraph" w:customStyle="1" w:styleId="40">
    <w:name w:val="正文文字"/>
    <w:basedOn w:val="1"/>
    <w:qFormat/>
    <w:uiPriority w:val="0"/>
    <w:pPr>
      <w:spacing w:line="360" w:lineRule="auto"/>
      <w:ind w:firstLine="480" w:firstLineChars="200"/>
    </w:pPr>
  </w:style>
  <w:style w:type="character" w:customStyle="1" w:styleId="41">
    <w:name w:val="页眉 字符"/>
    <w:basedOn w:val="34"/>
    <w:link w:val="14"/>
    <w:qFormat/>
    <w:uiPriority w:val="99"/>
    <w:rPr>
      <w:sz w:val="18"/>
      <w:szCs w:val="18"/>
    </w:rPr>
  </w:style>
  <w:style w:type="character" w:customStyle="1" w:styleId="42">
    <w:name w:val="页脚 字符"/>
    <w:basedOn w:val="34"/>
    <w:link w:val="23"/>
    <w:qFormat/>
    <w:uiPriority w:val="99"/>
    <w:rPr>
      <w:sz w:val="18"/>
      <w:szCs w:val="18"/>
    </w:rPr>
  </w:style>
  <w:style w:type="character" w:customStyle="1" w:styleId="43">
    <w:name w:val="批注框文本 字符"/>
    <w:basedOn w:val="34"/>
    <w:link w:val="22"/>
    <w:qFormat/>
    <w:uiPriority w:val="0"/>
    <w:rPr>
      <w:sz w:val="18"/>
      <w:szCs w:val="18"/>
    </w:rPr>
  </w:style>
  <w:style w:type="paragraph" w:customStyle="1" w:styleId="44">
    <w:name w:val="Table Paragraph"/>
    <w:basedOn w:val="1"/>
    <w:qFormat/>
    <w:uiPriority w:val="1"/>
    <w:pPr>
      <w:spacing w:before="184"/>
      <w:jc w:val="center"/>
    </w:pPr>
    <w:rPr>
      <w:rFonts w:ascii="Times New Roman" w:hAnsi="Times New Roman" w:eastAsia="Times New Roman" w:cs="Times New Roman"/>
      <w:szCs w:val="24"/>
      <w:lang w:val="zh-CN" w:bidi="zh-CN"/>
    </w:rPr>
  </w:style>
  <w:style w:type="character" w:customStyle="1" w:styleId="45">
    <w:name w:val="标题 1 字符"/>
    <w:basedOn w:val="34"/>
    <w:link w:val="2"/>
    <w:qFormat/>
    <w:uiPriority w:val="9"/>
    <w:rPr>
      <w:rFonts w:eastAsia="黑体"/>
      <w:bCs/>
      <w:kern w:val="44"/>
      <w:sz w:val="32"/>
      <w:szCs w:val="44"/>
    </w:rPr>
  </w:style>
  <w:style w:type="paragraph" w:customStyle="1" w:styleId="46">
    <w:name w:val="TOC 标题1"/>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7">
    <w:name w:val="标题 2 字符"/>
    <w:basedOn w:val="34"/>
    <w:link w:val="3"/>
    <w:qFormat/>
    <w:uiPriority w:val="9"/>
    <w:rPr>
      <w:rFonts w:eastAsia="黑体" w:asciiTheme="majorHAnsi" w:hAnsiTheme="majorHAnsi" w:cstheme="majorBidi"/>
      <w:bCs/>
      <w:sz w:val="30"/>
      <w:szCs w:val="32"/>
    </w:rPr>
  </w:style>
  <w:style w:type="character" w:customStyle="1" w:styleId="48">
    <w:name w:val="标题 3 字符"/>
    <w:basedOn w:val="34"/>
    <w:link w:val="4"/>
    <w:qFormat/>
    <w:uiPriority w:val="9"/>
    <w:rPr>
      <w:rFonts w:eastAsia="黑体"/>
      <w:bCs/>
      <w:sz w:val="28"/>
      <w:szCs w:val="32"/>
    </w:rPr>
  </w:style>
  <w:style w:type="character" w:customStyle="1" w:styleId="49">
    <w:name w:val="标题 4 字符"/>
    <w:basedOn w:val="34"/>
    <w:link w:val="5"/>
    <w:qFormat/>
    <w:uiPriority w:val="9"/>
    <w:rPr>
      <w:rFonts w:eastAsia="黑体" w:asciiTheme="majorHAnsi" w:hAnsiTheme="majorHAnsi" w:cstheme="majorBidi"/>
      <w:bCs/>
      <w:sz w:val="28"/>
      <w:szCs w:val="28"/>
    </w:rPr>
  </w:style>
  <w:style w:type="paragraph" w:styleId="50">
    <w:name w:val="List Paragraph"/>
    <w:basedOn w:val="1"/>
    <w:qFormat/>
    <w:uiPriority w:val="34"/>
    <w:pPr>
      <w:ind w:firstLine="420" w:firstLineChars="200"/>
    </w:pPr>
  </w:style>
  <w:style w:type="character" w:customStyle="1" w:styleId="51">
    <w:name w:val="正文文本缩进 2 字符"/>
    <w:basedOn w:val="34"/>
    <w:link w:val="21"/>
    <w:qFormat/>
    <w:uiPriority w:val="99"/>
    <w:rPr>
      <w:rFonts w:ascii="Times New Roman" w:hAnsi="Times New Roman" w:eastAsia="宋体" w:cs="Times New Roman"/>
    </w:rPr>
  </w:style>
  <w:style w:type="paragraph" w:customStyle="1" w:styleId="52">
    <w:name w:val="正文 + 首行缩进"/>
    <w:basedOn w:val="1"/>
    <w:qFormat/>
    <w:uiPriority w:val="0"/>
    <w:pPr>
      <w:spacing w:line="500" w:lineRule="exact"/>
      <w:ind w:firstLine="560" w:firstLineChars="200"/>
    </w:pPr>
    <w:rPr>
      <w:rFonts w:ascii="Calibri" w:hAnsi="Calibri" w:eastAsia="宋体" w:cs="Times New Roman"/>
      <w:sz w:val="28"/>
      <w:szCs w:val="20"/>
    </w:rPr>
  </w:style>
  <w:style w:type="paragraph" w:customStyle="1" w:styleId="53">
    <w:name w:val="三级条标题"/>
    <w:basedOn w:val="1"/>
    <w:next w:val="4"/>
    <w:qFormat/>
    <w:uiPriority w:val="0"/>
    <w:pPr>
      <w:widowControl/>
      <w:numPr>
        <w:ilvl w:val="4"/>
        <w:numId w:val="2"/>
      </w:numPr>
      <w:outlineLvl w:val="4"/>
    </w:pPr>
    <w:rPr>
      <w:rFonts w:ascii="黑体" w:hAnsi="Calibri" w:eastAsia="黑体" w:cs="Times New Roman"/>
      <w:kern w:val="0"/>
      <w:szCs w:val="20"/>
    </w:rPr>
  </w:style>
  <w:style w:type="character" w:customStyle="1" w:styleId="54">
    <w:name w:val="纯文本 字符"/>
    <w:basedOn w:val="34"/>
    <w:link w:val="18"/>
    <w:qFormat/>
    <w:uiPriority w:val="0"/>
    <w:rPr>
      <w:rFonts w:ascii="宋体" w:hAnsi="Courier New" w:eastAsia="宋体" w:cs="Courier New"/>
      <w:szCs w:val="21"/>
    </w:rPr>
  </w:style>
  <w:style w:type="paragraph" w:customStyle="1" w:styleId="55">
    <w:name w:val="二级条标题"/>
    <w:basedOn w:val="1"/>
    <w:next w:val="4"/>
    <w:qFormat/>
    <w:uiPriority w:val="0"/>
    <w:pPr>
      <w:widowControl/>
      <w:numPr>
        <w:ilvl w:val="0"/>
        <w:numId w:val="3"/>
      </w:numPr>
      <w:ind w:left="840" w:firstLine="0"/>
      <w:outlineLvl w:val="3"/>
    </w:pPr>
    <w:rPr>
      <w:rFonts w:ascii="黑体" w:hAnsi="Calibri" w:eastAsia="黑体" w:cs="Times New Roman"/>
      <w:kern w:val="0"/>
      <w:szCs w:val="20"/>
    </w:rPr>
  </w:style>
  <w:style w:type="character" w:customStyle="1" w:styleId="56">
    <w:name w:val="批注文字 字符"/>
    <w:basedOn w:val="34"/>
    <w:link w:val="11"/>
    <w:qFormat/>
    <w:uiPriority w:val="0"/>
    <w:rPr>
      <w:rFonts w:ascii="Times New Roman" w:hAnsi="Times New Roman"/>
      <w:sz w:val="28"/>
      <w:szCs w:val="24"/>
    </w:rPr>
  </w:style>
  <w:style w:type="character" w:customStyle="1" w:styleId="57">
    <w:name w:val="批注主题 字符"/>
    <w:basedOn w:val="56"/>
    <w:link w:val="30"/>
    <w:semiHidden/>
    <w:qFormat/>
    <w:uiPriority w:val="99"/>
    <w:rPr>
      <w:rFonts w:ascii="Times New Roman" w:hAnsi="Times New Roman"/>
      <w:b/>
      <w:bCs/>
      <w:sz w:val="28"/>
      <w:szCs w:val="24"/>
    </w:rPr>
  </w:style>
  <w:style w:type="character" w:customStyle="1" w:styleId="58">
    <w:name w:val="日期 字符"/>
    <w:basedOn w:val="34"/>
    <w:link w:val="20"/>
    <w:semiHidden/>
    <w:qFormat/>
    <w:uiPriority w:val="99"/>
  </w:style>
  <w:style w:type="character" w:customStyle="1" w:styleId="59">
    <w:name w:val="页眉、页脚 Char"/>
    <w:link w:val="60"/>
    <w:qFormat/>
    <w:uiPriority w:val="10"/>
    <w:rPr>
      <w:kern w:val="0"/>
      <w:sz w:val="18"/>
      <w:szCs w:val="20"/>
    </w:rPr>
  </w:style>
  <w:style w:type="paragraph" w:customStyle="1" w:styleId="60">
    <w:name w:val="页眉、页脚"/>
    <w:basedOn w:val="61"/>
    <w:link w:val="59"/>
    <w:qFormat/>
    <w:uiPriority w:val="10"/>
    <w:pPr>
      <w:spacing w:line="240" w:lineRule="auto"/>
    </w:pPr>
    <w:rPr>
      <w:sz w:val="18"/>
      <w:szCs w:val="20"/>
    </w:rPr>
  </w:style>
  <w:style w:type="paragraph" w:customStyle="1" w:styleId="61">
    <w:name w:val="附件内容"/>
    <w:basedOn w:val="62"/>
    <w:qFormat/>
    <w:uiPriority w:val="8"/>
    <w:rPr>
      <w:b w:val="0"/>
      <w:sz w:val="28"/>
      <w:szCs w:val="21"/>
    </w:rPr>
  </w:style>
  <w:style w:type="paragraph" w:customStyle="1" w:styleId="62">
    <w:name w:val="附件、附图"/>
    <w:basedOn w:val="63"/>
    <w:qFormat/>
    <w:uiPriority w:val="7"/>
    <w:pPr>
      <w:jc w:val="both"/>
    </w:pPr>
    <w:rPr>
      <w:kern w:val="0"/>
      <w:sz w:val="32"/>
      <w:szCs w:val="20"/>
    </w:rPr>
  </w:style>
  <w:style w:type="paragraph" w:customStyle="1" w:styleId="63">
    <w:name w:val="附件及附图"/>
    <w:basedOn w:val="64"/>
    <w:qFormat/>
    <w:uiPriority w:val="6"/>
    <w:pPr>
      <w:spacing w:line="360" w:lineRule="auto"/>
    </w:pPr>
    <w:rPr>
      <w:b/>
      <w:sz w:val="36"/>
    </w:rPr>
  </w:style>
  <w:style w:type="paragraph" w:customStyle="1" w:styleId="64">
    <w:name w:val="无间隔1"/>
    <w:basedOn w:val="65"/>
    <w:qFormat/>
    <w:uiPriority w:val="0"/>
    <w:rPr>
      <w:b w:val="0"/>
      <w:kern w:val="2"/>
      <w:sz w:val="24"/>
      <w:szCs w:val="21"/>
    </w:rPr>
  </w:style>
  <w:style w:type="paragraph" w:customStyle="1" w:styleId="65">
    <w:name w:val="表头"/>
    <w:basedOn w:val="1"/>
    <w:qFormat/>
    <w:uiPriority w:val="4"/>
    <w:pPr>
      <w:jc w:val="center"/>
    </w:pPr>
    <w:rPr>
      <w:b/>
      <w:kern w:val="0"/>
      <w:szCs w:val="20"/>
    </w:rPr>
  </w:style>
  <w:style w:type="paragraph" w:customStyle="1" w:styleId="66">
    <w:name w:val="正文（首行缩进两字）"/>
    <w:basedOn w:val="1"/>
    <w:unhideWhenUsed/>
    <w:qFormat/>
    <w:uiPriority w:val="0"/>
    <w:rPr>
      <w:sz w:val="28"/>
      <w:szCs w:val="24"/>
    </w:rPr>
  </w:style>
  <w:style w:type="paragraph" w:customStyle="1" w:styleId="67">
    <w:name w:val="Body text|1"/>
    <w:basedOn w:val="1"/>
    <w:qFormat/>
    <w:uiPriority w:val="0"/>
    <w:pPr>
      <w:spacing w:line="360" w:lineRule="auto"/>
      <w:ind w:firstLine="210"/>
    </w:pPr>
    <w:rPr>
      <w:rFonts w:ascii="宋体" w:hAnsi="宋体" w:eastAsia="宋体" w:cs="宋体"/>
      <w:sz w:val="19"/>
      <w:szCs w:val="19"/>
      <w:lang w:val="zh-TW" w:eastAsia="zh-TW" w:bidi="zh-TW"/>
    </w:rPr>
  </w:style>
  <w:style w:type="paragraph" w:customStyle="1" w:styleId="68">
    <w:name w:val="表文"/>
    <w:basedOn w:val="1"/>
    <w:next w:val="1"/>
    <w:qFormat/>
    <w:uiPriority w:val="0"/>
    <w:pPr>
      <w:jc w:val="center"/>
    </w:pPr>
    <w:rPr>
      <w:rFonts w:ascii="宋体" w:hAnsi="宋体" w:eastAsia="宋体"/>
      <w:sz w:val="24"/>
    </w:rPr>
  </w:style>
  <w:style w:type="character" w:customStyle="1" w:styleId="69">
    <w:name w:val="font21"/>
    <w:basedOn w:val="34"/>
    <w:qFormat/>
    <w:uiPriority w:val="0"/>
    <w:rPr>
      <w:rFonts w:ascii="宋体" w:hAnsi="宋体" w:eastAsia="宋体" w:cs="宋体"/>
      <w:b/>
      <w:bCs/>
      <w:color w:val="000000"/>
      <w:sz w:val="12"/>
      <w:szCs w:val="12"/>
      <w:u w:val="none"/>
    </w:rPr>
  </w:style>
  <w:style w:type="character" w:customStyle="1" w:styleId="70">
    <w:name w:val="font31"/>
    <w:basedOn w:val="34"/>
    <w:qFormat/>
    <w:uiPriority w:val="0"/>
    <w:rPr>
      <w:rFonts w:ascii="宋体" w:hAnsi="宋体" w:eastAsia="宋体" w:cs="宋体"/>
      <w:color w:val="000000"/>
      <w:sz w:val="12"/>
      <w:szCs w:val="12"/>
      <w:u w:val="none"/>
    </w:rPr>
  </w:style>
  <w:style w:type="character" w:customStyle="1" w:styleId="71">
    <w:name w:val="font41"/>
    <w:basedOn w:val="34"/>
    <w:qFormat/>
    <w:uiPriority w:val="0"/>
    <w:rPr>
      <w:rFonts w:ascii="宋体" w:hAnsi="宋体" w:eastAsia="宋体" w:cs="宋体"/>
      <w:color w:val="003A86"/>
      <w:sz w:val="12"/>
      <w:szCs w:val="12"/>
      <w:u w:val="none"/>
    </w:rPr>
  </w:style>
  <w:style w:type="character" w:customStyle="1" w:styleId="72">
    <w:name w:val="font51"/>
    <w:basedOn w:val="34"/>
    <w:qFormat/>
    <w:uiPriority w:val="0"/>
    <w:rPr>
      <w:rFonts w:ascii="宋体" w:hAnsi="宋体" w:eastAsia="宋体" w:cs="宋体"/>
      <w:color w:val="003E7D"/>
      <w:sz w:val="12"/>
      <w:szCs w:val="12"/>
      <w:u w:val="none"/>
    </w:rPr>
  </w:style>
  <w:style w:type="paragraph" w:styleId="7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74">
    <w:name w:val="表文字"/>
    <w:basedOn w:val="65"/>
    <w:qFormat/>
    <w:uiPriority w:val="6"/>
    <w:pPr>
      <w:spacing w:line="240" w:lineRule="auto"/>
    </w:pPr>
    <w:rPr>
      <w:b w:val="0"/>
      <w:kern w:val="2"/>
      <w:sz w:val="24"/>
      <w:szCs w:val="21"/>
    </w:rPr>
  </w:style>
  <w:style w:type="paragraph" w:customStyle="1" w:styleId="75">
    <w:name w:val="TOC Heading"/>
    <w:basedOn w:val="2"/>
    <w:next w:val="1"/>
    <w:unhideWhenUsed/>
    <w:qFormat/>
    <w:uiPriority w:val="39"/>
    <w:pPr>
      <w:widowControl/>
      <w:spacing w:before="0" w:after="0"/>
      <w:ind w:firstLine="200" w:firstLineChars="200"/>
      <w:jc w:val="left"/>
      <w:outlineLvl w:val="3"/>
    </w:pPr>
    <w:rPr>
      <w:bCs w:val="0"/>
      <w:color w:val="000000" w:themeColor="text1"/>
      <w:kern w:val="0"/>
      <w:sz w:val="28"/>
      <w:szCs w:val="3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D36C0-A870-4572-9F69-783D405DFDFC}">
  <ds:schemaRefs/>
</ds:datastoreItem>
</file>

<file path=docProps/app.xml><?xml version="1.0" encoding="utf-8"?>
<Properties xmlns="http://schemas.openxmlformats.org/officeDocument/2006/extended-properties" xmlns:vt="http://schemas.openxmlformats.org/officeDocument/2006/docPropsVTypes">
  <Template>Normal.dotm</Template>
  <Pages>82</Pages>
  <Words>235</Words>
  <Characters>276</Characters>
  <Lines>643</Lines>
  <Paragraphs>181</Paragraphs>
  <TotalTime>2</TotalTime>
  <ScaleCrop>false</ScaleCrop>
  <LinksUpToDate>false</LinksUpToDate>
  <CharactersWithSpaces>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2020-09-12T08:09:00Z</dcterms:created>
  <dc:creator>Administrator</dc:creator>
  <cp:lastModifiedBy>赵健威</cp:lastModifiedBy>
  <cp:lastPrinted>2023-08-14T07:25:00Z</cp:lastPrinted>
  <dcterms:modified xsi:type="dcterms:W3CDTF">2026-08-12T08:42:18Z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979DC41A79F946659BAA5B70E34A6AE7_13</vt:lpwstr>
  </property>
  <property fmtid="{D5CDD505-2E9C-101B-9397-08002B2CF9AE}" pid="4" name="KSOTemplateDocerSaveRecord">
    <vt:lpwstr>eyJoZGlkIjoiYjRlNzBjMDY5YTQ1ZTgwMWNlNDZjNGZmNDJjZWY4NGUiLCJ1c2VySWQiOiI0MDE3ODY4MDgifQ==</vt:lpwstr>
  </property>
</Properties>
</file>