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60147">
      <w:pPr>
        <w:pStyle w:val="62"/>
        <w:snapToGrid w:val="0"/>
        <w:jc w:val="center"/>
        <w:rPr>
          <w:rFonts w:hint="default" w:ascii="Times New Roman" w:hAnsi="Times New Roman" w:eastAsia="宋体" w:cs="Times New Roman"/>
          <w:b/>
          <w:color w:val="auto"/>
          <w:sz w:val="36"/>
          <w:szCs w:val="36"/>
        </w:rPr>
      </w:pPr>
      <w:bookmarkStart w:id="0" w:name="OLE_LINK39"/>
      <w:bookmarkStart w:id="1" w:name="_Toc6636"/>
      <w:bookmarkStart w:id="2" w:name="_Toc87774321"/>
      <w:bookmarkStart w:id="3" w:name="_Toc29950"/>
      <w:bookmarkStart w:id="4" w:name="_Toc87589374"/>
      <w:bookmarkStart w:id="5" w:name="_Toc20862"/>
      <w:bookmarkStart w:id="6" w:name="_Toc4624"/>
      <w:bookmarkStart w:id="7" w:name="_Toc162433052"/>
      <w:bookmarkStart w:id="8" w:name="_Toc104976971"/>
      <w:bookmarkStart w:id="9" w:name="_Toc24002"/>
      <w:bookmarkStart w:id="10" w:name="_Toc177553535"/>
      <w:bookmarkStart w:id="11" w:name="_Toc9990"/>
      <w:bookmarkStart w:id="12" w:name="_Toc88228656"/>
    </w:p>
    <w:p w14:paraId="4C44584C">
      <w:pPr>
        <w:pStyle w:val="62"/>
        <w:snapToGrid w:val="0"/>
        <w:jc w:val="center"/>
        <w:rPr>
          <w:rFonts w:hint="default" w:ascii="Times New Roman" w:hAnsi="Times New Roman" w:eastAsia="宋体" w:cs="Times New Roman"/>
          <w:b/>
          <w:color w:val="auto"/>
          <w:sz w:val="36"/>
          <w:szCs w:val="36"/>
        </w:rPr>
      </w:pPr>
    </w:p>
    <w:p w14:paraId="6005E447">
      <w:pPr>
        <w:pStyle w:val="62"/>
        <w:snapToGrid w:val="0"/>
        <w:jc w:val="center"/>
        <w:rPr>
          <w:rFonts w:hint="default" w:ascii="Times New Roman" w:hAnsi="Times New Roman" w:eastAsia="宋体" w:cs="Times New Roman"/>
          <w:b/>
          <w:color w:val="auto"/>
          <w:sz w:val="36"/>
          <w:szCs w:val="36"/>
        </w:rPr>
      </w:pPr>
    </w:p>
    <w:p w14:paraId="2A1C87C5">
      <w:pPr>
        <w:adjustRightInd w:val="0"/>
        <w:snapToGrid w:val="0"/>
        <w:spacing w:line="360" w:lineRule="auto"/>
        <w:jc w:val="center"/>
        <w:rPr>
          <w:rFonts w:hint="default" w:ascii="Times New Roman" w:hAnsi="Times New Roman" w:eastAsia="宋体" w:cs="Times New Roman"/>
          <w:b/>
          <w:bCs/>
          <w:snapToGrid w:val="0"/>
          <w:kern w:val="0"/>
          <w:sz w:val="44"/>
          <w:szCs w:val="44"/>
        </w:rPr>
      </w:pPr>
      <w:r>
        <w:rPr>
          <w:rFonts w:hint="default" w:ascii="Times New Roman" w:hAnsi="Times New Roman" w:eastAsia="宋体" w:cs="Times New Roman"/>
          <w:b/>
          <w:bCs/>
          <w:snapToGrid w:val="0"/>
          <w:kern w:val="0"/>
          <w:sz w:val="44"/>
          <w:szCs w:val="44"/>
        </w:rPr>
        <w:t>云南省巧家县老店镇独梨树采石场</w:t>
      </w:r>
    </w:p>
    <w:p w14:paraId="7CC5621F">
      <w:pPr>
        <w:adjustRightInd w:val="0"/>
        <w:snapToGrid w:val="0"/>
        <w:spacing w:line="360" w:lineRule="auto"/>
        <w:jc w:val="center"/>
        <w:rPr>
          <w:rFonts w:hint="default" w:ascii="Times New Roman" w:hAnsi="Times New Roman" w:eastAsia="宋体" w:cs="Times New Roman"/>
          <w:b/>
          <w:bCs/>
          <w:snapToGrid w:val="0"/>
          <w:kern w:val="0"/>
          <w:sz w:val="44"/>
          <w:szCs w:val="44"/>
        </w:rPr>
      </w:pPr>
      <w:r>
        <w:rPr>
          <w:rFonts w:hint="default" w:ascii="Times New Roman" w:hAnsi="Times New Roman" w:eastAsia="宋体" w:cs="Times New Roman"/>
          <w:b/>
          <w:bCs/>
          <w:snapToGrid w:val="0"/>
          <w:kern w:val="0"/>
          <w:sz w:val="44"/>
          <w:szCs w:val="44"/>
        </w:rPr>
        <w:t>建筑石料用灰岩矿</w:t>
      </w:r>
    </w:p>
    <w:p w14:paraId="5075849E">
      <w:pPr>
        <w:pStyle w:val="62"/>
        <w:snapToGrid w:val="0"/>
        <w:jc w:val="center"/>
        <w:rPr>
          <w:rFonts w:hint="default" w:ascii="Times New Roman" w:hAnsi="Times New Roman" w:eastAsia="宋体" w:cs="Times New Roman"/>
          <w:color w:val="auto"/>
        </w:rPr>
      </w:pPr>
    </w:p>
    <w:p w14:paraId="607A3EE7">
      <w:pPr>
        <w:adjustRightInd w:val="0"/>
        <w:snapToGrid w:val="0"/>
        <w:spacing w:line="360" w:lineRule="auto"/>
        <w:jc w:val="center"/>
        <w:rPr>
          <w:rFonts w:hint="default" w:ascii="Times New Roman" w:hAnsi="Times New Roman" w:eastAsia="宋体" w:cs="Times New Roman"/>
          <w:b/>
          <w:bCs/>
          <w:snapToGrid w:val="0"/>
          <w:kern w:val="0"/>
          <w:sz w:val="52"/>
          <w:szCs w:val="52"/>
        </w:rPr>
      </w:pPr>
      <w:r>
        <w:rPr>
          <w:rFonts w:hint="default" w:ascii="Times New Roman" w:hAnsi="Times New Roman" w:eastAsia="宋体" w:cs="Times New Roman"/>
          <w:b/>
          <w:bCs/>
          <w:snapToGrid w:val="0"/>
          <w:kern w:val="0"/>
          <w:sz w:val="52"/>
          <w:szCs w:val="52"/>
        </w:rPr>
        <w:t>安全预评价报告</w:t>
      </w:r>
    </w:p>
    <w:p w14:paraId="1CA3995F">
      <w:pPr>
        <w:pStyle w:val="62"/>
        <w:snapToGrid w:val="0"/>
        <w:jc w:val="center"/>
        <w:rPr>
          <w:rFonts w:hint="default" w:ascii="Times New Roman" w:hAnsi="Times New Roman" w:eastAsia="宋体" w:cs="Times New Roman"/>
          <w:color w:val="auto"/>
        </w:rPr>
      </w:pPr>
    </w:p>
    <w:p w14:paraId="4BEA8EC0">
      <w:pPr>
        <w:pStyle w:val="62"/>
        <w:snapToGrid w:val="0"/>
        <w:jc w:val="center"/>
        <w:rPr>
          <w:rFonts w:hint="default" w:ascii="Times New Roman" w:hAnsi="Times New Roman" w:eastAsia="宋体" w:cs="Times New Roman"/>
          <w:color w:val="auto"/>
        </w:rPr>
      </w:pPr>
    </w:p>
    <w:p w14:paraId="3EEBD62A">
      <w:pPr>
        <w:pStyle w:val="62"/>
        <w:snapToGrid w:val="0"/>
        <w:jc w:val="center"/>
        <w:rPr>
          <w:rFonts w:hint="default" w:ascii="Times New Roman" w:hAnsi="Times New Roman" w:eastAsia="宋体" w:cs="Times New Roman"/>
          <w:color w:val="auto"/>
        </w:rPr>
      </w:pPr>
    </w:p>
    <w:p w14:paraId="01810B7B">
      <w:pPr>
        <w:pStyle w:val="62"/>
        <w:snapToGrid w:val="0"/>
        <w:jc w:val="center"/>
        <w:rPr>
          <w:rFonts w:hint="default" w:ascii="Times New Roman" w:hAnsi="Times New Roman" w:eastAsia="宋体" w:cs="Times New Roman"/>
          <w:color w:val="auto"/>
        </w:rPr>
      </w:pPr>
    </w:p>
    <w:p w14:paraId="74758F87">
      <w:pPr>
        <w:pStyle w:val="62"/>
        <w:snapToGrid w:val="0"/>
        <w:jc w:val="center"/>
        <w:rPr>
          <w:rFonts w:hint="default" w:ascii="Times New Roman" w:hAnsi="Times New Roman" w:eastAsia="宋体" w:cs="Times New Roman"/>
          <w:color w:val="auto"/>
        </w:rPr>
      </w:pPr>
    </w:p>
    <w:p w14:paraId="56E465E1">
      <w:pPr>
        <w:pStyle w:val="62"/>
        <w:snapToGrid w:val="0"/>
        <w:jc w:val="center"/>
        <w:rPr>
          <w:rFonts w:hint="default" w:ascii="Times New Roman" w:hAnsi="Times New Roman" w:eastAsia="宋体" w:cs="Times New Roman"/>
          <w:color w:val="auto"/>
        </w:rPr>
      </w:pPr>
    </w:p>
    <w:p w14:paraId="022AD0C9">
      <w:pPr>
        <w:pStyle w:val="62"/>
        <w:snapToGrid w:val="0"/>
        <w:jc w:val="center"/>
        <w:rPr>
          <w:rFonts w:hint="default" w:ascii="Times New Roman" w:hAnsi="Times New Roman" w:eastAsia="宋体" w:cs="Times New Roman"/>
          <w:color w:val="auto"/>
        </w:rPr>
      </w:pPr>
    </w:p>
    <w:p w14:paraId="7B229183">
      <w:pPr>
        <w:pStyle w:val="62"/>
        <w:snapToGrid w:val="0"/>
        <w:jc w:val="center"/>
        <w:rPr>
          <w:rFonts w:hint="default" w:ascii="Times New Roman" w:hAnsi="Times New Roman" w:eastAsia="宋体" w:cs="Times New Roman"/>
          <w:color w:val="auto"/>
        </w:rPr>
      </w:pPr>
    </w:p>
    <w:bookmarkEnd w:id="0"/>
    <w:p w14:paraId="41086211">
      <w:pPr>
        <w:pStyle w:val="62"/>
        <w:snapToGrid w:val="0"/>
        <w:jc w:val="center"/>
        <w:rPr>
          <w:rFonts w:hint="default" w:ascii="Times New Roman" w:hAnsi="Times New Roman" w:eastAsia="宋体" w:cs="Times New Roman"/>
          <w:b/>
          <w:bCs/>
          <w:color w:val="auto"/>
          <w:sz w:val="32"/>
          <w:szCs w:val="32"/>
        </w:rPr>
      </w:pPr>
    </w:p>
    <w:p w14:paraId="28B59EC8">
      <w:pPr>
        <w:pStyle w:val="62"/>
        <w:snapToGrid w:val="0"/>
        <w:jc w:val="center"/>
        <w:rPr>
          <w:rFonts w:hint="default" w:ascii="Times New Roman" w:hAnsi="Times New Roman" w:eastAsia="宋体" w:cs="Times New Roman"/>
          <w:color w:val="auto"/>
          <w:szCs w:val="21"/>
        </w:rPr>
      </w:pPr>
    </w:p>
    <w:p w14:paraId="4D1BE4F8">
      <w:pPr>
        <w:pStyle w:val="62"/>
        <w:snapToGrid w:val="0"/>
        <w:jc w:val="center"/>
        <w:rPr>
          <w:rFonts w:hint="default" w:ascii="Times New Roman" w:hAnsi="Times New Roman" w:eastAsia="宋体" w:cs="Times New Roman"/>
          <w:color w:val="auto"/>
          <w:szCs w:val="21"/>
        </w:rPr>
      </w:pPr>
    </w:p>
    <w:p w14:paraId="75E102C0">
      <w:pPr>
        <w:pStyle w:val="62"/>
        <w:snapToGrid w:val="0"/>
        <w:jc w:val="center"/>
        <w:rPr>
          <w:rFonts w:hint="default" w:ascii="Times New Roman" w:hAnsi="Times New Roman" w:eastAsia="宋体" w:cs="Times New Roman"/>
          <w:color w:val="auto"/>
          <w:szCs w:val="21"/>
        </w:rPr>
      </w:pPr>
    </w:p>
    <w:p w14:paraId="6585B59B">
      <w:pPr>
        <w:pStyle w:val="62"/>
        <w:snapToGrid w:val="0"/>
        <w:jc w:val="center"/>
        <w:rPr>
          <w:rFonts w:hint="default" w:ascii="Times New Roman" w:hAnsi="Times New Roman" w:eastAsia="宋体" w:cs="Times New Roman"/>
          <w:color w:val="auto"/>
          <w:szCs w:val="21"/>
        </w:rPr>
      </w:pPr>
    </w:p>
    <w:p w14:paraId="7D4AD252">
      <w:pPr>
        <w:pStyle w:val="62"/>
        <w:snapToGrid w:val="0"/>
        <w:jc w:val="center"/>
        <w:rPr>
          <w:rFonts w:hint="default" w:ascii="Times New Roman" w:hAnsi="Times New Roman" w:eastAsia="宋体" w:cs="Times New Roman"/>
          <w:color w:val="auto"/>
          <w:szCs w:val="21"/>
        </w:rPr>
      </w:pPr>
    </w:p>
    <w:p w14:paraId="3015CA6F">
      <w:pPr>
        <w:pStyle w:val="62"/>
        <w:snapToGrid w:val="0"/>
        <w:jc w:val="center"/>
        <w:rPr>
          <w:rFonts w:hint="default" w:ascii="Times New Roman" w:hAnsi="Times New Roman" w:eastAsia="宋体" w:cs="Times New Roman"/>
          <w:color w:val="auto"/>
          <w:szCs w:val="21"/>
        </w:rPr>
      </w:pPr>
    </w:p>
    <w:p w14:paraId="6589E5AC">
      <w:pPr>
        <w:pStyle w:val="62"/>
        <w:snapToGrid w:val="0"/>
        <w:jc w:val="center"/>
        <w:rPr>
          <w:rFonts w:hint="default" w:ascii="Times New Roman" w:hAnsi="Times New Roman" w:eastAsia="宋体" w:cs="Times New Roman"/>
          <w:color w:val="auto"/>
          <w:szCs w:val="21"/>
        </w:rPr>
      </w:pPr>
    </w:p>
    <w:p w14:paraId="51ED6991">
      <w:pPr>
        <w:pStyle w:val="62"/>
        <w:snapToGrid w:val="0"/>
        <w:jc w:val="center"/>
        <w:rPr>
          <w:rFonts w:hint="default" w:ascii="Times New Roman" w:hAnsi="Times New Roman" w:eastAsia="宋体" w:cs="Times New Roman"/>
          <w:b/>
          <w:snapToGrid w:val="0"/>
          <w:color w:val="auto"/>
          <w:sz w:val="44"/>
          <w:szCs w:val="44"/>
        </w:rPr>
      </w:pPr>
    </w:p>
    <w:p w14:paraId="7630B76E">
      <w:pPr>
        <w:pStyle w:val="62"/>
        <w:snapToGrid w:val="0"/>
        <w:jc w:val="center"/>
        <w:rPr>
          <w:rFonts w:hint="default" w:ascii="Times New Roman" w:hAnsi="Times New Roman" w:eastAsia="宋体" w:cs="Times New Roman"/>
          <w:color w:val="auto"/>
          <w:sz w:val="30"/>
          <w:szCs w:val="30"/>
        </w:rPr>
      </w:pPr>
    </w:p>
    <w:p w14:paraId="07C41F44">
      <w:pPr>
        <w:pStyle w:val="62"/>
        <w:snapToGrid w:val="0"/>
        <w:jc w:val="center"/>
        <w:rPr>
          <w:rFonts w:hint="default" w:ascii="Times New Roman" w:hAnsi="Times New Roman" w:eastAsia="宋体" w:cs="Times New Roman"/>
          <w:color w:val="auto"/>
          <w:sz w:val="30"/>
          <w:szCs w:val="30"/>
        </w:rPr>
      </w:pPr>
    </w:p>
    <w:p w14:paraId="3C8ADA21">
      <w:pPr>
        <w:pStyle w:val="62"/>
        <w:snapToGrid w:val="0"/>
        <w:jc w:val="center"/>
        <w:rPr>
          <w:rFonts w:hint="default" w:ascii="Times New Roman" w:hAnsi="Times New Roman" w:eastAsia="宋体" w:cs="Times New Roman"/>
          <w:color w:val="auto"/>
          <w:sz w:val="30"/>
          <w:szCs w:val="30"/>
        </w:rPr>
      </w:pPr>
    </w:p>
    <w:p w14:paraId="5811ACC8">
      <w:pPr>
        <w:pStyle w:val="62"/>
        <w:snapToGrid w:val="0"/>
        <w:jc w:val="center"/>
        <w:rPr>
          <w:rFonts w:hint="default" w:ascii="Times New Roman" w:hAnsi="Times New Roman" w:eastAsia="宋体" w:cs="Times New Roman"/>
          <w:color w:val="auto"/>
          <w:sz w:val="30"/>
          <w:szCs w:val="30"/>
        </w:rPr>
      </w:pPr>
    </w:p>
    <w:p w14:paraId="4639A2C0">
      <w:pPr>
        <w:pStyle w:val="62"/>
        <w:snapToGrid w:val="0"/>
        <w:jc w:val="center"/>
        <w:rPr>
          <w:rFonts w:hint="default" w:ascii="Times New Roman" w:hAnsi="Times New Roman" w:eastAsia="宋体" w:cs="Times New Roman"/>
          <w:color w:val="auto"/>
          <w:sz w:val="30"/>
          <w:szCs w:val="30"/>
        </w:rPr>
      </w:pPr>
    </w:p>
    <w:p w14:paraId="51CCCF6C">
      <w:pPr>
        <w:pStyle w:val="62"/>
        <w:snapToGrid w:val="0"/>
        <w:jc w:val="center"/>
        <w:rPr>
          <w:rFonts w:hint="default" w:ascii="Times New Roman" w:hAnsi="Times New Roman" w:eastAsia="宋体" w:cs="Times New Roman"/>
          <w:color w:val="auto"/>
          <w:sz w:val="30"/>
          <w:szCs w:val="30"/>
        </w:rPr>
      </w:pPr>
    </w:p>
    <w:p w14:paraId="2FB0B616">
      <w:pPr>
        <w:pStyle w:val="62"/>
        <w:snapToGrid w:val="0"/>
        <w:jc w:val="center"/>
        <w:rPr>
          <w:rFonts w:hint="default" w:ascii="Times New Roman" w:hAnsi="Times New Roman" w:eastAsia="宋体" w:cs="Times New Roman"/>
          <w:color w:val="auto"/>
          <w:sz w:val="30"/>
          <w:szCs w:val="30"/>
        </w:rPr>
      </w:pPr>
    </w:p>
    <w:p w14:paraId="04E0792A">
      <w:pPr>
        <w:adjustRightInd w:val="0"/>
        <w:snapToGrid w:val="0"/>
        <w:spacing w:line="360" w:lineRule="auto"/>
        <w:ind w:left="-141" w:leftChars="-67" w:right="-313" w:rightChars="-149"/>
        <w:jc w:val="center"/>
        <w:rPr>
          <w:rFonts w:hint="default" w:ascii="Times New Roman" w:hAnsi="Times New Roman" w:eastAsia="宋体" w:cs="Times New Roman"/>
          <w:b/>
          <w:sz w:val="52"/>
          <w:szCs w:val="52"/>
        </w:rPr>
      </w:pPr>
      <w:r>
        <w:rPr>
          <w:rFonts w:hint="default" w:ascii="Times New Roman" w:hAnsi="Times New Roman" w:eastAsia="宋体" w:cs="Times New Roman"/>
          <w:b/>
          <w:sz w:val="44"/>
          <w:szCs w:val="44"/>
        </w:rPr>
        <w:t>辽宁诺诚安全科技有限公司</w:t>
      </w:r>
    </w:p>
    <w:p w14:paraId="0FF5C948">
      <w:pPr>
        <w:adjustRightInd w:val="0"/>
        <w:snapToGrid w:val="0"/>
        <w:spacing w:line="360" w:lineRule="auto"/>
        <w:jc w:val="center"/>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资质证书编号：APJ-（辽）-021</w:t>
      </w:r>
    </w:p>
    <w:p w14:paraId="3783BF83">
      <w:pPr>
        <w:adjustRightInd w:val="0"/>
        <w:snapToGrid w:val="0"/>
        <w:jc w:val="center"/>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完成时间：二〇二三年八月</w:t>
      </w:r>
    </w:p>
    <w:p w14:paraId="31A6ECF4">
      <w:pPr>
        <w:adjustRightInd w:val="0"/>
        <w:snapToGrid w:val="0"/>
        <w:ind w:right="420"/>
        <w:jc w:val="left"/>
        <w:rPr>
          <w:rFonts w:hint="default" w:ascii="Times New Roman" w:hAnsi="Times New Roman" w:eastAsia="宋体" w:cs="Times New Roman"/>
          <w:b/>
          <w:sz w:val="28"/>
          <w:szCs w:val="28"/>
        </w:rPr>
      </w:pPr>
    </w:p>
    <w:p w14:paraId="1E827CF5">
      <w:pPr>
        <w:pStyle w:val="62"/>
        <w:snapToGrid w:val="0"/>
        <w:rPr>
          <w:rFonts w:hint="default" w:ascii="Times New Roman" w:hAnsi="Times New Roman" w:eastAsia="宋体" w:cs="Times New Roman"/>
          <w:color w:val="auto"/>
        </w:rPr>
        <w:sectPr>
          <w:headerReference r:id="rId4" w:type="first"/>
          <w:headerReference r:id="rId3" w:type="default"/>
          <w:footerReference r:id="rId5" w:type="default"/>
          <w:pgSz w:w="11905" w:h="16838"/>
          <w:pgMar w:top="1418" w:right="1134" w:bottom="1134" w:left="1588" w:header="851" w:footer="992" w:gutter="0"/>
          <w:pgNumType w:fmt="numberInDash" w:start="1"/>
          <w:cols w:space="720" w:num="1"/>
          <w:titlePg/>
          <w:docGrid w:linePitch="332" w:charSpace="0"/>
        </w:sectPr>
      </w:pPr>
    </w:p>
    <w:p w14:paraId="71C85C57">
      <w:pPr>
        <w:wordWrap w:val="0"/>
        <w:adjustRightInd w:val="0"/>
        <w:snapToGrid w:val="0"/>
        <w:jc w:val="right"/>
        <w:rPr>
          <w:rFonts w:hint="default" w:ascii="Times New Roman" w:hAnsi="Times New Roman" w:eastAsia="宋体" w:cs="Times New Roman"/>
          <w:b/>
          <w:sz w:val="28"/>
          <w:szCs w:val="28"/>
        </w:rPr>
      </w:pPr>
    </w:p>
    <w:p w14:paraId="6994B076">
      <w:pPr>
        <w:pStyle w:val="62"/>
        <w:snapToGrid w:val="0"/>
        <w:jc w:val="right"/>
        <w:rPr>
          <w:rFonts w:hint="default" w:ascii="Times New Roman" w:hAnsi="Times New Roman" w:eastAsia="宋体" w:cs="Times New Roman"/>
          <w:color w:val="auto"/>
          <w:sz w:val="32"/>
          <w:szCs w:val="32"/>
        </w:rPr>
      </w:pPr>
      <w:r>
        <w:rPr>
          <w:rFonts w:hint="default" w:ascii="Times New Roman" w:hAnsi="Times New Roman" w:eastAsia="宋体" w:cs="Times New Roman"/>
          <w:b/>
          <w:color w:val="auto"/>
          <w:sz w:val="28"/>
          <w:szCs w:val="28"/>
        </w:rPr>
        <w:t>NCAP/KS-YP-2023-013</w:t>
      </w:r>
    </w:p>
    <w:p w14:paraId="4787534C">
      <w:pPr>
        <w:pStyle w:val="62"/>
        <w:snapToGrid w:val="0"/>
        <w:jc w:val="center"/>
        <w:rPr>
          <w:rFonts w:hint="default" w:ascii="Times New Roman" w:hAnsi="Times New Roman" w:eastAsia="宋体" w:cs="Times New Roman"/>
          <w:color w:val="auto"/>
          <w:sz w:val="32"/>
          <w:szCs w:val="32"/>
        </w:rPr>
      </w:pPr>
    </w:p>
    <w:p w14:paraId="3086864B">
      <w:pPr>
        <w:pStyle w:val="62"/>
        <w:snapToGrid w:val="0"/>
        <w:jc w:val="center"/>
        <w:rPr>
          <w:rFonts w:hint="default" w:ascii="Times New Roman" w:hAnsi="Times New Roman" w:eastAsia="宋体" w:cs="Times New Roman"/>
          <w:color w:val="auto"/>
          <w:sz w:val="32"/>
          <w:szCs w:val="32"/>
        </w:rPr>
      </w:pPr>
    </w:p>
    <w:p w14:paraId="629644F0">
      <w:pPr>
        <w:pStyle w:val="62"/>
        <w:snapToGrid w:val="0"/>
        <w:spacing w:line="360" w:lineRule="auto"/>
        <w:jc w:val="center"/>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云南省巧家县老店镇独梨树采石场</w:t>
      </w:r>
    </w:p>
    <w:p w14:paraId="515C2C24">
      <w:pPr>
        <w:pStyle w:val="62"/>
        <w:snapToGrid w:val="0"/>
        <w:spacing w:line="360" w:lineRule="auto"/>
        <w:jc w:val="center"/>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建筑石料用灰岩矿</w:t>
      </w:r>
    </w:p>
    <w:p w14:paraId="4F39E9E7">
      <w:pPr>
        <w:pStyle w:val="62"/>
        <w:snapToGrid w:val="0"/>
        <w:spacing w:line="360" w:lineRule="auto"/>
        <w:jc w:val="center"/>
        <w:rPr>
          <w:rFonts w:hint="default" w:ascii="Times New Roman" w:hAnsi="Times New Roman" w:eastAsia="宋体" w:cs="Times New Roman"/>
          <w:color w:val="auto"/>
          <w:sz w:val="32"/>
          <w:szCs w:val="32"/>
        </w:rPr>
      </w:pPr>
    </w:p>
    <w:p w14:paraId="6FEEC566">
      <w:pPr>
        <w:adjustRightInd w:val="0"/>
        <w:snapToGrid w:val="0"/>
        <w:spacing w:line="360" w:lineRule="auto"/>
        <w:jc w:val="center"/>
        <w:rPr>
          <w:rFonts w:hint="default" w:ascii="Times New Roman" w:hAnsi="Times New Roman" w:eastAsia="宋体" w:cs="Times New Roman"/>
          <w:b/>
          <w:sz w:val="44"/>
          <w:szCs w:val="44"/>
        </w:rPr>
      </w:pPr>
      <w:r>
        <w:rPr>
          <w:rFonts w:hint="default" w:ascii="Times New Roman" w:hAnsi="Times New Roman" w:eastAsia="宋体" w:cs="Times New Roman"/>
          <w:b/>
          <w:bCs/>
          <w:snapToGrid w:val="0"/>
          <w:kern w:val="0"/>
          <w:sz w:val="44"/>
          <w:szCs w:val="44"/>
        </w:rPr>
        <w:t>安全预评价报告</w:t>
      </w:r>
    </w:p>
    <w:p w14:paraId="73A6351C">
      <w:pPr>
        <w:adjustRightInd w:val="0"/>
        <w:snapToGrid w:val="0"/>
        <w:jc w:val="center"/>
        <w:rPr>
          <w:rFonts w:hint="default" w:ascii="Times New Roman" w:hAnsi="Times New Roman" w:eastAsia="宋体" w:cs="Times New Roman"/>
          <w:b/>
          <w:sz w:val="32"/>
          <w:szCs w:val="32"/>
        </w:rPr>
      </w:pPr>
    </w:p>
    <w:p w14:paraId="4BC992AA">
      <w:pPr>
        <w:adjustRightInd w:val="0"/>
        <w:snapToGrid w:val="0"/>
        <w:jc w:val="center"/>
        <w:rPr>
          <w:rFonts w:hint="default" w:ascii="Times New Roman" w:hAnsi="Times New Roman" w:eastAsia="宋体" w:cs="Times New Roman"/>
          <w:b/>
          <w:sz w:val="32"/>
          <w:szCs w:val="32"/>
        </w:rPr>
      </w:pPr>
    </w:p>
    <w:p w14:paraId="33839E57">
      <w:pPr>
        <w:adjustRightInd w:val="0"/>
        <w:snapToGrid w:val="0"/>
        <w:jc w:val="center"/>
        <w:rPr>
          <w:rFonts w:hint="default" w:ascii="Times New Roman" w:hAnsi="Times New Roman" w:eastAsia="宋体" w:cs="Times New Roman"/>
          <w:b/>
          <w:sz w:val="32"/>
          <w:szCs w:val="32"/>
        </w:rPr>
      </w:pPr>
    </w:p>
    <w:p w14:paraId="58D2E337">
      <w:pPr>
        <w:pStyle w:val="62"/>
        <w:snapToGrid w:val="0"/>
        <w:jc w:val="center"/>
        <w:rPr>
          <w:rFonts w:hint="default" w:ascii="Times New Roman" w:hAnsi="Times New Roman" w:eastAsia="宋体" w:cs="Times New Roman"/>
          <w:b/>
          <w:color w:val="auto"/>
          <w:sz w:val="32"/>
          <w:szCs w:val="32"/>
        </w:rPr>
      </w:pPr>
    </w:p>
    <w:p w14:paraId="44FCDA8D">
      <w:pPr>
        <w:pStyle w:val="62"/>
        <w:snapToGrid w:val="0"/>
        <w:jc w:val="center"/>
        <w:rPr>
          <w:rFonts w:hint="default" w:ascii="Times New Roman" w:hAnsi="Times New Roman" w:eastAsia="宋体" w:cs="Times New Roman"/>
          <w:b/>
          <w:color w:val="auto"/>
          <w:sz w:val="32"/>
          <w:szCs w:val="32"/>
        </w:rPr>
      </w:pPr>
    </w:p>
    <w:p w14:paraId="3853293F">
      <w:pPr>
        <w:pStyle w:val="62"/>
        <w:snapToGrid w:val="0"/>
        <w:jc w:val="center"/>
        <w:rPr>
          <w:rFonts w:hint="default" w:ascii="Times New Roman" w:hAnsi="Times New Roman" w:eastAsia="宋体" w:cs="Times New Roman"/>
          <w:b/>
          <w:color w:val="auto"/>
          <w:sz w:val="32"/>
          <w:szCs w:val="32"/>
        </w:rPr>
      </w:pPr>
    </w:p>
    <w:p w14:paraId="316265E5">
      <w:pPr>
        <w:pStyle w:val="62"/>
        <w:snapToGrid w:val="0"/>
        <w:jc w:val="center"/>
        <w:rPr>
          <w:rFonts w:hint="default" w:ascii="Times New Roman" w:hAnsi="Times New Roman" w:eastAsia="宋体" w:cs="Times New Roman"/>
          <w:b/>
          <w:color w:val="auto"/>
          <w:sz w:val="32"/>
          <w:szCs w:val="32"/>
        </w:rPr>
      </w:pPr>
    </w:p>
    <w:p w14:paraId="3326B582">
      <w:pPr>
        <w:adjustRightInd w:val="0"/>
        <w:snapToGrid w:val="0"/>
        <w:jc w:val="center"/>
        <w:rPr>
          <w:rFonts w:hint="default" w:ascii="Times New Roman" w:hAnsi="Times New Roman" w:eastAsia="宋体" w:cs="Times New Roman"/>
          <w:b/>
          <w:sz w:val="32"/>
          <w:szCs w:val="32"/>
        </w:rPr>
      </w:pPr>
    </w:p>
    <w:p w14:paraId="0CB8C009">
      <w:pPr>
        <w:adjustRightInd w:val="0"/>
        <w:snapToGrid w:val="0"/>
        <w:jc w:val="center"/>
        <w:rPr>
          <w:rFonts w:hint="default" w:ascii="Times New Roman" w:hAnsi="Times New Roman" w:eastAsia="宋体" w:cs="Times New Roman"/>
          <w:b/>
          <w:sz w:val="32"/>
          <w:szCs w:val="32"/>
        </w:rPr>
      </w:pPr>
    </w:p>
    <w:p w14:paraId="19C272A1">
      <w:pPr>
        <w:adjustRightInd w:val="0"/>
        <w:snapToGrid w:val="0"/>
        <w:jc w:val="center"/>
        <w:rPr>
          <w:rFonts w:hint="default" w:ascii="Times New Roman" w:hAnsi="Times New Roman" w:eastAsia="宋体" w:cs="Times New Roman"/>
          <w:b/>
          <w:sz w:val="32"/>
          <w:szCs w:val="32"/>
        </w:rPr>
      </w:pPr>
    </w:p>
    <w:p w14:paraId="458AF33B">
      <w:pPr>
        <w:adjustRightInd w:val="0"/>
        <w:snapToGrid w:val="0"/>
        <w:spacing w:line="480" w:lineRule="auto"/>
        <w:jc w:val="center"/>
        <w:rPr>
          <w:rFonts w:hint="default" w:ascii="Times New Roman" w:hAnsi="Times New Roman" w:eastAsia="宋体" w:cs="Times New Roman"/>
          <w:sz w:val="28"/>
          <w:szCs w:val="28"/>
        </w:rPr>
      </w:pPr>
      <w:r>
        <w:rPr>
          <w:rFonts w:hint="default" w:ascii="Times New Roman" w:hAnsi="Times New Roman" w:eastAsia="宋体" w:cs="Times New Roman"/>
          <w:bCs/>
          <w:sz w:val="28"/>
          <w:szCs w:val="28"/>
        </w:rPr>
        <w:t>法定代表人：</w:t>
      </w:r>
      <w:r>
        <w:rPr>
          <w:rFonts w:hint="default" w:ascii="Times New Roman" w:hAnsi="Times New Roman" w:eastAsia="宋体" w:cs="Times New Roman"/>
          <w:sz w:val="28"/>
          <w:szCs w:val="28"/>
        </w:rPr>
        <w:t>孙同辉</w:t>
      </w:r>
    </w:p>
    <w:p w14:paraId="47788D46">
      <w:pPr>
        <w:adjustRightInd w:val="0"/>
        <w:snapToGrid w:val="0"/>
        <w:spacing w:line="480" w:lineRule="auto"/>
        <w:jc w:val="center"/>
        <w:rPr>
          <w:rFonts w:hint="default" w:ascii="Times New Roman" w:hAnsi="Times New Roman" w:eastAsia="宋体" w:cs="Times New Roman"/>
          <w:bCs/>
          <w:sz w:val="28"/>
          <w:szCs w:val="28"/>
        </w:rPr>
      </w:pPr>
      <w:r>
        <w:rPr>
          <w:rFonts w:hint="default" w:ascii="Times New Roman" w:hAnsi="Times New Roman" w:eastAsia="宋体" w:cs="Times New Roman"/>
          <w:bCs/>
          <w:sz w:val="28"/>
          <w:szCs w:val="28"/>
        </w:rPr>
        <w:t>技术负责人：李在永</w:t>
      </w:r>
    </w:p>
    <w:p w14:paraId="0F8A2011">
      <w:pPr>
        <w:adjustRightInd w:val="0"/>
        <w:snapToGrid w:val="0"/>
        <w:spacing w:line="480" w:lineRule="auto"/>
        <w:jc w:val="center"/>
        <w:rPr>
          <w:rFonts w:hint="default" w:ascii="Times New Roman" w:hAnsi="Times New Roman" w:eastAsia="宋体" w:cs="Times New Roman"/>
          <w:bCs/>
          <w:sz w:val="28"/>
          <w:szCs w:val="28"/>
        </w:rPr>
      </w:pPr>
      <w:r>
        <w:rPr>
          <w:rFonts w:hint="default" w:ascii="Times New Roman" w:hAnsi="Times New Roman" w:eastAsia="宋体" w:cs="Times New Roman"/>
          <w:bCs/>
          <w:sz w:val="28"/>
          <w:szCs w:val="28"/>
        </w:rPr>
        <w:t>评价项目负责人：杨会明</w:t>
      </w:r>
    </w:p>
    <w:p w14:paraId="2CA0687A">
      <w:pPr>
        <w:adjustRightInd w:val="0"/>
        <w:snapToGrid w:val="0"/>
        <w:spacing w:line="360" w:lineRule="auto"/>
        <w:jc w:val="center"/>
        <w:rPr>
          <w:rFonts w:hint="default" w:ascii="Times New Roman" w:hAnsi="Times New Roman" w:eastAsia="宋体" w:cs="Times New Roman"/>
          <w:bCs/>
          <w:sz w:val="32"/>
          <w:szCs w:val="32"/>
        </w:rPr>
      </w:pPr>
    </w:p>
    <w:p w14:paraId="23571E96">
      <w:pPr>
        <w:pStyle w:val="62"/>
        <w:snapToGrid w:val="0"/>
        <w:jc w:val="center"/>
        <w:rPr>
          <w:rFonts w:hint="default" w:ascii="Times New Roman" w:hAnsi="Times New Roman" w:eastAsia="宋体" w:cs="Times New Roman"/>
          <w:bCs/>
          <w:color w:val="auto"/>
          <w:sz w:val="32"/>
          <w:szCs w:val="32"/>
        </w:rPr>
      </w:pPr>
    </w:p>
    <w:p w14:paraId="3F225840">
      <w:pPr>
        <w:pStyle w:val="62"/>
        <w:snapToGrid w:val="0"/>
        <w:jc w:val="center"/>
        <w:rPr>
          <w:rFonts w:hint="default" w:ascii="Times New Roman" w:hAnsi="Times New Roman" w:eastAsia="宋体" w:cs="Times New Roman"/>
          <w:bCs/>
          <w:color w:val="auto"/>
          <w:sz w:val="32"/>
          <w:szCs w:val="32"/>
        </w:rPr>
      </w:pPr>
    </w:p>
    <w:p w14:paraId="5CAB17D7">
      <w:pPr>
        <w:pStyle w:val="62"/>
        <w:snapToGrid w:val="0"/>
        <w:jc w:val="center"/>
        <w:rPr>
          <w:rFonts w:hint="default" w:ascii="Times New Roman" w:hAnsi="Times New Roman" w:eastAsia="宋体" w:cs="Times New Roman"/>
          <w:bCs/>
          <w:color w:val="auto"/>
          <w:sz w:val="32"/>
          <w:szCs w:val="32"/>
        </w:rPr>
      </w:pPr>
    </w:p>
    <w:p w14:paraId="0FD37B54">
      <w:pPr>
        <w:pStyle w:val="62"/>
        <w:snapToGrid w:val="0"/>
        <w:jc w:val="center"/>
        <w:rPr>
          <w:rFonts w:hint="default" w:ascii="Times New Roman" w:hAnsi="Times New Roman" w:eastAsia="宋体" w:cs="Times New Roman"/>
          <w:bCs/>
          <w:color w:val="auto"/>
          <w:sz w:val="32"/>
          <w:szCs w:val="32"/>
        </w:rPr>
      </w:pPr>
    </w:p>
    <w:p w14:paraId="072028C8">
      <w:pPr>
        <w:pStyle w:val="62"/>
        <w:snapToGrid w:val="0"/>
        <w:jc w:val="center"/>
        <w:rPr>
          <w:rFonts w:hint="default" w:ascii="Times New Roman" w:hAnsi="Times New Roman" w:eastAsia="宋体" w:cs="Times New Roman"/>
          <w:bCs/>
          <w:color w:val="auto"/>
          <w:sz w:val="32"/>
          <w:szCs w:val="32"/>
        </w:rPr>
      </w:pPr>
    </w:p>
    <w:p w14:paraId="2C5CFCC2">
      <w:pPr>
        <w:adjustRightInd w:val="0"/>
        <w:snapToGrid w:val="0"/>
        <w:spacing w:line="360" w:lineRule="auto"/>
        <w:jc w:val="center"/>
        <w:rPr>
          <w:rFonts w:hint="default" w:ascii="Times New Roman" w:hAnsi="Times New Roman" w:eastAsia="宋体" w:cs="Times New Roman"/>
          <w:b/>
          <w:sz w:val="32"/>
          <w:szCs w:val="32"/>
        </w:rPr>
      </w:pPr>
      <w:r>
        <w:rPr>
          <w:rFonts w:hint="default" w:ascii="Times New Roman" w:hAnsi="Times New Roman" w:eastAsia="宋体" w:cs="Times New Roman"/>
          <w:b/>
          <w:sz w:val="24"/>
        </w:rPr>
        <w:t>完成时间：2023年8月</w:t>
      </w:r>
    </w:p>
    <w:p w14:paraId="035A2A35">
      <w:pPr>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（安全评价机构公章）</w:t>
      </w:r>
    </w:p>
    <w:p w14:paraId="5632FAA0">
      <w:pPr>
        <w:pStyle w:val="62"/>
        <w:snapToGrid w:val="0"/>
        <w:rPr>
          <w:rFonts w:hint="default" w:ascii="Times New Roman" w:hAnsi="Times New Roman" w:eastAsia="宋体" w:cs="Times New Roman"/>
          <w:color w:val="auto"/>
          <w:sz w:val="21"/>
          <w:szCs w:val="21"/>
        </w:rPr>
      </w:pPr>
    </w:p>
    <w:p w14:paraId="63E51636">
      <w:pPr>
        <w:pStyle w:val="10"/>
        <w:adjustRightInd w:val="0"/>
        <w:snapToGrid w:val="0"/>
        <w:spacing w:before="27"/>
        <w:jc w:val="center"/>
        <w:rPr>
          <w:rFonts w:hint="default" w:ascii="Times New Roman" w:hAnsi="Times New Roman" w:eastAsia="宋体" w:cs="Times New Roman"/>
          <w:b/>
          <w:bCs/>
          <w:sz w:val="32"/>
          <w:szCs w:val="32"/>
        </w:rPr>
        <w:sectPr>
          <w:pgSz w:w="11905" w:h="16838"/>
          <w:pgMar w:top="1418" w:right="1134" w:bottom="1134" w:left="1588" w:header="851" w:footer="992" w:gutter="0"/>
          <w:pgNumType w:fmt="numberInDash" w:start="1"/>
          <w:cols w:space="720" w:num="1"/>
          <w:titlePg/>
          <w:docGrid w:linePitch="332" w:charSpace="0"/>
        </w:sectPr>
      </w:pPr>
    </w:p>
    <w:bookmarkEnd w:id="1"/>
    <w:bookmarkEnd w:id="2"/>
    <w:bookmarkEnd w:id="3"/>
    <w:bookmarkEnd w:id="4"/>
    <w:bookmarkEnd w:id="5"/>
    <w:bookmarkEnd w:id="6"/>
    <w:bookmarkEnd w:id="7"/>
    <w:bookmarkEnd w:id="8"/>
    <w:bookmarkEnd w:id="9"/>
    <w:bookmarkEnd w:id="10"/>
    <w:bookmarkEnd w:id="11"/>
    <w:bookmarkEnd w:id="12"/>
    <w:p w14:paraId="3A3922E2">
      <w:pPr>
        <w:keepLines/>
        <w:adjustRightInd w:val="0"/>
        <w:snapToGrid w:val="0"/>
        <w:spacing w:line="480" w:lineRule="auto"/>
        <w:jc w:val="center"/>
        <w:rPr>
          <w:rFonts w:hint="default" w:ascii="Times New Roman" w:hAnsi="Times New Roman" w:eastAsia="宋体" w:cs="Times New Roman"/>
          <w:b/>
          <w:kern w:val="44"/>
          <w:sz w:val="32"/>
          <w:szCs w:val="44"/>
        </w:rPr>
      </w:pPr>
      <w:bookmarkStart w:id="13" w:name="_Toc16238649"/>
      <w:bookmarkStart w:id="14" w:name="_Toc10926"/>
      <w:r>
        <w:rPr>
          <w:rFonts w:hint="default" w:ascii="Times New Roman" w:hAnsi="Times New Roman" w:eastAsia="宋体" w:cs="Times New Roman"/>
          <w:b/>
          <w:kern w:val="44"/>
          <w:sz w:val="32"/>
          <w:szCs w:val="44"/>
        </w:rPr>
        <w:t>前  言</w:t>
      </w:r>
      <w:bookmarkEnd w:id="13"/>
      <w:bookmarkEnd w:id="14"/>
    </w:p>
    <w:p w14:paraId="4258D382">
      <w:pPr>
        <w:widowControl/>
        <w:adjustRightInd w:val="0"/>
        <w:snapToGrid w:val="0"/>
        <w:spacing w:line="360" w:lineRule="auto"/>
        <w:ind w:firstLine="560" w:firstLineChars="200"/>
        <w:rPr>
          <w:rFonts w:hint="default" w:ascii="Times New Roman" w:hAnsi="Times New Roman" w:eastAsia="宋体" w:cs="Times New Roman"/>
          <w:sz w:val="28"/>
        </w:rPr>
      </w:pPr>
      <w:bookmarkStart w:id="15" w:name="_Hlk136615084"/>
      <w:r>
        <w:rPr>
          <w:rFonts w:hint="default" w:ascii="Times New Roman" w:hAnsi="Times New Roman" w:eastAsia="宋体" w:cs="Times New Roman"/>
          <w:sz w:val="28"/>
        </w:rPr>
        <w:t>云南省巧家县老店镇独梨树采石场于2014年1月20日取得巧家县自然资源局换发的采矿许可证，证号：C5306222010087130073464，生产规模：3万t/a，矿区面积：0.0614km</w:t>
      </w:r>
      <w:r>
        <w:rPr>
          <w:rFonts w:hint="default" w:ascii="Times New Roman" w:hAnsi="Times New Roman" w:eastAsia="宋体" w:cs="Times New Roman"/>
          <w:sz w:val="28"/>
          <w:vertAlign w:val="superscript"/>
        </w:rPr>
        <w:t>2</w:t>
      </w:r>
      <w:r>
        <w:rPr>
          <w:rFonts w:hint="default" w:ascii="Times New Roman" w:hAnsi="Times New Roman" w:eastAsia="宋体" w:cs="Times New Roman"/>
          <w:sz w:val="28"/>
        </w:rPr>
        <w:t>，开采深度：2265～2068m，有效期：自2014年1月20日至2017年1月20日。</w:t>
      </w:r>
    </w:p>
    <w:p w14:paraId="0AD2241C">
      <w:pPr>
        <w:widowControl/>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因矿区范围占部分国家公益林，为避让国家公益林，于2023年8月进行矿区缩减，同时变更生产规模及开采标高，矿区范围由0.0614km</w:t>
      </w:r>
      <w:r>
        <w:rPr>
          <w:rFonts w:hint="default" w:ascii="Times New Roman" w:hAnsi="Times New Roman" w:eastAsia="宋体" w:cs="Times New Roman"/>
          <w:sz w:val="28"/>
          <w:vertAlign w:val="superscript"/>
        </w:rPr>
        <w:t>2</w:t>
      </w:r>
      <w:r>
        <w:rPr>
          <w:rFonts w:hint="default" w:ascii="Times New Roman" w:hAnsi="Times New Roman" w:eastAsia="宋体" w:cs="Times New Roman"/>
          <w:sz w:val="28"/>
        </w:rPr>
        <w:t>缩减为0.0305km</w:t>
      </w:r>
      <w:r>
        <w:rPr>
          <w:rFonts w:hint="default" w:ascii="Times New Roman" w:hAnsi="Times New Roman" w:eastAsia="宋体" w:cs="Times New Roman"/>
          <w:sz w:val="28"/>
          <w:vertAlign w:val="superscript"/>
        </w:rPr>
        <w:t>2</w:t>
      </w:r>
      <w:r>
        <w:rPr>
          <w:rFonts w:hint="default" w:ascii="Times New Roman" w:hAnsi="Times New Roman" w:eastAsia="宋体" w:cs="Times New Roman"/>
          <w:sz w:val="28"/>
        </w:rPr>
        <w:t>，矿山于2023年8月21日取得变更后的采矿许可证，证号：C5306222023087130155528，开采矿种：建筑石料用灰岩，开采方式：露天开采，生产规模：10万t/a，矿区面积：0.0305km</w:t>
      </w:r>
      <w:r>
        <w:rPr>
          <w:rFonts w:hint="default" w:ascii="Times New Roman" w:hAnsi="Times New Roman" w:eastAsia="宋体" w:cs="Times New Roman"/>
          <w:sz w:val="28"/>
          <w:vertAlign w:val="superscript"/>
        </w:rPr>
        <w:t>2</w:t>
      </w:r>
      <w:r>
        <w:rPr>
          <w:rFonts w:hint="default" w:ascii="Times New Roman" w:hAnsi="Times New Roman" w:eastAsia="宋体" w:cs="Times New Roman"/>
          <w:sz w:val="28"/>
        </w:rPr>
        <w:t>，开采深度：2218～2080m，有效期：自2023年8月21日至2028年8月21日。</w:t>
      </w:r>
    </w:p>
    <w:bookmarkEnd w:id="15"/>
    <w:p w14:paraId="16244215">
      <w:pPr>
        <w:widowControl/>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安全生产法》第三十一条规定：生产经营单位新建、改建、扩建工程项目（以下统称建设项目）的安全设施，必须与主体工程同时设计、同时施工、同时投入生产和使用。安全设施投资应当纳入建设项目概算。安全设施投资应当纳入建设项目概算。根据《中华人民共和国安全生产法》《建设项目安全设施“三同时”监督管理办法》（国家安全生产监督管理总局令第36号，国家安全生产监督管理总局令第77号修订）等国家有关安全生产法律法规，巧家县老店镇独梨树采石场</w:t>
      </w:r>
      <w:r>
        <w:rPr>
          <w:rFonts w:hint="default" w:ascii="Times New Roman" w:hAnsi="Times New Roman" w:eastAsia="宋体" w:cs="Times New Roman"/>
          <w:sz w:val="28"/>
          <w:szCs w:val="28"/>
          <w:lang w:val="en-GB"/>
        </w:rPr>
        <w:t>依法开展建设项目安全设施“三同时”手续，</w:t>
      </w:r>
      <w:r>
        <w:rPr>
          <w:rFonts w:hint="default" w:ascii="Times New Roman" w:hAnsi="Times New Roman" w:eastAsia="宋体" w:cs="Times New Roman"/>
          <w:sz w:val="28"/>
        </w:rPr>
        <w:t>于2023年6月委托辽宁诺诚安全科技有限公司承担巧家县老店镇独梨树采石场建筑石料用灰岩矿10万t/a露天采场工程的安全预评价工作。</w:t>
      </w:r>
    </w:p>
    <w:p w14:paraId="2C4AAD8E">
      <w:pPr>
        <w:widowControl/>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根据《非煤矿山企业安全生产许可证实施办法》（原国家安监局令20号，第78号修改）、《安全生产许可证条例》（中华人民共和国国务院令397号，第653号修订）、《安全评价通则》（AQ8001-2007）和《安全预评价导则》（AQ8002-2007）等国家相关法律法规标准和规定，受巧家县老店镇独梨树采石场的委托，辽宁诺诚安全科技有限公司承担了巧家县老店镇独梨树采石场建筑石料用灰岩矿10万t/a露天采场工程安全预评价工作。</w:t>
      </w:r>
    </w:p>
    <w:p w14:paraId="0E553B0F">
      <w:pPr>
        <w:widowControl/>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在接受巧家县老店镇独梨树采石场的委托之后，我公司立即组成安全评价组，组织评价人员投入该项目的安全评价工作。评价人员于2023年6月25日进行现场勘验，在系统调查分析的基础上，对照国家或行业有关安全法律法规、标准和规范，对该项目初步设计（代可研）的可行性及项目涉及的危险、有害因素进行了分析评价，采用可靠、适用的评价方法对该矿山进行安全预评价，提出了相应的安全对策措施，得出了评价结论。依据《国家安全监管总局关于印发金属非金属矿山建设项目安全评价报告编写提纲的通知》（安监总管一〔2016〕49号）的要求编制《云南省巧家县老店镇独梨树采石场建筑石料用灰岩矿安全预评价》。</w:t>
      </w:r>
    </w:p>
    <w:p w14:paraId="060D6C18">
      <w:pPr>
        <w:widowControl/>
        <w:adjustRightInd w:val="0"/>
        <w:snapToGrid w:val="0"/>
        <w:spacing w:line="360" w:lineRule="auto"/>
        <w:ind w:firstLine="560" w:firstLineChars="200"/>
        <w:rPr>
          <w:rFonts w:hint="default" w:ascii="Times New Roman" w:hAnsi="Times New Roman" w:eastAsia="宋体" w:cs="Times New Roman"/>
          <w:sz w:val="32"/>
          <w:szCs w:val="32"/>
        </w:rPr>
        <w:sectPr>
          <w:headerReference r:id="rId7" w:type="first"/>
          <w:footerReference r:id="rId9" w:type="first"/>
          <w:headerReference r:id="rId6" w:type="default"/>
          <w:footerReference r:id="rId8" w:type="default"/>
          <w:pgSz w:w="11905" w:h="16838"/>
          <w:pgMar w:top="1418" w:right="1134" w:bottom="1134" w:left="1588" w:header="851" w:footer="992" w:gutter="0"/>
          <w:pgNumType w:start="1"/>
          <w:cols w:space="720" w:num="1"/>
          <w:docGrid w:linePitch="332" w:charSpace="0"/>
        </w:sectPr>
      </w:pPr>
      <w:r>
        <w:rPr>
          <w:rFonts w:hint="default" w:ascii="Times New Roman" w:hAnsi="Times New Roman" w:eastAsia="宋体" w:cs="Times New Roman"/>
          <w:sz w:val="28"/>
        </w:rPr>
        <w:t>在该项目的安全预评价过程中，得到了巧家县老店镇独梨树采石场等有关领导和技术人员的大力支持，同时在报告中引用了一些专家学者的研究成果和技术资料，在此一并表示感谢。</w:t>
      </w:r>
    </w:p>
    <w:p w14:paraId="29540421">
      <w:pPr>
        <w:tabs>
          <w:tab w:val="center" w:pos="4153"/>
          <w:tab w:val="left" w:pos="5844"/>
        </w:tabs>
        <w:adjustRightInd w:val="0"/>
        <w:snapToGrid w:val="0"/>
        <w:spacing w:line="360" w:lineRule="auto"/>
        <w:jc w:val="center"/>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目  录</w:t>
      </w:r>
    </w:p>
    <w:p w14:paraId="2A4F9C1D">
      <w:pPr>
        <w:pStyle w:val="20"/>
        <w:tabs>
          <w:tab w:val="right" w:leader="dot" w:pos="9184"/>
        </w:tabs>
        <w:rPr>
          <w:rFonts w:hint="default" w:ascii="Times New Roman" w:hAnsi="Times New Roman" w:eastAsia="宋体" w:cs="Times New Roman"/>
        </w:rPr>
      </w:pPr>
      <w:r>
        <w:rPr>
          <w:rFonts w:hint="default" w:ascii="Times New Roman" w:hAnsi="Times New Roman" w:eastAsia="宋体" w:cs="Times New Roman"/>
          <w:b w:val="0"/>
          <w:caps w:val="0"/>
          <w:snapToGrid w:val="0"/>
          <w:kern w:val="0"/>
          <w:szCs w:val="28"/>
        </w:rPr>
        <w:fldChar w:fldCharType="begin"/>
      </w:r>
      <w:r>
        <w:rPr>
          <w:rFonts w:hint="default" w:ascii="Times New Roman" w:hAnsi="Times New Roman" w:eastAsia="宋体" w:cs="Times New Roman"/>
          <w:b w:val="0"/>
          <w:caps w:val="0"/>
          <w:snapToGrid w:val="0"/>
          <w:kern w:val="0"/>
          <w:szCs w:val="28"/>
        </w:rPr>
        <w:instrText xml:space="preserve">TOC \o "1-2" \h \u </w:instrText>
      </w:r>
      <w:r>
        <w:rPr>
          <w:rFonts w:hint="default" w:ascii="Times New Roman" w:hAnsi="Times New Roman" w:eastAsia="宋体" w:cs="Times New Roman"/>
          <w:b w:val="0"/>
          <w:caps w:val="0"/>
          <w:snapToGrid w:val="0"/>
          <w:kern w:val="0"/>
          <w:szCs w:val="28"/>
        </w:rPr>
        <w:fldChar w:fldCharType="separate"/>
      </w:r>
      <w:r>
        <w:rPr>
          <w:rFonts w:hint="default" w:ascii="Times New Roman" w:hAnsi="Times New Roman" w:eastAsia="宋体" w:cs="Times New Roman"/>
          <w:caps w:val="0"/>
          <w:snapToGrid w:val="0"/>
          <w:kern w:val="0"/>
          <w:szCs w:val="28"/>
        </w:rPr>
        <w:fldChar w:fldCharType="begin"/>
      </w:r>
      <w:r>
        <w:rPr>
          <w:rFonts w:hint="default" w:ascii="Times New Roman" w:hAnsi="Times New Roman" w:eastAsia="宋体" w:cs="Times New Roman"/>
          <w:caps w:val="0"/>
          <w:snapToGrid w:val="0"/>
          <w:kern w:val="0"/>
          <w:szCs w:val="28"/>
        </w:rPr>
        <w:instrText xml:space="preserve"> HYPERLINK \l _Toc24157 </w:instrText>
      </w:r>
      <w:r>
        <w:rPr>
          <w:rFonts w:hint="default" w:ascii="Times New Roman" w:hAnsi="Times New Roman" w:eastAsia="宋体" w:cs="Times New Roman"/>
          <w:caps w:val="0"/>
          <w:snapToGrid w:val="0"/>
          <w:kern w:val="0"/>
          <w:szCs w:val="28"/>
        </w:rPr>
        <w:fldChar w:fldCharType="separate"/>
      </w:r>
      <w:r>
        <w:rPr>
          <w:rFonts w:hint="default" w:ascii="Times New Roman" w:hAnsi="Times New Roman" w:eastAsia="宋体" w:cs="Times New Roman"/>
          <w:bCs w:val="0"/>
        </w:rPr>
        <w:t>1.评价范围与依据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_Toc24157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caps w:val="0"/>
          <w:snapToGrid w:val="0"/>
          <w:kern w:val="0"/>
          <w:szCs w:val="28"/>
        </w:rPr>
        <w:fldChar w:fldCharType="end"/>
      </w:r>
    </w:p>
    <w:p w14:paraId="704B79B3">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_Toc19759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1.1评价对象和范围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_Toc19759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52DFD007">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_Toc29126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1.2评价依据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_Toc29126 \h </w:instrText>
      </w:r>
      <w:r>
        <w:rPr>
          <w:rFonts w:hint="default" w:ascii="Times New Roman" w:hAnsi="Times New Roman" w:eastAsia="宋体" w:cs="Times New Roman"/>
        </w:rPr>
        <w:fldChar w:fldCharType="separate"/>
      </w:r>
      <w:r>
        <w:rPr>
          <w:rFonts w:hint="default" w:ascii="Times New Roman" w:hAnsi="Times New Roman" w:eastAsia="宋体" w:cs="Times New Roman"/>
        </w:rPr>
        <w:t>4</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1BC1999D">
      <w:pPr>
        <w:pStyle w:val="20"/>
        <w:tabs>
          <w:tab w:val="right" w:leader="dot" w:pos="9184"/>
        </w:tabs>
        <w:rPr>
          <w:rFonts w:hint="default" w:ascii="Times New Roman" w:hAnsi="Times New Roman" w:eastAsia="宋体" w:cs="Times New Roman"/>
        </w:rPr>
      </w:pPr>
      <w:r>
        <w:rPr>
          <w:rFonts w:hint="default" w:ascii="Times New Roman" w:hAnsi="Times New Roman" w:eastAsia="宋体" w:cs="Times New Roman"/>
          <w:caps w:val="0"/>
          <w:snapToGrid w:val="0"/>
          <w:kern w:val="0"/>
          <w:szCs w:val="28"/>
        </w:rPr>
        <w:fldChar w:fldCharType="begin"/>
      </w:r>
      <w:r>
        <w:rPr>
          <w:rFonts w:hint="default" w:ascii="Times New Roman" w:hAnsi="Times New Roman" w:eastAsia="宋体" w:cs="Times New Roman"/>
          <w:caps w:val="0"/>
          <w:snapToGrid w:val="0"/>
          <w:kern w:val="0"/>
          <w:szCs w:val="28"/>
        </w:rPr>
        <w:instrText xml:space="preserve"> HYPERLINK \l _Toc20110 </w:instrText>
      </w:r>
      <w:r>
        <w:rPr>
          <w:rFonts w:hint="default" w:ascii="Times New Roman" w:hAnsi="Times New Roman" w:eastAsia="宋体" w:cs="Times New Roman"/>
          <w:caps w:val="0"/>
          <w:snapToGrid w:val="0"/>
          <w:kern w:val="0"/>
          <w:szCs w:val="28"/>
        </w:rPr>
        <w:fldChar w:fldCharType="separate"/>
      </w:r>
      <w:r>
        <w:rPr>
          <w:rFonts w:hint="default" w:ascii="Times New Roman" w:hAnsi="Times New Roman" w:eastAsia="宋体" w:cs="Times New Roman"/>
          <w:bCs w:val="0"/>
        </w:rPr>
        <w:t>2.建设项目概述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_Toc20110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aps w:val="0"/>
          <w:snapToGrid w:val="0"/>
          <w:kern w:val="0"/>
          <w:szCs w:val="28"/>
        </w:rPr>
        <w:fldChar w:fldCharType="end"/>
      </w:r>
    </w:p>
    <w:p w14:paraId="45821D8C">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_Toc16254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2.1建设单位概况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_Toc16254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168683DF">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_Toc25091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2.2自然环境概况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_Toc25091 \h </w:instrText>
      </w:r>
      <w:r>
        <w:rPr>
          <w:rFonts w:hint="default" w:ascii="Times New Roman" w:hAnsi="Times New Roman" w:eastAsia="宋体" w:cs="Times New Roman"/>
        </w:rPr>
        <w:fldChar w:fldCharType="separate"/>
      </w:r>
      <w:r>
        <w:rPr>
          <w:rFonts w:hint="default" w:ascii="Times New Roman" w:hAnsi="Times New Roman" w:eastAsia="宋体" w:cs="Times New Roman"/>
        </w:rPr>
        <w:t>20</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75D7AF83">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_Toc14567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2.3建设项目地质概况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_Toc14567 \h </w:instrText>
      </w:r>
      <w:r>
        <w:rPr>
          <w:rFonts w:hint="default" w:ascii="Times New Roman" w:hAnsi="Times New Roman" w:eastAsia="宋体" w:cs="Times New Roman"/>
        </w:rPr>
        <w:fldChar w:fldCharType="separate"/>
      </w:r>
      <w:r>
        <w:rPr>
          <w:rFonts w:hint="default" w:ascii="Times New Roman" w:hAnsi="Times New Roman" w:eastAsia="宋体" w:cs="Times New Roman"/>
        </w:rPr>
        <w:t>21</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7D056523">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_Toc23957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2.4建设方案概况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_Toc23957 \h </w:instrText>
      </w:r>
      <w:r>
        <w:rPr>
          <w:rFonts w:hint="default" w:ascii="Times New Roman" w:hAnsi="Times New Roman" w:eastAsia="宋体" w:cs="Times New Roman"/>
        </w:rPr>
        <w:fldChar w:fldCharType="separate"/>
      </w:r>
      <w:r>
        <w:rPr>
          <w:rFonts w:hint="default" w:ascii="Times New Roman" w:hAnsi="Times New Roman" w:eastAsia="宋体" w:cs="Times New Roman"/>
        </w:rPr>
        <w:t>29</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2E9B121F">
      <w:pPr>
        <w:pStyle w:val="20"/>
        <w:tabs>
          <w:tab w:val="right" w:leader="dot" w:pos="9184"/>
        </w:tabs>
        <w:rPr>
          <w:rFonts w:hint="default" w:ascii="Times New Roman" w:hAnsi="Times New Roman" w:eastAsia="宋体" w:cs="Times New Roman"/>
        </w:rPr>
      </w:pPr>
      <w:r>
        <w:rPr>
          <w:rFonts w:hint="default" w:ascii="Times New Roman" w:hAnsi="Times New Roman" w:eastAsia="宋体" w:cs="Times New Roman"/>
          <w:caps w:val="0"/>
          <w:snapToGrid w:val="0"/>
          <w:kern w:val="0"/>
          <w:szCs w:val="28"/>
        </w:rPr>
        <w:fldChar w:fldCharType="begin"/>
      </w:r>
      <w:r>
        <w:rPr>
          <w:rFonts w:hint="default" w:ascii="Times New Roman" w:hAnsi="Times New Roman" w:eastAsia="宋体" w:cs="Times New Roman"/>
          <w:caps w:val="0"/>
          <w:snapToGrid w:val="0"/>
          <w:kern w:val="0"/>
          <w:szCs w:val="28"/>
        </w:rPr>
        <w:instrText xml:space="preserve"> HYPERLINK \l _Toc1385 </w:instrText>
      </w:r>
      <w:r>
        <w:rPr>
          <w:rFonts w:hint="default" w:ascii="Times New Roman" w:hAnsi="Times New Roman" w:eastAsia="宋体" w:cs="Times New Roman"/>
          <w:caps w:val="0"/>
          <w:snapToGrid w:val="0"/>
          <w:kern w:val="0"/>
          <w:szCs w:val="28"/>
        </w:rPr>
        <w:fldChar w:fldCharType="separate"/>
      </w:r>
      <w:r>
        <w:rPr>
          <w:rFonts w:hint="default" w:ascii="Times New Roman" w:hAnsi="Times New Roman" w:eastAsia="宋体" w:cs="Times New Roman"/>
          <w:szCs w:val="32"/>
        </w:rPr>
        <w:t>3.定性定量评价</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_Toc1385 \h </w:instrText>
      </w:r>
      <w:r>
        <w:rPr>
          <w:rFonts w:hint="default" w:ascii="Times New Roman" w:hAnsi="Times New Roman" w:eastAsia="宋体" w:cs="Times New Roman"/>
        </w:rPr>
        <w:fldChar w:fldCharType="separate"/>
      </w:r>
      <w:r>
        <w:rPr>
          <w:rFonts w:hint="default" w:ascii="Times New Roman" w:hAnsi="Times New Roman" w:eastAsia="宋体" w:cs="Times New Roman"/>
        </w:rPr>
        <w:t>49</w:t>
      </w:r>
      <w:r>
        <w:rPr>
          <w:rFonts w:hint="default" w:ascii="Times New Roman" w:hAnsi="Times New Roman" w:eastAsia="宋体" w:cs="Times New Roman"/>
        </w:rPr>
        <w:fldChar w:fldCharType="end"/>
      </w:r>
      <w:r>
        <w:rPr>
          <w:rFonts w:hint="default" w:ascii="Times New Roman" w:hAnsi="Times New Roman" w:eastAsia="宋体" w:cs="Times New Roman"/>
          <w:caps w:val="0"/>
          <w:snapToGrid w:val="0"/>
          <w:kern w:val="0"/>
          <w:szCs w:val="28"/>
        </w:rPr>
        <w:fldChar w:fldCharType="end"/>
      </w:r>
    </w:p>
    <w:p w14:paraId="27054BD6">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_Toc22149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 xml:space="preserve">3.1 </w:t>
      </w:r>
      <w:r>
        <w:rPr>
          <w:rFonts w:hint="default" w:ascii="Times New Roman" w:hAnsi="Times New Roman" w:eastAsia="宋体" w:cs="Times New Roman"/>
          <w:szCs w:val="30"/>
          <w:lang w:val="en-GB"/>
        </w:rPr>
        <w:t>厂址选择及总平面布置单元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_Toc22149 \h </w:instrText>
      </w:r>
      <w:r>
        <w:rPr>
          <w:rFonts w:hint="default" w:ascii="Times New Roman" w:hAnsi="Times New Roman" w:eastAsia="宋体" w:cs="Times New Roman"/>
        </w:rPr>
        <w:fldChar w:fldCharType="separate"/>
      </w:r>
      <w:r>
        <w:rPr>
          <w:rFonts w:hint="default" w:ascii="Times New Roman" w:hAnsi="Times New Roman" w:eastAsia="宋体" w:cs="Times New Roman"/>
        </w:rPr>
        <w:t>50</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241F4F33">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_Toc10966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3.2 开拓运输单元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_Toc10966 \h </w:instrText>
      </w:r>
      <w:r>
        <w:rPr>
          <w:rFonts w:hint="default" w:ascii="Times New Roman" w:hAnsi="Times New Roman" w:eastAsia="宋体" w:cs="Times New Roman"/>
        </w:rPr>
        <w:fldChar w:fldCharType="separate"/>
      </w:r>
      <w:r>
        <w:rPr>
          <w:rFonts w:hint="default" w:ascii="Times New Roman" w:hAnsi="Times New Roman" w:eastAsia="宋体" w:cs="Times New Roman"/>
        </w:rPr>
        <w:t>54</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10D83E6A">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_Toc12969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3.3 采剥单元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_Toc12969 \h </w:instrText>
      </w:r>
      <w:r>
        <w:rPr>
          <w:rFonts w:hint="default" w:ascii="Times New Roman" w:hAnsi="Times New Roman" w:eastAsia="宋体" w:cs="Times New Roman"/>
        </w:rPr>
        <w:fldChar w:fldCharType="separate"/>
      </w:r>
      <w:r>
        <w:rPr>
          <w:rFonts w:hint="default" w:ascii="Times New Roman" w:hAnsi="Times New Roman" w:eastAsia="宋体" w:cs="Times New Roman"/>
        </w:rPr>
        <w:t>57</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2F438875">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_Toc14796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3.4 通风及供水系统单元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_Toc14796 \h </w:instrText>
      </w:r>
      <w:r>
        <w:rPr>
          <w:rFonts w:hint="default" w:ascii="Times New Roman" w:hAnsi="Times New Roman" w:eastAsia="宋体" w:cs="Times New Roman"/>
        </w:rPr>
        <w:fldChar w:fldCharType="separate"/>
      </w:r>
      <w:r>
        <w:rPr>
          <w:rFonts w:hint="default" w:ascii="Times New Roman" w:hAnsi="Times New Roman" w:eastAsia="宋体" w:cs="Times New Roman"/>
        </w:rPr>
        <w:t>80</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03A0E0D5">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_Toc444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3.5 防尘单元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_Toc444 \h </w:instrText>
      </w:r>
      <w:r>
        <w:rPr>
          <w:rFonts w:hint="default" w:ascii="Times New Roman" w:hAnsi="Times New Roman" w:eastAsia="宋体" w:cs="Times New Roman"/>
        </w:rPr>
        <w:fldChar w:fldCharType="separate"/>
      </w:r>
      <w:r>
        <w:rPr>
          <w:rFonts w:hint="default" w:ascii="Times New Roman" w:hAnsi="Times New Roman" w:eastAsia="宋体" w:cs="Times New Roman"/>
        </w:rPr>
        <w:t>82</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7D4E1D72">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_Toc9806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3.6 矿山供配电设施单元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_Toc9806 \h </w:instrText>
      </w:r>
      <w:r>
        <w:rPr>
          <w:rFonts w:hint="default" w:ascii="Times New Roman" w:hAnsi="Times New Roman" w:eastAsia="宋体" w:cs="Times New Roman"/>
        </w:rPr>
        <w:fldChar w:fldCharType="separate"/>
      </w:r>
      <w:r>
        <w:rPr>
          <w:rFonts w:hint="default" w:ascii="Times New Roman" w:hAnsi="Times New Roman" w:eastAsia="宋体" w:cs="Times New Roman"/>
        </w:rPr>
        <w:t>82</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2C1FFBF0">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_Toc17959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3.7 防排水与防灭火单元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_Toc17959 \h </w:instrText>
      </w:r>
      <w:r>
        <w:rPr>
          <w:rFonts w:hint="default" w:ascii="Times New Roman" w:hAnsi="Times New Roman" w:eastAsia="宋体" w:cs="Times New Roman"/>
        </w:rPr>
        <w:fldChar w:fldCharType="separate"/>
      </w:r>
      <w:r>
        <w:rPr>
          <w:rFonts w:hint="default" w:ascii="Times New Roman" w:hAnsi="Times New Roman" w:eastAsia="宋体" w:cs="Times New Roman"/>
        </w:rPr>
        <w:t>85</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4D3E1D60">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_Toc30178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3.8 安全管理及其他单元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_Toc30178 \h </w:instrText>
      </w:r>
      <w:r>
        <w:rPr>
          <w:rFonts w:hint="default" w:ascii="Times New Roman" w:hAnsi="Times New Roman" w:eastAsia="宋体" w:cs="Times New Roman"/>
        </w:rPr>
        <w:fldChar w:fldCharType="separate"/>
      </w:r>
      <w:r>
        <w:rPr>
          <w:rFonts w:hint="default" w:ascii="Times New Roman" w:hAnsi="Times New Roman" w:eastAsia="宋体" w:cs="Times New Roman"/>
        </w:rPr>
        <w:t>87</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737EB4EE">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_Toc20744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3.9 排土场单元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_Toc20744 \h </w:instrText>
      </w:r>
      <w:r>
        <w:rPr>
          <w:rFonts w:hint="default" w:ascii="Times New Roman" w:hAnsi="Times New Roman" w:eastAsia="宋体" w:cs="Times New Roman"/>
        </w:rPr>
        <w:fldChar w:fldCharType="separate"/>
      </w:r>
      <w:r>
        <w:rPr>
          <w:rFonts w:hint="default" w:ascii="Times New Roman" w:hAnsi="Times New Roman" w:eastAsia="宋体" w:cs="Times New Roman"/>
        </w:rPr>
        <w:t>93</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5E4D2AC2">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_Toc30721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3.10</w:t>
      </w:r>
      <w:r>
        <w:rPr>
          <w:rFonts w:hint="default" w:ascii="Times New Roman" w:hAnsi="Times New Roman" w:eastAsia="宋体" w:cs="Times New Roman"/>
          <w:szCs w:val="30"/>
          <w:lang w:val="en-GB"/>
        </w:rPr>
        <w:t>重大危险源辨识单元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_Toc30721 \h </w:instrText>
      </w:r>
      <w:r>
        <w:rPr>
          <w:rFonts w:hint="default" w:ascii="Times New Roman" w:hAnsi="Times New Roman" w:eastAsia="宋体" w:cs="Times New Roman"/>
        </w:rPr>
        <w:fldChar w:fldCharType="separate"/>
      </w:r>
      <w:r>
        <w:rPr>
          <w:rFonts w:hint="default" w:ascii="Times New Roman" w:hAnsi="Times New Roman" w:eastAsia="宋体" w:cs="Times New Roman"/>
        </w:rPr>
        <w:t>97</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65A3E136">
      <w:pPr>
        <w:pStyle w:val="20"/>
        <w:tabs>
          <w:tab w:val="right" w:leader="dot" w:pos="9184"/>
        </w:tabs>
        <w:rPr>
          <w:rFonts w:hint="default" w:ascii="Times New Roman" w:hAnsi="Times New Roman" w:eastAsia="宋体" w:cs="Times New Roman"/>
        </w:rPr>
      </w:pPr>
      <w:r>
        <w:rPr>
          <w:rFonts w:hint="default" w:ascii="Times New Roman" w:hAnsi="Times New Roman" w:eastAsia="宋体" w:cs="Times New Roman"/>
          <w:caps w:val="0"/>
          <w:snapToGrid w:val="0"/>
          <w:kern w:val="0"/>
          <w:szCs w:val="28"/>
        </w:rPr>
        <w:fldChar w:fldCharType="begin"/>
      </w:r>
      <w:r>
        <w:rPr>
          <w:rFonts w:hint="default" w:ascii="Times New Roman" w:hAnsi="Times New Roman" w:eastAsia="宋体" w:cs="Times New Roman"/>
          <w:caps w:val="0"/>
          <w:snapToGrid w:val="0"/>
          <w:kern w:val="0"/>
          <w:szCs w:val="28"/>
        </w:rPr>
        <w:instrText xml:space="preserve"> HYPERLINK \l _Toc13190 </w:instrText>
      </w:r>
      <w:r>
        <w:rPr>
          <w:rFonts w:hint="default" w:ascii="Times New Roman" w:hAnsi="Times New Roman" w:eastAsia="宋体" w:cs="Times New Roman"/>
          <w:caps w:val="0"/>
          <w:snapToGrid w:val="0"/>
          <w:kern w:val="0"/>
          <w:szCs w:val="28"/>
        </w:rPr>
        <w:fldChar w:fldCharType="separate"/>
      </w:r>
      <w:r>
        <w:rPr>
          <w:rFonts w:hint="default" w:ascii="Times New Roman" w:hAnsi="Times New Roman" w:eastAsia="宋体" w:cs="Times New Roman"/>
          <w:szCs w:val="32"/>
        </w:rPr>
        <w:t>4.安全对策措施建议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_Toc13190 \h </w:instrText>
      </w:r>
      <w:r>
        <w:rPr>
          <w:rFonts w:hint="default" w:ascii="Times New Roman" w:hAnsi="Times New Roman" w:eastAsia="宋体" w:cs="Times New Roman"/>
        </w:rPr>
        <w:fldChar w:fldCharType="separate"/>
      </w:r>
      <w:r>
        <w:rPr>
          <w:rFonts w:hint="default" w:ascii="Times New Roman" w:hAnsi="Times New Roman" w:eastAsia="宋体" w:cs="Times New Roman"/>
        </w:rPr>
        <w:t>99</w:t>
      </w:r>
      <w:r>
        <w:rPr>
          <w:rFonts w:hint="default" w:ascii="Times New Roman" w:hAnsi="Times New Roman" w:eastAsia="宋体" w:cs="Times New Roman"/>
        </w:rPr>
        <w:fldChar w:fldCharType="end"/>
      </w:r>
      <w:r>
        <w:rPr>
          <w:rFonts w:hint="default" w:ascii="Times New Roman" w:hAnsi="Times New Roman" w:eastAsia="宋体" w:cs="Times New Roman"/>
          <w:caps w:val="0"/>
          <w:snapToGrid w:val="0"/>
          <w:kern w:val="0"/>
          <w:szCs w:val="28"/>
        </w:rPr>
        <w:fldChar w:fldCharType="end"/>
      </w:r>
    </w:p>
    <w:p w14:paraId="5F39BCD5">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_Toc8855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4.1初步设计方案中提出的主要问题及建议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_Toc8855 \h </w:instrText>
      </w:r>
      <w:r>
        <w:rPr>
          <w:rFonts w:hint="default" w:ascii="Times New Roman" w:hAnsi="Times New Roman" w:eastAsia="宋体" w:cs="Times New Roman"/>
        </w:rPr>
        <w:fldChar w:fldCharType="separate"/>
      </w:r>
      <w:r>
        <w:rPr>
          <w:rFonts w:hint="default" w:ascii="Times New Roman" w:hAnsi="Times New Roman" w:eastAsia="宋体" w:cs="Times New Roman"/>
        </w:rPr>
        <w:t>99</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340BB201">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_Toc6068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4.2各单元安全对策措施建议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_Toc6068 \h </w:instrText>
      </w:r>
      <w:r>
        <w:rPr>
          <w:rFonts w:hint="default" w:ascii="Times New Roman" w:hAnsi="Times New Roman" w:eastAsia="宋体" w:cs="Times New Roman"/>
        </w:rPr>
        <w:fldChar w:fldCharType="separate"/>
      </w:r>
      <w:r>
        <w:rPr>
          <w:rFonts w:hint="default" w:ascii="Times New Roman" w:hAnsi="Times New Roman" w:eastAsia="宋体" w:cs="Times New Roman"/>
        </w:rPr>
        <w:t>99</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3FD35132">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_Toc15327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lang w:val="en-GB"/>
        </w:rPr>
        <w:t>4.3其他对策措施及建议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_Toc15327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105</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32CC7172">
      <w:pPr>
        <w:pStyle w:val="20"/>
        <w:tabs>
          <w:tab w:val="right" w:leader="dot" w:pos="9184"/>
        </w:tabs>
        <w:rPr>
          <w:rFonts w:hint="default" w:ascii="Times New Roman" w:hAnsi="Times New Roman" w:eastAsia="宋体" w:cs="Times New Roman"/>
        </w:rPr>
      </w:pPr>
      <w:r>
        <w:rPr>
          <w:rFonts w:hint="default" w:ascii="Times New Roman" w:hAnsi="Times New Roman" w:eastAsia="宋体" w:cs="Times New Roman"/>
          <w:caps w:val="0"/>
          <w:snapToGrid w:val="0"/>
          <w:kern w:val="0"/>
          <w:szCs w:val="28"/>
        </w:rPr>
        <w:fldChar w:fldCharType="begin"/>
      </w:r>
      <w:r>
        <w:rPr>
          <w:rFonts w:hint="default" w:ascii="Times New Roman" w:hAnsi="Times New Roman" w:eastAsia="宋体" w:cs="Times New Roman"/>
          <w:caps w:val="0"/>
          <w:snapToGrid w:val="0"/>
          <w:kern w:val="0"/>
          <w:szCs w:val="28"/>
        </w:rPr>
        <w:instrText xml:space="preserve"> HYPERLINK \l _Toc9611 </w:instrText>
      </w:r>
      <w:r>
        <w:rPr>
          <w:rFonts w:hint="default" w:ascii="Times New Roman" w:hAnsi="Times New Roman" w:eastAsia="宋体" w:cs="Times New Roman"/>
          <w:caps w:val="0"/>
          <w:snapToGrid w:val="0"/>
          <w:kern w:val="0"/>
          <w:szCs w:val="28"/>
        </w:rPr>
        <w:fldChar w:fldCharType="separate"/>
      </w:r>
      <w:r>
        <w:rPr>
          <w:rFonts w:hint="default" w:ascii="Times New Roman" w:hAnsi="Times New Roman" w:eastAsia="宋体" w:cs="Times New Roman"/>
          <w:szCs w:val="32"/>
        </w:rPr>
        <w:t>5.评价结论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_Toc9611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107</w:t>
      </w:r>
      <w:r>
        <w:rPr>
          <w:rFonts w:hint="default" w:ascii="Times New Roman" w:hAnsi="Times New Roman" w:eastAsia="宋体" w:cs="Times New Roman"/>
        </w:rPr>
        <w:fldChar w:fldCharType="end"/>
      </w:r>
      <w:r>
        <w:rPr>
          <w:rFonts w:hint="default" w:ascii="Times New Roman" w:hAnsi="Times New Roman" w:eastAsia="宋体" w:cs="Times New Roman"/>
          <w:caps w:val="0"/>
          <w:snapToGrid w:val="0"/>
          <w:kern w:val="0"/>
          <w:szCs w:val="28"/>
        </w:rPr>
        <w:fldChar w:fldCharType="end"/>
      </w:r>
    </w:p>
    <w:p w14:paraId="2B7382C5">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_Toc1005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5.1主要危险、有害因素评价结果</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_Toc1005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107</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4C8166A6">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_Toc31946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5.2该项目应重点防范的危险、有害因素</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_Toc31946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107</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37C80119">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_Toc25494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5.3该项目应重视的安全对策措施建议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_Toc25494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108</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01680398">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_Toc21179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5.4评价结果综述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_Toc21179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110</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3D2DD751">
      <w:pPr>
        <w:pStyle w:val="23"/>
        <w:tabs>
          <w:tab w:val="right" w:leader="dot" w:pos="9184"/>
        </w:tabs>
        <w:rPr>
          <w:rFonts w:hint="default" w:ascii="Times New Roman" w:hAnsi="Times New Roman" w:eastAsia="宋体" w:cs="Times New Roman"/>
        </w:rPr>
      </w:pPr>
      <w:r>
        <w:rPr>
          <w:rFonts w:hint="default" w:ascii="Times New Roman" w:hAnsi="Times New Roman" w:eastAsia="宋体" w:cs="Times New Roman"/>
          <w:caps/>
          <w:snapToGrid w:val="0"/>
          <w:kern w:val="0"/>
          <w:szCs w:val="28"/>
        </w:rPr>
        <w:fldChar w:fldCharType="begin"/>
      </w:r>
      <w:r>
        <w:rPr>
          <w:rFonts w:hint="default" w:ascii="Times New Roman" w:hAnsi="Times New Roman" w:eastAsia="宋体" w:cs="Times New Roman"/>
          <w:caps/>
          <w:snapToGrid w:val="0"/>
          <w:kern w:val="0"/>
          <w:szCs w:val="28"/>
        </w:rPr>
        <w:instrText xml:space="preserve"> HYPERLINK \l _Toc5022 </w:instrText>
      </w:r>
      <w:r>
        <w:rPr>
          <w:rFonts w:hint="default" w:ascii="Times New Roman" w:hAnsi="Times New Roman" w:eastAsia="宋体" w:cs="Times New Roman"/>
          <w:caps/>
          <w:snapToGrid w:val="0"/>
          <w:kern w:val="0"/>
          <w:szCs w:val="28"/>
        </w:rPr>
        <w:fldChar w:fldCharType="separate"/>
      </w:r>
      <w:r>
        <w:rPr>
          <w:rFonts w:hint="default" w:ascii="Times New Roman" w:hAnsi="Times New Roman" w:eastAsia="宋体" w:cs="Times New Roman"/>
          <w:szCs w:val="30"/>
        </w:rPr>
        <w:t>5.5安全预评价结论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_Toc5022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110</w:t>
      </w:r>
      <w:r>
        <w:rPr>
          <w:rFonts w:hint="default" w:ascii="Times New Roman" w:hAnsi="Times New Roman" w:eastAsia="宋体" w:cs="Times New Roman"/>
        </w:rPr>
        <w:fldChar w:fldCharType="end"/>
      </w:r>
      <w:r>
        <w:rPr>
          <w:rFonts w:hint="default" w:ascii="Times New Roman" w:hAnsi="Times New Roman" w:eastAsia="宋体" w:cs="Times New Roman"/>
          <w:caps/>
          <w:snapToGrid w:val="0"/>
          <w:kern w:val="0"/>
          <w:szCs w:val="28"/>
        </w:rPr>
        <w:fldChar w:fldCharType="end"/>
      </w:r>
    </w:p>
    <w:p w14:paraId="4B4C1D13">
      <w:pPr>
        <w:pStyle w:val="20"/>
        <w:tabs>
          <w:tab w:val="right" w:leader="dot" w:pos="9184"/>
        </w:tabs>
        <w:rPr>
          <w:rFonts w:hint="default" w:ascii="Times New Roman" w:hAnsi="Times New Roman" w:eastAsia="宋体" w:cs="Times New Roman"/>
        </w:rPr>
      </w:pPr>
      <w:r>
        <w:rPr>
          <w:rFonts w:hint="default" w:ascii="Times New Roman" w:hAnsi="Times New Roman" w:eastAsia="宋体" w:cs="Times New Roman"/>
          <w:caps w:val="0"/>
          <w:snapToGrid w:val="0"/>
          <w:kern w:val="0"/>
          <w:szCs w:val="28"/>
        </w:rPr>
        <w:fldChar w:fldCharType="begin"/>
      </w:r>
      <w:r>
        <w:rPr>
          <w:rFonts w:hint="default" w:ascii="Times New Roman" w:hAnsi="Times New Roman" w:eastAsia="宋体" w:cs="Times New Roman"/>
          <w:caps w:val="0"/>
          <w:snapToGrid w:val="0"/>
          <w:kern w:val="0"/>
          <w:szCs w:val="28"/>
        </w:rPr>
        <w:instrText xml:space="preserve"> HYPERLINK \l _Toc31531 </w:instrText>
      </w:r>
      <w:r>
        <w:rPr>
          <w:rFonts w:hint="default" w:ascii="Times New Roman" w:hAnsi="Times New Roman" w:eastAsia="宋体" w:cs="Times New Roman"/>
          <w:caps w:val="0"/>
          <w:snapToGrid w:val="0"/>
          <w:kern w:val="0"/>
          <w:szCs w:val="28"/>
        </w:rPr>
        <w:fldChar w:fldCharType="separate"/>
      </w:r>
      <w:r>
        <w:rPr>
          <w:rFonts w:hint="default" w:ascii="Times New Roman" w:hAnsi="Times New Roman" w:eastAsia="宋体" w:cs="Times New Roman"/>
          <w:szCs w:val="32"/>
        </w:rPr>
        <w:t>6.附件及附图</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_Toc31531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112</w:t>
      </w:r>
      <w:r>
        <w:rPr>
          <w:rFonts w:hint="default" w:ascii="Times New Roman" w:hAnsi="Times New Roman" w:eastAsia="宋体" w:cs="Times New Roman"/>
        </w:rPr>
        <w:fldChar w:fldCharType="end"/>
      </w:r>
      <w:r>
        <w:rPr>
          <w:rFonts w:hint="default" w:ascii="Times New Roman" w:hAnsi="Times New Roman" w:eastAsia="宋体" w:cs="Times New Roman"/>
          <w:caps w:val="0"/>
          <w:snapToGrid w:val="0"/>
          <w:kern w:val="0"/>
          <w:szCs w:val="28"/>
        </w:rPr>
        <w:fldChar w:fldCharType="end"/>
      </w:r>
    </w:p>
    <w:p w14:paraId="56639CFA">
      <w:pPr>
        <w:adjustRightInd w:val="0"/>
        <w:snapToGrid w:val="0"/>
        <w:spacing w:line="400" w:lineRule="exact"/>
        <w:rPr>
          <w:rFonts w:hint="default" w:ascii="Times New Roman" w:hAnsi="Times New Roman" w:eastAsia="宋体" w:cs="Times New Roman"/>
          <w:sz w:val="28"/>
          <w:szCs w:val="28"/>
        </w:rPr>
        <w:sectPr>
          <w:footerReference r:id="rId12" w:type="first"/>
          <w:headerReference r:id="rId10" w:type="default"/>
          <w:footerReference r:id="rId11" w:type="default"/>
          <w:pgSz w:w="11905" w:h="16838"/>
          <w:pgMar w:top="1417" w:right="1134" w:bottom="1134" w:left="1587" w:header="850" w:footer="992" w:gutter="0"/>
          <w:pgNumType w:fmt="upperRoman" w:start="1"/>
          <w:cols w:space="720" w:num="1"/>
          <w:docGrid w:linePitch="332" w:charSpace="0"/>
        </w:sectPr>
      </w:pPr>
      <w:r>
        <w:rPr>
          <w:rFonts w:hint="default" w:ascii="Times New Roman" w:hAnsi="Times New Roman" w:eastAsia="宋体" w:cs="Times New Roman"/>
          <w:caps/>
          <w:snapToGrid w:val="0"/>
          <w:kern w:val="0"/>
          <w:szCs w:val="28"/>
        </w:rPr>
        <w:fldChar w:fldCharType="end"/>
      </w:r>
    </w:p>
    <w:p w14:paraId="096216A0">
      <w:pPr>
        <w:pStyle w:val="2"/>
        <w:adjustRightInd w:val="0"/>
        <w:snapToGrid w:val="0"/>
        <w:spacing w:before="0" w:after="0" w:line="360" w:lineRule="auto"/>
        <w:jc w:val="center"/>
        <w:rPr>
          <w:rFonts w:hint="default" w:ascii="Times New Roman" w:hAnsi="Times New Roman" w:eastAsia="宋体" w:cs="Times New Roman"/>
          <w:bCs w:val="0"/>
          <w:sz w:val="32"/>
        </w:rPr>
      </w:pPr>
      <w:bookmarkStart w:id="16" w:name="_Toc20433"/>
      <w:bookmarkStart w:id="17" w:name="_Toc2860"/>
      <w:bookmarkStart w:id="18" w:name="_Toc27421"/>
      <w:bookmarkStart w:id="19" w:name="_Toc23850"/>
      <w:bookmarkStart w:id="20" w:name="_Toc24157"/>
      <w:bookmarkStart w:id="21" w:name="_Toc5375"/>
      <w:bookmarkStart w:id="22" w:name="_Toc25772"/>
      <w:bookmarkStart w:id="23" w:name="_Toc226963112"/>
      <w:bookmarkStart w:id="24" w:name="_Toc242849724"/>
      <w:bookmarkStart w:id="25" w:name="_Toc115120597"/>
      <w:bookmarkStart w:id="26" w:name="_Toc184701516"/>
      <w:bookmarkStart w:id="27" w:name="_Toc115120203"/>
      <w:r>
        <w:rPr>
          <w:rFonts w:hint="default" w:ascii="Times New Roman" w:hAnsi="Times New Roman" w:eastAsia="宋体" w:cs="Times New Roman"/>
          <w:bCs w:val="0"/>
          <w:sz w:val="32"/>
        </w:rPr>
        <w:t>1.评价范围与依据</w:t>
      </w:r>
      <w:bookmarkEnd w:id="16"/>
      <w:bookmarkEnd w:id="17"/>
      <w:bookmarkEnd w:id="18"/>
      <w:bookmarkEnd w:id="19"/>
      <w:bookmarkEnd w:id="20"/>
      <w:bookmarkEnd w:id="21"/>
      <w:bookmarkEnd w:id="22"/>
    </w:p>
    <w:bookmarkEnd w:id="23"/>
    <w:bookmarkEnd w:id="24"/>
    <w:bookmarkEnd w:id="25"/>
    <w:bookmarkEnd w:id="26"/>
    <w:bookmarkEnd w:id="27"/>
    <w:p w14:paraId="76C8D937">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28" w:name="_Toc184701517"/>
      <w:bookmarkStart w:id="29" w:name="_Toc242849725"/>
      <w:bookmarkStart w:id="30" w:name="_Toc226963113"/>
      <w:bookmarkStart w:id="31" w:name="_Toc115120598"/>
      <w:bookmarkStart w:id="32" w:name="_Toc115120204"/>
      <w:bookmarkStart w:id="33" w:name="_Toc31129"/>
      <w:bookmarkStart w:id="34" w:name="_Toc16338"/>
      <w:bookmarkStart w:id="35" w:name="_Toc27403"/>
      <w:bookmarkStart w:id="36" w:name="_Toc27523"/>
      <w:bookmarkStart w:id="37" w:name="_Toc10854"/>
      <w:bookmarkStart w:id="38" w:name="_Toc3841"/>
      <w:bookmarkStart w:id="39" w:name="_Toc19759"/>
      <w:r>
        <w:rPr>
          <w:rFonts w:hint="default" w:ascii="Times New Roman" w:hAnsi="Times New Roman" w:eastAsia="宋体" w:cs="Times New Roman"/>
          <w:sz w:val="30"/>
          <w:szCs w:val="30"/>
        </w:rPr>
        <w:t>1.1</w:t>
      </w:r>
      <w:bookmarkEnd w:id="28"/>
      <w:bookmarkEnd w:id="29"/>
      <w:bookmarkEnd w:id="30"/>
      <w:bookmarkEnd w:id="31"/>
      <w:bookmarkEnd w:id="32"/>
      <w:r>
        <w:rPr>
          <w:rFonts w:hint="default" w:ascii="Times New Roman" w:hAnsi="Times New Roman" w:eastAsia="宋体" w:cs="Times New Roman"/>
          <w:sz w:val="30"/>
          <w:szCs w:val="30"/>
        </w:rPr>
        <w:t>评价对象和范围</w:t>
      </w:r>
      <w:bookmarkEnd w:id="33"/>
      <w:bookmarkEnd w:id="34"/>
      <w:bookmarkEnd w:id="35"/>
      <w:bookmarkEnd w:id="36"/>
      <w:bookmarkEnd w:id="37"/>
      <w:bookmarkEnd w:id="38"/>
      <w:bookmarkEnd w:id="39"/>
    </w:p>
    <w:p w14:paraId="62852D68">
      <w:pPr>
        <w:pStyle w:val="4"/>
        <w:adjustRightInd w:val="0"/>
        <w:snapToGrid w:val="0"/>
        <w:spacing w:before="0" w:after="0" w:line="360" w:lineRule="auto"/>
        <w:rPr>
          <w:rFonts w:hint="default" w:ascii="Times New Roman" w:hAnsi="Times New Roman" w:eastAsia="宋体" w:cs="Times New Roman"/>
          <w:sz w:val="28"/>
          <w:szCs w:val="28"/>
        </w:rPr>
      </w:pPr>
      <w:bookmarkStart w:id="40" w:name="_Toc22409"/>
      <w:bookmarkStart w:id="41" w:name="_Toc5237"/>
      <w:bookmarkStart w:id="42" w:name="_Toc618"/>
      <w:bookmarkStart w:id="43" w:name="_Toc21920"/>
      <w:bookmarkStart w:id="44" w:name="_Toc6844"/>
      <w:bookmarkStart w:id="45" w:name="_Toc43199261"/>
      <w:bookmarkStart w:id="46" w:name="_Toc20114382"/>
      <w:bookmarkStart w:id="47" w:name="_Toc40432550"/>
      <w:bookmarkStart w:id="48" w:name="_Toc20043491"/>
      <w:bookmarkStart w:id="49" w:name="_Toc71798308"/>
      <w:bookmarkStart w:id="50" w:name="_Toc15189157"/>
      <w:bookmarkStart w:id="51" w:name="_Toc91061467"/>
      <w:bookmarkStart w:id="52" w:name="_Toc20114861"/>
      <w:bookmarkStart w:id="53" w:name="_Toc33343438"/>
      <w:bookmarkStart w:id="54" w:name="_Toc20114061"/>
      <w:bookmarkStart w:id="55" w:name="_Toc91061524"/>
      <w:bookmarkStart w:id="56" w:name="_Toc33409087"/>
      <w:bookmarkStart w:id="57" w:name="_Toc91061312"/>
      <w:bookmarkStart w:id="58" w:name="_Toc91758840"/>
      <w:bookmarkStart w:id="59" w:name="_Toc19930500"/>
      <w:bookmarkStart w:id="60" w:name="_Toc31434362"/>
      <w:bookmarkStart w:id="61" w:name="_Toc91061087"/>
      <w:bookmarkStart w:id="62" w:name="_Toc91061384"/>
      <w:bookmarkStart w:id="63" w:name="_Toc62397040"/>
      <w:bookmarkStart w:id="64" w:name="_Toc43191078"/>
      <w:bookmarkStart w:id="65" w:name="_Toc21957"/>
      <w:bookmarkStart w:id="66" w:name="_Toc23944573"/>
      <w:bookmarkStart w:id="67" w:name="_Toc92173036"/>
      <w:bookmarkStart w:id="68" w:name="_Toc374352217"/>
      <w:r>
        <w:rPr>
          <w:rFonts w:hint="default" w:ascii="Times New Roman" w:hAnsi="Times New Roman" w:eastAsia="宋体" w:cs="Times New Roman"/>
          <w:sz w:val="28"/>
          <w:szCs w:val="28"/>
        </w:rPr>
        <w:t>1.1.1评价对象</w:t>
      </w:r>
      <w:bookmarkEnd w:id="40"/>
      <w:bookmarkEnd w:id="41"/>
      <w:bookmarkEnd w:id="42"/>
      <w:bookmarkEnd w:id="43"/>
      <w:bookmarkEnd w:id="44"/>
    </w:p>
    <w:p w14:paraId="7D7446A6">
      <w:p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根据《云南省巧家县老店镇独梨树采石场10万t/a露天采场工程初步设计（代可研）》</w:t>
      </w:r>
      <w:r>
        <w:rPr>
          <w:rFonts w:hint="default" w:ascii="Times New Roman" w:hAnsi="Times New Roman" w:eastAsia="宋体" w:cs="Times New Roman"/>
          <w:snapToGrid w:val="0"/>
          <w:kern w:val="0"/>
          <w:sz w:val="28"/>
        </w:rPr>
        <w:t>和</w:t>
      </w:r>
      <w:r>
        <w:rPr>
          <w:rFonts w:hint="default" w:ascii="Times New Roman" w:hAnsi="Times New Roman" w:eastAsia="宋体" w:cs="Times New Roman"/>
          <w:snapToGrid w:val="0"/>
          <w:kern w:val="0"/>
          <w:sz w:val="28"/>
          <w:lang w:val="sq-AL"/>
        </w:rPr>
        <w:t>《金属非金属矿山建设项目安全设施目录（试行）》（国家安全监管总局令第75号）</w:t>
      </w:r>
      <w:r>
        <w:rPr>
          <w:rFonts w:hint="default" w:ascii="Times New Roman" w:hAnsi="Times New Roman" w:eastAsia="宋体" w:cs="Times New Roman"/>
          <w:snapToGrid w:val="0"/>
          <w:kern w:val="0"/>
          <w:sz w:val="28"/>
        </w:rPr>
        <w:t>等</w:t>
      </w:r>
      <w:r>
        <w:rPr>
          <w:rFonts w:hint="default" w:ascii="Times New Roman" w:hAnsi="Times New Roman" w:eastAsia="宋体" w:cs="Times New Roman"/>
          <w:snapToGrid w:val="0"/>
          <w:kern w:val="0"/>
          <w:sz w:val="28"/>
          <w:lang w:val="sq-AL"/>
        </w:rPr>
        <w:t>有关法律法规的规定，</w:t>
      </w:r>
      <w:r>
        <w:rPr>
          <w:rFonts w:hint="default" w:ascii="Times New Roman" w:hAnsi="Times New Roman" w:eastAsia="宋体" w:cs="Times New Roman"/>
          <w:snapToGrid w:val="0"/>
          <w:kern w:val="0"/>
          <w:sz w:val="28"/>
        </w:rPr>
        <w:t>本次</w:t>
      </w:r>
      <w:r>
        <w:rPr>
          <w:rFonts w:hint="default" w:ascii="Times New Roman" w:hAnsi="Times New Roman" w:eastAsia="宋体" w:cs="Times New Roman"/>
          <w:snapToGrid w:val="0"/>
          <w:kern w:val="0"/>
          <w:sz w:val="28"/>
          <w:lang w:val="sq-AL"/>
        </w:rPr>
        <w:t>评价对象为云南省巧家县老店镇独梨树采石场10万t/a露天采场工程露天开采系统及公用辅助设施。</w:t>
      </w:r>
    </w:p>
    <w:p w14:paraId="6EE177B6">
      <w:pPr>
        <w:pStyle w:val="4"/>
        <w:adjustRightInd w:val="0"/>
        <w:snapToGrid w:val="0"/>
        <w:spacing w:before="0" w:after="0" w:line="360" w:lineRule="auto"/>
        <w:rPr>
          <w:rFonts w:hint="default" w:ascii="Times New Roman" w:hAnsi="Times New Roman" w:eastAsia="宋体" w:cs="Times New Roman"/>
          <w:sz w:val="28"/>
          <w:szCs w:val="28"/>
        </w:rPr>
      </w:pPr>
      <w:bookmarkStart w:id="69" w:name="_Toc8871"/>
      <w:bookmarkStart w:id="70" w:name="_Toc19771"/>
      <w:bookmarkStart w:id="71" w:name="_Toc20628"/>
      <w:bookmarkStart w:id="72" w:name="_Toc12637"/>
      <w:bookmarkStart w:id="73" w:name="_Toc5953"/>
      <w:r>
        <w:rPr>
          <w:rFonts w:hint="default" w:ascii="Times New Roman" w:hAnsi="Times New Roman" w:eastAsia="宋体" w:cs="Times New Roman"/>
          <w:sz w:val="28"/>
          <w:szCs w:val="28"/>
        </w:rPr>
        <w:t>1.1.2评价范围</w:t>
      </w:r>
      <w:bookmarkEnd w:id="69"/>
      <w:bookmarkEnd w:id="70"/>
      <w:bookmarkEnd w:id="71"/>
      <w:bookmarkEnd w:id="72"/>
      <w:bookmarkEnd w:id="73"/>
    </w:p>
    <w:p w14:paraId="06AD9264">
      <w:p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本次安全预评价范围的确定包含安全评价空间范围和评价的项目系统范围两部分内容。</w:t>
      </w:r>
    </w:p>
    <w:p w14:paraId="67D0F057">
      <w:pPr>
        <w:adjustRightInd w:val="0"/>
        <w:snapToGrid w:val="0"/>
        <w:spacing w:line="360" w:lineRule="auto"/>
        <w:ind w:firstLine="560" w:firstLineChars="200"/>
        <w:outlineLvl w:val="3"/>
        <w:rPr>
          <w:rFonts w:hint="default" w:ascii="Times New Roman" w:hAnsi="Times New Roman" w:eastAsia="宋体" w:cs="Times New Roman"/>
        </w:rPr>
      </w:pPr>
      <w:r>
        <w:rPr>
          <w:rFonts w:hint="default" w:ascii="Times New Roman" w:hAnsi="Times New Roman" w:eastAsia="宋体" w:cs="Times New Roman"/>
          <w:sz w:val="28"/>
          <w:szCs w:val="28"/>
        </w:rPr>
        <w:t>1.1.2.1 空间范围</w:t>
      </w:r>
    </w:p>
    <w:p w14:paraId="0750B3A0">
      <w:p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本次安全预评价的空间范围是根据云南省巧家县老店镇独梨树采石场的矿区范围和《云南省巧家县老店镇独梨树采石场10万t/a露天采场工程初步设计（代可研）》设计范围确定的。</w:t>
      </w:r>
    </w:p>
    <w:p w14:paraId="2A376A5C">
      <w:pPr>
        <w:adjustRightInd w:val="0"/>
        <w:snapToGrid w:val="0"/>
        <w:spacing w:line="360" w:lineRule="auto"/>
        <w:ind w:firstLine="562" w:firstLineChars="200"/>
        <w:rPr>
          <w:rFonts w:hint="default" w:ascii="Times New Roman" w:hAnsi="Times New Roman" w:eastAsia="宋体" w:cs="Times New Roman"/>
          <w:b/>
          <w:bCs/>
          <w:snapToGrid w:val="0"/>
          <w:kern w:val="0"/>
          <w:sz w:val="28"/>
          <w:lang w:val="sq-AL"/>
        </w:rPr>
      </w:pPr>
      <w:r>
        <w:rPr>
          <w:rFonts w:hint="default" w:ascii="Times New Roman" w:hAnsi="Times New Roman" w:eastAsia="宋体" w:cs="Times New Roman"/>
          <w:b/>
          <w:bCs/>
          <w:snapToGrid w:val="0"/>
          <w:kern w:val="0"/>
          <w:sz w:val="28"/>
        </w:rPr>
        <w:t>1、</w:t>
      </w:r>
      <w:r>
        <w:rPr>
          <w:rFonts w:hint="default" w:ascii="Times New Roman" w:hAnsi="Times New Roman" w:eastAsia="宋体" w:cs="Times New Roman"/>
          <w:b/>
          <w:bCs/>
          <w:snapToGrid w:val="0"/>
          <w:kern w:val="0"/>
          <w:sz w:val="28"/>
          <w:lang w:val="sq-AL"/>
        </w:rPr>
        <w:t>矿区范围</w:t>
      </w:r>
    </w:p>
    <w:p w14:paraId="46BA538F">
      <w:p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z w:val="28"/>
          <w:szCs w:val="28"/>
        </w:rPr>
        <w:t>采矿许可证范围由6个拐点圈定，矿区面积：0.0305km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，开采深度：2218～2080m，矿区范围坐标见表1.1-1。</w:t>
      </w:r>
    </w:p>
    <w:p w14:paraId="74D74B19">
      <w:pPr>
        <w:adjustRightInd w:val="0"/>
        <w:snapToGrid w:val="0"/>
        <w:jc w:val="center"/>
        <w:rPr>
          <w:rFonts w:hint="default" w:ascii="Times New Roman" w:hAnsi="Times New Roman" w:eastAsia="宋体" w:cs="Times New Roman"/>
          <w:bCs/>
          <w:snapToGrid w:val="0"/>
          <w:kern w:val="0"/>
          <w:sz w:val="24"/>
        </w:rPr>
      </w:pPr>
      <w:r>
        <w:rPr>
          <w:rFonts w:hint="default" w:ascii="Times New Roman" w:hAnsi="Times New Roman" w:eastAsia="宋体" w:cs="Times New Roman"/>
          <w:bCs/>
          <w:snapToGrid w:val="0"/>
          <w:kern w:val="0"/>
          <w:sz w:val="24"/>
        </w:rPr>
        <w:t>表1.1-1  矿区范围拐点坐标表</w:t>
      </w:r>
    </w:p>
    <w:tbl>
      <w:tblPr>
        <w:tblStyle w:val="30"/>
        <w:tblW w:w="5000" w:type="pct"/>
        <w:tblInd w:w="0" w:type="dxa"/>
        <w:tblLayout w:type="autofit"/>
        <w:tblCellMar>
          <w:top w:w="0" w:type="dxa"/>
          <w:left w:w="0" w:type="dxa"/>
          <w:bottom w:w="0" w:type="dxa"/>
          <w:right w:w="0" w:type="dxa"/>
        </w:tblCellMar>
      </w:tblPr>
      <w:tblGrid>
        <w:gridCol w:w="986"/>
        <w:gridCol w:w="2440"/>
        <w:gridCol w:w="2289"/>
        <w:gridCol w:w="1666"/>
        <w:gridCol w:w="1832"/>
      </w:tblGrid>
      <w:tr w14:paraId="24D659A9">
        <w:tblPrEx>
          <w:tblCellMar>
            <w:top w:w="0" w:type="dxa"/>
            <w:left w:w="0" w:type="dxa"/>
            <w:bottom w:w="0" w:type="dxa"/>
            <w:right w:w="0" w:type="dxa"/>
          </w:tblCellMar>
        </w:tblPrEx>
        <w:trPr>
          <w:trHeight w:val="397" w:hRule="atLeast"/>
        </w:trPr>
        <w:tc>
          <w:tcPr>
            <w:tcW w:w="53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1FAA8E">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拐点号</w:t>
            </w:r>
          </w:p>
        </w:tc>
        <w:tc>
          <w:tcPr>
            <w:tcW w:w="2565"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47203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地理坐标（国家2000）</w:t>
            </w:r>
          </w:p>
        </w:tc>
        <w:tc>
          <w:tcPr>
            <w:tcW w:w="1898"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75FCE6">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3°带直角坐标（国家2000）</w:t>
            </w:r>
          </w:p>
        </w:tc>
      </w:tr>
      <w:tr w14:paraId="261EB739">
        <w:tblPrEx>
          <w:tblCellMar>
            <w:top w:w="0" w:type="dxa"/>
            <w:left w:w="0" w:type="dxa"/>
            <w:bottom w:w="0" w:type="dxa"/>
            <w:right w:w="0" w:type="dxa"/>
          </w:tblCellMar>
        </w:tblPrEx>
        <w:trPr>
          <w:trHeight w:val="397" w:hRule="atLeast"/>
        </w:trPr>
        <w:tc>
          <w:tcPr>
            <w:tcW w:w="53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EB0526">
            <w:pPr>
              <w:widowControl/>
              <w:jc w:val="center"/>
              <w:rPr>
                <w:rFonts w:hint="default" w:ascii="Times New Roman" w:hAnsi="Times New Roman" w:eastAsia="宋体" w:cs="Times New Roman"/>
                <w:szCs w:val="21"/>
              </w:rPr>
            </w:pPr>
          </w:p>
        </w:tc>
        <w:tc>
          <w:tcPr>
            <w:tcW w:w="13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4B6504">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东经</w:t>
            </w:r>
          </w:p>
        </w:tc>
        <w:tc>
          <w:tcPr>
            <w:tcW w:w="124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1C8BAE">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北纬</w:t>
            </w:r>
          </w:p>
        </w:tc>
        <w:tc>
          <w:tcPr>
            <w:tcW w:w="90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1EEFE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X</w:t>
            </w:r>
          </w:p>
        </w:tc>
        <w:tc>
          <w:tcPr>
            <w:tcW w:w="9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524D27">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Y</w:t>
            </w:r>
          </w:p>
        </w:tc>
      </w:tr>
      <w:tr w14:paraId="10B4F399">
        <w:tblPrEx>
          <w:tblCellMar>
            <w:top w:w="0" w:type="dxa"/>
            <w:left w:w="0" w:type="dxa"/>
            <w:bottom w:w="0" w:type="dxa"/>
            <w:right w:w="0" w:type="dxa"/>
          </w:tblCellMar>
        </w:tblPrEx>
        <w:trPr>
          <w:trHeight w:val="397" w:hRule="atLeast"/>
        </w:trPr>
        <w:tc>
          <w:tcPr>
            <w:tcW w:w="5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482FC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矿1</w:t>
            </w:r>
          </w:p>
        </w:tc>
        <w:tc>
          <w:tcPr>
            <w:tcW w:w="13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33866C">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103°16′13.896"</w:t>
            </w:r>
          </w:p>
        </w:tc>
        <w:tc>
          <w:tcPr>
            <w:tcW w:w="124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783C2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26°56′52.959"</w:t>
            </w:r>
          </w:p>
        </w:tc>
        <w:tc>
          <w:tcPr>
            <w:tcW w:w="90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831FD7">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2982507.47 </w:t>
            </w:r>
          </w:p>
        </w:tc>
        <w:tc>
          <w:tcPr>
            <w:tcW w:w="9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F8C3EB">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34626170.03 </w:t>
            </w:r>
          </w:p>
        </w:tc>
      </w:tr>
      <w:tr w14:paraId="728E26D8">
        <w:tblPrEx>
          <w:tblCellMar>
            <w:top w:w="0" w:type="dxa"/>
            <w:left w:w="0" w:type="dxa"/>
            <w:bottom w:w="0" w:type="dxa"/>
            <w:right w:w="0" w:type="dxa"/>
          </w:tblCellMar>
        </w:tblPrEx>
        <w:trPr>
          <w:trHeight w:val="397" w:hRule="atLeast"/>
        </w:trPr>
        <w:tc>
          <w:tcPr>
            <w:tcW w:w="5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536A0B">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矿2</w:t>
            </w:r>
          </w:p>
        </w:tc>
        <w:tc>
          <w:tcPr>
            <w:tcW w:w="13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95BFE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103°16′08.893"</w:t>
            </w:r>
          </w:p>
        </w:tc>
        <w:tc>
          <w:tcPr>
            <w:tcW w:w="124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7456EB">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26°56′55.764"</w:t>
            </w:r>
          </w:p>
        </w:tc>
        <w:tc>
          <w:tcPr>
            <w:tcW w:w="90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C15496">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2982592.43 </w:t>
            </w:r>
          </w:p>
        </w:tc>
        <w:tc>
          <w:tcPr>
            <w:tcW w:w="9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607007">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34626031.16 </w:t>
            </w:r>
          </w:p>
        </w:tc>
      </w:tr>
      <w:tr w14:paraId="4BCAA2D5">
        <w:tblPrEx>
          <w:tblCellMar>
            <w:top w:w="0" w:type="dxa"/>
            <w:left w:w="0" w:type="dxa"/>
            <w:bottom w:w="0" w:type="dxa"/>
            <w:right w:w="0" w:type="dxa"/>
          </w:tblCellMar>
        </w:tblPrEx>
        <w:trPr>
          <w:trHeight w:val="397" w:hRule="atLeast"/>
        </w:trPr>
        <w:tc>
          <w:tcPr>
            <w:tcW w:w="5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9B3F50">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矿3</w:t>
            </w:r>
          </w:p>
        </w:tc>
        <w:tc>
          <w:tcPr>
            <w:tcW w:w="13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DF4060">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103°16′10.464"</w:t>
            </w:r>
          </w:p>
        </w:tc>
        <w:tc>
          <w:tcPr>
            <w:tcW w:w="124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D3ED0F">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26°56′56.615"</w:t>
            </w:r>
          </w:p>
        </w:tc>
        <w:tc>
          <w:tcPr>
            <w:tcW w:w="90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71BF7F">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2982619.05 </w:t>
            </w:r>
          </w:p>
        </w:tc>
        <w:tc>
          <w:tcPr>
            <w:tcW w:w="9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8FE3DE">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34626074.23 </w:t>
            </w:r>
          </w:p>
        </w:tc>
      </w:tr>
      <w:tr w14:paraId="0575C2DB">
        <w:tblPrEx>
          <w:tblCellMar>
            <w:top w:w="0" w:type="dxa"/>
            <w:left w:w="0" w:type="dxa"/>
            <w:bottom w:w="0" w:type="dxa"/>
            <w:right w:w="0" w:type="dxa"/>
          </w:tblCellMar>
        </w:tblPrEx>
        <w:trPr>
          <w:trHeight w:val="397" w:hRule="atLeast"/>
        </w:trPr>
        <w:tc>
          <w:tcPr>
            <w:tcW w:w="5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7E5E67">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矿4</w:t>
            </w:r>
          </w:p>
        </w:tc>
        <w:tc>
          <w:tcPr>
            <w:tcW w:w="13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E79FEA">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103°16′11.991"</w:t>
            </w:r>
          </w:p>
        </w:tc>
        <w:tc>
          <w:tcPr>
            <w:tcW w:w="124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880F1C">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26°56′58.302"</w:t>
            </w:r>
          </w:p>
        </w:tc>
        <w:tc>
          <w:tcPr>
            <w:tcW w:w="90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C4CA4F">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2982671.41 </w:t>
            </w:r>
          </w:p>
        </w:tc>
        <w:tc>
          <w:tcPr>
            <w:tcW w:w="9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6D2C96">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34626115.82 </w:t>
            </w:r>
          </w:p>
        </w:tc>
      </w:tr>
      <w:tr w14:paraId="1F0B859D">
        <w:tblPrEx>
          <w:tblCellMar>
            <w:top w:w="0" w:type="dxa"/>
            <w:left w:w="0" w:type="dxa"/>
            <w:bottom w:w="0" w:type="dxa"/>
            <w:right w:w="0" w:type="dxa"/>
          </w:tblCellMar>
        </w:tblPrEx>
        <w:trPr>
          <w:trHeight w:val="397" w:hRule="atLeast"/>
        </w:trPr>
        <w:tc>
          <w:tcPr>
            <w:tcW w:w="5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C72EDE">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矿5</w:t>
            </w:r>
          </w:p>
        </w:tc>
        <w:tc>
          <w:tcPr>
            <w:tcW w:w="13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D10C10">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103°16′17.601"</w:t>
            </w:r>
          </w:p>
        </w:tc>
        <w:tc>
          <w:tcPr>
            <w:tcW w:w="124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487090">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26°56′58.679"</w:t>
            </w:r>
          </w:p>
        </w:tc>
        <w:tc>
          <w:tcPr>
            <w:tcW w:w="90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5528E9">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2982684.56 </w:t>
            </w:r>
          </w:p>
        </w:tc>
        <w:tc>
          <w:tcPr>
            <w:tcW w:w="9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99EE5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34626270.49 </w:t>
            </w:r>
          </w:p>
        </w:tc>
      </w:tr>
      <w:tr w14:paraId="74C35570">
        <w:tblPrEx>
          <w:tblCellMar>
            <w:top w:w="0" w:type="dxa"/>
            <w:left w:w="0" w:type="dxa"/>
            <w:bottom w:w="0" w:type="dxa"/>
            <w:right w:w="0" w:type="dxa"/>
          </w:tblCellMar>
        </w:tblPrEx>
        <w:trPr>
          <w:trHeight w:val="397" w:hRule="atLeast"/>
        </w:trPr>
        <w:tc>
          <w:tcPr>
            <w:tcW w:w="5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52F54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矿6</w:t>
            </w:r>
          </w:p>
        </w:tc>
        <w:tc>
          <w:tcPr>
            <w:tcW w:w="13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618F2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103°16′19.936"</w:t>
            </w:r>
          </w:p>
        </w:tc>
        <w:tc>
          <w:tcPr>
            <w:tcW w:w="1241" w:type="pct"/>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538AD758">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26°56′56.589"</w:t>
            </w:r>
          </w:p>
        </w:tc>
        <w:tc>
          <w:tcPr>
            <w:tcW w:w="904" w:type="pct"/>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684F31DC">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2982620.88 </w:t>
            </w:r>
          </w:p>
        </w:tc>
        <w:tc>
          <w:tcPr>
            <w:tcW w:w="9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E2AA4B">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xml:space="preserve">34626335.54 </w:t>
            </w:r>
          </w:p>
        </w:tc>
      </w:tr>
      <w:tr w14:paraId="7C3B58BC">
        <w:tblPrEx>
          <w:tblCellMar>
            <w:top w:w="0" w:type="dxa"/>
            <w:left w:w="0" w:type="dxa"/>
            <w:bottom w:w="0" w:type="dxa"/>
            <w:right w:w="0" w:type="dxa"/>
          </w:tblCellMar>
        </w:tblPrEx>
        <w:trPr>
          <w:trHeight w:val="397" w:hRule="atLeast"/>
        </w:trPr>
        <w:tc>
          <w:tcPr>
            <w:tcW w:w="3101" w:type="pct"/>
            <w:gridSpan w:val="3"/>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5F52A17F">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矿区面积：0.0305km</w:t>
            </w:r>
            <w:r>
              <w:rPr>
                <w:rFonts w:hint="default" w:ascii="Times New Roman" w:hAnsi="Times New Roman" w:eastAsia="宋体" w:cs="Times New Roman"/>
                <w:kern w:val="0"/>
                <w:szCs w:val="21"/>
                <w:vertAlign w:val="superscript"/>
                <w:lang w:bidi="ar"/>
              </w:rPr>
              <w:t>2</w:t>
            </w:r>
          </w:p>
        </w:tc>
        <w:tc>
          <w:tcPr>
            <w:tcW w:w="1898" w:type="pct"/>
            <w:gridSpan w:val="2"/>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6743C58E">
            <w:pPr>
              <w:widowControl/>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开采深度：2218～2080m</w:t>
            </w:r>
          </w:p>
        </w:tc>
      </w:tr>
    </w:tbl>
    <w:p w14:paraId="684F1DAF">
      <w:pPr>
        <w:ind w:firstLine="482"/>
        <w:jc w:val="left"/>
        <w:rPr>
          <w:rFonts w:hint="default" w:ascii="Times New Roman" w:hAnsi="Times New Roman" w:eastAsia="宋体" w:cs="Times New Roman"/>
          <w:bCs/>
          <w:sz w:val="24"/>
        </w:rPr>
      </w:pPr>
      <w:r>
        <w:rPr>
          <w:rFonts w:hint="default" w:ascii="Times New Roman" w:hAnsi="Times New Roman" w:eastAsia="宋体" w:cs="Times New Roman"/>
          <w:sz w:val="28"/>
          <w:szCs w:val="28"/>
        </w:rPr>
        <w:t>周边无其他探矿权、采矿权设置，不存在矿权重叠。</w:t>
      </w:r>
    </w:p>
    <w:p w14:paraId="0604BFB5">
      <w:pPr>
        <w:adjustRightInd w:val="0"/>
        <w:snapToGrid w:val="0"/>
        <w:spacing w:before="120" w:beforeLines="50" w:line="360" w:lineRule="auto"/>
        <w:ind w:firstLine="562" w:firstLineChars="200"/>
        <w:rPr>
          <w:rFonts w:hint="default" w:ascii="Times New Roman" w:hAnsi="Times New Roman" w:eastAsia="宋体" w:cs="Times New Roman"/>
          <w:b/>
          <w:bCs/>
          <w:snapToGrid w:val="0"/>
          <w:kern w:val="0"/>
          <w:sz w:val="28"/>
        </w:rPr>
      </w:pPr>
      <w:r>
        <w:rPr>
          <w:rFonts w:hint="default" w:ascii="Times New Roman" w:hAnsi="Times New Roman" w:eastAsia="宋体" w:cs="Times New Roman"/>
          <w:b/>
          <w:bCs/>
          <w:snapToGrid w:val="0"/>
          <w:kern w:val="0"/>
          <w:sz w:val="28"/>
        </w:rPr>
        <w:t>2、本项目初步设计（代可研）的设计范围</w:t>
      </w:r>
    </w:p>
    <w:p w14:paraId="2E38A0B4">
      <w:pPr>
        <w:adjustRightInd w:val="0"/>
        <w:snapToGrid w:val="0"/>
        <w:spacing w:line="360" w:lineRule="auto"/>
        <w:ind w:firstLine="560" w:firstLineChars="200"/>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根据采矿权范围、储量核实范围、开采现状，设计露天境界面积0.019km</w:t>
      </w:r>
      <w:r>
        <w:rPr>
          <w:rFonts w:hint="default" w:ascii="Times New Roman" w:hAnsi="Times New Roman" w:eastAsia="宋体" w:cs="Times New Roman"/>
          <w:bCs/>
          <w:color w:val="000000"/>
          <w:sz w:val="28"/>
          <w:szCs w:val="28"/>
          <w:vertAlign w:val="superscript"/>
        </w:rPr>
        <w:t>2</w:t>
      </w:r>
      <w:r>
        <w:rPr>
          <w:rFonts w:hint="default" w:ascii="Times New Roman" w:hAnsi="Times New Roman" w:eastAsia="宋体" w:cs="Times New Roman"/>
          <w:bCs/>
          <w:color w:val="000000"/>
          <w:sz w:val="28"/>
          <w:szCs w:val="28"/>
        </w:rPr>
        <w:t>，开采标高为2218～2140m，开采深度78m。2140m标高以下台阶不满足最小底宽，无法布置台阶，故设计最低开采标高为2140m。</w:t>
      </w:r>
    </w:p>
    <w:p w14:paraId="6FAC3993">
      <w:pPr>
        <w:adjustRightInd w:val="0"/>
        <w:snapToGrid w:val="0"/>
        <w:spacing w:line="360" w:lineRule="auto"/>
        <w:ind w:firstLine="560" w:firstLineChars="200"/>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矿区南侧有乡道经过，根据《公路安全保护条例》，安全距离为50m，设计开采境界距离乡道最近为63m，满足50m安全距离的要求。</w:t>
      </w:r>
    </w:p>
    <w:p w14:paraId="4CA6C89C">
      <w:pPr>
        <w:adjustRightInd w:val="0"/>
        <w:snapToGrid w:val="0"/>
        <w:spacing w:line="360" w:lineRule="auto"/>
        <w:ind w:firstLine="560" w:firstLineChars="200"/>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设计开采范围拐点坐标表如下：</w:t>
      </w:r>
    </w:p>
    <w:p w14:paraId="256DA568">
      <w:pPr>
        <w:keepNext/>
        <w:keepLines w:val="0"/>
        <w:pageBreakBefore w:val="0"/>
        <w:widowControl w:val="0"/>
        <w:kinsoku/>
        <w:wordWrap/>
        <w:overflowPunct/>
        <w:topLinePunct w:val="0"/>
        <w:autoSpaceDE/>
        <w:autoSpaceDN/>
        <w:bidi w:val="0"/>
        <w:ind w:firstLine="482"/>
        <w:jc w:val="center"/>
        <w:textAlignment w:val="auto"/>
        <w:rPr>
          <w:rFonts w:hint="default" w:ascii="Times New Roman" w:hAnsi="Times New Roman" w:eastAsia="宋体" w:cs="Times New Roman"/>
          <w:bCs/>
          <w:sz w:val="24"/>
        </w:rPr>
      </w:pPr>
      <w:r>
        <w:rPr>
          <w:rFonts w:hint="default" w:ascii="Times New Roman" w:hAnsi="Times New Roman" w:eastAsia="宋体" w:cs="Times New Roman"/>
          <w:bCs/>
          <w:sz w:val="24"/>
        </w:rPr>
        <w:t>表1</w:t>
      </w:r>
      <w:r>
        <w:rPr>
          <w:rFonts w:hint="default" w:ascii="Times New Roman" w:hAnsi="Times New Roman" w:eastAsia="宋体" w:cs="Times New Roman"/>
          <w:bCs/>
          <w:sz w:val="24"/>
          <w:lang w:val="en-US" w:eastAsia="zh-CN"/>
        </w:rPr>
        <w:t>.1-1</w:t>
      </w:r>
      <w:r>
        <w:rPr>
          <w:rFonts w:hint="default" w:ascii="Times New Roman" w:hAnsi="Times New Roman" w:eastAsia="宋体" w:cs="Times New Roman"/>
          <w:bCs/>
          <w:sz w:val="24"/>
        </w:rPr>
        <w:t xml:space="preserve">  设计开采范围拐点坐标表</w:t>
      </w:r>
    </w:p>
    <w:tbl>
      <w:tblPr>
        <w:tblStyle w:val="30"/>
        <w:tblW w:w="5000" w:type="pct"/>
        <w:jc w:val="center"/>
        <w:tblLayout w:type="autofit"/>
        <w:tblCellMar>
          <w:top w:w="0" w:type="dxa"/>
          <w:left w:w="108" w:type="dxa"/>
          <w:bottom w:w="0" w:type="dxa"/>
          <w:right w:w="108" w:type="dxa"/>
        </w:tblCellMar>
      </w:tblPr>
      <w:tblGrid>
        <w:gridCol w:w="2581"/>
        <w:gridCol w:w="3408"/>
        <w:gridCol w:w="3410"/>
      </w:tblGrid>
      <w:tr w14:paraId="73F8F80A">
        <w:tblPrEx>
          <w:tblCellMar>
            <w:top w:w="0" w:type="dxa"/>
            <w:left w:w="108" w:type="dxa"/>
            <w:bottom w:w="0" w:type="dxa"/>
            <w:right w:w="108" w:type="dxa"/>
          </w:tblCellMar>
        </w:tblPrEx>
        <w:trPr>
          <w:trHeight w:val="397" w:hRule="atLeast"/>
          <w:jc w:val="center"/>
        </w:trPr>
        <w:tc>
          <w:tcPr>
            <w:tcW w:w="1373" w:type="pct"/>
            <w:vMerge w:val="restart"/>
            <w:tcBorders>
              <w:top w:val="single" w:color="auto" w:sz="4" w:space="0"/>
              <w:left w:val="single" w:color="auto" w:sz="4" w:space="0"/>
              <w:bottom w:val="single" w:color="000000" w:sz="4" w:space="0"/>
              <w:right w:val="single" w:color="auto" w:sz="4" w:space="0"/>
            </w:tcBorders>
            <w:noWrap/>
            <w:vAlign w:val="center"/>
          </w:tcPr>
          <w:p w14:paraId="53B25120">
            <w:pPr>
              <w:keepNext/>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拐点</w:t>
            </w:r>
          </w:p>
        </w:tc>
        <w:tc>
          <w:tcPr>
            <w:tcW w:w="3627" w:type="pct"/>
            <w:gridSpan w:val="2"/>
            <w:tcBorders>
              <w:top w:val="single" w:color="auto" w:sz="4" w:space="0"/>
              <w:left w:val="nil"/>
              <w:bottom w:val="single" w:color="auto" w:sz="4" w:space="0"/>
              <w:right w:val="single" w:color="auto" w:sz="4" w:space="0"/>
            </w:tcBorders>
            <w:noWrap/>
            <w:vAlign w:val="center"/>
          </w:tcPr>
          <w:p w14:paraId="789F8A9A">
            <w:pPr>
              <w:keepNext/>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国家2000坐标系</w:t>
            </w:r>
          </w:p>
        </w:tc>
      </w:tr>
      <w:tr w14:paraId="3886BB65">
        <w:tblPrEx>
          <w:tblCellMar>
            <w:top w:w="0" w:type="dxa"/>
            <w:left w:w="108" w:type="dxa"/>
            <w:bottom w:w="0" w:type="dxa"/>
            <w:right w:w="108" w:type="dxa"/>
          </w:tblCellMar>
        </w:tblPrEx>
        <w:trPr>
          <w:trHeight w:val="397" w:hRule="atLeast"/>
          <w:jc w:val="center"/>
        </w:trPr>
        <w:tc>
          <w:tcPr>
            <w:tcW w:w="1373" w:type="pct"/>
            <w:vMerge w:val="continue"/>
            <w:tcBorders>
              <w:top w:val="single" w:color="auto" w:sz="4" w:space="0"/>
              <w:left w:val="single" w:color="auto" w:sz="4" w:space="0"/>
              <w:bottom w:val="single" w:color="000000" w:sz="4" w:space="0"/>
              <w:right w:val="single" w:color="auto" w:sz="4" w:space="0"/>
            </w:tcBorders>
            <w:noWrap w:val="0"/>
            <w:vAlign w:val="center"/>
          </w:tcPr>
          <w:p w14:paraId="043118B9">
            <w:pPr>
              <w:keepNext/>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p>
        </w:tc>
        <w:tc>
          <w:tcPr>
            <w:tcW w:w="1813" w:type="pct"/>
            <w:tcBorders>
              <w:top w:val="nil"/>
              <w:left w:val="nil"/>
              <w:bottom w:val="single" w:color="auto" w:sz="4" w:space="0"/>
              <w:right w:val="single" w:color="auto" w:sz="4" w:space="0"/>
            </w:tcBorders>
            <w:noWrap/>
            <w:vAlign w:val="center"/>
          </w:tcPr>
          <w:p w14:paraId="332131EF">
            <w:pPr>
              <w:keepNext/>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X</w:t>
            </w:r>
          </w:p>
        </w:tc>
        <w:tc>
          <w:tcPr>
            <w:tcW w:w="1813" w:type="pct"/>
            <w:tcBorders>
              <w:top w:val="nil"/>
              <w:left w:val="nil"/>
              <w:bottom w:val="single" w:color="auto" w:sz="4" w:space="0"/>
              <w:right w:val="single" w:color="auto" w:sz="4" w:space="0"/>
            </w:tcBorders>
            <w:noWrap/>
            <w:vAlign w:val="center"/>
          </w:tcPr>
          <w:p w14:paraId="7E692937">
            <w:pPr>
              <w:keepNext/>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Y</w:t>
            </w:r>
          </w:p>
        </w:tc>
      </w:tr>
      <w:tr w14:paraId="459938EF">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3126F5D5">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采1</w:t>
            </w:r>
          </w:p>
        </w:tc>
        <w:tc>
          <w:tcPr>
            <w:tcW w:w="1813" w:type="pct"/>
            <w:tcBorders>
              <w:top w:val="nil"/>
              <w:left w:val="nil"/>
              <w:bottom w:val="single" w:color="auto" w:sz="4" w:space="0"/>
              <w:right w:val="single" w:color="auto" w:sz="4" w:space="0"/>
            </w:tcBorders>
            <w:noWrap/>
            <w:vAlign w:val="center"/>
          </w:tcPr>
          <w:p w14:paraId="3EF27601">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2982567.433</w:t>
            </w:r>
          </w:p>
        </w:tc>
        <w:tc>
          <w:tcPr>
            <w:tcW w:w="1813" w:type="pct"/>
            <w:tcBorders>
              <w:top w:val="nil"/>
              <w:left w:val="nil"/>
              <w:bottom w:val="single" w:color="auto" w:sz="4" w:space="0"/>
              <w:right w:val="single" w:color="auto" w:sz="4" w:space="0"/>
            </w:tcBorders>
            <w:noWrap/>
            <w:vAlign w:val="center"/>
          </w:tcPr>
          <w:p w14:paraId="50DDE4CD">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34626072.02</w:t>
            </w:r>
          </w:p>
        </w:tc>
      </w:tr>
      <w:tr w14:paraId="2892DBF5">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1F0111B3">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采2</w:t>
            </w:r>
          </w:p>
        </w:tc>
        <w:tc>
          <w:tcPr>
            <w:tcW w:w="1813" w:type="pct"/>
            <w:tcBorders>
              <w:top w:val="nil"/>
              <w:left w:val="nil"/>
              <w:bottom w:val="single" w:color="auto" w:sz="4" w:space="0"/>
              <w:right w:val="single" w:color="auto" w:sz="4" w:space="0"/>
            </w:tcBorders>
            <w:noWrap/>
            <w:vAlign w:val="center"/>
          </w:tcPr>
          <w:p w14:paraId="6D48CCBC">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2982592.43</w:t>
            </w:r>
          </w:p>
        </w:tc>
        <w:tc>
          <w:tcPr>
            <w:tcW w:w="1813" w:type="pct"/>
            <w:tcBorders>
              <w:top w:val="nil"/>
              <w:left w:val="nil"/>
              <w:bottom w:val="single" w:color="auto" w:sz="4" w:space="0"/>
              <w:right w:val="single" w:color="auto" w:sz="4" w:space="0"/>
            </w:tcBorders>
            <w:noWrap/>
            <w:vAlign w:val="center"/>
          </w:tcPr>
          <w:p w14:paraId="5FF33B11">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34626031.16</w:t>
            </w:r>
          </w:p>
        </w:tc>
      </w:tr>
      <w:tr w14:paraId="3FB94B2C">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2C454E49">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采3</w:t>
            </w:r>
          </w:p>
        </w:tc>
        <w:tc>
          <w:tcPr>
            <w:tcW w:w="1813" w:type="pct"/>
            <w:tcBorders>
              <w:top w:val="nil"/>
              <w:left w:val="nil"/>
              <w:bottom w:val="single" w:color="auto" w:sz="4" w:space="0"/>
              <w:right w:val="single" w:color="auto" w:sz="4" w:space="0"/>
            </w:tcBorders>
            <w:noWrap/>
            <w:vAlign w:val="center"/>
          </w:tcPr>
          <w:p w14:paraId="4C14E863">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2982619.05</w:t>
            </w:r>
          </w:p>
        </w:tc>
        <w:tc>
          <w:tcPr>
            <w:tcW w:w="1813" w:type="pct"/>
            <w:tcBorders>
              <w:top w:val="nil"/>
              <w:left w:val="nil"/>
              <w:bottom w:val="single" w:color="auto" w:sz="4" w:space="0"/>
              <w:right w:val="single" w:color="auto" w:sz="4" w:space="0"/>
            </w:tcBorders>
            <w:noWrap/>
            <w:vAlign w:val="center"/>
          </w:tcPr>
          <w:p w14:paraId="27CE19EF">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34626074.23</w:t>
            </w:r>
          </w:p>
        </w:tc>
      </w:tr>
      <w:tr w14:paraId="482355C8">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4B5CFA46">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采4</w:t>
            </w:r>
          </w:p>
        </w:tc>
        <w:tc>
          <w:tcPr>
            <w:tcW w:w="1813" w:type="pct"/>
            <w:tcBorders>
              <w:top w:val="nil"/>
              <w:left w:val="nil"/>
              <w:bottom w:val="single" w:color="auto" w:sz="4" w:space="0"/>
              <w:right w:val="single" w:color="auto" w:sz="4" w:space="0"/>
            </w:tcBorders>
            <w:noWrap/>
            <w:vAlign w:val="center"/>
          </w:tcPr>
          <w:p w14:paraId="361819C2">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2982671.41</w:t>
            </w:r>
          </w:p>
        </w:tc>
        <w:tc>
          <w:tcPr>
            <w:tcW w:w="1813" w:type="pct"/>
            <w:tcBorders>
              <w:top w:val="nil"/>
              <w:left w:val="nil"/>
              <w:bottom w:val="single" w:color="auto" w:sz="4" w:space="0"/>
              <w:right w:val="single" w:color="auto" w:sz="4" w:space="0"/>
            </w:tcBorders>
            <w:noWrap/>
            <w:vAlign w:val="center"/>
          </w:tcPr>
          <w:p w14:paraId="2E114647">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34626115.82</w:t>
            </w:r>
          </w:p>
        </w:tc>
      </w:tr>
      <w:tr w14:paraId="44AF4AE9">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743BF12C">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采5</w:t>
            </w:r>
          </w:p>
        </w:tc>
        <w:tc>
          <w:tcPr>
            <w:tcW w:w="1813" w:type="pct"/>
            <w:tcBorders>
              <w:top w:val="nil"/>
              <w:left w:val="nil"/>
              <w:bottom w:val="single" w:color="auto" w:sz="4" w:space="0"/>
              <w:right w:val="single" w:color="auto" w:sz="4" w:space="0"/>
            </w:tcBorders>
            <w:noWrap/>
            <w:vAlign w:val="center"/>
          </w:tcPr>
          <w:p w14:paraId="4B64C6B0">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2982684.56</w:t>
            </w:r>
          </w:p>
        </w:tc>
        <w:tc>
          <w:tcPr>
            <w:tcW w:w="1813" w:type="pct"/>
            <w:tcBorders>
              <w:top w:val="nil"/>
              <w:left w:val="nil"/>
              <w:bottom w:val="single" w:color="auto" w:sz="4" w:space="0"/>
              <w:right w:val="single" w:color="auto" w:sz="4" w:space="0"/>
            </w:tcBorders>
            <w:noWrap/>
            <w:vAlign w:val="center"/>
          </w:tcPr>
          <w:p w14:paraId="258B2268">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34626270.49</w:t>
            </w:r>
          </w:p>
        </w:tc>
      </w:tr>
      <w:tr w14:paraId="6558EA0C">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0EB54C7E">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采6</w:t>
            </w:r>
          </w:p>
        </w:tc>
        <w:tc>
          <w:tcPr>
            <w:tcW w:w="1813" w:type="pct"/>
            <w:tcBorders>
              <w:top w:val="nil"/>
              <w:left w:val="nil"/>
              <w:bottom w:val="single" w:color="auto" w:sz="4" w:space="0"/>
              <w:right w:val="single" w:color="auto" w:sz="4" w:space="0"/>
            </w:tcBorders>
            <w:noWrap/>
            <w:vAlign w:val="center"/>
          </w:tcPr>
          <w:p w14:paraId="03B6AA6D">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2982641.152</w:t>
            </w:r>
          </w:p>
        </w:tc>
        <w:tc>
          <w:tcPr>
            <w:tcW w:w="1813" w:type="pct"/>
            <w:tcBorders>
              <w:top w:val="nil"/>
              <w:left w:val="nil"/>
              <w:bottom w:val="single" w:color="auto" w:sz="4" w:space="0"/>
              <w:right w:val="single" w:color="auto" w:sz="4" w:space="0"/>
            </w:tcBorders>
            <w:noWrap/>
            <w:vAlign w:val="center"/>
          </w:tcPr>
          <w:p w14:paraId="5D1D0DA6">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34626314.83</w:t>
            </w:r>
          </w:p>
        </w:tc>
      </w:tr>
      <w:tr w14:paraId="3B2A1D8C">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546C86F7">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采7</w:t>
            </w:r>
          </w:p>
        </w:tc>
        <w:tc>
          <w:tcPr>
            <w:tcW w:w="1813" w:type="pct"/>
            <w:tcBorders>
              <w:top w:val="nil"/>
              <w:left w:val="nil"/>
              <w:bottom w:val="single" w:color="auto" w:sz="4" w:space="0"/>
              <w:right w:val="single" w:color="auto" w:sz="4" w:space="0"/>
            </w:tcBorders>
            <w:noWrap/>
            <w:vAlign w:val="center"/>
          </w:tcPr>
          <w:p w14:paraId="36F77717">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2982622.799</w:t>
            </w:r>
          </w:p>
        </w:tc>
        <w:tc>
          <w:tcPr>
            <w:tcW w:w="1813" w:type="pct"/>
            <w:tcBorders>
              <w:top w:val="nil"/>
              <w:left w:val="nil"/>
              <w:bottom w:val="single" w:color="auto" w:sz="4" w:space="0"/>
              <w:right w:val="single" w:color="auto" w:sz="4" w:space="0"/>
            </w:tcBorders>
            <w:noWrap/>
            <w:vAlign w:val="center"/>
          </w:tcPr>
          <w:p w14:paraId="5BC6FEB0">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34626301.59</w:t>
            </w:r>
          </w:p>
        </w:tc>
      </w:tr>
      <w:tr w14:paraId="66896501">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3C503918">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采8</w:t>
            </w:r>
          </w:p>
        </w:tc>
        <w:tc>
          <w:tcPr>
            <w:tcW w:w="1813" w:type="pct"/>
            <w:tcBorders>
              <w:top w:val="nil"/>
              <w:left w:val="nil"/>
              <w:bottom w:val="single" w:color="auto" w:sz="4" w:space="0"/>
              <w:right w:val="single" w:color="auto" w:sz="4" w:space="0"/>
            </w:tcBorders>
            <w:noWrap/>
            <w:vAlign w:val="center"/>
          </w:tcPr>
          <w:p w14:paraId="3E9AA97D">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2982607.987</w:t>
            </w:r>
          </w:p>
        </w:tc>
        <w:tc>
          <w:tcPr>
            <w:tcW w:w="1813" w:type="pct"/>
            <w:tcBorders>
              <w:top w:val="nil"/>
              <w:left w:val="nil"/>
              <w:bottom w:val="single" w:color="auto" w:sz="4" w:space="0"/>
              <w:right w:val="single" w:color="auto" w:sz="4" w:space="0"/>
            </w:tcBorders>
            <w:noWrap/>
            <w:vAlign w:val="center"/>
          </w:tcPr>
          <w:p w14:paraId="6272DCDA">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34626267.36</w:t>
            </w:r>
          </w:p>
        </w:tc>
      </w:tr>
      <w:tr w14:paraId="61DC45E3">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699D3B90">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开采面积</w:t>
            </w:r>
          </w:p>
        </w:tc>
        <w:tc>
          <w:tcPr>
            <w:tcW w:w="3627" w:type="pct"/>
            <w:gridSpan w:val="2"/>
            <w:tcBorders>
              <w:top w:val="single" w:color="auto" w:sz="4" w:space="0"/>
              <w:left w:val="nil"/>
              <w:bottom w:val="single" w:color="auto" w:sz="4" w:space="0"/>
              <w:right w:val="single" w:color="000000" w:sz="4" w:space="0"/>
            </w:tcBorders>
            <w:noWrap/>
            <w:vAlign w:val="center"/>
          </w:tcPr>
          <w:p w14:paraId="62A0C883">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0.019km</w:t>
            </w:r>
            <w:r>
              <w:rPr>
                <w:rFonts w:hint="default" w:ascii="Times New Roman" w:hAnsi="Times New Roman" w:eastAsia="宋体" w:cs="Times New Roman"/>
                <w:bCs/>
                <w:color w:val="000000"/>
                <w:sz w:val="28"/>
                <w:szCs w:val="28"/>
                <w:vertAlign w:val="superscript"/>
              </w:rPr>
              <w:t>2</w:t>
            </w:r>
          </w:p>
        </w:tc>
      </w:tr>
      <w:tr w14:paraId="01A4F9F7">
        <w:tblPrEx>
          <w:tblCellMar>
            <w:top w:w="0" w:type="dxa"/>
            <w:left w:w="108" w:type="dxa"/>
            <w:bottom w:w="0" w:type="dxa"/>
            <w:right w:w="108" w:type="dxa"/>
          </w:tblCellMar>
        </w:tblPrEx>
        <w:trPr>
          <w:trHeight w:val="397" w:hRule="atLeast"/>
          <w:jc w:val="center"/>
        </w:trPr>
        <w:tc>
          <w:tcPr>
            <w:tcW w:w="1373" w:type="pct"/>
            <w:tcBorders>
              <w:top w:val="nil"/>
              <w:left w:val="single" w:color="auto" w:sz="4" w:space="0"/>
              <w:bottom w:val="single" w:color="auto" w:sz="4" w:space="0"/>
              <w:right w:val="single" w:color="auto" w:sz="4" w:space="0"/>
            </w:tcBorders>
            <w:noWrap/>
            <w:vAlign w:val="center"/>
          </w:tcPr>
          <w:p w14:paraId="157C43F9">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开采标高</w:t>
            </w:r>
          </w:p>
        </w:tc>
        <w:tc>
          <w:tcPr>
            <w:tcW w:w="3627" w:type="pct"/>
            <w:gridSpan w:val="2"/>
            <w:tcBorders>
              <w:top w:val="single" w:color="auto" w:sz="4" w:space="0"/>
              <w:left w:val="nil"/>
              <w:bottom w:val="single" w:color="auto" w:sz="4" w:space="0"/>
              <w:right w:val="single" w:color="000000" w:sz="4" w:space="0"/>
            </w:tcBorders>
            <w:noWrap/>
            <w:vAlign w:val="center"/>
          </w:tcPr>
          <w:p w14:paraId="3974326F">
            <w:pPr>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2218～2140m</w:t>
            </w:r>
          </w:p>
        </w:tc>
      </w:tr>
    </w:tbl>
    <w:p w14:paraId="59EF13DF">
      <w:pPr>
        <w:adjustRightInd w:val="0"/>
        <w:snapToGrid w:val="0"/>
        <w:spacing w:line="360" w:lineRule="auto"/>
        <w:ind w:firstLine="562" w:firstLineChars="200"/>
        <w:rPr>
          <w:rFonts w:hint="default" w:ascii="Times New Roman" w:hAnsi="Times New Roman" w:eastAsia="宋体" w:cs="Times New Roman"/>
          <w:b/>
          <w:bCs/>
          <w:snapToGrid w:val="0"/>
          <w:kern w:val="0"/>
          <w:sz w:val="28"/>
        </w:rPr>
      </w:pPr>
      <w:r>
        <w:rPr>
          <w:rFonts w:hint="default" w:ascii="Times New Roman" w:hAnsi="Times New Roman" w:eastAsia="宋体" w:cs="Times New Roman"/>
          <w:b/>
          <w:bCs/>
          <w:snapToGrid w:val="0"/>
          <w:kern w:val="0"/>
          <w:sz w:val="28"/>
        </w:rPr>
        <w:t>3、本次安全预评价空间范围</w:t>
      </w:r>
    </w:p>
    <w:p w14:paraId="09E71231">
      <w:p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本次安全</w:t>
      </w:r>
      <w:r>
        <w:rPr>
          <w:rFonts w:hint="default" w:ascii="Times New Roman" w:hAnsi="Times New Roman" w:eastAsia="宋体" w:cs="Times New Roman"/>
          <w:snapToGrid w:val="0"/>
          <w:kern w:val="0"/>
          <w:sz w:val="28"/>
        </w:rPr>
        <w:t>预</w:t>
      </w:r>
      <w:r>
        <w:rPr>
          <w:rFonts w:hint="default" w:ascii="Times New Roman" w:hAnsi="Times New Roman" w:eastAsia="宋体" w:cs="Times New Roman"/>
          <w:snapToGrid w:val="0"/>
          <w:kern w:val="0"/>
          <w:sz w:val="28"/>
          <w:lang w:val="sq-AL"/>
        </w:rPr>
        <w:t>评价的</w:t>
      </w:r>
      <w:r>
        <w:rPr>
          <w:rFonts w:hint="default" w:ascii="Times New Roman" w:hAnsi="Times New Roman" w:eastAsia="宋体" w:cs="Times New Roman"/>
          <w:snapToGrid w:val="0"/>
          <w:kern w:val="0"/>
          <w:sz w:val="28"/>
        </w:rPr>
        <w:t>空间</w:t>
      </w:r>
      <w:r>
        <w:rPr>
          <w:rFonts w:hint="default" w:ascii="Times New Roman" w:hAnsi="Times New Roman" w:eastAsia="宋体" w:cs="Times New Roman"/>
          <w:snapToGrid w:val="0"/>
          <w:kern w:val="0"/>
          <w:sz w:val="28"/>
          <w:lang w:val="sq-AL"/>
        </w:rPr>
        <w:t>范围与设计范围一致。</w:t>
      </w:r>
    </w:p>
    <w:p w14:paraId="06926E46">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1.1.2.2 项目系统范围</w:t>
      </w:r>
    </w:p>
    <w:p w14:paraId="1CF0D8D7">
      <w:pPr>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lang w:val="sq-AL"/>
        </w:rPr>
        <w:t>本次安全预评价</w:t>
      </w:r>
      <w:r>
        <w:rPr>
          <w:rFonts w:hint="default" w:ascii="Times New Roman" w:hAnsi="Times New Roman" w:eastAsia="宋体" w:cs="Times New Roman"/>
          <w:snapToGrid w:val="0"/>
          <w:kern w:val="0"/>
          <w:sz w:val="28"/>
        </w:rPr>
        <w:t>根据</w:t>
      </w:r>
      <w:r>
        <w:rPr>
          <w:rFonts w:hint="default" w:ascii="Times New Roman" w:hAnsi="Times New Roman" w:eastAsia="宋体" w:cs="Times New Roman"/>
          <w:snapToGrid w:val="0"/>
          <w:kern w:val="0"/>
          <w:sz w:val="28"/>
          <w:lang w:val="sq-AL"/>
        </w:rPr>
        <w:t>《云南省巧家县老店镇独梨树采石场10万t/a露天采场工程初步设计（代可研）》</w:t>
      </w:r>
      <w:r>
        <w:rPr>
          <w:rFonts w:hint="default" w:ascii="Times New Roman" w:hAnsi="Times New Roman" w:eastAsia="宋体" w:cs="Times New Roman"/>
          <w:snapToGrid w:val="0"/>
          <w:kern w:val="0"/>
          <w:sz w:val="28"/>
        </w:rPr>
        <w:t>确定的露天开采系统开展评价工作。</w:t>
      </w:r>
      <w:r>
        <w:rPr>
          <w:rFonts w:hint="default" w:ascii="Times New Roman" w:hAnsi="Times New Roman" w:eastAsia="宋体" w:cs="Times New Roman"/>
          <w:snapToGrid w:val="0"/>
          <w:kern w:val="0"/>
          <w:sz w:val="28"/>
          <w:szCs w:val="28"/>
        </w:rPr>
        <w:t>评价工作以露天开采生产工艺为主线，以安全设施（包括基本安全设施和专用安全设施）为重点的安全评价。</w:t>
      </w:r>
    </w:p>
    <w:p w14:paraId="06F0BB43">
      <w:p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本次安全预评价范围包括云南省巧家县老店镇独梨树采石场10万t/a露天采场工程初步设计</w:t>
      </w:r>
      <w:r>
        <w:rPr>
          <w:rFonts w:hint="default" w:ascii="Times New Roman" w:hAnsi="Times New Roman" w:eastAsia="宋体" w:cs="Times New Roman"/>
          <w:snapToGrid w:val="0"/>
          <w:kern w:val="0"/>
          <w:sz w:val="28"/>
        </w:rPr>
        <w:t>的总平面布置</w:t>
      </w:r>
      <w:r>
        <w:rPr>
          <w:rFonts w:hint="default" w:ascii="Times New Roman" w:hAnsi="Times New Roman" w:eastAsia="宋体" w:cs="Times New Roman"/>
          <w:snapToGrid w:val="0"/>
          <w:kern w:val="0"/>
          <w:sz w:val="28"/>
          <w:lang w:val="sq-AL"/>
        </w:rPr>
        <w:t>、</w:t>
      </w:r>
      <w:r>
        <w:rPr>
          <w:rFonts w:hint="default" w:ascii="Times New Roman" w:hAnsi="Times New Roman" w:eastAsia="宋体" w:cs="Times New Roman"/>
          <w:snapToGrid w:val="0"/>
          <w:kern w:val="0"/>
          <w:sz w:val="28"/>
        </w:rPr>
        <w:t>开拓</w:t>
      </w:r>
      <w:r>
        <w:rPr>
          <w:rFonts w:hint="default" w:ascii="Times New Roman" w:hAnsi="Times New Roman" w:eastAsia="宋体" w:cs="Times New Roman"/>
          <w:snapToGrid w:val="0"/>
          <w:kern w:val="0"/>
          <w:sz w:val="28"/>
          <w:lang w:val="sq-AL"/>
        </w:rPr>
        <w:t>运输</w:t>
      </w:r>
      <w:r>
        <w:rPr>
          <w:rFonts w:hint="default" w:ascii="Times New Roman" w:hAnsi="Times New Roman" w:eastAsia="宋体" w:cs="Times New Roman"/>
          <w:snapToGrid w:val="0"/>
          <w:kern w:val="0"/>
          <w:sz w:val="28"/>
        </w:rPr>
        <w:t>、采剥工艺、供配电、防排水、临时排土场</w:t>
      </w:r>
      <w:r>
        <w:rPr>
          <w:rFonts w:hint="default" w:ascii="Times New Roman" w:hAnsi="Times New Roman" w:eastAsia="宋体" w:cs="Times New Roman"/>
          <w:snapToGrid w:val="0"/>
          <w:kern w:val="0"/>
          <w:sz w:val="28"/>
          <w:lang w:val="sq-AL"/>
        </w:rPr>
        <w:t>及周边环境等方面的安全设施及安全管理。</w:t>
      </w:r>
    </w:p>
    <w:p w14:paraId="45587922">
      <w:pPr>
        <w:adjustRightInd w:val="0"/>
        <w:snapToGrid w:val="0"/>
        <w:spacing w:line="360" w:lineRule="auto"/>
        <w:ind w:firstLine="560" w:firstLineChars="200"/>
        <w:rPr>
          <w:rFonts w:hint="default" w:ascii="Times New Roman" w:hAnsi="Times New Roman" w:eastAsia="宋体" w:cs="Times New Roman"/>
          <w:snapToGrid w:val="0"/>
          <w:kern w:val="0"/>
          <w:sz w:val="28"/>
        </w:rPr>
      </w:pPr>
      <w:r>
        <w:rPr>
          <w:rFonts w:hint="default" w:ascii="Times New Roman" w:hAnsi="Times New Roman" w:eastAsia="宋体" w:cs="Times New Roman"/>
          <w:snapToGrid w:val="0"/>
          <w:kern w:val="0"/>
          <w:sz w:val="28"/>
        </w:rPr>
        <w:t>说明：</w:t>
      </w:r>
      <w:r>
        <w:rPr>
          <w:rFonts w:hint="default" w:ascii="Times New Roman" w:hAnsi="Times New Roman" w:eastAsia="宋体" w:cs="Times New Roman"/>
          <w:snapToGrid w:val="0"/>
          <w:kern w:val="0"/>
          <w:sz w:val="28"/>
          <w:lang w:val="sq-AL"/>
        </w:rPr>
        <w:t>凡涉及本工程</w:t>
      </w:r>
      <w:r>
        <w:rPr>
          <w:rFonts w:hint="default" w:ascii="Times New Roman" w:hAnsi="Times New Roman" w:eastAsia="宋体" w:cs="Times New Roman"/>
          <w:snapToGrid w:val="0"/>
          <w:kern w:val="0"/>
          <w:sz w:val="28"/>
        </w:rPr>
        <w:t>的</w:t>
      </w:r>
      <w:r>
        <w:rPr>
          <w:rFonts w:hint="default" w:ascii="Times New Roman" w:hAnsi="Times New Roman" w:eastAsia="宋体" w:cs="Times New Roman"/>
          <w:sz w:val="28"/>
          <w:szCs w:val="28"/>
        </w:rPr>
        <w:t>外部运输安全、加油系统、</w:t>
      </w:r>
      <w:r>
        <w:rPr>
          <w:rFonts w:hint="default" w:ascii="Times New Roman" w:hAnsi="Times New Roman" w:eastAsia="宋体" w:cs="Times New Roman"/>
          <w:snapToGrid w:val="0"/>
          <w:kern w:val="0"/>
          <w:sz w:val="28"/>
        </w:rPr>
        <w:t>破碎系统</w:t>
      </w:r>
      <w:r>
        <w:rPr>
          <w:rFonts w:hint="default" w:ascii="Times New Roman" w:hAnsi="Times New Roman" w:eastAsia="宋体" w:cs="Times New Roman"/>
          <w:bCs/>
          <w:sz w:val="28"/>
          <w:szCs w:val="28"/>
        </w:rPr>
        <w:t>、职业病及防治、环保、地质灾害评估问题</w:t>
      </w:r>
      <w:r>
        <w:rPr>
          <w:rFonts w:hint="default" w:ascii="Times New Roman" w:hAnsi="Times New Roman" w:eastAsia="宋体" w:cs="Times New Roman"/>
          <w:snapToGrid w:val="0"/>
          <w:kern w:val="0"/>
          <w:sz w:val="28"/>
          <w:lang w:val="sq-AL"/>
        </w:rPr>
        <w:t>，不在本次评价范围之内，但评价报告中会涉及相关内容，企业应执行国家相关法律法规、标准和规范要求。</w:t>
      </w:r>
    </w:p>
    <w:p w14:paraId="6F9EDC97">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74" w:name="_Toc19602"/>
      <w:bookmarkStart w:id="75" w:name="_Toc18523"/>
      <w:bookmarkStart w:id="76" w:name="_Toc23658"/>
      <w:bookmarkStart w:id="77" w:name="_Toc29126"/>
      <w:bookmarkStart w:id="78" w:name="_Toc32462"/>
      <w:bookmarkStart w:id="79" w:name="_Toc13282"/>
      <w:r>
        <w:rPr>
          <w:rFonts w:hint="default" w:ascii="Times New Roman" w:hAnsi="Times New Roman" w:eastAsia="宋体" w:cs="Times New Roman"/>
          <w:sz w:val="30"/>
          <w:szCs w:val="30"/>
        </w:rPr>
        <w:t>1.2评价依据</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74"/>
      <w:bookmarkEnd w:id="75"/>
      <w:bookmarkEnd w:id="76"/>
      <w:bookmarkEnd w:id="77"/>
      <w:bookmarkEnd w:id="78"/>
      <w:bookmarkEnd w:id="79"/>
    </w:p>
    <w:p w14:paraId="053160D8">
      <w:pPr>
        <w:pStyle w:val="4"/>
        <w:adjustRightInd w:val="0"/>
        <w:snapToGrid w:val="0"/>
        <w:spacing w:before="0" w:after="0" w:line="360" w:lineRule="auto"/>
        <w:rPr>
          <w:rFonts w:hint="default" w:ascii="Times New Roman" w:hAnsi="Times New Roman" w:eastAsia="宋体" w:cs="Times New Roman"/>
          <w:sz w:val="28"/>
          <w:szCs w:val="28"/>
        </w:rPr>
      </w:pPr>
      <w:bookmarkStart w:id="80" w:name="_Toc13220"/>
      <w:bookmarkStart w:id="81" w:name="_Toc455997811"/>
      <w:bookmarkStart w:id="82" w:name="_Toc28350"/>
      <w:bookmarkStart w:id="83" w:name="_Toc27765"/>
      <w:bookmarkStart w:id="84" w:name="_Toc30207"/>
      <w:bookmarkStart w:id="85" w:name="_Toc30500"/>
      <w:bookmarkStart w:id="86" w:name="_Toc9236"/>
      <w:bookmarkStart w:id="87" w:name="_Toc14092"/>
      <w:r>
        <w:rPr>
          <w:rFonts w:hint="default" w:ascii="Times New Roman" w:hAnsi="Times New Roman" w:eastAsia="宋体" w:cs="Times New Roman"/>
          <w:sz w:val="28"/>
          <w:szCs w:val="28"/>
        </w:rPr>
        <w:t>1.2.1</w:t>
      </w:r>
      <w:bookmarkEnd w:id="80"/>
      <w:bookmarkEnd w:id="81"/>
      <w:bookmarkEnd w:id="82"/>
      <w:bookmarkEnd w:id="83"/>
      <w:r>
        <w:rPr>
          <w:rFonts w:hint="default" w:ascii="Times New Roman" w:hAnsi="Times New Roman" w:eastAsia="宋体" w:cs="Times New Roman"/>
          <w:sz w:val="28"/>
          <w:szCs w:val="28"/>
        </w:rPr>
        <w:t>法律法规</w:t>
      </w:r>
      <w:bookmarkEnd w:id="84"/>
      <w:bookmarkEnd w:id="85"/>
      <w:bookmarkEnd w:id="86"/>
      <w:bookmarkEnd w:id="87"/>
    </w:p>
    <w:p w14:paraId="632E7308">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1.2.1.1 国家法律</w:t>
      </w:r>
    </w:p>
    <w:p w14:paraId="20B45013">
      <w:pPr>
        <w:pStyle w:val="84"/>
        <w:numPr>
          <w:ilvl w:val="0"/>
          <w:numId w:val="3"/>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bookmarkStart w:id="88" w:name="OLE_LINK6"/>
      <w:r>
        <w:rPr>
          <w:rFonts w:hint="default" w:ascii="Times New Roman" w:hAnsi="Times New Roman" w:eastAsia="宋体" w:cs="Times New Roman"/>
          <w:sz w:val="28"/>
          <w:szCs w:val="28"/>
        </w:rPr>
        <w:t>《中华人民共和国安全生产法》</w:t>
      </w:r>
      <w:r>
        <w:rPr>
          <w:rFonts w:hint="default" w:ascii="Times New Roman" w:hAnsi="Times New Roman" w:eastAsia="宋体" w:cs="Times New Roman"/>
          <w:snapToGrid w:val="0"/>
          <w:kern w:val="0"/>
          <w:sz w:val="28"/>
          <w:lang w:val="sq-AL"/>
        </w:rPr>
        <w:t>（</w:t>
      </w:r>
      <w:r>
        <w:rPr>
          <w:rFonts w:hint="default" w:ascii="Times New Roman" w:hAnsi="Times New Roman" w:eastAsia="宋体" w:cs="Times New Roman"/>
          <w:sz w:val="28"/>
          <w:szCs w:val="28"/>
        </w:rPr>
        <w:t>中华人民共和国主席令13号，2014年12月1日起施行；中华人民共和国主席令第88号，中华人民共和国第十三届全国人民代表大会常务委员会第二十九次会议于通过《全国人民代表大会常务委员会关于修改〈中华人民共和国安全生产法〉的决定》，自2021年9月1日起施行</w:t>
      </w:r>
      <w:r>
        <w:rPr>
          <w:rFonts w:hint="default" w:ascii="Times New Roman" w:hAnsi="Times New Roman" w:eastAsia="宋体" w:cs="Times New Roman"/>
          <w:snapToGrid w:val="0"/>
          <w:kern w:val="0"/>
          <w:sz w:val="28"/>
          <w:lang w:val="sq-AL"/>
        </w:rPr>
        <w:t>）</w:t>
      </w:r>
      <w:r>
        <w:rPr>
          <w:rFonts w:hint="default" w:ascii="Times New Roman" w:hAnsi="Times New Roman" w:eastAsia="宋体" w:cs="Times New Roman"/>
          <w:snapToGrid w:val="0"/>
          <w:kern w:val="0"/>
          <w:sz w:val="28"/>
          <w:szCs w:val="24"/>
          <w:lang w:val="sq-AL"/>
        </w:rPr>
        <w:t>；</w:t>
      </w:r>
    </w:p>
    <w:p w14:paraId="68C9A401">
      <w:pPr>
        <w:pStyle w:val="84"/>
        <w:numPr>
          <w:ilvl w:val="0"/>
          <w:numId w:val="3"/>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w:t>
      </w:r>
      <w:bookmarkStart w:id="89" w:name="OLE_LINK5"/>
      <w:r>
        <w:rPr>
          <w:rFonts w:hint="default" w:ascii="Times New Roman" w:hAnsi="Times New Roman" w:eastAsia="宋体" w:cs="Times New Roman"/>
          <w:snapToGrid w:val="0"/>
          <w:kern w:val="0"/>
          <w:sz w:val="28"/>
          <w:szCs w:val="24"/>
          <w:lang w:val="sq-AL"/>
        </w:rPr>
        <w:t>中华人民共和国矿产资源法</w:t>
      </w:r>
      <w:bookmarkEnd w:id="89"/>
      <w:r>
        <w:rPr>
          <w:rFonts w:hint="default" w:ascii="Times New Roman" w:hAnsi="Times New Roman" w:eastAsia="宋体" w:cs="Times New Roman"/>
          <w:snapToGrid w:val="0"/>
          <w:kern w:val="0"/>
          <w:sz w:val="28"/>
          <w:szCs w:val="24"/>
          <w:lang w:val="sq-AL"/>
        </w:rPr>
        <w:t>》</w:t>
      </w:r>
      <w:bookmarkEnd w:id="88"/>
      <w:r>
        <w:rPr>
          <w:rFonts w:hint="default" w:ascii="Times New Roman" w:hAnsi="Times New Roman" w:eastAsia="宋体" w:cs="Times New Roman"/>
          <w:snapToGrid w:val="0"/>
          <w:kern w:val="0"/>
          <w:sz w:val="28"/>
          <w:szCs w:val="24"/>
          <w:lang w:val="sq-AL"/>
        </w:rPr>
        <w:t>（</w:t>
      </w:r>
      <w:bookmarkStart w:id="90" w:name="OLE_LINK7"/>
      <w:r>
        <w:rPr>
          <w:rFonts w:hint="default" w:ascii="Times New Roman" w:hAnsi="Times New Roman" w:eastAsia="宋体" w:cs="Times New Roman"/>
          <w:snapToGrid w:val="0"/>
          <w:kern w:val="0"/>
          <w:sz w:val="28"/>
          <w:szCs w:val="24"/>
          <w:lang w:val="sq-AL"/>
        </w:rPr>
        <w:t>中华人民共和国主席令18号</w:t>
      </w:r>
      <w:bookmarkEnd w:id="90"/>
      <w:r>
        <w:rPr>
          <w:rFonts w:hint="default" w:ascii="Times New Roman" w:hAnsi="Times New Roman" w:eastAsia="宋体" w:cs="Times New Roman"/>
          <w:snapToGrid w:val="0"/>
          <w:kern w:val="0"/>
          <w:sz w:val="28"/>
          <w:szCs w:val="24"/>
          <w:lang w:val="sq-AL"/>
        </w:rPr>
        <w:t>，1986年3月19日第六届全国人民代表大会常务委员会第十五次会议通过，自1986年10月1日起施行；根据1996年8月29日第八届全国人民代表大会常务委员会第二十一次会议《关于修改〈中华人民共和国矿产资源法〉的决定》第一次修正；</w:t>
      </w:r>
      <w:r>
        <w:rPr>
          <w:rFonts w:hint="default" w:ascii="Times New Roman" w:hAnsi="Times New Roman" w:eastAsia="宋体" w:cs="Times New Roman"/>
          <w:snapToGrid w:val="0"/>
          <w:kern w:val="0"/>
          <w:sz w:val="28"/>
          <w:szCs w:val="24"/>
        </w:rPr>
        <w:t>根据</w:t>
      </w:r>
      <w:r>
        <w:rPr>
          <w:rFonts w:hint="default" w:ascii="Times New Roman" w:hAnsi="Times New Roman" w:eastAsia="宋体" w:cs="Times New Roman"/>
          <w:snapToGrid w:val="0"/>
          <w:kern w:val="0"/>
          <w:sz w:val="28"/>
          <w:szCs w:val="24"/>
          <w:lang w:val="sq-AL"/>
        </w:rPr>
        <w:t>2009年08月27日第十一届全国人民代表大会常务委员会第十次会议《全国人民代表大会常务委员会关于修改部分法律的决定》第二次修正）；</w:t>
      </w:r>
    </w:p>
    <w:p w14:paraId="6C15E04E">
      <w:pPr>
        <w:pStyle w:val="84"/>
        <w:numPr>
          <w:ilvl w:val="0"/>
          <w:numId w:val="3"/>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中华人民共和国矿山安全法》（中华人民共和国主席令第65号，1992年11月7日第七届全国人民代表大会常务委员会第二十八次会议通过，自1993年5月1日起施行；1992年11月7日中华人民共和国主席令第六十五号公布；根据2009年8月27日第十一届全国人民代表大会常务委员会第十次会议《关于修改部分法律的决定》修正）；</w:t>
      </w:r>
    </w:p>
    <w:p w14:paraId="59EC0A5B">
      <w:pPr>
        <w:pStyle w:val="84"/>
        <w:numPr>
          <w:ilvl w:val="0"/>
          <w:numId w:val="3"/>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w:t>
      </w:r>
      <w:bookmarkStart w:id="91" w:name="OLE_LINK2"/>
      <w:r>
        <w:rPr>
          <w:rFonts w:hint="default" w:ascii="Times New Roman" w:hAnsi="Times New Roman" w:eastAsia="宋体" w:cs="Times New Roman"/>
          <w:snapToGrid w:val="0"/>
          <w:kern w:val="0"/>
          <w:sz w:val="28"/>
          <w:szCs w:val="24"/>
          <w:lang w:val="sq-AL"/>
        </w:rPr>
        <w:t>中华人民共和国劳动法</w:t>
      </w:r>
      <w:bookmarkEnd w:id="91"/>
      <w:r>
        <w:rPr>
          <w:rFonts w:hint="default" w:ascii="Times New Roman" w:hAnsi="Times New Roman" w:eastAsia="宋体" w:cs="Times New Roman"/>
          <w:snapToGrid w:val="0"/>
          <w:kern w:val="0"/>
          <w:sz w:val="28"/>
          <w:szCs w:val="24"/>
          <w:lang w:val="sq-AL"/>
        </w:rPr>
        <w:t>》（中华人民共和国主席令</w:t>
      </w:r>
      <w:r>
        <w:rPr>
          <w:rFonts w:hint="default" w:ascii="Times New Roman" w:hAnsi="Times New Roman" w:eastAsia="宋体" w:cs="Times New Roman"/>
          <w:snapToGrid w:val="0"/>
          <w:kern w:val="0"/>
          <w:sz w:val="28"/>
          <w:szCs w:val="24"/>
        </w:rPr>
        <w:t>第二十八</w:t>
      </w:r>
      <w:r>
        <w:rPr>
          <w:rFonts w:hint="default" w:ascii="Times New Roman" w:hAnsi="Times New Roman" w:eastAsia="宋体" w:cs="Times New Roman"/>
          <w:snapToGrid w:val="0"/>
          <w:kern w:val="0"/>
          <w:sz w:val="28"/>
          <w:szCs w:val="24"/>
          <w:lang w:val="sq-AL"/>
        </w:rPr>
        <w:t>号，1994年7月5日第八届全国人民代表大会常务委员会第八次会议通过，自1995年1月1日起施行；1994年7月5日中华人民共和国主席令第二十八号公布；2009年8月27日第十一届全国人民代表大会常务委员会第十次会议《关于修改部分法律的决定》第一次修正；2018年12月29日第十三届全国人民代表大会常务委员会第七次会议《关于修改〈中华人民共和国劳动法〉等七部法律的决定》第二次修正）；</w:t>
      </w:r>
    </w:p>
    <w:p w14:paraId="3BA7078D">
      <w:pPr>
        <w:pStyle w:val="84"/>
        <w:numPr>
          <w:ilvl w:val="0"/>
          <w:numId w:val="3"/>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w:t>
      </w:r>
      <w:bookmarkStart w:id="92" w:name="OLE_LINK11"/>
      <w:r>
        <w:rPr>
          <w:rFonts w:hint="default" w:ascii="Times New Roman" w:hAnsi="Times New Roman" w:eastAsia="宋体" w:cs="Times New Roman"/>
          <w:snapToGrid w:val="0"/>
          <w:kern w:val="0"/>
          <w:sz w:val="28"/>
          <w:szCs w:val="24"/>
          <w:lang w:val="sq-AL"/>
        </w:rPr>
        <w:t>中华人民共和国突发事件应对法</w:t>
      </w:r>
      <w:bookmarkEnd w:id="92"/>
      <w:r>
        <w:rPr>
          <w:rFonts w:hint="default" w:ascii="Times New Roman" w:hAnsi="Times New Roman" w:eastAsia="宋体" w:cs="Times New Roman"/>
          <w:snapToGrid w:val="0"/>
          <w:kern w:val="0"/>
          <w:sz w:val="28"/>
          <w:szCs w:val="24"/>
          <w:lang w:val="sq-AL"/>
        </w:rPr>
        <w:t>》（中华人民共和国主席令</w:t>
      </w:r>
      <w:r>
        <w:rPr>
          <w:rFonts w:hint="default" w:ascii="Times New Roman" w:hAnsi="Times New Roman" w:eastAsia="宋体" w:cs="Times New Roman"/>
          <w:snapToGrid w:val="0"/>
          <w:kern w:val="0"/>
          <w:sz w:val="28"/>
          <w:szCs w:val="24"/>
        </w:rPr>
        <w:t>第</w:t>
      </w:r>
      <w:r>
        <w:rPr>
          <w:rFonts w:hint="default" w:ascii="Times New Roman" w:hAnsi="Times New Roman" w:eastAsia="宋体" w:cs="Times New Roman"/>
          <w:snapToGrid w:val="0"/>
          <w:kern w:val="0"/>
          <w:sz w:val="28"/>
          <w:szCs w:val="24"/>
          <w:lang w:val="sq-AL"/>
        </w:rPr>
        <w:t>69号，自2007年11月1日起施行）；</w:t>
      </w:r>
    </w:p>
    <w:p w14:paraId="11A0CF77">
      <w:pPr>
        <w:pStyle w:val="84"/>
        <w:numPr>
          <w:ilvl w:val="0"/>
          <w:numId w:val="3"/>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w:t>
      </w:r>
      <w:bookmarkStart w:id="93" w:name="OLE_LINK12"/>
      <w:r>
        <w:rPr>
          <w:rFonts w:hint="default" w:ascii="Times New Roman" w:hAnsi="Times New Roman" w:eastAsia="宋体" w:cs="Times New Roman"/>
          <w:snapToGrid w:val="0"/>
          <w:kern w:val="0"/>
          <w:sz w:val="28"/>
          <w:szCs w:val="24"/>
          <w:lang w:val="sq-AL"/>
        </w:rPr>
        <w:t>中华人民共和国消防法</w:t>
      </w:r>
      <w:bookmarkEnd w:id="93"/>
      <w:r>
        <w:rPr>
          <w:rFonts w:hint="default" w:ascii="Times New Roman" w:hAnsi="Times New Roman" w:eastAsia="宋体" w:cs="Times New Roman"/>
          <w:snapToGrid w:val="0"/>
          <w:kern w:val="0"/>
          <w:sz w:val="28"/>
          <w:szCs w:val="24"/>
          <w:lang w:val="sq-AL"/>
        </w:rPr>
        <w:t>》（中华人民共和国主席令第</w:t>
      </w:r>
      <w:r>
        <w:rPr>
          <w:rFonts w:hint="default" w:ascii="Times New Roman" w:hAnsi="Times New Roman" w:eastAsia="宋体" w:cs="Times New Roman"/>
          <w:snapToGrid w:val="0"/>
          <w:kern w:val="0"/>
          <w:sz w:val="28"/>
          <w:szCs w:val="24"/>
        </w:rPr>
        <w:t>81</w:t>
      </w:r>
      <w:r>
        <w:rPr>
          <w:rFonts w:hint="default" w:ascii="Times New Roman" w:hAnsi="Times New Roman" w:eastAsia="宋体" w:cs="Times New Roman"/>
          <w:snapToGrid w:val="0"/>
          <w:kern w:val="0"/>
          <w:sz w:val="28"/>
          <w:szCs w:val="24"/>
          <w:lang w:val="sq-AL"/>
        </w:rPr>
        <w:t>号，1998年4月29日第九届全国人民代表大会常务委员会第二次会议通过；1998年4月29日中华人民共和国主席令第四号公布；2008年10月28日第十一届全国人民代表大会常务委员会第五次会议修订；2019年4月23日第十三届全国人民代表大会常务委员会第十次会议《关于修改〈中华人民共和国建筑法〉等八部法律的决定》修正；2021年4月29日第十三届全国人民代表大会常务委员会第二十八次会议修改《中华人民共和国道路交通安全法》等八部法律修订，自2021年4月29日起施行）；</w:t>
      </w:r>
    </w:p>
    <w:p w14:paraId="06D144F8">
      <w:pPr>
        <w:pStyle w:val="84"/>
        <w:numPr>
          <w:ilvl w:val="0"/>
          <w:numId w:val="3"/>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rPr>
        <w:t>《</w:t>
      </w:r>
      <w:bookmarkStart w:id="94" w:name="OLE_LINK17"/>
      <w:r>
        <w:rPr>
          <w:rFonts w:hint="default" w:ascii="Times New Roman" w:hAnsi="Times New Roman" w:eastAsia="宋体" w:cs="Times New Roman"/>
          <w:snapToGrid w:val="0"/>
          <w:kern w:val="0"/>
          <w:sz w:val="28"/>
        </w:rPr>
        <w:t>中华人民共和国特种设备安全法</w:t>
      </w:r>
      <w:bookmarkEnd w:id="94"/>
      <w:r>
        <w:rPr>
          <w:rFonts w:hint="default" w:ascii="Times New Roman" w:hAnsi="Times New Roman" w:eastAsia="宋体" w:cs="Times New Roman"/>
          <w:snapToGrid w:val="0"/>
          <w:kern w:val="0"/>
          <w:sz w:val="28"/>
        </w:rPr>
        <w:t>》（中华人民共和国主席令第4号，自2014年1月1日起施行）；</w:t>
      </w:r>
    </w:p>
    <w:p w14:paraId="55AE7534">
      <w:pPr>
        <w:pStyle w:val="84"/>
        <w:numPr>
          <w:ilvl w:val="0"/>
          <w:numId w:val="3"/>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《中华人民共和国职业病防治法》（中华人民共和国主席令第</w:t>
      </w:r>
      <w:r>
        <w:rPr>
          <w:rFonts w:hint="default" w:ascii="Times New Roman" w:hAnsi="Times New Roman" w:eastAsia="宋体" w:cs="Times New Roman"/>
          <w:snapToGrid w:val="0"/>
          <w:kern w:val="0"/>
          <w:sz w:val="28"/>
          <w:szCs w:val="24"/>
        </w:rPr>
        <w:t>52</w:t>
      </w:r>
      <w:r>
        <w:rPr>
          <w:rFonts w:hint="default" w:ascii="Times New Roman" w:hAnsi="Times New Roman" w:eastAsia="宋体" w:cs="Times New Roman"/>
          <w:snapToGrid w:val="0"/>
          <w:kern w:val="0"/>
          <w:sz w:val="28"/>
          <w:szCs w:val="24"/>
          <w:lang w:val="sq-AL"/>
        </w:rPr>
        <w:t>号，</w:t>
      </w:r>
      <w:r>
        <w:rPr>
          <w:rFonts w:hint="default" w:ascii="Times New Roman" w:hAnsi="Times New Roman" w:eastAsia="宋体" w:cs="Times New Roman"/>
          <w:snapToGrid w:val="0"/>
          <w:kern w:val="0"/>
          <w:sz w:val="28"/>
          <w:szCs w:val="24"/>
          <w:lang w:val="en-GB"/>
        </w:rPr>
        <w:t>2001年10月27日第九届全国人民代表大会常务委员会第二十四次会议通过，自2002年5月1日起施行；2011年12月31日第十一届全国人民代表大会常务委员会第二十四次会议《关于修改〈中华人民共和国职业病防治法〉的决定》第一次修正；2016年7月2日第十二届全国人民代表大会常务委员会第二十一次会议《关于修改〈中华人民共和国节约能源法〉等六部法律的决定》第二次修正；2017年11月4日第十二届全国人民代表大会常务委员会第三十次会议《关于修改〈中华人民共和国会计法〉等十一部法律的决定》第三次修正；2018年12月29日第十三届全国人民代表大会常务委员会第七次会议《关于修改等七部法律的决定》第四次修正</w:t>
      </w:r>
      <w:r>
        <w:rPr>
          <w:rFonts w:hint="default" w:ascii="Times New Roman" w:hAnsi="Times New Roman" w:eastAsia="宋体" w:cs="Times New Roman"/>
          <w:snapToGrid w:val="0"/>
          <w:kern w:val="0"/>
          <w:sz w:val="28"/>
          <w:szCs w:val="24"/>
          <w:lang w:val="sq-AL"/>
        </w:rPr>
        <w:t>）。</w:t>
      </w:r>
    </w:p>
    <w:p w14:paraId="1E1CA00B">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1.2.1.2 行政法规</w:t>
      </w:r>
    </w:p>
    <w:p w14:paraId="63556BD4">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《中华人民共和国矿山安全法实施条例》（中华人民共和国劳动部令第4号，1996年10月30日</w:t>
      </w:r>
      <w:r>
        <w:rPr>
          <w:rFonts w:hint="default" w:ascii="Times New Roman" w:hAnsi="Times New Roman" w:eastAsia="宋体" w:cs="Times New Roman"/>
          <w:sz w:val="28"/>
          <w:szCs w:val="28"/>
        </w:rPr>
        <w:t>施行</w:t>
      </w:r>
      <w:r>
        <w:rPr>
          <w:rFonts w:hint="default" w:ascii="Times New Roman" w:hAnsi="Times New Roman" w:eastAsia="宋体" w:cs="Times New Roman"/>
          <w:snapToGrid w:val="0"/>
          <w:kern w:val="0"/>
          <w:sz w:val="28"/>
          <w:szCs w:val="24"/>
          <w:lang w:val="sq-AL"/>
        </w:rPr>
        <w:t>）；</w:t>
      </w:r>
    </w:p>
    <w:p w14:paraId="2E1DC089">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安全生产许可证条例》（2004年1月7日国务院第34次常务会议通过；2004年1月13日中华人民共和国国务院令第397号公布，自公布之日起施行；根据2013年5月31日国务院第十次常务会议通过2013年7月18日中华人民共和国国务院令第638号公布，自公布之日起施行的《国务院关于废止和修改部分行政法规的决定》第一次修正；根据2014年7月9日国务院第54次常务会议通过；2014年7月29日中华人民共和国国务院令第653号公布，自公布之日起施行的《国务院关于修改部分行政法规的决定》第二次修正，20</w:t>
      </w:r>
      <w:r>
        <w:rPr>
          <w:rFonts w:hint="default" w:ascii="Times New Roman" w:hAnsi="Times New Roman" w:eastAsia="宋体" w:cs="Times New Roman"/>
          <w:snapToGrid w:val="0"/>
          <w:kern w:val="0"/>
          <w:sz w:val="28"/>
          <w:szCs w:val="24"/>
        </w:rPr>
        <w:t>1</w:t>
      </w:r>
      <w:r>
        <w:rPr>
          <w:rFonts w:hint="default" w:ascii="Times New Roman" w:hAnsi="Times New Roman" w:eastAsia="宋体" w:cs="Times New Roman"/>
          <w:snapToGrid w:val="0"/>
          <w:kern w:val="0"/>
          <w:sz w:val="28"/>
          <w:szCs w:val="24"/>
          <w:lang w:val="sq-AL"/>
        </w:rPr>
        <w:t>4年</w:t>
      </w:r>
      <w:r>
        <w:rPr>
          <w:rFonts w:hint="default" w:ascii="Times New Roman" w:hAnsi="Times New Roman" w:eastAsia="宋体" w:cs="Times New Roman"/>
          <w:snapToGrid w:val="0"/>
          <w:kern w:val="0"/>
          <w:sz w:val="28"/>
          <w:szCs w:val="24"/>
        </w:rPr>
        <w:t>7</w:t>
      </w:r>
      <w:r>
        <w:rPr>
          <w:rFonts w:hint="default" w:ascii="Times New Roman" w:hAnsi="Times New Roman" w:eastAsia="宋体" w:cs="Times New Roman"/>
          <w:snapToGrid w:val="0"/>
          <w:kern w:val="0"/>
          <w:sz w:val="28"/>
          <w:szCs w:val="24"/>
          <w:lang w:val="sq-AL"/>
        </w:rPr>
        <w:t>月</w:t>
      </w:r>
      <w:r>
        <w:rPr>
          <w:rFonts w:hint="default" w:ascii="Times New Roman" w:hAnsi="Times New Roman" w:eastAsia="宋体" w:cs="Times New Roman"/>
          <w:snapToGrid w:val="0"/>
          <w:kern w:val="0"/>
          <w:sz w:val="28"/>
          <w:szCs w:val="24"/>
        </w:rPr>
        <w:t>29</w:t>
      </w:r>
      <w:r>
        <w:rPr>
          <w:rFonts w:hint="default" w:ascii="Times New Roman" w:hAnsi="Times New Roman" w:eastAsia="宋体" w:cs="Times New Roman"/>
          <w:snapToGrid w:val="0"/>
          <w:kern w:val="0"/>
          <w:sz w:val="28"/>
          <w:szCs w:val="24"/>
          <w:lang w:val="sq-AL"/>
        </w:rPr>
        <w:t>日起施行）；</w:t>
      </w:r>
    </w:p>
    <w:p w14:paraId="0374B5AD">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《建设工程安全生产管理条例》（2003年11月12日国务院第28次常务会议通过；2003年11月24日中华人民共和国国务院令第393号公布；自2004年2月1日起施行）；</w:t>
      </w:r>
    </w:p>
    <w:p w14:paraId="02A1C343">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《地质灾害防治条例》（2003年11月19日国务院第29次常务会议通过；2003年11月24日国务院令第394号公布；自2004年3月1日起施行）；</w:t>
      </w:r>
    </w:p>
    <w:p w14:paraId="39A8AE30">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《生产安全事故报告和调查处理条例》（2007年3月28日国务院第172次常务会议通过；2007年4月9日国务院令第493号公布；2007年6月1日起施行）；</w:t>
      </w:r>
    </w:p>
    <w:p w14:paraId="049B77F6">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特种设备安全监察条例》（2003年2月19日国务院第68次常务会议通过；2003年3月11日中华人民共和国国务院令第373号公布，自2003年6月1日起施行；2009年1月24日中华人民共和国国务院令第549号《国务院关于修改〈特种设备安全监察条例〉的决定》修订）；</w:t>
      </w:r>
    </w:p>
    <w:p w14:paraId="5483D72E">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工伤保险条例》（中华人民共和国国务院令第375号，自2004年1月1日起施行；2010年12月8日国务院第136次常务会议通过《国务院关于修改〈工伤保险条例〉的决定》；2010年12月20日中华人民共和国国务院令第586号公布，</w:t>
      </w:r>
      <w:r>
        <w:rPr>
          <w:rFonts w:hint="default" w:ascii="Times New Roman" w:hAnsi="Times New Roman" w:eastAsia="宋体" w:cs="Times New Roman"/>
          <w:snapToGrid w:val="0"/>
          <w:kern w:val="0"/>
          <w:sz w:val="28"/>
          <w:szCs w:val="24"/>
        </w:rPr>
        <w:t>自</w:t>
      </w:r>
      <w:r>
        <w:rPr>
          <w:rFonts w:hint="default" w:ascii="Times New Roman" w:hAnsi="Times New Roman" w:eastAsia="宋体" w:cs="Times New Roman"/>
          <w:sz w:val="28"/>
          <w:szCs w:val="28"/>
        </w:rPr>
        <w:t>2011年1月1日起施行</w:t>
      </w:r>
      <w:r>
        <w:rPr>
          <w:rFonts w:hint="default" w:ascii="Times New Roman" w:hAnsi="Times New Roman" w:eastAsia="宋体" w:cs="Times New Roman"/>
          <w:snapToGrid w:val="0"/>
          <w:kern w:val="0"/>
          <w:sz w:val="28"/>
          <w:szCs w:val="24"/>
          <w:lang w:val="sq-AL"/>
        </w:rPr>
        <w:t>）；</w:t>
      </w:r>
    </w:p>
    <w:p w14:paraId="1C9E9096">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rPr>
        <w:t>《电力设施保护条例》（</w:t>
      </w:r>
      <w:r>
        <w:rPr>
          <w:rFonts w:hint="default" w:ascii="Times New Roman" w:hAnsi="Times New Roman" w:eastAsia="宋体" w:cs="Times New Roman"/>
          <w:snapToGrid w:val="0"/>
          <w:kern w:val="0"/>
          <w:sz w:val="28"/>
          <w:szCs w:val="24"/>
        </w:rPr>
        <w:fldChar w:fldCharType="begin"/>
      </w:r>
      <w:r>
        <w:rPr>
          <w:rFonts w:hint="default" w:ascii="Times New Roman" w:hAnsi="Times New Roman" w:eastAsia="宋体" w:cs="Times New Roman"/>
          <w:snapToGrid w:val="0"/>
          <w:kern w:val="0"/>
          <w:sz w:val="28"/>
          <w:szCs w:val="24"/>
        </w:rPr>
        <w:instrText xml:space="preserve"> HYPERLINK "https://baike.so.com/doc/6420484-6634156.html" \t "https://baike.so.com/doc/_blank" </w:instrText>
      </w:r>
      <w:r>
        <w:rPr>
          <w:rFonts w:hint="default" w:ascii="Times New Roman" w:hAnsi="Times New Roman" w:eastAsia="宋体" w:cs="Times New Roman"/>
          <w:snapToGrid w:val="0"/>
          <w:kern w:val="0"/>
          <w:sz w:val="28"/>
          <w:szCs w:val="24"/>
        </w:rPr>
        <w:fldChar w:fldCharType="separate"/>
      </w:r>
      <w:r>
        <w:rPr>
          <w:rFonts w:hint="default" w:ascii="Times New Roman" w:hAnsi="Times New Roman" w:eastAsia="宋体" w:cs="Times New Roman"/>
          <w:snapToGrid w:val="0"/>
          <w:kern w:val="0"/>
          <w:sz w:val="28"/>
          <w:szCs w:val="24"/>
        </w:rPr>
        <w:t>中华人民共和国国务院</w:t>
      </w:r>
      <w:r>
        <w:rPr>
          <w:rFonts w:hint="default" w:ascii="Times New Roman" w:hAnsi="Times New Roman" w:eastAsia="宋体" w:cs="Times New Roman"/>
          <w:snapToGrid w:val="0"/>
          <w:kern w:val="0"/>
          <w:sz w:val="28"/>
          <w:szCs w:val="24"/>
        </w:rPr>
        <w:fldChar w:fldCharType="end"/>
      </w:r>
      <w:r>
        <w:rPr>
          <w:rFonts w:hint="default" w:ascii="Times New Roman" w:hAnsi="Times New Roman" w:eastAsia="宋体" w:cs="Times New Roman"/>
          <w:snapToGrid w:val="0"/>
          <w:kern w:val="0"/>
          <w:sz w:val="28"/>
          <w:szCs w:val="24"/>
        </w:rPr>
        <w:t>令第239号，根据1998年1月7日《国务院关于修改〈电力设施保护条例〉的决定》第一次修订；根据2011年1月8日《国务院关于废止和修改部分行政法规的决定》第二次修订）；</w:t>
      </w:r>
    </w:p>
    <w:p w14:paraId="4B6EDF9F">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《电力设施保护条例实施细则》（国家经济贸易委员会、中华人民共和国公安部令第8号，自1999年3月18日起施行；根据2011年6月30日国家发展和改革委员会令第10号修改）；</w:t>
      </w:r>
    </w:p>
    <w:p w14:paraId="11910395">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rPr>
        <w:t>《公路安全保护条例》（中华人民共和国国务院令第593号，2011年2月16日国务院第144次常务会议通过；2011年3月7日中华人民共和国国务院令第593号公布；自2011年7月1日起施行）；</w:t>
      </w:r>
    </w:p>
    <w:p w14:paraId="0F08C839">
      <w:pPr>
        <w:pStyle w:val="84"/>
        <w:numPr>
          <w:ilvl w:val="0"/>
          <w:numId w:val="4"/>
        </w:numPr>
        <w:adjustRightInd w:val="0"/>
        <w:snapToGrid w:val="0"/>
        <w:spacing w:line="360" w:lineRule="auto"/>
        <w:ind w:left="0"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《生产安全事故应急条例》（中华人民共和国国务院令第708号，自2019年4月1日起施行）。</w:t>
      </w:r>
    </w:p>
    <w:p w14:paraId="79E03011">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bookmarkStart w:id="95" w:name="_Toc17374"/>
      <w:bookmarkStart w:id="96" w:name="_Toc16238654"/>
      <w:r>
        <w:rPr>
          <w:rFonts w:hint="default" w:ascii="Times New Roman" w:hAnsi="Times New Roman" w:eastAsia="宋体" w:cs="Times New Roman"/>
          <w:b w:val="0"/>
          <w:bCs w:val="0"/>
        </w:rPr>
        <w:t>1.2.1.3</w:t>
      </w:r>
      <w:bookmarkEnd w:id="95"/>
      <w:bookmarkEnd w:id="96"/>
      <w:r>
        <w:rPr>
          <w:rFonts w:hint="default" w:ascii="Times New Roman" w:hAnsi="Times New Roman" w:eastAsia="宋体" w:cs="Times New Roman"/>
          <w:b w:val="0"/>
          <w:bCs w:val="0"/>
        </w:rPr>
        <w:t>部门规章及政府规范性文件</w:t>
      </w:r>
    </w:p>
    <w:p w14:paraId="5701E794">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《企业安全生产费用提取和使用管理办法》（财</w:t>
      </w:r>
      <w:r>
        <w:rPr>
          <w:rFonts w:hint="default" w:ascii="Times New Roman" w:hAnsi="Times New Roman" w:eastAsia="宋体" w:cs="Times New Roman"/>
          <w:snapToGrid w:val="0"/>
          <w:kern w:val="0"/>
          <w:sz w:val="28"/>
          <w:szCs w:val="24"/>
        </w:rPr>
        <w:t>资</w:t>
      </w:r>
      <w:r>
        <w:rPr>
          <w:rFonts w:hint="default" w:ascii="Times New Roman" w:hAnsi="Times New Roman" w:eastAsia="宋体" w:cs="Times New Roman"/>
          <w:snapToGrid w:val="0"/>
          <w:kern w:val="0"/>
          <w:sz w:val="28"/>
          <w:szCs w:val="24"/>
          <w:lang w:val="sq-AL"/>
        </w:rPr>
        <w:t>〔20</w:t>
      </w:r>
      <w:r>
        <w:rPr>
          <w:rFonts w:hint="default" w:ascii="Times New Roman" w:hAnsi="Times New Roman" w:eastAsia="宋体" w:cs="Times New Roman"/>
          <w:snapToGrid w:val="0"/>
          <w:kern w:val="0"/>
          <w:sz w:val="28"/>
          <w:szCs w:val="24"/>
        </w:rPr>
        <w:t>2</w:t>
      </w:r>
      <w:r>
        <w:rPr>
          <w:rFonts w:hint="default" w:ascii="Times New Roman" w:hAnsi="Times New Roman" w:eastAsia="宋体" w:cs="Times New Roman"/>
          <w:snapToGrid w:val="0"/>
          <w:kern w:val="0"/>
          <w:sz w:val="28"/>
          <w:szCs w:val="24"/>
          <w:lang w:val="sq-AL"/>
        </w:rPr>
        <w:t>2〕1</w:t>
      </w:r>
      <w:r>
        <w:rPr>
          <w:rFonts w:hint="default" w:ascii="Times New Roman" w:hAnsi="Times New Roman" w:eastAsia="宋体" w:cs="Times New Roman"/>
          <w:snapToGrid w:val="0"/>
          <w:kern w:val="0"/>
          <w:sz w:val="28"/>
          <w:szCs w:val="24"/>
        </w:rPr>
        <w:t>3</w:t>
      </w:r>
      <w:r>
        <w:rPr>
          <w:rFonts w:hint="default" w:ascii="Times New Roman" w:hAnsi="Times New Roman" w:eastAsia="宋体" w:cs="Times New Roman"/>
          <w:snapToGrid w:val="0"/>
          <w:kern w:val="0"/>
          <w:sz w:val="28"/>
          <w:szCs w:val="24"/>
          <w:lang w:val="sq-AL"/>
        </w:rPr>
        <w:t>6号，20</w:t>
      </w:r>
      <w:r>
        <w:rPr>
          <w:rFonts w:hint="default" w:ascii="Times New Roman" w:hAnsi="Times New Roman" w:eastAsia="宋体" w:cs="Times New Roman"/>
          <w:snapToGrid w:val="0"/>
          <w:kern w:val="0"/>
          <w:sz w:val="28"/>
          <w:szCs w:val="24"/>
        </w:rPr>
        <w:t>2</w:t>
      </w:r>
      <w:r>
        <w:rPr>
          <w:rFonts w:hint="default" w:ascii="Times New Roman" w:hAnsi="Times New Roman" w:eastAsia="宋体" w:cs="Times New Roman"/>
          <w:snapToGrid w:val="0"/>
          <w:kern w:val="0"/>
          <w:sz w:val="28"/>
          <w:szCs w:val="24"/>
          <w:lang w:val="sq-AL"/>
        </w:rPr>
        <w:t>2年</w:t>
      </w:r>
      <w:r>
        <w:rPr>
          <w:rFonts w:hint="default" w:ascii="Times New Roman" w:hAnsi="Times New Roman" w:eastAsia="宋体" w:cs="Times New Roman"/>
          <w:snapToGrid w:val="0"/>
          <w:kern w:val="0"/>
          <w:sz w:val="28"/>
          <w:szCs w:val="24"/>
        </w:rPr>
        <w:t>11</w:t>
      </w:r>
      <w:r>
        <w:rPr>
          <w:rFonts w:hint="default" w:ascii="Times New Roman" w:hAnsi="Times New Roman" w:eastAsia="宋体" w:cs="Times New Roman"/>
          <w:snapToGrid w:val="0"/>
          <w:kern w:val="0"/>
          <w:sz w:val="28"/>
          <w:szCs w:val="24"/>
          <w:lang w:val="sq-AL"/>
        </w:rPr>
        <w:t>月</w:t>
      </w:r>
      <w:r>
        <w:rPr>
          <w:rFonts w:hint="default" w:ascii="Times New Roman" w:hAnsi="Times New Roman" w:eastAsia="宋体" w:cs="Times New Roman"/>
          <w:snapToGrid w:val="0"/>
          <w:kern w:val="0"/>
          <w:sz w:val="28"/>
          <w:szCs w:val="24"/>
        </w:rPr>
        <w:t>21</w:t>
      </w:r>
      <w:r>
        <w:rPr>
          <w:rFonts w:hint="default" w:ascii="Times New Roman" w:hAnsi="Times New Roman" w:eastAsia="宋体" w:cs="Times New Roman"/>
          <w:snapToGrid w:val="0"/>
          <w:kern w:val="0"/>
          <w:sz w:val="28"/>
          <w:szCs w:val="24"/>
          <w:lang w:val="sq-AL"/>
        </w:rPr>
        <w:t>日实施）；</w:t>
      </w:r>
    </w:p>
    <w:p w14:paraId="494E8D5B">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《国务院安委会办公室关于贯彻落实〈国务院关于进一步加强企业安全生产工作的通知〉精神进一步加强非煤矿山安全生产工作的实施意见》（安委办〔2010〕17号，2010年8月27日施行）</w:t>
      </w:r>
    </w:p>
    <w:p w14:paraId="24081F6C">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《关于发布金属非金属矿山禁止使用的设备及工艺目录（第二批）的通知》（安监总管一〔2015〕13号，2015年2月13日起施行）；</w:t>
      </w:r>
    </w:p>
    <w:p w14:paraId="04AC9C6E">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《非煤矿矿山企业安全许可证实施办法》（国家安全生产监督管理总局令第20号，国家安全生产监管总局令第78号修订，自2015年7月1日起施行）；</w:t>
      </w:r>
    </w:p>
    <w:p w14:paraId="0F4EEA49">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z w:val="28"/>
          <w:szCs w:val="28"/>
        </w:rPr>
        <w:t>《建设项目安全设施“三同时”监督管理办法》（国家安全生产监督管理总局令第36号，国家安全生产监督管理总局令第77号修订，自2015年5月1日起施行）；</w:t>
      </w:r>
    </w:p>
    <w:p w14:paraId="63E2964D">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《特种作业人员安全技术培训考核管理规定》（国家安全生产监督管理总局令第</w:t>
      </w:r>
      <w:r>
        <w:rPr>
          <w:rFonts w:hint="default" w:ascii="Times New Roman" w:hAnsi="Times New Roman" w:eastAsia="宋体" w:cs="Times New Roman"/>
          <w:snapToGrid w:val="0"/>
          <w:kern w:val="0"/>
          <w:sz w:val="28"/>
          <w:szCs w:val="24"/>
        </w:rPr>
        <w:t>3</w:t>
      </w:r>
      <w:r>
        <w:rPr>
          <w:rFonts w:hint="default" w:ascii="Times New Roman" w:hAnsi="Times New Roman" w:eastAsia="宋体" w:cs="Times New Roman"/>
          <w:snapToGrid w:val="0"/>
          <w:kern w:val="0"/>
          <w:sz w:val="28"/>
          <w:szCs w:val="24"/>
          <w:lang w:val="sq-AL"/>
        </w:rPr>
        <w:t>0号，自2010年7月1日起施行；根据2013年8月29日国家安全监管总局令第63号修正；根据2015年5月29日国家安全监管总局令第80号修正，2015年7月1日施行）；</w:t>
      </w:r>
    </w:p>
    <w:p w14:paraId="68E458F4">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《安全生产培训管理办法》（国家安全生产监督管理总局令第44号，国家安全生产监督管理总局令第80号修订，2015年7月1日起施行）；</w:t>
      </w:r>
    </w:p>
    <w:p w14:paraId="30F85F58">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《金属非金属矿山建设项目安全设施目录（试行）》（安监总管—〔2015〕75号，2015年7月1日起施行）；</w:t>
      </w:r>
    </w:p>
    <w:p w14:paraId="25951BB4">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《国家安全监管总局关于印发金属非金属矿山建设项目安全设施设计重大变更范围的通知》（安监总管—〔2016〕18号，2016年2月17日施行）；</w:t>
      </w:r>
    </w:p>
    <w:p w14:paraId="410D7A19">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《国家安全监管总局关于印发非煤矿山领域遏制重特大事故工作方案的通知》（安监总管—〔2016〕60号，2016年5月27日施行）；</w:t>
      </w:r>
    </w:p>
    <w:p w14:paraId="545E9216">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《国家安全监管总局关于印发金属非金属矿山建设项目安全评价报告编写提纲》（安监总管一〔2016〕第49号）附件《金属非金属露天矿山建设项目安全预评价报告编写提纲，</w:t>
      </w:r>
      <w:r>
        <w:rPr>
          <w:rFonts w:hint="default" w:ascii="Times New Roman" w:hAnsi="Times New Roman" w:eastAsia="宋体" w:cs="Times New Roman"/>
          <w:snapToGrid w:val="0"/>
          <w:kern w:val="0"/>
          <w:sz w:val="28"/>
          <w:szCs w:val="24"/>
        </w:rPr>
        <w:t>2016</w:t>
      </w:r>
      <w:r>
        <w:rPr>
          <w:rFonts w:hint="default" w:ascii="Times New Roman" w:hAnsi="Times New Roman" w:eastAsia="宋体" w:cs="Times New Roman"/>
          <w:snapToGrid w:val="0"/>
          <w:kern w:val="0"/>
          <w:sz w:val="28"/>
          <w:szCs w:val="24"/>
          <w:lang w:val="sq-AL"/>
        </w:rPr>
        <w:t>年</w:t>
      </w:r>
      <w:r>
        <w:rPr>
          <w:rFonts w:hint="default" w:ascii="Times New Roman" w:hAnsi="Times New Roman" w:eastAsia="宋体" w:cs="Times New Roman"/>
          <w:snapToGrid w:val="0"/>
          <w:kern w:val="0"/>
          <w:sz w:val="28"/>
          <w:szCs w:val="24"/>
        </w:rPr>
        <w:t>5</w:t>
      </w:r>
      <w:r>
        <w:rPr>
          <w:rFonts w:hint="default" w:ascii="Times New Roman" w:hAnsi="Times New Roman" w:eastAsia="宋体" w:cs="Times New Roman"/>
          <w:snapToGrid w:val="0"/>
          <w:kern w:val="0"/>
          <w:sz w:val="28"/>
          <w:szCs w:val="24"/>
          <w:lang w:val="sq-AL"/>
        </w:rPr>
        <w:t>月</w:t>
      </w:r>
      <w:r>
        <w:rPr>
          <w:rFonts w:hint="default" w:ascii="Times New Roman" w:hAnsi="Times New Roman" w:eastAsia="宋体" w:cs="Times New Roman"/>
          <w:snapToGrid w:val="0"/>
          <w:kern w:val="0"/>
          <w:sz w:val="28"/>
          <w:szCs w:val="24"/>
        </w:rPr>
        <w:t>30</w:t>
      </w:r>
      <w:r>
        <w:rPr>
          <w:rFonts w:hint="default" w:ascii="Times New Roman" w:hAnsi="Times New Roman" w:eastAsia="宋体" w:cs="Times New Roman"/>
          <w:snapToGrid w:val="0"/>
          <w:kern w:val="0"/>
          <w:sz w:val="28"/>
          <w:szCs w:val="24"/>
          <w:lang w:val="sq-AL"/>
        </w:rPr>
        <w:t>日</w:t>
      </w:r>
      <w:r>
        <w:rPr>
          <w:rFonts w:hint="default" w:ascii="Times New Roman" w:hAnsi="Times New Roman" w:eastAsia="宋体" w:cs="Times New Roman"/>
          <w:snapToGrid w:val="0"/>
          <w:kern w:val="0"/>
          <w:sz w:val="28"/>
          <w:szCs w:val="24"/>
        </w:rPr>
        <w:t>发布实施</w:t>
      </w:r>
      <w:r>
        <w:rPr>
          <w:rFonts w:hint="default" w:ascii="Times New Roman" w:hAnsi="Times New Roman" w:eastAsia="宋体" w:cs="Times New Roman"/>
          <w:snapToGrid w:val="0"/>
          <w:kern w:val="0"/>
          <w:sz w:val="28"/>
          <w:szCs w:val="24"/>
          <w:lang w:val="sq-AL"/>
        </w:rPr>
        <w:t>》；</w:t>
      </w:r>
    </w:p>
    <w:p w14:paraId="4EBEDB5E">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《安全生产责任保险实施办法》（安监总办〔2017〕140号，自2018年1月1日起施行）；</w:t>
      </w:r>
    </w:p>
    <w:p w14:paraId="7E18FC54">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《用人单位劳动防护用品管理规范》（安监总厅安健〔</w:t>
      </w:r>
      <w:r>
        <w:rPr>
          <w:rFonts w:hint="default" w:ascii="Times New Roman" w:hAnsi="Times New Roman" w:eastAsia="宋体" w:cs="Times New Roman"/>
          <w:snapToGrid w:val="0"/>
          <w:kern w:val="0"/>
          <w:sz w:val="28"/>
          <w:szCs w:val="24"/>
        </w:rPr>
        <w:t>2018</w:t>
      </w:r>
      <w:r>
        <w:rPr>
          <w:rFonts w:hint="default" w:ascii="Times New Roman" w:hAnsi="Times New Roman" w:eastAsia="宋体" w:cs="Times New Roman"/>
          <w:snapToGrid w:val="0"/>
          <w:kern w:val="0"/>
          <w:sz w:val="28"/>
          <w:szCs w:val="24"/>
          <w:lang w:val="sq-AL"/>
        </w:rPr>
        <w:t>〕</w:t>
      </w:r>
      <w:r>
        <w:rPr>
          <w:rFonts w:hint="default" w:ascii="Times New Roman" w:hAnsi="Times New Roman" w:eastAsia="宋体" w:cs="Times New Roman"/>
          <w:snapToGrid w:val="0"/>
          <w:kern w:val="0"/>
          <w:sz w:val="28"/>
          <w:szCs w:val="24"/>
        </w:rPr>
        <w:t>3</w:t>
      </w:r>
      <w:r>
        <w:rPr>
          <w:rFonts w:hint="default" w:ascii="Times New Roman" w:hAnsi="Times New Roman" w:eastAsia="宋体" w:cs="Times New Roman"/>
          <w:snapToGrid w:val="0"/>
          <w:kern w:val="0"/>
          <w:sz w:val="28"/>
          <w:szCs w:val="24"/>
          <w:lang w:val="sq-AL"/>
        </w:rPr>
        <w:t>号，自</w:t>
      </w:r>
      <w:r>
        <w:rPr>
          <w:rFonts w:hint="default" w:ascii="Times New Roman" w:hAnsi="Times New Roman" w:eastAsia="宋体" w:cs="Times New Roman"/>
          <w:snapToGrid w:val="0"/>
          <w:kern w:val="0"/>
          <w:sz w:val="28"/>
          <w:szCs w:val="24"/>
        </w:rPr>
        <w:t>2018</w:t>
      </w:r>
      <w:r>
        <w:rPr>
          <w:rFonts w:hint="default" w:ascii="Times New Roman" w:hAnsi="Times New Roman" w:eastAsia="宋体" w:cs="Times New Roman"/>
          <w:snapToGrid w:val="0"/>
          <w:kern w:val="0"/>
          <w:sz w:val="28"/>
          <w:szCs w:val="24"/>
          <w:lang w:val="sq-AL"/>
        </w:rPr>
        <w:t>年</w:t>
      </w:r>
      <w:r>
        <w:rPr>
          <w:rFonts w:hint="default" w:ascii="Times New Roman" w:hAnsi="Times New Roman" w:eastAsia="宋体" w:cs="Times New Roman"/>
          <w:snapToGrid w:val="0"/>
          <w:kern w:val="0"/>
          <w:sz w:val="28"/>
          <w:szCs w:val="24"/>
        </w:rPr>
        <w:t>1</w:t>
      </w:r>
      <w:r>
        <w:rPr>
          <w:rFonts w:hint="default" w:ascii="Times New Roman" w:hAnsi="Times New Roman" w:eastAsia="宋体" w:cs="Times New Roman"/>
          <w:snapToGrid w:val="0"/>
          <w:kern w:val="0"/>
          <w:sz w:val="28"/>
          <w:szCs w:val="24"/>
          <w:lang w:val="sq-AL"/>
        </w:rPr>
        <w:t>月</w:t>
      </w:r>
      <w:r>
        <w:rPr>
          <w:rFonts w:hint="default" w:ascii="Times New Roman" w:hAnsi="Times New Roman" w:eastAsia="宋体" w:cs="Times New Roman"/>
          <w:snapToGrid w:val="0"/>
          <w:kern w:val="0"/>
          <w:sz w:val="28"/>
          <w:szCs w:val="24"/>
        </w:rPr>
        <w:t>15</w:t>
      </w:r>
      <w:r>
        <w:rPr>
          <w:rFonts w:hint="default" w:ascii="Times New Roman" w:hAnsi="Times New Roman" w:eastAsia="宋体" w:cs="Times New Roman"/>
          <w:snapToGrid w:val="0"/>
          <w:kern w:val="0"/>
          <w:sz w:val="28"/>
          <w:szCs w:val="24"/>
          <w:lang w:val="sq-AL"/>
        </w:rPr>
        <w:t>日起施行）；</w:t>
      </w:r>
    </w:p>
    <w:p w14:paraId="4F099B6A">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《生产安全事故应急预案管理办法》（国家安全生产监督管理总局第令88号发布，中华人民共和国应急管理部令第2号修改，2019年9月1日起施行）</w:t>
      </w:r>
    </w:p>
    <w:p w14:paraId="2443DAC4">
      <w:pPr>
        <w:pStyle w:val="84"/>
        <w:numPr>
          <w:ilvl w:val="0"/>
          <w:numId w:val="5"/>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z w:val="28"/>
          <w:szCs w:val="28"/>
        </w:rPr>
        <w:t>《国家矿山安全监察局关于印发〈关于加强非煤矿山安全生产工作的指导意见》（矿安〔2022〕4号，自2022年2月8日起实施）。</w:t>
      </w:r>
    </w:p>
    <w:p w14:paraId="543F95F2">
      <w:pPr>
        <w:pStyle w:val="84"/>
        <w:numPr>
          <w:ilvl w:val="0"/>
          <w:numId w:val="5"/>
        </w:numPr>
        <w:adjustRightInd w:val="0"/>
        <w:snapToGrid w:val="0"/>
        <w:spacing w:line="360" w:lineRule="auto"/>
        <w:ind w:firstLine="544"/>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pacing w:val="-4"/>
          <w:kern w:val="0"/>
          <w:sz w:val="28"/>
          <w:szCs w:val="28"/>
        </w:rPr>
        <w:t>《国家矿山安全监察局关于印发〈金属非金属矿山重大事故隐患判定标准〉的通知》（</w:t>
      </w:r>
      <w:r>
        <w:rPr>
          <w:rFonts w:hint="default" w:ascii="Times New Roman" w:hAnsi="Times New Roman" w:eastAsia="宋体" w:cs="Times New Roman"/>
          <w:kern w:val="0"/>
          <w:sz w:val="28"/>
          <w:szCs w:val="28"/>
          <w:shd w:val="clear" w:color="auto" w:fill="FFFFFF"/>
          <w:lang w:bidi="ar"/>
        </w:rPr>
        <w:t>矿安〔</w:t>
      </w:r>
      <w:r>
        <w:rPr>
          <w:rFonts w:hint="default" w:ascii="Times New Roman" w:hAnsi="Times New Roman" w:eastAsia="宋体" w:cs="Times New Roman"/>
          <w:spacing w:val="-4"/>
          <w:kern w:val="0"/>
          <w:sz w:val="28"/>
          <w:szCs w:val="28"/>
        </w:rPr>
        <w:t>2022</w:t>
      </w:r>
      <w:r>
        <w:rPr>
          <w:rFonts w:hint="default" w:ascii="Times New Roman" w:hAnsi="Times New Roman" w:eastAsia="宋体" w:cs="Times New Roman"/>
          <w:kern w:val="0"/>
          <w:sz w:val="28"/>
          <w:szCs w:val="28"/>
          <w:shd w:val="clear" w:color="auto" w:fill="FFFFFF"/>
          <w:lang w:bidi="ar"/>
        </w:rPr>
        <w:t>〕</w:t>
      </w:r>
      <w:r>
        <w:rPr>
          <w:rFonts w:hint="default" w:ascii="Times New Roman" w:hAnsi="Times New Roman" w:eastAsia="宋体" w:cs="Times New Roman"/>
          <w:spacing w:val="-4"/>
          <w:kern w:val="0"/>
          <w:sz w:val="28"/>
          <w:szCs w:val="28"/>
        </w:rPr>
        <w:t>88号，自2022年9月1日起施行）</w:t>
      </w:r>
      <w:r>
        <w:rPr>
          <w:rFonts w:hint="default" w:ascii="Times New Roman" w:hAnsi="Times New Roman" w:eastAsia="宋体" w:cs="Times New Roman"/>
          <w:snapToGrid w:val="0"/>
          <w:kern w:val="0"/>
          <w:sz w:val="28"/>
          <w:szCs w:val="24"/>
          <w:lang w:val="sq-AL"/>
        </w:rPr>
        <w:t>。</w:t>
      </w:r>
    </w:p>
    <w:p w14:paraId="284C1B1A">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1.2.1.4地方性法规、地方政府规章和有关规范性文件</w:t>
      </w:r>
    </w:p>
    <w:p w14:paraId="61FC5FC5">
      <w:pPr>
        <w:numPr>
          <w:ilvl w:val="0"/>
          <w:numId w:val="6"/>
        </w:numPr>
        <w:tabs>
          <w:tab w:val="left" w:pos="0"/>
          <w:tab w:val="left" w:pos="530"/>
          <w:tab w:val="left" w:pos="728"/>
          <w:tab w:val="left" w:pos="840"/>
        </w:tabs>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《云南省安全生产监督管理局关于进一步加强非煤矿山和尾矿库安全生产行政许可工作的通知》（云安监管〔2009〕35号）；</w:t>
      </w:r>
    </w:p>
    <w:p w14:paraId="5A81CDE3">
      <w:pPr>
        <w:numPr>
          <w:ilvl w:val="0"/>
          <w:numId w:val="6"/>
        </w:numPr>
        <w:tabs>
          <w:tab w:val="left" w:pos="0"/>
          <w:tab w:val="left" w:pos="530"/>
          <w:tab w:val="left" w:pos="728"/>
          <w:tab w:val="left" w:pos="840"/>
        </w:tabs>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云南省电力设施保护条例》（2007年9月29日云南省人民代表大会常务委员会公告第61号；根据2012年3月31日云南省第十一届人民代表大会常务委员会第三十次会议（公告第58号）《云南省人民代表大会常务委员会关于修改25件涉及行政强制的地方性法规的决定》修正）；</w:t>
      </w:r>
    </w:p>
    <w:p w14:paraId="0A5E1653">
      <w:pPr>
        <w:numPr>
          <w:ilvl w:val="0"/>
          <w:numId w:val="6"/>
        </w:numPr>
        <w:tabs>
          <w:tab w:val="left" w:pos="0"/>
          <w:tab w:val="left" w:pos="530"/>
          <w:tab w:val="left" w:pos="728"/>
          <w:tab w:val="left" w:pos="840"/>
        </w:tabs>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《云南省人民政府关于促进非煤矿山转型升级的实施意见》（云政发〔2015〕38号）；</w:t>
      </w:r>
    </w:p>
    <w:p w14:paraId="643228B2">
      <w:pPr>
        <w:numPr>
          <w:ilvl w:val="0"/>
          <w:numId w:val="6"/>
        </w:numPr>
        <w:tabs>
          <w:tab w:val="left" w:pos="0"/>
          <w:tab w:val="left" w:pos="530"/>
          <w:tab w:val="left" w:pos="728"/>
          <w:tab w:val="left" w:pos="840"/>
        </w:tabs>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lang w:val="sq-AL"/>
        </w:rPr>
        <w:t>《云南省安全生产监督管理局关于进一步加强安全评价监管工作的通知》（云安监管〔2016〕48号）；</w:t>
      </w:r>
    </w:p>
    <w:p w14:paraId="7F0201DE">
      <w:pPr>
        <w:numPr>
          <w:ilvl w:val="0"/>
          <w:numId w:val="6"/>
        </w:numPr>
        <w:tabs>
          <w:tab w:val="left" w:pos="0"/>
          <w:tab w:val="left" w:pos="530"/>
          <w:tab w:val="left" w:pos="728"/>
          <w:tab w:val="left" w:pos="840"/>
        </w:tabs>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lang w:val="sq-AL"/>
        </w:rPr>
        <w:t>《云南省安全生产监督管理局关于进一步规范金属非金属矿山建设项目安全“三同时”工作的通知》（云南省安全生产监督管理局2016年3月21日）；</w:t>
      </w:r>
    </w:p>
    <w:p w14:paraId="53166100">
      <w:pPr>
        <w:numPr>
          <w:ilvl w:val="0"/>
          <w:numId w:val="6"/>
        </w:numPr>
        <w:tabs>
          <w:tab w:val="left" w:pos="0"/>
          <w:tab w:val="left" w:pos="530"/>
          <w:tab w:val="left" w:pos="728"/>
          <w:tab w:val="left" w:pos="840"/>
        </w:tabs>
        <w:adjustRightInd w:val="0"/>
        <w:snapToGrid w:val="0"/>
        <w:spacing w:line="360" w:lineRule="auto"/>
        <w:ind w:firstLine="560" w:firstLineChars="200"/>
        <w:rPr>
          <w:rFonts w:hint="default" w:ascii="Times New Roman" w:hAnsi="Times New Roman" w:eastAsia="宋体" w:cs="Times New Roman"/>
          <w:snapToGrid w:val="0"/>
          <w:kern w:val="0"/>
          <w:sz w:val="28"/>
          <w:szCs w:val="28"/>
          <w:lang w:val="sq-AL"/>
        </w:rPr>
      </w:pPr>
      <w:r>
        <w:rPr>
          <w:rFonts w:hint="default" w:ascii="Times New Roman" w:hAnsi="Times New Roman" w:eastAsia="宋体" w:cs="Times New Roman"/>
          <w:snapToGrid w:val="0"/>
          <w:kern w:val="0"/>
          <w:sz w:val="28"/>
          <w:szCs w:val="28"/>
          <w:lang w:val="sq-AL"/>
        </w:rPr>
        <w:t>《云南省安全生产监督管理局关于调整下放非煤矿山安全生产行政许可事项的通知》（云安监管[2017]2号，2017年1月23日施行）；</w:t>
      </w:r>
    </w:p>
    <w:p w14:paraId="00630EF5">
      <w:pPr>
        <w:numPr>
          <w:ilvl w:val="0"/>
          <w:numId w:val="6"/>
        </w:numPr>
        <w:tabs>
          <w:tab w:val="left" w:pos="0"/>
          <w:tab w:val="left" w:pos="530"/>
          <w:tab w:val="left" w:pos="728"/>
          <w:tab w:val="left" w:pos="840"/>
        </w:tabs>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《云南省安全生产条例》（</w:t>
      </w:r>
      <w:r>
        <w:rPr>
          <w:rFonts w:hint="default" w:ascii="Times New Roman" w:hAnsi="Times New Roman" w:eastAsia="宋体" w:cs="Times New Roman"/>
          <w:snapToGrid w:val="0"/>
          <w:kern w:val="0"/>
          <w:sz w:val="28"/>
          <w:szCs w:val="28"/>
          <w:lang w:val="sq-AL"/>
        </w:rPr>
        <w:t>云南省第十二届人民代表大会常务委员会公告（第63号）</w:t>
      </w:r>
      <w:r>
        <w:rPr>
          <w:rFonts w:hint="default" w:ascii="Times New Roman" w:hAnsi="Times New Roman" w:eastAsia="宋体" w:cs="Times New Roman"/>
          <w:snapToGrid w:val="0"/>
          <w:kern w:val="0"/>
          <w:sz w:val="28"/>
          <w:szCs w:val="28"/>
        </w:rPr>
        <w:t>2017</w:t>
      </w:r>
      <w:r>
        <w:rPr>
          <w:rFonts w:hint="default" w:ascii="Times New Roman" w:hAnsi="Times New Roman" w:eastAsia="宋体" w:cs="Times New Roman"/>
          <w:snapToGrid w:val="0"/>
          <w:kern w:val="0"/>
          <w:sz w:val="28"/>
          <w:szCs w:val="28"/>
          <w:lang w:val="sq-AL"/>
        </w:rPr>
        <w:t>年</w:t>
      </w:r>
      <w:r>
        <w:rPr>
          <w:rFonts w:hint="default" w:ascii="Times New Roman" w:hAnsi="Times New Roman" w:eastAsia="宋体" w:cs="Times New Roman"/>
          <w:snapToGrid w:val="0"/>
          <w:kern w:val="0"/>
          <w:sz w:val="28"/>
          <w:szCs w:val="28"/>
        </w:rPr>
        <w:t>11</w:t>
      </w:r>
      <w:r>
        <w:rPr>
          <w:rFonts w:hint="default" w:ascii="Times New Roman" w:hAnsi="Times New Roman" w:eastAsia="宋体" w:cs="Times New Roman"/>
          <w:snapToGrid w:val="0"/>
          <w:kern w:val="0"/>
          <w:sz w:val="28"/>
          <w:szCs w:val="28"/>
          <w:lang w:val="sq-AL"/>
        </w:rPr>
        <w:t>月</w:t>
      </w:r>
      <w:r>
        <w:rPr>
          <w:rFonts w:hint="default" w:ascii="Times New Roman" w:hAnsi="Times New Roman" w:eastAsia="宋体" w:cs="Times New Roman"/>
          <w:snapToGrid w:val="0"/>
          <w:kern w:val="0"/>
          <w:sz w:val="28"/>
          <w:szCs w:val="28"/>
        </w:rPr>
        <w:t>30</w:t>
      </w:r>
      <w:r>
        <w:rPr>
          <w:rFonts w:hint="default" w:ascii="Times New Roman" w:hAnsi="Times New Roman" w:eastAsia="宋体" w:cs="Times New Roman"/>
          <w:snapToGrid w:val="0"/>
          <w:kern w:val="0"/>
          <w:sz w:val="28"/>
          <w:szCs w:val="28"/>
          <w:lang w:val="sq-AL"/>
        </w:rPr>
        <w:t>日云南省第十二届人大常委会第三十八次会议修订，</w:t>
      </w:r>
      <w:r>
        <w:rPr>
          <w:rFonts w:hint="default" w:ascii="Times New Roman" w:hAnsi="Times New Roman" w:eastAsia="宋体" w:cs="Times New Roman"/>
          <w:snapToGrid w:val="0"/>
          <w:kern w:val="0"/>
          <w:sz w:val="28"/>
          <w:szCs w:val="28"/>
        </w:rPr>
        <w:t>2018</w:t>
      </w:r>
      <w:r>
        <w:rPr>
          <w:rFonts w:hint="default" w:ascii="Times New Roman" w:hAnsi="Times New Roman" w:eastAsia="宋体" w:cs="Times New Roman"/>
          <w:snapToGrid w:val="0"/>
          <w:kern w:val="0"/>
          <w:sz w:val="28"/>
          <w:szCs w:val="28"/>
          <w:lang w:val="sq-AL"/>
        </w:rPr>
        <w:t>年</w:t>
      </w:r>
      <w:r>
        <w:rPr>
          <w:rFonts w:hint="default" w:ascii="Times New Roman" w:hAnsi="Times New Roman" w:eastAsia="宋体" w:cs="Times New Roman"/>
          <w:snapToGrid w:val="0"/>
          <w:kern w:val="0"/>
          <w:sz w:val="28"/>
          <w:szCs w:val="28"/>
        </w:rPr>
        <w:t>1</w:t>
      </w:r>
      <w:r>
        <w:rPr>
          <w:rFonts w:hint="default" w:ascii="Times New Roman" w:hAnsi="Times New Roman" w:eastAsia="宋体" w:cs="Times New Roman"/>
          <w:snapToGrid w:val="0"/>
          <w:kern w:val="0"/>
          <w:sz w:val="28"/>
          <w:szCs w:val="28"/>
          <w:lang w:val="sq-AL"/>
        </w:rPr>
        <w:t>月</w:t>
      </w:r>
      <w:r>
        <w:rPr>
          <w:rFonts w:hint="default" w:ascii="Times New Roman" w:hAnsi="Times New Roman" w:eastAsia="宋体" w:cs="Times New Roman"/>
          <w:snapToGrid w:val="0"/>
          <w:kern w:val="0"/>
          <w:sz w:val="28"/>
          <w:szCs w:val="28"/>
        </w:rPr>
        <w:t>1</w:t>
      </w:r>
      <w:r>
        <w:rPr>
          <w:rFonts w:hint="default" w:ascii="Times New Roman" w:hAnsi="Times New Roman" w:eastAsia="宋体" w:cs="Times New Roman"/>
          <w:snapToGrid w:val="0"/>
          <w:kern w:val="0"/>
          <w:sz w:val="28"/>
          <w:szCs w:val="28"/>
          <w:lang w:val="sq-AL"/>
        </w:rPr>
        <w:t>日起正式施行</w:t>
      </w:r>
      <w:r>
        <w:rPr>
          <w:rFonts w:hint="default" w:ascii="Times New Roman" w:hAnsi="Times New Roman" w:eastAsia="宋体" w:cs="Times New Roman"/>
          <w:snapToGrid w:val="0"/>
          <w:kern w:val="0"/>
          <w:sz w:val="28"/>
          <w:szCs w:val="28"/>
        </w:rPr>
        <w:t>）；</w:t>
      </w:r>
    </w:p>
    <w:p w14:paraId="77700674">
      <w:pPr>
        <w:numPr>
          <w:ilvl w:val="0"/>
          <w:numId w:val="6"/>
        </w:numPr>
        <w:tabs>
          <w:tab w:val="left" w:pos="0"/>
          <w:tab w:val="left" w:pos="530"/>
          <w:tab w:val="left" w:pos="728"/>
          <w:tab w:val="left" w:pos="840"/>
        </w:tabs>
        <w:adjustRightInd w:val="0"/>
        <w:snapToGrid w:val="0"/>
        <w:spacing w:line="360" w:lineRule="auto"/>
        <w:ind w:firstLine="560" w:firstLineChars="200"/>
        <w:rPr>
          <w:rFonts w:hint="default" w:ascii="Times New Roman" w:hAnsi="Times New Roman" w:eastAsia="宋体" w:cs="Times New Roman"/>
          <w:snapToGrid w:val="0"/>
          <w:kern w:val="0"/>
          <w:sz w:val="28"/>
          <w:szCs w:val="28"/>
          <w:lang w:val="sq-AL"/>
        </w:rPr>
      </w:pPr>
      <w:r>
        <w:rPr>
          <w:rFonts w:hint="default" w:ascii="Times New Roman" w:hAnsi="Times New Roman" w:eastAsia="宋体" w:cs="Times New Roman"/>
          <w:snapToGrid w:val="0"/>
          <w:kern w:val="0"/>
          <w:sz w:val="28"/>
          <w:szCs w:val="28"/>
        </w:rPr>
        <w:t>《云南省安全生产委员会关于建立完善安全风险分级管控和隐患排查治理双重预防机制的指导意见》（云安[2021]3号）</w:t>
      </w:r>
      <w:r>
        <w:rPr>
          <w:rFonts w:hint="default" w:ascii="Times New Roman" w:hAnsi="Times New Roman" w:eastAsia="宋体" w:cs="Times New Roman"/>
          <w:snapToGrid w:val="0"/>
          <w:kern w:val="0"/>
          <w:sz w:val="28"/>
          <w:szCs w:val="28"/>
          <w:lang w:val="sq-AL"/>
        </w:rPr>
        <w:t>。</w:t>
      </w:r>
    </w:p>
    <w:p w14:paraId="6596A9B8">
      <w:pPr>
        <w:pStyle w:val="4"/>
        <w:adjustRightInd w:val="0"/>
        <w:snapToGrid w:val="0"/>
        <w:spacing w:before="0" w:after="0" w:line="360" w:lineRule="auto"/>
        <w:rPr>
          <w:rFonts w:hint="default" w:ascii="Times New Roman" w:hAnsi="Times New Roman" w:eastAsia="宋体" w:cs="Times New Roman"/>
          <w:sz w:val="28"/>
          <w:szCs w:val="28"/>
        </w:rPr>
      </w:pPr>
      <w:bookmarkStart w:id="97" w:name="_Toc17105"/>
      <w:bookmarkStart w:id="98" w:name="_Toc23242"/>
      <w:bookmarkStart w:id="99" w:name="_Toc16238656"/>
      <w:bookmarkStart w:id="100" w:name="_Toc4124"/>
      <w:bookmarkStart w:id="101" w:name="_Toc24830"/>
      <w:bookmarkStart w:id="102" w:name="_Toc2404"/>
      <w:r>
        <w:rPr>
          <w:rFonts w:hint="default" w:ascii="Times New Roman" w:hAnsi="Times New Roman" w:eastAsia="宋体" w:cs="Times New Roman"/>
          <w:sz w:val="28"/>
          <w:szCs w:val="28"/>
        </w:rPr>
        <w:t>1.2.2 标准规范</w:t>
      </w:r>
      <w:bookmarkEnd w:id="97"/>
      <w:bookmarkEnd w:id="98"/>
      <w:bookmarkEnd w:id="99"/>
      <w:bookmarkEnd w:id="100"/>
      <w:bookmarkEnd w:id="101"/>
      <w:bookmarkEnd w:id="102"/>
    </w:p>
    <w:p w14:paraId="55AB6785">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《企业职工伤亡事故分类》（GB/T 6441-1986）；</w:t>
      </w:r>
    </w:p>
    <w:p w14:paraId="12427039">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《厂矿道路设计规范》（GBJ22-1987，1988年8月1日实施）；</w:t>
      </w:r>
    </w:p>
    <w:p w14:paraId="2310250F">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《生产设备安全卫生设计总则》（GB5083-1999，1999年2月1日实施）；</w:t>
      </w:r>
    </w:p>
    <w:p w14:paraId="2CF50EDD">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《建筑灭火器配置设计规范》（GB50140-2005，2005年10月1日实施）；</w:t>
      </w:r>
    </w:p>
    <w:p w14:paraId="0A1A97E6">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《安全评价通则》（AQ8001-2007，2007年4月1日实施）；</w:t>
      </w:r>
    </w:p>
    <w:p w14:paraId="72B584B8">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《安全预评价导则》(AQ8002-2007，2007年4月1日实施）；</w:t>
      </w:r>
    </w:p>
    <w:p w14:paraId="55A0A753">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《高处作业分级》（GB/T3608-2008，2009年6月1日实施）；</w:t>
      </w:r>
    </w:p>
    <w:p w14:paraId="259E3077">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《安全标志及其使用导则》(GB2894-2008，2009年10月1日实施）；</w:t>
      </w:r>
    </w:p>
    <w:p w14:paraId="6B7E61E4">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w:t>
      </w:r>
      <w:r>
        <w:rPr>
          <w:rFonts w:hint="default" w:ascii="Times New Roman" w:hAnsi="Times New Roman" w:eastAsia="宋体" w:cs="Times New Roman"/>
          <w:snapToGrid w:val="0"/>
          <w:kern w:val="0"/>
          <w:sz w:val="28"/>
          <w:szCs w:val="24"/>
        </w:rPr>
        <w:t>矿山安全标志</w:t>
      </w:r>
      <w:r>
        <w:rPr>
          <w:rFonts w:hint="default" w:ascii="Times New Roman" w:hAnsi="Times New Roman" w:eastAsia="宋体" w:cs="Times New Roman"/>
          <w:snapToGrid w:val="0"/>
          <w:kern w:val="0"/>
          <w:sz w:val="28"/>
          <w:szCs w:val="24"/>
          <w:lang w:val="sq-AL"/>
        </w:rPr>
        <w:t>》（GB/T 14161-2008）；</w:t>
      </w:r>
    </w:p>
    <w:p w14:paraId="64F67ACC">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《工业企业厂内铁路、道路运输安全规程》(GB4387-2008，2009年10月1日实施）；</w:t>
      </w:r>
    </w:p>
    <w:p w14:paraId="15DD8569">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《生产过程安全卫生要求总则》（GB/T 12801-2008）；</w:t>
      </w:r>
    </w:p>
    <w:p w14:paraId="164EC414">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《建筑物抗震设计规范》（GB50011-2010（2016年版），2010年12月1日实施）；</w:t>
      </w:r>
    </w:p>
    <w:p w14:paraId="6B02B580">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《金属非金属露天矿山在用矿用自卸汽车安全检验规范》（AQ2027-2010，自2011年5月1日实施）；</w:t>
      </w:r>
    </w:p>
    <w:p w14:paraId="269CC577">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《电气设备安全设计导则》(GB/T25295-2010，2011年5月1日实施）；</w:t>
      </w:r>
    </w:p>
    <w:p w14:paraId="26D0A16A">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《建筑物防雷设计规范》（GB50057-2010，2011年10月1日实施）；</w:t>
      </w:r>
    </w:p>
    <w:p w14:paraId="7BB21AE9">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《低压配电设计规范》（GB50054-2011，2012年6月1日实施）；</w:t>
      </w:r>
    </w:p>
    <w:p w14:paraId="294132F2">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《工业企业总平面设计规范》（GB50187-2012，2012年8月1日实施）；</w:t>
      </w:r>
    </w:p>
    <w:p w14:paraId="40242BA8">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《工业企业噪声控制设计规范》（GB/T50087-2013；2014年6月1日实施）；</w:t>
      </w:r>
    </w:p>
    <w:p w14:paraId="79581D03">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《20kV及以下变电所设计规范》（GB50053-2013，2014年7月1日实施）；</w:t>
      </w:r>
    </w:p>
    <w:p w14:paraId="23A0E541">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《防洪标准》（GB50201-2014，2015年5月1日实施）；</w:t>
      </w:r>
    </w:p>
    <w:p w14:paraId="0B5213AA">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《非煤露天矿边坡工程技术规范》（GB51016-2014；2015年5月1日实施）；</w:t>
      </w:r>
    </w:p>
    <w:p w14:paraId="1D83AB94">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《电气装置安装工程电气设备交接试验标准》(GB50150-2016，2016年12月01日实施）；</w:t>
      </w:r>
    </w:p>
    <w:p w14:paraId="1545024C">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z w:val="28"/>
          <w:szCs w:val="28"/>
          <w:lang w:val="en-GB"/>
        </w:rPr>
        <w:t>《爆破安全规程》（</w:t>
      </w:r>
      <w:r>
        <w:rPr>
          <w:rFonts w:hint="default" w:ascii="Times New Roman" w:hAnsi="Times New Roman" w:eastAsia="宋体" w:cs="Times New Roman"/>
          <w:sz w:val="28"/>
          <w:szCs w:val="28"/>
          <w:shd w:val="clear" w:color="auto" w:fill="FFFFFF"/>
          <w:lang w:val="en-GB"/>
        </w:rPr>
        <w:t>GB 6722-2014，自2017年1月3日实施</w:t>
      </w:r>
      <w:r>
        <w:rPr>
          <w:rFonts w:hint="default" w:ascii="Times New Roman" w:hAnsi="Times New Roman" w:eastAsia="宋体" w:cs="Times New Roman"/>
          <w:sz w:val="28"/>
          <w:szCs w:val="28"/>
          <w:lang w:val="en-GB"/>
        </w:rPr>
        <w:t>）；</w:t>
      </w:r>
    </w:p>
    <w:p w14:paraId="0ADD57A4">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金属非金属露天矿山高陡边坡安全监测技术规范</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AQ/T2063-2018，自2018年12月1日实施</w:t>
      </w:r>
      <w:r>
        <w:rPr>
          <w:rFonts w:hint="default" w:ascii="Times New Roman" w:hAnsi="Times New Roman" w:eastAsia="宋体" w:cs="Times New Roman"/>
          <w:sz w:val="28"/>
          <w:szCs w:val="28"/>
          <w:lang w:val="en-GB"/>
        </w:rPr>
        <w:t>）；</w:t>
      </w:r>
    </w:p>
    <w:p w14:paraId="7792B491">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《建筑设计防火规范》（GB 50016-2014[2018年版]）；</w:t>
      </w:r>
    </w:p>
    <w:p w14:paraId="7D01D206">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rPr>
        <w:t>《用电安全导则》（GB/T13869-2017；2018年7月1日实施）；</w:t>
      </w:r>
    </w:p>
    <w:p w14:paraId="7383B9C2">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《危险化学品重大危险源辨识》(GB18218-2018，2019年3月1日起实施）；</w:t>
      </w:r>
    </w:p>
    <w:p w14:paraId="18A13B26">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《机械安全、防护装置、固定式和活动式防护装置设计与制造一般要求》（GB/T8196-20</w:t>
      </w:r>
      <w:r>
        <w:rPr>
          <w:rFonts w:hint="default" w:ascii="Times New Roman" w:hAnsi="Times New Roman" w:eastAsia="宋体" w:cs="Times New Roman"/>
          <w:snapToGrid w:val="0"/>
          <w:kern w:val="0"/>
          <w:sz w:val="28"/>
          <w:szCs w:val="24"/>
        </w:rPr>
        <w:t>18/ISO 14120：2015；2019年7月1日实施</w:t>
      </w:r>
      <w:r>
        <w:rPr>
          <w:rFonts w:hint="default" w:ascii="Times New Roman" w:hAnsi="Times New Roman" w:eastAsia="宋体" w:cs="Times New Roman"/>
          <w:snapToGrid w:val="0"/>
          <w:kern w:val="0"/>
          <w:sz w:val="28"/>
          <w:szCs w:val="24"/>
          <w:lang w:val="sq-AL"/>
        </w:rPr>
        <w:t>）；</w:t>
      </w:r>
    </w:p>
    <w:p w14:paraId="63EAADF8">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《个体防护装备配备规范 第4部分：非煤矿山》（</w:t>
      </w:r>
      <w:r>
        <w:rPr>
          <w:rFonts w:hint="default" w:ascii="Times New Roman" w:hAnsi="Times New Roman" w:eastAsia="宋体" w:cs="Times New Roman"/>
          <w:snapToGrid w:val="0"/>
          <w:kern w:val="0"/>
          <w:sz w:val="28"/>
          <w:szCs w:val="24"/>
        </w:rPr>
        <w:t>GB 39800.4-2020</w:t>
      </w:r>
      <w:r>
        <w:rPr>
          <w:rFonts w:hint="default" w:ascii="Times New Roman" w:hAnsi="Times New Roman" w:eastAsia="宋体" w:cs="Times New Roman"/>
          <w:snapToGrid w:val="0"/>
          <w:kern w:val="0"/>
          <w:sz w:val="28"/>
          <w:szCs w:val="24"/>
          <w:lang w:val="sq-AL"/>
        </w:rPr>
        <w:t>）；</w:t>
      </w:r>
    </w:p>
    <w:p w14:paraId="6CEB8ACD">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《头部防护 安全帽》（GB2811-20</w:t>
      </w:r>
      <w:r>
        <w:rPr>
          <w:rFonts w:hint="default" w:ascii="Times New Roman" w:hAnsi="Times New Roman" w:eastAsia="宋体" w:cs="Times New Roman"/>
          <w:snapToGrid w:val="0"/>
          <w:kern w:val="0"/>
          <w:sz w:val="28"/>
          <w:szCs w:val="24"/>
        </w:rPr>
        <w:t>19</w:t>
      </w:r>
      <w:r>
        <w:rPr>
          <w:rFonts w:hint="default" w:ascii="Times New Roman" w:hAnsi="Times New Roman" w:eastAsia="宋体" w:cs="Times New Roman"/>
          <w:snapToGrid w:val="0"/>
          <w:kern w:val="0"/>
          <w:sz w:val="28"/>
          <w:szCs w:val="24"/>
          <w:lang w:val="sq-AL"/>
        </w:rPr>
        <w:t>，20</w:t>
      </w:r>
      <w:r>
        <w:rPr>
          <w:rFonts w:hint="default" w:ascii="Times New Roman" w:hAnsi="Times New Roman" w:eastAsia="宋体" w:cs="Times New Roman"/>
          <w:snapToGrid w:val="0"/>
          <w:kern w:val="0"/>
          <w:sz w:val="28"/>
          <w:szCs w:val="24"/>
        </w:rPr>
        <w:t>20</w:t>
      </w:r>
      <w:r>
        <w:rPr>
          <w:rFonts w:hint="default" w:ascii="Times New Roman" w:hAnsi="Times New Roman" w:eastAsia="宋体" w:cs="Times New Roman"/>
          <w:snapToGrid w:val="0"/>
          <w:kern w:val="0"/>
          <w:sz w:val="28"/>
          <w:szCs w:val="24"/>
          <w:lang w:val="sq-AL"/>
        </w:rPr>
        <w:t>年</w:t>
      </w:r>
      <w:r>
        <w:rPr>
          <w:rFonts w:hint="default" w:ascii="Times New Roman" w:hAnsi="Times New Roman" w:eastAsia="宋体" w:cs="Times New Roman"/>
          <w:snapToGrid w:val="0"/>
          <w:kern w:val="0"/>
          <w:sz w:val="28"/>
          <w:szCs w:val="24"/>
        </w:rPr>
        <w:t>7</w:t>
      </w:r>
      <w:r>
        <w:rPr>
          <w:rFonts w:hint="default" w:ascii="Times New Roman" w:hAnsi="Times New Roman" w:eastAsia="宋体" w:cs="Times New Roman"/>
          <w:snapToGrid w:val="0"/>
          <w:kern w:val="0"/>
          <w:sz w:val="28"/>
          <w:szCs w:val="24"/>
          <w:lang w:val="sq-AL"/>
        </w:rPr>
        <w:t>月1日</w:t>
      </w:r>
      <w:r>
        <w:rPr>
          <w:rFonts w:hint="default" w:ascii="Times New Roman" w:hAnsi="Times New Roman" w:eastAsia="宋体" w:cs="Times New Roman"/>
          <w:snapToGrid w:val="0"/>
          <w:kern w:val="0"/>
          <w:sz w:val="28"/>
          <w:szCs w:val="24"/>
        </w:rPr>
        <w:t>生效</w:t>
      </w:r>
      <w:r>
        <w:rPr>
          <w:rFonts w:hint="default" w:ascii="Times New Roman" w:hAnsi="Times New Roman" w:eastAsia="宋体" w:cs="Times New Roman"/>
          <w:snapToGrid w:val="0"/>
          <w:kern w:val="0"/>
          <w:sz w:val="28"/>
          <w:szCs w:val="24"/>
          <w:lang w:val="sq-AL"/>
        </w:rPr>
        <w:t>）；</w:t>
      </w:r>
    </w:p>
    <w:p w14:paraId="43EF6AF9">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rPr>
        <w:t>《金属非金属矿山在用设备设施安全检测检验目录》（AQ∕T2075-2019，自2020年2月1日实施）；</w:t>
      </w:r>
    </w:p>
    <w:p w14:paraId="43926E30">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《矿山电力设计标准》(GB50070-20</w:t>
      </w:r>
      <w:r>
        <w:rPr>
          <w:rFonts w:hint="default" w:ascii="Times New Roman" w:hAnsi="Times New Roman" w:eastAsia="宋体" w:cs="Times New Roman"/>
          <w:snapToGrid w:val="0"/>
          <w:kern w:val="0"/>
          <w:sz w:val="28"/>
          <w:szCs w:val="24"/>
        </w:rPr>
        <w:t>20</w:t>
      </w:r>
      <w:r>
        <w:rPr>
          <w:rFonts w:hint="default" w:ascii="Times New Roman" w:hAnsi="Times New Roman" w:eastAsia="宋体" w:cs="Times New Roman"/>
          <w:snapToGrid w:val="0"/>
          <w:kern w:val="0"/>
          <w:sz w:val="28"/>
          <w:szCs w:val="24"/>
          <w:lang w:val="sq-AL"/>
        </w:rPr>
        <w:t>，20</w:t>
      </w:r>
      <w:r>
        <w:rPr>
          <w:rFonts w:hint="default" w:ascii="Times New Roman" w:hAnsi="Times New Roman" w:eastAsia="宋体" w:cs="Times New Roman"/>
          <w:snapToGrid w:val="0"/>
          <w:kern w:val="0"/>
          <w:sz w:val="28"/>
          <w:szCs w:val="24"/>
        </w:rPr>
        <w:t>20</w:t>
      </w:r>
      <w:r>
        <w:rPr>
          <w:rFonts w:hint="default" w:ascii="Times New Roman" w:hAnsi="Times New Roman" w:eastAsia="宋体" w:cs="Times New Roman"/>
          <w:snapToGrid w:val="0"/>
          <w:kern w:val="0"/>
          <w:sz w:val="28"/>
          <w:szCs w:val="24"/>
          <w:lang w:val="sq-AL"/>
        </w:rPr>
        <w:t>年1</w:t>
      </w:r>
      <w:r>
        <w:rPr>
          <w:rFonts w:hint="default" w:ascii="Times New Roman" w:hAnsi="Times New Roman" w:eastAsia="宋体" w:cs="Times New Roman"/>
          <w:snapToGrid w:val="0"/>
          <w:kern w:val="0"/>
          <w:sz w:val="28"/>
          <w:szCs w:val="24"/>
        </w:rPr>
        <w:t>0</w:t>
      </w:r>
      <w:r>
        <w:rPr>
          <w:rFonts w:hint="default" w:ascii="Times New Roman" w:hAnsi="Times New Roman" w:eastAsia="宋体" w:cs="Times New Roman"/>
          <w:snapToGrid w:val="0"/>
          <w:kern w:val="0"/>
          <w:sz w:val="28"/>
          <w:szCs w:val="24"/>
          <w:lang w:val="sq-AL"/>
        </w:rPr>
        <w:t>月1日实施）；</w:t>
      </w:r>
    </w:p>
    <w:p w14:paraId="20F7BDFC">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《生产经营单位生产安全事故应急预案编制导则》（GB/T 29639-20</w:t>
      </w:r>
      <w:r>
        <w:rPr>
          <w:rFonts w:hint="default" w:ascii="Times New Roman" w:hAnsi="Times New Roman" w:eastAsia="宋体" w:cs="Times New Roman"/>
          <w:snapToGrid w:val="0"/>
          <w:kern w:val="0"/>
          <w:sz w:val="28"/>
          <w:szCs w:val="24"/>
        </w:rPr>
        <w:t>20</w:t>
      </w:r>
      <w:r>
        <w:rPr>
          <w:rFonts w:hint="default" w:ascii="Times New Roman" w:hAnsi="Times New Roman" w:eastAsia="宋体" w:cs="Times New Roman"/>
          <w:snapToGrid w:val="0"/>
          <w:kern w:val="0"/>
          <w:sz w:val="28"/>
          <w:szCs w:val="24"/>
          <w:lang w:val="sq-AL"/>
        </w:rPr>
        <w:t>，20</w:t>
      </w:r>
      <w:r>
        <w:rPr>
          <w:rFonts w:hint="default" w:ascii="Times New Roman" w:hAnsi="Times New Roman" w:eastAsia="宋体" w:cs="Times New Roman"/>
          <w:snapToGrid w:val="0"/>
          <w:kern w:val="0"/>
          <w:sz w:val="28"/>
          <w:szCs w:val="24"/>
        </w:rPr>
        <w:t>21</w:t>
      </w:r>
      <w:r>
        <w:rPr>
          <w:rFonts w:hint="default" w:ascii="Times New Roman" w:hAnsi="Times New Roman" w:eastAsia="宋体" w:cs="Times New Roman"/>
          <w:snapToGrid w:val="0"/>
          <w:kern w:val="0"/>
          <w:sz w:val="28"/>
          <w:szCs w:val="24"/>
          <w:lang w:val="sq-AL"/>
        </w:rPr>
        <w:t>年</w:t>
      </w:r>
      <w:r>
        <w:rPr>
          <w:rFonts w:hint="default" w:ascii="Times New Roman" w:hAnsi="Times New Roman" w:eastAsia="宋体" w:cs="Times New Roman"/>
          <w:snapToGrid w:val="0"/>
          <w:kern w:val="0"/>
          <w:sz w:val="28"/>
          <w:szCs w:val="24"/>
        </w:rPr>
        <w:t>04</w:t>
      </w:r>
      <w:r>
        <w:rPr>
          <w:rFonts w:hint="default" w:ascii="Times New Roman" w:hAnsi="Times New Roman" w:eastAsia="宋体" w:cs="Times New Roman"/>
          <w:snapToGrid w:val="0"/>
          <w:kern w:val="0"/>
          <w:sz w:val="28"/>
          <w:szCs w:val="24"/>
          <w:lang w:val="sq-AL"/>
        </w:rPr>
        <w:t>月</w:t>
      </w:r>
      <w:r>
        <w:rPr>
          <w:rFonts w:hint="default" w:ascii="Times New Roman" w:hAnsi="Times New Roman" w:eastAsia="宋体" w:cs="Times New Roman"/>
          <w:snapToGrid w:val="0"/>
          <w:kern w:val="0"/>
          <w:sz w:val="28"/>
          <w:szCs w:val="24"/>
        </w:rPr>
        <w:t>0</w:t>
      </w:r>
      <w:r>
        <w:rPr>
          <w:rFonts w:hint="default" w:ascii="Times New Roman" w:hAnsi="Times New Roman" w:eastAsia="宋体" w:cs="Times New Roman"/>
          <w:snapToGrid w:val="0"/>
          <w:kern w:val="0"/>
          <w:sz w:val="28"/>
          <w:szCs w:val="24"/>
          <w:lang w:val="sq-AL"/>
        </w:rPr>
        <w:t>1日实施）；</w:t>
      </w:r>
    </w:p>
    <w:p w14:paraId="64A672D4">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《一般工业固体废物贮存和填埋污染控制标准》（GB18599-20</w:t>
      </w:r>
      <w:r>
        <w:rPr>
          <w:rFonts w:hint="default" w:ascii="Times New Roman" w:hAnsi="Times New Roman" w:eastAsia="宋体" w:cs="Times New Roman"/>
          <w:snapToGrid w:val="0"/>
          <w:kern w:val="0"/>
          <w:sz w:val="28"/>
          <w:szCs w:val="24"/>
        </w:rPr>
        <w:t>20，2021</w:t>
      </w:r>
      <w:r>
        <w:rPr>
          <w:rFonts w:hint="default" w:ascii="Times New Roman" w:hAnsi="Times New Roman" w:eastAsia="宋体" w:cs="Times New Roman"/>
          <w:snapToGrid w:val="0"/>
          <w:kern w:val="0"/>
          <w:sz w:val="28"/>
          <w:szCs w:val="24"/>
          <w:lang w:val="sq-AL"/>
        </w:rPr>
        <w:t>年</w:t>
      </w:r>
      <w:r>
        <w:rPr>
          <w:rFonts w:hint="default" w:ascii="Times New Roman" w:hAnsi="Times New Roman" w:eastAsia="宋体" w:cs="Times New Roman"/>
          <w:snapToGrid w:val="0"/>
          <w:kern w:val="0"/>
          <w:sz w:val="28"/>
          <w:szCs w:val="24"/>
        </w:rPr>
        <w:t>7</w:t>
      </w:r>
      <w:r>
        <w:rPr>
          <w:rFonts w:hint="default" w:ascii="Times New Roman" w:hAnsi="Times New Roman" w:eastAsia="宋体" w:cs="Times New Roman"/>
          <w:snapToGrid w:val="0"/>
          <w:kern w:val="0"/>
          <w:sz w:val="28"/>
          <w:szCs w:val="24"/>
          <w:lang w:val="sq-AL"/>
        </w:rPr>
        <w:t>月1日实施）；</w:t>
      </w:r>
    </w:p>
    <w:p w14:paraId="55F44B9A">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rPr>
        <w:t>《矿区水文地质工程地质勘查规范》（GB/T12719-2021，2021年12月01日实施）；</w:t>
      </w:r>
    </w:p>
    <w:p w14:paraId="2CE77116">
      <w:pPr>
        <w:pStyle w:val="84"/>
        <w:numPr>
          <w:ilvl w:val="0"/>
          <w:numId w:val="7"/>
        </w:numPr>
        <w:adjustRightInd w:val="0"/>
        <w:snapToGrid w:val="0"/>
        <w:spacing w:line="360" w:lineRule="auto"/>
        <w:ind w:firstLine="560"/>
        <w:rPr>
          <w:rFonts w:hint="default" w:ascii="Times New Roman" w:hAnsi="Times New Roman" w:eastAsia="宋体" w:cs="Times New Roman"/>
          <w:snapToGrid w:val="0"/>
          <w:kern w:val="0"/>
          <w:sz w:val="28"/>
          <w:szCs w:val="24"/>
          <w:lang w:val="sq-AL"/>
        </w:rPr>
      </w:pPr>
      <w:r>
        <w:rPr>
          <w:rFonts w:hint="default" w:ascii="Times New Roman" w:hAnsi="Times New Roman" w:eastAsia="宋体" w:cs="Times New Roman"/>
          <w:snapToGrid w:val="0"/>
          <w:kern w:val="0"/>
          <w:sz w:val="28"/>
          <w:szCs w:val="24"/>
          <w:lang w:val="sq-AL"/>
        </w:rPr>
        <w:t>《金属非金属矿山安全规程》（GB16423-20</w:t>
      </w:r>
      <w:r>
        <w:rPr>
          <w:rFonts w:hint="default" w:ascii="Times New Roman" w:hAnsi="Times New Roman" w:eastAsia="宋体" w:cs="Times New Roman"/>
          <w:snapToGrid w:val="0"/>
          <w:kern w:val="0"/>
          <w:sz w:val="28"/>
          <w:szCs w:val="24"/>
        </w:rPr>
        <w:t>20</w:t>
      </w:r>
      <w:r>
        <w:rPr>
          <w:rFonts w:hint="default" w:ascii="Times New Roman" w:hAnsi="Times New Roman" w:eastAsia="宋体" w:cs="Times New Roman"/>
          <w:snapToGrid w:val="0"/>
          <w:kern w:val="0"/>
          <w:sz w:val="28"/>
          <w:szCs w:val="24"/>
          <w:lang w:val="sq-AL"/>
        </w:rPr>
        <w:t>，20</w:t>
      </w:r>
      <w:r>
        <w:rPr>
          <w:rFonts w:hint="default" w:ascii="Times New Roman" w:hAnsi="Times New Roman" w:eastAsia="宋体" w:cs="Times New Roman"/>
          <w:snapToGrid w:val="0"/>
          <w:kern w:val="0"/>
          <w:sz w:val="28"/>
          <w:szCs w:val="24"/>
        </w:rPr>
        <w:t>21</w:t>
      </w:r>
      <w:r>
        <w:rPr>
          <w:rFonts w:hint="default" w:ascii="Times New Roman" w:hAnsi="Times New Roman" w:eastAsia="宋体" w:cs="Times New Roman"/>
          <w:snapToGrid w:val="0"/>
          <w:kern w:val="0"/>
          <w:sz w:val="28"/>
          <w:szCs w:val="24"/>
          <w:lang w:val="sq-AL"/>
        </w:rPr>
        <w:t>年9月1日实施）。</w:t>
      </w:r>
    </w:p>
    <w:p w14:paraId="55849D59">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《机械安全防止上下肢触及危险区的安全距离》（GB/T 23821-2022）；</w:t>
      </w:r>
    </w:p>
    <w:p w14:paraId="24F243C7">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《生产过程危险和有害因素分类与代码》（GB/T13861-2022，2022年10月01日实施）；</w:t>
      </w:r>
    </w:p>
    <w:p w14:paraId="5523ACE9">
      <w:pPr>
        <w:numPr>
          <w:ilvl w:val="0"/>
          <w:numId w:val="7"/>
        </w:numPr>
        <w:adjustRightInd w:val="0"/>
        <w:snapToGrid w:val="0"/>
        <w:spacing w:line="360" w:lineRule="auto"/>
        <w:ind w:firstLine="560" w:firstLineChars="200"/>
        <w:rPr>
          <w:rFonts w:hint="default" w:ascii="Times New Roman" w:hAnsi="Times New Roman" w:eastAsia="宋体" w:cs="Times New Roman"/>
          <w:snapToGrid w:val="0"/>
          <w:kern w:val="0"/>
          <w:sz w:val="28"/>
          <w:lang w:val="sq-AL"/>
        </w:rPr>
      </w:pPr>
      <w:r>
        <w:rPr>
          <w:rFonts w:hint="default" w:ascii="Times New Roman" w:hAnsi="Times New Roman" w:eastAsia="宋体" w:cs="Times New Roman"/>
          <w:snapToGrid w:val="0"/>
          <w:kern w:val="0"/>
          <w:sz w:val="28"/>
          <w:lang w:val="sq-AL"/>
        </w:rPr>
        <w:t>《个体防护装备配备规范 第1部分：总则》（GB 39800.1-2020，自2022年1月1日实施）；</w:t>
      </w:r>
    </w:p>
    <w:p w14:paraId="2E14C980">
      <w:pPr>
        <w:numPr>
          <w:ilvl w:val="0"/>
          <w:numId w:val="7"/>
        </w:numPr>
        <w:adjustRightInd w:val="0"/>
        <w:snapToGrid w:val="0"/>
        <w:spacing w:line="360" w:lineRule="auto"/>
        <w:ind w:firstLine="560" w:firstLineChars="200"/>
        <w:rPr>
          <w:rFonts w:hint="default" w:ascii="Times New Roman" w:hAnsi="Times New Roman" w:eastAsia="宋体" w:cs="Times New Roman"/>
          <w:snapToGrid w:val="0"/>
          <w:color w:val="auto"/>
          <w:kern w:val="0"/>
          <w:sz w:val="28"/>
          <w:lang w:val="sq-AL"/>
        </w:rPr>
      </w:pPr>
      <w:r>
        <w:rPr>
          <w:rFonts w:hint="default" w:ascii="Times New Roman" w:hAnsi="Times New Roman" w:eastAsia="宋体" w:cs="Times New Roman"/>
          <w:color w:val="auto"/>
          <w:sz w:val="28"/>
          <w:szCs w:val="28"/>
          <w:lang w:val="en-GB"/>
        </w:rPr>
        <w:t>《个体防护装备配备规范 第4部分：非煤矿山》</w:t>
      </w:r>
      <w:r>
        <w:rPr>
          <w:rFonts w:hint="default"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lang w:val="en-GB"/>
        </w:rPr>
        <w:t>GB 39800.4-2020）；</w:t>
      </w:r>
    </w:p>
    <w:p w14:paraId="13075587">
      <w:pPr>
        <w:pStyle w:val="4"/>
        <w:adjustRightInd w:val="0"/>
        <w:snapToGrid w:val="0"/>
        <w:spacing w:before="0" w:after="0" w:line="360" w:lineRule="auto"/>
        <w:rPr>
          <w:rFonts w:hint="default" w:ascii="Times New Roman" w:hAnsi="Times New Roman" w:eastAsia="宋体" w:cs="Times New Roman"/>
          <w:sz w:val="28"/>
          <w:szCs w:val="28"/>
        </w:rPr>
      </w:pPr>
      <w:bookmarkStart w:id="103" w:name="_Toc2038"/>
      <w:bookmarkStart w:id="104" w:name="_Toc27582"/>
      <w:bookmarkStart w:id="105" w:name="_Toc2111"/>
      <w:r>
        <w:rPr>
          <w:rFonts w:hint="default" w:ascii="Times New Roman" w:hAnsi="Times New Roman" w:eastAsia="宋体" w:cs="Times New Roman"/>
          <w:sz w:val="28"/>
          <w:szCs w:val="28"/>
        </w:rPr>
        <w:t>1.2.3建设项目合法性文件</w:t>
      </w:r>
      <w:bookmarkEnd w:id="103"/>
      <w:bookmarkEnd w:id="104"/>
      <w:bookmarkEnd w:id="105"/>
    </w:p>
    <w:p w14:paraId="45A331FF">
      <w:pPr>
        <w:numPr>
          <w:ilvl w:val="0"/>
          <w:numId w:val="8"/>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营业执照（统一社会信用代码：91530622MA6K3WFF8L）；</w:t>
      </w:r>
    </w:p>
    <w:p w14:paraId="2AA10C08">
      <w:pPr>
        <w:numPr>
          <w:ilvl w:val="0"/>
          <w:numId w:val="8"/>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采矿许可证（证号：C5306222023087130155528）；</w:t>
      </w:r>
    </w:p>
    <w:p w14:paraId="7498EFC0">
      <w:pPr>
        <w:numPr>
          <w:ilvl w:val="0"/>
          <w:numId w:val="8"/>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关于《云南省巧家县老店镇独梨树采石场建筑石料用灰岩矿资源量核实报告（2023年）》矿产资源储量评审备案的复函（巧自然资函〔2023〕29号）；</w:t>
      </w:r>
    </w:p>
    <w:p w14:paraId="0140BF54">
      <w:pPr>
        <w:numPr>
          <w:ilvl w:val="0"/>
          <w:numId w:val="8"/>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关于《云南省巧家县老店镇独梨树采石场建筑石料用灰岩矿资源量核实报告（2023年）》评审意见书（云方圆中正资矿评储字〔2023〕08号）；</w:t>
      </w:r>
    </w:p>
    <w:p w14:paraId="2974ED33">
      <w:pPr>
        <w:pStyle w:val="4"/>
        <w:adjustRightInd w:val="0"/>
        <w:snapToGrid w:val="0"/>
        <w:spacing w:before="0" w:after="0" w:line="360" w:lineRule="auto"/>
        <w:rPr>
          <w:rFonts w:hint="default" w:ascii="Times New Roman" w:hAnsi="Times New Roman" w:eastAsia="宋体" w:cs="Times New Roman"/>
          <w:sz w:val="28"/>
          <w:szCs w:val="28"/>
        </w:rPr>
      </w:pPr>
      <w:bookmarkStart w:id="106" w:name="_Toc19914"/>
      <w:bookmarkStart w:id="107" w:name="_Toc19278"/>
      <w:bookmarkStart w:id="108" w:name="_Toc28661"/>
      <w:bookmarkStart w:id="109" w:name="_Toc1400"/>
      <w:bookmarkStart w:id="110" w:name="_Toc7542"/>
      <w:bookmarkStart w:id="111" w:name="_Toc16238657"/>
      <w:r>
        <w:rPr>
          <w:rFonts w:hint="default" w:ascii="Times New Roman" w:hAnsi="Times New Roman" w:eastAsia="宋体" w:cs="Times New Roman"/>
          <w:sz w:val="28"/>
          <w:szCs w:val="28"/>
        </w:rPr>
        <w:t>1.2.</w:t>
      </w:r>
      <w:bookmarkStart w:id="112" w:name="_Toc167693751"/>
      <w:r>
        <w:rPr>
          <w:rFonts w:hint="default" w:ascii="Times New Roman" w:hAnsi="Times New Roman" w:eastAsia="宋体" w:cs="Times New Roman"/>
          <w:sz w:val="28"/>
          <w:szCs w:val="28"/>
        </w:rPr>
        <w:t>4建设项目技术文件</w:t>
      </w:r>
      <w:bookmarkEnd w:id="106"/>
      <w:bookmarkEnd w:id="107"/>
      <w:bookmarkEnd w:id="108"/>
      <w:bookmarkEnd w:id="109"/>
      <w:bookmarkEnd w:id="110"/>
      <w:bookmarkEnd w:id="111"/>
      <w:bookmarkEnd w:id="112"/>
    </w:p>
    <w:p w14:paraId="649C8CC4">
      <w:pPr>
        <w:numPr>
          <w:ilvl w:val="0"/>
          <w:numId w:val="9"/>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《云南省巧家县老店镇独梨树采石场建筑石料用灰岩矿资源量核实报告（2023年）》（昭通德邦工程有限公司，2023年2月）；</w:t>
      </w:r>
    </w:p>
    <w:p w14:paraId="18EC2E43">
      <w:pPr>
        <w:numPr>
          <w:ilvl w:val="0"/>
          <w:numId w:val="9"/>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《云南省巧家县老店镇独梨树采石场10万t/a露天采场工程初步设计（代可研）》（云南德成设计规划有限公司，2023年8月）。</w:t>
      </w:r>
    </w:p>
    <w:p w14:paraId="6ED35894">
      <w:pPr>
        <w:pStyle w:val="4"/>
        <w:adjustRightInd w:val="0"/>
        <w:snapToGrid w:val="0"/>
        <w:spacing w:before="0" w:after="0" w:line="360" w:lineRule="auto"/>
        <w:rPr>
          <w:rFonts w:hint="default" w:ascii="Times New Roman" w:hAnsi="Times New Roman" w:eastAsia="宋体" w:cs="Times New Roman"/>
          <w:sz w:val="28"/>
          <w:szCs w:val="28"/>
        </w:rPr>
      </w:pPr>
      <w:bookmarkStart w:id="113" w:name="_Toc3082"/>
      <w:bookmarkStart w:id="114" w:name="_Toc16238658"/>
      <w:bookmarkStart w:id="115" w:name="_Toc21425"/>
      <w:bookmarkStart w:id="116" w:name="_Toc4926"/>
      <w:bookmarkStart w:id="117" w:name="_Toc7902"/>
      <w:bookmarkStart w:id="118" w:name="_Toc19972"/>
      <w:r>
        <w:rPr>
          <w:rFonts w:hint="default" w:ascii="Times New Roman" w:hAnsi="Times New Roman" w:eastAsia="宋体" w:cs="Times New Roman"/>
          <w:sz w:val="28"/>
          <w:szCs w:val="28"/>
        </w:rPr>
        <w:t>1.2.5其他</w:t>
      </w:r>
      <w:bookmarkEnd w:id="113"/>
      <w:bookmarkEnd w:id="114"/>
      <w:r>
        <w:rPr>
          <w:rFonts w:hint="default" w:ascii="Times New Roman" w:hAnsi="Times New Roman" w:eastAsia="宋体" w:cs="Times New Roman"/>
          <w:sz w:val="28"/>
          <w:szCs w:val="28"/>
        </w:rPr>
        <w:t>评价依据</w:t>
      </w:r>
      <w:bookmarkEnd w:id="115"/>
      <w:bookmarkEnd w:id="116"/>
      <w:bookmarkEnd w:id="117"/>
      <w:bookmarkEnd w:id="118"/>
    </w:p>
    <w:p w14:paraId="429FC056">
      <w:pPr>
        <w:numPr>
          <w:ilvl w:val="0"/>
          <w:numId w:val="10"/>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安全预评价委托书；</w:t>
      </w:r>
    </w:p>
    <w:p w14:paraId="34318E64">
      <w:pPr>
        <w:numPr>
          <w:ilvl w:val="0"/>
          <w:numId w:val="10"/>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提供资料真实性承诺书；</w:t>
      </w:r>
    </w:p>
    <w:p w14:paraId="2D497B44">
      <w:pPr>
        <w:numPr>
          <w:ilvl w:val="0"/>
          <w:numId w:val="10"/>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《采矿工程设计手册》，煤炭工业出版社，2003；</w:t>
      </w:r>
    </w:p>
    <w:p w14:paraId="576ACA16">
      <w:pPr>
        <w:numPr>
          <w:ilvl w:val="0"/>
          <w:numId w:val="10"/>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《矿山安全性评价与安全事故的预防及处理实务全书》，中国商业出版社，2001；</w:t>
      </w:r>
    </w:p>
    <w:p w14:paraId="02C29043">
      <w:pPr>
        <w:numPr>
          <w:ilvl w:val="0"/>
          <w:numId w:val="10"/>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《注册安全工程师手册》（第三版），化学工业出版社，2020-08-01；</w:t>
      </w:r>
    </w:p>
    <w:p w14:paraId="3AA8D873">
      <w:pPr>
        <w:numPr>
          <w:ilvl w:val="0"/>
          <w:numId w:val="10"/>
        </w:numPr>
        <w:tabs>
          <w:tab w:val="left" w:pos="643"/>
          <w:tab w:val="left" w:pos="728"/>
          <w:tab w:val="left" w:pos="840"/>
          <w:tab w:val="left" w:pos="976"/>
        </w:tabs>
        <w:adjustRightInd w:val="0"/>
        <w:snapToGrid w:val="0"/>
        <w:spacing w:line="360" w:lineRule="auto"/>
        <w:ind w:firstLine="560" w:firstLineChars="200"/>
        <w:jc w:val="left"/>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《安全评价》（第三版），国家安全生产监督管理局编，煤炭工业出版社，2006。</w:t>
      </w:r>
    </w:p>
    <w:p w14:paraId="6518A00A">
      <w:pPr>
        <w:pStyle w:val="84"/>
        <w:adjustRightInd w:val="0"/>
        <w:snapToGrid w:val="0"/>
        <w:spacing w:line="360" w:lineRule="auto"/>
        <w:ind w:firstLine="0" w:firstLineChars="0"/>
        <w:rPr>
          <w:rFonts w:hint="default" w:ascii="Times New Roman" w:hAnsi="Times New Roman" w:eastAsia="宋体" w:cs="Times New Roman"/>
          <w:snapToGrid w:val="0"/>
          <w:kern w:val="0"/>
          <w:sz w:val="28"/>
          <w:szCs w:val="24"/>
        </w:rPr>
        <w:sectPr>
          <w:footerReference r:id="rId14" w:type="first"/>
          <w:footerReference r:id="rId13" w:type="default"/>
          <w:pgSz w:w="11905" w:h="16838"/>
          <w:pgMar w:top="1418" w:right="1134" w:bottom="1134" w:left="1588" w:header="851" w:footer="992" w:gutter="0"/>
          <w:pgNumType w:start="1"/>
          <w:cols w:space="720" w:num="1"/>
          <w:docGrid w:linePitch="332" w:charSpace="0"/>
        </w:sectPr>
      </w:pPr>
    </w:p>
    <w:p w14:paraId="306F4A2D">
      <w:pPr>
        <w:pStyle w:val="2"/>
        <w:adjustRightInd w:val="0"/>
        <w:snapToGrid w:val="0"/>
        <w:spacing w:before="0" w:after="0" w:line="360" w:lineRule="auto"/>
        <w:jc w:val="center"/>
        <w:rPr>
          <w:rFonts w:hint="default" w:ascii="Times New Roman" w:hAnsi="Times New Roman" w:eastAsia="宋体" w:cs="Times New Roman"/>
          <w:bCs w:val="0"/>
          <w:sz w:val="32"/>
        </w:rPr>
      </w:pPr>
      <w:bookmarkStart w:id="119" w:name="_Toc115120608"/>
      <w:bookmarkStart w:id="120" w:name="_Toc226963123"/>
      <w:bookmarkStart w:id="121" w:name="_Toc242849735"/>
      <w:bookmarkStart w:id="122" w:name="_Toc184701526"/>
      <w:bookmarkStart w:id="123" w:name="_Toc115120214"/>
      <w:bookmarkStart w:id="124" w:name="_Toc21812"/>
      <w:bookmarkStart w:id="125" w:name="_Toc20110"/>
      <w:bookmarkStart w:id="126" w:name="_Toc9381"/>
      <w:bookmarkStart w:id="127" w:name="_Toc3627"/>
      <w:bookmarkStart w:id="128" w:name="_Toc19559"/>
      <w:bookmarkStart w:id="129" w:name="_Toc10452"/>
      <w:bookmarkStart w:id="130" w:name="_Toc18105"/>
      <w:bookmarkStart w:id="131" w:name="_Toc293408506"/>
      <w:bookmarkStart w:id="132" w:name="_Toc192559515"/>
      <w:bookmarkStart w:id="133" w:name="_Toc26856"/>
      <w:bookmarkStart w:id="134" w:name="_Toc192559433"/>
      <w:bookmarkStart w:id="135" w:name="_Toc192649818"/>
      <w:bookmarkStart w:id="136" w:name="_Toc192573326"/>
      <w:bookmarkStart w:id="137" w:name="_Toc192731947"/>
      <w:r>
        <w:rPr>
          <w:rFonts w:hint="default" w:ascii="Times New Roman" w:hAnsi="Times New Roman" w:eastAsia="宋体" w:cs="Times New Roman"/>
          <w:bCs w:val="0"/>
          <w:sz w:val="32"/>
        </w:rPr>
        <w:t>2.建设项目</w:t>
      </w:r>
      <w:bookmarkEnd w:id="119"/>
      <w:bookmarkEnd w:id="120"/>
      <w:bookmarkEnd w:id="121"/>
      <w:bookmarkEnd w:id="122"/>
      <w:bookmarkEnd w:id="123"/>
      <w:r>
        <w:rPr>
          <w:rFonts w:hint="default" w:ascii="Times New Roman" w:hAnsi="Times New Roman" w:eastAsia="宋体" w:cs="Times New Roman"/>
          <w:bCs w:val="0"/>
          <w:sz w:val="32"/>
        </w:rPr>
        <w:t>概述</w:t>
      </w:r>
      <w:bookmarkEnd w:id="124"/>
      <w:bookmarkEnd w:id="125"/>
      <w:bookmarkEnd w:id="126"/>
      <w:bookmarkEnd w:id="127"/>
      <w:bookmarkEnd w:id="128"/>
      <w:bookmarkEnd w:id="129"/>
      <w:bookmarkEnd w:id="130"/>
    </w:p>
    <w:p w14:paraId="7C9B014F">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138" w:name="_Toc10266"/>
      <w:bookmarkStart w:id="139" w:name="_Toc1733"/>
      <w:bookmarkStart w:id="140" w:name="_Toc32635"/>
      <w:bookmarkStart w:id="141" w:name="_Toc30911"/>
      <w:bookmarkStart w:id="142" w:name="_Toc16254"/>
      <w:bookmarkStart w:id="143" w:name="_Toc19515"/>
      <w:r>
        <w:rPr>
          <w:rFonts w:hint="default" w:ascii="Times New Roman" w:hAnsi="Times New Roman" w:eastAsia="宋体" w:cs="Times New Roman"/>
          <w:sz w:val="30"/>
          <w:szCs w:val="30"/>
        </w:rPr>
        <w:t>2.1</w:t>
      </w:r>
      <w:bookmarkEnd w:id="131"/>
      <w:bookmarkEnd w:id="132"/>
      <w:bookmarkEnd w:id="133"/>
      <w:bookmarkEnd w:id="134"/>
      <w:bookmarkEnd w:id="135"/>
      <w:bookmarkEnd w:id="136"/>
      <w:bookmarkEnd w:id="137"/>
      <w:r>
        <w:rPr>
          <w:rFonts w:hint="default" w:ascii="Times New Roman" w:hAnsi="Times New Roman" w:eastAsia="宋体" w:cs="Times New Roman"/>
          <w:sz w:val="30"/>
          <w:szCs w:val="30"/>
        </w:rPr>
        <w:t>建设单位概况</w:t>
      </w:r>
      <w:bookmarkEnd w:id="138"/>
      <w:bookmarkEnd w:id="139"/>
      <w:bookmarkEnd w:id="140"/>
      <w:bookmarkEnd w:id="141"/>
      <w:bookmarkEnd w:id="142"/>
      <w:bookmarkEnd w:id="143"/>
    </w:p>
    <w:p w14:paraId="128599D1">
      <w:pPr>
        <w:pStyle w:val="4"/>
        <w:adjustRightInd w:val="0"/>
        <w:snapToGrid w:val="0"/>
        <w:spacing w:before="0" w:after="0" w:line="360" w:lineRule="auto"/>
        <w:rPr>
          <w:rFonts w:hint="default" w:ascii="Times New Roman" w:hAnsi="Times New Roman" w:eastAsia="宋体" w:cs="Times New Roman"/>
          <w:sz w:val="28"/>
          <w:szCs w:val="28"/>
        </w:rPr>
      </w:pPr>
      <w:bookmarkStart w:id="144" w:name="_Toc32524"/>
      <w:bookmarkStart w:id="145" w:name="_Toc16238667"/>
      <w:bookmarkStart w:id="146" w:name="_Toc293408507"/>
      <w:bookmarkStart w:id="147" w:name="_Toc6503"/>
      <w:bookmarkStart w:id="148" w:name="_Toc12476"/>
      <w:bookmarkStart w:id="149" w:name="_Toc22722"/>
      <w:bookmarkStart w:id="150" w:name="_Toc11357"/>
      <w:r>
        <w:rPr>
          <w:rFonts w:hint="default" w:ascii="Times New Roman" w:hAnsi="Times New Roman" w:eastAsia="宋体" w:cs="Times New Roman"/>
          <w:sz w:val="28"/>
          <w:szCs w:val="28"/>
        </w:rPr>
        <w:t>2.1.1</w:t>
      </w:r>
      <w:bookmarkEnd w:id="144"/>
      <w:bookmarkEnd w:id="145"/>
      <w:bookmarkEnd w:id="146"/>
      <w:r>
        <w:rPr>
          <w:rFonts w:hint="default" w:ascii="Times New Roman" w:hAnsi="Times New Roman" w:eastAsia="宋体" w:cs="Times New Roman"/>
          <w:sz w:val="28"/>
          <w:szCs w:val="28"/>
        </w:rPr>
        <w:t>建设单位简介</w:t>
      </w:r>
      <w:bookmarkEnd w:id="147"/>
      <w:bookmarkEnd w:id="148"/>
      <w:bookmarkEnd w:id="149"/>
      <w:bookmarkEnd w:id="150"/>
    </w:p>
    <w:p w14:paraId="64D4ABB8">
      <w:pPr>
        <w:pStyle w:val="62"/>
        <w:snapToGrid w:val="0"/>
        <w:spacing w:line="360" w:lineRule="auto"/>
        <w:ind w:firstLine="560" w:firstLineChars="200"/>
        <w:rPr>
          <w:rFonts w:hint="default" w:ascii="Times New Roman" w:hAnsi="Times New Roman" w:eastAsia="宋体" w:cs="Times New Roman"/>
          <w:color w:val="auto"/>
          <w:sz w:val="28"/>
        </w:rPr>
      </w:pPr>
      <w:r>
        <w:rPr>
          <w:rFonts w:hint="default" w:ascii="Times New Roman" w:hAnsi="Times New Roman" w:eastAsia="宋体" w:cs="Times New Roman"/>
          <w:color w:val="auto"/>
          <w:sz w:val="28"/>
        </w:rPr>
        <w:t>云南省巧家县老店镇独梨树采石场于2014年1月20日取得巧家县自然资源局换发的采矿许可证，证号：C5306222010087130073464，生产规模：3万t/a，矿区面积：0.0614km</w:t>
      </w:r>
      <w:r>
        <w:rPr>
          <w:rFonts w:hint="default" w:ascii="Times New Roman" w:hAnsi="Times New Roman" w:eastAsia="宋体" w:cs="Times New Roman"/>
          <w:color w:val="auto"/>
          <w:sz w:val="28"/>
          <w:vertAlign w:val="superscript"/>
        </w:rPr>
        <w:t>2</w:t>
      </w:r>
      <w:r>
        <w:rPr>
          <w:rFonts w:hint="default" w:ascii="Times New Roman" w:hAnsi="Times New Roman" w:eastAsia="宋体" w:cs="Times New Roman"/>
          <w:color w:val="auto"/>
          <w:sz w:val="28"/>
        </w:rPr>
        <w:t>，开采深度：2265～2068m，有效期：自2014年1月20日至2017年1月20日。因矿区范围占部分国家公益林，为避让国家公益林，于2023年8月进行矿区缩减，同时变更生产规模及开采标高，矿区范围由0.0614km</w:t>
      </w:r>
      <w:r>
        <w:rPr>
          <w:rFonts w:hint="default" w:ascii="Times New Roman" w:hAnsi="Times New Roman" w:eastAsia="宋体" w:cs="Times New Roman"/>
          <w:color w:val="auto"/>
          <w:sz w:val="28"/>
          <w:vertAlign w:val="superscript"/>
        </w:rPr>
        <w:t>2</w:t>
      </w:r>
      <w:r>
        <w:rPr>
          <w:rFonts w:hint="default" w:ascii="Times New Roman" w:hAnsi="Times New Roman" w:eastAsia="宋体" w:cs="Times New Roman"/>
          <w:color w:val="auto"/>
          <w:sz w:val="28"/>
        </w:rPr>
        <w:t>缩减为0.0305km</w:t>
      </w:r>
      <w:r>
        <w:rPr>
          <w:rFonts w:hint="default" w:ascii="Times New Roman" w:hAnsi="Times New Roman" w:eastAsia="宋体" w:cs="Times New Roman"/>
          <w:color w:val="auto"/>
          <w:sz w:val="28"/>
          <w:vertAlign w:val="superscript"/>
        </w:rPr>
        <w:t>2</w:t>
      </w:r>
      <w:r>
        <w:rPr>
          <w:rFonts w:hint="default" w:ascii="Times New Roman" w:hAnsi="Times New Roman" w:eastAsia="宋体" w:cs="Times New Roman"/>
          <w:color w:val="auto"/>
          <w:sz w:val="28"/>
        </w:rPr>
        <w:t>，生产规模由3万t/a变更为10万t/a，开采标高由2265～2068m变更为2218～2080m。矿山于2023年8月21日取得变更后的采矿许可证，证号：C5306222023087130155528，采矿权人：云南省巧家县老店镇独梨树采石场，矿山名称：云南省巧家县老店镇独梨树采石场，开采矿种：建筑石料用灰岩，开采方式：露天开采，生产规模：10万t/a，矿区面积：0.0305km</w:t>
      </w:r>
      <w:r>
        <w:rPr>
          <w:rFonts w:hint="default" w:ascii="Times New Roman" w:hAnsi="Times New Roman" w:eastAsia="宋体" w:cs="Times New Roman"/>
          <w:color w:val="auto"/>
          <w:sz w:val="28"/>
          <w:vertAlign w:val="superscript"/>
        </w:rPr>
        <w:t>2</w:t>
      </w:r>
      <w:r>
        <w:rPr>
          <w:rFonts w:hint="default" w:ascii="Times New Roman" w:hAnsi="Times New Roman" w:eastAsia="宋体" w:cs="Times New Roman"/>
          <w:color w:val="auto"/>
          <w:sz w:val="28"/>
        </w:rPr>
        <w:t>，开采深度：2218～2080m，有效期：自2023年8月21日至2028年8月21日。</w:t>
      </w:r>
      <w:r>
        <w:rPr>
          <w:rFonts w:hint="default" w:ascii="Times New Roman" w:hAnsi="Times New Roman" w:eastAsia="宋体" w:cs="Times New Roman"/>
          <w:sz w:val="28"/>
          <w:szCs w:val="28"/>
        </w:rPr>
        <w:t>该矿山为改建矿山。</w:t>
      </w:r>
    </w:p>
    <w:p w14:paraId="12D6232A">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根据《中华人民共和国安全生产法》和《建设项目安全设施“三同时”监督管理办法》（安监总局令[2010]36号，安监总局令[2015]77号修订）的相关规定，</w:t>
      </w:r>
      <w:r>
        <w:rPr>
          <w:rFonts w:hint="default" w:ascii="Times New Roman" w:hAnsi="Times New Roman" w:eastAsia="宋体" w:cs="Times New Roman"/>
          <w:sz w:val="28"/>
        </w:rPr>
        <w:t>云南省巧家县老店镇独梨树采石场</w:t>
      </w:r>
      <w:r>
        <w:rPr>
          <w:rFonts w:hint="default" w:ascii="Times New Roman" w:hAnsi="Times New Roman" w:eastAsia="宋体" w:cs="Times New Roman"/>
          <w:sz w:val="28"/>
          <w:szCs w:val="28"/>
        </w:rPr>
        <w:t>依法开展建设项目安全设施“三同时”手续。为此，</w:t>
      </w:r>
      <w:r>
        <w:rPr>
          <w:rFonts w:hint="default" w:ascii="Times New Roman" w:hAnsi="Times New Roman" w:eastAsia="宋体" w:cs="Times New Roman"/>
          <w:sz w:val="28"/>
        </w:rPr>
        <w:t>巧家县老店镇独梨树采石场特</w:t>
      </w:r>
      <w:r>
        <w:rPr>
          <w:rFonts w:hint="default" w:ascii="Times New Roman" w:hAnsi="Times New Roman" w:eastAsia="宋体" w:cs="Times New Roman"/>
          <w:sz w:val="28"/>
          <w:szCs w:val="28"/>
          <w:lang w:val="en-GB"/>
        </w:rPr>
        <w:t>委托云南德成规划设计有限公司于202</w:t>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lang w:val="en-GB"/>
        </w:rPr>
        <w:t>年</w:t>
      </w:r>
      <w:r>
        <w:rPr>
          <w:rFonts w:hint="default" w:ascii="Times New Roman" w:hAnsi="Times New Roman" w:eastAsia="宋体" w:cs="Times New Roman"/>
          <w:sz w:val="28"/>
          <w:szCs w:val="28"/>
        </w:rPr>
        <w:t>8</w:t>
      </w:r>
      <w:r>
        <w:rPr>
          <w:rFonts w:hint="default" w:ascii="Times New Roman" w:hAnsi="Times New Roman" w:eastAsia="宋体" w:cs="Times New Roman"/>
          <w:sz w:val="28"/>
          <w:szCs w:val="28"/>
          <w:lang w:val="en-GB"/>
        </w:rPr>
        <w:t>月编制完成</w:t>
      </w:r>
      <w:r>
        <w:rPr>
          <w:rFonts w:hint="default" w:ascii="Times New Roman" w:hAnsi="Times New Roman" w:eastAsia="宋体" w:cs="Times New Roman"/>
          <w:sz w:val="28"/>
          <w:szCs w:val="28"/>
        </w:rPr>
        <w:t>了</w:t>
      </w:r>
      <w:r>
        <w:rPr>
          <w:rFonts w:hint="default" w:ascii="Times New Roman" w:hAnsi="Times New Roman" w:eastAsia="宋体" w:cs="Times New Roman"/>
          <w:sz w:val="28"/>
          <w:szCs w:val="28"/>
          <w:lang w:val="en-GB"/>
        </w:rPr>
        <w:t>《云南省巧家县老店镇独梨树采石场10万t/a露天采场工程初步设计（</w:t>
      </w:r>
      <w:r>
        <w:rPr>
          <w:rFonts w:hint="default" w:ascii="Times New Roman" w:hAnsi="Times New Roman" w:eastAsia="宋体" w:cs="Times New Roman"/>
          <w:sz w:val="28"/>
          <w:szCs w:val="28"/>
        </w:rPr>
        <w:t>代可研</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并委托我公司依据《安全评价通则》规范要求，为该企业生产指导及履行安全设施“三同时”手续而编制《云南省巧家县老店镇独梨树采石场建筑石料用灰岩矿安全预评价报告》，专属委托方使用。</w:t>
      </w:r>
    </w:p>
    <w:p w14:paraId="2372D9E3">
      <w:pPr>
        <w:keepNext/>
        <w:tabs>
          <w:tab w:val="left" w:pos="4902"/>
        </w:tabs>
        <w:adjustRightInd w:val="0"/>
        <w:snapToGrid w:val="0"/>
        <w:spacing w:line="360" w:lineRule="auto"/>
        <w:ind w:firstLine="576" w:firstLineChars="200"/>
        <w:rPr>
          <w:rFonts w:hint="default" w:ascii="Times New Roman" w:hAnsi="Times New Roman" w:eastAsia="宋体" w:cs="Times New Roman"/>
          <w:spacing w:val="4"/>
          <w:sz w:val="28"/>
          <w:szCs w:val="28"/>
        </w:rPr>
      </w:pPr>
      <w:r>
        <w:rPr>
          <w:rFonts w:hint="default" w:ascii="Times New Roman" w:hAnsi="Times New Roman" w:eastAsia="宋体" w:cs="Times New Roman"/>
          <w:spacing w:val="4"/>
          <w:sz w:val="28"/>
          <w:szCs w:val="28"/>
        </w:rPr>
        <w:t>企业已取得的主要证照信息如下：</w:t>
      </w:r>
      <w:r>
        <w:rPr>
          <w:rFonts w:hint="default" w:ascii="Times New Roman" w:hAnsi="Times New Roman" w:eastAsia="宋体" w:cs="Times New Roman"/>
          <w:spacing w:val="4"/>
          <w:sz w:val="28"/>
          <w:szCs w:val="28"/>
        </w:rPr>
        <w:tab/>
      </w:r>
    </w:p>
    <w:p w14:paraId="5800742D">
      <w:pPr>
        <w:keepNext/>
        <w:adjustRightInd w:val="0"/>
        <w:snapToGrid w:val="0"/>
        <w:spacing w:line="360" w:lineRule="auto"/>
        <w:ind w:firstLine="562" w:firstLineChars="200"/>
        <w:rPr>
          <w:rFonts w:hint="default" w:ascii="Times New Roman" w:hAnsi="Times New Roman" w:eastAsia="宋体" w:cs="Times New Roman"/>
          <w:b/>
          <w:bCs/>
          <w:sz w:val="28"/>
        </w:rPr>
      </w:pPr>
      <w:r>
        <w:rPr>
          <w:rFonts w:hint="default" w:ascii="Times New Roman" w:hAnsi="Times New Roman" w:eastAsia="宋体" w:cs="Times New Roman"/>
          <w:b/>
          <w:bCs/>
          <w:sz w:val="28"/>
        </w:rPr>
        <w:t>一、营业执照</w:t>
      </w:r>
    </w:p>
    <w:p w14:paraId="42016DD7">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统一社会信用代码：91530622MA6K3WFF8L</w:t>
      </w:r>
    </w:p>
    <w:p w14:paraId="7CBA28C3">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名    称：巧家县老店镇独梨树采石场</w:t>
      </w:r>
    </w:p>
    <w:p w14:paraId="5B1DBECC">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类    型：个人独资企业</w:t>
      </w:r>
    </w:p>
    <w:p w14:paraId="67FA3C78">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投资人：李世兵</w:t>
      </w:r>
    </w:p>
    <w:p w14:paraId="389EE535">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成立日期：2014年10月30日</w:t>
      </w:r>
    </w:p>
    <w:p w14:paraId="6A9B8619">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住    所：云南省昭通市巧家县老店镇老店村</w:t>
      </w:r>
    </w:p>
    <w:p w14:paraId="5E6774CA">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经营范围：石灰岩开采销售，水泥制品生产销售。（依法须经批准的项目，经相关部门批准后方可开展经营活动）。</w:t>
      </w:r>
      <w:r>
        <w:rPr>
          <w:rFonts w:hint="default" w:ascii="Times New Roman" w:hAnsi="Times New Roman" w:eastAsia="宋体" w:cs="Times New Roman"/>
          <w:sz w:val="28"/>
        </w:rPr>
        <w:tab/>
      </w:r>
    </w:p>
    <w:p w14:paraId="01B8DBBB">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登记机关：巧家县市场监督管理局</w:t>
      </w:r>
    </w:p>
    <w:p w14:paraId="20EFC552">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登记日期：2023年8月23日</w:t>
      </w:r>
    </w:p>
    <w:p w14:paraId="506A62EB">
      <w:pPr>
        <w:adjustRightInd w:val="0"/>
        <w:snapToGrid w:val="0"/>
        <w:spacing w:line="360" w:lineRule="auto"/>
        <w:ind w:firstLine="560" w:firstLineChars="200"/>
        <w:rPr>
          <w:rFonts w:hint="default" w:ascii="Times New Roman" w:hAnsi="Times New Roman" w:eastAsia="宋体" w:cs="Times New Roman"/>
          <w:sz w:val="28"/>
        </w:rPr>
      </w:pPr>
      <w:bookmarkStart w:id="151" w:name="_Toc18904"/>
      <w:r>
        <w:rPr>
          <w:rFonts w:hint="default" w:ascii="Times New Roman" w:hAnsi="Times New Roman" w:eastAsia="宋体" w:cs="Times New Roman"/>
          <w:sz w:val="28"/>
        </w:rPr>
        <w:t>二、采矿许可证</w:t>
      </w:r>
      <w:bookmarkEnd w:id="151"/>
    </w:p>
    <w:p w14:paraId="5069E766">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证    号：C5306222023087130155528</w:t>
      </w:r>
    </w:p>
    <w:p w14:paraId="545D86B9">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采矿权人：云南省巧家县老店镇独梨树采石场</w:t>
      </w:r>
    </w:p>
    <w:p w14:paraId="1E00752C">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地    址：云南省昭通市巧家县老店镇老店村</w:t>
      </w:r>
    </w:p>
    <w:p w14:paraId="68F24AEE">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矿山名称：云南省巧家县老店镇独梨树采石场</w:t>
      </w:r>
    </w:p>
    <w:p w14:paraId="69A56F25">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开采矿种：建筑石料用灰岩</w:t>
      </w:r>
    </w:p>
    <w:p w14:paraId="3D927480">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开采方式：露天开采</w:t>
      </w:r>
    </w:p>
    <w:p w14:paraId="40B12507">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生产规模：10.00万吨/年</w:t>
      </w:r>
    </w:p>
    <w:p w14:paraId="732EBAB9">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矿区面积：0.0305平方公里</w:t>
      </w:r>
    </w:p>
    <w:p w14:paraId="58D45959">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有限期限：伍年  自2023年8月21日至2028年8月21日</w:t>
      </w:r>
    </w:p>
    <w:p w14:paraId="4B4F70EE">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发证机关：巧家县自然资源局</w:t>
      </w:r>
    </w:p>
    <w:p w14:paraId="54271AD8">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发证日期：二〇二三年八月二十日</w:t>
      </w:r>
    </w:p>
    <w:p w14:paraId="35B13ECD">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矿区范围及拐点坐标见表1.1-1。</w:t>
      </w:r>
    </w:p>
    <w:p w14:paraId="652687EC">
      <w:pPr>
        <w:pStyle w:val="4"/>
        <w:adjustRightInd w:val="0"/>
        <w:snapToGrid w:val="0"/>
        <w:spacing w:before="0" w:after="0" w:line="360" w:lineRule="auto"/>
        <w:rPr>
          <w:rFonts w:hint="default" w:ascii="Times New Roman" w:hAnsi="Times New Roman" w:eastAsia="宋体" w:cs="Times New Roman"/>
          <w:sz w:val="28"/>
          <w:szCs w:val="28"/>
        </w:rPr>
      </w:pPr>
      <w:bookmarkStart w:id="152" w:name="_Toc23053"/>
      <w:bookmarkStart w:id="153" w:name="_Toc293408508"/>
      <w:bookmarkStart w:id="154" w:name="_Toc22261"/>
      <w:bookmarkStart w:id="155" w:name="_Toc16238669"/>
      <w:bookmarkStart w:id="156" w:name="_Toc495"/>
      <w:bookmarkStart w:id="157" w:name="_Toc30486"/>
      <w:bookmarkStart w:id="158" w:name="_Toc27339"/>
      <w:r>
        <w:rPr>
          <w:rFonts w:hint="default" w:ascii="Times New Roman" w:hAnsi="Times New Roman" w:eastAsia="宋体" w:cs="Times New Roman"/>
          <w:sz w:val="28"/>
          <w:szCs w:val="28"/>
        </w:rPr>
        <w:t>2.1.2矿区地理位置及交通</w:t>
      </w:r>
      <w:bookmarkEnd w:id="152"/>
      <w:bookmarkEnd w:id="153"/>
      <w:bookmarkEnd w:id="154"/>
      <w:bookmarkEnd w:id="155"/>
      <w:bookmarkEnd w:id="156"/>
      <w:bookmarkEnd w:id="157"/>
      <w:bookmarkEnd w:id="158"/>
    </w:p>
    <w:p w14:paraId="3AE170E4">
      <w:pPr>
        <w:widowControl/>
        <w:adjustRightInd w:val="0"/>
        <w:snapToGrid w:val="0"/>
        <w:spacing w:line="360" w:lineRule="auto"/>
        <w:ind w:firstLine="560" w:firstLineChars="200"/>
        <w:rPr>
          <w:rFonts w:hint="default" w:ascii="Times New Roman" w:hAnsi="Times New Roman" w:eastAsia="宋体" w:cs="Times New Roman"/>
          <w:sz w:val="28"/>
          <w:szCs w:val="28"/>
        </w:rPr>
      </w:pPr>
      <w:bookmarkStart w:id="159" w:name="_Hlk33290702"/>
      <w:r>
        <w:rPr>
          <w:rFonts w:hint="default" w:ascii="Times New Roman" w:hAnsi="Times New Roman" w:eastAsia="宋体" w:cs="Times New Roman"/>
          <w:sz w:val="28"/>
          <w:szCs w:val="28"/>
        </w:rPr>
        <w:t>矿区位于巧家县城81°方向，直线距约40.7km处，行政区划隶巧家县老店镇老店村委员会</w:t>
      </w:r>
      <w:r>
        <w:rPr>
          <w:rFonts w:hint="default" w:ascii="Times New Roman" w:hAnsi="Times New Roman" w:eastAsia="宋体" w:cs="Times New Roman"/>
          <w:sz w:val="28"/>
          <w:szCs w:val="28"/>
          <w:lang w:val="en-US" w:eastAsia="zh-CN"/>
        </w:rPr>
        <w:t>地区</w:t>
      </w:r>
      <w:r>
        <w:rPr>
          <w:rFonts w:hint="default" w:ascii="Times New Roman" w:hAnsi="Times New Roman" w:eastAsia="宋体" w:cs="Times New Roman"/>
          <w:sz w:val="28"/>
          <w:szCs w:val="28"/>
        </w:rPr>
        <w:t>，地理位置：东经103°16′08.893″～103°16′19.936″，北纬26°56′52.959″～26°56′58.679″。昭巧公路从矿区南部通过，矿区距县城约86km，巧家县城距市政府所在地昭通约163km，距省会昆明约265km，交通较方便。通信网有中国电信、中国移动、中国联通及中国网通。交通、通信较为方便</w:t>
      </w:r>
      <w:bookmarkEnd w:id="159"/>
      <w:r>
        <w:rPr>
          <w:rFonts w:hint="default" w:ascii="Times New Roman" w:hAnsi="Times New Roman" w:eastAsia="宋体" w:cs="Times New Roman"/>
          <w:sz w:val="28"/>
          <w:szCs w:val="28"/>
        </w:rPr>
        <w:t>。</w:t>
      </w:r>
    </w:p>
    <w:p w14:paraId="35B837A1">
      <w:pPr>
        <w:pStyle w:val="4"/>
        <w:adjustRightInd w:val="0"/>
        <w:snapToGrid w:val="0"/>
        <w:spacing w:before="0" w:after="0" w:line="360" w:lineRule="auto"/>
        <w:rPr>
          <w:rFonts w:hint="default" w:ascii="Times New Roman" w:hAnsi="Times New Roman" w:eastAsia="宋体" w:cs="Times New Roman"/>
          <w:sz w:val="28"/>
          <w:szCs w:val="28"/>
        </w:rPr>
      </w:pPr>
      <w:bookmarkStart w:id="160" w:name="_Toc970"/>
      <w:bookmarkStart w:id="161" w:name="_Toc5766"/>
      <w:bookmarkStart w:id="162" w:name="_Toc16522"/>
      <w:bookmarkStart w:id="163" w:name="_Hlk33121561"/>
      <w:r>
        <w:rPr>
          <w:rFonts w:hint="default" w:ascii="Times New Roman" w:hAnsi="Times New Roman" w:eastAsia="宋体" w:cs="Times New Roman"/>
          <w:sz w:val="28"/>
          <w:szCs w:val="28"/>
        </w:rPr>
        <w:t>2.1.3矿山周边情况</w:t>
      </w:r>
      <w:bookmarkEnd w:id="160"/>
      <w:bookmarkEnd w:id="161"/>
      <w:bookmarkEnd w:id="162"/>
    </w:p>
    <w:p w14:paraId="6C6834BD">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1.临时工棚：位于矿区西南矿1拐点处，距离露天开采境界90m，位于爆破警戒范围之内。此处为工人临时休息场所，爆破时，人员全部撤至爆破警戒范围之外，待爆破完成解除警戒后方可返回，爆破影响可控。</w:t>
      </w:r>
    </w:p>
    <w:p w14:paraId="0BEA5BB9">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2.破碎站及工业场地：位于矿区西南侧矿1拐点处，距离露天开采境界85m，满足《小型露天采石场安全管理与监督检查规定》（安全监管总局令第39号）的要求，但位于爆破警戒范围之内。爆破时，人员全部撤至爆破警戒范围之外，待爆破完成解除警戒后方可返回，爆破影响可控。</w:t>
      </w:r>
    </w:p>
    <w:p w14:paraId="212C6C13">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3.民房：矿区南、东、北三面有民房存在。其中，南侧民房距离开采境界280m位于爆破警戒范围之内，矿山已经签订租用协议；东侧民房距离开采境界349m位于爆破警戒范围之外，无相互影响；北侧民房距离开采境界212m位于爆破警戒范围之内，矿山已经签订租用协议；开采时确保周边300m范围内民房无人员居住，控制爆破指向西侧，安全风险可控。南、北面民房补充了租赁协议，</w:t>
      </w:r>
      <w:r>
        <w:rPr>
          <w:rFonts w:hint="default" w:ascii="Times New Roman" w:hAnsi="Times New Roman" w:eastAsia="宋体" w:cs="Times New Roman"/>
          <w:sz w:val="28"/>
          <w:lang w:val="en-US" w:eastAsia="zh-CN"/>
        </w:rPr>
        <w:t>租赁协议</w:t>
      </w:r>
      <w:r>
        <w:rPr>
          <w:rFonts w:hint="default" w:ascii="Times New Roman" w:hAnsi="Times New Roman" w:eastAsia="宋体" w:cs="Times New Roman"/>
          <w:sz w:val="28"/>
        </w:rPr>
        <w:t>详见附件。</w:t>
      </w:r>
    </w:p>
    <w:p w14:paraId="35D5456B">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4.乡道：位于矿区南侧，距离露天开采境界63m，满足《公路安全保护条例》第十七条</w:t>
      </w:r>
      <w:r>
        <w:rPr>
          <w:rFonts w:hint="default" w:ascii="Times New Roman" w:hAnsi="Times New Roman" w:eastAsia="宋体" w:cs="Times New Roman"/>
          <w:sz w:val="28"/>
          <w:lang w:eastAsia="zh-CN"/>
        </w:rPr>
        <w:t>：</w:t>
      </w:r>
      <w:r>
        <w:rPr>
          <w:rFonts w:hint="default" w:ascii="Times New Roman" w:hAnsi="Times New Roman" w:eastAsia="宋体" w:cs="Times New Roman"/>
          <w:sz w:val="28"/>
        </w:rPr>
        <w:t>乡道的公路用地外缘起向外50米禁止从事采矿、采石、取土、爆破作业等活动的要求。但位于爆破警戒范围之内，矿山爆破时，应在乡道爆破境界范围之外设卡，禁止车辆驶入爆破境界范围之内，待爆破结束接触警戒，方可通行，爆破影响可控。</w:t>
      </w:r>
    </w:p>
    <w:p w14:paraId="098B4A0A">
      <w:pPr>
        <w:adjustRightInd w:val="0"/>
        <w:snapToGrid w:val="0"/>
        <w:spacing w:line="360" w:lineRule="auto"/>
        <w:ind w:firstLine="560" w:firstLineChars="200"/>
        <w:rPr>
          <w:rFonts w:hint="default" w:ascii="Times New Roman" w:hAnsi="Times New Roman" w:eastAsia="宋体" w:cs="Times New Roman"/>
          <w:sz w:val="28"/>
        </w:rPr>
      </w:pPr>
      <w:r>
        <w:rPr>
          <w:rFonts w:hint="default" w:ascii="Times New Roman" w:hAnsi="Times New Roman" w:eastAsia="宋体" w:cs="Times New Roman"/>
          <w:sz w:val="28"/>
        </w:rPr>
        <w:t>5.35KV高压线：位于矿区西南侧，距离露天开采境界354m，根据《云南省电力设施保护条例》第十八条</w:t>
      </w:r>
      <w:r>
        <w:rPr>
          <w:rFonts w:hint="default" w:ascii="Times New Roman" w:hAnsi="Times New Roman" w:eastAsia="宋体" w:cs="Times New Roman"/>
          <w:sz w:val="28"/>
          <w:lang w:eastAsia="zh-CN"/>
        </w:rPr>
        <w:t>：</w:t>
      </w:r>
      <w:r>
        <w:rPr>
          <w:rFonts w:hint="default" w:ascii="Times New Roman" w:hAnsi="Times New Roman" w:eastAsia="宋体" w:cs="Times New Roman"/>
          <w:sz w:val="28"/>
        </w:rPr>
        <w:t>任何单位和个人在距电力设施外围水平距离500米范围内进行爆破作业的，应当征得电力设施产权人的同意，矿山已经取得昭通供电局同意（详见附件），高压线200m范围外允许爆破，高压线距离露天开采境界354m，位于爆破警戒范围之外，无爆破影响。</w:t>
      </w:r>
    </w:p>
    <w:bookmarkEnd w:id="163"/>
    <w:p w14:paraId="0EAA30DA">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164" w:name="_Toc22263"/>
      <w:bookmarkStart w:id="165" w:name="_Toc26733"/>
      <w:bookmarkStart w:id="166" w:name="_Toc25091"/>
      <w:bookmarkStart w:id="167" w:name="_Toc19198"/>
      <w:bookmarkStart w:id="168" w:name="_Toc23322"/>
      <w:bookmarkStart w:id="169" w:name="_Toc28709"/>
      <w:r>
        <w:rPr>
          <w:rFonts w:hint="default" w:ascii="Times New Roman" w:hAnsi="Times New Roman" w:eastAsia="宋体" w:cs="Times New Roman"/>
          <w:sz w:val="30"/>
          <w:szCs w:val="30"/>
        </w:rPr>
        <w:t>2.2自然环境概况</w:t>
      </w:r>
      <w:bookmarkEnd w:id="164"/>
      <w:bookmarkEnd w:id="165"/>
      <w:bookmarkEnd w:id="166"/>
      <w:bookmarkEnd w:id="167"/>
      <w:bookmarkEnd w:id="168"/>
      <w:bookmarkEnd w:id="169"/>
    </w:p>
    <w:p w14:paraId="7E078ED9">
      <w:pPr>
        <w:adjustRightInd w:val="0"/>
        <w:snapToGrid w:val="0"/>
        <w:spacing w:line="360" w:lineRule="auto"/>
        <w:ind w:firstLine="560" w:firstLineChars="200"/>
        <w:jc w:val="left"/>
        <w:rPr>
          <w:rFonts w:hint="default" w:ascii="Times New Roman" w:hAnsi="Times New Roman" w:eastAsia="宋体" w:cs="Times New Roman"/>
          <w:sz w:val="28"/>
          <w:szCs w:val="28"/>
        </w:rPr>
      </w:pPr>
      <w:bookmarkStart w:id="170" w:name="_Toc16238673"/>
      <w:bookmarkStart w:id="171" w:name="_Toc18210"/>
      <w:bookmarkStart w:id="172" w:name="_Toc293408510"/>
      <w:r>
        <w:rPr>
          <w:rFonts w:hint="default" w:ascii="Times New Roman" w:hAnsi="Times New Roman" w:eastAsia="宋体" w:cs="Times New Roman"/>
          <w:sz w:val="28"/>
          <w:szCs w:val="28"/>
        </w:rPr>
        <w:t>（1）地形地貌</w:t>
      </w:r>
    </w:p>
    <w:p w14:paraId="1765901A">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属高原中山侵蚀、溶蚀地貌，区域北部地势总体北西部高、南东部低，地形最高点位于矿区外围北西部山脊，海拔2365m、最低点位于矿区外围南东部沟谷1790m；区域南部地势总体西部高、东部低，地形最高点位于矿区外围西部山脊，海拔2390m、最低点位于矿区外围南东部沟谷1790m。地形坡度一般26°～36°，局部较陡或较缓。植被较发育，以灌木、乔木、杂草为主。地形地貌条件中等。</w:t>
      </w:r>
    </w:p>
    <w:p w14:paraId="702C7636">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（2）气象</w:t>
      </w:r>
    </w:p>
    <w:p w14:paraId="14D09170">
      <w:pPr>
        <w:pStyle w:val="62"/>
        <w:snapToGrid w:val="0"/>
        <w:spacing w:line="360" w:lineRule="auto"/>
        <w:ind w:firstLine="560" w:firstLineChars="200"/>
        <w:rPr>
          <w:rFonts w:hint="default" w:ascii="Times New Roman" w:hAnsi="Times New Roman" w:eastAsia="宋体" w:cs="Times New Roman"/>
          <w:color w:val="auto"/>
        </w:rPr>
      </w:pPr>
      <w:r>
        <w:rPr>
          <w:rFonts w:hint="default" w:ascii="Times New Roman" w:hAnsi="Times New Roman" w:eastAsia="宋体" w:cs="Times New Roman"/>
          <w:color w:val="auto"/>
          <w:kern w:val="2"/>
          <w:sz w:val="28"/>
          <w:szCs w:val="28"/>
        </w:rPr>
        <w:t>矿区属亚热带高原山地季风气候，年平均气温12.5℃，极端最高气温32℃，极端最低气温－13℃。年平均降雨量1080.00mm，日最大降雨量155mm，5～10月为雨季，降雨量占全年降雨量的80.4%；年平均相对湿度83%。冬季冰冻时间较长，每年11月至次年3月为冰冻期。主导风向为西北风。平均风速1.7m/s，最大风速17m/s。</w:t>
      </w:r>
    </w:p>
    <w:p w14:paraId="46DB38A5">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（3）水文</w:t>
      </w:r>
    </w:p>
    <w:p w14:paraId="13AD8CA8">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地表水系不发育。矿区（开采区）位于当地侵蚀基准面（标高1790m）以上，地表坡形有利于大气降水的排泄，矿床充水主要为季节性大气降雨的下渗，开采范围内的大气降水大部分通过采场边坡及斜坡向矿区南部自然排泄，部分渗入地下成为地下水。矿区地表水系为金沙江支流牛栏江流域，属长江水系。</w:t>
      </w:r>
    </w:p>
    <w:p w14:paraId="1A3E72B6">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（4）地震烈度</w:t>
      </w:r>
    </w:p>
    <w:p w14:paraId="3F0880F0">
      <w:pPr>
        <w:pStyle w:val="62"/>
        <w:snapToGrid w:val="0"/>
        <w:spacing w:line="360" w:lineRule="auto"/>
        <w:ind w:firstLine="560" w:firstLineChars="200"/>
        <w:rPr>
          <w:rFonts w:hint="default" w:ascii="Times New Roman" w:hAnsi="Times New Roman" w:eastAsia="宋体" w:cs="Times New Roman"/>
          <w:color w:val="auto"/>
        </w:rPr>
      </w:pPr>
      <w:r>
        <w:rPr>
          <w:rFonts w:hint="default" w:ascii="Times New Roman" w:hAnsi="Times New Roman" w:eastAsia="宋体" w:cs="Times New Roman"/>
          <w:color w:val="auto"/>
          <w:kern w:val="2"/>
          <w:sz w:val="28"/>
          <w:szCs w:val="28"/>
        </w:rPr>
        <w:t>根据《中国地震动参数区划图》（GB18306-2015）和《建筑抗震设计规范》（GB 50011-2010[2016年版]），矿区当地为抗震设防烈度Ⅶ度区，地震动峰值加速度0.15g，地震动加速度反应谱特征周期0.45s，设计地震分组为第三组。</w:t>
      </w:r>
    </w:p>
    <w:p w14:paraId="7DDC4A2C">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173" w:name="_Toc2821"/>
      <w:bookmarkStart w:id="174" w:name="_Toc10431"/>
      <w:bookmarkStart w:id="175" w:name="_Toc7778"/>
      <w:bookmarkStart w:id="176" w:name="_Toc25343"/>
      <w:bookmarkStart w:id="177" w:name="_Toc29168"/>
      <w:bookmarkStart w:id="178" w:name="_Toc14567"/>
      <w:r>
        <w:rPr>
          <w:rFonts w:hint="default" w:ascii="Times New Roman" w:hAnsi="Times New Roman" w:eastAsia="宋体" w:cs="Times New Roman"/>
          <w:sz w:val="30"/>
          <w:szCs w:val="30"/>
        </w:rPr>
        <w:t>2.3建设项目地质概况</w:t>
      </w:r>
      <w:bookmarkEnd w:id="173"/>
      <w:bookmarkEnd w:id="174"/>
      <w:bookmarkEnd w:id="175"/>
      <w:bookmarkEnd w:id="176"/>
      <w:bookmarkEnd w:id="177"/>
      <w:bookmarkEnd w:id="178"/>
    </w:p>
    <w:p w14:paraId="16CFD4D1">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本评价报告的地质概况依据云南省巧家县老店镇独梨树采石场提供的《云南省巧家县老店镇独梨树采石场建筑石料用灰岩矿资源量核实报告（2023年）》（昭通德邦工程有限公司，2023年2月）进行叙述。</w:t>
      </w:r>
    </w:p>
    <w:bookmarkEnd w:id="170"/>
    <w:bookmarkEnd w:id="171"/>
    <w:bookmarkEnd w:id="172"/>
    <w:p w14:paraId="6FB1D714">
      <w:pPr>
        <w:pStyle w:val="4"/>
        <w:adjustRightInd w:val="0"/>
        <w:snapToGrid w:val="0"/>
        <w:spacing w:before="0" w:after="0" w:line="360" w:lineRule="auto"/>
        <w:rPr>
          <w:rFonts w:hint="default" w:ascii="Times New Roman" w:hAnsi="Times New Roman" w:eastAsia="宋体" w:cs="Times New Roman"/>
          <w:sz w:val="28"/>
          <w:szCs w:val="28"/>
        </w:rPr>
      </w:pPr>
      <w:bookmarkStart w:id="179" w:name="_Toc28877"/>
      <w:bookmarkStart w:id="180" w:name="_Toc13020"/>
      <w:bookmarkStart w:id="181" w:name="_Toc2275"/>
      <w:bookmarkStart w:id="182" w:name="_Toc4729"/>
      <w:bookmarkStart w:id="183" w:name="_Toc8063"/>
      <w:bookmarkStart w:id="184" w:name="_Toc242849748"/>
      <w:bookmarkStart w:id="185" w:name="_Toc226963138"/>
      <w:r>
        <w:rPr>
          <w:rFonts w:hint="default" w:ascii="Times New Roman" w:hAnsi="Times New Roman" w:eastAsia="宋体" w:cs="Times New Roman"/>
          <w:sz w:val="28"/>
          <w:szCs w:val="28"/>
        </w:rPr>
        <w:t>2.3.1矿区地质</w:t>
      </w:r>
      <w:bookmarkEnd w:id="179"/>
      <w:bookmarkEnd w:id="180"/>
      <w:bookmarkEnd w:id="181"/>
      <w:bookmarkEnd w:id="182"/>
      <w:bookmarkEnd w:id="183"/>
    </w:p>
    <w:p w14:paraId="280E90AC">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bookmarkStart w:id="186" w:name="_Toc270436482"/>
      <w:bookmarkStart w:id="187" w:name="_Toc270174174"/>
      <w:r>
        <w:rPr>
          <w:rFonts w:hint="default" w:ascii="Times New Roman" w:hAnsi="Times New Roman" w:eastAsia="宋体" w:cs="Times New Roman"/>
          <w:b w:val="0"/>
          <w:bCs w:val="0"/>
        </w:rPr>
        <w:t>2.3.1.1 矿区地质特征</w:t>
      </w:r>
    </w:p>
    <w:p w14:paraId="7C5CA32A">
      <w:pPr>
        <w:adjustRightInd w:val="0"/>
        <w:snapToGrid w:val="0"/>
        <w:spacing w:line="360" w:lineRule="auto"/>
        <w:ind w:firstLine="562" w:firstLineChars="20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一、矿区地层</w:t>
      </w:r>
    </w:p>
    <w:p w14:paraId="7B7E6CAA">
      <w:pPr>
        <w:adjustRightInd w:val="0"/>
        <w:snapToGrid w:val="0"/>
        <w:spacing w:line="360" w:lineRule="auto"/>
        <w:ind w:firstLine="560" w:firstLineChars="200"/>
        <w:rPr>
          <w:rFonts w:hint="default" w:ascii="Times New Roman" w:hAnsi="Times New Roman" w:eastAsia="宋体" w:cs="Times New Roman"/>
          <w:sz w:val="28"/>
          <w:szCs w:val="28"/>
        </w:rPr>
      </w:pPr>
      <w:bookmarkStart w:id="188" w:name="_Hlk127488688"/>
      <w:r>
        <w:rPr>
          <w:rFonts w:hint="default" w:ascii="Times New Roman" w:hAnsi="Times New Roman" w:eastAsia="宋体" w:cs="Times New Roman"/>
          <w:sz w:val="28"/>
          <w:szCs w:val="28"/>
        </w:rPr>
        <w:t>矿区主要出露地层为第四系残坡积层（Q</w:t>
      </w:r>
      <w:r>
        <w:rPr>
          <w:rFonts w:hint="default" w:ascii="Times New Roman" w:hAnsi="Times New Roman" w:eastAsia="宋体" w:cs="Times New Roman"/>
          <w:sz w:val="28"/>
          <w:szCs w:val="28"/>
          <w:vertAlign w:val="superscript"/>
        </w:rPr>
        <w:t>edl</w:t>
      </w:r>
      <w:r>
        <w:rPr>
          <w:rFonts w:hint="default" w:ascii="Times New Roman" w:hAnsi="Times New Roman" w:eastAsia="宋体" w:cs="Times New Roman"/>
          <w:sz w:val="28"/>
          <w:szCs w:val="28"/>
        </w:rPr>
        <w:t>)、二叠系中统栖霞组（P</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q)，现将各地层岩性由老至新分述如下：</w:t>
      </w:r>
    </w:p>
    <w:p w14:paraId="194825C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（1）二叠系中统栖霞组（P</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q)</w:t>
      </w:r>
    </w:p>
    <w:p w14:paraId="720018E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岩性为灰、浅灰夹深灰色灰岩，夹少量白云质灰岩。下部灰色－深灰色中厚层状含生物碎屑灰岩、隐晶灰岩，底部夹钙质泥岩及角砾状灰岩；上部为灰、深灰色中厚层、块状含生物碎屑灰岩、结晶灰岩，灰白色，细粒结构，块状构造，主要矿物成份为细晶方解石，约占90%左右，泥质、粉砂质少许，该灰岩质纯，坚硬，方解石脉较为发育，脉宽约2～10cm不等；分布在整个矿区，出露较好，厚度大于100m，产状：140°∠11°，与下伏地层呈整合接触。</w:t>
      </w:r>
    </w:p>
    <w:p w14:paraId="6137963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（2）第四系残坡积层（Q</w:t>
      </w:r>
      <w:r>
        <w:rPr>
          <w:rFonts w:hint="default" w:ascii="Times New Roman" w:hAnsi="Times New Roman" w:eastAsia="宋体" w:cs="Times New Roman"/>
          <w:sz w:val="28"/>
          <w:szCs w:val="28"/>
          <w:vertAlign w:val="superscript"/>
        </w:rPr>
        <w:t>edl</w:t>
      </w:r>
      <w:r>
        <w:rPr>
          <w:rFonts w:hint="default" w:ascii="Times New Roman" w:hAnsi="Times New Roman" w:eastAsia="宋体" w:cs="Times New Roman"/>
          <w:sz w:val="28"/>
          <w:szCs w:val="28"/>
        </w:rPr>
        <w:t>）：</w:t>
      </w:r>
    </w:p>
    <w:p w14:paraId="125E876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由棕红色、红黄色砂、砾、粉砂、粘土组成，厚度0～2m；主要分布于矿区裸露岩石间，与下伏地层均为不整合接触。</w:t>
      </w:r>
    </w:p>
    <w:bookmarkEnd w:id="188"/>
    <w:p w14:paraId="423B3073">
      <w:pPr>
        <w:adjustRightInd w:val="0"/>
        <w:snapToGrid w:val="0"/>
        <w:spacing w:line="360" w:lineRule="auto"/>
        <w:ind w:firstLine="562" w:firstLineChars="20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二、矿区构造</w:t>
      </w:r>
    </w:p>
    <w:p w14:paraId="0EC9EE1C">
      <w:pPr>
        <w:adjustRightInd w:val="0"/>
        <w:snapToGrid w:val="0"/>
        <w:spacing w:line="360" w:lineRule="auto"/>
        <w:ind w:firstLine="560" w:firstLineChars="200"/>
        <w:rPr>
          <w:rFonts w:hint="default" w:ascii="Times New Roman" w:hAnsi="Times New Roman" w:eastAsia="宋体" w:cs="Times New Roman"/>
          <w:bCs/>
          <w:sz w:val="28"/>
          <w:szCs w:val="28"/>
        </w:rPr>
      </w:pPr>
      <w:bookmarkStart w:id="189" w:name="_Toc202504115"/>
      <w:bookmarkStart w:id="190" w:name="_Toc333423441"/>
      <w:r>
        <w:rPr>
          <w:rFonts w:hint="default" w:ascii="Times New Roman" w:hAnsi="Times New Roman" w:eastAsia="宋体" w:cs="Times New Roman"/>
          <w:bCs/>
          <w:sz w:val="28"/>
          <w:szCs w:val="28"/>
        </w:rPr>
        <w:t>矿区地质构造简单，总体为一走向南西至北东，倾向近东南的单斜构造，灰岩地层产状：140°∠11°；矿区断裂不发育，但岩层节理裂隙较发育，岩石较破碎。矿区地质构造复杂程度为简单类型。</w:t>
      </w:r>
    </w:p>
    <w:bookmarkEnd w:id="189"/>
    <w:bookmarkEnd w:id="190"/>
    <w:p w14:paraId="67FE2EBA">
      <w:pPr>
        <w:adjustRightInd w:val="0"/>
        <w:snapToGrid w:val="0"/>
        <w:spacing w:line="360" w:lineRule="auto"/>
        <w:ind w:firstLine="562" w:firstLineChars="20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三、岩浆活动</w:t>
      </w:r>
    </w:p>
    <w:p w14:paraId="78C04F97">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矿区范围内未发现侵入岩体和喷发岩体，岩浆活动不发育。</w:t>
      </w:r>
    </w:p>
    <w:p w14:paraId="6101E50D">
      <w:pPr>
        <w:pStyle w:val="103"/>
        <w:ind w:firstLine="562"/>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四、围岩蚀变</w:t>
      </w:r>
    </w:p>
    <w:p w14:paraId="4DE668F1">
      <w:pPr>
        <w:pStyle w:val="103"/>
        <w:ind w:firstLine="560"/>
        <w:rPr>
          <w:rFonts w:hint="default" w:ascii="Times New Roman" w:hAnsi="Times New Roman" w:eastAsia="宋体" w:cs="Times New Roman"/>
        </w:rPr>
      </w:pPr>
      <w:r>
        <w:rPr>
          <w:rFonts w:hint="default" w:ascii="Times New Roman" w:hAnsi="Times New Roman" w:eastAsia="宋体" w:cs="Times New Roman"/>
          <w:sz w:val="28"/>
          <w:szCs w:val="28"/>
        </w:rPr>
        <w:t>区内变质作用主要受区域变质作用影响，区内围岩蚀变较弱。</w:t>
      </w:r>
    </w:p>
    <w:p w14:paraId="07B5AC07">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2.3.1.2 矿体特征</w:t>
      </w:r>
    </w:p>
    <w:p w14:paraId="076727EA">
      <w:pPr>
        <w:pStyle w:val="10"/>
        <w:adjustRightInd w:val="0"/>
        <w:snapToGrid w:val="0"/>
        <w:spacing w:after="0"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矿体为灰、浅灰夹深灰色中厚层状含生物碎屑灰岩。赋存于二叠系中统栖霞组（P</w:t>
      </w:r>
      <w:r>
        <w:rPr>
          <w:rFonts w:hint="default" w:ascii="Times New Roman" w:hAnsi="Times New Roman" w:eastAsia="宋体" w:cs="Times New Roman"/>
          <w:snapToGrid w:val="0"/>
          <w:kern w:val="0"/>
          <w:sz w:val="28"/>
          <w:szCs w:val="28"/>
          <w:vertAlign w:val="subscript"/>
        </w:rPr>
        <w:t>2</w:t>
      </w:r>
      <w:r>
        <w:rPr>
          <w:rFonts w:hint="default" w:ascii="Times New Roman" w:hAnsi="Times New Roman" w:eastAsia="宋体" w:cs="Times New Roman"/>
          <w:snapToGrid w:val="0"/>
          <w:kern w:val="0"/>
          <w:sz w:val="28"/>
          <w:szCs w:val="28"/>
        </w:rPr>
        <w:t>q）灰岩地层中，严格受层位控制，岩相和岩性控制着矿体的厚度变化和矿石品质。矿区范围内矿体地表分布形态圈定呈不规则图形，出露标高2218～2080m，相对高差138m。矿体沿东西向展布，东西长约275m，南北宽110m。</w:t>
      </w:r>
    </w:p>
    <w:p w14:paraId="2D6DB6C6">
      <w:pPr>
        <w:pStyle w:val="10"/>
        <w:adjustRightInd w:val="0"/>
        <w:snapToGrid w:val="0"/>
        <w:spacing w:after="0"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矿体及围岩均为灰岩，矿区矿床类型为浅海相碳酸盐岩沉积型层状灰岩矿床，结构致密，质地均匀，力学强度高，为良好的工业与民用建筑材料，区内矿体呈块状产出，节理发育，矿体厚度＞100m；矿体中未见夹石分布，矿体属厚度大，层位稳定、分布广泛的灰岩矿床。</w:t>
      </w:r>
    </w:p>
    <w:p w14:paraId="1E8B2ED6">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2.3.1.3 矿石质量</w:t>
      </w:r>
    </w:p>
    <w:p w14:paraId="67188118">
      <w:pPr>
        <w:adjustRightInd w:val="0"/>
        <w:snapToGrid w:val="0"/>
        <w:spacing w:line="360" w:lineRule="auto"/>
        <w:ind w:firstLine="422" w:firstLineChars="150"/>
        <w:rPr>
          <w:rFonts w:hint="default" w:ascii="Times New Roman" w:hAnsi="Times New Roman" w:eastAsia="宋体" w:cs="Times New Roman"/>
          <w:b/>
          <w:sz w:val="28"/>
          <w:szCs w:val="28"/>
        </w:rPr>
      </w:pPr>
      <w:bookmarkStart w:id="191" w:name="_Toc81341053"/>
      <w:bookmarkStart w:id="192" w:name="_Hlk127488761"/>
      <w:r>
        <w:rPr>
          <w:rFonts w:hint="default" w:ascii="Times New Roman" w:hAnsi="Times New Roman" w:eastAsia="宋体" w:cs="Times New Roman"/>
          <w:b/>
          <w:sz w:val="28"/>
          <w:szCs w:val="28"/>
        </w:rPr>
        <w:t>一、矿石物质组成</w:t>
      </w:r>
    </w:p>
    <w:p w14:paraId="33121D76">
      <w:pPr>
        <w:adjustRightInd w:val="0"/>
        <w:snapToGrid w:val="0"/>
        <w:spacing w:line="360" w:lineRule="auto"/>
        <w:ind w:firstLine="562" w:firstLineChars="200"/>
        <w:rPr>
          <w:rFonts w:hint="default" w:ascii="Times New Roman" w:hAnsi="Times New Roman" w:eastAsia="宋体" w:cs="Times New Roman"/>
          <w:b/>
          <w:bCs/>
          <w:sz w:val="28"/>
          <w:szCs w:val="28"/>
        </w:rPr>
      </w:pPr>
      <w:bookmarkStart w:id="193" w:name="_Toc428633733"/>
      <w:r>
        <w:rPr>
          <w:rFonts w:hint="default" w:ascii="Times New Roman" w:hAnsi="Times New Roman" w:eastAsia="宋体" w:cs="Times New Roman"/>
          <w:b/>
          <w:bCs/>
          <w:sz w:val="28"/>
          <w:szCs w:val="28"/>
        </w:rPr>
        <w:t>1、</w:t>
      </w:r>
      <w:bookmarkEnd w:id="193"/>
      <w:r>
        <w:rPr>
          <w:rFonts w:hint="default" w:ascii="Times New Roman" w:hAnsi="Times New Roman" w:eastAsia="宋体" w:cs="Times New Roman"/>
          <w:b/>
          <w:bCs/>
          <w:sz w:val="28"/>
          <w:szCs w:val="28"/>
        </w:rPr>
        <w:t>矿石矿物</w:t>
      </w:r>
    </w:p>
    <w:bookmarkEnd w:id="191"/>
    <w:p w14:paraId="38FA3DF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采集3件岩矿鉴定（含岩相碱活性）样经采样送云南省地质矿产勘查开发局中心实验室（国土资源部昆明矿产资源监督检测中心）测试。测试结果分别为灰色亮晶生物碎屑灰岩、灰色亮晶生物碎屑灰岩、灰色泥微晶生物碎屑灰岩，且均不存在潜在的碱活性。</w:t>
      </w:r>
    </w:p>
    <w:p w14:paraId="1A54BAF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采集3件小体重样经采样送中国建筑材料工业地质勘查中心云南总队测试中心检测，矿石体重为2.69t/m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、2.69t/m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、2.70t/m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，平均为2.69t/m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w:t>
      </w:r>
    </w:p>
    <w:p w14:paraId="734394C7">
      <w:pPr>
        <w:adjustRightInd w:val="0"/>
        <w:snapToGrid w:val="0"/>
        <w:spacing w:line="360" w:lineRule="auto"/>
        <w:ind w:firstLine="562" w:firstLineChars="20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2、矿石结构及构造</w:t>
      </w:r>
    </w:p>
    <w:p w14:paraId="69293677">
      <w:pPr>
        <w:pStyle w:val="10"/>
        <w:adjustRightInd w:val="0"/>
        <w:snapToGrid w:val="0"/>
        <w:spacing w:after="0"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物成分主要为方解石（碳酸钙），含微量铁泥质物、金属矿物等。矿石主要由粒屑和填隙物等分布组成。粒屑主要生物碎屑和少数内碎屑（砂屑）等组成。生物碎屑成分由泥微晶和重结晶方解石组成，部分内部结构较模糊，不均匀分布。砂屑呈次圆状，成分由泥微晶方解石组成，不均匀分布。亮晶方解石呈它形粒状，不均匀胶结粒屑。隐晶质铁泥质不均匀充填并浸染于方解石表面。金属矿物呈它形粒状，零星分布。矿石主要用作建筑石料。</w:t>
      </w:r>
    </w:p>
    <w:p w14:paraId="4A6B6D0E">
      <w:pPr>
        <w:adjustRightInd w:val="0"/>
        <w:snapToGrid w:val="0"/>
        <w:spacing w:line="360" w:lineRule="auto"/>
        <w:ind w:firstLine="562" w:firstLineChars="20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二、矿石化学成分</w:t>
      </w:r>
    </w:p>
    <w:p w14:paraId="4CF7C1F3">
      <w:pPr>
        <w:pStyle w:val="10"/>
        <w:adjustRightInd w:val="0"/>
        <w:snapToGrid w:val="0"/>
        <w:spacing w:after="0"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采集1件化学分析样由中国建筑材料工业地质勘查中心云南总队测试中心化验，矿石中主要化学成分有：CaO(55.48%)、MgO(0.40%)、Si0</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(0.54%)、Al</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0</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(0.020%)、K</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0(0.0042%)、Na</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0(0.017%)、Fe</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O</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(0.039%)、SO</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(0.075%)、Cl-(0.0058%)、灼烧失量（43.49%)、P</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0</w:t>
      </w:r>
      <w:r>
        <w:rPr>
          <w:rFonts w:hint="default" w:ascii="Times New Roman" w:hAnsi="Times New Roman" w:eastAsia="宋体" w:cs="Times New Roman"/>
          <w:sz w:val="28"/>
          <w:szCs w:val="28"/>
          <w:vertAlign w:val="subscript"/>
        </w:rPr>
        <w:t>5</w:t>
      </w:r>
      <w:r>
        <w:rPr>
          <w:rFonts w:hint="default" w:ascii="Times New Roman" w:hAnsi="Times New Roman" w:eastAsia="宋体" w:cs="Times New Roman"/>
          <w:sz w:val="28"/>
          <w:szCs w:val="28"/>
        </w:rPr>
        <w:t>(0.021%)、Ti0</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(0.0088%)。</w:t>
      </w:r>
    </w:p>
    <w:p w14:paraId="4BAAAF72">
      <w:pPr>
        <w:adjustRightInd w:val="0"/>
        <w:snapToGrid w:val="0"/>
        <w:spacing w:line="360" w:lineRule="auto"/>
        <w:ind w:firstLine="562" w:firstLineChars="20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三、矿石的物理力学特征</w:t>
      </w:r>
    </w:p>
    <w:p w14:paraId="0AB0692F">
      <w:pPr>
        <w:pStyle w:val="10"/>
        <w:adjustRightInd w:val="0"/>
        <w:snapToGrid w:val="0"/>
        <w:spacing w:after="0"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采集3件物理力学（抗压强度）样由中国建筑材料工业地质勘查中心云南总队测试中心测试，根据本次取样化验成果可知，饱和抗压强度分别为82.5MPa、56.9MPa、37.0MPa，平均为58.78MPa，大于30MPa。为良好的建筑石料。</w:t>
      </w:r>
    </w:p>
    <w:p w14:paraId="30764DC7">
      <w:pPr>
        <w:pStyle w:val="10"/>
        <w:adjustRightInd w:val="0"/>
        <w:snapToGrid w:val="0"/>
        <w:spacing w:after="0" w:line="360" w:lineRule="auto"/>
        <w:ind w:firstLine="562" w:firstLineChars="200"/>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四、矿石放射性分析</w:t>
      </w:r>
    </w:p>
    <w:p w14:paraId="7FE169F5">
      <w:pPr>
        <w:pStyle w:val="10"/>
        <w:adjustRightInd w:val="0"/>
        <w:snapToGrid w:val="0"/>
        <w:spacing w:after="0"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取3组放射性分析样。由中国建筑材料工业地质勘查中心云南总队测试中心进行检测，检测结果内照射指数（IRa）为0.2、0.2、0.1，外照射指数（Ir）为0.1、0.1、0.0。未超过《建筑材料放射性核素限量》(GB/6566-2010）内照射指数（IRa）≤1.0、外照射指数（Ir）≤1.0的标准。</w:t>
      </w:r>
    </w:p>
    <w:p w14:paraId="152C2506">
      <w:pPr>
        <w:pStyle w:val="10"/>
        <w:adjustRightInd w:val="0"/>
        <w:snapToGrid w:val="0"/>
        <w:spacing w:after="0" w:line="360" w:lineRule="auto"/>
        <w:ind w:firstLine="562" w:firstLineChars="200"/>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五、物理性能样</w:t>
      </w:r>
    </w:p>
    <w:p w14:paraId="3BC551ED">
      <w:pPr>
        <w:pStyle w:val="10"/>
        <w:adjustRightInd w:val="0"/>
        <w:snapToGrid w:val="0"/>
        <w:spacing w:after="0"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取1件表观密度及吸水率样、1件坚固性样、1件压碎指标、3件硫化物和硫酸盐含量样送云南省地质矿产勘查开发局中心实验室（国土资源部昆明矿产资源监督检测中心）测试，根据本次取样化验成果可知，表观密度检测结果为2740kg/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，大于2600kg/m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单项结果判定为合格，吸水率0.11%；坚固性检测结果为0%，≤5%，单项结果判定为符合I类，压碎指标检测结果为9%，≤10%，单项结果判定为符合I类，硫化物和硫酸盐含量检测结果分别为0.0%、0.1%、0.0%，≤0.5%，单项结果均判定为符合I类。综上，该碎石所检项目符合GB/T 14685-2022《建设用卵石、碎石》中的技术要求。</w:t>
      </w:r>
    </w:p>
    <w:p w14:paraId="1A54F967">
      <w:pPr>
        <w:pStyle w:val="10"/>
        <w:adjustRightInd w:val="0"/>
        <w:snapToGrid w:val="0"/>
        <w:spacing w:after="0" w:line="360" w:lineRule="auto"/>
        <w:ind w:firstLine="562" w:firstLineChars="200"/>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六、矿石风（氧）化特征</w:t>
      </w:r>
    </w:p>
    <w:p w14:paraId="7ECD2FE9">
      <w:pPr>
        <w:pStyle w:val="10"/>
        <w:adjustRightInd w:val="0"/>
        <w:snapToGrid w:val="0"/>
        <w:spacing w:after="0"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矿石经物理力学样测试，单轴抗压强度37.0-82.5Mpa，平均58.8Mpa，矿石硬度较坚硬。矿物成分主要为方解石（碳酸钙），含微量铁泥质物、金属矿物等。矿石主要由粒屑和填隙物等分布组成。粒屑主要生物碎屑和少数内碎屑（砂屑）等组成。生物碎屑成分由泥微晶和重结晶方解石组成，部分内部结构较模糊，不均匀分布。砂屑呈次圆状，成分由泥微晶方解石组成，不均匀分布。亮晶方解石呈它形粒状，不均匀胶结粒屑。隐晶质铁泥质不均匀充填并浸染于方解石表面。地表见有小规模的沟、槽，未见溶洞。从深部矿石看，无明显的氧化特征；地表露头地质点观察，仅见矿石表面具有一定溶蚀现象，但对其强度影响不大。</w:t>
      </w:r>
    </w:p>
    <w:p w14:paraId="1D8A1E46">
      <w:pPr>
        <w:keepNext/>
        <w:keepLines/>
        <w:adjustRightInd w:val="0"/>
        <w:snapToGrid w:val="0"/>
        <w:spacing w:line="360" w:lineRule="auto"/>
        <w:ind w:firstLine="560" w:firstLineChars="200"/>
        <w:outlineLvl w:val="3"/>
        <w:rPr>
          <w:rFonts w:hint="default" w:ascii="Times New Roman" w:hAnsi="Times New Roman" w:eastAsia="宋体" w:cs="Times New Roman"/>
          <w:b/>
          <w:sz w:val="28"/>
          <w:szCs w:val="28"/>
        </w:rPr>
      </w:pPr>
      <w:r>
        <w:rPr>
          <w:rFonts w:hint="default" w:ascii="Times New Roman" w:hAnsi="Times New Roman" w:eastAsia="宋体" w:cs="Times New Roman"/>
          <w:sz w:val="28"/>
          <w:szCs w:val="28"/>
        </w:rPr>
        <w:t>2.3.1.4 矿石类型及品级</w:t>
      </w:r>
    </w:p>
    <w:p w14:paraId="1E9B1DAD">
      <w:pPr>
        <w:adjustRightInd w:val="0"/>
        <w:snapToGrid w:val="0"/>
        <w:spacing w:line="360" w:lineRule="auto"/>
        <w:ind w:firstLine="560" w:firstLineChars="200"/>
        <w:rPr>
          <w:rFonts w:hint="default" w:ascii="Times New Roman" w:hAnsi="Times New Roman" w:eastAsia="宋体" w:cs="Times New Roman"/>
          <w:b/>
          <w:sz w:val="28"/>
          <w:szCs w:val="28"/>
        </w:rPr>
      </w:pPr>
      <w:r>
        <w:rPr>
          <w:rFonts w:hint="default" w:ascii="Times New Roman" w:hAnsi="Times New Roman" w:eastAsia="宋体" w:cs="Times New Roman"/>
          <w:sz w:val="28"/>
          <w:szCs w:val="28"/>
        </w:rPr>
        <w:t>本矿区主要为石灰岩矿，矿石工业类型属普通建筑材料用灰岩矿；矿石组分单一，矿石风化程度弱，结构致密，质地均匀，力学强度较高，为较好的建筑石料用灰岩矿，综合确定矿石品级为Ⅲ级。</w:t>
      </w:r>
    </w:p>
    <w:p w14:paraId="4115F84E">
      <w:pPr>
        <w:keepNext/>
        <w:keepLines/>
        <w:adjustRightInd w:val="0"/>
        <w:snapToGrid w:val="0"/>
        <w:spacing w:line="360" w:lineRule="auto"/>
        <w:ind w:firstLine="560" w:firstLineChars="200"/>
        <w:outlineLvl w:val="3"/>
        <w:rPr>
          <w:rFonts w:hint="default" w:ascii="Times New Roman" w:hAnsi="Times New Roman" w:eastAsia="宋体" w:cs="Times New Roman"/>
          <w:b/>
          <w:sz w:val="28"/>
          <w:szCs w:val="28"/>
        </w:rPr>
      </w:pPr>
      <w:r>
        <w:rPr>
          <w:rFonts w:hint="default" w:ascii="Times New Roman" w:hAnsi="Times New Roman" w:eastAsia="宋体" w:cs="Times New Roman"/>
          <w:sz w:val="28"/>
          <w:szCs w:val="28"/>
        </w:rPr>
        <w:t>2.3.1.4 矿体围岩及夹石</w:t>
      </w:r>
    </w:p>
    <w:bookmarkEnd w:id="192"/>
    <w:p w14:paraId="4446FFC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矿区所采栖霞组（P</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q）灰岩较厚，其围岩为栖霞组（P</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q）灰岩。矿区范围内矿体上覆第四系浮土，厚度0～2m。矿体基本无夹石。</w:t>
      </w:r>
    </w:p>
    <w:p w14:paraId="037CAF8E">
      <w:pPr>
        <w:keepNext/>
        <w:keepLines/>
        <w:adjustRightInd w:val="0"/>
        <w:snapToGrid w:val="0"/>
        <w:spacing w:line="360" w:lineRule="auto"/>
        <w:ind w:firstLine="560" w:firstLineChars="200"/>
        <w:outlineLvl w:val="3"/>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2.3.1.5 矿床共（伴）生矿产</w:t>
      </w:r>
    </w:p>
    <w:p w14:paraId="4CFD9C8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裂隙中虽共伴生有方解石矿，但达不到工业矿产规模。</w:t>
      </w:r>
    </w:p>
    <w:bookmarkEnd w:id="186"/>
    <w:bookmarkEnd w:id="187"/>
    <w:p w14:paraId="0D960315">
      <w:pPr>
        <w:pStyle w:val="4"/>
        <w:adjustRightInd w:val="0"/>
        <w:snapToGrid w:val="0"/>
        <w:spacing w:before="0" w:after="0" w:line="360" w:lineRule="auto"/>
        <w:rPr>
          <w:rFonts w:hint="default" w:ascii="Times New Roman" w:hAnsi="Times New Roman" w:eastAsia="宋体" w:cs="Times New Roman"/>
          <w:sz w:val="28"/>
          <w:szCs w:val="28"/>
        </w:rPr>
      </w:pPr>
      <w:bookmarkStart w:id="194" w:name="_Toc42224894"/>
      <w:bookmarkStart w:id="195" w:name="_Toc23999"/>
      <w:bookmarkStart w:id="196" w:name="_Toc25290"/>
      <w:bookmarkStart w:id="197" w:name="_Toc4021"/>
      <w:bookmarkStart w:id="198" w:name="_Toc16239"/>
      <w:bookmarkStart w:id="199" w:name="_Toc20881"/>
      <w:bookmarkStart w:id="200" w:name="_Toc4182"/>
      <w:bookmarkStart w:id="201" w:name="_Toc119997766"/>
      <w:bookmarkStart w:id="202" w:name="_Toc19308"/>
      <w:bookmarkStart w:id="203" w:name="_Toc357"/>
      <w:bookmarkStart w:id="204" w:name="_Toc28083"/>
      <w:r>
        <w:rPr>
          <w:rFonts w:hint="default" w:ascii="Times New Roman" w:hAnsi="Times New Roman" w:eastAsia="宋体" w:cs="Times New Roman"/>
          <w:sz w:val="28"/>
          <w:szCs w:val="28"/>
        </w:rPr>
        <w:t>2.3.2 开采技术条件</w:t>
      </w:r>
      <w:bookmarkEnd w:id="194"/>
      <w:bookmarkEnd w:id="195"/>
      <w:bookmarkEnd w:id="196"/>
      <w:bookmarkEnd w:id="197"/>
      <w:bookmarkEnd w:id="198"/>
      <w:bookmarkEnd w:id="199"/>
    </w:p>
    <w:p w14:paraId="043FC50B">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2.3.2.1水文地质条件</w:t>
      </w:r>
      <w:bookmarkEnd w:id="200"/>
      <w:bookmarkEnd w:id="201"/>
      <w:bookmarkEnd w:id="202"/>
      <w:bookmarkEnd w:id="203"/>
      <w:bookmarkEnd w:id="204"/>
    </w:p>
    <w:p w14:paraId="343B13A9">
      <w:pPr>
        <w:adjustRightInd w:val="0"/>
        <w:snapToGrid w:val="0"/>
        <w:spacing w:line="360" w:lineRule="auto"/>
        <w:ind w:firstLine="562" w:firstLineChars="200"/>
        <w:rPr>
          <w:rFonts w:hint="default" w:ascii="Times New Roman" w:hAnsi="Times New Roman" w:eastAsia="宋体" w:cs="Times New Roman"/>
          <w:b/>
          <w:sz w:val="28"/>
          <w:szCs w:val="28"/>
        </w:rPr>
      </w:pPr>
      <w:bookmarkStart w:id="205" w:name="_Toc293777993"/>
      <w:bookmarkStart w:id="206" w:name="_Toc278307475"/>
      <w:bookmarkStart w:id="207" w:name="_Hlk127488812"/>
      <w:bookmarkStart w:id="208" w:name="_Toc191786597"/>
      <w:bookmarkStart w:id="209" w:name="_Toc119222539"/>
      <w:bookmarkStart w:id="210" w:name="_Toc149618556"/>
      <w:bookmarkStart w:id="211" w:name="_Toc191785737"/>
      <w:r>
        <w:rPr>
          <w:rFonts w:hint="default" w:ascii="Times New Roman" w:hAnsi="Times New Roman" w:eastAsia="宋体" w:cs="Times New Roman"/>
          <w:b/>
          <w:sz w:val="28"/>
          <w:szCs w:val="28"/>
        </w:rPr>
        <w:t>一、矿区水文地质条件</w:t>
      </w:r>
      <w:bookmarkEnd w:id="205"/>
      <w:bookmarkEnd w:id="206"/>
    </w:p>
    <w:bookmarkEnd w:id="207"/>
    <w:p w14:paraId="25A28E90">
      <w:pPr>
        <w:adjustRightInd w:val="0"/>
        <w:snapToGrid w:val="0"/>
        <w:spacing w:line="360" w:lineRule="auto"/>
        <w:ind w:firstLine="560" w:firstLineChars="200"/>
        <w:rPr>
          <w:rFonts w:hint="default" w:ascii="Times New Roman" w:hAnsi="Times New Roman" w:eastAsia="宋体" w:cs="Times New Roman"/>
          <w:bCs/>
          <w:sz w:val="28"/>
          <w:szCs w:val="28"/>
        </w:rPr>
      </w:pPr>
      <w:bookmarkStart w:id="212" w:name="_Toc169697273"/>
      <w:bookmarkStart w:id="213" w:name="_Toc167259536"/>
      <w:bookmarkStart w:id="214" w:name="_Toc167259081"/>
      <w:bookmarkStart w:id="215" w:name="_Toc167259343"/>
      <w:bookmarkStart w:id="216" w:name="_Toc166973935"/>
      <w:bookmarkStart w:id="217" w:name="_Toc278307476"/>
      <w:bookmarkStart w:id="218" w:name="_Toc293777994"/>
      <w:bookmarkStart w:id="219" w:name="_Toc167622240"/>
      <w:r>
        <w:rPr>
          <w:rFonts w:hint="default" w:ascii="Times New Roman" w:hAnsi="Times New Roman" w:eastAsia="宋体" w:cs="Times New Roman"/>
          <w:bCs/>
          <w:sz w:val="28"/>
          <w:szCs w:val="28"/>
        </w:rPr>
        <w:t>矿区地表水系为金沙江支流牛栏江流域，属长江水系。区内汇集的大气降水沿山坡经矿区南部方向地形低洼处排泄。自然排泄条件较好。</w:t>
      </w:r>
    </w:p>
    <w:p w14:paraId="6CC34223">
      <w:pPr>
        <w:adjustRightInd w:val="0"/>
        <w:snapToGrid w:val="0"/>
        <w:spacing w:line="360" w:lineRule="auto"/>
        <w:ind w:firstLine="560" w:firstLineChars="200"/>
        <w:rPr>
          <w:rFonts w:hint="default" w:ascii="Times New Roman" w:hAnsi="Times New Roman" w:eastAsia="宋体" w:cs="Times New Roman"/>
          <w:bCs/>
          <w:sz w:val="28"/>
          <w:szCs w:val="28"/>
        </w:rPr>
      </w:pPr>
      <w:r>
        <w:rPr>
          <w:rFonts w:hint="default" w:ascii="Times New Roman" w:hAnsi="Times New Roman" w:eastAsia="宋体" w:cs="Times New Roman"/>
          <w:bCs/>
          <w:sz w:val="28"/>
          <w:szCs w:val="28"/>
        </w:rPr>
        <w:t>矿区范围内地势北部高、南部低，地形最高点位于矿4拐点东侧山坡，海拔2218m；最低点位于矿1拐点处，海拔2080m，最大相对高差138m,坡度一般在26°～36°,属高原中山侵蚀、溶蚀地貌。</w:t>
      </w:r>
    </w:p>
    <w:p w14:paraId="55B4BF58">
      <w:pPr>
        <w:adjustRightInd w:val="0"/>
        <w:snapToGrid w:val="0"/>
        <w:spacing w:line="360" w:lineRule="auto"/>
        <w:ind w:firstLine="562" w:firstLineChars="20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二、矿区隔、含水层</w:t>
      </w:r>
      <w:bookmarkEnd w:id="212"/>
      <w:bookmarkEnd w:id="213"/>
      <w:bookmarkEnd w:id="214"/>
      <w:bookmarkEnd w:id="215"/>
      <w:bookmarkEnd w:id="216"/>
      <w:bookmarkEnd w:id="217"/>
      <w:bookmarkEnd w:id="218"/>
      <w:bookmarkEnd w:id="219"/>
    </w:p>
    <w:p w14:paraId="26C2B710">
      <w:pPr>
        <w:adjustRightInd w:val="0"/>
        <w:snapToGrid w:val="0"/>
        <w:spacing w:line="360" w:lineRule="auto"/>
        <w:ind w:firstLine="560" w:firstLineChars="200"/>
        <w:rPr>
          <w:rFonts w:hint="default" w:ascii="Times New Roman" w:hAnsi="Times New Roman" w:eastAsia="宋体" w:cs="Times New Roman"/>
          <w:sz w:val="28"/>
          <w:szCs w:val="28"/>
        </w:rPr>
      </w:pPr>
      <w:bookmarkStart w:id="220" w:name="_Toc167674906"/>
      <w:bookmarkStart w:id="221" w:name="_Toc166973936"/>
      <w:bookmarkStart w:id="222" w:name="_Toc167947528"/>
      <w:bookmarkStart w:id="223" w:name="_Toc293777995"/>
      <w:bookmarkStart w:id="224" w:name="_Toc278307477"/>
      <w:r>
        <w:rPr>
          <w:rFonts w:hint="default" w:ascii="Times New Roman" w:hAnsi="Times New Roman" w:eastAsia="宋体" w:cs="Times New Roman"/>
          <w:sz w:val="28"/>
          <w:szCs w:val="28"/>
        </w:rPr>
        <w:t>1、地下水类型及特征</w:t>
      </w:r>
    </w:p>
    <w:p w14:paraId="39949CC6">
      <w:pPr>
        <w:adjustRightInd w:val="0"/>
        <w:snapToGrid w:val="0"/>
        <w:spacing w:line="360" w:lineRule="auto"/>
        <w:ind w:firstLine="560" w:firstLineChars="200"/>
        <w:rPr>
          <w:rFonts w:hint="default" w:ascii="Times New Roman" w:hAnsi="Times New Roman" w:eastAsia="宋体" w:cs="Times New Roman"/>
          <w:snapToGrid w:val="0"/>
          <w:sz w:val="28"/>
          <w:szCs w:val="28"/>
        </w:rPr>
      </w:pPr>
      <w:r>
        <w:rPr>
          <w:rFonts w:hint="default" w:ascii="Times New Roman" w:hAnsi="Times New Roman" w:eastAsia="宋体" w:cs="Times New Roman"/>
          <w:snapToGrid w:val="0"/>
          <w:sz w:val="28"/>
          <w:szCs w:val="28"/>
        </w:rPr>
        <w:t>矿区为高原中山侵蚀、溶蚀地貌。根据地下水赋存条件、水理性质、富水性和水力性质，区内地下水可划分为孔隙水、岩溶水二种类型。</w:t>
      </w:r>
    </w:p>
    <w:p w14:paraId="748A2BE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①第四系（Q）孔隙水含水层：</w:t>
      </w:r>
    </w:p>
    <w:p w14:paraId="2C926C6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分布于较平坦地带及地表出露岩石间，为紫红色粘土夹碎石，厚度0～2m。含水层结构松散，孔隙度大，透水性强，含水层薄，其直接接受大气降水的补给，属季节性大气降水短期含水层，在调查时未发现有地表泉水点。其含水层赋水性与空隙、裂隙发育程度及连通性密切相关，由于第四系松散堆积层孔隙较大，地形坡度较大，堆积层难以长久赋存雨水，富水性弱。</w:t>
      </w:r>
    </w:p>
    <w:p w14:paraId="4B4E0CD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②二叠系中统栖霞组（P</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q）岩溶裂隙含水层</w:t>
      </w:r>
    </w:p>
    <w:p w14:paraId="2596CA9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岩溶裂隙含水层为二叠系中统茅栖霞组（P</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q），灰、浅灰夹深灰色灰岩地层产状：140°∠11°，厚度为大于100m。矿区岩石较破碎、节理较发育,含水层类型一般为岩溶裂隙水。</w:t>
      </w:r>
    </w:p>
    <w:p w14:paraId="0873DC67">
      <w:pPr>
        <w:pStyle w:val="103"/>
        <w:adjustRightInd w:val="0"/>
        <w:snapToGrid w:val="0"/>
        <w:spacing w:after="0" w:line="360" w:lineRule="auto"/>
        <w:ind w:firstLine="56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2、矿区补给、径流、排泄条件</w:t>
      </w:r>
    </w:p>
    <w:p w14:paraId="425A3625">
      <w:pPr>
        <w:pStyle w:val="103"/>
        <w:adjustRightInd w:val="0"/>
        <w:snapToGrid w:val="0"/>
        <w:spacing w:after="0" w:line="360" w:lineRule="auto"/>
        <w:ind w:firstLine="56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地势相对较高，地形有利于露天开采，区内无地表水体分布。矿区位于当地侵蚀基准面（标高1790m）以上，地表坡形有利于大气降水的排放，矿床充水主要为季节性大气降雨的下渗，开采范围内裂隙水可通过采场边坡及斜坡向矿区南部自然排泄。部分渗入地下成为地下水。矿区未见泉水出露，地下水位埋藏较深，矿山最低开采标高为2080m，在当地侵蚀基准面（标高1790m）以上。地表水及地下水对采矿活动无较大影响。虽然如此，矿山在开采过程中仍应完善防洪排水系统，以免山洪、地下水对采矿造成影响。</w:t>
      </w:r>
    </w:p>
    <w:p w14:paraId="17E43249">
      <w:pPr>
        <w:pStyle w:val="103"/>
        <w:adjustRightInd w:val="0"/>
        <w:snapToGrid w:val="0"/>
        <w:spacing w:after="0" w:line="360" w:lineRule="auto"/>
        <w:ind w:firstLine="560"/>
        <w:rPr>
          <w:rFonts w:hint="default" w:ascii="Times New Roman" w:hAnsi="Times New Roman" w:eastAsia="宋体" w:cs="Times New Roman"/>
        </w:rPr>
      </w:pPr>
      <w:r>
        <w:rPr>
          <w:rFonts w:hint="default" w:ascii="Times New Roman" w:hAnsi="Times New Roman" w:eastAsia="宋体" w:cs="Times New Roman"/>
          <w:sz w:val="28"/>
          <w:szCs w:val="28"/>
        </w:rPr>
        <w:t>矿区处于地下水补给、径流区，地下水径流方向主体为由北西至南东。</w:t>
      </w:r>
    </w:p>
    <w:p w14:paraId="65D9EA43">
      <w:pPr>
        <w:adjustRightInd w:val="0"/>
        <w:snapToGrid w:val="0"/>
        <w:spacing w:line="360" w:lineRule="auto"/>
        <w:ind w:firstLine="562" w:firstLineChars="200"/>
        <w:jc w:val="left"/>
        <w:rPr>
          <w:rFonts w:hint="default" w:ascii="Times New Roman" w:hAnsi="Times New Roman" w:eastAsia="宋体" w:cs="Times New Roman"/>
          <w:b/>
          <w:kern w:val="28"/>
          <w:sz w:val="28"/>
          <w:szCs w:val="28"/>
        </w:rPr>
      </w:pPr>
      <w:r>
        <w:rPr>
          <w:rFonts w:hint="default" w:ascii="Times New Roman" w:hAnsi="Times New Roman" w:eastAsia="宋体" w:cs="Times New Roman"/>
          <w:b/>
          <w:sz w:val="28"/>
          <w:szCs w:val="28"/>
        </w:rPr>
        <w:t>三、</w:t>
      </w:r>
      <w:r>
        <w:rPr>
          <w:rFonts w:hint="default" w:ascii="Times New Roman" w:hAnsi="Times New Roman" w:eastAsia="宋体" w:cs="Times New Roman"/>
          <w:b/>
          <w:kern w:val="28"/>
          <w:sz w:val="28"/>
          <w:szCs w:val="28"/>
        </w:rPr>
        <w:t>矿床充水来源</w:t>
      </w:r>
    </w:p>
    <w:p w14:paraId="60A8D9AA">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r>
        <w:rPr>
          <w:rFonts w:hint="default" w:ascii="Times New Roman" w:hAnsi="Times New Roman" w:eastAsia="宋体" w:cs="Times New Roman"/>
          <w:kern w:val="28"/>
          <w:sz w:val="28"/>
          <w:szCs w:val="28"/>
        </w:rPr>
        <w:t>矿区内矿床充水来源主要有以下两种：</w:t>
      </w:r>
    </w:p>
    <w:p w14:paraId="1786E3FF">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r>
        <w:rPr>
          <w:rFonts w:hint="default" w:ascii="Times New Roman" w:hAnsi="Times New Roman" w:eastAsia="宋体" w:cs="Times New Roman"/>
          <w:kern w:val="28"/>
          <w:sz w:val="28"/>
          <w:szCs w:val="28"/>
        </w:rPr>
        <w:t>（1）大气降水</w:t>
      </w:r>
    </w:p>
    <w:p w14:paraId="01C2BFD5">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r>
        <w:rPr>
          <w:rFonts w:hint="default" w:ascii="Times New Roman" w:hAnsi="Times New Roman" w:eastAsia="宋体" w:cs="Times New Roman"/>
          <w:kern w:val="28"/>
          <w:sz w:val="28"/>
          <w:szCs w:val="28"/>
        </w:rPr>
        <w:t>矿区地下水的补给来源主要是大气降水，浅部地层中的裂隙是大气降水补给地下水的主要通道。矿区大气降水一部分通过岩石裂隙、岩溶下渗补给地下水，另一部分通过地表径流的形式自然排泄。</w:t>
      </w:r>
    </w:p>
    <w:p w14:paraId="498513D5">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r>
        <w:rPr>
          <w:rFonts w:hint="default" w:ascii="Times New Roman" w:hAnsi="Times New Roman" w:eastAsia="宋体" w:cs="Times New Roman"/>
          <w:kern w:val="28"/>
          <w:sz w:val="28"/>
          <w:szCs w:val="28"/>
        </w:rPr>
        <w:t>根据矿区内矿床主要充水含水层的空间特征，应属以大气降水充水为主的矿床。</w:t>
      </w:r>
    </w:p>
    <w:p w14:paraId="02BED3E3">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r>
        <w:rPr>
          <w:rFonts w:hint="default" w:ascii="Times New Roman" w:hAnsi="Times New Roman" w:eastAsia="宋体" w:cs="Times New Roman"/>
          <w:kern w:val="28"/>
          <w:sz w:val="28"/>
          <w:szCs w:val="28"/>
        </w:rPr>
        <w:t>（2）岩溶裂隙含水层</w:t>
      </w:r>
    </w:p>
    <w:p w14:paraId="54BAB61B">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r>
        <w:rPr>
          <w:rFonts w:hint="default" w:ascii="Times New Roman" w:hAnsi="Times New Roman" w:eastAsia="宋体" w:cs="Times New Roman"/>
          <w:kern w:val="28"/>
          <w:sz w:val="28"/>
          <w:szCs w:val="28"/>
        </w:rPr>
        <w:t>矿区分布的二叠系中统栖霞组（P</w:t>
      </w:r>
      <w:r>
        <w:rPr>
          <w:rFonts w:hint="default" w:ascii="Times New Roman" w:hAnsi="Times New Roman" w:eastAsia="宋体" w:cs="Times New Roman"/>
          <w:kern w:val="28"/>
          <w:sz w:val="28"/>
          <w:szCs w:val="28"/>
          <w:vertAlign w:val="subscript"/>
        </w:rPr>
        <w:t>2</w:t>
      </w:r>
      <w:r>
        <w:rPr>
          <w:rFonts w:hint="default" w:ascii="Times New Roman" w:hAnsi="Times New Roman" w:eastAsia="宋体" w:cs="Times New Roman"/>
          <w:kern w:val="28"/>
          <w:sz w:val="28"/>
          <w:szCs w:val="28"/>
        </w:rPr>
        <w:t>q）灰岩，节理裂隙、岩溶较发育，岩石裂隙、岩溶是地下水富集及径流重要通道。</w:t>
      </w:r>
    </w:p>
    <w:p w14:paraId="263CE1AF">
      <w:pPr>
        <w:adjustRightInd w:val="0"/>
        <w:snapToGrid w:val="0"/>
        <w:spacing w:line="360" w:lineRule="auto"/>
        <w:ind w:firstLine="562" w:firstLineChars="20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四、断层破碎带对矿床开采的影响</w:t>
      </w:r>
    </w:p>
    <w:bookmarkEnd w:id="220"/>
    <w:bookmarkEnd w:id="221"/>
    <w:bookmarkEnd w:id="222"/>
    <w:p w14:paraId="0EF9E29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矿区构造简单，断裂不发育，岩石节理裂隙较发育，但富水性较弱，对矿山开采无较大充水影响。</w:t>
      </w:r>
    </w:p>
    <w:p w14:paraId="2D7064FE">
      <w:pPr>
        <w:adjustRightInd w:val="0"/>
        <w:snapToGrid w:val="0"/>
        <w:spacing w:line="360" w:lineRule="auto"/>
        <w:ind w:firstLine="562" w:firstLineChars="20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五、</w:t>
      </w:r>
      <w:bookmarkEnd w:id="223"/>
      <w:bookmarkEnd w:id="224"/>
      <w:r>
        <w:rPr>
          <w:rFonts w:hint="default" w:ascii="Times New Roman" w:hAnsi="Times New Roman" w:eastAsia="宋体" w:cs="Times New Roman"/>
          <w:b/>
          <w:sz w:val="28"/>
          <w:szCs w:val="28"/>
        </w:rPr>
        <w:t>地表水体对矿床开采的影响</w:t>
      </w:r>
    </w:p>
    <w:p w14:paraId="041CD144">
      <w:pPr>
        <w:adjustRightInd w:val="0"/>
        <w:snapToGrid w:val="0"/>
        <w:spacing w:line="360" w:lineRule="auto"/>
        <w:ind w:firstLine="560" w:firstLineChars="200"/>
        <w:rPr>
          <w:rFonts w:hint="default" w:ascii="Times New Roman" w:hAnsi="Times New Roman" w:eastAsia="宋体" w:cs="Times New Roman"/>
          <w:sz w:val="28"/>
          <w:szCs w:val="28"/>
        </w:rPr>
      </w:pPr>
      <w:bookmarkStart w:id="225" w:name="_Hlk127488887"/>
      <w:r>
        <w:rPr>
          <w:rFonts w:hint="default" w:ascii="Times New Roman" w:hAnsi="Times New Roman" w:eastAsia="宋体" w:cs="Times New Roman"/>
          <w:sz w:val="28"/>
          <w:szCs w:val="28"/>
        </w:rPr>
        <w:t>矿区无地表水体分布，大气降水主要通过采场边坡及斜坡自然排泄。对矿山开采无较大影响。但需做好防洪工作，对矿山因开挖而产生的弃土及废料不得随意倾倒，应妥善堆放处理。</w:t>
      </w:r>
    </w:p>
    <w:p w14:paraId="1C10D497">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综上所述，</w:t>
      </w:r>
      <w:bookmarkEnd w:id="208"/>
      <w:bookmarkEnd w:id="209"/>
      <w:bookmarkEnd w:id="210"/>
      <w:bookmarkEnd w:id="211"/>
      <w:r>
        <w:rPr>
          <w:rFonts w:hint="default" w:ascii="Times New Roman" w:hAnsi="Times New Roman" w:eastAsia="宋体" w:cs="Times New Roman"/>
          <w:sz w:val="28"/>
          <w:szCs w:val="28"/>
        </w:rPr>
        <w:t>矿床为露天开采，地下水埋藏较深，对矿床无较大充水影响；矿床充水主要为季节性大气降雨的下渗，开采范围内裂隙水可通过采场边坡及斜坡自然排泄。因此，地表水及地下水对采矿活动无较大充水影响。矿床水文地质勘查类型属以岩溶裂隙含水层直接充水为主的</w:t>
      </w:r>
      <w:r>
        <w:rPr>
          <w:rFonts w:hint="default" w:ascii="Times New Roman" w:hAnsi="Times New Roman" w:eastAsia="宋体" w:cs="Times New Roman"/>
          <w:b/>
          <w:bCs/>
          <w:sz w:val="28"/>
          <w:szCs w:val="28"/>
        </w:rPr>
        <w:t>简单</w:t>
      </w:r>
      <w:r>
        <w:rPr>
          <w:rFonts w:hint="default" w:ascii="Times New Roman" w:hAnsi="Times New Roman" w:eastAsia="宋体" w:cs="Times New Roman"/>
          <w:sz w:val="28"/>
          <w:szCs w:val="28"/>
        </w:rPr>
        <w:t>类型。</w:t>
      </w:r>
      <w:bookmarkEnd w:id="225"/>
    </w:p>
    <w:p w14:paraId="51220A30">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2.3.2.2工程地质条件</w:t>
      </w:r>
    </w:p>
    <w:p w14:paraId="6FDECD88">
      <w:pPr>
        <w:pStyle w:val="10"/>
        <w:adjustRightInd w:val="0"/>
        <w:snapToGrid w:val="0"/>
        <w:spacing w:after="0" w:line="360" w:lineRule="auto"/>
        <w:ind w:firstLine="562" w:firstLineChars="200"/>
        <w:rPr>
          <w:rFonts w:hint="default" w:ascii="Times New Roman" w:hAnsi="Times New Roman" w:eastAsia="宋体" w:cs="Times New Roman"/>
          <w:b/>
          <w:snapToGrid w:val="0"/>
          <w:sz w:val="28"/>
          <w:szCs w:val="28"/>
        </w:rPr>
      </w:pPr>
      <w:r>
        <w:rPr>
          <w:rFonts w:hint="default" w:ascii="Times New Roman" w:hAnsi="Times New Roman" w:eastAsia="宋体" w:cs="Times New Roman"/>
          <w:b/>
          <w:snapToGrid w:val="0"/>
          <w:sz w:val="28"/>
          <w:szCs w:val="28"/>
        </w:rPr>
        <w:t>一、工程地质岩组</w:t>
      </w:r>
    </w:p>
    <w:p w14:paraId="1A18C2D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依据各类岩（土）体的成因、岩体结构类型和坚硬程度及工程活动，将矿区岩（土）体划分为松散岩类极软岩组、层状岩类较坚硬岩组两类，现分述如下：</w:t>
      </w:r>
    </w:p>
    <w:p w14:paraId="0C63AA6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（1）松散岩类极软岩组</w:t>
      </w:r>
    </w:p>
    <w:p w14:paraId="221E151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为第四系（Q）紫红色粘土夹碎石，厚度0～2m。该岩组在露天开采过程中容易垮塌，特别在雨季容易产生坍塌、滑坡。矿床开采过程中，应特别关注边坡安全角的选择和加强对不良工程地质现象的监控、治理。</w:t>
      </w:r>
    </w:p>
    <w:p w14:paraId="22FFB270">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（2）层状岩类较坚硬岩组</w:t>
      </w:r>
    </w:p>
    <w:p w14:paraId="75082220">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为二叠系中统栖霞组（P</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q）灰岩，节理发育，较破碎。岩石未风化时较坚硬、致密、稳定，岩石风化后，多成片（块）状、细碎屑状崩落，但矿区岩石总体风化程度低，不易形成工程地质危害。根据采样化验结果可知，矿区矿石单轴抗压强度37.0-82.5Mpa，平均58.8Mpa，矿石硬度较坚硬。</w:t>
      </w:r>
    </w:p>
    <w:p w14:paraId="50CCC98F">
      <w:pPr>
        <w:pStyle w:val="10"/>
        <w:adjustRightInd w:val="0"/>
        <w:snapToGrid w:val="0"/>
        <w:spacing w:after="0" w:line="360" w:lineRule="auto"/>
        <w:ind w:firstLine="562" w:firstLineChars="200"/>
        <w:rPr>
          <w:rFonts w:hint="default" w:ascii="Times New Roman" w:hAnsi="Times New Roman" w:eastAsia="宋体" w:cs="Times New Roman"/>
          <w:b/>
          <w:snapToGrid w:val="0"/>
          <w:sz w:val="28"/>
          <w:szCs w:val="28"/>
        </w:rPr>
      </w:pPr>
      <w:r>
        <w:rPr>
          <w:rFonts w:hint="default" w:ascii="Times New Roman" w:hAnsi="Times New Roman" w:eastAsia="宋体" w:cs="Times New Roman"/>
          <w:b/>
          <w:snapToGrid w:val="0"/>
          <w:sz w:val="28"/>
          <w:szCs w:val="28"/>
        </w:rPr>
        <w:t>二、露天采场边坡稳定性评价</w:t>
      </w:r>
    </w:p>
    <w:p w14:paraId="48CBD406">
      <w:pPr>
        <w:pStyle w:val="10"/>
        <w:adjustRightInd w:val="0"/>
        <w:snapToGrid w:val="0"/>
        <w:spacing w:after="0" w:line="360" w:lineRule="auto"/>
        <w:ind w:firstLine="560" w:firstLineChars="200"/>
        <w:rPr>
          <w:rFonts w:hint="default" w:ascii="Times New Roman" w:hAnsi="Times New Roman" w:eastAsia="宋体" w:cs="Times New Roman"/>
          <w:bCs/>
          <w:snapToGrid w:val="0"/>
          <w:sz w:val="28"/>
          <w:szCs w:val="28"/>
        </w:rPr>
      </w:pPr>
      <w:r>
        <w:rPr>
          <w:rFonts w:hint="default" w:ascii="Times New Roman" w:hAnsi="Times New Roman" w:eastAsia="宋体" w:cs="Times New Roman"/>
          <w:bCs/>
          <w:snapToGrid w:val="0"/>
          <w:sz w:val="28"/>
          <w:szCs w:val="28"/>
        </w:rPr>
        <w:t>据矿体及其围岩工程地质条件可知，影响矿体露天开采边坡稳定性的岩石主要是矿体本身。采场边坡的角度留设非常重要，通过参考2013年《云南省巧家县老店镇独梨树采石场》中最终边坡角60°的留涉及相关规范要求，最终选用60°的边坡角。施工时要严格按照设计进行，才能确保边坡稳定。</w:t>
      </w:r>
    </w:p>
    <w:p w14:paraId="788E14FF">
      <w:pPr>
        <w:pStyle w:val="10"/>
        <w:adjustRightInd w:val="0"/>
        <w:snapToGrid w:val="0"/>
        <w:spacing w:after="0" w:line="360" w:lineRule="auto"/>
        <w:ind w:firstLine="560" w:firstLineChars="200"/>
        <w:rPr>
          <w:rFonts w:hint="default" w:ascii="Times New Roman" w:hAnsi="Times New Roman" w:eastAsia="宋体" w:cs="Times New Roman"/>
          <w:bCs/>
          <w:snapToGrid w:val="0"/>
          <w:sz w:val="28"/>
          <w:szCs w:val="28"/>
        </w:rPr>
      </w:pPr>
      <w:r>
        <w:rPr>
          <w:rFonts w:hint="default" w:ascii="Times New Roman" w:hAnsi="Times New Roman" w:eastAsia="宋体" w:cs="Times New Roman"/>
          <w:bCs/>
          <w:snapToGrid w:val="0"/>
          <w:sz w:val="28"/>
          <w:szCs w:val="28"/>
        </w:rPr>
        <w:t>采场东侧、西侧边坡坡向与矿层倾向斜交，基本与走向一致，矿层倾角较小，边坡稳定性分析化为次稳定区；北侧边坡坡向与矿层倾向一致，边坡稳定性分析化为不稳定区，南侧边坡坡向与矿层倾向相反，边坡稳定性分析化为稳定区。</w:t>
      </w:r>
    </w:p>
    <w:p w14:paraId="066CB4D0">
      <w:pPr>
        <w:pStyle w:val="10"/>
        <w:adjustRightInd w:val="0"/>
        <w:snapToGrid w:val="0"/>
        <w:spacing w:after="0" w:line="360" w:lineRule="auto"/>
        <w:ind w:firstLine="562" w:firstLineChars="200"/>
        <w:rPr>
          <w:rFonts w:hint="default" w:ascii="Times New Roman" w:hAnsi="Times New Roman" w:eastAsia="宋体" w:cs="Times New Roman"/>
          <w:b/>
          <w:snapToGrid w:val="0"/>
          <w:sz w:val="28"/>
          <w:szCs w:val="28"/>
        </w:rPr>
      </w:pPr>
      <w:r>
        <w:rPr>
          <w:rFonts w:hint="default" w:ascii="Times New Roman" w:hAnsi="Times New Roman" w:eastAsia="宋体" w:cs="Times New Roman"/>
          <w:b/>
          <w:snapToGrid w:val="0"/>
          <w:sz w:val="28"/>
          <w:szCs w:val="28"/>
        </w:rPr>
        <w:t>三、现状采场工程地质特征</w:t>
      </w:r>
    </w:p>
    <w:p w14:paraId="1460D11A">
      <w:pPr>
        <w:adjustRightInd w:val="0"/>
        <w:snapToGrid w:val="0"/>
        <w:spacing w:line="360" w:lineRule="auto"/>
        <w:ind w:firstLine="560" w:firstLineChars="200"/>
        <w:rPr>
          <w:rFonts w:hint="default" w:ascii="Times New Roman" w:hAnsi="Times New Roman" w:eastAsia="宋体" w:cs="Times New Roman"/>
          <w:sz w:val="28"/>
          <w:szCs w:val="28"/>
        </w:rPr>
      </w:pPr>
      <w:bookmarkStart w:id="226" w:name="_Hlk127488957"/>
      <w:r>
        <w:rPr>
          <w:rFonts w:hint="default" w:ascii="Times New Roman" w:hAnsi="Times New Roman" w:eastAsia="宋体" w:cs="Times New Roman"/>
          <w:sz w:val="28"/>
          <w:szCs w:val="28"/>
        </w:rPr>
        <w:t>现有采场位于矿区南部，现有开采部位最高点2108m、最低点2080m，最大开采宽度47m左右，坡面角40～60°不等，边坡较陡。矿区范围内存在一潜在不稳定边坡，由前期开采形成，建议对其部分危岩体进行处理，及时消除安全隐患，并严格按台阶式从上至下开采。</w:t>
      </w:r>
    </w:p>
    <w:p w14:paraId="1C5577ED">
      <w:pPr>
        <w:pStyle w:val="10"/>
        <w:adjustRightInd w:val="0"/>
        <w:snapToGrid w:val="0"/>
        <w:spacing w:after="0" w:line="360" w:lineRule="auto"/>
        <w:ind w:firstLine="562" w:firstLineChars="200"/>
        <w:rPr>
          <w:rFonts w:hint="default" w:ascii="Times New Roman" w:hAnsi="Times New Roman" w:eastAsia="宋体" w:cs="Times New Roman"/>
          <w:b/>
          <w:snapToGrid w:val="0"/>
          <w:sz w:val="28"/>
          <w:szCs w:val="28"/>
          <w:lang w:val="en-US" w:eastAsia="zh-CN"/>
        </w:rPr>
      </w:pPr>
      <w:r>
        <w:rPr>
          <w:rFonts w:hint="default" w:ascii="Times New Roman" w:hAnsi="Times New Roman" w:eastAsia="宋体" w:cs="Times New Roman"/>
          <w:b/>
          <w:snapToGrid w:val="0"/>
          <w:sz w:val="28"/>
          <w:szCs w:val="28"/>
        </w:rPr>
        <w:t>四、</w:t>
      </w:r>
      <w:r>
        <w:rPr>
          <w:rFonts w:hint="default" w:ascii="Times New Roman" w:hAnsi="Times New Roman" w:eastAsia="宋体" w:cs="Times New Roman"/>
          <w:b/>
          <w:snapToGrid w:val="0"/>
          <w:sz w:val="28"/>
          <w:szCs w:val="28"/>
          <w:lang w:val="en-US" w:eastAsia="zh-CN"/>
        </w:rPr>
        <w:t>工程地质</w:t>
      </w:r>
      <w:r>
        <w:rPr>
          <w:rFonts w:hint="default" w:ascii="Times New Roman" w:hAnsi="Times New Roman" w:eastAsia="宋体" w:cs="Times New Roman"/>
          <w:b/>
          <w:snapToGrid w:val="0"/>
          <w:sz w:val="28"/>
          <w:szCs w:val="28"/>
          <w:lang w:val="en-US" w:eastAsia="zh-CN"/>
        </w:rPr>
        <w:t>条件小结</w:t>
      </w:r>
    </w:p>
    <w:p w14:paraId="7E2B8E6C">
      <w:pPr>
        <w:adjustRightInd w:val="0"/>
        <w:snapToGrid w:val="0"/>
        <w:spacing w:line="360" w:lineRule="auto"/>
        <w:ind w:firstLine="560" w:firstLineChars="200"/>
        <w:rPr>
          <w:rFonts w:hint="default" w:ascii="Times New Roman" w:hAnsi="Times New Roman" w:eastAsia="宋体" w:cs="Times New Roman"/>
          <w:bCs/>
          <w:snapToGrid w:val="0"/>
          <w:sz w:val="28"/>
          <w:szCs w:val="28"/>
        </w:rPr>
      </w:pPr>
      <w:r>
        <w:rPr>
          <w:rFonts w:hint="default" w:ascii="Times New Roman" w:hAnsi="Times New Roman" w:eastAsia="宋体" w:cs="Times New Roman"/>
          <w:bCs/>
          <w:snapToGrid w:val="0"/>
          <w:sz w:val="28"/>
          <w:szCs w:val="28"/>
        </w:rPr>
        <w:t>区内地形地貌条件</w:t>
      </w:r>
      <w:r>
        <w:rPr>
          <w:rFonts w:hint="default" w:ascii="Times New Roman" w:hAnsi="Times New Roman" w:eastAsia="宋体" w:cs="Times New Roman"/>
          <w:b/>
          <w:snapToGrid w:val="0"/>
          <w:sz w:val="28"/>
          <w:szCs w:val="28"/>
        </w:rPr>
        <w:t>中等</w:t>
      </w:r>
      <w:r>
        <w:rPr>
          <w:rFonts w:hint="default" w:ascii="Times New Roman" w:hAnsi="Times New Roman" w:eastAsia="宋体" w:cs="Times New Roman"/>
          <w:bCs/>
          <w:snapToGrid w:val="0"/>
          <w:sz w:val="28"/>
          <w:szCs w:val="28"/>
        </w:rPr>
        <w:t>；地形有利于自然排水；地表有少量残坡积层覆盖，厚度薄，松散堆积，物理力学性质较差，矿体及围岩为灰、深灰色中厚层状灰岩，地层岩性单一；地质构造简单；岩体结构以块状结构为主；地表浅层岩石为第四系（Q）紫红色粘土夹碎石，伴有未完全风化的岩石出露，第四系（Q）厚度0～2m，为松散岩类极软岩组，岩体随着地表深度的加深节理裂隙发育程度减弱，岩体完整性和强度较高，属坚硬岩，岩石质量较好，岩体完整性为较完整，岩石总体强度较高，岩石总体稳固性较好，为良好工程地质岩体。</w:t>
      </w:r>
    </w:p>
    <w:p w14:paraId="7FC3415F">
      <w:pPr>
        <w:adjustRightInd w:val="0"/>
        <w:snapToGrid w:val="0"/>
        <w:spacing w:line="360" w:lineRule="auto"/>
        <w:ind w:firstLine="560" w:firstLineChars="200"/>
        <w:rPr>
          <w:rFonts w:hint="default" w:ascii="Times New Roman" w:hAnsi="Times New Roman" w:eastAsia="宋体" w:cs="Times New Roman"/>
          <w:bCs/>
          <w:snapToGrid w:val="0"/>
          <w:sz w:val="28"/>
          <w:szCs w:val="28"/>
        </w:rPr>
      </w:pPr>
      <w:r>
        <w:rPr>
          <w:rFonts w:hint="default" w:ascii="Times New Roman" w:hAnsi="Times New Roman" w:eastAsia="宋体" w:cs="Times New Roman"/>
          <w:bCs/>
          <w:snapToGrid w:val="0"/>
          <w:sz w:val="28"/>
          <w:szCs w:val="28"/>
        </w:rPr>
        <w:t>矿区及周边未发现滑坡、崩塌、泥石流、不稳定边坡等地质灾害，也未发现活动性冲沟等不良物理工程地质现象，天然斜坡稳定。</w:t>
      </w:r>
    </w:p>
    <w:p w14:paraId="2A9FA88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bCs/>
          <w:snapToGrid w:val="0"/>
          <w:sz w:val="28"/>
          <w:szCs w:val="28"/>
        </w:rPr>
        <w:t>综合矿区地形地貌、地质构造、岩石结构构造等因素，矿区工程地质条件类型属以层状岩类较坚硬岩组为主的</w:t>
      </w:r>
      <w:r>
        <w:rPr>
          <w:rFonts w:hint="default" w:ascii="Times New Roman" w:hAnsi="Times New Roman" w:eastAsia="宋体" w:cs="Times New Roman"/>
          <w:b/>
          <w:snapToGrid w:val="0"/>
          <w:sz w:val="28"/>
          <w:szCs w:val="28"/>
        </w:rPr>
        <w:t>简单</w:t>
      </w:r>
      <w:r>
        <w:rPr>
          <w:rFonts w:hint="default" w:ascii="Times New Roman" w:hAnsi="Times New Roman" w:eastAsia="宋体" w:cs="Times New Roman"/>
          <w:bCs/>
          <w:snapToGrid w:val="0"/>
          <w:sz w:val="28"/>
          <w:szCs w:val="28"/>
        </w:rPr>
        <w:t>类型</w:t>
      </w:r>
      <w:r>
        <w:rPr>
          <w:rFonts w:hint="default" w:ascii="Times New Roman" w:hAnsi="Times New Roman" w:eastAsia="宋体" w:cs="Times New Roman"/>
          <w:bCs/>
          <w:kern w:val="0"/>
          <w:szCs w:val="28"/>
        </w:rPr>
        <w:t>。</w:t>
      </w:r>
    </w:p>
    <w:bookmarkEnd w:id="226"/>
    <w:p w14:paraId="4720E4CC">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2.3.2.3环境地质条件</w:t>
      </w:r>
    </w:p>
    <w:p w14:paraId="5B91A45E">
      <w:pPr>
        <w:pStyle w:val="10"/>
        <w:adjustRightInd w:val="0"/>
        <w:snapToGrid w:val="0"/>
        <w:spacing w:after="0" w:line="360" w:lineRule="auto"/>
        <w:ind w:firstLine="562" w:firstLineChars="200"/>
        <w:rPr>
          <w:rFonts w:hint="default" w:ascii="Times New Roman" w:hAnsi="Times New Roman" w:eastAsia="宋体" w:cs="Times New Roman"/>
          <w:b/>
          <w:snapToGrid w:val="0"/>
          <w:sz w:val="28"/>
          <w:szCs w:val="28"/>
        </w:rPr>
      </w:pPr>
      <w:bookmarkStart w:id="227" w:name="_Toc136403544"/>
      <w:r>
        <w:rPr>
          <w:rFonts w:hint="default" w:ascii="Times New Roman" w:hAnsi="Times New Roman" w:eastAsia="宋体" w:cs="Times New Roman"/>
          <w:b/>
          <w:snapToGrid w:val="0"/>
          <w:sz w:val="28"/>
          <w:szCs w:val="28"/>
        </w:rPr>
        <w:t>一、矿区地震及区域稳定性</w:t>
      </w:r>
    </w:p>
    <w:p w14:paraId="503F5485">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昭通市位于我国地震活动最强的南北向地震带东翼，境内地震活动频繁，断裂密布，地质构造复杂，近百年来发生过破坏性地震三十多次。地震烈度区划规定地震设防烈度之高为全国少有。基本上是小震大灾，大震巨灾，每次地震都具有频度高、强度大、分布广、灾害重的特点。</w:t>
      </w:r>
    </w:p>
    <w:p w14:paraId="3662546E">
      <w:pPr>
        <w:adjustRightInd w:val="0"/>
        <w:snapToGrid w:val="0"/>
        <w:spacing w:line="360" w:lineRule="auto"/>
        <w:ind w:firstLine="560" w:firstLineChars="200"/>
        <w:rPr>
          <w:rFonts w:hint="default" w:ascii="Times New Roman" w:hAnsi="Times New Roman" w:eastAsia="宋体" w:cs="Times New Roman"/>
          <w:snapToGrid w:val="0"/>
          <w:sz w:val="28"/>
          <w:szCs w:val="28"/>
        </w:rPr>
      </w:pPr>
      <w:r>
        <w:rPr>
          <w:rFonts w:hint="default" w:ascii="Times New Roman" w:hAnsi="Times New Roman" w:eastAsia="宋体" w:cs="Times New Roman"/>
          <w:sz w:val="28"/>
          <w:szCs w:val="28"/>
        </w:rPr>
        <w:t>根据《中国地震动参数区划图》（GB18306-2015）和《建筑抗震设计规范》（GB 50011-2010[2016年版]），矿区当地为抗震设防烈度Ⅶ度区，地震动峰值加速度0.15g，地震动加速度反应谱特征周期0.45s，设计地震分组为第三组。</w:t>
      </w:r>
    </w:p>
    <w:p w14:paraId="7DA3A455">
      <w:pPr>
        <w:pStyle w:val="10"/>
        <w:adjustRightInd w:val="0"/>
        <w:snapToGrid w:val="0"/>
        <w:spacing w:after="0" w:line="360" w:lineRule="auto"/>
        <w:ind w:firstLine="562" w:firstLineChars="200"/>
        <w:rPr>
          <w:rFonts w:hint="default" w:ascii="Times New Roman" w:hAnsi="Times New Roman" w:eastAsia="宋体" w:cs="Times New Roman"/>
          <w:b/>
          <w:snapToGrid w:val="0"/>
          <w:sz w:val="28"/>
          <w:szCs w:val="28"/>
        </w:rPr>
      </w:pPr>
      <w:r>
        <w:rPr>
          <w:rFonts w:hint="default" w:ascii="Times New Roman" w:hAnsi="Times New Roman" w:eastAsia="宋体" w:cs="Times New Roman"/>
          <w:b/>
          <w:snapToGrid w:val="0"/>
          <w:sz w:val="28"/>
          <w:szCs w:val="28"/>
        </w:rPr>
        <w:t>二、矿区水环境</w:t>
      </w:r>
    </w:p>
    <w:p w14:paraId="29551465">
      <w:pPr>
        <w:pStyle w:val="10"/>
        <w:adjustRightInd w:val="0"/>
        <w:snapToGrid w:val="0"/>
        <w:spacing w:after="0" w:line="360" w:lineRule="auto"/>
        <w:ind w:firstLine="560" w:firstLineChars="200"/>
        <w:rPr>
          <w:rFonts w:hint="default" w:ascii="Times New Roman" w:hAnsi="Times New Roman" w:eastAsia="宋体" w:cs="Times New Roman"/>
          <w:bCs/>
          <w:snapToGrid w:val="0"/>
          <w:sz w:val="28"/>
          <w:szCs w:val="28"/>
        </w:rPr>
      </w:pPr>
      <w:r>
        <w:rPr>
          <w:rFonts w:hint="default" w:ascii="Times New Roman" w:hAnsi="Times New Roman" w:eastAsia="宋体" w:cs="Times New Roman"/>
          <w:bCs/>
          <w:snapToGrid w:val="0"/>
          <w:sz w:val="28"/>
          <w:szCs w:val="28"/>
        </w:rPr>
        <w:t>矿区内破坏地质环境的人类工程活动一般，地下水埋藏较深，地表水体距露天开采有一定距离，加之矿区岩石物质成分稳定，有害物质含量少且不易分解，矿山的采矿活动，对矿区水环境的负面影响小。</w:t>
      </w:r>
    </w:p>
    <w:p w14:paraId="7DFEFCED">
      <w:pPr>
        <w:adjustRightInd w:val="0"/>
        <w:snapToGrid w:val="0"/>
        <w:spacing w:line="360" w:lineRule="auto"/>
        <w:ind w:firstLine="562" w:firstLineChars="200"/>
        <w:rPr>
          <w:rFonts w:hint="default" w:ascii="Times New Roman" w:hAnsi="Times New Roman" w:eastAsia="宋体" w:cs="Times New Roman"/>
          <w:b/>
          <w:snapToGrid w:val="0"/>
          <w:sz w:val="28"/>
          <w:szCs w:val="28"/>
        </w:rPr>
      </w:pPr>
      <w:r>
        <w:rPr>
          <w:rFonts w:hint="default" w:ascii="Times New Roman" w:hAnsi="Times New Roman" w:eastAsia="宋体" w:cs="Times New Roman"/>
          <w:b/>
          <w:snapToGrid w:val="0"/>
          <w:sz w:val="28"/>
          <w:szCs w:val="28"/>
        </w:rPr>
        <w:t>三、</w:t>
      </w:r>
      <w:bookmarkStart w:id="228" w:name="_Toc6180"/>
      <w:bookmarkStart w:id="229" w:name="_Toc1965"/>
      <w:bookmarkStart w:id="230" w:name="_Hlk127488989"/>
      <w:r>
        <w:rPr>
          <w:rFonts w:hint="default" w:ascii="Times New Roman" w:hAnsi="Times New Roman" w:eastAsia="宋体" w:cs="Times New Roman"/>
          <w:b/>
          <w:snapToGrid w:val="0"/>
          <w:sz w:val="28"/>
          <w:szCs w:val="28"/>
        </w:rPr>
        <w:t>现状不良地质现象</w:t>
      </w:r>
    </w:p>
    <w:p w14:paraId="25DE5ADF">
      <w:pPr>
        <w:adjustRightInd w:val="0"/>
        <w:snapToGrid w:val="0"/>
        <w:spacing w:line="360" w:lineRule="auto"/>
        <w:ind w:firstLine="560" w:firstLineChars="200"/>
        <w:rPr>
          <w:rFonts w:hint="default" w:ascii="Times New Roman" w:hAnsi="Times New Roman" w:eastAsia="宋体" w:cs="Times New Roman"/>
          <w:bCs/>
          <w:snapToGrid w:val="0"/>
          <w:sz w:val="28"/>
          <w:szCs w:val="28"/>
        </w:rPr>
      </w:pPr>
      <w:r>
        <w:rPr>
          <w:rFonts w:hint="default" w:ascii="Times New Roman" w:hAnsi="Times New Roman" w:eastAsia="宋体" w:cs="Times New Roman"/>
          <w:bCs/>
          <w:snapToGrid w:val="0"/>
          <w:sz w:val="28"/>
          <w:szCs w:val="28"/>
        </w:rPr>
        <w:t>据实地调查，区内无滑坡、崩塌、泥石流、地裂等地质灾害的隐患，岩体目前处于基本稳定状态。</w:t>
      </w:r>
    </w:p>
    <w:p w14:paraId="49CC6801">
      <w:pPr>
        <w:adjustRightInd w:val="0"/>
        <w:snapToGrid w:val="0"/>
        <w:spacing w:line="360" w:lineRule="auto"/>
        <w:ind w:firstLine="560" w:firstLineChars="200"/>
        <w:rPr>
          <w:rFonts w:hint="default" w:ascii="Times New Roman" w:hAnsi="Times New Roman" w:eastAsia="宋体" w:cs="Times New Roman"/>
          <w:bCs/>
          <w:sz w:val="28"/>
          <w:szCs w:val="28"/>
        </w:rPr>
      </w:pPr>
      <w:r>
        <w:rPr>
          <w:rFonts w:hint="default" w:ascii="Times New Roman" w:hAnsi="Times New Roman" w:eastAsia="宋体" w:cs="Times New Roman"/>
          <w:bCs/>
          <w:snapToGrid w:val="0"/>
          <w:sz w:val="28"/>
          <w:szCs w:val="28"/>
        </w:rPr>
        <w:t>今后矿山的开采破坏，岩体完整性会变差，在地下水或地表水的软化作用下，岩石强度会进一步降低，岩体稳定性较差，局部地段在一定条件下（比如暴雨时）可能边坡失稳</w:t>
      </w:r>
      <w:r>
        <w:rPr>
          <w:rFonts w:hint="default" w:ascii="Times New Roman" w:hAnsi="Times New Roman" w:eastAsia="宋体" w:cs="Times New Roman"/>
          <w:bCs/>
          <w:sz w:val="28"/>
          <w:szCs w:val="28"/>
        </w:rPr>
        <w:t>。</w:t>
      </w:r>
      <w:bookmarkEnd w:id="228"/>
      <w:bookmarkEnd w:id="229"/>
    </w:p>
    <w:p w14:paraId="2786B1B8">
      <w:pPr>
        <w:pStyle w:val="10"/>
        <w:adjustRightInd w:val="0"/>
        <w:snapToGrid w:val="0"/>
        <w:spacing w:after="0" w:line="360" w:lineRule="auto"/>
        <w:ind w:firstLine="562" w:firstLineChars="200"/>
        <w:rPr>
          <w:rFonts w:hint="default" w:ascii="Times New Roman" w:hAnsi="Times New Roman" w:eastAsia="宋体" w:cs="Times New Roman"/>
          <w:b/>
          <w:snapToGrid w:val="0"/>
          <w:sz w:val="28"/>
          <w:szCs w:val="28"/>
        </w:rPr>
      </w:pPr>
      <w:bookmarkStart w:id="231" w:name="_Toc300344892"/>
      <w:bookmarkStart w:id="232" w:name="_Toc5564"/>
      <w:bookmarkStart w:id="233" w:name="_Toc17650"/>
      <w:bookmarkStart w:id="234" w:name="_Toc27640"/>
      <w:bookmarkStart w:id="235" w:name="_Toc5663"/>
      <w:bookmarkStart w:id="236" w:name="_Toc32020"/>
      <w:bookmarkStart w:id="237" w:name="_Toc30479"/>
      <w:bookmarkStart w:id="238" w:name="_Toc5691"/>
      <w:bookmarkStart w:id="239" w:name="_Toc22324"/>
      <w:r>
        <w:rPr>
          <w:rFonts w:hint="default" w:ascii="Times New Roman" w:hAnsi="Times New Roman" w:eastAsia="宋体" w:cs="Times New Roman"/>
          <w:b/>
          <w:snapToGrid w:val="0"/>
          <w:sz w:val="28"/>
          <w:szCs w:val="28"/>
        </w:rPr>
        <w:t>四、有害元素含量</w:t>
      </w:r>
      <w:bookmarkEnd w:id="231"/>
      <w:bookmarkEnd w:id="232"/>
      <w:bookmarkEnd w:id="233"/>
      <w:bookmarkEnd w:id="234"/>
      <w:bookmarkEnd w:id="235"/>
      <w:bookmarkEnd w:id="236"/>
      <w:bookmarkEnd w:id="237"/>
      <w:bookmarkEnd w:id="238"/>
      <w:bookmarkEnd w:id="239"/>
    </w:p>
    <w:bookmarkEnd w:id="227"/>
    <w:p w14:paraId="44ED6DD6">
      <w:pPr>
        <w:adjustRightInd w:val="0"/>
        <w:snapToGrid w:val="0"/>
        <w:spacing w:line="360" w:lineRule="auto"/>
        <w:ind w:firstLine="560" w:firstLineChars="200"/>
        <w:rPr>
          <w:rFonts w:hint="default" w:ascii="Times New Roman" w:hAnsi="Times New Roman" w:eastAsia="宋体" w:cs="Times New Roman"/>
          <w:bCs/>
          <w:snapToGrid w:val="0"/>
          <w:sz w:val="28"/>
          <w:szCs w:val="28"/>
        </w:rPr>
      </w:pPr>
      <w:r>
        <w:rPr>
          <w:rFonts w:hint="default" w:ascii="Times New Roman" w:hAnsi="Times New Roman" w:eastAsia="宋体" w:cs="Times New Roman"/>
          <w:bCs/>
          <w:snapToGrid w:val="0"/>
          <w:sz w:val="28"/>
          <w:szCs w:val="28"/>
        </w:rPr>
        <w:t>取3件硫化物和硫酸盐含量样送云南省地质矿产勘查开发局中心实验室（国土资源部昆明矿产资源监督检测中心）测试，根据本次取样化验成果可知，矿石中有硫酸盐及硫化物含量（以SO</w:t>
      </w:r>
      <w:r>
        <w:rPr>
          <w:rFonts w:hint="default" w:ascii="Times New Roman" w:hAnsi="Times New Roman" w:eastAsia="宋体" w:cs="Times New Roman"/>
          <w:bCs/>
          <w:snapToGrid w:val="0"/>
          <w:sz w:val="28"/>
          <w:szCs w:val="28"/>
          <w:vertAlign w:val="subscript"/>
        </w:rPr>
        <w:t>3</w:t>
      </w:r>
      <w:r>
        <w:rPr>
          <w:rFonts w:hint="default" w:ascii="Times New Roman" w:hAnsi="Times New Roman" w:eastAsia="宋体" w:cs="Times New Roman"/>
          <w:bCs/>
          <w:snapToGrid w:val="0"/>
          <w:sz w:val="28"/>
          <w:szCs w:val="28"/>
        </w:rPr>
        <w:t>质量计）为0.0%、0.1%、0.0%，≤0.5，单项结果均判定为符合I类，符合相关要求，对人体和环境无影响。矿区及附近无自然性污染源，矿石及围岩化学组分稳定，不易分解出有毒、有害成分或元素。</w:t>
      </w:r>
    </w:p>
    <w:bookmarkEnd w:id="230"/>
    <w:p w14:paraId="1B45E0D9">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2.3.2.4矿山开采技术条件小结</w:t>
      </w:r>
    </w:p>
    <w:p w14:paraId="13DF4E49">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bookmarkStart w:id="240" w:name="_Hlk127489033"/>
      <w:r>
        <w:rPr>
          <w:rFonts w:hint="default" w:ascii="Times New Roman" w:hAnsi="Times New Roman" w:eastAsia="宋体" w:cs="Times New Roman"/>
          <w:kern w:val="28"/>
          <w:sz w:val="28"/>
          <w:szCs w:val="28"/>
        </w:rPr>
        <w:t>1.矿段含水面积不大，富水性弱，补给条件差，矿区水文地质条件类型属岩溶裂隙含水层直接充水的</w:t>
      </w:r>
      <w:r>
        <w:rPr>
          <w:rFonts w:hint="default" w:ascii="Times New Roman" w:hAnsi="Times New Roman" w:eastAsia="宋体" w:cs="Times New Roman"/>
          <w:b/>
          <w:bCs/>
          <w:kern w:val="28"/>
          <w:sz w:val="28"/>
          <w:szCs w:val="28"/>
        </w:rPr>
        <w:t>简单</w:t>
      </w:r>
      <w:r>
        <w:rPr>
          <w:rFonts w:hint="default" w:ascii="Times New Roman" w:hAnsi="Times New Roman" w:eastAsia="宋体" w:cs="Times New Roman"/>
          <w:kern w:val="28"/>
          <w:sz w:val="28"/>
          <w:szCs w:val="28"/>
        </w:rPr>
        <w:t>类型。</w:t>
      </w:r>
    </w:p>
    <w:p w14:paraId="2390BF83">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r>
        <w:rPr>
          <w:rFonts w:hint="default" w:ascii="Times New Roman" w:hAnsi="Times New Roman" w:eastAsia="宋体" w:cs="Times New Roman"/>
          <w:kern w:val="28"/>
          <w:sz w:val="28"/>
          <w:szCs w:val="28"/>
        </w:rPr>
        <w:t>2.矿区工程地质条件类型属以层状岩类较坚硬岩组为主的</w:t>
      </w:r>
      <w:r>
        <w:rPr>
          <w:rFonts w:hint="default" w:ascii="Times New Roman" w:hAnsi="Times New Roman" w:eastAsia="宋体" w:cs="Times New Roman"/>
          <w:b/>
          <w:bCs/>
          <w:kern w:val="28"/>
          <w:sz w:val="28"/>
          <w:szCs w:val="28"/>
        </w:rPr>
        <w:t>简单</w:t>
      </w:r>
      <w:r>
        <w:rPr>
          <w:rFonts w:hint="default" w:ascii="Times New Roman" w:hAnsi="Times New Roman" w:eastAsia="宋体" w:cs="Times New Roman"/>
          <w:kern w:val="28"/>
          <w:sz w:val="28"/>
          <w:szCs w:val="28"/>
        </w:rPr>
        <w:t>类型。</w:t>
      </w:r>
    </w:p>
    <w:p w14:paraId="5E3B89DE">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r>
        <w:rPr>
          <w:rFonts w:hint="default" w:ascii="Times New Roman" w:hAnsi="Times New Roman" w:eastAsia="宋体" w:cs="Times New Roman"/>
          <w:kern w:val="28"/>
          <w:sz w:val="28"/>
          <w:szCs w:val="28"/>
        </w:rPr>
        <w:t>3.区内地质环境较脆弱，随着矿山开采易导致环境变差，为此，要加强对采场边坡的变形监测、废石（土）管理和岩溶探测等，采取有效的防治措施，防止岩体产生较大规模的开裂变形、崩塌、岩溶塌陷而造成伤害和环境恶化，矿区环境地质勘查类型属以次生环境地质问题为主的</w:t>
      </w:r>
      <w:r>
        <w:rPr>
          <w:rFonts w:hint="default" w:ascii="Times New Roman" w:hAnsi="Times New Roman" w:eastAsia="宋体" w:cs="Times New Roman"/>
          <w:b/>
          <w:bCs/>
          <w:kern w:val="28"/>
          <w:sz w:val="28"/>
          <w:szCs w:val="28"/>
        </w:rPr>
        <w:t>中等</w:t>
      </w:r>
      <w:r>
        <w:rPr>
          <w:rFonts w:hint="default" w:ascii="Times New Roman" w:hAnsi="Times New Roman" w:eastAsia="宋体" w:cs="Times New Roman"/>
          <w:kern w:val="28"/>
          <w:sz w:val="28"/>
          <w:szCs w:val="28"/>
        </w:rPr>
        <w:t>类型。</w:t>
      </w:r>
    </w:p>
    <w:p w14:paraId="576253D8">
      <w:pPr>
        <w:adjustRightInd w:val="0"/>
        <w:snapToGrid w:val="0"/>
        <w:spacing w:line="360" w:lineRule="auto"/>
        <w:ind w:firstLine="560" w:firstLineChars="200"/>
        <w:jc w:val="left"/>
        <w:rPr>
          <w:rFonts w:hint="default" w:ascii="Times New Roman" w:hAnsi="Times New Roman" w:eastAsia="宋体" w:cs="Times New Roman"/>
          <w:kern w:val="28"/>
          <w:sz w:val="28"/>
          <w:szCs w:val="28"/>
        </w:rPr>
      </w:pPr>
      <w:r>
        <w:rPr>
          <w:rFonts w:hint="default" w:ascii="Times New Roman" w:hAnsi="Times New Roman" w:eastAsia="宋体" w:cs="Times New Roman"/>
          <w:kern w:val="28"/>
          <w:sz w:val="28"/>
          <w:szCs w:val="28"/>
        </w:rPr>
        <w:t>综上所述，矿床开采技术勘查类型属以环境地质问题为主的</w:t>
      </w:r>
      <w:r>
        <w:rPr>
          <w:rFonts w:hint="default" w:ascii="Times New Roman" w:hAnsi="Times New Roman" w:eastAsia="宋体" w:cs="Times New Roman"/>
          <w:b/>
          <w:bCs/>
          <w:kern w:val="28"/>
          <w:sz w:val="28"/>
          <w:szCs w:val="28"/>
        </w:rPr>
        <w:t>中等</w:t>
      </w:r>
      <w:r>
        <w:rPr>
          <w:rFonts w:hint="default" w:ascii="Times New Roman" w:hAnsi="Times New Roman" w:eastAsia="宋体" w:cs="Times New Roman"/>
          <w:kern w:val="28"/>
          <w:sz w:val="28"/>
          <w:szCs w:val="28"/>
        </w:rPr>
        <w:t>类型</w:t>
      </w:r>
      <w:r>
        <w:rPr>
          <w:rFonts w:hint="default" w:ascii="Times New Roman" w:hAnsi="Times New Roman" w:eastAsia="宋体" w:cs="Times New Roman"/>
          <w:b/>
          <w:bCs/>
          <w:kern w:val="28"/>
          <w:sz w:val="28"/>
          <w:szCs w:val="28"/>
        </w:rPr>
        <w:t>（Ⅱ-3）</w:t>
      </w:r>
      <w:r>
        <w:rPr>
          <w:rFonts w:hint="default" w:ascii="Times New Roman" w:hAnsi="Times New Roman" w:eastAsia="宋体" w:cs="Times New Roman"/>
          <w:kern w:val="28"/>
          <w:sz w:val="28"/>
          <w:szCs w:val="28"/>
        </w:rPr>
        <w:t>。</w:t>
      </w:r>
    </w:p>
    <w:bookmarkEnd w:id="240"/>
    <w:p w14:paraId="68177530">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241" w:name="_Toc6624"/>
      <w:bookmarkStart w:id="242" w:name="_Toc8682"/>
      <w:bookmarkStart w:id="243" w:name="_Toc26471"/>
      <w:bookmarkStart w:id="244" w:name="_Toc7851"/>
      <w:bookmarkStart w:id="245" w:name="_Toc8468"/>
      <w:bookmarkStart w:id="246" w:name="_Toc23957"/>
      <w:r>
        <w:rPr>
          <w:rFonts w:hint="default" w:ascii="Times New Roman" w:hAnsi="Times New Roman" w:eastAsia="宋体" w:cs="Times New Roman"/>
          <w:sz w:val="30"/>
          <w:szCs w:val="30"/>
        </w:rPr>
        <w:t>2.</w:t>
      </w:r>
      <w:bookmarkEnd w:id="184"/>
      <w:bookmarkEnd w:id="185"/>
      <w:r>
        <w:rPr>
          <w:rFonts w:hint="default" w:ascii="Times New Roman" w:hAnsi="Times New Roman" w:eastAsia="宋体" w:cs="Times New Roman"/>
          <w:sz w:val="30"/>
          <w:szCs w:val="30"/>
        </w:rPr>
        <w:t>4建设方案概况</w:t>
      </w:r>
      <w:bookmarkEnd w:id="241"/>
      <w:bookmarkEnd w:id="242"/>
      <w:bookmarkEnd w:id="243"/>
      <w:bookmarkEnd w:id="244"/>
      <w:bookmarkEnd w:id="245"/>
      <w:bookmarkEnd w:id="246"/>
    </w:p>
    <w:p w14:paraId="69476C3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本次预评价报告主要依据</w:t>
      </w:r>
      <w:r>
        <w:rPr>
          <w:rFonts w:hint="default" w:ascii="Times New Roman" w:hAnsi="Times New Roman" w:eastAsia="宋体" w:cs="Times New Roman"/>
          <w:snapToGrid w:val="0"/>
          <w:kern w:val="0"/>
          <w:sz w:val="28"/>
          <w:szCs w:val="28"/>
        </w:rPr>
        <w:t>2023年</w:t>
      </w:r>
      <w:r>
        <w:rPr>
          <w:rFonts w:hint="default" w:ascii="Times New Roman" w:hAnsi="Times New Roman" w:eastAsia="宋体" w:cs="Times New Roman"/>
          <w:snapToGrid w:val="0"/>
          <w:kern w:val="0"/>
          <w:sz w:val="28"/>
          <w:szCs w:val="28"/>
          <w:lang w:val="en-US" w:eastAsia="zh-CN"/>
        </w:rPr>
        <w:t>7</w:t>
      </w:r>
      <w:r>
        <w:rPr>
          <w:rFonts w:hint="default" w:ascii="Times New Roman" w:hAnsi="Times New Roman" w:eastAsia="宋体" w:cs="Times New Roman"/>
          <w:snapToGrid w:val="0"/>
          <w:kern w:val="0"/>
          <w:sz w:val="28"/>
          <w:szCs w:val="28"/>
        </w:rPr>
        <w:t>月云南德成规划设计有限公司编制的</w:t>
      </w:r>
      <w:r>
        <w:rPr>
          <w:rFonts w:hint="default" w:ascii="Times New Roman" w:hAnsi="Times New Roman" w:eastAsia="宋体" w:cs="Times New Roman"/>
          <w:sz w:val="28"/>
          <w:szCs w:val="28"/>
        </w:rPr>
        <w:t>《云南省巧家县老店镇独梨树采石场10万t/a露天采场工程初步设计（代可研）》，以下项目建设方案均依据该设计中所设计的方案进行描述。</w:t>
      </w:r>
    </w:p>
    <w:p w14:paraId="7029AEEA">
      <w:pPr>
        <w:pStyle w:val="4"/>
        <w:adjustRightInd w:val="0"/>
        <w:snapToGrid w:val="0"/>
        <w:spacing w:before="0" w:after="0" w:line="360" w:lineRule="auto"/>
        <w:rPr>
          <w:rFonts w:hint="default" w:ascii="Times New Roman" w:hAnsi="Times New Roman" w:eastAsia="宋体" w:cs="Times New Roman"/>
          <w:sz w:val="28"/>
          <w:szCs w:val="28"/>
        </w:rPr>
      </w:pPr>
      <w:bookmarkStart w:id="247" w:name="_Toc12159"/>
      <w:bookmarkStart w:id="248" w:name="_Toc14710"/>
      <w:bookmarkStart w:id="249" w:name="_Toc6713"/>
      <w:bookmarkStart w:id="250" w:name="_Toc23763"/>
      <w:r>
        <w:rPr>
          <w:rFonts w:hint="default" w:ascii="Times New Roman" w:hAnsi="Times New Roman" w:eastAsia="宋体" w:cs="Times New Roman"/>
          <w:sz w:val="28"/>
          <w:szCs w:val="28"/>
        </w:rPr>
        <w:t>2.4.1矿山现状</w:t>
      </w:r>
      <w:bookmarkEnd w:id="247"/>
      <w:bookmarkEnd w:id="248"/>
      <w:bookmarkEnd w:id="249"/>
      <w:bookmarkEnd w:id="250"/>
    </w:p>
    <w:p w14:paraId="290D1ED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1.露天采场</w:t>
      </w:r>
    </w:p>
    <w:p w14:paraId="27F9186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矿山现状形成了一个山坡露天采空区。采空区坡顶标高为2178m，坡底标高为2094m，高84m，整体形成2094m一个台阶，台阶坡面角43~60°。</w:t>
      </w:r>
    </w:p>
    <w:p w14:paraId="2CE4BAA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经现场踏勘，已形成的采空区边坡整体处于稳定状态，未发现有滑坡、垮塌等不良地质现象。</w:t>
      </w:r>
    </w:p>
    <w:p w14:paraId="7D5E695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矿区西南侧的露天采空区为以前民采形成，距离矿山矿界76m，对矿山开采无相互影响。</w:t>
      </w:r>
    </w:p>
    <w:p w14:paraId="21F37E6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2.运输方式及运输道路</w:t>
      </w:r>
    </w:p>
    <w:p w14:paraId="6C6E77A7">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矿区现状开拓运输方式为公路开拓—汽车运输，现有道路与矿区南侧乡道相通，宽度为5～6m，平均坡度8.3%，最大纵坡9%，最小转弯半径1</w:t>
      </w: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m，为泥结碎石路面。</w:t>
      </w:r>
    </w:p>
    <w:p w14:paraId="2E6AC53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3.采剥工艺</w:t>
      </w:r>
    </w:p>
    <w:p w14:paraId="1A1527F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现状开采方式为：穿孔—爆破，开采顺序自上而下分台阶开采。现有凿岩设备为KQD90露天潜孔钻机，钻孔直径为100mm。</w:t>
      </w:r>
    </w:p>
    <w:p w14:paraId="74CABD87">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4.铲装运输</w:t>
      </w:r>
    </w:p>
    <w:p w14:paraId="616FD170">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矿石经爆破后，采用挖掘机铲装，装载机辅助装车，汽车进行运输。挖掘机斗容为1.0m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，汽车载重为10t。</w:t>
      </w:r>
    </w:p>
    <w:p w14:paraId="15647620">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5.排土场</w:t>
      </w:r>
    </w:p>
    <w:p w14:paraId="1B4EBE9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矿山产生废土石较少，剥离的废土石用于平整场地，目前未设置排土场。</w:t>
      </w:r>
    </w:p>
    <w:p w14:paraId="738F59F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6.排水系统</w:t>
      </w:r>
    </w:p>
    <w:p w14:paraId="3B76A25D">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矿山原开采面积较小，未设置截洪沟等防排水设施。</w:t>
      </w:r>
    </w:p>
    <w:p w14:paraId="74BEDB7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7.供电系统</w:t>
      </w:r>
    </w:p>
    <w:p w14:paraId="0AB2461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矿山供电电源为独梨树村供电所，已经架设10KV架空供电路线至矿区配电室，配置有800kVA变压器一台，矿区及加工区供电由配电室供应。</w:t>
      </w:r>
    </w:p>
    <w:p w14:paraId="4FDCE98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8.总平面布置</w:t>
      </w:r>
    </w:p>
    <w:p w14:paraId="5BE3271A">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（1）临时工棚：位于矿区南侧矿1拐点处，属于工人白天临时休息场所。</w:t>
      </w:r>
    </w:p>
    <w:p w14:paraId="34005D6D">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（2）破碎站：位于矿区南侧矿1拐点处，占地面积300m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，属于已有设施。</w:t>
      </w:r>
    </w:p>
    <w:p w14:paraId="27C341CF">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（3）工业场地：破碎站南部。</w:t>
      </w:r>
    </w:p>
    <w:p w14:paraId="3BFB33C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9.矿山现有设备</w:t>
      </w:r>
    </w:p>
    <w:p w14:paraId="4CA4201F">
      <w:pPr>
        <w:adjustRightInd w:val="0"/>
        <w:snapToGrid w:val="0"/>
        <w:jc w:val="center"/>
        <w:rPr>
          <w:rFonts w:hint="default" w:ascii="Times New Roman" w:hAnsi="Times New Roman" w:eastAsia="宋体" w:cs="Times New Roman"/>
          <w:bCs/>
          <w:sz w:val="24"/>
        </w:rPr>
      </w:pPr>
      <w:r>
        <w:rPr>
          <w:rFonts w:hint="default" w:ascii="Times New Roman" w:hAnsi="Times New Roman" w:eastAsia="宋体" w:cs="Times New Roman"/>
          <w:bCs/>
          <w:sz w:val="24"/>
        </w:rPr>
        <w:t>表2.4-1现有设备清单表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7"/>
        <w:gridCol w:w="2418"/>
        <w:gridCol w:w="3517"/>
        <w:gridCol w:w="2198"/>
      </w:tblGrid>
      <w:tr w14:paraId="7A3A47A1">
        <w:tblPrEx>
          <w:tblCellMar>
            <w:top w:w="0" w:type="dxa"/>
            <w:left w:w="108" w:type="dxa"/>
            <w:bottom w:w="0" w:type="dxa"/>
            <w:right w:w="108" w:type="dxa"/>
          </w:tblCellMar>
        </w:tblPrEx>
        <w:trPr>
          <w:trHeight w:val="397" w:hRule="atLeast"/>
          <w:jc w:val="center"/>
        </w:trPr>
        <w:tc>
          <w:tcPr>
            <w:tcW w:w="674" w:type="pct"/>
            <w:noWrap w:val="0"/>
            <w:vAlign w:val="center"/>
          </w:tcPr>
          <w:p w14:paraId="411D3691">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286" w:type="pct"/>
            <w:noWrap w:val="0"/>
            <w:vAlign w:val="center"/>
          </w:tcPr>
          <w:p w14:paraId="3C8580EC">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1871" w:type="pct"/>
            <w:noWrap w:val="0"/>
            <w:vAlign w:val="center"/>
          </w:tcPr>
          <w:p w14:paraId="39E1641B">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w:t>
            </w:r>
          </w:p>
        </w:tc>
        <w:tc>
          <w:tcPr>
            <w:tcW w:w="1169" w:type="pct"/>
            <w:noWrap w:val="0"/>
            <w:vAlign w:val="center"/>
          </w:tcPr>
          <w:p w14:paraId="6B7A652B">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r>
      <w:tr w14:paraId="3610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4" w:type="pct"/>
            <w:noWrap w:val="0"/>
            <w:vAlign w:val="center"/>
          </w:tcPr>
          <w:p w14:paraId="32EB397F">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286" w:type="pct"/>
            <w:noWrap w:val="0"/>
            <w:vAlign w:val="center"/>
          </w:tcPr>
          <w:p w14:paraId="75529C72">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挖机</w:t>
            </w:r>
          </w:p>
        </w:tc>
        <w:tc>
          <w:tcPr>
            <w:tcW w:w="1871" w:type="pct"/>
            <w:noWrap w:val="0"/>
            <w:vAlign w:val="center"/>
          </w:tcPr>
          <w:p w14:paraId="57B0F610">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1.0m</w:t>
            </w:r>
            <w:r>
              <w:rPr>
                <w:rFonts w:hint="default" w:ascii="Times New Roman" w:hAnsi="Times New Roman" w:eastAsia="宋体" w:cs="Times New Roman"/>
                <w:sz w:val="21"/>
                <w:szCs w:val="21"/>
                <w:vertAlign w:val="superscript"/>
              </w:rPr>
              <w:t>3</w:t>
            </w:r>
          </w:p>
        </w:tc>
        <w:tc>
          <w:tcPr>
            <w:tcW w:w="1169" w:type="pct"/>
            <w:noWrap w:val="0"/>
            <w:vAlign w:val="center"/>
          </w:tcPr>
          <w:p w14:paraId="1F35C22F">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r>
      <w:tr w14:paraId="1DF0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4" w:type="pct"/>
            <w:noWrap w:val="0"/>
            <w:vAlign w:val="center"/>
          </w:tcPr>
          <w:p w14:paraId="555768E4">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286" w:type="pct"/>
            <w:noWrap w:val="0"/>
            <w:vAlign w:val="center"/>
          </w:tcPr>
          <w:p w14:paraId="7982F553">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装载机</w:t>
            </w:r>
          </w:p>
        </w:tc>
        <w:tc>
          <w:tcPr>
            <w:tcW w:w="1871" w:type="pct"/>
            <w:noWrap w:val="0"/>
            <w:vAlign w:val="center"/>
          </w:tcPr>
          <w:p w14:paraId="453F2AA6">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3m</w:t>
            </w:r>
            <w:r>
              <w:rPr>
                <w:rFonts w:hint="default" w:ascii="Times New Roman" w:hAnsi="Times New Roman" w:eastAsia="宋体" w:cs="Times New Roman"/>
                <w:sz w:val="21"/>
                <w:szCs w:val="21"/>
                <w:vertAlign w:val="superscript"/>
              </w:rPr>
              <w:t>3</w:t>
            </w:r>
          </w:p>
        </w:tc>
        <w:tc>
          <w:tcPr>
            <w:tcW w:w="1169" w:type="pct"/>
            <w:noWrap w:val="0"/>
            <w:vAlign w:val="center"/>
          </w:tcPr>
          <w:p w14:paraId="638B0282">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2067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4" w:type="pct"/>
            <w:noWrap w:val="0"/>
            <w:vAlign w:val="center"/>
          </w:tcPr>
          <w:p w14:paraId="7A95A21C">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1286" w:type="pct"/>
            <w:noWrap w:val="0"/>
            <w:vAlign w:val="center"/>
          </w:tcPr>
          <w:p w14:paraId="69DD2F52">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汽车</w:t>
            </w:r>
          </w:p>
        </w:tc>
        <w:tc>
          <w:tcPr>
            <w:tcW w:w="1871" w:type="pct"/>
            <w:noWrap w:val="0"/>
            <w:vAlign w:val="center"/>
          </w:tcPr>
          <w:p w14:paraId="51F0BECD">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10t</w:t>
            </w:r>
          </w:p>
        </w:tc>
        <w:tc>
          <w:tcPr>
            <w:tcW w:w="1169" w:type="pct"/>
            <w:noWrap w:val="0"/>
            <w:vAlign w:val="center"/>
          </w:tcPr>
          <w:p w14:paraId="1A04D56A">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r>
      <w:tr w14:paraId="1A1A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4" w:type="pct"/>
            <w:noWrap w:val="0"/>
            <w:vAlign w:val="center"/>
          </w:tcPr>
          <w:p w14:paraId="26880588">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1286" w:type="pct"/>
            <w:noWrap w:val="0"/>
            <w:vAlign w:val="center"/>
          </w:tcPr>
          <w:p w14:paraId="3ED762E6">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空压机</w:t>
            </w:r>
          </w:p>
        </w:tc>
        <w:tc>
          <w:tcPr>
            <w:tcW w:w="1871" w:type="pct"/>
            <w:noWrap w:val="0"/>
            <w:vAlign w:val="center"/>
          </w:tcPr>
          <w:p w14:paraId="322FFBC7">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13m³</w:t>
            </w:r>
          </w:p>
        </w:tc>
        <w:tc>
          <w:tcPr>
            <w:tcW w:w="1169" w:type="pct"/>
            <w:noWrap w:val="0"/>
            <w:vAlign w:val="center"/>
          </w:tcPr>
          <w:p w14:paraId="4C4E083A">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3984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4" w:type="pct"/>
            <w:noWrap w:val="0"/>
            <w:vAlign w:val="center"/>
          </w:tcPr>
          <w:p w14:paraId="4CFEE7F4">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1286" w:type="pct"/>
            <w:noWrap w:val="0"/>
            <w:vAlign w:val="center"/>
          </w:tcPr>
          <w:p w14:paraId="0A25B2A6">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潜孔钻机</w:t>
            </w:r>
          </w:p>
        </w:tc>
        <w:tc>
          <w:tcPr>
            <w:tcW w:w="1871" w:type="pct"/>
            <w:noWrap w:val="0"/>
            <w:vAlign w:val="center"/>
          </w:tcPr>
          <w:p w14:paraId="03458F15">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KQD90</w:t>
            </w:r>
          </w:p>
        </w:tc>
        <w:tc>
          <w:tcPr>
            <w:tcW w:w="1169" w:type="pct"/>
            <w:noWrap w:val="0"/>
            <w:vAlign w:val="center"/>
          </w:tcPr>
          <w:p w14:paraId="4AD34538">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26CA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4" w:type="pct"/>
            <w:noWrap w:val="0"/>
            <w:vAlign w:val="center"/>
          </w:tcPr>
          <w:p w14:paraId="294E1E17">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1286" w:type="pct"/>
            <w:noWrap w:val="0"/>
            <w:vAlign w:val="center"/>
          </w:tcPr>
          <w:p w14:paraId="0BC9705A">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变压器</w:t>
            </w:r>
          </w:p>
        </w:tc>
        <w:tc>
          <w:tcPr>
            <w:tcW w:w="1871" w:type="pct"/>
            <w:noWrap w:val="0"/>
            <w:vAlign w:val="center"/>
          </w:tcPr>
          <w:p w14:paraId="27AAB7E0">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S11-M-800/6</w:t>
            </w:r>
          </w:p>
        </w:tc>
        <w:tc>
          <w:tcPr>
            <w:tcW w:w="1169" w:type="pct"/>
            <w:noWrap w:val="0"/>
            <w:vAlign w:val="center"/>
          </w:tcPr>
          <w:p w14:paraId="0F558183">
            <w:pPr>
              <w:pStyle w:val="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bl>
    <w:p w14:paraId="7B4D8BFB">
      <w:pPr>
        <w:pStyle w:val="4"/>
        <w:adjustRightInd w:val="0"/>
        <w:snapToGrid w:val="0"/>
        <w:spacing w:before="240" w:beforeLines="100" w:after="0" w:line="360" w:lineRule="auto"/>
        <w:rPr>
          <w:rFonts w:hint="default" w:ascii="Times New Roman" w:hAnsi="Times New Roman" w:eastAsia="宋体" w:cs="Times New Roman"/>
          <w:sz w:val="28"/>
          <w:szCs w:val="28"/>
        </w:rPr>
      </w:pPr>
      <w:bookmarkStart w:id="251" w:name="_Toc969"/>
      <w:bookmarkStart w:id="252" w:name="_Toc7937"/>
      <w:bookmarkStart w:id="253" w:name="_Toc20352"/>
      <w:bookmarkStart w:id="254" w:name="_Toc32372"/>
      <w:r>
        <w:rPr>
          <w:rFonts w:hint="default" w:ascii="Times New Roman" w:hAnsi="Times New Roman" w:eastAsia="宋体" w:cs="Times New Roman"/>
          <w:sz w:val="28"/>
          <w:szCs w:val="28"/>
        </w:rPr>
        <w:t>2.4.2建设规模及工作制度</w:t>
      </w:r>
      <w:bookmarkEnd w:id="251"/>
      <w:bookmarkEnd w:id="252"/>
      <w:bookmarkEnd w:id="253"/>
      <w:bookmarkEnd w:id="254"/>
    </w:p>
    <w:p w14:paraId="22466AB0">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bookmarkStart w:id="255" w:name="_Toc42224900"/>
      <w:r>
        <w:rPr>
          <w:rFonts w:hint="default" w:ascii="Times New Roman" w:hAnsi="Times New Roman" w:eastAsia="宋体" w:cs="Times New Roman"/>
          <w:b w:val="0"/>
          <w:bCs w:val="0"/>
        </w:rPr>
        <w:t>2.4.2.1</w:t>
      </w:r>
      <w:bookmarkEnd w:id="255"/>
      <w:r>
        <w:rPr>
          <w:rFonts w:hint="default" w:ascii="Times New Roman" w:hAnsi="Times New Roman" w:eastAsia="宋体" w:cs="Times New Roman"/>
          <w:b w:val="0"/>
          <w:bCs w:val="0"/>
        </w:rPr>
        <w:t>矿床资源储量</w:t>
      </w:r>
    </w:p>
    <w:p w14:paraId="32B17ABD">
      <w:pPr>
        <w:pStyle w:val="98"/>
        <w:adjustRightInd w:val="0"/>
        <w:snapToGrid w:val="0"/>
        <w:ind w:firstLine="560" w:firstLineChars="200"/>
        <w:rPr>
          <w:rFonts w:hint="default" w:ascii="Times New Roman" w:hAnsi="Times New Roman" w:eastAsia="宋体" w:cs="Times New Roman"/>
          <w:color w:val="auto"/>
          <w:szCs w:val="28"/>
        </w:rPr>
      </w:pPr>
      <w:bookmarkStart w:id="256" w:name="_Hlk127489086"/>
      <w:r>
        <w:rPr>
          <w:rFonts w:hint="default" w:ascii="Times New Roman" w:hAnsi="Times New Roman" w:eastAsia="宋体" w:cs="Times New Roman"/>
          <w:color w:val="auto"/>
          <w:szCs w:val="28"/>
        </w:rPr>
        <w:t>根据《云南省巧家县老店镇独梨树采石场建筑石料用灰岩矿资源量核实报告（2023年）》评审意见书（云方圆中正资矿评储字〔2023〕08号）：截至2023年1月31日，矿区范围内保有推断资源量95.3万m³（256.5万t）。</w:t>
      </w:r>
    </w:p>
    <w:bookmarkEnd w:id="256"/>
    <w:p w14:paraId="4347840F">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2.4.2.2设计利用资源量</w:t>
      </w:r>
    </w:p>
    <w:p w14:paraId="7F16FD6B">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扣除禁采区压覆资源量123.43万t，扣除境界压覆及前期开采消耗35.09万t。按照实际圈定的露天采场境界，设计推断储量可信度取0.7。</w:t>
      </w:r>
    </w:p>
    <w:p w14:paraId="19B14B68">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经计算，设计利用资源量68.58万t（25.50万m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w:t>
      </w:r>
    </w:p>
    <w:p w14:paraId="132892A1">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2.4.2.3矿山生产规模</w:t>
      </w:r>
    </w:p>
    <w:p w14:paraId="60518760">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根据矿区范围内矿床地质特征、矿体赋存条件，结合矿山现状，根据生产能力的验证及采矿许可证，设计推荐生产规模为10万t/a。</w:t>
      </w:r>
    </w:p>
    <w:p w14:paraId="3FA76161">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2.4.2.4服务年限</w:t>
      </w:r>
    </w:p>
    <w:p w14:paraId="11308D16">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矿山生产服务年限为</w:t>
      </w:r>
      <w:r>
        <w:rPr>
          <w:rFonts w:hint="default" w:ascii="Times New Roman" w:hAnsi="Times New Roman" w:eastAsia="宋体" w:cs="Times New Roman"/>
          <w:sz w:val="28"/>
          <w:szCs w:val="28"/>
          <w:lang w:val="en-US" w:eastAsia="zh-CN"/>
        </w:rPr>
        <w:t>6.7</w:t>
      </w:r>
      <w:r>
        <w:rPr>
          <w:rFonts w:hint="default" w:ascii="Times New Roman" w:hAnsi="Times New Roman" w:eastAsia="宋体" w:cs="Times New Roman"/>
          <w:sz w:val="28"/>
          <w:szCs w:val="28"/>
        </w:rPr>
        <w:t>年。</w:t>
      </w:r>
    </w:p>
    <w:p w14:paraId="5015DC31">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2.4.2.</w:t>
      </w:r>
      <w:r>
        <w:rPr>
          <w:rFonts w:hint="default" w:ascii="Times New Roman" w:hAnsi="Times New Roman" w:eastAsia="宋体" w:cs="Times New Roman"/>
          <w:b w:val="0"/>
          <w:bCs w:val="0"/>
          <w:lang w:val="en-US" w:eastAsia="zh-CN"/>
        </w:rPr>
        <w:t>5</w:t>
      </w:r>
      <w:r>
        <w:rPr>
          <w:rFonts w:hint="default" w:ascii="Times New Roman" w:hAnsi="Times New Roman" w:eastAsia="宋体" w:cs="Times New Roman"/>
          <w:b w:val="0"/>
          <w:bCs w:val="0"/>
        </w:rPr>
        <w:t>工作制度</w:t>
      </w:r>
    </w:p>
    <w:p w14:paraId="6D33BDB1">
      <w:pPr>
        <w:widowControl/>
        <w:adjustRightInd w:val="0"/>
        <w:snapToGrid w:val="0"/>
        <w:spacing w:line="360" w:lineRule="auto"/>
        <w:ind w:firstLine="560" w:firstLineChars="200"/>
        <w:rPr>
          <w:rFonts w:hint="default" w:ascii="Times New Roman" w:hAnsi="Times New Roman" w:eastAsia="宋体" w:cs="Times New Roman"/>
          <w:spacing w:val="6"/>
          <w:sz w:val="28"/>
          <w:szCs w:val="28"/>
        </w:rPr>
      </w:pPr>
      <w:r>
        <w:rPr>
          <w:rFonts w:hint="default" w:ascii="Times New Roman" w:hAnsi="Times New Roman" w:eastAsia="宋体" w:cs="Times New Roman"/>
          <w:sz w:val="28"/>
          <w:szCs w:val="28"/>
        </w:rPr>
        <w:t>矿山为露天矿山，采用间断工作制，采剥作业年工作300天，日工作1班，每班工作8小时。</w:t>
      </w:r>
    </w:p>
    <w:p w14:paraId="6FFA2E08">
      <w:pPr>
        <w:pStyle w:val="4"/>
        <w:adjustRightInd w:val="0"/>
        <w:snapToGrid w:val="0"/>
        <w:spacing w:before="0" w:after="0" w:line="360" w:lineRule="auto"/>
        <w:rPr>
          <w:rFonts w:hint="default" w:ascii="Times New Roman" w:hAnsi="Times New Roman" w:eastAsia="宋体" w:cs="Times New Roman"/>
          <w:sz w:val="28"/>
          <w:szCs w:val="28"/>
        </w:rPr>
      </w:pPr>
      <w:bookmarkStart w:id="257" w:name="_Toc242849753"/>
      <w:bookmarkStart w:id="258" w:name="_Toc7295"/>
      <w:bookmarkStart w:id="259" w:name="_Toc7630"/>
      <w:bookmarkStart w:id="260" w:name="_Toc32268"/>
      <w:bookmarkStart w:id="261" w:name="_Toc22506"/>
      <w:r>
        <w:rPr>
          <w:rFonts w:hint="default" w:ascii="Times New Roman" w:hAnsi="Times New Roman" w:eastAsia="宋体" w:cs="Times New Roman"/>
          <w:sz w:val="28"/>
          <w:szCs w:val="28"/>
        </w:rPr>
        <w:t>2.4.</w:t>
      </w:r>
      <w:bookmarkEnd w:id="257"/>
      <w:r>
        <w:rPr>
          <w:rFonts w:hint="default" w:ascii="Times New Roman" w:hAnsi="Times New Roman" w:eastAsia="宋体" w:cs="Times New Roman"/>
          <w:sz w:val="28"/>
          <w:szCs w:val="28"/>
        </w:rPr>
        <w:t>3总图运输</w:t>
      </w:r>
      <w:bookmarkEnd w:id="258"/>
      <w:bookmarkEnd w:id="259"/>
      <w:bookmarkEnd w:id="260"/>
      <w:bookmarkEnd w:id="261"/>
    </w:p>
    <w:p w14:paraId="20F25FC1">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2.4.3.1总平面布置</w:t>
      </w:r>
      <w:bookmarkStart w:id="262" w:name="_Toc269487389"/>
      <w:bookmarkStart w:id="263" w:name="_Toc253153289"/>
      <w:bookmarkStart w:id="264" w:name="_Toc271406062"/>
      <w:bookmarkStart w:id="265" w:name="_Toc255287747"/>
      <w:bookmarkStart w:id="266" w:name="_Toc258243030"/>
      <w:bookmarkStart w:id="267" w:name="_Toc269898677"/>
      <w:bookmarkStart w:id="268" w:name="_Toc270536480"/>
      <w:bookmarkStart w:id="269" w:name="_Toc247367293"/>
      <w:bookmarkStart w:id="270" w:name="_Toc239225480"/>
      <w:bookmarkStart w:id="271" w:name="_Toc279768047"/>
      <w:bookmarkStart w:id="272" w:name="_Toc288999849"/>
      <w:bookmarkStart w:id="273" w:name="_Toc274572775"/>
      <w:bookmarkStart w:id="274" w:name="_Toc270436528"/>
      <w:bookmarkStart w:id="275" w:name="_Toc312176700"/>
      <w:bookmarkStart w:id="276" w:name="_Toc289011431"/>
      <w:bookmarkStart w:id="277" w:name="_Toc270174219"/>
      <w:bookmarkStart w:id="278" w:name="_Toc283072718"/>
      <w:bookmarkStart w:id="279" w:name="_Toc239224010"/>
      <w:bookmarkStart w:id="280" w:name="_Toc235543906"/>
    </w:p>
    <w:p w14:paraId="44F74E0B">
      <w:pPr>
        <w:adjustRightInd w:val="0"/>
        <w:snapToGrid w:val="0"/>
        <w:spacing w:line="360" w:lineRule="auto"/>
        <w:ind w:firstLine="560" w:firstLineChars="200"/>
        <w:rPr>
          <w:rFonts w:hint="default" w:ascii="Times New Roman" w:hAnsi="Times New Roman" w:eastAsia="宋体" w:cs="Times New Roman"/>
          <w:sz w:val="28"/>
          <w:szCs w:val="28"/>
        </w:rPr>
      </w:pPr>
      <w:bookmarkStart w:id="281" w:name="_Hlk83136336"/>
      <w:r>
        <w:rPr>
          <w:rFonts w:hint="default" w:ascii="Times New Roman" w:hAnsi="Times New Roman" w:eastAsia="宋体" w:cs="Times New Roman"/>
          <w:sz w:val="28"/>
          <w:szCs w:val="28"/>
        </w:rPr>
        <w:t>本次矿山工程设计将由以下内容组成：</w:t>
      </w:r>
    </w:p>
    <w:p w14:paraId="42DCD25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1.露天采场：设计露天境界面积0.019km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，开采标高为2218～2140m，开采深度78m，开采结束形成一个山坡露天采场。</w:t>
      </w:r>
    </w:p>
    <w:p w14:paraId="7E8F5FB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2.破碎站：位于矿区西南侧矿1拐点处，距离露天开采境界85m，占地面积300m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，包含破碎车间。</w:t>
      </w:r>
    </w:p>
    <w:p w14:paraId="3DFAAE7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3.工业场地：紧邻破碎站，距离露天开采境界120m，占地面积1000m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，包含简易机修车间、堆料场等。</w:t>
      </w:r>
    </w:p>
    <w:p w14:paraId="25AE982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4.临时工棚：位于矿区西南侧矿1拐点处，距离露天开采境界115m，占地面积100m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w:t>
      </w:r>
    </w:p>
    <w:p w14:paraId="5938116E">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5.临时排土场：位于矿区西侧老采空区内，设计临时排土场容积为1.48万m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，堆排标高2122～2114m，堆排高度8m。下方设置挡土墙，采用浆砌石结构，矩形断面，长度18m，宽1.0m，高2.5m。</w:t>
      </w:r>
    </w:p>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14:paraId="07764DDB">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2.4.3.2运输</w:t>
      </w:r>
    </w:p>
    <w:p w14:paraId="46EB8A26">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1.外部运输方式</w:t>
      </w:r>
    </w:p>
    <w:p w14:paraId="4E42A361">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外部运输主要为外来购买砂石料的车辆。</w:t>
      </w:r>
    </w:p>
    <w:p w14:paraId="7453B8CA">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2.内部运输方式</w:t>
      </w:r>
    </w:p>
    <w:p w14:paraId="6A5C4713">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从露天采场工作面挖掘机铲装至10t自卸汽车，再经矿山运输公路运至加工区破碎加工堆放。</w:t>
      </w:r>
    </w:p>
    <w:p w14:paraId="39C8D5F7">
      <w:pPr>
        <w:pStyle w:val="4"/>
        <w:adjustRightInd w:val="0"/>
        <w:snapToGrid w:val="0"/>
        <w:spacing w:before="0" w:after="0" w:line="360" w:lineRule="auto"/>
        <w:rPr>
          <w:rFonts w:hint="default" w:ascii="Times New Roman" w:hAnsi="Times New Roman" w:eastAsia="宋体" w:cs="Times New Roman"/>
          <w:sz w:val="28"/>
          <w:szCs w:val="28"/>
        </w:rPr>
      </w:pPr>
      <w:bookmarkStart w:id="282" w:name="_Toc29985"/>
      <w:bookmarkStart w:id="283" w:name="_Toc14978"/>
      <w:bookmarkStart w:id="284" w:name="_Toc2971"/>
      <w:bookmarkStart w:id="285" w:name="_Toc18306"/>
      <w:r>
        <w:rPr>
          <w:rFonts w:hint="default" w:ascii="Times New Roman" w:hAnsi="Times New Roman" w:eastAsia="宋体" w:cs="Times New Roman"/>
          <w:sz w:val="28"/>
          <w:szCs w:val="28"/>
        </w:rPr>
        <w:t>2.4.4开采范围及开采方式选择</w:t>
      </w:r>
      <w:bookmarkEnd w:id="282"/>
      <w:bookmarkEnd w:id="283"/>
      <w:bookmarkEnd w:id="284"/>
      <w:bookmarkEnd w:id="285"/>
    </w:p>
    <w:p w14:paraId="61F09F17">
      <w:pPr>
        <w:pStyle w:val="5"/>
        <w:keepNext w:val="0"/>
        <w:keepLines w:val="0"/>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2.4.4.1开采范围</w:t>
      </w:r>
    </w:p>
    <w:p w14:paraId="4B114007">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根据采矿权范围、储量核实范围、开采现状，设计露天境界面积0.019km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，开采标高为2218～2140m，开采深度78m。2140m标高以下台阶不满足最小底宽，无法布置台阶，故设计最低开采标高为2140m。</w:t>
      </w:r>
    </w:p>
    <w:p w14:paraId="654DCD7F">
      <w:pPr>
        <w:adjustRightInd w:val="0"/>
        <w:snapToGrid w:val="0"/>
        <w:spacing w:line="360" w:lineRule="auto"/>
        <w:ind w:firstLine="560" w:firstLineChars="200"/>
        <w:jc w:val="left"/>
        <w:rPr>
          <w:rFonts w:hint="default" w:ascii="Times New Roman" w:hAnsi="Times New Roman" w:eastAsia="宋体" w:cs="Times New Roman"/>
        </w:rPr>
      </w:pPr>
      <w:r>
        <w:rPr>
          <w:rFonts w:hint="default" w:ascii="Times New Roman" w:hAnsi="Times New Roman" w:eastAsia="宋体" w:cs="Times New Roman"/>
          <w:sz w:val="28"/>
          <w:szCs w:val="28"/>
        </w:rPr>
        <w:t>矿区南侧有乡道经过，根据《公路安全保护条例》，安全距离。</w:t>
      </w:r>
    </w:p>
    <w:p w14:paraId="15A75374">
      <w:pPr>
        <w:pStyle w:val="5"/>
        <w:keepNext w:val="0"/>
        <w:keepLines w:val="0"/>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2.4.4.2开采顺序</w:t>
      </w:r>
    </w:p>
    <w:p w14:paraId="73C25D7E">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设计一个山坡露天采场，自上而下分台阶开采。</w:t>
      </w:r>
    </w:p>
    <w:p w14:paraId="7F62B155">
      <w:pPr>
        <w:pStyle w:val="4"/>
        <w:adjustRightInd w:val="0"/>
        <w:snapToGrid w:val="0"/>
        <w:spacing w:before="0" w:after="0" w:line="360" w:lineRule="auto"/>
        <w:rPr>
          <w:rFonts w:hint="default" w:ascii="Times New Roman" w:hAnsi="Times New Roman" w:eastAsia="宋体" w:cs="Times New Roman"/>
          <w:sz w:val="28"/>
          <w:szCs w:val="28"/>
        </w:rPr>
      </w:pPr>
      <w:bookmarkStart w:id="286" w:name="_Toc19696"/>
      <w:bookmarkStart w:id="287" w:name="_Toc9791"/>
      <w:bookmarkStart w:id="288" w:name="_Toc29009"/>
      <w:bookmarkStart w:id="289" w:name="_Toc228"/>
      <w:r>
        <w:rPr>
          <w:rFonts w:hint="default" w:ascii="Times New Roman" w:hAnsi="Times New Roman" w:eastAsia="宋体" w:cs="Times New Roman"/>
          <w:sz w:val="28"/>
          <w:szCs w:val="28"/>
        </w:rPr>
        <w:t>2.4.5开拓运输</w:t>
      </w:r>
      <w:bookmarkEnd w:id="286"/>
      <w:bookmarkEnd w:id="287"/>
      <w:bookmarkEnd w:id="288"/>
      <w:bookmarkEnd w:id="289"/>
    </w:p>
    <w:p w14:paraId="3BAA34B8">
      <w:pPr>
        <w:pStyle w:val="5"/>
        <w:keepNext w:val="0"/>
        <w:keepLines w:val="0"/>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2.4.5.1 开拓运输方案</w:t>
      </w:r>
    </w:p>
    <w:p w14:paraId="1448528E">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本次设计露天采场为山坡露天采场，结合矿区地形条件及矿山作业台阶数、设备移动不频繁、矿山年采剥总量不大等特点，设计采用挖机道路开拓——溜槽运输。</w:t>
      </w:r>
    </w:p>
    <w:p w14:paraId="6486A845">
      <w:pPr>
        <w:pStyle w:val="5"/>
        <w:keepNext w:val="0"/>
        <w:keepLines w:val="0"/>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2.4.5.2 运输道路</w:t>
      </w:r>
    </w:p>
    <w:p w14:paraId="550DFEA8">
      <w:pPr>
        <w:adjustRightInd w:val="0"/>
        <w:snapToGrid w:val="0"/>
        <w:spacing w:line="360" w:lineRule="auto"/>
        <w:ind w:firstLine="560" w:firstLineChars="200"/>
        <w:rPr>
          <w:rFonts w:hint="default" w:ascii="Times New Roman" w:hAnsi="Times New Roman" w:eastAsia="宋体" w:cs="Times New Roman"/>
          <w:sz w:val="28"/>
          <w:szCs w:val="28"/>
        </w:rPr>
      </w:pPr>
      <w:bookmarkStart w:id="290" w:name="_Hlk127495747"/>
      <w:r>
        <w:rPr>
          <w:rFonts w:hint="default" w:ascii="Times New Roman" w:hAnsi="Times New Roman" w:eastAsia="宋体" w:cs="Times New Roman"/>
          <w:sz w:val="28"/>
          <w:szCs w:val="28"/>
        </w:rPr>
        <w:t>1.挖机道路</w:t>
      </w:r>
    </w:p>
    <w:p w14:paraId="4AF0A06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新建挖机道路至2210m标高，长度620m，挖掘机道路坡度小于20°，宽度为3m，挖方量1.20万m3，填方量0.71万m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w:t>
      </w:r>
    </w:p>
    <w:p w14:paraId="4DCAEE97">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2.运输道路</w:t>
      </w:r>
    </w:p>
    <w:p w14:paraId="1A99AD4E">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矿石从2092m接矿平台转运至破碎站卸料口，采用汽车运输，运输道路利旧现有道路，长度96m，宽度6m，平均纵坡8.3%，运输设备采用10t自卸式汽车，数量2辆。</w:t>
      </w:r>
    </w:p>
    <w:p w14:paraId="45152DA3">
      <w:pPr>
        <w:adjustRightInd w:val="0"/>
        <w:snapToGrid w:val="0"/>
        <w:spacing w:line="360" w:lineRule="auto"/>
        <w:ind w:firstLine="560" w:firstLineChars="200"/>
        <w:outlineLvl w:val="3"/>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2.4.5.3 溜槽运输</w:t>
      </w:r>
    </w:p>
    <w:p w14:paraId="2C8591A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1.溜槽位置的选择</w:t>
      </w:r>
    </w:p>
    <w:p w14:paraId="15D5610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矿山地形条件，设计1个溜槽，2210m平台作为最高台阶溜矿平台，在矿区西南部较平缓2092m标高设置接矿平台。溜槽布置结合地形及现状边坡，按溜槽中心线方位角174°布置，上口底板边线与各平台相交并进入平台内，下口底板边线进入2092m接矿平台。</w:t>
      </w:r>
    </w:p>
    <w:p w14:paraId="0ED5473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2.溜槽的类型及坡度</w:t>
      </w:r>
    </w:p>
    <w:p w14:paraId="71691CA5">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矿区内主要为灰岩，矿石性质为不粘矿石，区域内构造不发育整体稳固性较好。根据矿山的适用条件，本次设计为磨损型溜槽。根据矿山的适用条件，溜槽倾角参照上表选取，设计溜槽坡度为49°</w:t>
      </w:r>
    </w:p>
    <w:p w14:paraId="6E55EED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3.溜槽断面尺寸</w:t>
      </w:r>
    </w:p>
    <w:p w14:paraId="1445EF3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溜槽上口设计采用挖掘机转运矿石，矿石块度300~500mm，矿岩均属坚硬岩组，岩石硬度系数为3～8，溜槽底宽设计取3m，溜槽两侧边坡角设计取70°。</w:t>
      </w:r>
    </w:p>
    <w:p w14:paraId="6590118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4.溜槽参数</w:t>
      </w:r>
    </w:p>
    <w:p w14:paraId="7C7AC4E5">
      <w:pPr>
        <w:adjustRightInd w:val="0"/>
        <w:snapToGrid w:val="0"/>
        <w:spacing w:line="360" w:lineRule="auto"/>
        <w:ind w:firstLine="560" w:firstLineChars="200"/>
        <w:rPr>
          <w:rFonts w:hint="default" w:ascii="Times New Roman" w:hAnsi="Times New Roman" w:eastAsia="宋体" w:cs="Times New Roman"/>
          <w:sz w:val="28"/>
          <w:szCs w:val="28"/>
        </w:rPr>
      </w:pPr>
      <w:bookmarkStart w:id="291" w:name="_Hlk110404119"/>
      <w:r>
        <w:rPr>
          <w:rFonts w:hint="default" w:ascii="Times New Roman" w:hAnsi="Times New Roman" w:eastAsia="宋体" w:cs="Times New Roman"/>
          <w:sz w:val="28"/>
          <w:szCs w:val="28"/>
        </w:rPr>
        <w:t>溜槽垂直总高度                         118m</w:t>
      </w:r>
    </w:p>
    <w:p w14:paraId="5558066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溜槽水平投影长度                       104m</w:t>
      </w:r>
    </w:p>
    <w:p w14:paraId="463AB31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溜槽斜长                               157m</w:t>
      </w:r>
    </w:p>
    <w:p w14:paraId="0E7B4E2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溜槽底板倾角                           49°</w:t>
      </w:r>
    </w:p>
    <w:p w14:paraId="46004455">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溜槽上口底板宽度                       3.00m</w:t>
      </w:r>
    </w:p>
    <w:p w14:paraId="41D82D3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溜槽下口底板宽度                       3.00m</w:t>
      </w:r>
    </w:p>
    <w:p w14:paraId="7464279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溜槽两侧岩壁角度                       70°</w:t>
      </w:r>
    </w:p>
    <w:p w14:paraId="6D0A140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溜槽底板与平台边缘距离                 不小于5.00m</w:t>
      </w:r>
    </w:p>
    <w:p w14:paraId="314160B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溜槽上口断面处深度                     不小于3.00m</w:t>
      </w:r>
    </w:p>
    <w:p w14:paraId="29B0100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溜槽下口断面处深度                     不小于20m</w:t>
      </w:r>
    </w:p>
    <w:p w14:paraId="53B7A4FE">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溜槽最大断面处深度                     5m</w:t>
      </w:r>
    </w:p>
    <w:bookmarkEnd w:id="291"/>
    <w:p w14:paraId="50A50346">
      <w:pPr>
        <w:adjustRightInd w:val="0"/>
        <w:snapToGrid w:val="0"/>
        <w:spacing w:line="360" w:lineRule="auto"/>
        <w:ind w:firstLine="560" w:firstLineChars="200"/>
        <w:rPr>
          <w:rFonts w:hint="default" w:ascii="Times New Roman" w:hAnsi="Times New Roman" w:eastAsia="宋体" w:cs="Times New Roman"/>
          <w:sz w:val="28"/>
          <w:szCs w:val="28"/>
        </w:rPr>
      </w:pPr>
      <w:bookmarkStart w:id="292" w:name="_Hlk110404161"/>
      <w:r>
        <w:rPr>
          <w:rFonts w:hint="default" w:ascii="Times New Roman" w:hAnsi="Times New Roman" w:eastAsia="宋体" w:cs="Times New Roman"/>
          <w:sz w:val="28"/>
          <w:szCs w:val="28"/>
        </w:rPr>
        <w:t>溜槽底部设置接矿平台，长度30m，宽度35m，标高2092m；接矿平台东侧设置挡土墙，宽1m，高2.5m，长度13m；接矿平台周围应有明显警示标志，溜矿时人员、设备不能靠近，以防滚石对人员及设备产生安全隐患。</w:t>
      </w:r>
    </w:p>
    <w:bookmarkEnd w:id="292"/>
    <w:p w14:paraId="5151BCB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5.溜槽放矿</w:t>
      </w:r>
    </w:p>
    <w:p w14:paraId="682ADAE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矿石由挖掘机或装载机运至溜槽上口，由溜槽下放至2092m接矿平台后装车运至破碎站。</w:t>
      </w:r>
    </w:p>
    <w:p w14:paraId="00F4C17D">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溜槽上口均设置隔筛，块度小于500mm的矿石直接通过格筛下放，块度大于500mm的矿石通过二次破碎后再下放，格筛孔规格为500×500mm</w:t>
      </w:r>
    </w:p>
    <w:bookmarkEnd w:id="290"/>
    <w:p w14:paraId="63B1BEE1">
      <w:pPr>
        <w:pStyle w:val="4"/>
        <w:adjustRightInd w:val="0"/>
        <w:snapToGrid w:val="0"/>
        <w:spacing w:before="0" w:after="0" w:line="360" w:lineRule="auto"/>
        <w:rPr>
          <w:rFonts w:hint="default" w:ascii="Times New Roman" w:hAnsi="Times New Roman" w:eastAsia="宋体" w:cs="Times New Roman"/>
          <w:sz w:val="28"/>
          <w:szCs w:val="28"/>
        </w:rPr>
      </w:pPr>
      <w:bookmarkStart w:id="293" w:name="_Toc5245"/>
      <w:bookmarkStart w:id="294" w:name="_Toc112"/>
      <w:bookmarkStart w:id="295" w:name="_Toc4955"/>
      <w:bookmarkStart w:id="296" w:name="_Toc24337"/>
      <w:r>
        <w:rPr>
          <w:rFonts w:hint="default" w:ascii="Times New Roman" w:hAnsi="Times New Roman" w:eastAsia="宋体" w:cs="Times New Roman"/>
          <w:sz w:val="28"/>
          <w:szCs w:val="28"/>
        </w:rPr>
        <w:t>2.4.6采剥工艺</w:t>
      </w:r>
    </w:p>
    <w:p w14:paraId="18607834">
      <w:pPr>
        <w:adjustRightInd w:val="0"/>
        <w:snapToGrid w:val="0"/>
        <w:spacing w:line="360" w:lineRule="auto"/>
        <w:ind w:firstLine="560" w:firstLineChars="200"/>
        <w:outlineLvl w:val="3"/>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2.4.6.1剥离工艺</w:t>
      </w:r>
    </w:p>
    <w:p w14:paraId="2C06C70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矿区地表局部存在第四系粘土，约1.25万m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，设计采用挖机超前剥离，堆存至矿区外南侧排土场，后期用于采场复垦。</w:t>
      </w:r>
    </w:p>
    <w:p w14:paraId="205ED7C3">
      <w:pPr>
        <w:adjustRightInd w:val="0"/>
        <w:snapToGrid w:val="0"/>
        <w:spacing w:line="360" w:lineRule="auto"/>
        <w:ind w:firstLine="560" w:firstLineChars="200"/>
        <w:outlineLvl w:val="3"/>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2.4.6.2采矿工艺</w:t>
      </w:r>
    </w:p>
    <w:p w14:paraId="39C31E15">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矿岩的物理力学性质及矿岩的结构、构造，结合现场边坡的稳定情况，石灰岩矿体出露浅表，矿岩较坚硬，设计采用深孔爆破进行开采。凿岩采用KQD90露天潜孔钻机，钻孔直径为100mm。2#乳化炸药，电子数码雷管起爆。</w:t>
      </w:r>
    </w:p>
    <w:p w14:paraId="7A9E0E61">
      <w:pPr>
        <w:adjustRightInd w:val="0"/>
        <w:snapToGrid w:val="0"/>
        <w:spacing w:line="360" w:lineRule="auto"/>
        <w:ind w:firstLine="560" w:firstLineChars="200"/>
        <w:outlineLvl w:val="3"/>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2.4.6.3穿孔爆破</w:t>
      </w:r>
    </w:p>
    <w:p w14:paraId="1B28753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设计采用深孔爆破，爆破参数及装药结构如下：</w:t>
      </w:r>
    </w:p>
    <w:p w14:paraId="748868D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1.常规爆破主爆孔参数确定</w:t>
      </w:r>
    </w:p>
    <w:p w14:paraId="5AB8F0B5">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（1）钻孔形式</w:t>
      </w:r>
    </w:p>
    <w:p w14:paraId="3410AC8A">
      <w:pPr>
        <w:adjustRightInd w:val="0"/>
        <w:snapToGrid w:val="0"/>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设计主爆孔采用垂直孔，炮孔角度为90</w:t>
      </w:r>
      <w:r>
        <w:rPr>
          <w:rFonts w:hint="default" w:ascii="Times New Roman" w:hAnsi="Times New Roman" w:eastAsia="宋体" w:cs="Times New Roman"/>
          <w:sz w:val="28"/>
          <w:szCs w:val="28"/>
          <w:lang w:val="en-US" w:eastAsia="zh-CN"/>
        </w:rPr>
        <w:t>°</w:t>
      </w:r>
    </w:p>
    <w:p w14:paraId="3230488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（2）炮孔直径D</w:t>
      </w:r>
    </w:p>
    <w:p w14:paraId="2A85A2B5">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钻孔直径为100mm。</w:t>
      </w:r>
    </w:p>
    <w:p w14:paraId="2D995B9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（3）超深h和孔深L</w:t>
      </w:r>
    </w:p>
    <w:p w14:paraId="6D83DA5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超深：h=（10-15）d =1.0～1.5m，取1.0m；</w:t>
      </w:r>
    </w:p>
    <w:p w14:paraId="342E637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孔深：</w:t>
      </w:r>
      <m:oMath>
        <m:r>
          <m:rPr>
            <m:sty m:val="p"/>
          </m:rPr>
          <w:rPr>
            <w:rFonts w:hint="default" w:ascii="Cambria Math" w:hAnsi="Cambria Math" w:eastAsia="宋体" w:cs="Times New Roman"/>
            <w:szCs w:val="28"/>
          </w:rPr>
          <m:t xml:space="preserve"> L=</m:t>
        </m:r>
        <m:f>
          <m:fPr>
            <m:ctrlPr>
              <w:rPr>
                <w:rFonts w:hint="default" w:ascii="Cambria Math" w:hAnsi="Cambria Math" w:eastAsia="宋体" w:cs="Times New Roman"/>
                <w:szCs w:val="28"/>
              </w:rPr>
            </m:ctrlPr>
          </m:fPr>
          <m:num>
            <m:r>
              <m:rPr>
                <m:sty m:val="p"/>
              </m:rPr>
              <w:rPr>
                <w:rFonts w:hint="default" w:ascii="Cambria Math" w:hAnsi="Cambria Math" w:eastAsia="宋体" w:cs="Times New Roman"/>
                <w:szCs w:val="28"/>
              </w:rPr>
              <m:t>H</m:t>
            </m:r>
            <m:ctrlPr>
              <w:rPr>
                <w:rFonts w:hint="default" w:ascii="Cambria Math" w:hAnsi="Cambria Math" w:eastAsia="宋体" w:cs="Times New Roman"/>
                <w:szCs w:val="28"/>
              </w:rPr>
            </m:ctrlPr>
          </m:num>
          <m:den>
            <m:r>
              <m:rPr>
                <m:sty m:val="p"/>
              </m:rPr>
              <w:rPr>
                <w:rFonts w:hint="default" w:ascii="Cambria Math" w:hAnsi="Cambria Math" w:eastAsia="宋体" w:cs="Times New Roman"/>
                <w:szCs w:val="28"/>
              </w:rPr>
              <m:t>sinα</m:t>
            </m:r>
            <m:ctrlPr>
              <w:rPr>
                <w:rFonts w:hint="default" w:ascii="Cambria Math" w:hAnsi="Cambria Math" w:eastAsia="宋体" w:cs="Times New Roman"/>
                <w:szCs w:val="28"/>
              </w:rPr>
            </m:ctrlPr>
          </m:den>
        </m:f>
        <m:r>
          <m:rPr>
            <m:sty m:val="p"/>
          </m:rPr>
          <w:rPr>
            <w:rFonts w:hint="default" w:ascii="Cambria Math" w:hAnsi="Cambria Math" w:eastAsia="宋体" w:cs="Times New Roman"/>
            <w:szCs w:val="28"/>
          </w:rPr>
          <m:t>+h</m:t>
        </m:r>
        <m:r>
          <m:rPr/>
          <w:rPr>
            <w:rFonts w:hint="default" w:ascii="Cambria Math" w:hAnsi="Cambria Math" w:eastAsia="宋体" w:cs="Times New Roman"/>
            <w:szCs w:val="28"/>
          </w:rPr>
          <m:t>=11</m:t>
        </m:r>
        <m:r>
          <m:rPr>
            <m:sty m:val="p"/>
          </m:rPr>
          <w:rPr>
            <w:rFonts w:hint="default" w:ascii="Cambria Math" w:hAnsi="Cambria Math" w:eastAsia="宋体" w:cs="Times New Roman"/>
            <w:szCs w:val="28"/>
          </w:rPr>
          <m:t>.0m</m:t>
        </m:r>
      </m:oMath>
      <w:r>
        <w:rPr>
          <w:rFonts w:hint="default" w:ascii="Times New Roman" w:hAnsi="Times New Roman" w:eastAsia="宋体" w:cs="Times New Roman"/>
          <w:sz w:val="28"/>
          <w:szCs w:val="28"/>
        </w:rPr>
        <w:t>。</w:t>
      </w:r>
    </w:p>
    <w:p w14:paraId="08E41E0D">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（4）最小底盘抵抗线W</w:t>
      </w:r>
    </w:p>
    <w:p w14:paraId="6CC313A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W=(25～45)d=2.5～4.5m，取3.5m。</w:t>
      </w:r>
    </w:p>
    <w:p w14:paraId="1C9E6DE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（5）孔距</w:t>
      </w:r>
    </w:p>
    <w:p w14:paraId="399760D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可用最小底盘抵抗线W与炮孔密集系数m的乘积来计算，即a=m×W=（1～1.3）W=3.5～4.55m，取a=3.5m。</w:t>
      </w:r>
    </w:p>
    <w:p w14:paraId="2C859B7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（6）排距</w:t>
      </w:r>
    </w:p>
    <w:p w14:paraId="2EE7D55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b=（0.9～1.0）W=2.7～3.0m，取3.0m。</w:t>
      </w:r>
    </w:p>
    <w:p w14:paraId="2CDC5D4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（7）堵塞长度</w:t>
      </w:r>
    </w:p>
    <w:p w14:paraId="22B2CD9D">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L2=ZW=1.0×3.5=3.5m；</w:t>
      </w:r>
    </w:p>
    <w:p w14:paraId="384DB26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（8）单孔装药量</w:t>
      </w:r>
    </w:p>
    <w:p w14:paraId="2A792C8F">
      <w:pPr>
        <w:adjustRightInd w:val="0"/>
        <w:snapToGrid w:val="0"/>
        <w:spacing w:line="360" w:lineRule="auto"/>
        <w:ind w:firstLine="420" w:firstLineChars="200"/>
        <w:rPr>
          <w:rFonts w:hint="default" w:ascii="Times New Roman" w:hAnsi="Times New Roman" w:eastAsia="宋体" w:cs="Times New Roman"/>
          <w:sz w:val="28"/>
          <w:szCs w:val="28"/>
        </w:rPr>
      </w:pPr>
      <m:oMath>
        <m:r>
          <m:rPr/>
          <w:rPr>
            <w:rFonts w:hint="default" w:ascii="Cambria Math" w:hAnsi="Cambria Math" w:eastAsia="宋体" w:cs="Times New Roman"/>
            <w:szCs w:val="28"/>
          </w:rPr>
          <m:t>Q=</m:t>
        </m:r>
        <m:f>
          <m:fPr>
            <m:ctrlPr>
              <w:rPr>
                <w:rFonts w:hint="default" w:ascii="Cambria Math" w:hAnsi="Cambria Math" w:eastAsia="宋体" w:cs="Times New Roman"/>
                <w:i/>
                <w:szCs w:val="28"/>
              </w:rPr>
            </m:ctrlPr>
          </m:fPr>
          <m:num>
            <m:sSub>
              <m:sSubPr>
                <m:ctrlPr>
                  <w:rPr>
                    <w:rFonts w:hint="default" w:ascii="Cambria Math" w:hAnsi="Cambria Math" w:eastAsia="宋体" w:cs="Times New Roman"/>
                    <w:i/>
                    <w:szCs w:val="28"/>
                  </w:rPr>
                </m:ctrlPr>
              </m:sSubPr>
              <m:e>
                <m:r>
                  <m:rPr/>
                  <w:rPr>
                    <w:rFonts w:hint="default" w:ascii="Cambria Math" w:hAnsi="Cambria Math" w:eastAsia="宋体" w:cs="Times New Roman"/>
                    <w:szCs w:val="28"/>
                  </w:rPr>
                  <m:t>L</m:t>
                </m:r>
                <m:ctrlPr>
                  <w:rPr>
                    <w:rFonts w:hint="default" w:ascii="Cambria Math" w:hAnsi="Cambria Math" w:eastAsia="宋体" w:cs="Times New Roman"/>
                    <w:i/>
                    <w:szCs w:val="28"/>
                  </w:rPr>
                </m:ctrlPr>
              </m:e>
              <m:sub>
                <m:r>
                  <m:rPr/>
                  <w:rPr>
                    <w:rFonts w:hint="default" w:ascii="Cambria Math" w:hAnsi="Cambria Math" w:eastAsia="宋体" w:cs="Times New Roman"/>
                    <w:szCs w:val="28"/>
                  </w:rPr>
                  <m:t>1</m:t>
                </m:r>
                <m:ctrlPr>
                  <w:rPr>
                    <w:rFonts w:hint="default" w:ascii="Cambria Math" w:hAnsi="Cambria Math" w:eastAsia="宋体" w:cs="Times New Roman"/>
                    <w:i/>
                    <w:szCs w:val="28"/>
                  </w:rPr>
                </m:ctrlPr>
              </m:sub>
            </m:sSub>
            <m:r>
              <m:rPr>
                <m:sty m:val="p"/>
              </m:rPr>
              <w:rPr>
                <w:rFonts w:hint="default" w:ascii="Cambria Math" w:hAnsi="Cambria Math" w:eastAsia="宋体" w:cs="Times New Roman"/>
                <w:szCs w:val="28"/>
              </w:rPr>
              <m:t>π</m:t>
            </m:r>
            <m:sSup>
              <m:sSupPr>
                <m:ctrlPr>
                  <w:rPr>
                    <w:rFonts w:hint="default" w:ascii="Cambria Math" w:hAnsi="Cambria Math" w:eastAsia="宋体" w:cs="Times New Roman"/>
                    <w:szCs w:val="28"/>
                  </w:rPr>
                </m:ctrlPr>
              </m:sSupPr>
              <m:e>
                <m:r>
                  <m:rPr>
                    <m:sty m:val="p"/>
                  </m:rPr>
                  <w:rPr>
                    <w:rFonts w:hint="default" w:ascii="Cambria Math" w:hAnsi="Cambria Math" w:eastAsia="宋体" w:cs="Times New Roman"/>
                    <w:szCs w:val="28"/>
                  </w:rPr>
                  <m:t>d</m:t>
                </m:r>
                <m:ctrlPr>
                  <w:rPr>
                    <w:rFonts w:hint="default" w:ascii="Cambria Math" w:hAnsi="Cambria Math" w:eastAsia="宋体" w:cs="Times New Roman"/>
                    <w:szCs w:val="28"/>
                  </w:rPr>
                </m:ctrlPr>
              </m:e>
              <m:sup>
                <m:r>
                  <m:rPr>
                    <m:sty m:val="p"/>
                  </m:rPr>
                  <w:rPr>
                    <w:rFonts w:hint="default" w:ascii="Cambria Math" w:hAnsi="Cambria Math" w:eastAsia="宋体" w:cs="Times New Roman"/>
                    <w:szCs w:val="28"/>
                  </w:rPr>
                  <m:t>2</m:t>
                </m:r>
                <m:ctrlPr>
                  <w:rPr>
                    <w:rFonts w:hint="default" w:ascii="Cambria Math" w:hAnsi="Cambria Math" w:eastAsia="宋体" w:cs="Times New Roman"/>
                    <w:szCs w:val="28"/>
                  </w:rPr>
                </m:ctrlPr>
              </m:sup>
            </m:sSup>
            <m:r>
              <m:rPr>
                <m:sty m:val="p"/>
              </m:rPr>
              <w:rPr>
                <w:rFonts w:hint="default" w:ascii="Cambria Math" w:hAnsi="Cambria Math" w:eastAsia="宋体" w:cs="Times New Roman"/>
                <w:szCs w:val="28"/>
              </w:rPr>
              <m:t>Δ</m:t>
            </m:r>
            <m:ctrlPr>
              <w:rPr>
                <w:rFonts w:hint="default" w:ascii="Cambria Math" w:hAnsi="Cambria Math" w:eastAsia="宋体" w:cs="Times New Roman"/>
                <w:i/>
                <w:szCs w:val="28"/>
              </w:rPr>
            </m:ctrlPr>
          </m:num>
          <m:den>
            <m:r>
              <m:rPr/>
              <w:rPr>
                <w:rFonts w:hint="default" w:ascii="Cambria Math" w:hAnsi="Cambria Math" w:eastAsia="宋体" w:cs="Times New Roman"/>
                <w:szCs w:val="28"/>
              </w:rPr>
              <m:t>4</m:t>
            </m:r>
            <m:ctrlPr>
              <w:rPr>
                <w:rFonts w:hint="default" w:ascii="Cambria Math" w:hAnsi="Cambria Math" w:eastAsia="宋体" w:cs="Times New Roman"/>
                <w:i/>
                <w:szCs w:val="28"/>
              </w:rPr>
            </m:ctrlPr>
          </m:den>
        </m:f>
        <m:r>
          <m:rPr/>
          <w:rPr>
            <w:rFonts w:hint="default" w:ascii="Cambria Math" w:hAnsi="Cambria Math" w:eastAsia="宋体" w:cs="Times New Roman"/>
            <w:szCs w:val="28"/>
          </w:rPr>
          <m:t>=</m:t>
        </m:r>
        <m:f>
          <m:fPr>
            <m:ctrlPr>
              <w:rPr>
                <w:rFonts w:hint="default" w:ascii="Cambria Math" w:hAnsi="Cambria Math" w:eastAsia="宋体" w:cs="Times New Roman"/>
                <w:i/>
                <w:szCs w:val="28"/>
              </w:rPr>
            </m:ctrlPr>
          </m:fPr>
          <m:num>
            <m:r>
              <m:rPr/>
              <w:rPr>
                <w:rFonts w:hint="default" w:ascii="Cambria Math" w:hAnsi="Cambria Math" w:eastAsia="宋体" w:cs="Times New Roman"/>
                <w:szCs w:val="28"/>
              </w:rPr>
              <m:t>7.5×3.14×</m:t>
            </m:r>
            <m:sSup>
              <m:sSupPr>
                <m:ctrlPr>
                  <w:rPr>
                    <w:rFonts w:hint="default" w:ascii="Cambria Math" w:hAnsi="Cambria Math" w:eastAsia="宋体" w:cs="Times New Roman"/>
                    <w:szCs w:val="28"/>
                  </w:rPr>
                </m:ctrlPr>
              </m:sSupPr>
              <m:e>
                <m:r>
                  <m:rPr>
                    <m:sty m:val="p"/>
                  </m:rPr>
                  <w:rPr>
                    <w:rFonts w:hint="default" w:ascii="Cambria Math" w:hAnsi="Cambria Math" w:eastAsia="宋体" w:cs="Times New Roman"/>
                    <w:szCs w:val="28"/>
                  </w:rPr>
                  <m:t>0.1</m:t>
                </m:r>
                <m:ctrlPr>
                  <w:rPr>
                    <w:rFonts w:hint="default" w:ascii="Cambria Math" w:hAnsi="Cambria Math" w:eastAsia="宋体" w:cs="Times New Roman"/>
                    <w:i/>
                    <w:szCs w:val="28"/>
                  </w:rPr>
                </m:ctrlPr>
              </m:e>
              <m:sup>
                <m:r>
                  <m:rPr>
                    <m:sty m:val="p"/>
                  </m:rPr>
                  <w:rPr>
                    <w:rFonts w:hint="default" w:ascii="Cambria Math" w:hAnsi="Cambria Math" w:eastAsia="宋体" w:cs="Times New Roman"/>
                    <w:szCs w:val="28"/>
                  </w:rPr>
                  <m:t>2</m:t>
                </m:r>
                <m:ctrlPr>
                  <w:rPr>
                    <w:rFonts w:hint="default" w:ascii="Cambria Math" w:hAnsi="Cambria Math" w:eastAsia="宋体" w:cs="Times New Roman"/>
                    <w:szCs w:val="28"/>
                  </w:rPr>
                </m:ctrlPr>
              </m:sup>
            </m:sSup>
            <m:r>
              <m:rPr>
                <m:sty m:val="p"/>
              </m:rPr>
              <w:rPr>
                <w:rFonts w:hint="default" w:ascii="Cambria Math" w:hAnsi="Cambria Math" w:eastAsia="宋体" w:cs="Times New Roman"/>
                <w:szCs w:val="28"/>
              </w:rPr>
              <m:t>×800</m:t>
            </m:r>
            <m:ctrlPr>
              <w:rPr>
                <w:rFonts w:hint="default" w:ascii="Cambria Math" w:hAnsi="Cambria Math" w:eastAsia="宋体" w:cs="Times New Roman"/>
                <w:i/>
                <w:szCs w:val="28"/>
              </w:rPr>
            </m:ctrlPr>
          </m:num>
          <m:den>
            <m:r>
              <m:rPr/>
              <w:rPr>
                <w:rFonts w:hint="default" w:ascii="Cambria Math" w:hAnsi="Cambria Math" w:eastAsia="宋体" w:cs="Times New Roman"/>
                <w:szCs w:val="28"/>
              </w:rPr>
              <m:t>4</m:t>
            </m:r>
            <m:ctrlPr>
              <w:rPr>
                <w:rFonts w:hint="default" w:ascii="Cambria Math" w:hAnsi="Cambria Math" w:eastAsia="宋体" w:cs="Times New Roman"/>
                <w:i/>
                <w:szCs w:val="28"/>
              </w:rPr>
            </m:ctrlPr>
          </m:den>
        </m:f>
        <m:r>
          <m:rPr/>
          <w:rPr>
            <w:rFonts w:hint="default" w:ascii="Cambria Math" w:hAnsi="Cambria Math" w:eastAsia="宋体" w:cs="Times New Roman"/>
            <w:szCs w:val="28"/>
          </w:rPr>
          <m:t>=47.1kg</m:t>
        </m:r>
      </m:oMath>
      <w:r>
        <w:rPr>
          <w:rFonts w:hint="default" w:ascii="Times New Roman" w:hAnsi="Times New Roman" w:eastAsia="宋体" w:cs="Times New Roman"/>
          <w:sz w:val="28"/>
          <w:szCs w:val="28"/>
        </w:rPr>
        <w:t>；</w:t>
      </w:r>
    </w:p>
    <w:p w14:paraId="5D5F41E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式中：</w:t>
      </w:r>
      <m:oMath>
        <m:r>
          <m:rPr/>
          <w:rPr>
            <w:rFonts w:hint="default" w:ascii="Cambria Math" w:hAnsi="Cambria Math" w:eastAsia="宋体" w:cs="Times New Roman"/>
            <w:szCs w:val="28"/>
          </w:rPr>
          <m:t>Q</m:t>
        </m:r>
      </m:oMath>
      <w:r>
        <w:rPr>
          <w:rFonts w:hint="default" w:ascii="Times New Roman" w:hAnsi="Times New Roman" w:eastAsia="宋体" w:cs="Times New Roman"/>
          <w:sz w:val="28"/>
          <w:szCs w:val="28"/>
        </w:rPr>
        <w:t>—装药量验算值，kg；</w:t>
      </w:r>
    </w:p>
    <w:p w14:paraId="5E0E79C0">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Δ—装药密度，kg/m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，800kg/m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w:t>
      </w:r>
    </w:p>
    <w:p w14:paraId="3770345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L1—装药长度，m，7.5m。</w:t>
      </w:r>
    </w:p>
    <w:p w14:paraId="7E99ECE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经计算，每孔装药量为47.1kg，炸药单耗为4.5kg/m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。爆破参数见表2.4-2。</w:t>
      </w:r>
    </w:p>
    <w:p w14:paraId="092FB927">
      <w:pPr>
        <w:adjustRightInd w:val="0"/>
        <w:snapToGrid w:val="0"/>
        <w:ind w:firstLine="480" w:firstLineChars="200"/>
        <w:jc w:val="center"/>
        <w:rPr>
          <w:rFonts w:hint="default" w:ascii="Times New Roman" w:hAnsi="Times New Roman" w:eastAsia="宋体" w:cs="Times New Roman"/>
          <w:bCs/>
          <w:sz w:val="24"/>
        </w:rPr>
      </w:pPr>
      <w:r>
        <w:rPr>
          <w:rFonts w:hint="default" w:ascii="Times New Roman" w:hAnsi="Times New Roman" w:eastAsia="宋体" w:cs="Times New Roman"/>
          <w:bCs/>
          <w:sz w:val="24"/>
        </w:rPr>
        <w:t>表2.4-2  爆破作业参数计算表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3"/>
        <w:gridCol w:w="2967"/>
        <w:gridCol w:w="2081"/>
        <w:gridCol w:w="2269"/>
      </w:tblGrid>
      <w:tr w14:paraId="5B3A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8" w:type="pct"/>
            <w:noWrap w:val="0"/>
            <w:vAlign w:val="center"/>
          </w:tcPr>
          <w:p w14:paraId="3E00FFFA">
            <w:pPr>
              <w:pStyle w:val="104"/>
              <w:rPr>
                <w:rFonts w:hint="default" w:ascii="Times New Roman" w:hAnsi="Times New Roman" w:eastAsia="宋体" w:cs="Times New Roman"/>
              </w:rPr>
            </w:pPr>
            <w:r>
              <w:rPr>
                <w:rFonts w:hint="default" w:ascii="Times New Roman" w:hAnsi="Times New Roman" w:eastAsia="宋体" w:cs="Times New Roman"/>
              </w:rPr>
              <w:t>序号</w:t>
            </w:r>
          </w:p>
        </w:tc>
        <w:tc>
          <w:tcPr>
            <w:tcW w:w="1578" w:type="pct"/>
            <w:noWrap w:val="0"/>
            <w:vAlign w:val="center"/>
          </w:tcPr>
          <w:p w14:paraId="1F9446EE">
            <w:pPr>
              <w:pStyle w:val="104"/>
              <w:rPr>
                <w:rFonts w:hint="default" w:ascii="Times New Roman" w:hAnsi="Times New Roman" w:eastAsia="宋体" w:cs="Times New Roman"/>
              </w:rPr>
            </w:pPr>
            <w:r>
              <w:rPr>
                <w:rFonts w:hint="default" w:ascii="Times New Roman" w:hAnsi="Times New Roman" w:eastAsia="宋体" w:cs="Times New Roman"/>
              </w:rPr>
              <w:t>项目</w:t>
            </w:r>
          </w:p>
        </w:tc>
        <w:tc>
          <w:tcPr>
            <w:tcW w:w="1107" w:type="pct"/>
            <w:noWrap w:val="0"/>
            <w:vAlign w:val="center"/>
          </w:tcPr>
          <w:p w14:paraId="4D42925D">
            <w:pPr>
              <w:pStyle w:val="104"/>
              <w:rPr>
                <w:rFonts w:hint="default" w:ascii="Times New Roman" w:hAnsi="Times New Roman" w:eastAsia="宋体" w:cs="Times New Roman"/>
              </w:rPr>
            </w:pPr>
            <w:r>
              <w:rPr>
                <w:rFonts w:hint="default" w:ascii="Times New Roman" w:hAnsi="Times New Roman" w:eastAsia="宋体" w:cs="Times New Roman"/>
              </w:rPr>
              <w:t>单位</w:t>
            </w:r>
          </w:p>
        </w:tc>
        <w:tc>
          <w:tcPr>
            <w:tcW w:w="1207" w:type="pct"/>
            <w:noWrap w:val="0"/>
            <w:vAlign w:val="center"/>
          </w:tcPr>
          <w:p w14:paraId="7B534670">
            <w:pPr>
              <w:pStyle w:val="104"/>
              <w:rPr>
                <w:rFonts w:hint="default" w:ascii="Times New Roman" w:hAnsi="Times New Roman" w:eastAsia="宋体" w:cs="Times New Roman"/>
              </w:rPr>
            </w:pPr>
            <w:r>
              <w:rPr>
                <w:rFonts w:hint="default" w:ascii="Times New Roman" w:hAnsi="Times New Roman" w:eastAsia="宋体" w:cs="Times New Roman"/>
              </w:rPr>
              <w:t>数量</w:t>
            </w:r>
          </w:p>
        </w:tc>
      </w:tr>
      <w:tr w14:paraId="6D65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8" w:type="pct"/>
            <w:noWrap w:val="0"/>
            <w:vAlign w:val="center"/>
          </w:tcPr>
          <w:p w14:paraId="3D4ACBEC">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78" w:type="pct"/>
            <w:noWrap w:val="0"/>
            <w:vAlign w:val="center"/>
          </w:tcPr>
          <w:p w14:paraId="57BF369F">
            <w:pPr>
              <w:pStyle w:val="104"/>
              <w:rPr>
                <w:rFonts w:hint="default" w:ascii="Times New Roman" w:hAnsi="Times New Roman" w:eastAsia="宋体" w:cs="Times New Roman"/>
              </w:rPr>
            </w:pPr>
            <w:r>
              <w:rPr>
                <w:rFonts w:hint="default" w:ascii="Times New Roman" w:hAnsi="Times New Roman" w:eastAsia="宋体" w:cs="Times New Roman"/>
              </w:rPr>
              <w:t>炮孔直径</w:t>
            </w:r>
          </w:p>
        </w:tc>
        <w:tc>
          <w:tcPr>
            <w:tcW w:w="1107" w:type="pct"/>
            <w:noWrap w:val="0"/>
            <w:vAlign w:val="center"/>
          </w:tcPr>
          <w:p w14:paraId="33D6E769">
            <w:pPr>
              <w:pStyle w:val="104"/>
              <w:rPr>
                <w:rFonts w:hint="default" w:ascii="Times New Roman" w:hAnsi="Times New Roman" w:eastAsia="宋体" w:cs="Times New Roman"/>
              </w:rPr>
            </w:pPr>
            <w:r>
              <w:rPr>
                <w:rFonts w:hint="default" w:ascii="Times New Roman" w:hAnsi="Times New Roman" w:eastAsia="宋体" w:cs="Times New Roman"/>
              </w:rPr>
              <w:t>mm</w:t>
            </w:r>
          </w:p>
        </w:tc>
        <w:tc>
          <w:tcPr>
            <w:tcW w:w="1207" w:type="pct"/>
            <w:noWrap w:val="0"/>
            <w:vAlign w:val="center"/>
          </w:tcPr>
          <w:p w14:paraId="23983784">
            <w:pPr>
              <w:pStyle w:val="104"/>
              <w:rPr>
                <w:rFonts w:hint="default" w:ascii="Times New Roman" w:hAnsi="Times New Roman" w:eastAsia="宋体" w:cs="Times New Roman"/>
              </w:rPr>
            </w:pPr>
            <w:r>
              <w:rPr>
                <w:rFonts w:hint="default" w:ascii="Times New Roman" w:hAnsi="Times New Roman" w:eastAsia="宋体" w:cs="Times New Roman"/>
              </w:rPr>
              <w:t>100</w:t>
            </w:r>
          </w:p>
        </w:tc>
      </w:tr>
      <w:tr w14:paraId="7B78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8" w:type="pct"/>
            <w:noWrap w:val="0"/>
            <w:vAlign w:val="center"/>
          </w:tcPr>
          <w:p w14:paraId="2E407C66">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78" w:type="pct"/>
            <w:noWrap w:val="0"/>
            <w:vAlign w:val="center"/>
          </w:tcPr>
          <w:p w14:paraId="49A9ECD4">
            <w:pPr>
              <w:pStyle w:val="104"/>
              <w:rPr>
                <w:rFonts w:hint="default" w:ascii="Times New Roman" w:hAnsi="Times New Roman" w:eastAsia="宋体" w:cs="Times New Roman"/>
              </w:rPr>
            </w:pPr>
            <w:r>
              <w:rPr>
                <w:rFonts w:hint="default" w:ascii="Times New Roman" w:hAnsi="Times New Roman" w:eastAsia="宋体" w:cs="Times New Roman"/>
              </w:rPr>
              <w:t>炮孔倾角</w:t>
            </w:r>
          </w:p>
        </w:tc>
        <w:tc>
          <w:tcPr>
            <w:tcW w:w="1107" w:type="pct"/>
            <w:noWrap w:val="0"/>
            <w:vAlign w:val="center"/>
          </w:tcPr>
          <w:p w14:paraId="07057F13">
            <w:pPr>
              <w:pStyle w:val="104"/>
              <w:rPr>
                <w:rFonts w:hint="default" w:ascii="Times New Roman" w:hAnsi="Times New Roman" w:eastAsia="宋体" w:cs="Times New Roman"/>
              </w:rPr>
            </w:pPr>
            <w:r>
              <w:rPr>
                <w:rFonts w:hint="default" w:ascii="Times New Roman" w:hAnsi="Times New Roman" w:eastAsia="宋体" w:cs="Times New Roman"/>
              </w:rPr>
              <w:t>°</w:t>
            </w:r>
          </w:p>
        </w:tc>
        <w:tc>
          <w:tcPr>
            <w:tcW w:w="1207" w:type="pct"/>
            <w:noWrap w:val="0"/>
            <w:vAlign w:val="center"/>
          </w:tcPr>
          <w:p w14:paraId="2F839622">
            <w:pPr>
              <w:pStyle w:val="104"/>
              <w:rPr>
                <w:rFonts w:hint="default" w:ascii="Times New Roman" w:hAnsi="Times New Roman" w:eastAsia="宋体" w:cs="Times New Roman"/>
              </w:rPr>
            </w:pPr>
            <w:r>
              <w:rPr>
                <w:rFonts w:hint="default" w:ascii="Times New Roman" w:hAnsi="Times New Roman" w:eastAsia="宋体" w:cs="Times New Roman"/>
              </w:rPr>
              <w:t>90</w:t>
            </w:r>
          </w:p>
        </w:tc>
      </w:tr>
      <w:tr w14:paraId="2ACB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8" w:type="pct"/>
            <w:noWrap w:val="0"/>
            <w:vAlign w:val="center"/>
          </w:tcPr>
          <w:p w14:paraId="4116AD40">
            <w:pPr>
              <w:pStyle w:val="104"/>
              <w:rPr>
                <w:rFonts w:hint="default" w:ascii="Times New Roman" w:hAnsi="Times New Roman" w:eastAsia="宋体" w:cs="Times New Roman"/>
              </w:rPr>
            </w:pPr>
            <w:r>
              <w:rPr>
                <w:rFonts w:hint="default" w:ascii="Times New Roman" w:hAnsi="Times New Roman" w:eastAsia="宋体" w:cs="Times New Roman"/>
              </w:rPr>
              <w:t>3</w:t>
            </w:r>
          </w:p>
        </w:tc>
        <w:tc>
          <w:tcPr>
            <w:tcW w:w="1578" w:type="pct"/>
            <w:noWrap w:val="0"/>
            <w:vAlign w:val="center"/>
          </w:tcPr>
          <w:p w14:paraId="3CFD25AB">
            <w:pPr>
              <w:pStyle w:val="104"/>
              <w:rPr>
                <w:rFonts w:hint="default" w:ascii="Times New Roman" w:hAnsi="Times New Roman" w:eastAsia="宋体" w:cs="Times New Roman"/>
              </w:rPr>
            </w:pPr>
            <w:r>
              <w:rPr>
                <w:rFonts w:hint="default" w:ascii="Times New Roman" w:hAnsi="Times New Roman" w:eastAsia="宋体" w:cs="Times New Roman"/>
              </w:rPr>
              <w:t>炮孔深度</w:t>
            </w:r>
          </w:p>
        </w:tc>
        <w:tc>
          <w:tcPr>
            <w:tcW w:w="1107" w:type="pct"/>
            <w:noWrap w:val="0"/>
            <w:vAlign w:val="center"/>
          </w:tcPr>
          <w:p w14:paraId="2A14A514">
            <w:pPr>
              <w:pStyle w:val="104"/>
              <w:rPr>
                <w:rFonts w:hint="default" w:ascii="Times New Roman" w:hAnsi="Times New Roman" w:eastAsia="宋体" w:cs="Times New Roman"/>
              </w:rPr>
            </w:pPr>
            <w:r>
              <w:rPr>
                <w:rFonts w:hint="default" w:ascii="Times New Roman" w:hAnsi="Times New Roman" w:eastAsia="宋体" w:cs="Times New Roman"/>
              </w:rPr>
              <w:t>m</w:t>
            </w:r>
          </w:p>
        </w:tc>
        <w:tc>
          <w:tcPr>
            <w:tcW w:w="1207" w:type="pct"/>
            <w:noWrap w:val="0"/>
            <w:vAlign w:val="center"/>
          </w:tcPr>
          <w:p w14:paraId="5C81AFD5">
            <w:pPr>
              <w:pStyle w:val="104"/>
              <w:rPr>
                <w:rFonts w:hint="default" w:ascii="Times New Roman" w:hAnsi="Times New Roman" w:eastAsia="宋体" w:cs="Times New Roman"/>
              </w:rPr>
            </w:pPr>
            <w:r>
              <w:rPr>
                <w:rFonts w:hint="default" w:ascii="Times New Roman" w:hAnsi="Times New Roman" w:eastAsia="宋体" w:cs="Times New Roman"/>
              </w:rPr>
              <w:t>11</w:t>
            </w:r>
          </w:p>
        </w:tc>
      </w:tr>
      <w:tr w14:paraId="2474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8" w:type="pct"/>
            <w:noWrap w:val="0"/>
            <w:vAlign w:val="center"/>
          </w:tcPr>
          <w:p w14:paraId="31620136">
            <w:pPr>
              <w:pStyle w:val="104"/>
              <w:rPr>
                <w:rFonts w:hint="default" w:ascii="Times New Roman" w:hAnsi="Times New Roman" w:eastAsia="宋体" w:cs="Times New Roman"/>
              </w:rPr>
            </w:pPr>
            <w:r>
              <w:rPr>
                <w:rFonts w:hint="default" w:ascii="Times New Roman" w:hAnsi="Times New Roman" w:eastAsia="宋体" w:cs="Times New Roman"/>
              </w:rPr>
              <w:t>4</w:t>
            </w:r>
          </w:p>
        </w:tc>
        <w:tc>
          <w:tcPr>
            <w:tcW w:w="1578" w:type="pct"/>
            <w:noWrap w:val="0"/>
            <w:vAlign w:val="center"/>
          </w:tcPr>
          <w:p w14:paraId="29A4616F">
            <w:pPr>
              <w:pStyle w:val="104"/>
              <w:rPr>
                <w:rFonts w:hint="default" w:ascii="Times New Roman" w:hAnsi="Times New Roman" w:eastAsia="宋体" w:cs="Times New Roman"/>
              </w:rPr>
            </w:pPr>
            <w:r>
              <w:rPr>
                <w:rFonts w:hint="default" w:ascii="Times New Roman" w:hAnsi="Times New Roman" w:eastAsia="宋体" w:cs="Times New Roman"/>
              </w:rPr>
              <w:t>最小抵抗线</w:t>
            </w:r>
          </w:p>
        </w:tc>
        <w:tc>
          <w:tcPr>
            <w:tcW w:w="1107" w:type="pct"/>
            <w:noWrap w:val="0"/>
            <w:vAlign w:val="center"/>
          </w:tcPr>
          <w:p w14:paraId="149D2B76">
            <w:pPr>
              <w:pStyle w:val="104"/>
              <w:rPr>
                <w:rFonts w:hint="default" w:ascii="Times New Roman" w:hAnsi="Times New Roman" w:eastAsia="宋体" w:cs="Times New Roman"/>
              </w:rPr>
            </w:pPr>
            <w:r>
              <w:rPr>
                <w:rFonts w:hint="default" w:ascii="Times New Roman" w:hAnsi="Times New Roman" w:eastAsia="宋体" w:cs="Times New Roman"/>
              </w:rPr>
              <w:t>m</w:t>
            </w:r>
          </w:p>
        </w:tc>
        <w:tc>
          <w:tcPr>
            <w:tcW w:w="1207" w:type="pct"/>
            <w:noWrap w:val="0"/>
            <w:vAlign w:val="center"/>
          </w:tcPr>
          <w:p w14:paraId="14F1A540">
            <w:pPr>
              <w:pStyle w:val="104"/>
              <w:rPr>
                <w:rFonts w:hint="default" w:ascii="Times New Roman" w:hAnsi="Times New Roman" w:eastAsia="宋体" w:cs="Times New Roman"/>
              </w:rPr>
            </w:pPr>
            <w:r>
              <w:rPr>
                <w:rFonts w:hint="default" w:ascii="Times New Roman" w:hAnsi="Times New Roman" w:eastAsia="宋体" w:cs="Times New Roman"/>
              </w:rPr>
              <w:t>3.5</w:t>
            </w:r>
          </w:p>
        </w:tc>
      </w:tr>
      <w:tr w14:paraId="768D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8" w:type="pct"/>
            <w:noWrap w:val="0"/>
            <w:vAlign w:val="center"/>
          </w:tcPr>
          <w:p w14:paraId="45DB1393">
            <w:pPr>
              <w:pStyle w:val="104"/>
              <w:rPr>
                <w:rFonts w:hint="default" w:ascii="Times New Roman" w:hAnsi="Times New Roman" w:eastAsia="宋体" w:cs="Times New Roman"/>
              </w:rPr>
            </w:pPr>
            <w:r>
              <w:rPr>
                <w:rFonts w:hint="default" w:ascii="Times New Roman" w:hAnsi="Times New Roman" w:eastAsia="宋体" w:cs="Times New Roman"/>
              </w:rPr>
              <w:t>5</w:t>
            </w:r>
          </w:p>
        </w:tc>
        <w:tc>
          <w:tcPr>
            <w:tcW w:w="1578" w:type="pct"/>
            <w:noWrap w:val="0"/>
            <w:vAlign w:val="center"/>
          </w:tcPr>
          <w:p w14:paraId="28A25837">
            <w:pPr>
              <w:pStyle w:val="104"/>
              <w:rPr>
                <w:rFonts w:hint="default" w:ascii="Times New Roman" w:hAnsi="Times New Roman" w:eastAsia="宋体" w:cs="Times New Roman"/>
              </w:rPr>
            </w:pPr>
            <w:r>
              <w:rPr>
                <w:rFonts w:hint="default" w:ascii="Times New Roman" w:hAnsi="Times New Roman" w:eastAsia="宋体" w:cs="Times New Roman"/>
              </w:rPr>
              <w:t>填塞深度</w:t>
            </w:r>
          </w:p>
        </w:tc>
        <w:tc>
          <w:tcPr>
            <w:tcW w:w="1107" w:type="pct"/>
            <w:noWrap w:val="0"/>
            <w:vAlign w:val="center"/>
          </w:tcPr>
          <w:p w14:paraId="6D17738C">
            <w:pPr>
              <w:pStyle w:val="104"/>
              <w:rPr>
                <w:rFonts w:hint="default" w:ascii="Times New Roman" w:hAnsi="Times New Roman" w:eastAsia="宋体" w:cs="Times New Roman"/>
              </w:rPr>
            </w:pPr>
            <w:r>
              <w:rPr>
                <w:rFonts w:hint="default" w:ascii="Times New Roman" w:hAnsi="Times New Roman" w:eastAsia="宋体" w:cs="Times New Roman"/>
              </w:rPr>
              <w:t>m</w:t>
            </w:r>
          </w:p>
        </w:tc>
        <w:tc>
          <w:tcPr>
            <w:tcW w:w="1207" w:type="pct"/>
            <w:noWrap w:val="0"/>
            <w:vAlign w:val="center"/>
          </w:tcPr>
          <w:p w14:paraId="3645D7BE">
            <w:pPr>
              <w:pStyle w:val="104"/>
              <w:rPr>
                <w:rFonts w:hint="default" w:ascii="Times New Roman" w:hAnsi="Times New Roman" w:eastAsia="宋体" w:cs="Times New Roman"/>
              </w:rPr>
            </w:pPr>
            <w:r>
              <w:rPr>
                <w:rFonts w:hint="default" w:ascii="Times New Roman" w:hAnsi="Times New Roman" w:eastAsia="宋体" w:cs="Times New Roman"/>
              </w:rPr>
              <w:t>3.5</w:t>
            </w:r>
          </w:p>
        </w:tc>
      </w:tr>
      <w:tr w14:paraId="60AA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8" w:type="pct"/>
            <w:noWrap w:val="0"/>
            <w:vAlign w:val="center"/>
          </w:tcPr>
          <w:p w14:paraId="36479EB5">
            <w:pPr>
              <w:pStyle w:val="104"/>
              <w:rPr>
                <w:rFonts w:hint="default" w:ascii="Times New Roman" w:hAnsi="Times New Roman" w:eastAsia="宋体" w:cs="Times New Roman"/>
              </w:rPr>
            </w:pPr>
            <w:r>
              <w:rPr>
                <w:rFonts w:hint="default" w:ascii="Times New Roman" w:hAnsi="Times New Roman" w:eastAsia="宋体" w:cs="Times New Roman"/>
              </w:rPr>
              <w:t>6</w:t>
            </w:r>
          </w:p>
        </w:tc>
        <w:tc>
          <w:tcPr>
            <w:tcW w:w="1578" w:type="pct"/>
            <w:noWrap w:val="0"/>
            <w:vAlign w:val="center"/>
          </w:tcPr>
          <w:p w14:paraId="51013ECF">
            <w:pPr>
              <w:pStyle w:val="104"/>
              <w:rPr>
                <w:rFonts w:hint="default" w:ascii="Times New Roman" w:hAnsi="Times New Roman" w:eastAsia="宋体" w:cs="Times New Roman"/>
              </w:rPr>
            </w:pPr>
            <w:r>
              <w:rPr>
                <w:rFonts w:hint="default" w:ascii="Times New Roman" w:hAnsi="Times New Roman" w:eastAsia="宋体" w:cs="Times New Roman"/>
              </w:rPr>
              <w:t>炮孔间距</w:t>
            </w:r>
          </w:p>
        </w:tc>
        <w:tc>
          <w:tcPr>
            <w:tcW w:w="1107" w:type="pct"/>
            <w:noWrap w:val="0"/>
            <w:vAlign w:val="center"/>
          </w:tcPr>
          <w:p w14:paraId="41895EF5">
            <w:pPr>
              <w:pStyle w:val="104"/>
              <w:rPr>
                <w:rFonts w:hint="default" w:ascii="Times New Roman" w:hAnsi="Times New Roman" w:eastAsia="宋体" w:cs="Times New Roman"/>
              </w:rPr>
            </w:pPr>
            <w:r>
              <w:rPr>
                <w:rFonts w:hint="default" w:ascii="Times New Roman" w:hAnsi="Times New Roman" w:eastAsia="宋体" w:cs="Times New Roman"/>
              </w:rPr>
              <w:t>m</w:t>
            </w:r>
          </w:p>
        </w:tc>
        <w:tc>
          <w:tcPr>
            <w:tcW w:w="1207" w:type="pct"/>
            <w:noWrap w:val="0"/>
            <w:vAlign w:val="center"/>
          </w:tcPr>
          <w:p w14:paraId="2FF580A5">
            <w:pPr>
              <w:pStyle w:val="104"/>
              <w:rPr>
                <w:rFonts w:hint="default" w:ascii="Times New Roman" w:hAnsi="Times New Roman" w:eastAsia="宋体" w:cs="Times New Roman"/>
              </w:rPr>
            </w:pPr>
            <w:r>
              <w:rPr>
                <w:rFonts w:hint="default" w:ascii="Times New Roman" w:hAnsi="Times New Roman" w:eastAsia="宋体" w:cs="Times New Roman"/>
              </w:rPr>
              <w:t>3.5</w:t>
            </w:r>
          </w:p>
        </w:tc>
      </w:tr>
      <w:tr w14:paraId="040E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trPr>
        <w:tc>
          <w:tcPr>
            <w:tcW w:w="1108" w:type="pct"/>
            <w:noWrap w:val="0"/>
            <w:vAlign w:val="center"/>
          </w:tcPr>
          <w:p w14:paraId="6FC7EBBA">
            <w:pPr>
              <w:pStyle w:val="104"/>
              <w:rPr>
                <w:rFonts w:hint="default" w:ascii="Times New Roman" w:hAnsi="Times New Roman" w:eastAsia="宋体" w:cs="Times New Roman"/>
              </w:rPr>
            </w:pPr>
            <w:r>
              <w:rPr>
                <w:rFonts w:hint="default" w:ascii="Times New Roman" w:hAnsi="Times New Roman" w:eastAsia="宋体" w:cs="Times New Roman"/>
              </w:rPr>
              <w:t>7</w:t>
            </w:r>
          </w:p>
        </w:tc>
        <w:tc>
          <w:tcPr>
            <w:tcW w:w="1578" w:type="pct"/>
            <w:noWrap w:val="0"/>
            <w:vAlign w:val="center"/>
          </w:tcPr>
          <w:p w14:paraId="51330F38">
            <w:pPr>
              <w:pStyle w:val="104"/>
              <w:rPr>
                <w:rFonts w:hint="default" w:ascii="Times New Roman" w:hAnsi="Times New Roman" w:eastAsia="宋体" w:cs="Times New Roman"/>
              </w:rPr>
            </w:pPr>
            <w:r>
              <w:rPr>
                <w:rFonts w:hint="default" w:ascii="Times New Roman" w:hAnsi="Times New Roman" w:eastAsia="宋体" w:cs="Times New Roman"/>
              </w:rPr>
              <w:t>炮孔排距</w:t>
            </w:r>
          </w:p>
        </w:tc>
        <w:tc>
          <w:tcPr>
            <w:tcW w:w="1107" w:type="pct"/>
            <w:noWrap w:val="0"/>
            <w:vAlign w:val="center"/>
          </w:tcPr>
          <w:p w14:paraId="7441F8D4">
            <w:pPr>
              <w:pStyle w:val="104"/>
              <w:rPr>
                <w:rFonts w:hint="default" w:ascii="Times New Roman" w:hAnsi="Times New Roman" w:eastAsia="宋体" w:cs="Times New Roman"/>
              </w:rPr>
            </w:pPr>
            <w:r>
              <w:rPr>
                <w:rFonts w:hint="default" w:ascii="Times New Roman" w:hAnsi="Times New Roman" w:eastAsia="宋体" w:cs="Times New Roman"/>
              </w:rPr>
              <w:t>m</w:t>
            </w:r>
          </w:p>
        </w:tc>
        <w:tc>
          <w:tcPr>
            <w:tcW w:w="1207" w:type="pct"/>
            <w:noWrap w:val="0"/>
            <w:vAlign w:val="center"/>
          </w:tcPr>
          <w:p w14:paraId="760AC1F2">
            <w:pPr>
              <w:pStyle w:val="104"/>
              <w:rPr>
                <w:rFonts w:hint="default" w:ascii="Times New Roman" w:hAnsi="Times New Roman" w:eastAsia="宋体" w:cs="Times New Roman"/>
              </w:rPr>
            </w:pPr>
            <w:r>
              <w:rPr>
                <w:rFonts w:hint="default" w:ascii="Times New Roman" w:hAnsi="Times New Roman" w:eastAsia="宋体" w:cs="Times New Roman"/>
              </w:rPr>
              <w:t>3.0</w:t>
            </w:r>
          </w:p>
        </w:tc>
      </w:tr>
      <w:tr w14:paraId="2805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8" w:type="pct"/>
            <w:noWrap w:val="0"/>
            <w:vAlign w:val="center"/>
          </w:tcPr>
          <w:p w14:paraId="1ADB324F">
            <w:pPr>
              <w:pStyle w:val="104"/>
              <w:rPr>
                <w:rFonts w:hint="default" w:ascii="Times New Roman" w:hAnsi="Times New Roman" w:eastAsia="宋体" w:cs="Times New Roman"/>
              </w:rPr>
            </w:pPr>
            <w:r>
              <w:rPr>
                <w:rFonts w:hint="default" w:ascii="Times New Roman" w:hAnsi="Times New Roman" w:eastAsia="宋体" w:cs="Times New Roman"/>
              </w:rPr>
              <w:t>8</w:t>
            </w:r>
          </w:p>
        </w:tc>
        <w:tc>
          <w:tcPr>
            <w:tcW w:w="1578" w:type="pct"/>
            <w:noWrap w:val="0"/>
            <w:vAlign w:val="center"/>
          </w:tcPr>
          <w:p w14:paraId="34DACE28">
            <w:pPr>
              <w:pStyle w:val="104"/>
              <w:rPr>
                <w:rFonts w:hint="default" w:ascii="Times New Roman" w:hAnsi="Times New Roman" w:eastAsia="宋体" w:cs="Times New Roman"/>
              </w:rPr>
            </w:pPr>
            <w:r>
              <w:rPr>
                <w:rFonts w:hint="default" w:ascii="Times New Roman" w:hAnsi="Times New Roman" w:eastAsia="宋体" w:cs="Times New Roman"/>
              </w:rPr>
              <w:t>每孔装药量</w:t>
            </w:r>
          </w:p>
        </w:tc>
        <w:tc>
          <w:tcPr>
            <w:tcW w:w="1107" w:type="pct"/>
            <w:noWrap w:val="0"/>
            <w:vAlign w:val="center"/>
          </w:tcPr>
          <w:p w14:paraId="2674FF3F">
            <w:pPr>
              <w:pStyle w:val="104"/>
              <w:rPr>
                <w:rFonts w:hint="default" w:ascii="Times New Roman" w:hAnsi="Times New Roman" w:eastAsia="宋体" w:cs="Times New Roman"/>
              </w:rPr>
            </w:pPr>
            <w:r>
              <w:rPr>
                <w:rFonts w:hint="default" w:ascii="Times New Roman" w:hAnsi="Times New Roman" w:eastAsia="宋体" w:cs="Times New Roman"/>
              </w:rPr>
              <w:t>kg/孔</w:t>
            </w:r>
          </w:p>
        </w:tc>
        <w:tc>
          <w:tcPr>
            <w:tcW w:w="1207" w:type="pct"/>
            <w:noWrap w:val="0"/>
            <w:vAlign w:val="center"/>
          </w:tcPr>
          <w:p w14:paraId="2579743D">
            <w:pPr>
              <w:pStyle w:val="104"/>
              <w:rPr>
                <w:rFonts w:hint="default" w:ascii="Times New Roman" w:hAnsi="Times New Roman" w:eastAsia="宋体" w:cs="Times New Roman"/>
              </w:rPr>
            </w:pPr>
            <w:r>
              <w:rPr>
                <w:rFonts w:hint="default" w:ascii="Times New Roman" w:hAnsi="Times New Roman" w:eastAsia="宋体" w:cs="Times New Roman"/>
              </w:rPr>
              <w:t>47.1</w:t>
            </w:r>
          </w:p>
        </w:tc>
      </w:tr>
      <w:tr w14:paraId="4808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8" w:type="pct"/>
            <w:noWrap w:val="0"/>
            <w:vAlign w:val="center"/>
          </w:tcPr>
          <w:p w14:paraId="56D10A83">
            <w:pPr>
              <w:pStyle w:val="104"/>
              <w:rPr>
                <w:rFonts w:hint="default" w:ascii="Times New Roman" w:hAnsi="Times New Roman" w:eastAsia="宋体" w:cs="Times New Roman"/>
              </w:rPr>
            </w:pPr>
            <w:r>
              <w:rPr>
                <w:rFonts w:hint="default" w:ascii="Times New Roman" w:hAnsi="Times New Roman" w:eastAsia="宋体" w:cs="Times New Roman"/>
              </w:rPr>
              <w:t>9</w:t>
            </w:r>
          </w:p>
        </w:tc>
        <w:tc>
          <w:tcPr>
            <w:tcW w:w="1578" w:type="pct"/>
            <w:noWrap w:val="0"/>
            <w:vAlign w:val="center"/>
          </w:tcPr>
          <w:p w14:paraId="04458027">
            <w:pPr>
              <w:pStyle w:val="104"/>
              <w:rPr>
                <w:rFonts w:hint="default" w:ascii="Times New Roman" w:hAnsi="Times New Roman" w:eastAsia="宋体" w:cs="Times New Roman"/>
              </w:rPr>
            </w:pPr>
            <w:r>
              <w:rPr>
                <w:rFonts w:hint="default" w:ascii="Times New Roman" w:hAnsi="Times New Roman" w:eastAsia="宋体" w:cs="Times New Roman"/>
              </w:rPr>
              <w:t>单位炸药消耗量</w:t>
            </w:r>
          </w:p>
        </w:tc>
        <w:tc>
          <w:tcPr>
            <w:tcW w:w="1107" w:type="pct"/>
            <w:noWrap w:val="0"/>
            <w:vAlign w:val="center"/>
          </w:tcPr>
          <w:p w14:paraId="3C682BFE">
            <w:pPr>
              <w:pStyle w:val="104"/>
              <w:rPr>
                <w:rFonts w:hint="default" w:ascii="Times New Roman" w:hAnsi="Times New Roman" w:eastAsia="宋体" w:cs="Times New Roman"/>
              </w:rPr>
            </w:pPr>
            <w:r>
              <w:rPr>
                <w:rFonts w:hint="default" w:ascii="Times New Roman" w:hAnsi="Times New Roman" w:eastAsia="宋体" w:cs="Times New Roman"/>
              </w:rPr>
              <w:t>kg/m³</w:t>
            </w:r>
          </w:p>
        </w:tc>
        <w:tc>
          <w:tcPr>
            <w:tcW w:w="1207" w:type="pct"/>
            <w:noWrap w:val="0"/>
            <w:vAlign w:val="center"/>
          </w:tcPr>
          <w:p w14:paraId="5E266A01">
            <w:pPr>
              <w:pStyle w:val="104"/>
              <w:rPr>
                <w:rFonts w:hint="default" w:ascii="Times New Roman" w:hAnsi="Times New Roman" w:eastAsia="宋体" w:cs="Times New Roman"/>
              </w:rPr>
            </w:pPr>
            <w:r>
              <w:rPr>
                <w:rFonts w:hint="default" w:ascii="Times New Roman" w:hAnsi="Times New Roman" w:eastAsia="宋体" w:cs="Times New Roman"/>
              </w:rPr>
              <w:t>0.45</w:t>
            </w:r>
          </w:p>
        </w:tc>
      </w:tr>
    </w:tbl>
    <w:p w14:paraId="043B484E">
      <w:pPr>
        <w:adjustRightInd w:val="0"/>
        <w:snapToGrid w:val="0"/>
        <w:spacing w:before="120" w:beforeLines="50" w:line="360" w:lineRule="auto"/>
        <w:ind w:firstLine="560" w:firstLineChars="200"/>
        <w:rPr>
          <w:rFonts w:hint="default" w:ascii="Times New Roman" w:hAnsi="Times New Roman" w:eastAsia="宋体" w:cs="Times New Roman"/>
          <w:sz w:val="28"/>
          <w:szCs w:val="22"/>
        </w:rPr>
      </w:pPr>
      <w:r>
        <w:rPr>
          <w:rFonts w:hint="default" w:ascii="Times New Roman" w:hAnsi="Times New Roman" w:eastAsia="宋体" w:cs="Times New Roman"/>
          <w:sz w:val="28"/>
          <w:szCs w:val="22"/>
        </w:rPr>
        <w:t>2.靠帮预裂爆破参数确定</w:t>
      </w:r>
    </w:p>
    <w:bookmarkEnd w:id="293"/>
    <w:bookmarkEnd w:id="294"/>
    <w:bookmarkEnd w:id="295"/>
    <w:bookmarkEnd w:id="296"/>
    <w:p w14:paraId="3F9899CB">
      <w:pPr>
        <w:adjustRightInd w:val="0"/>
        <w:snapToGrid w:val="0"/>
        <w:spacing w:line="360" w:lineRule="auto"/>
        <w:ind w:firstLine="560" w:firstLineChars="200"/>
        <w:rPr>
          <w:rFonts w:hint="default" w:ascii="Times New Roman" w:hAnsi="Times New Roman" w:eastAsia="宋体" w:cs="Times New Roman"/>
          <w:sz w:val="28"/>
          <w:szCs w:val="28"/>
        </w:rPr>
      </w:pPr>
      <w:bookmarkStart w:id="297" w:name="_Toc42224930"/>
      <w:r>
        <w:rPr>
          <w:rFonts w:hint="default" w:ascii="Times New Roman" w:hAnsi="Times New Roman" w:eastAsia="宋体" w:cs="Times New Roman"/>
          <w:sz w:val="28"/>
          <w:szCs w:val="28"/>
        </w:rPr>
        <w:t>1）钻孔形式：靠帮预裂孔采用斜孔，炮孔角度为60°。</w:t>
      </w:r>
    </w:p>
    <w:p w14:paraId="0CCB569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2）钻孔设备：KQD90潜孔钻机。</w:t>
      </w:r>
    </w:p>
    <w:p w14:paraId="55C42E0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2）炮孔直径：90mm。</w:t>
      </w:r>
    </w:p>
    <w:p w14:paraId="689ABC2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3）装药结构：间隔装药。</w:t>
      </w:r>
    </w:p>
    <w:p w14:paraId="71B889F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4）炮孔间距：一般取孔距a预=（8～12）D=0.72～1.08，取1m。</w:t>
      </w:r>
    </w:p>
    <w:p w14:paraId="51E09E2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5）线装药密度（长江科学院计算经验公式）</w:t>
      </w:r>
    </w:p>
    <w:p w14:paraId="6B5DC294">
      <w:pPr>
        <w:adjustRightInd w:val="0"/>
        <w:snapToGrid w:val="0"/>
        <w:spacing w:line="360" w:lineRule="auto"/>
        <w:ind w:firstLine="0" w:firstLineChars="0"/>
        <w:jc w:val="center"/>
        <w:rPr>
          <w:rFonts w:hint="default" w:ascii="Times New Roman" w:hAnsi="Times New Roman" w:eastAsia="宋体" w:cs="Times New Roman"/>
          <w:bCs/>
          <w:sz w:val="28"/>
          <w:szCs w:val="22"/>
        </w:rPr>
      </w:pPr>
      <w:r>
        <w:rPr>
          <w:rFonts w:hint="default" w:ascii="Times New Roman" w:hAnsi="Times New Roman" w:eastAsia="宋体" w:cs="Times New Roman"/>
          <w:bCs/>
          <w:sz w:val="28"/>
          <w:szCs w:val="22"/>
        </w:rPr>
        <w:t>Q</w:t>
      </w:r>
      <w:r>
        <w:rPr>
          <w:rFonts w:hint="default" w:ascii="Times New Roman" w:hAnsi="Times New Roman" w:eastAsia="宋体" w:cs="Times New Roman"/>
          <w:bCs/>
          <w:sz w:val="28"/>
          <w:szCs w:val="22"/>
          <w:vertAlign w:val="subscript"/>
        </w:rPr>
        <w:t>线</w:t>
      </w:r>
      <w:r>
        <w:rPr>
          <w:rFonts w:hint="default" w:ascii="Times New Roman" w:hAnsi="Times New Roman" w:eastAsia="宋体" w:cs="Times New Roman"/>
          <w:bCs/>
          <w:sz w:val="28"/>
          <w:szCs w:val="22"/>
        </w:rPr>
        <w:t>=0.034（σ</w:t>
      </w:r>
      <w:r>
        <w:rPr>
          <w:rFonts w:hint="default" w:ascii="Times New Roman" w:hAnsi="Times New Roman" w:eastAsia="宋体" w:cs="Times New Roman"/>
          <w:bCs/>
          <w:sz w:val="28"/>
          <w:szCs w:val="22"/>
          <w:vertAlign w:val="subscript"/>
        </w:rPr>
        <w:t>压</w:t>
      </w:r>
      <w:r>
        <w:rPr>
          <w:rFonts w:hint="default" w:ascii="Times New Roman" w:hAnsi="Times New Roman" w:eastAsia="宋体" w:cs="Times New Roman"/>
          <w:bCs/>
          <w:sz w:val="28"/>
          <w:szCs w:val="22"/>
        </w:rPr>
        <w:t>）</w:t>
      </w:r>
      <w:r>
        <w:rPr>
          <w:rFonts w:hint="default" w:ascii="Times New Roman" w:hAnsi="Times New Roman" w:eastAsia="宋体" w:cs="Times New Roman"/>
          <w:bCs/>
          <w:sz w:val="28"/>
          <w:szCs w:val="22"/>
          <w:vertAlign w:val="superscript"/>
        </w:rPr>
        <w:t>0.63</w:t>
      </w:r>
      <w:r>
        <w:rPr>
          <w:rFonts w:hint="default" w:ascii="Times New Roman" w:hAnsi="Times New Roman" w:eastAsia="宋体" w:cs="Times New Roman"/>
          <w:bCs/>
          <w:sz w:val="28"/>
          <w:szCs w:val="22"/>
        </w:rPr>
        <w:t>d</w:t>
      </w:r>
      <w:r>
        <w:rPr>
          <w:rFonts w:hint="default" w:ascii="Times New Roman" w:hAnsi="Times New Roman" w:eastAsia="宋体" w:cs="Times New Roman"/>
          <w:bCs/>
          <w:sz w:val="28"/>
          <w:szCs w:val="22"/>
          <w:vertAlign w:val="superscript"/>
        </w:rPr>
        <w:t>0.67</w:t>
      </w:r>
    </w:p>
    <w:p w14:paraId="38834A9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式中：Q线—预裂爆破的线装药密度，kg/m；</w:t>
      </w:r>
    </w:p>
    <w:p w14:paraId="46F14AB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σ压—岩石的极限抗压强度，60MPa；</w:t>
      </w:r>
    </w:p>
    <w:p w14:paraId="3CFA7F2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a—炮孔间距，1m；</w:t>
      </w:r>
    </w:p>
    <w:p w14:paraId="4FA99A3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经计算：Q线=0.28kg/m。</w:t>
      </w:r>
    </w:p>
    <w:p w14:paraId="2D4FDBBE">
      <w:pPr>
        <w:pStyle w:val="5"/>
        <w:keepNext w:val="0"/>
        <w:keepLines w:val="0"/>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2.4.6.4爆破安全距离</w:t>
      </w:r>
    </w:p>
    <w:p w14:paraId="70DFA8D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单孔爆破方量105m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，设计5天爆破一次，一次爆破需要18个孔，设计分3排，每排6个孔，总装药量847.8kg，单孔装药量47.1kg。</w:t>
      </w:r>
    </w:p>
    <w:p w14:paraId="6EA5EEC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根据《爆破安全规程》</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GB 6722-2014</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的有关规定，爆炸源与人员及其他保护对象之间的安全距离，按爆破产生的地震波、冲击波和个别分散物等分别核定。</w:t>
      </w:r>
    </w:p>
    <w:p w14:paraId="76BE661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1.爆破震动安全允许距离</w:t>
      </w:r>
    </w:p>
    <w:p w14:paraId="04669FB2">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根据《爆破安全规程》</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GB 6722-2014</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，一般民用建筑物的安全震动速度是1.5～3cm/s，取2.5cm/s计算。</w:t>
      </w:r>
    </w:p>
    <w:p w14:paraId="3A814252">
      <w:pPr>
        <w:adjustRightInd w:val="0"/>
        <w:snapToGrid w:val="0"/>
        <w:spacing w:line="360" w:lineRule="auto"/>
        <w:ind w:firstLine="560" w:firstLineChars="20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mc:AlternateContent>
          <mc:Choice Requires="wps">
            <w:drawing>
              <wp:anchor distT="0" distB="0" distL="113665" distR="113665" simplePos="0" relativeHeight="251664384" behindDoc="0" locked="0" layoutInCell="1" allowOverlap="1">
                <wp:simplePos x="0" y="0"/>
                <wp:positionH relativeFrom="column">
                  <wp:posOffset>1713865</wp:posOffset>
                </wp:positionH>
                <wp:positionV relativeFrom="paragraph">
                  <wp:posOffset>296545</wp:posOffset>
                </wp:positionV>
                <wp:extent cx="635" cy="0"/>
                <wp:effectExtent l="0" t="4445" r="0" b="5080"/>
                <wp:wrapNone/>
                <wp:docPr id="23" name="直接连接符 23"/>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34.95pt;margin-top:23.35pt;height:0pt;width:0.05pt;z-index:251664384;mso-width-relative:page;mso-height-relative:page;" filled="f" stroked="t" coordsize="21600,21600" o:gfxdata="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Am8LnXAAAACQEA&#10;AA8AAAAAAAAAAQAgAAAAIgAAAGRycy9kb3ducmV2LnhtbFBLAQIUABQAAAAIAIdO4kAwt6oN4gEA&#10;ALQDAAAOAAAAAAAAAAEAIAAAACYBAABkcnMvZTJvRG9jLnhtbFBLBQYAAAAABgAGAFkBAAB6BQAA&#10;AAA=&#10;">
                <v:fill on="f" focussize="0,0"/>
                <v:stroke color="#000000" joinstyle="round"/>
                <v:imagedata o:title=""/>
                <o:lock v:ext="edit" aspectratio="f"/>
              </v:line>
            </w:pict>
          </mc:Fallback>
        </mc:AlternateContent>
      </w:r>
      <w:r>
        <w:rPr>
          <w:rFonts w:hint="default" w:ascii="Times New Roman" w:hAnsi="Times New Roman" w:eastAsia="宋体" w:cs="Times New Roman"/>
          <w:sz w:val="28"/>
          <w:szCs w:val="28"/>
        </w:rPr>
        <w:t>R=（K/V）</w:t>
      </w:r>
      <w:r>
        <w:rPr>
          <w:rFonts w:hint="default" w:ascii="Times New Roman" w:hAnsi="Times New Roman" w:eastAsia="宋体" w:cs="Times New Roman"/>
          <w:sz w:val="28"/>
          <w:szCs w:val="28"/>
          <w:vertAlign w:val="superscript"/>
        </w:rPr>
        <w:t>1/a</w:t>
      </w:r>
      <w:r>
        <w:rPr>
          <w:rFonts w:hint="default" w:ascii="Times New Roman" w:hAnsi="Times New Roman" w:eastAsia="宋体" w:cs="Times New Roman"/>
          <w:sz w:val="28"/>
          <w:szCs w:val="28"/>
        </w:rPr>
        <w:t>Q</w:t>
      </w:r>
      <w:r>
        <w:rPr>
          <w:rFonts w:hint="default" w:ascii="Times New Roman" w:hAnsi="Times New Roman" w:eastAsia="宋体" w:cs="Times New Roman"/>
          <w:sz w:val="28"/>
          <w:szCs w:val="28"/>
          <w:vertAlign w:val="superscript"/>
        </w:rPr>
        <w:t>m</w:t>
      </w:r>
    </w:p>
    <w:p w14:paraId="757688D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式中：R—爆破震动安全距离，m；</w:t>
      </w:r>
    </w:p>
    <w:p w14:paraId="123FE96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Q—起爆药量，47.1kg；</w:t>
      </w:r>
    </w:p>
    <w:p w14:paraId="7A18393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V—安全震动速度，2.5cm/s；</w:t>
      </w:r>
    </w:p>
    <w:p w14:paraId="222D154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m—药量指数，取1/3；</w:t>
      </w:r>
    </w:p>
    <w:p w14:paraId="7427ACB0">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K.a—与爆破区域地形、地质等条件有关的系数和衰减指数，K取150，a取1.50。</w:t>
      </w:r>
    </w:p>
    <w:p w14:paraId="67302CED">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经计算，爆破震动允许的安全距离R为55.35m。</w:t>
      </w:r>
    </w:p>
    <w:p w14:paraId="7B6485D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2.爆破冲击波安全允许距离</w:t>
      </w:r>
    </w:p>
    <w:p w14:paraId="1C9C81FD">
      <w:pPr>
        <w:adjustRightInd w:val="0"/>
        <w:snapToGrid w:val="0"/>
        <w:spacing w:line="360" w:lineRule="auto"/>
        <w:ind w:firstLine="560" w:firstLineChars="20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mc:AlternateContent>
          <mc:Choice Requires="wps">
            <w:drawing>
              <wp:anchor distT="0" distB="0" distL="113665" distR="113665" simplePos="0" relativeHeight="251665408" behindDoc="0" locked="0" layoutInCell="1" allowOverlap="1">
                <wp:simplePos x="0" y="0"/>
                <wp:positionH relativeFrom="column">
                  <wp:posOffset>1713865</wp:posOffset>
                </wp:positionH>
                <wp:positionV relativeFrom="paragraph">
                  <wp:posOffset>296545</wp:posOffset>
                </wp:positionV>
                <wp:extent cx="635" cy="0"/>
                <wp:effectExtent l="0" t="4445" r="0" b="5080"/>
                <wp:wrapNone/>
                <wp:docPr id="10"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w:pict>
              <v:line id="直接连接符 3" o:spid="_x0000_s1026" o:spt="20" style="position:absolute;left:0pt;margin-left:134.95pt;margin-top:23.35pt;height:0pt;width:0.05pt;z-index:251665408;mso-width-relative:page;mso-height-relative:page;" filled="f" stroked="t" coordsize="21600,21600" o:gfxdata="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ICbwudcAAAAJAQAA&#10;DwAAAAAAAAABACAAAAAiAAAAZHJzL2Rvd25yZXYueG1sUEsBAhQAFAAAAAgAh07iQGKLKCLhAQAA&#10;swMAAA4AAAAAAAAAAQAgAAAAJgEAAGRycy9lMm9Eb2MueG1sUEsFBgAAAAAGAAYAWQEAAHkFAAAA&#10;AA==&#10;">
                <v:fill on="f" focussize="0,0"/>
                <v:stroke color="#000000" joinstyle="round"/>
                <v:imagedata o:title=""/>
                <o:lock v:ext="edit" aspectratio="f"/>
              </v:line>
            </w:pict>
          </mc:Fallback>
        </mc:AlternateContent>
      </w:r>
      <w:r>
        <w:rPr>
          <w:rFonts w:hint="default" w:ascii="Times New Roman" w:hAnsi="Times New Roman" w:eastAsia="宋体" w:cs="Times New Roman"/>
          <w:sz w:val="28"/>
          <w:szCs w:val="28"/>
        </w:rPr>
        <w:t>R</w:t>
      </w:r>
      <w:r>
        <w:rPr>
          <w:rFonts w:hint="default" w:ascii="Times New Roman" w:hAnsi="Times New Roman" w:eastAsia="宋体" w:cs="Times New Roman"/>
          <w:sz w:val="28"/>
          <w:szCs w:val="28"/>
          <w:vertAlign w:val="subscript"/>
        </w:rPr>
        <w:t>k</w:t>
      </w:r>
      <w:r>
        <w:rPr>
          <w:rFonts w:hint="default" w:ascii="Times New Roman" w:hAnsi="Times New Roman" w:eastAsia="宋体" w:cs="Times New Roman"/>
          <w:sz w:val="28"/>
          <w:szCs w:val="28"/>
        </w:rPr>
        <w:t>=25Q</w:t>
      </w:r>
      <w:r>
        <w:rPr>
          <w:rFonts w:hint="default" w:ascii="Times New Roman" w:hAnsi="Times New Roman" w:eastAsia="宋体" w:cs="Times New Roman"/>
          <w:sz w:val="28"/>
          <w:szCs w:val="28"/>
          <w:vertAlign w:val="superscript"/>
        </w:rPr>
        <w:t>1/3</w:t>
      </w:r>
    </w:p>
    <w:p w14:paraId="43604AC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式中：R</w:t>
      </w:r>
      <w:r>
        <w:rPr>
          <w:rFonts w:hint="default" w:ascii="Times New Roman" w:hAnsi="Times New Roman" w:eastAsia="宋体" w:cs="Times New Roman"/>
          <w:sz w:val="28"/>
          <w:szCs w:val="28"/>
          <w:vertAlign w:val="subscript"/>
        </w:rPr>
        <w:t>k</w:t>
      </w:r>
      <w:r>
        <w:rPr>
          <w:rFonts w:hint="default" w:ascii="Times New Roman" w:hAnsi="Times New Roman" w:eastAsia="宋体" w:cs="Times New Roman"/>
          <w:sz w:val="28"/>
          <w:szCs w:val="28"/>
        </w:rPr>
        <w:t>—爆破冲击波安全距离，m；</w:t>
      </w:r>
    </w:p>
    <w:p w14:paraId="302F84D7">
      <w:pPr>
        <w:keepNext w:val="0"/>
        <w:keepLines w:val="0"/>
        <w:pageBreakBefore w:val="0"/>
        <w:widowControl w:val="0"/>
        <w:kinsoku/>
        <w:wordWrap/>
        <w:overflowPunct/>
        <w:topLinePunct w:val="0"/>
        <w:autoSpaceDE/>
        <w:autoSpaceDN/>
        <w:bidi w:val="0"/>
        <w:adjustRightInd w:val="0"/>
        <w:snapToGrid w:val="0"/>
        <w:spacing w:line="360" w:lineRule="auto"/>
        <w:ind w:firstLine="1400" w:firstLineChars="500"/>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Q—起爆药量，总装药量847.8kg；</w:t>
      </w:r>
    </w:p>
    <w:p w14:paraId="6BAA1D45">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经计算，爆破冲击波允许的安全距离R</w:t>
      </w:r>
      <w:r>
        <w:rPr>
          <w:rFonts w:hint="default" w:ascii="Times New Roman" w:hAnsi="Times New Roman" w:eastAsia="宋体" w:cs="Times New Roman"/>
          <w:sz w:val="28"/>
          <w:szCs w:val="28"/>
          <w:vertAlign w:val="subscript"/>
        </w:rPr>
        <w:t>k</w:t>
      </w:r>
      <w:r>
        <w:rPr>
          <w:rFonts w:hint="default" w:ascii="Times New Roman" w:hAnsi="Times New Roman" w:eastAsia="宋体" w:cs="Times New Roman"/>
          <w:sz w:val="28"/>
          <w:szCs w:val="28"/>
        </w:rPr>
        <w:t>为236.6m。</w:t>
      </w:r>
    </w:p>
    <w:p w14:paraId="0FF8E85B">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3.爆破飞石安全距离</w:t>
      </w:r>
    </w:p>
    <w:p w14:paraId="27607511">
      <w:pPr>
        <w:adjustRightInd w:val="0"/>
        <w:snapToGrid w:val="0"/>
        <w:spacing w:line="360" w:lineRule="auto"/>
        <w:ind w:firstLine="560" w:firstLineChars="200"/>
        <w:jc w:val="center"/>
        <w:rPr>
          <w:rFonts w:hint="default" w:ascii="Times New Roman" w:hAnsi="Times New Roman" w:eastAsia="宋体" w:cs="Times New Roman"/>
          <w:sz w:val="28"/>
          <w:szCs w:val="28"/>
          <w:vertAlign w:val="superscript"/>
        </w:rPr>
      </w:pPr>
      <w:r>
        <w:rPr>
          <w:rFonts w:hint="default" w:ascii="Times New Roman" w:hAnsi="Times New Roman" w:eastAsia="宋体" w:cs="Times New Roman"/>
          <w:sz w:val="28"/>
          <w:szCs w:val="28"/>
        </w:rPr>
        <w:t>R</w:t>
      </w:r>
      <w:r>
        <w:rPr>
          <w:rFonts w:hint="default" w:ascii="Times New Roman" w:hAnsi="Times New Roman" w:eastAsia="宋体" w:cs="Times New Roman"/>
          <w:sz w:val="28"/>
          <w:szCs w:val="28"/>
          <w:vertAlign w:val="subscript"/>
        </w:rPr>
        <w:t>f</w:t>
      </w:r>
      <w:r>
        <w:rPr>
          <w:rFonts w:hint="default" w:ascii="Times New Roman" w:hAnsi="Times New Roman" w:eastAsia="宋体" w:cs="Times New Roman"/>
          <w:sz w:val="28"/>
          <w:szCs w:val="28"/>
        </w:rPr>
        <w:t>=20n</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WK</w:t>
      </w:r>
      <w:r>
        <w:rPr>
          <w:rFonts w:hint="default" w:ascii="Times New Roman" w:hAnsi="Times New Roman" w:eastAsia="宋体" w:cs="Times New Roman"/>
          <w:sz w:val="28"/>
          <w:szCs w:val="28"/>
          <w:vertAlign w:val="subscript"/>
        </w:rPr>
        <w:t>f</w:t>
      </w:r>
    </w:p>
    <w:p w14:paraId="71A0FB3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式中：R</w:t>
      </w:r>
      <w:r>
        <w:rPr>
          <w:rFonts w:hint="default" w:ascii="Times New Roman" w:hAnsi="Times New Roman" w:eastAsia="宋体" w:cs="Times New Roman"/>
          <w:sz w:val="28"/>
          <w:szCs w:val="28"/>
          <w:vertAlign w:val="subscript"/>
        </w:rPr>
        <w:t>f</w:t>
      </w:r>
      <w:r>
        <w:rPr>
          <w:rFonts w:hint="default" w:ascii="Times New Roman" w:hAnsi="Times New Roman" w:eastAsia="宋体" w:cs="Times New Roman"/>
          <w:sz w:val="28"/>
          <w:szCs w:val="28"/>
        </w:rPr>
        <w:t>—碎石飞散对人员的安全距离，m；</w:t>
      </w:r>
    </w:p>
    <w:p w14:paraId="59C2CD0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n—爆破作用系数，0.9；</w:t>
      </w:r>
    </w:p>
    <w:p w14:paraId="423E830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W—最小抵抗线，3.5m；</w:t>
      </w:r>
    </w:p>
    <w:p w14:paraId="7E22A950">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K</w:t>
      </w:r>
      <w:r>
        <w:rPr>
          <w:rFonts w:hint="default" w:ascii="Times New Roman" w:hAnsi="Times New Roman" w:eastAsia="宋体" w:cs="Times New Roman"/>
          <w:sz w:val="28"/>
          <w:szCs w:val="28"/>
          <w:vertAlign w:val="subscript"/>
        </w:rPr>
        <w:t>f</w:t>
      </w:r>
      <w:r>
        <w:rPr>
          <w:rFonts w:hint="default" w:ascii="Times New Roman" w:hAnsi="Times New Roman" w:eastAsia="宋体" w:cs="Times New Roman"/>
          <w:sz w:val="28"/>
          <w:szCs w:val="28"/>
        </w:rPr>
        <w:t>—安全系数，1.5。</w:t>
      </w:r>
    </w:p>
    <w:p w14:paraId="4914098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经计算，爆破飞石允许的安全距离R</w:t>
      </w:r>
      <w:r>
        <w:rPr>
          <w:rFonts w:hint="default" w:ascii="Times New Roman" w:hAnsi="Times New Roman" w:eastAsia="宋体" w:cs="Times New Roman"/>
          <w:sz w:val="28"/>
          <w:szCs w:val="28"/>
          <w:vertAlign w:val="subscript"/>
        </w:rPr>
        <w:t>f</w:t>
      </w:r>
      <w:r>
        <w:rPr>
          <w:rFonts w:hint="default" w:ascii="Times New Roman" w:hAnsi="Times New Roman" w:eastAsia="宋体" w:cs="Times New Roman"/>
          <w:sz w:val="28"/>
          <w:szCs w:val="28"/>
        </w:rPr>
        <w:t>为85.05m。</w:t>
      </w:r>
    </w:p>
    <w:bookmarkEnd w:id="297"/>
    <w:p w14:paraId="69D29AC8">
      <w:pPr>
        <w:adjustRightInd w:val="0"/>
        <w:snapToGrid w:val="0"/>
        <w:spacing w:line="360" w:lineRule="auto"/>
        <w:ind w:firstLine="560" w:firstLineChars="200"/>
        <w:rPr>
          <w:rFonts w:hint="default" w:ascii="Times New Roman" w:hAnsi="Times New Roman" w:eastAsia="宋体" w:cs="Times New Roman"/>
          <w:sz w:val="28"/>
          <w:szCs w:val="28"/>
        </w:rPr>
      </w:pPr>
      <w:bookmarkStart w:id="298" w:name="_Toc42224933"/>
      <w:r>
        <w:rPr>
          <w:rFonts w:hint="default" w:ascii="Times New Roman" w:hAnsi="Times New Roman" w:eastAsia="宋体" w:cs="Times New Roman"/>
          <w:sz w:val="28"/>
          <w:szCs w:val="28"/>
        </w:rPr>
        <w:t>通过上述计算，爆破产生的地震波、冲击波和个别分散物允许的安全距离分别为55.36m、236.6m、85.05m。根据《爆破安全规程》表10中规定，露天岩土爆破中，深孔爆破个别飞石按设计但不大于200m，下坡方向应增加50%，故设计爆破警戒范围取300m。</w:t>
      </w:r>
    </w:p>
    <w:p w14:paraId="73E2E04B">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2.4.6.5爆破安全措施</w:t>
      </w:r>
    </w:p>
    <w:bookmarkEnd w:id="298"/>
    <w:p w14:paraId="68B40EC7">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1.合理选择爆破参数（控制爆破指向，微差雷管小药量进行爆破），爆破前所有人员撤出300m警戒范围，设备停放在安全地带。</w:t>
      </w:r>
    </w:p>
    <w:p w14:paraId="4FA69C9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2.按照300m的爆破警戒范围，进行爆破前的警戒工作，确保300m范围内无附近村民活动。</w:t>
      </w:r>
    </w:p>
    <w:p w14:paraId="281BCD4E">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爆破采用定时爆破，让职工及过往车辆有规律地避炮，加强职工、附近村民、过往车辆驾驶员安全教育，让职工、村民，过往车辆驾驶员事先知道警戒范围、警戒标志、声响信号的意义。加强爆破作业的管理，爆破警戒范围应设置醒目警示标志。</w:t>
      </w:r>
    </w:p>
    <w:p w14:paraId="0FD5B7D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4.爆破前必须在有车辆及人员通过的主要地段应布设岗哨，岗哨间应处于相邻岗哨视线范围内，并确保对整个爆破警戒范围控制，并发出明显的音响和视觉信号，以禁止人员、车辆和牲畜进入警戒范围。</w:t>
      </w:r>
    </w:p>
    <w:p w14:paraId="67584F71">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2.4.6.6矿山主要生产设备</w:t>
      </w:r>
    </w:p>
    <w:p w14:paraId="5EE0FDA1">
      <w:pPr>
        <w:adjustRightInd w:val="0"/>
        <w:snapToGrid w:val="0"/>
        <w:jc w:val="center"/>
        <w:rPr>
          <w:rFonts w:hint="default" w:ascii="Times New Roman" w:hAnsi="Times New Roman" w:eastAsia="宋体" w:cs="Times New Roman"/>
          <w:bCs/>
          <w:sz w:val="24"/>
        </w:rPr>
      </w:pPr>
      <w:r>
        <w:rPr>
          <w:rFonts w:hint="default" w:ascii="Times New Roman" w:hAnsi="Times New Roman" w:eastAsia="宋体" w:cs="Times New Roman"/>
          <w:bCs/>
          <w:sz w:val="24"/>
        </w:rPr>
        <w:t>表2.4-3  矿山设备汇总表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1739"/>
        <w:gridCol w:w="2530"/>
        <w:gridCol w:w="1261"/>
        <w:gridCol w:w="1480"/>
        <w:gridCol w:w="1480"/>
      </w:tblGrid>
      <w:tr w14:paraId="0103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noWrap w:val="0"/>
            <w:vAlign w:val="center"/>
          </w:tcPr>
          <w:p w14:paraId="4D174A18">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925" w:type="pct"/>
            <w:noWrap w:val="0"/>
            <w:vAlign w:val="center"/>
          </w:tcPr>
          <w:p w14:paraId="593D5AA1">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1346" w:type="pct"/>
            <w:noWrap w:val="0"/>
            <w:vAlign w:val="center"/>
          </w:tcPr>
          <w:p w14:paraId="1B1E6A92">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w:t>
            </w:r>
          </w:p>
        </w:tc>
        <w:tc>
          <w:tcPr>
            <w:tcW w:w="671" w:type="pct"/>
            <w:noWrap w:val="0"/>
            <w:vAlign w:val="center"/>
          </w:tcPr>
          <w:p w14:paraId="3778F965">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需要</w:t>
            </w:r>
          </w:p>
        </w:tc>
        <w:tc>
          <w:tcPr>
            <w:tcW w:w="787" w:type="pct"/>
            <w:noWrap w:val="0"/>
            <w:vAlign w:val="center"/>
          </w:tcPr>
          <w:p w14:paraId="4C961D3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原有</w:t>
            </w:r>
          </w:p>
        </w:tc>
        <w:tc>
          <w:tcPr>
            <w:tcW w:w="787" w:type="pct"/>
            <w:noWrap w:val="0"/>
            <w:vAlign w:val="center"/>
          </w:tcPr>
          <w:p w14:paraId="4A4FADCE">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新增</w:t>
            </w:r>
          </w:p>
        </w:tc>
      </w:tr>
      <w:tr w14:paraId="7C92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noWrap w:val="0"/>
            <w:vAlign w:val="center"/>
          </w:tcPr>
          <w:p w14:paraId="29E7F32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925" w:type="pct"/>
            <w:noWrap w:val="0"/>
            <w:vAlign w:val="center"/>
          </w:tcPr>
          <w:p w14:paraId="18CF2EBE">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挖机</w:t>
            </w:r>
          </w:p>
        </w:tc>
        <w:tc>
          <w:tcPr>
            <w:tcW w:w="1346" w:type="pct"/>
            <w:noWrap w:val="0"/>
            <w:vAlign w:val="center"/>
          </w:tcPr>
          <w:p w14:paraId="429732FC">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1.0m</w:t>
            </w:r>
            <w:r>
              <w:rPr>
                <w:rFonts w:hint="default" w:ascii="Times New Roman" w:hAnsi="Times New Roman" w:eastAsia="宋体" w:cs="Times New Roman"/>
                <w:sz w:val="21"/>
                <w:szCs w:val="21"/>
                <w:vertAlign w:val="superscript"/>
              </w:rPr>
              <w:t>3</w:t>
            </w:r>
          </w:p>
        </w:tc>
        <w:tc>
          <w:tcPr>
            <w:tcW w:w="671" w:type="pct"/>
            <w:noWrap w:val="0"/>
            <w:vAlign w:val="center"/>
          </w:tcPr>
          <w:p w14:paraId="1C7DC1CA">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787" w:type="pct"/>
            <w:noWrap w:val="0"/>
            <w:vAlign w:val="center"/>
          </w:tcPr>
          <w:p w14:paraId="3C246460">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787" w:type="pct"/>
            <w:noWrap w:val="0"/>
            <w:vAlign w:val="center"/>
          </w:tcPr>
          <w:p w14:paraId="314989E3">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r>
      <w:tr w14:paraId="147C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noWrap w:val="0"/>
            <w:vAlign w:val="center"/>
          </w:tcPr>
          <w:p w14:paraId="5894E8E1">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925" w:type="pct"/>
            <w:noWrap w:val="0"/>
            <w:vAlign w:val="center"/>
          </w:tcPr>
          <w:p w14:paraId="7AB669F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装载机</w:t>
            </w:r>
          </w:p>
        </w:tc>
        <w:tc>
          <w:tcPr>
            <w:tcW w:w="1346" w:type="pct"/>
            <w:noWrap w:val="0"/>
            <w:vAlign w:val="center"/>
          </w:tcPr>
          <w:p w14:paraId="5FDABAB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3.0m</w:t>
            </w:r>
            <w:r>
              <w:rPr>
                <w:rFonts w:hint="default" w:ascii="Times New Roman" w:hAnsi="Times New Roman" w:eastAsia="宋体" w:cs="Times New Roman"/>
                <w:sz w:val="21"/>
                <w:szCs w:val="21"/>
                <w:vertAlign w:val="superscript"/>
              </w:rPr>
              <w:t>3</w:t>
            </w:r>
          </w:p>
        </w:tc>
        <w:tc>
          <w:tcPr>
            <w:tcW w:w="671" w:type="pct"/>
            <w:noWrap w:val="0"/>
            <w:vAlign w:val="center"/>
          </w:tcPr>
          <w:p w14:paraId="414E9FD5">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787" w:type="pct"/>
            <w:noWrap w:val="0"/>
            <w:vAlign w:val="center"/>
          </w:tcPr>
          <w:p w14:paraId="7C376FF9">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787" w:type="pct"/>
            <w:noWrap w:val="0"/>
            <w:vAlign w:val="center"/>
          </w:tcPr>
          <w:p w14:paraId="0681EBA5">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r>
      <w:tr w14:paraId="11DF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noWrap w:val="0"/>
            <w:vAlign w:val="center"/>
          </w:tcPr>
          <w:p w14:paraId="4D1B5CE0">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925" w:type="pct"/>
            <w:noWrap w:val="0"/>
            <w:vAlign w:val="center"/>
          </w:tcPr>
          <w:p w14:paraId="18174BDC">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汽车</w:t>
            </w:r>
          </w:p>
        </w:tc>
        <w:tc>
          <w:tcPr>
            <w:tcW w:w="1346" w:type="pct"/>
            <w:noWrap w:val="0"/>
            <w:vAlign w:val="center"/>
          </w:tcPr>
          <w:p w14:paraId="0A122079">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10t</w:t>
            </w:r>
          </w:p>
        </w:tc>
        <w:tc>
          <w:tcPr>
            <w:tcW w:w="671" w:type="pct"/>
            <w:noWrap w:val="0"/>
            <w:vAlign w:val="center"/>
          </w:tcPr>
          <w:p w14:paraId="03B7E771">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787" w:type="pct"/>
            <w:noWrap w:val="0"/>
            <w:vAlign w:val="center"/>
          </w:tcPr>
          <w:p w14:paraId="28C543EE">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787" w:type="pct"/>
            <w:noWrap w:val="0"/>
            <w:vAlign w:val="center"/>
          </w:tcPr>
          <w:p w14:paraId="37DD460D">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r>
      <w:tr w14:paraId="5098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noWrap w:val="0"/>
            <w:vAlign w:val="center"/>
          </w:tcPr>
          <w:p w14:paraId="0F512273">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925" w:type="pct"/>
            <w:noWrap w:val="0"/>
            <w:vAlign w:val="center"/>
          </w:tcPr>
          <w:p w14:paraId="388C55DE">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空压机</w:t>
            </w:r>
          </w:p>
        </w:tc>
        <w:tc>
          <w:tcPr>
            <w:tcW w:w="1346" w:type="pct"/>
            <w:noWrap w:val="0"/>
            <w:vAlign w:val="center"/>
          </w:tcPr>
          <w:p w14:paraId="73381E9F">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13m³</w:t>
            </w:r>
          </w:p>
        </w:tc>
        <w:tc>
          <w:tcPr>
            <w:tcW w:w="671" w:type="pct"/>
            <w:noWrap w:val="0"/>
            <w:vAlign w:val="center"/>
          </w:tcPr>
          <w:p w14:paraId="5467D62E">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787" w:type="pct"/>
            <w:noWrap w:val="0"/>
            <w:vAlign w:val="center"/>
          </w:tcPr>
          <w:p w14:paraId="6569C42A">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787" w:type="pct"/>
            <w:noWrap w:val="0"/>
            <w:vAlign w:val="center"/>
          </w:tcPr>
          <w:p w14:paraId="7AA5E6B8">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r>
      <w:tr w14:paraId="665A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noWrap w:val="0"/>
            <w:vAlign w:val="center"/>
          </w:tcPr>
          <w:p w14:paraId="70F15CA9">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925" w:type="pct"/>
            <w:noWrap w:val="0"/>
            <w:vAlign w:val="center"/>
          </w:tcPr>
          <w:p w14:paraId="6A88D123">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潜孔钻机</w:t>
            </w:r>
          </w:p>
        </w:tc>
        <w:tc>
          <w:tcPr>
            <w:tcW w:w="1346" w:type="pct"/>
            <w:noWrap w:val="0"/>
            <w:vAlign w:val="center"/>
          </w:tcPr>
          <w:p w14:paraId="63E1AE6A">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KQD90</w:t>
            </w:r>
          </w:p>
        </w:tc>
        <w:tc>
          <w:tcPr>
            <w:tcW w:w="671" w:type="pct"/>
            <w:noWrap w:val="0"/>
            <w:vAlign w:val="center"/>
          </w:tcPr>
          <w:p w14:paraId="010AFD46">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787" w:type="pct"/>
            <w:noWrap w:val="0"/>
            <w:vAlign w:val="center"/>
          </w:tcPr>
          <w:p w14:paraId="59047D5F">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787" w:type="pct"/>
            <w:noWrap w:val="0"/>
            <w:vAlign w:val="center"/>
          </w:tcPr>
          <w:p w14:paraId="4039A0BD">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r>
      <w:tr w14:paraId="5BD7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noWrap w:val="0"/>
            <w:vAlign w:val="center"/>
          </w:tcPr>
          <w:p w14:paraId="7CE36E1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925" w:type="pct"/>
            <w:noWrap w:val="0"/>
            <w:vAlign w:val="center"/>
          </w:tcPr>
          <w:p w14:paraId="1139402E">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洒水车</w:t>
            </w:r>
          </w:p>
        </w:tc>
        <w:tc>
          <w:tcPr>
            <w:tcW w:w="1346" w:type="pct"/>
            <w:noWrap w:val="0"/>
            <w:vAlign w:val="center"/>
          </w:tcPr>
          <w:p w14:paraId="4BF516EF">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12m³</w:t>
            </w:r>
          </w:p>
        </w:tc>
        <w:tc>
          <w:tcPr>
            <w:tcW w:w="671" w:type="pct"/>
            <w:noWrap w:val="0"/>
            <w:vAlign w:val="center"/>
          </w:tcPr>
          <w:p w14:paraId="44846F9D">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787" w:type="pct"/>
            <w:noWrap w:val="0"/>
            <w:vAlign w:val="center"/>
          </w:tcPr>
          <w:p w14:paraId="0B5F3B89">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c>
          <w:tcPr>
            <w:tcW w:w="787" w:type="pct"/>
            <w:noWrap w:val="0"/>
            <w:vAlign w:val="center"/>
          </w:tcPr>
          <w:p w14:paraId="1CAAFA20">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bl>
    <w:p w14:paraId="7658BFBF">
      <w:pPr>
        <w:pStyle w:val="4"/>
        <w:adjustRightInd w:val="0"/>
        <w:snapToGrid w:val="0"/>
        <w:spacing w:before="240" w:beforeLines="100" w:after="0" w:line="360" w:lineRule="auto"/>
        <w:rPr>
          <w:rFonts w:hint="default" w:ascii="Times New Roman" w:hAnsi="Times New Roman" w:eastAsia="宋体" w:cs="Times New Roman"/>
          <w:sz w:val="28"/>
          <w:szCs w:val="28"/>
        </w:rPr>
      </w:pPr>
      <w:bookmarkStart w:id="299" w:name="_Toc23576"/>
      <w:bookmarkStart w:id="300" w:name="_Toc28579"/>
      <w:bookmarkStart w:id="301" w:name="_Toc30244"/>
      <w:bookmarkStart w:id="302" w:name="_Toc6470"/>
      <w:r>
        <w:rPr>
          <w:rFonts w:hint="default" w:ascii="Times New Roman" w:hAnsi="Times New Roman" w:eastAsia="宋体" w:cs="Times New Roman"/>
          <w:sz w:val="28"/>
          <w:szCs w:val="28"/>
        </w:rPr>
        <w:t>2.4.7通风防尘</w:t>
      </w:r>
      <w:bookmarkEnd w:id="299"/>
      <w:r>
        <w:rPr>
          <w:rFonts w:hint="default" w:ascii="Times New Roman" w:hAnsi="Times New Roman" w:eastAsia="宋体" w:cs="Times New Roman"/>
          <w:sz w:val="28"/>
          <w:szCs w:val="28"/>
        </w:rPr>
        <w:t>系统</w:t>
      </w:r>
      <w:bookmarkEnd w:id="300"/>
      <w:bookmarkEnd w:id="301"/>
      <w:bookmarkEnd w:id="302"/>
    </w:p>
    <w:p w14:paraId="74DBFD16">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2.4.7.1</w:t>
      </w:r>
      <w:r>
        <w:rPr>
          <w:rFonts w:hint="default" w:ascii="Times New Roman" w:hAnsi="Times New Roman" w:eastAsia="宋体" w:cs="Times New Roman"/>
          <w:b w:val="0"/>
          <w:bCs w:val="0"/>
          <w:lang w:val="en-GB"/>
        </w:rPr>
        <w:t>通风系统</w:t>
      </w:r>
    </w:p>
    <w:p w14:paraId="163F7E4F">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GB"/>
        </w:rPr>
        <w:t>该矿山为山坡露天矿，不涉及通风系统</w:t>
      </w:r>
      <w:r>
        <w:rPr>
          <w:rFonts w:hint="default" w:ascii="Times New Roman" w:hAnsi="Times New Roman" w:eastAsia="宋体" w:cs="Times New Roman"/>
          <w:sz w:val="28"/>
          <w:szCs w:val="28"/>
        </w:rPr>
        <w:t>。</w:t>
      </w:r>
    </w:p>
    <w:p w14:paraId="379DBF76">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2.4.7.2</w:t>
      </w:r>
      <w:r>
        <w:rPr>
          <w:rFonts w:hint="default" w:ascii="Times New Roman" w:hAnsi="Times New Roman" w:eastAsia="宋体" w:cs="Times New Roman"/>
          <w:b w:val="0"/>
          <w:bCs w:val="0"/>
          <w:lang w:val="en-GB"/>
        </w:rPr>
        <w:t>防尘系统</w:t>
      </w:r>
    </w:p>
    <w:p w14:paraId="65895E68">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粉尘主要来自铲装、运输、卸载等工序，以及随风再次粉尘飞扬。有害气体主要来自燃油机器排出的废气等。控制措施如下：</w:t>
      </w:r>
    </w:p>
    <w:p w14:paraId="67EB1CC1">
      <w:pPr>
        <w:adjustRightInd w:val="0"/>
        <w:snapToGrid w:val="0"/>
        <w:spacing w:line="360" w:lineRule="auto"/>
        <w:ind w:firstLine="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1.采用湿式凿岩或潜孔钻机配备收尘装置；</w:t>
      </w:r>
    </w:p>
    <w:p w14:paraId="5F4639F5">
      <w:pPr>
        <w:adjustRightInd w:val="0"/>
        <w:snapToGrid w:val="0"/>
        <w:spacing w:line="360" w:lineRule="auto"/>
        <w:ind w:firstLine="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2.对爆破后的爆堆进行洒水降尘；</w:t>
      </w:r>
    </w:p>
    <w:p w14:paraId="66B093CE">
      <w:pPr>
        <w:adjustRightInd w:val="0"/>
        <w:snapToGrid w:val="0"/>
        <w:spacing w:line="360" w:lineRule="auto"/>
        <w:ind w:firstLine="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3.对运输公路进行洒水降尘；</w:t>
      </w:r>
    </w:p>
    <w:p w14:paraId="66C38E10">
      <w:pPr>
        <w:adjustRightInd w:val="0"/>
        <w:snapToGrid w:val="0"/>
        <w:spacing w:line="360" w:lineRule="auto"/>
        <w:ind w:firstLine="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4.对粉尘超标的岗位操作人员配备口罩进行个体防护；</w:t>
      </w:r>
    </w:p>
    <w:p w14:paraId="1D586352">
      <w:pPr>
        <w:adjustRightInd w:val="0"/>
        <w:snapToGrid w:val="0"/>
        <w:spacing w:line="360" w:lineRule="auto"/>
        <w:ind w:firstLine="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5.对铲装、破碎和其它装卸地点，采用喷雾洒水措施，有条件的地方安装喷雾器组成的水幕；</w:t>
      </w:r>
    </w:p>
    <w:p w14:paraId="60B765D3">
      <w:pPr>
        <w:adjustRightInd w:val="0"/>
        <w:snapToGrid w:val="0"/>
        <w:spacing w:line="360" w:lineRule="auto"/>
        <w:ind w:firstLine="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6.潜孔钻机、挖掘机、装载机司机室应带有空调、除尘设备，机械密封并有通风装置。有条件的其它设备司机室可设置净化设施；</w:t>
      </w:r>
    </w:p>
    <w:p w14:paraId="6644248E">
      <w:pPr>
        <w:adjustRightInd w:val="0"/>
        <w:snapToGrid w:val="0"/>
        <w:spacing w:line="360" w:lineRule="auto"/>
        <w:ind w:firstLine="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7.加强内燃机的维护保养，降低排出有害气体的含量；</w:t>
      </w:r>
    </w:p>
    <w:p w14:paraId="558447CF">
      <w:pPr>
        <w:adjustRightInd w:val="0"/>
        <w:snapToGrid w:val="0"/>
        <w:spacing w:line="360" w:lineRule="auto"/>
        <w:ind w:firstLine="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8.采用集中控制和操作，改善工作条件。</w:t>
      </w:r>
    </w:p>
    <w:p w14:paraId="03F464D5">
      <w:pPr>
        <w:pStyle w:val="4"/>
        <w:adjustRightInd w:val="0"/>
        <w:snapToGrid w:val="0"/>
        <w:spacing w:before="0" w:after="0" w:line="360" w:lineRule="auto"/>
        <w:rPr>
          <w:rFonts w:hint="default" w:ascii="Times New Roman" w:hAnsi="Times New Roman" w:eastAsia="宋体" w:cs="Times New Roman"/>
          <w:sz w:val="28"/>
          <w:szCs w:val="28"/>
        </w:rPr>
      </w:pPr>
      <w:bookmarkStart w:id="303" w:name="_Toc2701"/>
      <w:bookmarkStart w:id="304" w:name="_Toc6582"/>
      <w:bookmarkStart w:id="305" w:name="_Toc23775"/>
      <w:bookmarkStart w:id="306" w:name="_Toc27619"/>
      <w:r>
        <w:rPr>
          <w:rFonts w:hint="default" w:ascii="Times New Roman" w:hAnsi="Times New Roman" w:eastAsia="宋体" w:cs="Times New Roman"/>
          <w:sz w:val="28"/>
          <w:szCs w:val="28"/>
        </w:rPr>
        <w:t>2.4.8矿山供配电</w:t>
      </w:r>
      <w:bookmarkEnd w:id="303"/>
      <w:r>
        <w:rPr>
          <w:rFonts w:hint="default" w:ascii="Times New Roman" w:hAnsi="Times New Roman" w:eastAsia="宋体" w:cs="Times New Roman"/>
          <w:sz w:val="28"/>
          <w:szCs w:val="28"/>
        </w:rPr>
        <w:t>系统</w:t>
      </w:r>
      <w:bookmarkEnd w:id="304"/>
      <w:bookmarkEnd w:id="305"/>
      <w:bookmarkEnd w:id="306"/>
    </w:p>
    <w:p w14:paraId="21F9A76B">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2.4.8.1供电电源</w:t>
      </w:r>
    </w:p>
    <w:p w14:paraId="67682C7A">
      <w:pPr>
        <w:adjustRightInd w:val="0"/>
        <w:snapToGrid w:val="0"/>
        <w:spacing w:line="360" w:lineRule="auto"/>
        <w:ind w:firstLine="560" w:firstLineChars="200"/>
        <w:rPr>
          <w:rFonts w:hint="default" w:ascii="Times New Roman" w:hAnsi="Times New Roman" w:eastAsia="宋体" w:cs="Times New Roman"/>
          <w:color w:val="FF0000"/>
          <w:sz w:val="28"/>
          <w:szCs w:val="28"/>
        </w:rPr>
      </w:pPr>
      <w:r>
        <w:rPr>
          <w:rFonts w:hint="default" w:ascii="Times New Roman" w:hAnsi="Times New Roman" w:eastAsia="宋体" w:cs="Times New Roman"/>
          <w:sz w:val="28"/>
          <w:szCs w:val="28"/>
        </w:rPr>
        <w:t>矿山供电电源为独梨树村供电所，已经架设10KV架空供电路线至矿区配电室，配置有800kVA变压器一台，矿区及加工区供电由配电室供应。</w:t>
      </w:r>
    </w:p>
    <w:p w14:paraId="1588FDA9">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2.4.8.2供电系统</w:t>
      </w:r>
    </w:p>
    <w:p w14:paraId="29361B11">
      <w:pPr>
        <w:pStyle w:val="11"/>
        <w:adjustRightInd w:val="0"/>
        <w:snapToGrid w:val="0"/>
        <w:spacing w:after="0" w:line="360" w:lineRule="auto"/>
        <w:ind w:left="0" w:leftChars="0"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（1）供电电压：10kV；配电电压：380V。</w:t>
      </w:r>
    </w:p>
    <w:p w14:paraId="21108D5D">
      <w:pPr>
        <w:pStyle w:val="11"/>
        <w:adjustRightInd w:val="0"/>
        <w:snapToGrid w:val="0"/>
        <w:spacing w:after="0" w:line="360" w:lineRule="auto"/>
        <w:ind w:left="0" w:leftChars="0"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（2）供电系统</w:t>
      </w:r>
    </w:p>
    <w:p w14:paraId="5BF32321">
      <w:pPr>
        <w:pStyle w:val="11"/>
        <w:adjustRightInd w:val="0"/>
        <w:snapToGrid w:val="0"/>
        <w:spacing w:after="0" w:line="360" w:lineRule="auto"/>
        <w:ind w:left="0" w:leftChars="0"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电源引自王家山村供电所10kV电网，矿山在破碎站设置变压器变电，地表采用架空线输电。破碎站采用沿工业场地边缘架设半环形固定式、干线式配电系统，并在线路的入口处和分段处以及干线、环形与分支线路连接处装设负荷开关。低压电网装设具有剩余电流动作的保护器作单相接地故障保护，其末端线路的切断时间不大于0.1s。</w:t>
      </w:r>
    </w:p>
    <w:p w14:paraId="5021E294">
      <w:pPr>
        <w:pStyle w:val="4"/>
        <w:adjustRightInd w:val="0"/>
        <w:snapToGrid w:val="0"/>
        <w:spacing w:before="0" w:after="0" w:line="360" w:lineRule="auto"/>
        <w:rPr>
          <w:rFonts w:hint="default" w:ascii="Times New Roman" w:hAnsi="Times New Roman" w:eastAsia="宋体" w:cs="Times New Roman"/>
          <w:sz w:val="28"/>
          <w:szCs w:val="28"/>
        </w:rPr>
      </w:pPr>
      <w:bookmarkStart w:id="307" w:name="_Toc6915"/>
      <w:bookmarkStart w:id="308" w:name="_Toc29458"/>
      <w:bookmarkStart w:id="309" w:name="_Toc18622"/>
      <w:bookmarkStart w:id="310" w:name="_Toc2564"/>
      <w:r>
        <w:rPr>
          <w:rFonts w:hint="default" w:ascii="Times New Roman" w:hAnsi="Times New Roman" w:eastAsia="宋体" w:cs="Times New Roman"/>
          <w:sz w:val="28"/>
          <w:szCs w:val="28"/>
        </w:rPr>
        <w:t>2.4.9给排水系统</w:t>
      </w:r>
      <w:bookmarkEnd w:id="307"/>
      <w:bookmarkEnd w:id="308"/>
      <w:bookmarkEnd w:id="309"/>
      <w:bookmarkEnd w:id="310"/>
    </w:p>
    <w:p w14:paraId="304FE3E5">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bookmarkStart w:id="311" w:name="_Toc42224957"/>
      <w:r>
        <w:rPr>
          <w:rFonts w:hint="default" w:ascii="Times New Roman" w:hAnsi="Times New Roman" w:eastAsia="宋体" w:cs="Times New Roman"/>
          <w:b w:val="0"/>
          <w:bCs w:val="0"/>
        </w:rPr>
        <w:t>2.4.9.1给水</w:t>
      </w:r>
    </w:p>
    <w:p w14:paraId="13362448">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生产、生活用水引自矿区北部的唐家松林居民点，距矿区约400m，破碎站附近设有20m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蓄水罐，能够满足矿山生产生活用水需要。</w:t>
      </w:r>
    </w:p>
    <w:p w14:paraId="681E72E0">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（1）生产新水给水系统</w:t>
      </w:r>
    </w:p>
    <w:p w14:paraId="049766F5">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由供水点用给水管网（∅51×3.5mm）引至采剥工作面及运输工作面，公路洒水由洒水车运水负责。</w:t>
      </w:r>
    </w:p>
    <w:p w14:paraId="461A28F3">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（2）消防给水系统</w:t>
      </w:r>
    </w:p>
    <w:p w14:paraId="5449FC63">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矿山主要建筑物为破碎站、工业场地、临时工棚等，耐火等级为二级，生产内别为丁戊类，建筑占地面积小，建筑高度不高，根据《建筑设计防火规范》（GB 50016-2014[2018年版]）的规定，可不设置室外消防给水系统。</w:t>
      </w:r>
    </w:p>
    <w:p w14:paraId="2F590D8D">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根据《建筑灭火器配置设计规范》（GB 50140-2005）要求，在配电室、破碎站车间、工业场地等场所各配置一组（2—4个）手提式磷酸铵盐干粉灭火器。</w:t>
      </w:r>
    </w:p>
    <w:p w14:paraId="147BAD12">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2.4.9.2排水</w:t>
      </w:r>
    </w:p>
    <w:p w14:paraId="25E1347F">
      <w:pPr>
        <w:widowControl/>
        <w:adjustRightInd w:val="0"/>
        <w:snapToGrid w:val="0"/>
        <w:spacing w:line="360" w:lineRule="auto"/>
        <w:ind w:firstLine="562" w:firstLineChars="200"/>
        <w:jc w:val="left"/>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一、汇水面积及降雨量</w:t>
      </w:r>
      <w:bookmarkEnd w:id="311"/>
    </w:p>
    <w:p w14:paraId="2912FB5D">
      <w:pPr>
        <w:adjustRightInd w:val="0"/>
        <w:snapToGrid w:val="0"/>
        <w:spacing w:line="360" w:lineRule="auto"/>
        <w:ind w:firstLine="560" w:firstLineChars="200"/>
        <w:rPr>
          <w:rFonts w:hint="default" w:ascii="Times New Roman" w:hAnsi="Times New Roman" w:eastAsia="宋体" w:cs="Times New Roman"/>
          <w:sz w:val="28"/>
          <w:szCs w:val="28"/>
        </w:rPr>
      </w:pPr>
      <w:bookmarkStart w:id="312" w:name="_Hlk83138756"/>
      <w:bookmarkStart w:id="313" w:name="_Toc42224958"/>
      <w:r>
        <w:rPr>
          <w:rFonts w:hint="default" w:ascii="Times New Roman" w:hAnsi="Times New Roman" w:eastAsia="宋体" w:cs="Times New Roman"/>
          <w:sz w:val="28"/>
          <w:szCs w:val="28"/>
        </w:rPr>
        <w:t>矿区属亚热带高原山地季风气候，年平均气温12.5℃，极端最高气温32℃，极端最低气温－13℃。年平均降雨量1080.00mm，日最大降雨量155mm，5～10月为雨季，降雨量占全年降雨量的80.4%；年平均相对湿度83%。</w:t>
      </w:r>
    </w:p>
    <w:bookmarkEnd w:id="312"/>
    <w:p w14:paraId="7ECC1090">
      <w:pPr>
        <w:widowControl/>
        <w:adjustRightInd w:val="0"/>
        <w:snapToGrid w:val="0"/>
        <w:spacing w:line="360" w:lineRule="auto"/>
        <w:ind w:firstLine="562" w:firstLineChars="200"/>
        <w:jc w:val="left"/>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二、采场防排水措施</w:t>
      </w:r>
    </w:p>
    <w:bookmarkEnd w:id="313"/>
    <w:p w14:paraId="0FDA09C0">
      <w:pPr>
        <w:adjustRightInd w:val="0"/>
        <w:snapToGrid w:val="0"/>
        <w:spacing w:line="360" w:lineRule="auto"/>
        <w:ind w:firstLine="560" w:firstLineChars="200"/>
        <w:rPr>
          <w:rFonts w:hint="default" w:ascii="Times New Roman" w:hAnsi="Times New Roman" w:eastAsia="宋体" w:cs="Times New Roman"/>
          <w:sz w:val="28"/>
          <w:szCs w:val="28"/>
        </w:rPr>
      </w:pPr>
      <w:bookmarkStart w:id="314" w:name="_Toc43091501"/>
      <w:r>
        <w:rPr>
          <w:rFonts w:hint="default" w:ascii="Times New Roman" w:hAnsi="Times New Roman" w:eastAsia="宋体" w:cs="Times New Roman"/>
          <w:sz w:val="28"/>
          <w:szCs w:val="28"/>
        </w:rPr>
        <w:t>1.场外排水</w:t>
      </w:r>
    </w:p>
    <w:p w14:paraId="60BC606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本次设计露天采场位于山腰，场外汇水设置截洪沟进行截流引排，排水方式采用自流排水；场内汇水设置台阶排水沟进行自流排水。</w:t>
      </w:r>
    </w:p>
    <w:p w14:paraId="433EF72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2.场内排水</w:t>
      </w:r>
    </w:p>
    <w:p w14:paraId="103830F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根据圈定露天境界，采场内共布置台阶排水沟进行自流排水。</w:t>
      </w:r>
    </w:p>
    <w:p w14:paraId="2910231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经计算，排水设施设计流量Q＞洪峰流量，排水设施设计流量Q满足排洪要求，设计尺寸断面是安全可靠的。</w:t>
      </w:r>
    </w:p>
    <w:bookmarkEnd w:id="314"/>
    <w:p w14:paraId="53492A0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3.排水设施</w:t>
      </w:r>
    </w:p>
    <w:p w14:paraId="7FEEA1B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截洪沟：倒梯形断面，底宽0.5m，高0.6m，坡比1：0.58，纵坡3%，长度522m。</w:t>
      </w:r>
    </w:p>
    <w:p w14:paraId="5DD3D6E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2190m台阶排水沟：矩形断面，尺寸0.4×0.4m，纵坡3‰，长度228。</w:t>
      </w:r>
    </w:p>
    <w:p w14:paraId="4A4A382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2160m台阶排水沟：矩形断面，尺寸0.5×0.5m，纵坡3‰，长度255m。</w:t>
      </w:r>
    </w:p>
    <w:p w14:paraId="4BA23C9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2140m台阶排水沟：矩形断面，尺寸0.4×0.4m，纵坡3‰，长度264m。</w:t>
      </w:r>
    </w:p>
    <w:p w14:paraId="025F4995">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沉淀池：尺寸4×2×2m，数量2个</w:t>
      </w:r>
    </w:p>
    <w:p w14:paraId="5581BD5C">
      <w:pPr>
        <w:adjustRightInd w:val="0"/>
        <w:snapToGrid w:val="0"/>
        <w:spacing w:line="360" w:lineRule="auto"/>
        <w:ind w:firstLine="560" w:firstLineChars="200"/>
        <w:rPr>
          <w:rFonts w:hint="default" w:ascii="Times New Roman" w:hAnsi="Times New Roman" w:eastAsia="宋体" w:cs="Times New Roman"/>
          <w:sz w:val="28"/>
          <w:szCs w:val="28"/>
          <w:lang w:val="sq-AL"/>
        </w:rPr>
      </w:pPr>
      <w:r>
        <w:rPr>
          <w:rFonts w:hint="default"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sq-AL"/>
        </w:rPr>
        <w:t>采场内防排水措施</w:t>
      </w:r>
    </w:p>
    <w:p w14:paraId="29904947">
      <w:pPr>
        <w:adjustRightInd w:val="0"/>
        <w:snapToGrid w:val="0"/>
        <w:spacing w:line="360" w:lineRule="auto"/>
        <w:ind w:firstLine="560" w:firstLineChars="200"/>
        <w:rPr>
          <w:rFonts w:hint="default" w:ascii="Times New Roman" w:hAnsi="Times New Roman" w:eastAsia="宋体" w:cs="Times New Roman"/>
          <w:sz w:val="28"/>
          <w:szCs w:val="28"/>
          <w:lang w:val="sq-AL"/>
        </w:rPr>
      </w:pPr>
      <w:r>
        <w:rPr>
          <w:rFonts w:hint="default" w:ascii="Times New Roman" w:hAnsi="Times New Roman" w:eastAsia="宋体" w:cs="Times New Roman"/>
          <w:sz w:val="28"/>
          <w:szCs w:val="28"/>
          <w:lang w:val="sq-AL"/>
        </w:rPr>
        <w:t>（1）雨季来临前应挖设场内外排水沟，并保证排水沟排水通畅。</w:t>
      </w:r>
    </w:p>
    <w:p w14:paraId="533242F3">
      <w:pPr>
        <w:adjustRightInd w:val="0"/>
        <w:snapToGrid w:val="0"/>
        <w:spacing w:line="360" w:lineRule="auto"/>
        <w:ind w:firstLine="560" w:firstLineChars="200"/>
        <w:rPr>
          <w:rFonts w:hint="default" w:ascii="Times New Roman" w:hAnsi="Times New Roman" w:eastAsia="宋体" w:cs="Times New Roman"/>
          <w:sz w:val="28"/>
          <w:szCs w:val="28"/>
          <w:lang w:val="sq-AL"/>
        </w:rPr>
      </w:pPr>
      <w:r>
        <w:rPr>
          <w:rFonts w:hint="default" w:ascii="Times New Roman" w:hAnsi="Times New Roman" w:eastAsia="宋体" w:cs="Times New Roman"/>
          <w:sz w:val="28"/>
          <w:szCs w:val="28"/>
          <w:lang w:val="sq-AL"/>
        </w:rPr>
        <w:t>（2）雨季时，应增设专人对采场边坡进行检查、监测，发现可疑情况须及时解决。</w:t>
      </w:r>
    </w:p>
    <w:p w14:paraId="068C76B6">
      <w:pPr>
        <w:adjustRightInd w:val="0"/>
        <w:snapToGrid w:val="0"/>
        <w:spacing w:line="360" w:lineRule="auto"/>
        <w:ind w:firstLine="560" w:firstLineChars="200"/>
        <w:rPr>
          <w:rFonts w:hint="default" w:ascii="Times New Roman" w:hAnsi="Times New Roman" w:eastAsia="宋体" w:cs="Times New Roman"/>
          <w:sz w:val="28"/>
          <w:szCs w:val="28"/>
          <w:lang w:val="sq-AL"/>
        </w:rPr>
      </w:pPr>
      <w:r>
        <w:rPr>
          <w:rFonts w:hint="default" w:ascii="Times New Roman" w:hAnsi="Times New Roman" w:eastAsia="宋体" w:cs="Times New Roman"/>
          <w:sz w:val="28"/>
          <w:szCs w:val="28"/>
          <w:lang w:val="sq-AL"/>
        </w:rPr>
        <w:t>（3）遇到雨雪、大雾天气及能见度低时，应停止开采作业。</w:t>
      </w:r>
    </w:p>
    <w:p w14:paraId="3E5CA419">
      <w:pPr>
        <w:adjustRightInd w:val="0"/>
        <w:snapToGrid w:val="0"/>
        <w:spacing w:line="360" w:lineRule="auto"/>
        <w:ind w:firstLine="560" w:firstLineChars="200"/>
        <w:rPr>
          <w:rFonts w:hint="default" w:ascii="Times New Roman" w:hAnsi="Times New Roman" w:eastAsia="宋体" w:cs="Times New Roman"/>
          <w:sz w:val="28"/>
          <w:szCs w:val="28"/>
          <w:lang w:val="sq-AL"/>
        </w:rPr>
      </w:pPr>
      <w:r>
        <w:rPr>
          <w:rFonts w:hint="default" w:ascii="Times New Roman" w:hAnsi="Times New Roman" w:eastAsia="宋体" w:cs="Times New Roman"/>
          <w:sz w:val="28"/>
          <w:szCs w:val="28"/>
          <w:lang w:val="sq-AL"/>
        </w:rPr>
        <w:t>（4）汛期时应做好矿区的防汛工作，包括明确防汛安全生产责任制，建立紧急预案，疏通矿区内外的截水沟，详细检查排洪系统的安全状况，配备足够物资，确保通信、照明、道路、供电可靠和畅通等。</w:t>
      </w:r>
    </w:p>
    <w:p w14:paraId="20218D81">
      <w:pPr>
        <w:adjustRightInd w:val="0"/>
        <w:snapToGrid w:val="0"/>
        <w:spacing w:line="360" w:lineRule="auto"/>
        <w:ind w:firstLine="560" w:firstLineChars="200"/>
        <w:rPr>
          <w:rFonts w:hint="default" w:ascii="Times New Roman" w:hAnsi="Times New Roman" w:eastAsia="宋体" w:cs="Times New Roman"/>
          <w:sz w:val="28"/>
          <w:szCs w:val="28"/>
          <w:lang w:val="sq-AL"/>
        </w:rPr>
      </w:pPr>
      <w:r>
        <w:rPr>
          <w:rFonts w:hint="default" w:ascii="Times New Roman" w:hAnsi="Times New Roman" w:eastAsia="宋体" w:cs="Times New Roman"/>
          <w:sz w:val="28"/>
          <w:szCs w:val="28"/>
          <w:lang w:val="sq-AL"/>
        </w:rPr>
        <w:t>（5）每年应制定防排水措施，并定期检查措施执行情况。</w:t>
      </w:r>
    </w:p>
    <w:p w14:paraId="4D23E744">
      <w:pPr>
        <w:adjustRightInd w:val="0"/>
        <w:snapToGrid w:val="0"/>
        <w:spacing w:line="360" w:lineRule="auto"/>
        <w:ind w:firstLine="560" w:firstLineChars="200"/>
        <w:rPr>
          <w:rFonts w:hint="default" w:ascii="Times New Roman" w:hAnsi="Times New Roman" w:eastAsia="宋体" w:cs="Times New Roman"/>
          <w:sz w:val="28"/>
          <w:szCs w:val="28"/>
          <w:lang w:val="sq-AL"/>
        </w:rPr>
      </w:pPr>
      <w:r>
        <w:rPr>
          <w:rFonts w:hint="default" w:ascii="Times New Roman" w:hAnsi="Times New Roman" w:eastAsia="宋体" w:cs="Times New Roman"/>
          <w:sz w:val="28"/>
          <w:szCs w:val="28"/>
          <w:lang w:val="sq-AL"/>
        </w:rPr>
        <w:t>（6）矿床疏干过程中出现陷坑、裂缝以及可能出现的地表陷落范围，应及时圈定、设立标志，并采取必要的安全措施。</w:t>
      </w:r>
    </w:p>
    <w:p w14:paraId="6B652E6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.监测措施</w:t>
      </w:r>
    </w:p>
    <w:p w14:paraId="1387000E">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本矿山位于最低开采标高位于当地最低侵蚀面以上，不会揭露地下水水位。无需做水位监测，做好维护措施，尤其在雨季，需清理截水沟内淤泥和杂物，保证排水沟畅通。</w:t>
      </w:r>
    </w:p>
    <w:p w14:paraId="1CF84D93">
      <w:pPr>
        <w:widowControl/>
        <w:adjustRightInd w:val="0"/>
        <w:snapToGrid w:val="0"/>
        <w:spacing w:line="360" w:lineRule="auto"/>
        <w:ind w:firstLine="562" w:firstLineChars="200"/>
        <w:jc w:val="left"/>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三、运输道路、工业场地防排水措施</w:t>
      </w:r>
    </w:p>
    <w:p w14:paraId="63F7885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根据运输道路布置，在运输道路内侧修建排水沟。排水沟采用矩形断面，混泥土浇筑，深度取0.5m，底宽0.5m。</w:t>
      </w:r>
    </w:p>
    <w:p w14:paraId="7601E96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工业场地周边设置排水沟采用矩形断面，混泥土浇筑，深度取0.5m，底宽0.5m。</w:t>
      </w:r>
    </w:p>
    <w:p w14:paraId="283859A7">
      <w:pPr>
        <w:pStyle w:val="4"/>
        <w:adjustRightInd w:val="0"/>
        <w:snapToGrid w:val="0"/>
        <w:spacing w:before="0" w:after="0" w:line="360" w:lineRule="auto"/>
        <w:rPr>
          <w:rFonts w:hint="default" w:ascii="Times New Roman" w:hAnsi="Times New Roman" w:eastAsia="宋体" w:cs="Times New Roman"/>
          <w:sz w:val="28"/>
          <w:szCs w:val="28"/>
        </w:rPr>
      </w:pPr>
      <w:bookmarkStart w:id="315" w:name="_Toc27608"/>
      <w:bookmarkStart w:id="316" w:name="_Toc10060"/>
      <w:bookmarkStart w:id="317" w:name="_Toc31728"/>
      <w:bookmarkStart w:id="318" w:name="_Toc14093"/>
      <w:r>
        <w:rPr>
          <w:rFonts w:hint="default" w:ascii="Times New Roman" w:hAnsi="Times New Roman" w:eastAsia="宋体" w:cs="Times New Roman"/>
          <w:sz w:val="28"/>
          <w:szCs w:val="28"/>
        </w:rPr>
        <w:t>2.4.10排土场</w:t>
      </w:r>
      <w:bookmarkEnd w:id="315"/>
      <w:bookmarkEnd w:id="316"/>
      <w:bookmarkEnd w:id="317"/>
      <w:bookmarkEnd w:id="318"/>
    </w:p>
    <w:p w14:paraId="083D4597">
      <w:pPr>
        <w:adjustRightInd w:val="0"/>
        <w:snapToGrid w:val="0"/>
        <w:spacing w:line="360" w:lineRule="auto"/>
        <w:ind w:firstLine="560" w:firstLineChars="200"/>
        <w:jc w:val="left"/>
        <w:rPr>
          <w:rFonts w:hint="default" w:ascii="Times New Roman" w:hAnsi="Times New Roman" w:eastAsia="宋体" w:cs="Times New Roman"/>
          <w:sz w:val="28"/>
          <w:szCs w:val="28"/>
          <w:lang w:val="en-US" w:eastAsia="zh-CN"/>
        </w:rPr>
      </w:pPr>
      <w:bookmarkStart w:id="319" w:name="_Hlk129273274"/>
      <w:r>
        <w:rPr>
          <w:rFonts w:hint="default" w:ascii="Times New Roman" w:hAnsi="Times New Roman" w:eastAsia="宋体" w:cs="Times New Roman"/>
          <w:sz w:val="28"/>
          <w:szCs w:val="28"/>
        </w:rPr>
        <w:t>矿区属高原中山侵蚀、溶蚀地貌，区域北部地势总体北西部高、南东部低，地形坡度一般26°～36°，局部较陡或较缓。综合考虑矿区地形条件及现状条件，设计排土场选择矿区西侧老采区内，该处边坡角度小，边坡高度不高，汇水面积不大，且岩性较好，适合排土。堆存标高仅8m，安全距离满足相关规范的要求</w:t>
      </w:r>
      <w:r>
        <w:rPr>
          <w:rFonts w:hint="default" w:ascii="Times New Roman" w:hAnsi="Times New Roman" w:eastAsia="宋体" w:cs="Times New Roman"/>
          <w:sz w:val="28"/>
          <w:szCs w:val="28"/>
          <w:lang w:eastAsia="zh-CN"/>
        </w:rPr>
        <w:t>。</w:t>
      </w:r>
    </w:p>
    <w:p w14:paraId="542F82F0">
      <w:pPr>
        <w:adjustRightInd w:val="0"/>
        <w:snapToGrid w:val="0"/>
        <w:spacing w:line="360" w:lineRule="auto"/>
        <w:ind w:firstLine="560" w:firstLineChars="200"/>
        <w:jc w:val="left"/>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rPr>
        <w:t>矿山实际废土料排放量少，约为1.25万m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，考虑1.3的松散系数及1.1的压实系数，设计临时排土场容积为1.48万m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vertAlign w:val="baseline"/>
          <w:lang w:eastAsia="zh-CN"/>
        </w:rPr>
        <w:t>。设计临时排土场为山坡型堆场，堆排标高2122～2114m，堆排高度8m，共设计一个台阶，台阶高度8m，台阶坡面角30°，最终边坡角30°。</w:t>
      </w:r>
    </w:p>
    <w:p w14:paraId="11EFF2AB">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该处仅作为临时排土场所，堆排时间短，防水设施设计在2122m平台内</w:t>
      </w:r>
      <w:r>
        <w:rPr>
          <w:rFonts w:hint="default" w:ascii="Times New Roman" w:hAnsi="Times New Roman" w:eastAsia="宋体" w:cs="Times New Roman"/>
          <w:sz w:val="28"/>
          <w:szCs w:val="28"/>
          <w:lang w:val="en-US" w:eastAsia="zh-CN"/>
        </w:rPr>
        <w:t>设</w:t>
      </w:r>
      <w:r>
        <w:rPr>
          <w:rFonts w:hint="default" w:ascii="Times New Roman" w:hAnsi="Times New Roman" w:eastAsia="宋体" w:cs="Times New Roman"/>
          <w:sz w:val="28"/>
          <w:szCs w:val="28"/>
        </w:rPr>
        <w:t>排水沟，排水沟宽度0.6×0.6m，同时排土平台设置2%的反坡，有利于排土安全及雨水汇集至排水沟。</w:t>
      </w:r>
    </w:p>
    <w:p w14:paraId="7295240A">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临时排土场下方设置挡土墙，采用浆砌石结构，矩形断面，宽1.0m，高2.5m，长度18m，底部边缘设置警示标志、严禁非工作人员靠近底部。</w:t>
      </w:r>
    </w:p>
    <w:bookmarkEnd w:id="319"/>
    <w:p w14:paraId="561BBFC4">
      <w:pPr>
        <w:pStyle w:val="4"/>
        <w:adjustRightInd w:val="0"/>
        <w:snapToGrid w:val="0"/>
        <w:spacing w:before="0" w:after="0" w:line="360" w:lineRule="auto"/>
        <w:rPr>
          <w:rFonts w:hint="default" w:ascii="Times New Roman" w:hAnsi="Times New Roman" w:eastAsia="宋体" w:cs="Times New Roman"/>
          <w:sz w:val="28"/>
          <w:szCs w:val="28"/>
        </w:rPr>
      </w:pPr>
      <w:bookmarkStart w:id="320" w:name="_Toc12284"/>
      <w:bookmarkStart w:id="321" w:name="_Toc5275"/>
      <w:bookmarkStart w:id="322" w:name="_Toc32585"/>
      <w:bookmarkStart w:id="323" w:name="_Toc16884"/>
      <w:r>
        <w:rPr>
          <w:rFonts w:hint="default" w:ascii="Times New Roman" w:hAnsi="Times New Roman" w:eastAsia="宋体" w:cs="Times New Roman"/>
          <w:sz w:val="28"/>
          <w:szCs w:val="28"/>
        </w:rPr>
        <w:t>2.4.11安全管理及其他</w:t>
      </w:r>
      <w:bookmarkEnd w:id="320"/>
      <w:bookmarkEnd w:id="321"/>
      <w:bookmarkEnd w:id="322"/>
      <w:bookmarkEnd w:id="323"/>
    </w:p>
    <w:p w14:paraId="2555B00C">
      <w:pPr>
        <w:pStyle w:val="5"/>
        <w:adjustRightInd w:val="0"/>
        <w:snapToGrid w:val="0"/>
        <w:spacing w:before="0" w:after="0" w:line="360" w:lineRule="auto"/>
        <w:ind w:firstLine="560" w:firstLineChars="200"/>
        <w:rPr>
          <w:rFonts w:hint="default" w:ascii="Times New Roman" w:hAnsi="Times New Roman" w:eastAsia="宋体" w:cs="Times New Roman"/>
          <w:b w:val="0"/>
          <w:bCs w:val="0"/>
        </w:rPr>
      </w:pPr>
      <w:r>
        <w:rPr>
          <w:rFonts w:hint="default" w:ascii="Times New Roman" w:hAnsi="Times New Roman" w:eastAsia="宋体" w:cs="Times New Roman"/>
          <w:b w:val="0"/>
          <w:bCs w:val="0"/>
        </w:rPr>
        <w:t>2.4.11.1组织结构和劳动定员</w:t>
      </w:r>
    </w:p>
    <w:p w14:paraId="7F0B8E08">
      <w:pPr>
        <w:adjustRightInd w:val="0"/>
        <w:snapToGrid w:val="0"/>
        <w:spacing w:line="360" w:lineRule="auto"/>
        <w:ind w:firstLine="562" w:firstLineChars="200"/>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1、组织结构</w:t>
      </w:r>
    </w:p>
    <w:p w14:paraId="71C0DC5C">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本项目生产规模10万t/a，建议企业按公司制建立组织机构，具体机构的设置由企业自行考虑，本设计仅按类似企业考虑人员数量配置。</w:t>
      </w:r>
    </w:p>
    <w:p w14:paraId="4221003C">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矿山实行矿长负责制，组织机构宜设置矿部、车间二级管理，设各管理部门及采矿工区，详见下图：</w:t>
      </w:r>
    </w:p>
    <w:p w14:paraId="7090FC51">
      <w:pPr>
        <w:adjustRightInd w:val="0"/>
        <w:snapToGrid w:val="0"/>
        <w:jc w:val="center"/>
        <w:rPr>
          <w:rFonts w:hint="default" w:ascii="Times New Roman" w:hAnsi="Times New Roman" w:eastAsia="宋体" w:cs="Times New Roman"/>
          <w:sz w:val="24"/>
        </w:rPr>
      </w:pPr>
      <w:r>
        <w:rPr>
          <w:rFonts w:hint="default" w:ascii="Times New Roman" w:hAnsi="Times New Roman" w:eastAsia="宋体" w:cs="Times New Roman"/>
          <w:sz w:val="28"/>
          <w:szCs w:val="28"/>
        </w:rPr>
        <w:drawing>
          <wp:anchor distT="0" distB="0" distL="114300" distR="114300" simplePos="0" relativeHeight="251667456" behindDoc="0" locked="0" layoutInCell="1" allowOverlap="1">
            <wp:simplePos x="0" y="0"/>
            <wp:positionH relativeFrom="column">
              <wp:posOffset>524510</wp:posOffset>
            </wp:positionH>
            <wp:positionV relativeFrom="paragraph">
              <wp:posOffset>8255</wp:posOffset>
            </wp:positionV>
            <wp:extent cx="5017135" cy="1365885"/>
            <wp:effectExtent l="0" t="0" r="12065" b="5715"/>
            <wp:wrapTopAndBottom/>
            <wp:docPr id="1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02"/>
                    <pic:cNvPicPr>
                      <a:picLocks noRot="1" noChangeAspect="1"/>
                    </pic:cNvPicPr>
                  </pic:nvPicPr>
                  <pic:blipFill>
                    <a:blip r:embed="rId16"/>
                    <a:stretch>
                      <a:fillRect/>
                    </a:stretch>
                  </pic:blipFill>
                  <pic:spPr>
                    <a:xfrm>
                      <a:off x="0" y="0"/>
                      <a:ext cx="5017135" cy="1365885"/>
                    </a:xfrm>
                    <a:prstGeom prst="rect">
                      <a:avLst/>
                    </a:prstGeom>
                    <a:noFill/>
                    <a:ln>
                      <a:noFill/>
                    </a:ln>
                  </pic:spPr>
                </pic:pic>
              </a:graphicData>
            </a:graphic>
          </wp:anchor>
        </w:drawing>
      </w:r>
      <w:r>
        <w:rPr>
          <w:rFonts w:hint="default" w:ascii="Times New Roman" w:hAnsi="Times New Roman" w:eastAsia="宋体" w:cs="Times New Roman"/>
          <w:sz w:val="24"/>
        </w:rPr>
        <w:t>图2.4-1  组织结构图</w:t>
      </w:r>
    </w:p>
    <w:p w14:paraId="7F54A530">
      <w:pPr>
        <w:adjustRightInd w:val="0"/>
        <w:snapToGrid w:val="0"/>
        <w:spacing w:line="360" w:lineRule="auto"/>
        <w:ind w:firstLine="562" w:firstLineChars="200"/>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2、劳动定员</w:t>
      </w:r>
    </w:p>
    <w:p w14:paraId="3D2763E8">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山采用间断工作制，年工作日300天，每天1班，每班8小时。根据项目的工作制度和设备运转需要，主要生产人员在册系数为1.3，在册职工总数为16人，其中生产工人12人，安全专员2人，管理及服务人员2人。详细定员见表2.4-4：</w:t>
      </w:r>
    </w:p>
    <w:p w14:paraId="0FA63B94">
      <w:pPr>
        <w:adjustRightInd w:val="0"/>
        <w:snapToGrid w:val="0"/>
        <w:ind w:firstLine="480" w:firstLineChars="200"/>
        <w:jc w:val="center"/>
        <w:rPr>
          <w:rFonts w:hint="default" w:ascii="Times New Roman" w:hAnsi="Times New Roman" w:eastAsia="宋体" w:cs="Times New Roman"/>
          <w:bCs/>
          <w:sz w:val="24"/>
        </w:rPr>
      </w:pPr>
      <w:r>
        <w:rPr>
          <w:rFonts w:hint="default" w:ascii="Times New Roman" w:hAnsi="Times New Roman" w:eastAsia="宋体" w:cs="Times New Roman"/>
          <w:bCs/>
          <w:sz w:val="24"/>
        </w:rPr>
        <w:t>表2.4-4  劳动定员表</w:t>
      </w:r>
    </w:p>
    <w:tbl>
      <w:tblPr>
        <w:tblStyle w:val="30"/>
        <w:tblW w:w="5000" w:type="pct"/>
        <w:jc w:val="center"/>
        <w:tblLayout w:type="autofit"/>
        <w:tblCellMar>
          <w:top w:w="0" w:type="dxa"/>
          <w:left w:w="108" w:type="dxa"/>
          <w:bottom w:w="0" w:type="dxa"/>
          <w:right w:w="108" w:type="dxa"/>
        </w:tblCellMar>
      </w:tblPr>
      <w:tblGrid>
        <w:gridCol w:w="2122"/>
        <w:gridCol w:w="2529"/>
        <w:gridCol w:w="2025"/>
        <w:gridCol w:w="2724"/>
      </w:tblGrid>
      <w:tr w14:paraId="374488D0">
        <w:tblPrEx>
          <w:tblCellMar>
            <w:top w:w="0" w:type="dxa"/>
            <w:left w:w="108" w:type="dxa"/>
            <w:bottom w:w="0" w:type="dxa"/>
            <w:right w:w="108" w:type="dxa"/>
          </w:tblCellMar>
        </w:tblPrEx>
        <w:trPr>
          <w:trHeight w:val="397" w:hRule="atLeast"/>
          <w:jc w:val="center"/>
        </w:trPr>
        <w:tc>
          <w:tcPr>
            <w:tcW w:w="1129" w:type="pct"/>
            <w:tcBorders>
              <w:top w:val="single" w:color="auto" w:sz="4" w:space="0"/>
              <w:left w:val="single" w:color="auto" w:sz="4" w:space="0"/>
              <w:bottom w:val="single" w:color="auto" w:sz="4" w:space="0"/>
              <w:right w:val="single" w:color="auto" w:sz="4" w:space="0"/>
            </w:tcBorders>
            <w:noWrap w:val="0"/>
            <w:vAlign w:val="center"/>
          </w:tcPr>
          <w:p w14:paraId="3FD95879">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部门</w:t>
            </w:r>
          </w:p>
        </w:tc>
        <w:tc>
          <w:tcPr>
            <w:tcW w:w="1345" w:type="pct"/>
            <w:tcBorders>
              <w:top w:val="single" w:color="auto" w:sz="4" w:space="0"/>
              <w:left w:val="nil"/>
              <w:bottom w:val="single" w:color="auto" w:sz="4" w:space="0"/>
              <w:right w:val="single" w:color="auto" w:sz="4" w:space="0"/>
            </w:tcBorders>
            <w:noWrap w:val="0"/>
            <w:vAlign w:val="center"/>
          </w:tcPr>
          <w:p w14:paraId="32761B02">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职务/工种</w:t>
            </w:r>
          </w:p>
        </w:tc>
        <w:tc>
          <w:tcPr>
            <w:tcW w:w="1077" w:type="pct"/>
            <w:tcBorders>
              <w:top w:val="single" w:color="auto" w:sz="4" w:space="0"/>
              <w:left w:val="nil"/>
              <w:bottom w:val="single" w:color="auto" w:sz="4" w:space="0"/>
              <w:right w:val="single" w:color="auto" w:sz="4" w:space="0"/>
            </w:tcBorders>
            <w:noWrap w:val="0"/>
            <w:vAlign w:val="center"/>
          </w:tcPr>
          <w:p w14:paraId="4F5AE0D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人数</w:t>
            </w:r>
          </w:p>
        </w:tc>
        <w:tc>
          <w:tcPr>
            <w:tcW w:w="1449" w:type="pct"/>
            <w:tcBorders>
              <w:top w:val="single" w:color="auto" w:sz="4" w:space="0"/>
              <w:left w:val="nil"/>
              <w:bottom w:val="single" w:color="auto" w:sz="4" w:space="0"/>
              <w:right w:val="single" w:color="auto" w:sz="4" w:space="0"/>
            </w:tcBorders>
            <w:noWrap w:val="0"/>
            <w:vAlign w:val="center"/>
          </w:tcPr>
          <w:p w14:paraId="61458FFA">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14:paraId="3FB1D12E">
        <w:tblPrEx>
          <w:tblCellMar>
            <w:top w:w="0" w:type="dxa"/>
            <w:left w:w="108" w:type="dxa"/>
            <w:bottom w:w="0" w:type="dxa"/>
            <w:right w:w="108" w:type="dxa"/>
          </w:tblCellMar>
        </w:tblPrEx>
        <w:trPr>
          <w:trHeight w:val="397" w:hRule="atLeast"/>
          <w:jc w:val="center"/>
        </w:trPr>
        <w:tc>
          <w:tcPr>
            <w:tcW w:w="1129" w:type="pct"/>
            <w:tcBorders>
              <w:top w:val="nil"/>
              <w:left w:val="single" w:color="auto" w:sz="4" w:space="0"/>
              <w:bottom w:val="single" w:color="auto" w:sz="4" w:space="0"/>
              <w:right w:val="single" w:color="auto" w:sz="4" w:space="0"/>
            </w:tcBorders>
            <w:noWrap w:val="0"/>
            <w:vAlign w:val="center"/>
          </w:tcPr>
          <w:p w14:paraId="35AF5980">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矿办公室</w:t>
            </w:r>
          </w:p>
        </w:tc>
        <w:tc>
          <w:tcPr>
            <w:tcW w:w="1345" w:type="pct"/>
            <w:tcBorders>
              <w:top w:val="nil"/>
              <w:left w:val="nil"/>
              <w:bottom w:val="single" w:color="auto" w:sz="4" w:space="0"/>
              <w:right w:val="single" w:color="auto" w:sz="4" w:space="0"/>
            </w:tcBorders>
            <w:noWrap w:val="0"/>
            <w:vAlign w:val="center"/>
          </w:tcPr>
          <w:p w14:paraId="71CA2511">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矿长</w:t>
            </w:r>
          </w:p>
        </w:tc>
        <w:tc>
          <w:tcPr>
            <w:tcW w:w="1077" w:type="pct"/>
            <w:tcBorders>
              <w:top w:val="nil"/>
              <w:left w:val="nil"/>
              <w:bottom w:val="single" w:color="auto" w:sz="4" w:space="0"/>
              <w:right w:val="single" w:color="auto" w:sz="4" w:space="0"/>
            </w:tcBorders>
            <w:noWrap w:val="0"/>
            <w:vAlign w:val="center"/>
          </w:tcPr>
          <w:p w14:paraId="1DBDB288">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449" w:type="pct"/>
            <w:tcBorders>
              <w:top w:val="nil"/>
              <w:left w:val="nil"/>
              <w:bottom w:val="single" w:color="auto" w:sz="4" w:space="0"/>
              <w:right w:val="single" w:color="auto" w:sz="4" w:space="0"/>
            </w:tcBorders>
            <w:noWrap w:val="0"/>
            <w:vAlign w:val="center"/>
          </w:tcPr>
          <w:p w14:paraId="7985CD99">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主要负责人</w:t>
            </w:r>
          </w:p>
        </w:tc>
      </w:tr>
      <w:tr w14:paraId="4A175C06">
        <w:tblPrEx>
          <w:tblCellMar>
            <w:top w:w="0" w:type="dxa"/>
            <w:left w:w="108" w:type="dxa"/>
            <w:bottom w:w="0" w:type="dxa"/>
            <w:right w:w="108" w:type="dxa"/>
          </w:tblCellMar>
        </w:tblPrEx>
        <w:trPr>
          <w:trHeight w:val="397" w:hRule="atLeast"/>
          <w:jc w:val="center"/>
        </w:trPr>
        <w:tc>
          <w:tcPr>
            <w:tcW w:w="1129" w:type="pct"/>
            <w:vMerge w:val="restart"/>
            <w:tcBorders>
              <w:top w:val="nil"/>
              <w:left w:val="single" w:color="auto" w:sz="4" w:space="0"/>
              <w:bottom w:val="single" w:color="auto" w:sz="4" w:space="0"/>
              <w:right w:val="single" w:color="auto" w:sz="4" w:space="0"/>
            </w:tcBorders>
            <w:noWrap w:val="0"/>
            <w:vAlign w:val="center"/>
          </w:tcPr>
          <w:p w14:paraId="778D24C5">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生产组</w:t>
            </w:r>
          </w:p>
        </w:tc>
        <w:tc>
          <w:tcPr>
            <w:tcW w:w="1345" w:type="pct"/>
            <w:tcBorders>
              <w:top w:val="nil"/>
              <w:left w:val="nil"/>
              <w:bottom w:val="single" w:color="auto" w:sz="4" w:space="0"/>
              <w:right w:val="single" w:color="auto" w:sz="4" w:space="0"/>
            </w:tcBorders>
            <w:noWrap w:val="0"/>
            <w:vAlign w:val="center"/>
          </w:tcPr>
          <w:p w14:paraId="1C229593">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凿岩</w:t>
            </w:r>
          </w:p>
        </w:tc>
        <w:tc>
          <w:tcPr>
            <w:tcW w:w="1077" w:type="pct"/>
            <w:tcBorders>
              <w:top w:val="nil"/>
              <w:left w:val="nil"/>
              <w:bottom w:val="single" w:color="auto" w:sz="4" w:space="0"/>
              <w:right w:val="single" w:color="auto" w:sz="4" w:space="0"/>
            </w:tcBorders>
            <w:noWrap w:val="0"/>
            <w:vAlign w:val="center"/>
          </w:tcPr>
          <w:p w14:paraId="749987C7">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449" w:type="pct"/>
            <w:tcBorders>
              <w:top w:val="nil"/>
              <w:left w:val="nil"/>
              <w:bottom w:val="single" w:color="auto" w:sz="4" w:space="0"/>
              <w:right w:val="single" w:color="auto" w:sz="4" w:space="0"/>
            </w:tcBorders>
            <w:noWrap w:val="0"/>
            <w:vAlign w:val="center"/>
          </w:tcPr>
          <w:p w14:paraId="04FEA3C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应培训取证</w:t>
            </w:r>
          </w:p>
        </w:tc>
      </w:tr>
      <w:tr w14:paraId="1F2FFA18">
        <w:tblPrEx>
          <w:tblCellMar>
            <w:top w:w="0" w:type="dxa"/>
            <w:left w:w="108" w:type="dxa"/>
            <w:bottom w:w="0" w:type="dxa"/>
            <w:right w:w="108" w:type="dxa"/>
          </w:tblCellMar>
        </w:tblPrEx>
        <w:trPr>
          <w:trHeight w:val="397" w:hRule="atLeast"/>
          <w:jc w:val="center"/>
        </w:trPr>
        <w:tc>
          <w:tcPr>
            <w:tcW w:w="1129" w:type="pct"/>
            <w:vMerge w:val="continue"/>
            <w:tcBorders>
              <w:top w:val="nil"/>
              <w:left w:val="single" w:color="auto" w:sz="4" w:space="0"/>
              <w:bottom w:val="single" w:color="auto" w:sz="4" w:space="0"/>
              <w:right w:val="single" w:color="auto" w:sz="4" w:space="0"/>
            </w:tcBorders>
            <w:noWrap w:val="0"/>
            <w:vAlign w:val="center"/>
          </w:tcPr>
          <w:p w14:paraId="558AB858">
            <w:pPr>
              <w:pStyle w:val="104"/>
              <w:spacing w:line="360" w:lineRule="auto"/>
              <w:rPr>
                <w:rFonts w:hint="default" w:ascii="Times New Roman" w:hAnsi="Times New Roman" w:eastAsia="宋体" w:cs="Times New Roman"/>
                <w:sz w:val="21"/>
                <w:szCs w:val="21"/>
              </w:rPr>
            </w:pPr>
          </w:p>
        </w:tc>
        <w:tc>
          <w:tcPr>
            <w:tcW w:w="1345" w:type="pct"/>
            <w:tcBorders>
              <w:top w:val="nil"/>
              <w:left w:val="nil"/>
              <w:bottom w:val="single" w:color="auto" w:sz="4" w:space="0"/>
              <w:right w:val="single" w:color="auto" w:sz="4" w:space="0"/>
            </w:tcBorders>
            <w:noWrap w:val="0"/>
            <w:vAlign w:val="center"/>
          </w:tcPr>
          <w:p w14:paraId="7A6FF83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挖掘机、装载机司机</w:t>
            </w:r>
          </w:p>
        </w:tc>
        <w:tc>
          <w:tcPr>
            <w:tcW w:w="1077" w:type="pct"/>
            <w:tcBorders>
              <w:top w:val="nil"/>
              <w:left w:val="nil"/>
              <w:bottom w:val="single" w:color="auto" w:sz="4" w:space="0"/>
              <w:right w:val="single" w:color="auto" w:sz="4" w:space="0"/>
            </w:tcBorders>
            <w:noWrap w:val="0"/>
            <w:vAlign w:val="center"/>
          </w:tcPr>
          <w:p w14:paraId="1671CE06">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1449" w:type="pct"/>
            <w:tcBorders>
              <w:top w:val="nil"/>
              <w:left w:val="nil"/>
              <w:bottom w:val="single" w:color="auto" w:sz="4" w:space="0"/>
              <w:right w:val="single" w:color="auto" w:sz="4" w:space="0"/>
            </w:tcBorders>
            <w:noWrap w:val="0"/>
            <w:vAlign w:val="center"/>
          </w:tcPr>
          <w:p w14:paraId="63D072E1">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应培训取证</w:t>
            </w:r>
          </w:p>
        </w:tc>
      </w:tr>
      <w:tr w14:paraId="39AEE65F">
        <w:tblPrEx>
          <w:tblCellMar>
            <w:top w:w="0" w:type="dxa"/>
            <w:left w:w="108" w:type="dxa"/>
            <w:bottom w:w="0" w:type="dxa"/>
            <w:right w:w="108" w:type="dxa"/>
          </w:tblCellMar>
        </w:tblPrEx>
        <w:trPr>
          <w:trHeight w:val="397" w:hRule="atLeast"/>
          <w:jc w:val="center"/>
        </w:trPr>
        <w:tc>
          <w:tcPr>
            <w:tcW w:w="1129" w:type="pct"/>
            <w:vMerge w:val="continue"/>
            <w:tcBorders>
              <w:top w:val="nil"/>
              <w:left w:val="single" w:color="auto" w:sz="4" w:space="0"/>
              <w:bottom w:val="single" w:color="auto" w:sz="4" w:space="0"/>
              <w:right w:val="single" w:color="auto" w:sz="4" w:space="0"/>
            </w:tcBorders>
            <w:noWrap w:val="0"/>
            <w:vAlign w:val="center"/>
          </w:tcPr>
          <w:p w14:paraId="3833DA76">
            <w:pPr>
              <w:pStyle w:val="104"/>
              <w:spacing w:line="360" w:lineRule="auto"/>
              <w:rPr>
                <w:rFonts w:hint="default" w:ascii="Times New Roman" w:hAnsi="Times New Roman" w:eastAsia="宋体" w:cs="Times New Roman"/>
                <w:sz w:val="21"/>
                <w:szCs w:val="21"/>
              </w:rPr>
            </w:pPr>
          </w:p>
        </w:tc>
        <w:tc>
          <w:tcPr>
            <w:tcW w:w="1345" w:type="pct"/>
            <w:tcBorders>
              <w:top w:val="nil"/>
              <w:left w:val="nil"/>
              <w:bottom w:val="single" w:color="auto" w:sz="4" w:space="0"/>
              <w:right w:val="single" w:color="auto" w:sz="4" w:space="0"/>
            </w:tcBorders>
            <w:noWrap w:val="0"/>
            <w:vAlign w:val="center"/>
          </w:tcPr>
          <w:p w14:paraId="1138C295">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运输、洒水司机</w:t>
            </w:r>
          </w:p>
        </w:tc>
        <w:tc>
          <w:tcPr>
            <w:tcW w:w="1077" w:type="pct"/>
            <w:tcBorders>
              <w:top w:val="nil"/>
              <w:left w:val="nil"/>
              <w:bottom w:val="single" w:color="auto" w:sz="4" w:space="0"/>
              <w:right w:val="single" w:color="auto" w:sz="4" w:space="0"/>
            </w:tcBorders>
            <w:noWrap w:val="0"/>
            <w:vAlign w:val="center"/>
          </w:tcPr>
          <w:p w14:paraId="7363C73C">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1449" w:type="pct"/>
            <w:tcBorders>
              <w:top w:val="nil"/>
              <w:left w:val="nil"/>
              <w:bottom w:val="single" w:color="auto" w:sz="4" w:space="0"/>
              <w:right w:val="single" w:color="auto" w:sz="4" w:space="0"/>
            </w:tcBorders>
            <w:noWrap w:val="0"/>
            <w:vAlign w:val="center"/>
          </w:tcPr>
          <w:p w14:paraId="1176AFB3">
            <w:pPr>
              <w:pStyle w:val="104"/>
              <w:spacing w:line="360" w:lineRule="auto"/>
              <w:rPr>
                <w:rFonts w:hint="default" w:ascii="Times New Roman" w:hAnsi="Times New Roman" w:eastAsia="宋体" w:cs="Times New Roman"/>
                <w:sz w:val="21"/>
                <w:szCs w:val="21"/>
              </w:rPr>
            </w:pPr>
          </w:p>
        </w:tc>
      </w:tr>
      <w:tr w14:paraId="7F049952">
        <w:tblPrEx>
          <w:tblCellMar>
            <w:top w:w="0" w:type="dxa"/>
            <w:left w:w="108" w:type="dxa"/>
            <w:bottom w:w="0" w:type="dxa"/>
            <w:right w:w="108" w:type="dxa"/>
          </w:tblCellMar>
        </w:tblPrEx>
        <w:trPr>
          <w:trHeight w:val="397" w:hRule="atLeast"/>
          <w:jc w:val="center"/>
        </w:trPr>
        <w:tc>
          <w:tcPr>
            <w:tcW w:w="1129" w:type="pct"/>
            <w:vMerge w:val="continue"/>
            <w:tcBorders>
              <w:top w:val="nil"/>
              <w:left w:val="single" w:color="auto" w:sz="4" w:space="0"/>
              <w:bottom w:val="single" w:color="auto" w:sz="4" w:space="0"/>
              <w:right w:val="single" w:color="auto" w:sz="4" w:space="0"/>
            </w:tcBorders>
            <w:noWrap w:val="0"/>
            <w:vAlign w:val="center"/>
          </w:tcPr>
          <w:p w14:paraId="634282C0">
            <w:pPr>
              <w:pStyle w:val="104"/>
              <w:spacing w:line="360" w:lineRule="auto"/>
              <w:rPr>
                <w:rFonts w:hint="default" w:ascii="Times New Roman" w:hAnsi="Times New Roman" w:eastAsia="宋体" w:cs="Times New Roman"/>
                <w:sz w:val="21"/>
                <w:szCs w:val="21"/>
              </w:rPr>
            </w:pPr>
          </w:p>
        </w:tc>
        <w:tc>
          <w:tcPr>
            <w:tcW w:w="1345" w:type="pct"/>
            <w:tcBorders>
              <w:top w:val="nil"/>
              <w:left w:val="nil"/>
              <w:bottom w:val="single" w:color="auto" w:sz="4" w:space="0"/>
              <w:right w:val="single" w:color="auto" w:sz="4" w:space="0"/>
            </w:tcBorders>
            <w:noWrap w:val="0"/>
            <w:vAlign w:val="center"/>
          </w:tcPr>
          <w:p w14:paraId="28531BBA">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电工、机修工</w:t>
            </w:r>
          </w:p>
        </w:tc>
        <w:tc>
          <w:tcPr>
            <w:tcW w:w="1077" w:type="pct"/>
            <w:tcBorders>
              <w:top w:val="nil"/>
              <w:left w:val="nil"/>
              <w:bottom w:val="single" w:color="auto" w:sz="4" w:space="0"/>
              <w:right w:val="single" w:color="auto" w:sz="4" w:space="0"/>
            </w:tcBorders>
            <w:noWrap w:val="0"/>
            <w:vAlign w:val="center"/>
          </w:tcPr>
          <w:p w14:paraId="7B38736F">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449" w:type="pct"/>
            <w:tcBorders>
              <w:top w:val="nil"/>
              <w:left w:val="nil"/>
              <w:bottom w:val="single" w:color="auto" w:sz="4" w:space="0"/>
              <w:right w:val="single" w:color="auto" w:sz="4" w:space="0"/>
            </w:tcBorders>
            <w:noWrap w:val="0"/>
            <w:vAlign w:val="center"/>
          </w:tcPr>
          <w:p w14:paraId="11B07024">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应培训取证</w:t>
            </w:r>
          </w:p>
        </w:tc>
      </w:tr>
      <w:tr w14:paraId="76E3A725">
        <w:tblPrEx>
          <w:tblCellMar>
            <w:top w:w="0" w:type="dxa"/>
            <w:left w:w="108" w:type="dxa"/>
            <w:bottom w:w="0" w:type="dxa"/>
            <w:right w:w="108" w:type="dxa"/>
          </w:tblCellMar>
        </w:tblPrEx>
        <w:trPr>
          <w:trHeight w:val="397" w:hRule="atLeast"/>
          <w:jc w:val="center"/>
        </w:trPr>
        <w:tc>
          <w:tcPr>
            <w:tcW w:w="1129" w:type="pct"/>
            <w:tcBorders>
              <w:top w:val="nil"/>
              <w:left w:val="single" w:color="auto" w:sz="4" w:space="0"/>
              <w:bottom w:val="single" w:color="auto" w:sz="4" w:space="0"/>
              <w:right w:val="single" w:color="auto" w:sz="4" w:space="0"/>
            </w:tcBorders>
            <w:noWrap w:val="0"/>
            <w:vAlign w:val="center"/>
          </w:tcPr>
          <w:p w14:paraId="6E117F5E">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破碎组</w:t>
            </w:r>
          </w:p>
        </w:tc>
        <w:tc>
          <w:tcPr>
            <w:tcW w:w="1345" w:type="pct"/>
            <w:tcBorders>
              <w:top w:val="nil"/>
              <w:left w:val="nil"/>
              <w:bottom w:val="single" w:color="auto" w:sz="4" w:space="0"/>
              <w:right w:val="single" w:color="auto" w:sz="4" w:space="0"/>
            </w:tcBorders>
            <w:noWrap w:val="0"/>
            <w:vAlign w:val="center"/>
          </w:tcPr>
          <w:p w14:paraId="17898CCA">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破碎工</w:t>
            </w:r>
          </w:p>
        </w:tc>
        <w:tc>
          <w:tcPr>
            <w:tcW w:w="1077" w:type="pct"/>
            <w:tcBorders>
              <w:top w:val="nil"/>
              <w:left w:val="nil"/>
              <w:bottom w:val="single" w:color="auto" w:sz="4" w:space="0"/>
              <w:right w:val="single" w:color="auto" w:sz="4" w:space="0"/>
            </w:tcBorders>
            <w:noWrap w:val="0"/>
            <w:vAlign w:val="center"/>
          </w:tcPr>
          <w:p w14:paraId="0275B860">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449" w:type="pct"/>
            <w:tcBorders>
              <w:top w:val="nil"/>
              <w:left w:val="nil"/>
              <w:bottom w:val="single" w:color="auto" w:sz="4" w:space="0"/>
              <w:right w:val="single" w:color="auto" w:sz="4" w:space="0"/>
            </w:tcBorders>
            <w:noWrap w:val="0"/>
            <w:vAlign w:val="center"/>
          </w:tcPr>
          <w:p w14:paraId="152B19BE">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培训</w:t>
            </w:r>
          </w:p>
        </w:tc>
      </w:tr>
      <w:tr w14:paraId="742F0FAF">
        <w:tblPrEx>
          <w:tblCellMar>
            <w:top w:w="0" w:type="dxa"/>
            <w:left w:w="108" w:type="dxa"/>
            <w:bottom w:w="0" w:type="dxa"/>
            <w:right w:w="108" w:type="dxa"/>
          </w:tblCellMar>
        </w:tblPrEx>
        <w:trPr>
          <w:trHeight w:val="397" w:hRule="atLeast"/>
          <w:jc w:val="center"/>
        </w:trPr>
        <w:tc>
          <w:tcPr>
            <w:tcW w:w="1129" w:type="pct"/>
            <w:tcBorders>
              <w:top w:val="nil"/>
              <w:left w:val="single" w:color="auto" w:sz="4" w:space="0"/>
              <w:bottom w:val="single" w:color="auto" w:sz="4" w:space="0"/>
              <w:right w:val="single" w:color="auto" w:sz="4" w:space="0"/>
            </w:tcBorders>
            <w:noWrap w:val="0"/>
            <w:vAlign w:val="center"/>
          </w:tcPr>
          <w:p w14:paraId="215E465E">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财务室</w:t>
            </w:r>
          </w:p>
        </w:tc>
        <w:tc>
          <w:tcPr>
            <w:tcW w:w="1345" w:type="pct"/>
            <w:tcBorders>
              <w:top w:val="nil"/>
              <w:left w:val="nil"/>
              <w:bottom w:val="single" w:color="auto" w:sz="4" w:space="0"/>
              <w:right w:val="single" w:color="auto" w:sz="4" w:space="0"/>
            </w:tcBorders>
            <w:noWrap w:val="0"/>
            <w:vAlign w:val="center"/>
          </w:tcPr>
          <w:p w14:paraId="069952BD">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财务</w:t>
            </w:r>
          </w:p>
        </w:tc>
        <w:tc>
          <w:tcPr>
            <w:tcW w:w="1077" w:type="pct"/>
            <w:tcBorders>
              <w:top w:val="nil"/>
              <w:left w:val="nil"/>
              <w:bottom w:val="single" w:color="auto" w:sz="4" w:space="0"/>
              <w:right w:val="single" w:color="auto" w:sz="4" w:space="0"/>
            </w:tcBorders>
            <w:noWrap w:val="0"/>
            <w:vAlign w:val="center"/>
          </w:tcPr>
          <w:p w14:paraId="12473CF5">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449" w:type="pct"/>
            <w:tcBorders>
              <w:top w:val="nil"/>
              <w:left w:val="nil"/>
              <w:bottom w:val="single" w:color="auto" w:sz="4" w:space="0"/>
              <w:right w:val="single" w:color="auto" w:sz="4" w:space="0"/>
            </w:tcBorders>
            <w:noWrap w:val="0"/>
            <w:vAlign w:val="center"/>
          </w:tcPr>
          <w:p w14:paraId="7F4542FE">
            <w:pPr>
              <w:pStyle w:val="104"/>
              <w:spacing w:line="360" w:lineRule="auto"/>
              <w:rPr>
                <w:rFonts w:hint="default" w:ascii="Times New Roman" w:hAnsi="Times New Roman" w:eastAsia="宋体" w:cs="Times New Roman"/>
                <w:sz w:val="21"/>
                <w:szCs w:val="21"/>
              </w:rPr>
            </w:pPr>
          </w:p>
        </w:tc>
      </w:tr>
      <w:tr w14:paraId="6F525599">
        <w:tblPrEx>
          <w:tblCellMar>
            <w:top w:w="0" w:type="dxa"/>
            <w:left w:w="108" w:type="dxa"/>
            <w:bottom w:w="0" w:type="dxa"/>
            <w:right w:w="108" w:type="dxa"/>
          </w:tblCellMar>
        </w:tblPrEx>
        <w:trPr>
          <w:trHeight w:val="397" w:hRule="atLeast"/>
          <w:jc w:val="center"/>
        </w:trPr>
        <w:tc>
          <w:tcPr>
            <w:tcW w:w="1129" w:type="pct"/>
            <w:tcBorders>
              <w:top w:val="nil"/>
              <w:left w:val="single" w:color="auto" w:sz="4" w:space="0"/>
              <w:bottom w:val="single" w:color="auto" w:sz="4" w:space="0"/>
              <w:right w:val="single" w:color="auto" w:sz="4" w:space="0"/>
            </w:tcBorders>
            <w:noWrap w:val="0"/>
            <w:vAlign w:val="center"/>
          </w:tcPr>
          <w:p w14:paraId="6E41B846">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安全环保部</w:t>
            </w:r>
          </w:p>
        </w:tc>
        <w:tc>
          <w:tcPr>
            <w:tcW w:w="1345" w:type="pct"/>
            <w:tcBorders>
              <w:top w:val="nil"/>
              <w:left w:val="nil"/>
              <w:bottom w:val="single" w:color="auto" w:sz="4" w:space="0"/>
              <w:right w:val="single" w:color="auto" w:sz="4" w:space="0"/>
            </w:tcBorders>
            <w:noWrap w:val="0"/>
            <w:vAlign w:val="center"/>
          </w:tcPr>
          <w:p w14:paraId="78F5276A">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安全专员</w:t>
            </w:r>
          </w:p>
        </w:tc>
        <w:tc>
          <w:tcPr>
            <w:tcW w:w="1077" w:type="pct"/>
            <w:tcBorders>
              <w:top w:val="nil"/>
              <w:left w:val="nil"/>
              <w:bottom w:val="single" w:color="auto" w:sz="4" w:space="0"/>
              <w:right w:val="single" w:color="auto" w:sz="4" w:space="0"/>
            </w:tcBorders>
            <w:noWrap w:val="0"/>
            <w:vAlign w:val="center"/>
          </w:tcPr>
          <w:p w14:paraId="43EC4C16">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449" w:type="pct"/>
            <w:tcBorders>
              <w:top w:val="nil"/>
              <w:left w:val="nil"/>
              <w:bottom w:val="single" w:color="auto" w:sz="4" w:space="0"/>
              <w:right w:val="single" w:color="auto" w:sz="4" w:space="0"/>
            </w:tcBorders>
            <w:noWrap w:val="0"/>
            <w:vAlign w:val="center"/>
          </w:tcPr>
          <w:p w14:paraId="512D3F4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应培训取证</w:t>
            </w:r>
          </w:p>
        </w:tc>
      </w:tr>
      <w:tr w14:paraId="43EED31A">
        <w:tblPrEx>
          <w:tblCellMar>
            <w:top w:w="0" w:type="dxa"/>
            <w:left w:w="108" w:type="dxa"/>
            <w:bottom w:w="0" w:type="dxa"/>
            <w:right w:w="108" w:type="dxa"/>
          </w:tblCellMar>
        </w:tblPrEx>
        <w:trPr>
          <w:trHeight w:val="397" w:hRule="atLeast"/>
          <w:jc w:val="center"/>
        </w:trPr>
        <w:tc>
          <w:tcPr>
            <w:tcW w:w="1129" w:type="pct"/>
            <w:tcBorders>
              <w:top w:val="nil"/>
              <w:left w:val="single" w:color="auto" w:sz="4" w:space="0"/>
              <w:bottom w:val="single" w:color="auto" w:sz="4" w:space="0"/>
              <w:right w:val="single" w:color="auto" w:sz="4" w:space="0"/>
            </w:tcBorders>
            <w:noWrap w:val="0"/>
            <w:vAlign w:val="center"/>
          </w:tcPr>
          <w:p w14:paraId="6933040B">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后勤组</w:t>
            </w:r>
          </w:p>
        </w:tc>
        <w:tc>
          <w:tcPr>
            <w:tcW w:w="1345" w:type="pct"/>
            <w:tcBorders>
              <w:top w:val="nil"/>
              <w:left w:val="nil"/>
              <w:bottom w:val="single" w:color="auto" w:sz="4" w:space="0"/>
              <w:right w:val="single" w:color="auto" w:sz="4" w:space="0"/>
            </w:tcBorders>
            <w:noWrap w:val="0"/>
            <w:vAlign w:val="center"/>
          </w:tcPr>
          <w:p w14:paraId="124AFB60">
            <w:pPr>
              <w:pStyle w:val="104"/>
              <w:spacing w:line="360" w:lineRule="auto"/>
              <w:rPr>
                <w:rFonts w:hint="default" w:ascii="Times New Roman" w:hAnsi="Times New Roman" w:eastAsia="宋体" w:cs="Times New Roman"/>
                <w:sz w:val="21"/>
                <w:szCs w:val="21"/>
              </w:rPr>
            </w:pPr>
          </w:p>
        </w:tc>
        <w:tc>
          <w:tcPr>
            <w:tcW w:w="1077" w:type="pct"/>
            <w:tcBorders>
              <w:top w:val="nil"/>
              <w:left w:val="nil"/>
              <w:bottom w:val="single" w:color="auto" w:sz="4" w:space="0"/>
              <w:right w:val="single" w:color="auto" w:sz="4" w:space="0"/>
            </w:tcBorders>
            <w:noWrap w:val="0"/>
            <w:vAlign w:val="center"/>
          </w:tcPr>
          <w:p w14:paraId="4DBF97E0">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449" w:type="pct"/>
            <w:tcBorders>
              <w:top w:val="nil"/>
              <w:left w:val="nil"/>
              <w:bottom w:val="single" w:color="auto" w:sz="4" w:space="0"/>
              <w:right w:val="single" w:color="auto" w:sz="4" w:space="0"/>
            </w:tcBorders>
            <w:noWrap w:val="0"/>
            <w:vAlign w:val="center"/>
          </w:tcPr>
          <w:p w14:paraId="552DC954">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兼职</w:t>
            </w:r>
          </w:p>
        </w:tc>
      </w:tr>
      <w:tr w14:paraId="28C24342">
        <w:tblPrEx>
          <w:tblCellMar>
            <w:top w:w="0" w:type="dxa"/>
            <w:left w:w="108" w:type="dxa"/>
            <w:bottom w:w="0" w:type="dxa"/>
            <w:right w:w="108" w:type="dxa"/>
          </w:tblCellMar>
        </w:tblPrEx>
        <w:trPr>
          <w:trHeight w:val="397" w:hRule="atLeast"/>
          <w:jc w:val="center"/>
        </w:trPr>
        <w:tc>
          <w:tcPr>
            <w:tcW w:w="1129" w:type="pct"/>
            <w:tcBorders>
              <w:top w:val="nil"/>
              <w:left w:val="single" w:color="auto" w:sz="4" w:space="0"/>
              <w:bottom w:val="single" w:color="auto" w:sz="4" w:space="0"/>
              <w:right w:val="single" w:color="auto" w:sz="4" w:space="0"/>
            </w:tcBorders>
            <w:noWrap w:val="0"/>
            <w:vAlign w:val="center"/>
          </w:tcPr>
          <w:p w14:paraId="0A782759">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合计</w:t>
            </w:r>
          </w:p>
        </w:tc>
        <w:tc>
          <w:tcPr>
            <w:tcW w:w="1345" w:type="pct"/>
            <w:tcBorders>
              <w:top w:val="nil"/>
              <w:left w:val="nil"/>
              <w:bottom w:val="single" w:color="auto" w:sz="4" w:space="0"/>
              <w:right w:val="single" w:color="auto" w:sz="4" w:space="0"/>
            </w:tcBorders>
            <w:noWrap w:val="0"/>
            <w:vAlign w:val="center"/>
          </w:tcPr>
          <w:p w14:paraId="3AFE5909">
            <w:pPr>
              <w:pStyle w:val="104"/>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合计</w:t>
            </w:r>
          </w:p>
        </w:tc>
        <w:tc>
          <w:tcPr>
            <w:tcW w:w="1077" w:type="pct"/>
            <w:tcBorders>
              <w:top w:val="nil"/>
              <w:left w:val="nil"/>
              <w:bottom w:val="single" w:color="auto" w:sz="4" w:space="0"/>
              <w:right w:val="single" w:color="auto" w:sz="4" w:space="0"/>
            </w:tcBorders>
            <w:noWrap w:val="0"/>
            <w:vAlign w:val="center"/>
          </w:tcPr>
          <w:p w14:paraId="20D94093">
            <w:pPr>
              <w:pStyle w:val="104"/>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16</w:t>
            </w:r>
          </w:p>
        </w:tc>
        <w:tc>
          <w:tcPr>
            <w:tcW w:w="1449" w:type="pct"/>
            <w:tcBorders>
              <w:top w:val="nil"/>
              <w:left w:val="nil"/>
              <w:bottom w:val="single" w:color="auto" w:sz="4" w:space="0"/>
              <w:right w:val="single" w:color="auto" w:sz="4" w:space="0"/>
            </w:tcBorders>
            <w:noWrap w:val="0"/>
            <w:vAlign w:val="center"/>
          </w:tcPr>
          <w:p w14:paraId="12EC5B22">
            <w:pPr>
              <w:pStyle w:val="104"/>
              <w:spacing w:line="360" w:lineRule="auto"/>
              <w:rPr>
                <w:rFonts w:hint="default" w:ascii="Times New Roman" w:hAnsi="Times New Roman" w:eastAsia="宋体" w:cs="Times New Roman"/>
                <w:sz w:val="21"/>
                <w:szCs w:val="21"/>
              </w:rPr>
            </w:pPr>
          </w:p>
        </w:tc>
      </w:tr>
    </w:tbl>
    <w:p w14:paraId="31714856">
      <w:pPr>
        <w:adjustRightInd w:val="0"/>
        <w:snapToGrid w:val="0"/>
        <w:spacing w:line="360" w:lineRule="auto"/>
        <w:ind w:firstLine="562" w:firstLineChars="200"/>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2、职工培训</w:t>
      </w:r>
    </w:p>
    <w:p w14:paraId="3F8DD6B1">
      <w:pPr>
        <w:adjustRightInd w:val="0"/>
        <w:snapToGrid w:val="0"/>
        <w:spacing w:line="360" w:lineRule="auto"/>
        <w:ind w:firstLine="560" w:firstLineChars="200"/>
        <w:rPr>
          <w:rFonts w:hint="default" w:ascii="Times New Roman" w:hAnsi="Times New Roman" w:eastAsia="宋体" w:cs="Times New Roman"/>
          <w:sz w:val="28"/>
          <w:szCs w:val="28"/>
        </w:rPr>
      </w:pPr>
      <w:bookmarkStart w:id="324" w:name="_Toc115120651"/>
      <w:bookmarkStart w:id="325" w:name="_Toc226963161"/>
      <w:bookmarkStart w:id="326" w:name="_Toc242849773"/>
      <w:bookmarkStart w:id="327" w:name="_Toc115120257"/>
      <w:r>
        <w:rPr>
          <w:rFonts w:hint="default" w:ascii="Times New Roman" w:hAnsi="Times New Roman" w:eastAsia="宋体" w:cs="Times New Roman"/>
          <w:sz w:val="28"/>
          <w:szCs w:val="28"/>
        </w:rPr>
        <w:t>人员培训是为项目顺利投产、达到设计生产能力、发挥投资效益、取得良好经济效果的重要措施，因此要求对所有上岗人员需进行全面培训，其目的是向企业提供生产管理和生产操作的合格人员。</w:t>
      </w:r>
    </w:p>
    <w:p w14:paraId="761D42E3">
      <w:pPr>
        <w:adjustRightInd w:val="0"/>
        <w:snapToGrid w:val="0"/>
        <w:spacing w:line="360" w:lineRule="auto"/>
        <w:ind w:firstLine="560" w:firstLineChars="200"/>
        <w:rPr>
          <w:rFonts w:hint="default" w:ascii="Times New Roman" w:hAnsi="Times New Roman" w:eastAsia="宋体" w:cs="Times New Roman"/>
          <w:b/>
          <w:bCs/>
        </w:rPr>
      </w:pPr>
      <w:r>
        <w:rPr>
          <w:rFonts w:hint="default" w:ascii="Times New Roman" w:hAnsi="Times New Roman" w:eastAsia="宋体" w:cs="Times New Roman"/>
          <w:sz w:val="28"/>
          <w:szCs w:val="28"/>
        </w:rPr>
        <w:t>培训工作在项目投产前即应开始，对于新进厂生产人员应首先系统学习各种专业理论知识，通过安全教育、操作规程、生产前后环节的协作、联系和事故处理等，然后进行实际生产操作培训，培训结束后经过严格考核，取得操作合格证后才能上岗操作。</w:t>
      </w:r>
      <w:r>
        <w:rPr>
          <w:rFonts w:hint="default" w:ascii="Times New Roman" w:hAnsi="Times New Roman" w:eastAsia="宋体" w:cs="Times New Roman"/>
          <w:b/>
          <w:bCs/>
        </w:rPr>
        <w:br w:type="page"/>
      </w:r>
      <w:r>
        <w:rPr>
          <w:rFonts w:hint="default" w:ascii="Times New Roman" w:hAnsi="Times New Roman" w:eastAsia="宋体" w:cs="Times New Roman"/>
          <w:sz w:val="28"/>
          <w:szCs w:val="28"/>
        </w:rPr>
        <w:t>2.4.11.2主要技术经济指标</w:t>
      </w:r>
    </w:p>
    <w:p w14:paraId="57933F1D">
      <w:pPr>
        <w:widowControl/>
        <w:adjustRightInd w:val="0"/>
        <w:snapToGrid w:val="0"/>
        <w:jc w:val="center"/>
        <w:rPr>
          <w:rFonts w:hint="default" w:ascii="Times New Roman" w:hAnsi="Times New Roman" w:eastAsia="宋体" w:cs="Times New Roman"/>
          <w:bCs/>
          <w:sz w:val="24"/>
          <w:szCs w:val="32"/>
        </w:rPr>
      </w:pPr>
      <w:r>
        <w:rPr>
          <w:rFonts w:hint="default" w:ascii="Times New Roman" w:hAnsi="Times New Roman" w:eastAsia="宋体" w:cs="Times New Roman"/>
          <w:bCs/>
          <w:sz w:val="24"/>
          <w:szCs w:val="32"/>
        </w:rPr>
        <w:t>表2.4-5  主要技术经济指标表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0"/>
        <w:gridCol w:w="2993"/>
        <w:gridCol w:w="1120"/>
        <w:gridCol w:w="1919"/>
        <w:gridCol w:w="2028"/>
      </w:tblGrid>
      <w:tr w14:paraId="78F2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3" w:type="pct"/>
            <w:noWrap w:val="0"/>
            <w:vAlign w:val="center"/>
          </w:tcPr>
          <w:p w14:paraId="281944E5">
            <w:pPr>
              <w:pStyle w:val="104"/>
              <w:rPr>
                <w:rFonts w:hint="default" w:ascii="Times New Roman" w:hAnsi="Times New Roman" w:eastAsia="宋体" w:cs="Times New Roman"/>
                <w:b/>
                <w:bCs/>
              </w:rPr>
            </w:pPr>
            <w:bookmarkStart w:id="328" w:name="_Hlk83136842"/>
            <w:bookmarkStart w:id="329" w:name="_Toc7483"/>
            <w:r>
              <w:rPr>
                <w:rFonts w:hint="default" w:ascii="Times New Roman" w:hAnsi="Times New Roman" w:eastAsia="宋体" w:cs="Times New Roman"/>
                <w:b/>
                <w:bCs/>
              </w:rPr>
              <w:t>序号</w:t>
            </w:r>
          </w:p>
        </w:tc>
        <w:tc>
          <w:tcPr>
            <w:tcW w:w="1592" w:type="pct"/>
            <w:noWrap w:val="0"/>
            <w:vAlign w:val="center"/>
          </w:tcPr>
          <w:p w14:paraId="53F85D0D">
            <w:pPr>
              <w:pStyle w:val="104"/>
              <w:rPr>
                <w:rFonts w:hint="default" w:ascii="Times New Roman" w:hAnsi="Times New Roman" w:eastAsia="宋体" w:cs="Times New Roman"/>
                <w:b/>
                <w:bCs/>
              </w:rPr>
            </w:pPr>
            <w:r>
              <w:rPr>
                <w:rFonts w:hint="default" w:ascii="Times New Roman" w:hAnsi="Times New Roman" w:eastAsia="宋体" w:cs="Times New Roman"/>
                <w:b/>
                <w:bCs/>
              </w:rPr>
              <w:t>项目名称</w:t>
            </w:r>
          </w:p>
        </w:tc>
        <w:tc>
          <w:tcPr>
            <w:tcW w:w="596" w:type="pct"/>
            <w:noWrap w:val="0"/>
            <w:vAlign w:val="center"/>
          </w:tcPr>
          <w:p w14:paraId="3189D28A">
            <w:pPr>
              <w:pStyle w:val="104"/>
              <w:rPr>
                <w:rFonts w:hint="default" w:ascii="Times New Roman" w:hAnsi="Times New Roman" w:eastAsia="宋体" w:cs="Times New Roman"/>
                <w:b/>
                <w:bCs/>
              </w:rPr>
            </w:pPr>
            <w:r>
              <w:rPr>
                <w:rFonts w:hint="default" w:ascii="Times New Roman" w:hAnsi="Times New Roman" w:eastAsia="宋体" w:cs="Times New Roman"/>
                <w:b/>
                <w:bCs/>
              </w:rPr>
              <w:t>单位</w:t>
            </w:r>
          </w:p>
        </w:tc>
        <w:tc>
          <w:tcPr>
            <w:tcW w:w="1021" w:type="pct"/>
            <w:noWrap w:val="0"/>
            <w:vAlign w:val="center"/>
          </w:tcPr>
          <w:p w14:paraId="69ED0ABB">
            <w:pPr>
              <w:pStyle w:val="104"/>
              <w:rPr>
                <w:rFonts w:hint="default" w:ascii="Times New Roman" w:hAnsi="Times New Roman" w:eastAsia="宋体" w:cs="Times New Roman"/>
                <w:b/>
                <w:bCs/>
              </w:rPr>
            </w:pPr>
            <w:r>
              <w:rPr>
                <w:rFonts w:hint="default" w:ascii="Times New Roman" w:hAnsi="Times New Roman" w:eastAsia="宋体" w:cs="Times New Roman"/>
                <w:b/>
                <w:bCs/>
              </w:rPr>
              <w:t>数量</w:t>
            </w:r>
          </w:p>
        </w:tc>
        <w:tc>
          <w:tcPr>
            <w:tcW w:w="1078" w:type="pct"/>
            <w:noWrap w:val="0"/>
            <w:vAlign w:val="center"/>
          </w:tcPr>
          <w:p w14:paraId="4695D547">
            <w:pPr>
              <w:pStyle w:val="104"/>
              <w:rPr>
                <w:rFonts w:hint="default" w:ascii="Times New Roman" w:hAnsi="Times New Roman" w:eastAsia="宋体" w:cs="Times New Roman"/>
                <w:b/>
                <w:bCs/>
              </w:rPr>
            </w:pPr>
            <w:r>
              <w:rPr>
                <w:rFonts w:hint="default" w:ascii="Times New Roman" w:hAnsi="Times New Roman" w:eastAsia="宋体" w:cs="Times New Roman"/>
                <w:b/>
                <w:bCs/>
              </w:rPr>
              <w:t>备注</w:t>
            </w:r>
          </w:p>
        </w:tc>
      </w:tr>
      <w:tr w14:paraId="0E39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408856B">
            <w:pPr>
              <w:pStyle w:val="104"/>
              <w:rPr>
                <w:rFonts w:hint="default" w:ascii="Times New Roman" w:hAnsi="Times New Roman" w:eastAsia="宋体" w:cs="Times New Roman"/>
              </w:rPr>
            </w:pPr>
            <w:r>
              <w:rPr>
                <w:rFonts w:hint="default" w:ascii="Times New Roman" w:hAnsi="Times New Roman" w:eastAsia="宋体" w:cs="Times New Roman"/>
              </w:rPr>
              <w:t>一</w:t>
            </w:r>
          </w:p>
        </w:tc>
        <w:tc>
          <w:tcPr>
            <w:tcW w:w="1592" w:type="pct"/>
            <w:noWrap w:val="0"/>
            <w:vAlign w:val="center"/>
          </w:tcPr>
          <w:p w14:paraId="0713A251">
            <w:pPr>
              <w:pStyle w:val="104"/>
              <w:rPr>
                <w:rFonts w:hint="default" w:ascii="Times New Roman" w:hAnsi="Times New Roman" w:eastAsia="宋体" w:cs="Times New Roman"/>
              </w:rPr>
            </w:pPr>
            <w:r>
              <w:rPr>
                <w:rFonts w:hint="default" w:ascii="Times New Roman" w:hAnsi="Times New Roman" w:eastAsia="宋体" w:cs="Times New Roman"/>
              </w:rPr>
              <w:t>地质</w:t>
            </w:r>
          </w:p>
        </w:tc>
        <w:tc>
          <w:tcPr>
            <w:tcW w:w="596" w:type="pct"/>
            <w:noWrap w:val="0"/>
            <w:vAlign w:val="center"/>
          </w:tcPr>
          <w:p w14:paraId="09E5DC93">
            <w:pPr>
              <w:pStyle w:val="104"/>
              <w:rPr>
                <w:rFonts w:hint="default" w:ascii="Times New Roman" w:hAnsi="Times New Roman" w:eastAsia="宋体" w:cs="Times New Roman"/>
              </w:rPr>
            </w:pPr>
          </w:p>
        </w:tc>
        <w:tc>
          <w:tcPr>
            <w:tcW w:w="1021" w:type="pct"/>
            <w:noWrap w:val="0"/>
            <w:vAlign w:val="center"/>
          </w:tcPr>
          <w:p w14:paraId="75417E2D">
            <w:pPr>
              <w:pStyle w:val="104"/>
              <w:rPr>
                <w:rFonts w:hint="default" w:ascii="Times New Roman" w:hAnsi="Times New Roman" w:eastAsia="宋体" w:cs="Times New Roman"/>
              </w:rPr>
            </w:pPr>
          </w:p>
        </w:tc>
        <w:tc>
          <w:tcPr>
            <w:tcW w:w="1078" w:type="pct"/>
            <w:noWrap w:val="0"/>
            <w:vAlign w:val="center"/>
          </w:tcPr>
          <w:p w14:paraId="576A3896">
            <w:pPr>
              <w:pStyle w:val="104"/>
              <w:rPr>
                <w:rFonts w:hint="default" w:ascii="Times New Roman" w:hAnsi="Times New Roman" w:eastAsia="宋体" w:cs="Times New Roman"/>
              </w:rPr>
            </w:pPr>
          </w:p>
        </w:tc>
      </w:tr>
      <w:tr w14:paraId="61B1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BBB4306">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3E5BAB00">
            <w:pPr>
              <w:pStyle w:val="104"/>
              <w:rPr>
                <w:rFonts w:hint="default" w:ascii="Times New Roman" w:hAnsi="Times New Roman" w:eastAsia="宋体" w:cs="Times New Roman"/>
              </w:rPr>
            </w:pPr>
            <w:r>
              <w:rPr>
                <w:rFonts w:hint="default" w:ascii="Times New Roman" w:hAnsi="Times New Roman" w:eastAsia="宋体" w:cs="Times New Roman"/>
              </w:rPr>
              <w:t>查明矿石量</w:t>
            </w:r>
          </w:p>
        </w:tc>
        <w:tc>
          <w:tcPr>
            <w:tcW w:w="596" w:type="pct"/>
            <w:noWrap w:val="0"/>
            <w:vAlign w:val="center"/>
          </w:tcPr>
          <w:p w14:paraId="0B76E1EB">
            <w:pPr>
              <w:pStyle w:val="104"/>
              <w:rPr>
                <w:rFonts w:hint="default" w:ascii="Times New Roman" w:hAnsi="Times New Roman" w:eastAsia="宋体" w:cs="Times New Roman"/>
                <w:vertAlign w:val="superscript"/>
              </w:rPr>
            </w:pPr>
            <w:r>
              <w:rPr>
                <w:rFonts w:hint="default" w:ascii="Times New Roman" w:hAnsi="Times New Roman" w:eastAsia="宋体" w:cs="Times New Roman"/>
              </w:rPr>
              <w:t>万t</w:t>
            </w:r>
          </w:p>
        </w:tc>
        <w:tc>
          <w:tcPr>
            <w:tcW w:w="1021" w:type="pct"/>
            <w:noWrap w:val="0"/>
            <w:vAlign w:val="center"/>
          </w:tcPr>
          <w:p w14:paraId="0530335E">
            <w:pPr>
              <w:pStyle w:val="104"/>
              <w:rPr>
                <w:rFonts w:hint="default" w:ascii="Times New Roman" w:hAnsi="Times New Roman" w:eastAsia="宋体" w:cs="Times New Roman"/>
              </w:rPr>
            </w:pPr>
            <w:r>
              <w:rPr>
                <w:rFonts w:hint="default" w:ascii="Times New Roman" w:hAnsi="Times New Roman" w:eastAsia="宋体" w:cs="Times New Roman"/>
              </w:rPr>
              <w:t>256.5</w:t>
            </w:r>
          </w:p>
        </w:tc>
        <w:tc>
          <w:tcPr>
            <w:tcW w:w="1078" w:type="pct"/>
            <w:noWrap w:val="0"/>
            <w:vAlign w:val="center"/>
          </w:tcPr>
          <w:p w14:paraId="3C3FD02D">
            <w:pPr>
              <w:pStyle w:val="104"/>
              <w:rPr>
                <w:rFonts w:hint="default" w:ascii="Times New Roman" w:hAnsi="Times New Roman" w:eastAsia="宋体" w:cs="Times New Roman"/>
              </w:rPr>
            </w:pPr>
          </w:p>
        </w:tc>
      </w:tr>
      <w:tr w14:paraId="3A20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4A92A2D2">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92" w:type="pct"/>
            <w:noWrap w:val="0"/>
            <w:vAlign w:val="center"/>
          </w:tcPr>
          <w:p w14:paraId="44AAE574">
            <w:pPr>
              <w:pStyle w:val="104"/>
              <w:rPr>
                <w:rFonts w:hint="default" w:ascii="Times New Roman" w:hAnsi="Times New Roman" w:eastAsia="宋体" w:cs="Times New Roman"/>
              </w:rPr>
            </w:pPr>
            <w:r>
              <w:rPr>
                <w:rFonts w:hint="default" w:ascii="Times New Roman" w:hAnsi="Times New Roman" w:eastAsia="宋体" w:cs="Times New Roman"/>
              </w:rPr>
              <w:t>设计利用矿石量</w:t>
            </w:r>
          </w:p>
        </w:tc>
        <w:tc>
          <w:tcPr>
            <w:tcW w:w="596" w:type="pct"/>
            <w:noWrap w:val="0"/>
            <w:vAlign w:val="center"/>
          </w:tcPr>
          <w:p w14:paraId="3ECDF5CD">
            <w:pPr>
              <w:pStyle w:val="104"/>
              <w:rPr>
                <w:rFonts w:hint="default" w:ascii="Times New Roman" w:hAnsi="Times New Roman" w:eastAsia="宋体" w:cs="Times New Roman"/>
              </w:rPr>
            </w:pPr>
            <w:r>
              <w:rPr>
                <w:rFonts w:hint="default" w:ascii="Times New Roman" w:hAnsi="Times New Roman" w:eastAsia="宋体" w:cs="Times New Roman"/>
              </w:rPr>
              <w:t>万t</w:t>
            </w:r>
          </w:p>
        </w:tc>
        <w:tc>
          <w:tcPr>
            <w:tcW w:w="1021" w:type="pct"/>
            <w:noWrap w:val="0"/>
            <w:vAlign w:val="center"/>
          </w:tcPr>
          <w:p w14:paraId="7C6E1912">
            <w:pPr>
              <w:pStyle w:val="104"/>
              <w:rPr>
                <w:rFonts w:hint="default" w:ascii="Times New Roman" w:hAnsi="Times New Roman" w:eastAsia="宋体" w:cs="Times New Roman"/>
              </w:rPr>
            </w:pPr>
            <w:r>
              <w:rPr>
                <w:rFonts w:hint="default" w:ascii="Times New Roman" w:hAnsi="Times New Roman" w:eastAsia="宋体" w:cs="Times New Roman"/>
              </w:rPr>
              <w:t>68.58</w:t>
            </w:r>
          </w:p>
        </w:tc>
        <w:tc>
          <w:tcPr>
            <w:tcW w:w="1078" w:type="pct"/>
            <w:noWrap w:val="0"/>
            <w:vAlign w:val="center"/>
          </w:tcPr>
          <w:p w14:paraId="33D2401E">
            <w:pPr>
              <w:pStyle w:val="104"/>
              <w:rPr>
                <w:rFonts w:hint="default" w:ascii="Times New Roman" w:hAnsi="Times New Roman" w:eastAsia="宋体" w:cs="Times New Roman"/>
              </w:rPr>
            </w:pPr>
          </w:p>
        </w:tc>
      </w:tr>
      <w:tr w14:paraId="4FD0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7E2861E">
            <w:pPr>
              <w:pStyle w:val="104"/>
              <w:rPr>
                <w:rFonts w:hint="default" w:ascii="Times New Roman" w:hAnsi="Times New Roman" w:eastAsia="宋体" w:cs="Times New Roman"/>
              </w:rPr>
            </w:pPr>
            <w:r>
              <w:rPr>
                <w:rFonts w:hint="default" w:ascii="Times New Roman" w:hAnsi="Times New Roman" w:eastAsia="宋体" w:cs="Times New Roman"/>
              </w:rPr>
              <w:t>3</w:t>
            </w:r>
          </w:p>
        </w:tc>
        <w:tc>
          <w:tcPr>
            <w:tcW w:w="1592" w:type="pct"/>
            <w:noWrap w:val="0"/>
            <w:vAlign w:val="center"/>
          </w:tcPr>
          <w:p w14:paraId="5F5630F1">
            <w:pPr>
              <w:pStyle w:val="104"/>
              <w:rPr>
                <w:rFonts w:hint="default" w:ascii="Times New Roman" w:hAnsi="Times New Roman" w:eastAsia="宋体" w:cs="Times New Roman"/>
              </w:rPr>
            </w:pPr>
            <w:r>
              <w:rPr>
                <w:rFonts w:hint="default" w:ascii="Times New Roman" w:hAnsi="Times New Roman" w:eastAsia="宋体" w:cs="Times New Roman"/>
              </w:rPr>
              <w:t>设计可采量</w:t>
            </w:r>
          </w:p>
        </w:tc>
        <w:tc>
          <w:tcPr>
            <w:tcW w:w="596" w:type="pct"/>
            <w:noWrap w:val="0"/>
            <w:vAlign w:val="center"/>
          </w:tcPr>
          <w:p w14:paraId="7140E9AE">
            <w:pPr>
              <w:pStyle w:val="104"/>
              <w:rPr>
                <w:rFonts w:hint="default" w:ascii="Times New Roman" w:hAnsi="Times New Roman" w:eastAsia="宋体" w:cs="Times New Roman"/>
              </w:rPr>
            </w:pPr>
            <w:r>
              <w:rPr>
                <w:rFonts w:hint="default" w:ascii="Times New Roman" w:hAnsi="Times New Roman" w:eastAsia="宋体" w:cs="Times New Roman"/>
              </w:rPr>
              <w:t>万t</w:t>
            </w:r>
          </w:p>
        </w:tc>
        <w:tc>
          <w:tcPr>
            <w:tcW w:w="1021" w:type="pct"/>
            <w:noWrap w:val="0"/>
            <w:vAlign w:val="center"/>
          </w:tcPr>
          <w:p w14:paraId="422C162E">
            <w:pPr>
              <w:pStyle w:val="104"/>
              <w:rPr>
                <w:rFonts w:hint="default" w:ascii="Times New Roman" w:hAnsi="Times New Roman" w:eastAsia="宋体" w:cs="Times New Roman"/>
              </w:rPr>
            </w:pPr>
            <w:r>
              <w:rPr>
                <w:rFonts w:hint="default" w:ascii="Times New Roman" w:hAnsi="Times New Roman" w:eastAsia="宋体" w:cs="Times New Roman"/>
              </w:rPr>
              <w:t>66.53</w:t>
            </w:r>
          </w:p>
        </w:tc>
        <w:tc>
          <w:tcPr>
            <w:tcW w:w="1078" w:type="pct"/>
            <w:noWrap w:val="0"/>
            <w:vAlign w:val="center"/>
          </w:tcPr>
          <w:p w14:paraId="36A25D02">
            <w:pPr>
              <w:pStyle w:val="104"/>
              <w:rPr>
                <w:rFonts w:hint="default" w:ascii="Times New Roman" w:hAnsi="Times New Roman" w:eastAsia="宋体" w:cs="Times New Roman"/>
              </w:rPr>
            </w:pPr>
          </w:p>
        </w:tc>
      </w:tr>
      <w:tr w14:paraId="0CF4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73ECE96">
            <w:pPr>
              <w:pStyle w:val="104"/>
              <w:rPr>
                <w:rFonts w:hint="default" w:ascii="Times New Roman" w:hAnsi="Times New Roman" w:eastAsia="宋体" w:cs="Times New Roman"/>
              </w:rPr>
            </w:pPr>
            <w:r>
              <w:rPr>
                <w:rFonts w:hint="default" w:ascii="Times New Roman" w:hAnsi="Times New Roman" w:eastAsia="宋体" w:cs="Times New Roman"/>
              </w:rPr>
              <w:t>4</w:t>
            </w:r>
          </w:p>
        </w:tc>
        <w:tc>
          <w:tcPr>
            <w:tcW w:w="1592" w:type="pct"/>
            <w:noWrap w:val="0"/>
            <w:vAlign w:val="center"/>
          </w:tcPr>
          <w:p w14:paraId="38329EAB">
            <w:pPr>
              <w:pStyle w:val="104"/>
              <w:rPr>
                <w:rFonts w:hint="default" w:ascii="Times New Roman" w:hAnsi="Times New Roman" w:eastAsia="宋体" w:cs="Times New Roman"/>
              </w:rPr>
            </w:pPr>
            <w:r>
              <w:rPr>
                <w:rFonts w:hint="default" w:ascii="Times New Roman" w:hAnsi="Times New Roman" w:eastAsia="宋体" w:cs="Times New Roman"/>
              </w:rPr>
              <w:t>采出矿石量</w:t>
            </w:r>
          </w:p>
        </w:tc>
        <w:tc>
          <w:tcPr>
            <w:tcW w:w="596" w:type="pct"/>
            <w:noWrap w:val="0"/>
            <w:vAlign w:val="center"/>
          </w:tcPr>
          <w:p w14:paraId="2266DA3F">
            <w:pPr>
              <w:pStyle w:val="104"/>
              <w:rPr>
                <w:rFonts w:hint="default" w:ascii="Times New Roman" w:hAnsi="Times New Roman" w:eastAsia="宋体" w:cs="Times New Roman"/>
              </w:rPr>
            </w:pPr>
            <w:r>
              <w:rPr>
                <w:rFonts w:hint="default" w:ascii="Times New Roman" w:hAnsi="Times New Roman" w:eastAsia="宋体" w:cs="Times New Roman"/>
              </w:rPr>
              <w:t>万t</w:t>
            </w:r>
          </w:p>
        </w:tc>
        <w:tc>
          <w:tcPr>
            <w:tcW w:w="1021" w:type="pct"/>
            <w:noWrap w:val="0"/>
            <w:vAlign w:val="center"/>
          </w:tcPr>
          <w:p w14:paraId="5C51265C">
            <w:pPr>
              <w:pStyle w:val="104"/>
              <w:rPr>
                <w:rFonts w:hint="default" w:ascii="Times New Roman" w:hAnsi="Times New Roman" w:eastAsia="宋体" w:cs="Times New Roman"/>
              </w:rPr>
            </w:pPr>
            <w:r>
              <w:rPr>
                <w:rFonts w:hint="default" w:ascii="Times New Roman" w:hAnsi="Times New Roman" w:eastAsia="宋体" w:cs="Times New Roman"/>
              </w:rPr>
              <w:t>66.53</w:t>
            </w:r>
          </w:p>
        </w:tc>
        <w:tc>
          <w:tcPr>
            <w:tcW w:w="1078" w:type="pct"/>
            <w:noWrap w:val="0"/>
            <w:vAlign w:val="center"/>
          </w:tcPr>
          <w:p w14:paraId="3E0687F1">
            <w:pPr>
              <w:pStyle w:val="104"/>
              <w:rPr>
                <w:rFonts w:hint="default" w:ascii="Times New Roman" w:hAnsi="Times New Roman" w:eastAsia="宋体" w:cs="Times New Roman"/>
              </w:rPr>
            </w:pPr>
          </w:p>
        </w:tc>
      </w:tr>
      <w:tr w14:paraId="5DFE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293B6B6">
            <w:pPr>
              <w:pStyle w:val="104"/>
              <w:rPr>
                <w:rFonts w:hint="default" w:ascii="Times New Roman" w:hAnsi="Times New Roman" w:eastAsia="宋体" w:cs="Times New Roman"/>
              </w:rPr>
            </w:pPr>
            <w:r>
              <w:rPr>
                <w:rFonts w:hint="default" w:ascii="Times New Roman" w:hAnsi="Times New Roman" w:eastAsia="宋体" w:cs="Times New Roman"/>
              </w:rPr>
              <w:t>5</w:t>
            </w:r>
          </w:p>
        </w:tc>
        <w:tc>
          <w:tcPr>
            <w:tcW w:w="1592" w:type="pct"/>
            <w:noWrap w:val="0"/>
            <w:vAlign w:val="center"/>
          </w:tcPr>
          <w:p w14:paraId="10A93289">
            <w:pPr>
              <w:pStyle w:val="104"/>
              <w:rPr>
                <w:rFonts w:hint="default" w:ascii="Times New Roman" w:hAnsi="Times New Roman" w:eastAsia="宋体" w:cs="Times New Roman"/>
              </w:rPr>
            </w:pPr>
            <w:r>
              <w:rPr>
                <w:rFonts w:hint="default" w:ascii="Times New Roman" w:hAnsi="Times New Roman" w:eastAsia="宋体" w:cs="Times New Roman"/>
              </w:rPr>
              <w:t>矿岩物理机械性质</w:t>
            </w:r>
          </w:p>
        </w:tc>
        <w:tc>
          <w:tcPr>
            <w:tcW w:w="596" w:type="pct"/>
            <w:noWrap w:val="0"/>
            <w:vAlign w:val="center"/>
          </w:tcPr>
          <w:p w14:paraId="2FEAD0A5">
            <w:pPr>
              <w:pStyle w:val="104"/>
              <w:rPr>
                <w:rFonts w:hint="default" w:ascii="Times New Roman" w:hAnsi="Times New Roman" w:eastAsia="宋体" w:cs="Times New Roman"/>
              </w:rPr>
            </w:pPr>
          </w:p>
        </w:tc>
        <w:tc>
          <w:tcPr>
            <w:tcW w:w="1021" w:type="pct"/>
            <w:noWrap w:val="0"/>
            <w:vAlign w:val="center"/>
          </w:tcPr>
          <w:p w14:paraId="777848DD">
            <w:pPr>
              <w:pStyle w:val="104"/>
              <w:rPr>
                <w:rFonts w:hint="default" w:ascii="Times New Roman" w:hAnsi="Times New Roman" w:eastAsia="宋体" w:cs="Times New Roman"/>
              </w:rPr>
            </w:pPr>
          </w:p>
        </w:tc>
        <w:tc>
          <w:tcPr>
            <w:tcW w:w="1078" w:type="pct"/>
            <w:noWrap w:val="0"/>
            <w:vAlign w:val="center"/>
          </w:tcPr>
          <w:p w14:paraId="324F6994">
            <w:pPr>
              <w:pStyle w:val="104"/>
              <w:rPr>
                <w:rFonts w:hint="default" w:ascii="Times New Roman" w:hAnsi="Times New Roman" w:eastAsia="宋体" w:cs="Times New Roman"/>
              </w:rPr>
            </w:pPr>
          </w:p>
        </w:tc>
      </w:tr>
      <w:tr w14:paraId="49E1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BBAEF50">
            <w:pPr>
              <w:pStyle w:val="104"/>
              <w:rPr>
                <w:rFonts w:hint="default" w:ascii="Times New Roman" w:hAnsi="Times New Roman" w:eastAsia="宋体" w:cs="Times New Roman"/>
              </w:rPr>
            </w:pPr>
            <w:r>
              <w:rPr>
                <w:rFonts w:hint="default" w:ascii="Times New Roman" w:hAnsi="Times New Roman" w:eastAsia="宋体" w:cs="Times New Roman"/>
              </w:rPr>
              <w:t>5.1</w:t>
            </w:r>
          </w:p>
        </w:tc>
        <w:tc>
          <w:tcPr>
            <w:tcW w:w="1592" w:type="pct"/>
            <w:noWrap w:val="0"/>
            <w:vAlign w:val="center"/>
          </w:tcPr>
          <w:p w14:paraId="70FCB1C7">
            <w:pPr>
              <w:pStyle w:val="104"/>
              <w:rPr>
                <w:rFonts w:hint="default" w:ascii="Times New Roman" w:hAnsi="Times New Roman" w:eastAsia="宋体" w:cs="Times New Roman"/>
              </w:rPr>
            </w:pPr>
            <w:r>
              <w:rPr>
                <w:rFonts w:hint="default" w:ascii="Times New Roman" w:hAnsi="Times New Roman" w:eastAsia="宋体" w:cs="Times New Roman"/>
              </w:rPr>
              <w:t>体重</w:t>
            </w:r>
          </w:p>
        </w:tc>
        <w:tc>
          <w:tcPr>
            <w:tcW w:w="596" w:type="pct"/>
            <w:noWrap w:val="0"/>
            <w:vAlign w:val="center"/>
          </w:tcPr>
          <w:p w14:paraId="6BABD9D2">
            <w:pPr>
              <w:pStyle w:val="104"/>
              <w:rPr>
                <w:rFonts w:hint="default" w:ascii="Times New Roman" w:hAnsi="Times New Roman" w:eastAsia="宋体" w:cs="Times New Roman"/>
              </w:rPr>
            </w:pPr>
          </w:p>
        </w:tc>
        <w:tc>
          <w:tcPr>
            <w:tcW w:w="1021" w:type="pct"/>
            <w:noWrap w:val="0"/>
            <w:vAlign w:val="center"/>
          </w:tcPr>
          <w:p w14:paraId="00EB1865">
            <w:pPr>
              <w:pStyle w:val="104"/>
              <w:rPr>
                <w:rFonts w:hint="default" w:ascii="Times New Roman" w:hAnsi="Times New Roman" w:eastAsia="宋体" w:cs="Times New Roman"/>
              </w:rPr>
            </w:pPr>
          </w:p>
        </w:tc>
        <w:tc>
          <w:tcPr>
            <w:tcW w:w="1078" w:type="pct"/>
            <w:noWrap w:val="0"/>
            <w:vAlign w:val="center"/>
          </w:tcPr>
          <w:p w14:paraId="4BE72B78">
            <w:pPr>
              <w:pStyle w:val="104"/>
              <w:rPr>
                <w:rFonts w:hint="default" w:ascii="Times New Roman" w:hAnsi="Times New Roman" w:eastAsia="宋体" w:cs="Times New Roman"/>
              </w:rPr>
            </w:pPr>
          </w:p>
        </w:tc>
      </w:tr>
      <w:tr w14:paraId="51057C08">
        <w:tblPrEx>
          <w:tblCellMar>
            <w:top w:w="0" w:type="dxa"/>
            <w:left w:w="108" w:type="dxa"/>
            <w:bottom w:w="0" w:type="dxa"/>
            <w:right w:w="108" w:type="dxa"/>
          </w:tblCellMar>
        </w:tblPrEx>
        <w:trPr>
          <w:trHeight w:val="397" w:hRule="atLeast"/>
        </w:trPr>
        <w:tc>
          <w:tcPr>
            <w:tcW w:w="713" w:type="pct"/>
            <w:noWrap w:val="0"/>
            <w:vAlign w:val="center"/>
          </w:tcPr>
          <w:p w14:paraId="765DAF97">
            <w:pPr>
              <w:pStyle w:val="104"/>
              <w:rPr>
                <w:rFonts w:hint="default" w:ascii="Times New Roman" w:hAnsi="Times New Roman" w:eastAsia="宋体" w:cs="Times New Roman"/>
              </w:rPr>
            </w:pPr>
            <w:r>
              <w:rPr>
                <w:rFonts w:hint="default" w:ascii="Times New Roman" w:hAnsi="Times New Roman" w:eastAsia="宋体" w:cs="Times New Roman"/>
              </w:rPr>
              <w:t>5.2</w:t>
            </w:r>
          </w:p>
        </w:tc>
        <w:tc>
          <w:tcPr>
            <w:tcW w:w="1592" w:type="pct"/>
            <w:noWrap w:val="0"/>
            <w:vAlign w:val="center"/>
          </w:tcPr>
          <w:p w14:paraId="1F865CA8">
            <w:pPr>
              <w:pStyle w:val="104"/>
              <w:rPr>
                <w:rFonts w:hint="default" w:ascii="Times New Roman" w:hAnsi="Times New Roman" w:eastAsia="宋体" w:cs="Times New Roman"/>
              </w:rPr>
            </w:pPr>
            <w:r>
              <w:rPr>
                <w:rFonts w:hint="default" w:ascii="Times New Roman" w:hAnsi="Times New Roman" w:eastAsia="宋体" w:cs="Times New Roman"/>
              </w:rPr>
              <w:t>矿石</w:t>
            </w:r>
          </w:p>
        </w:tc>
        <w:tc>
          <w:tcPr>
            <w:tcW w:w="596" w:type="pct"/>
            <w:noWrap w:val="0"/>
            <w:vAlign w:val="center"/>
          </w:tcPr>
          <w:p w14:paraId="4347C8C6">
            <w:pPr>
              <w:pStyle w:val="104"/>
              <w:rPr>
                <w:rFonts w:hint="default" w:ascii="Times New Roman" w:hAnsi="Times New Roman" w:eastAsia="宋体" w:cs="Times New Roman"/>
              </w:rPr>
            </w:pPr>
            <w:r>
              <w:rPr>
                <w:rFonts w:hint="default" w:ascii="Times New Roman" w:hAnsi="Times New Roman" w:eastAsia="宋体" w:cs="Times New Roman"/>
              </w:rPr>
              <w:t>t/m</w:t>
            </w:r>
            <w:r>
              <w:rPr>
                <w:rFonts w:hint="default" w:ascii="Times New Roman" w:hAnsi="Times New Roman" w:eastAsia="宋体" w:cs="Times New Roman"/>
                <w:vertAlign w:val="superscript"/>
              </w:rPr>
              <w:t>3</w:t>
            </w:r>
          </w:p>
        </w:tc>
        <w:tc>
          <w:tcPr>
            <w:tcW w:w="1021" w:type="pct"/>
            <w:noWrap w:val="0"/>
            <w:vAlign w:val="center"/>
          </w:tcPr>
          <w:p w14:paraId="1FE2AA95">
            <w:pPr>
              <w:pStyle w:val="104"/>
              <w:rPr>
                <w:rFonts w:hint="default" w:ascii="Times New Roman" w:hAnsi="Times New Roman" w:eastAsia="宋体" w:cs="Times New Roman"/>
              </w:rPr>
            </w:pPr>
            <w:r>
              <w:rPr>
                <w:rFonts w:hint="default" w:ascii="Times New Roman" w:hAnsi="Times New Roman" w:eastAsia="宋体" w:cs="Times New Roman"/>
              </w:rPr>
              <w:t>2.69</w:t>
            </w:r>
          </w:p>
        </w:tc>
        <w:tc>
          <w:tcPr>
            <w:tcW w:w="1078" w:type="pct"/>
            <w:noWrap w:val="0"/>
            <w:vAlign w:val="center"/>
          </w:tcPr>
          <w:p w14:paraId="1FBCDCBB">
            <w:pPr>
              <w:pStyle w:val="104"/>
              <w:rPr>
                <w:rFonts w:hint="default" w:ascii="Times New Roman" w:hAnsi="Times New Roman" w:eastAsia="宋体" w:cs="Times New Roman"/>
              </w:rPr>
            </w:pPr>
          </w:p>
        </w:tc>
      </w:tr>
      <w:tr w14:paraId="4706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9F8F516">
            <w:pPr>
              <w:pStyle w:val="104"/>
              <w:rPr>
                <w:rFonts w:hint="default" w:ascii="Times New Roman" w:hAnsi="Times New Roman" w:eastAsia="宋体" w:cs="Times New Roman"/>
              </w:rPr>
            </w:pPr>
            <w:r>
              <w:rPr>
                <w:rFonts w:hint="default" w:ascii="Times New Roman" w:hAnsi="Times New Roman" w:eastAsia="宋体" w:cs="Times New Roman"/>
              </w:rPr>
              <w:t>5.3</w:t>
            </w:r>
          </w:p>
        </w:tc>
        <w:tc>
          <w:tcPr>
            <w:tcW w:w="1592" w:type="pct"/>
            <w:noWrap w:val="0"/>
            <w:vAlign w:val="center"/>
          </w:tcPr>
          <w:p w14:paraId="768BFF2C">
            <w:pPr>
              <w:pStyle w:val="104"/>
              <w:rPr>
                <w:rFonts w:hint="default" w:ascii="Times New Roman" w:hAnsi="Times New Roman" w:eastAsia="宋体" w:cs="Times New Roman"/>
              </w:rPr>
            </w:pPr>
            <w:r>
              <w:rPr>
                <w:rFonts w:hint="default" w:ascii="Times New Roman" w:hAnsi="Times New Roman" w:eastAsia="宋体" w:cs="Times New Roman"/>
              </w:rPr>
              <w:t>矿石松散系数</w:t>
            </w:r>
          </w:p>
        </w:tc>
        <w:tc>
          <w:tcPr>
            <w:tcW w:w="596" w:type="pct"/>
            <w:noWrap w:val="0"/>
            <w:vAlign w:val="center"/>
          </w:tcPr>
          <w:p w14:paraId="3E161984">
            <w:pPr>
              <w:pStyle w:val="104"/>
              <w:rPr>
                <w:rFonts w:hint="default" w:ascii="Times New Roman" w:hAnsi="Times New Roman" w:eastAsia="宋体" w:cs="Times New Roman"/>
              </w:rPr>
            </w:pPr>
          </w:p>
        </w:tc>
        <w:tc>
          <w:tcPr>
            <w:tcW w:w="1021" w:type="pct"/>
            <w:noWrap w:val="0"/>
            <w:vAlign w:val="center"/>
          </w:tcPr>
          <w:p w14:paraId="40A2AAB3">
            <w:pPr>
              <w:pStyle w:val="104"/>
              <w:rPr>
                <w:rFonts w:hint="default" w:ascii="Times New Roman" w:hAnsi="Times New Roman" w:eastAsia="宋体" w:cs="Times New Roman"/>
              </w:rPr>
            </w:pPr>
            <w:r>
              <w:rPr>
                <w:rFonts w:hint="default" w:ascii="Times New Roman" w:hAnsi="Times New Roman" w:eastAsia="宋体" w:cs="Times New Roman"/>
              </w:rPr>
              <w:t>1.5</w:t>
            </w:r>
          </w:p>
        </w:tc>
        <w:tc>
          <w:tcPr>
            <w:tcW w:w="1078" w:type="pct"/>
            <w:noWrap w:val="0"/>
            <w:vAlign w:val="center"/>
          </w:tcPr>
          <w:p w14:paraId="59F84CC4">
            <w:pPr>
              <w:pStyle w:val="104"/>
              <w:rPr>
                <w:rFonts w:hint="default" w:ascii="Times New Roman" w:hAnsi="Times New Roman" w:eastAsia="宋体" w:cs="Times New Roman"/>
              </w:rPr>
            </w:pPr>
          </w:p>
        </w:tc>
      </w:tr>
      <w:tr w14:paraId="118D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9FC67A5">
            <w:pPr>
              <w:pStyle w:val="104"/>
              <w:rPr>
                <w:rFonts w:hint="default" w:ascii="Times New Roman" w:hAnsi="Times New Roman" w:eastAsia="宋体" w:cs="Times New Roman"/>
              </w:rPr>
            </w:pPr>
            <w:r>
              <w:rPr>
                <w:rFonts w:hint="default" w:ascii="Times New Roman" w:hAnsi="Times New Roman" w:eastAsia="宋体" w:cs="Times New Roman"/>
              </w:rPr>
              <w:t>5.4</w:t>
            </w:r>
          </w:p>
        </w:tc>
        <w:tc>
          <w:tcPr>
            <w:tcW w:w="1592" w:type="pct"/>
            <w:noWrap w:val="0"/>
            <w:vAlign w:val="center"/>
          </w:tcPr>
          <w:p w14:paraId="1A104F82">
            <w:pPr>
              <w:pStyle w:val="104"/>
              <w:rPr>
                <w:rFonts w:hint="default" w:ascii="Times New Roman" w:hAnsi="Times New Roman" w:eastAsia="宋体" w:cs="Times New Roman"/>
              </w:rPr>
            </w:pPr>
            <w:r>
              <w:rPr>
                <w:rFonts w:hint="default" w:ascii="Times New Roman" w:hAnsi="Times New Roman" w:eastAsia="宋体" w:cs="Times New Roman"/>
              </w:rPr>
              <w:t>抗压强度</w:t>
            </w:r>
          </w:p>
        </w:tc>
        <w:tc>
          <w:tcPr>
            <w:tcW w:w="596" w:type="pct"/>
            <w:noWrap w:val="0"/>
            <w:vAlign w:val="center"/>
          </w:tcPr>
          <w:p w14:paraId="1342F5F3">
            <w:pPr>
              <w:pStyle w:val="104"/>
              <w:rPr>
                <w:rFonts w:hint="default" w:ascii="Times New Roman" w:hAnsi="Times New Roman" w:eastAsia="宋体" w:cs="Times New Roman"/>
              </w:rPr>
            </w:pPr>
            <w:r>
              <w:rPr>
                <w:rFonts w:hint="default" w:ascii="Times New Roman" w:hAnsi="Times New Roman" w:eastAsia="宋体" w:cs="Times New Roman"/>
              </w:rPr>
              <w:t>MPa</w:t>
            </w:r>
          </w:p>
        </w:tc>
        <w:tc>
          <w:tcPr>
            <w:tcW w:w="1021" w:type="pct"/>
            <w:noWrap w:val="0"/>
            <w:vAlign w:val="center"/>
          </w:tcPr>
          <w:p w14:paraId="4CE1089C">
            <w:pPr>
              <w:pStyle w:val="104"/>
              <w:rPr>
                <w:rFonts w:hint="default" w:ascii="Times New Roman" w:hAnsi="Times New Roman" w:eastAsia="宋体" w:cs="Times New Roman"/>
              </w:rPr>
            </w:pPr>
            <w:r>
              <w:rPr>
                <w:rFonts w:hint="default" w:ascii="Times New Roman" w:hAnsi="Times New Roman" w:eastAsia="宋体" w:cs="Times New Roman"/>
              </w:rPr>
              <w:t>58.78</w:t>
            </w:r>
          </w:p>
        </w:tc>
        <w:tc>
          <w:tcPr>
            <w:tcW w:w="1078" w:type="pct"/>
            <w:noWrap w:val="0"/>
            <w:vAlign w:val="center"/>
          </w:tcPr>
          <w:p w14:paraId="4A4A7D7A">
            <w:pPr>
              <w:pStyle w:val="104"/>
              <w:rPr>
                <w:rFonts w:hint="default" w:ascii="Times New Roman" w:hAnsi="Times New Roman" w:eastAsia="宋体" w:cs="Times New Roman"/>
              </w:rPr>
            </w:pPr>
          </w:p>
        </w:tc>
      </w:tr>
      <w:tr w14:paraId="31E6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BB14905">
            <w:pPr>
              <w:pStyle w:val="104"/>
              <w:rPr>
                <w:rFonts w:hint="default" w:ascii="Times New Roman" w:hAnsi="Times New Roman" w:eastAsia="宋体" w:cs="Times New Roman"/>
              </w:rPr>
            </w:pPr>
            <w:r>
              <w:rPr>
                <w:rFonts w:hint="default" w:ascii="Times New Roman" w:hAnsi="Times New Roman" w:eastAsia="宋体" w:cs="Times New Roman"/>
              </w:rPr>
              <w:t>二</w:t>
            </w:r>
          </w:p>
        </w:tc>
        <w:tc>
          <w:tcPr>
            <w:tcW w:w="1592" w:type="pct"/>
            <w:noWrap w:val="0"/>
            <w:vAlign w:val="center"/>
          </w:tcPr>
          <w:p w14:paraId="6C3ABEAA">
            <w:pPr>
              <w:pStyle w:val="104"/>
              <w:rPr>
                <w:rFonts w:hint="default" w:ascii="Times New Roman" w:hAnsi="Times New Roman" w:eastAsia="宋体" w:cs="Times New Roman"/>
              </w:rPr>
            </w:pPr>
            <w:r>
              <w:rPr>
                <w:rFonts w:hint="default" w:ascii="Times New Roman" w:hAnsi="Times New Roman" w:eastAsia="宋体" w:cs="Times New Roman"/>
              </w:rPr>
              <w:t>采矿</w:t>
            </w:r>
          </w:p>
        </w:tc>
        <w:tc>
          <w:tcPr>
            <w:tcW w:w="596" w:type="pct"/>
            <w:noWrap w:val="0"/>
            <w:vAlign w:val="center"/>
          </w:tcPr>
          <w:p w14:paraId="2AC84B12">
            <w:pPr>
              <w:pStyle w:val="104"/>
              <w:rPr>
                <w:rFonts w:hint="default" w:ascii="Times New Roman" w:hAnsi="Times New Roman" w:eastAsia="宋体" w:cs="Times New Roman"/>
              </w:rPr>
            </w:pPr>
          </w:p>
        </w:tc>
        <w:tc>
          <w:tcPr>
            <w:tcW w:w="1021" w:type="pct"/>
            <w:noWrap w:val="0"/>
            <w:vAlign w:val="center"/>
          </w:tcPr>
          <w:p w14:paraId="06BE4920">
            <w:pPr>
              <w:pStyle w:val="104"/>
              <w:rPr>
                <w:rFonts w:hint="default" w:ascii="Times New Roman" w:hAnsi="Times New Roman" w:eastAsia="宋体" w:cs="Times New Roman"/>
              </w:rPr>
            </w:pPr>
          </w:p>
        </w:tc>
        <w:tc>
          <w:tcPr>
            <w:tcW w:w="1078" w:type="pct"/>
            <w:noWrap w:val="0"/>
            <w:vAlign w:val="center"/>
          </w:tcPr>
          <w:p w14:paraId="1204D3AD">
            <w:pPr>
              <w:pStyle w:val="104"/>
              <w:rPr>
                <w:rFonts w:hint="default" w:ascii="Times New Roman" w:hAnsi="Times New Roman" w:eastAsia="宋体" w:cs="Times New Roman"/>
              </w:rPr>
            </w:pPr>
          </w:p>
        </w:tc>
      </w:tr>
      <w:tr w14:paraId="430C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F486135">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099D9878">
            <w:pPr>
              <w:pStyle w:val="104"/>
              <w:rPr>
                <w:rFonts w:hint="default" w:ascii="Times New Roman" w:hAnsi="Times New Roman" w:eastAsia="宋体" w:cs="Times New Roman"/>
              </w:rPr>
            </w:pPr>
            <w:r>
              <w:rPr>
                <w:rFonts w:hint="default" w:ascii="Times New Roman" w:hAnsi="Times New Roman" w:eastAsia="宋体" w:cs="Times New Roman"/>
              </w:rPr>
              <w:t>开采方式</w:t>
            </w:r>
          </w:p>
        </w:tc>
        <w:tc>
          <w:tcPr>
            <w:tcW w:w="596" w:type="pct"/>
            <w:noWrap w:val="0"/>
            <w:vAlign w:val="center"/>
          </w:tcPr>
          <w:p w14:paraId="645D5D2E">
            <w:pPr>
              <w:pStyle w:val="104"/>
              <w:rPr>
                <w:rFonts w:hint="default" w:ascii="Times New Roman" w:hAnsi="Times New Roman" w:eastAsia="宋体" w:cs="Times New Roman"/>
              </w:rPr>
            </w:pPr>
          </w:p>
        </w:tc>
        <w:tc>
          <w:tcPr>
            <w:tcW w:w="1021" w:type="pct"/>
            <w:noWrap w:val="0"/>
            <w:vAlign w:val="center"/>
          </w:tcPr>
          <w:p w14:paraId="514C3E83">
            <w:pPr>
              <w:pStyle w:val="104"/>
              <w:rPr>
                <w:rFonts w:hint="default" w:ascii="Times New Roman" w:hAnsi="Times New Roman" w:eastAsia="宋体" w:cs="Times New Roman"/>
              </w:rPr>
            </w:pPr>
            <w:r>
              <w:rPr>
                <w:rFonts w:hint="default" w:ascii="Times New Roman" w:hAnsi="Times New Roman" w:eastAsia="宋体" w:cs="Times New Roman"/>
              </w:rPr>
              <w:t>露天</w:t>
            </w:r>
          </w:p>
        </w:tc>
        <w:tc>
          <w:tcPr>
            <w:tcW w:w="1078" w:type="pct"/>
            <w:noWrap w:val="0"/>
            <w:vAlign w:val="center"/>
          </w:tcPr>
          <w:p w14:paraId="5491A37A">
            <w:pPr>
              <w:pStyle w:val="104"/>
              <w:rPr>
                <w:rFonts w:hint="default" w:ascii="Times New Roman" w:hAnsi="Times New Roman" w:eastAsia="宋体" w:cs="Times New Roman"/>
              </w:rPr>
            </w:pPr>
          </w:p>
        </w:tc>
      </w:tr>
      <w:tr w14:paraId="6314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8AECD75">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92" w:type="pct"/>
            <w:noWrap w:val="0"/>
            <w:vAlign w:val="center"/>
          </w:tcPr>
          <w:p w14:paraId="3AFE4188">
            <w:pPr>
              <w:pStyle w:val="104"/>
              <w:rPr>
                <w:rFonts w:hint="default" w:ascii="Times New Roman" w:hAnsi="Times New Roman" w:eastAsia="宋体" w:cs="Times New Roman"/>
              </w:rPr>
            </w:pPr>
            <w:r>
              <w:rPr>
                <w:rFonts w:hint="default" w:ascii="Times New Roman" w:hAnsi="Times New Roman" w:eastAsia="宋体" w:cs="Times New Roman"/>
              </w:rPr>
              <w:t>设计规模</w:t>
            </w:r>
          </w:p>
        </w:tc>
        <w:tc>
          <w:tcPr>
            <w:tcW w:w="596" w:type="pct"/>
            <w:noWrap w:val="0"/>
            <w:vAlign w:val="center"/>
          </w:tcPr>
          <w:p w14:paraId="5FCB7ACB">
            <w:pPr>
              <w:pStyle w:val="104"/>
              <w:rPr>
                <w:rFonts w:hint="default" w:ascii="Times New Roman" w:hAnsi="Times New Roman" w:eastAsia="宋体" w:cs="Times New Roman"/>
              </w:rPr>
            </w:pPr>
            <w:r>
              <w:rPr>
                <w:rFonts w:hint="default" w:ascii="Times New Roman" w:hAnsi="Times New Roman" w:eastAsia="宋体" w:cs="Times New Roman"/>
              </w:rPr>
              <w:t>万t</w:t>
            </w:r>
          </w:p>
        </w:tc>
        <w:tc>
          <w:tcPr>
            <w:tcW w:w="1021" w:type="pct"/>
            <w:noWrap w:val="0"/>
            <w:vAlign w:val="center"/>
          </w:tcPr>
          <w:p w14:paraId="745B5C28">
            <w:pPr>
              <w:pStyle w:val="104"/>
              <w:rPr>
                <w:rFonts w:hint="default" w:ascii="Times New Roman" w:hAnsi="Times New Roman" w:eastAsia="宋体" w:cs="Times New Roman"/>
              </w:rPr>
            </w:pPr>
            <w:r>
              <w:rPr>
                <w:rFonts w:hint="default" w:ascii="Times New Roman" w:hAnsi="Times New Roman" w:eastAsia="宋体" w:cs="Times New Roman"/>
              </w:rPr>
              <w:t>10</w:t>
            </w:r>
          </w:p>
        </w:tc>
        <w:tc>
          <w:tcPr>
            <w:tcW w:w="1078" w:type="pct"/>
            <w:noWrap w:val="0"/>
            <w:vAlign w:val="center"/>
          </w:tcPr>
          <w:p w14:paraId="69D8648B">
            <w:pPr>
              <w:pStyle w:val="104"/>
              <w:rPr>
                <w:rFonts w:hint="default" w:ascii="Times New Roman" w:hAnsi="Times New Roman" w:eastAsia="宋体" w:cs="Times New Roman"/>
              </w:rPr>
            </w:pPr>
          </w:p>
        </w:tc>
      </w:tr>
      <w:tr w14:paraId="5234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F069C15">
            <w:pPr>
              <w:pStyle w:val="104"/>
              <w:rPr>
                <w:rFonts w:hint="default" w:ascii="Times New Roman" w:hAnsi="Times New Roman" w:eastAsia="宋体" w:cs="Times New Roman"/>
              </w:rPr>
            </w:pPr>
            <w:r>
              <w:rPr>
                <w:rFonts w:hint="default" w:ascii="Times New Roman" w:hAnsi="Times New Roman" w:eastAsia="宋体" w:cs="Times New Roman"/>
              </w:rPr>
              <w:t>3</w:t>
            </w:r>
          </w:p>
        </w:tc>
        <w:tc>
          <w:tcPr>
            <w:tcW w:w="1592" w:type="pct"/>
            <w:noWrap w:val="0"/>
            <w:vAlign w:val="center"/>
          </w:tcPr>
          <w:p w14:paraId="7451C5C2">
            <w:pPr>
              <w:pStyle w:val="104"/>
              <w:rPr>
                <w:rFonts w:hint="default" w:ascii="Times New Roman" w:hAnsi="Times New Roman" w:eastAsia="宋体" w:cs="Times New Roman"/>
              </w:rPr>
            </w:pPr>
            <w:r>
              <w:rPr>
                <w:rFonts w:hint="default" w:ascii="Times New Roman" w:hAnsi="Times New Roman" w:eastAsia="宋体" w:cs="Times New Roman"/>
              </w:rPr>
              <w:t>矿山日生产能力</w:t>
            </w:r>
          </w:p>
        </w:tc>
        <w:tc>
          <w:tcPr>
            <w:tcW w:w="596" w:type="pct"/>
            <w:noWrap w:val="0"/>
            <w:vAlign w:val="center"/>
          </w:tcPr>
          <w:p w14:paraId="6CEFDF05">
            <w:pPr>
              <w:pStyle w:val="104"/>
              <w:rPr>
                <w:rFonts w:hint="default" w:ascii="Times New Roman" w:hAnsi="Times New Roman" w:eastAsia="宋体" w:cs="Times New Roman"/>
              </w:rPr>
            </w:pPr>
            <w:r>
              <w:rPr>
                <w:rFonts w:hint="default" w:ascii="Times New Roman" w:hAnsi="Times New Roman" w:eastAsia="宋体" w:cs="Times New Roman"/>
              </w:rPr>
              <w:t>t/d</w:t>
            </w:r>
          </w:p>
        </w:tc>
        <w:tc>
          <w:tcPr>
            <w:tcW w:w="1021" w:type="pct"/>
            <w:noWrap w:val="0"/>
            <w:vAlign w:val="center"/>
          </w:tcPr>
          <w:p w14:paraId="3E8FAC39">
            <w:pPr>
              <w:pStyle w:val="104"/>
              <w:rPr>
                <w:rFonts w:hint="default" w:ascii="Times New Roman" w:hAnsi="Times New Roman" w:eastAsia="宋体" w:cs="Times New Roman"/>
              </w:rPr>
            </w:pPr>
            <w:r>
              <w:rPr>
                <w:rFonts w:hint="default" w:ascii="Times New Roman" w:hAnsi="Times New Roman" w:eastAsia="宋体" w:cs="Times New Roman"/>
              </w:rPr>
              <w:t>333</w:t>
            </w:r>
          </w:p>
        </w:tc>
        <w:tc>
          <w:tcPr>
            <w:tcW w:w="1078" w:type="pct"/>
            <w:noWrap w:val="0"/>
            <w:vAlign w:val="center"/>
          </w:tcPr>
          <w:p w14:paraId="19D0D645">
            <w:pPr>
              <w:pStyle w:val="104"/>
              <w:rPr>
                <w:rFonts w:hint="default" w:ascii="Times New Roman" w:hAnsi="Times New Roman" w:eastAsia="宋体" w:cs="Times New Roman"/>
              </w:rPr>
            </w:pPr>
          </w:p>
        </w:tc>
      </w:tr>
      <w:tr w14:paraId="380F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4840FBDF">
            <w:pPr>
              <w:pStyle w:val="104"/>
              <w:rPr>
                <w:rFonts w:hint="default" w:ascii="Times New Roman" w:hAnsi="Times New Roman" w:eastAsia="宋体" w:cs="Times New Roman"/>
              </w:rPr>
            </w:pPr>
            <w:r>
              <w:rPr>
                <w:rFonts w:hint="default" w:ascii="Times New Roman" w:hAnsi="Times New Roman" w:eastAsia="宋体" w:cs="Times New Roman"/>
              </w:rPr>
              <w:t>4</w:t>
            </w:r>
          </w:p>
        </w:tc>
        <w:tc>
          <w:tcPr>
            <w:tcW w:w="1592" w:type="pct"/>
            <w:noWrap w:val="0"/>
            <w:vAlign w:val="center"/>
          </w:tcPr>
          <w:p w14:paraId="094B12FC">
            <w:pPr>
              <w:pStyle w:val="104"/>
              <w:rPr>
                <w:rFonts w:hint="default" w:ascii="Times New Roman" w:hAnsi="Times New Roman" w:eastAsia="宋体" w:cs="Times New Roman"/>
              </w:rPr>
            </w:pPr>
            <w:r>
              <w:rPr>
                <w:rFonts w:hint="default" w:ascii="Times New Roman" w:hAnsi="Times New Roman" w:eastAsia="宋体" w:cs="Times New Roman"/>
              </w:rPr>
              <w:t>损失率</w:t>
            </w:r>
          </w:p>
        </w:tc>
        <w:tc>
          <w:tcPr>
            <w:tcW w:w="596" w:type="pct"/>
            <w:noWrap w:val="0"/>
            <w:vAlign w:val="center"/>
          </w:tcPr>
          <w:p w14:paraId="55C289D4">
            <w:pPr>
              <w:pStyle w:val="104"/>
              <w:rPr>
                <w:rFonts w:hint="default" w:ascii="Times New Roman" w:hAnsi="Times New Roman" w:eastAsia="宋体" w:cs="Times New Roman"/>
              </w:rPr>
            </w:pPr>
            <w:r>
              <w:rPr>
                <w:rFonts w:hint="default" w:ascii="Times New Roman" w:hAnsi="Times New Roman" w:eastAsia="宋体" w:cs="Times New Roman"/>
              </w:rPr>
              <w:t>%</w:t>
            </w:r>
          </w:p>
        </w:tc>
        <w:tc>
          <w:tcPr>
            <w:tcW w:w="1021" w:type="pct"/>
            <w:noWrap w:val="0"/>
            <w:vAlign w:val="center"/>
          </w:tcPr>
          <w:p w14:paraId="55AE5562">
            <w:pPr>
              <w:pStyle w:val="104"/>
              <w:rPr>
                <w:rFonts w:hint="default" w:ascii="Times New Roman" w:hAnsi="Times New Roman" w:eastAsia="宋体" w:cs="Times New Roman"/>
              </w:rPr>
            </w:pPr>
            <w:r>
              <w:rPr>
                <w:rFonts w:hint="default" w:ascii="Times New Roman" w:hAnsi="Times New Roman" w:eastAsia="宋体" w:cs="Times New Roman"/>
              </w:rPr>
              <w:t>3.0%</w:t>
            </w:r>
          </w:p>
        </w:tc>
        <w:tc>
          <w:tcPr>
            <w:tcW w:w="1078" w:type="pct"/>
            <w:noWrap w:val="0"/>
            <w:vAlign w:val="center"/>
          </w:tcPr>
          <w:p w14:paraId="62B87049">
            <w:pPr>
              <w:pStyle w:val="104"/>
              <w:rPr>
                <w:rFonts w:hint="default" w:ascii="Times New Roman" w:hAnsi="Times New Roman" w:eastAsia="宋体" w:cs="Times New Roman"/>
              </w:rPr>
            </w:pPr>
          </w:p>
        </w:tc>
      </w:tr>
      <w:tr w14:paraId="43D0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FCC8CA6">
            <w:pPr>
              <w:pStyle w:val="104"/>
              <w:rPr>
                <w:rFonts w:hint="default" w:ascii="Times New Roman" w:hAnsi="Times New Roman" w:eastAsia="宋体" w:cs="Times New Roman"/>
              </w:rPr>
            </w:pPr>
            <w:r>
              <w:rPr>
                <w:rFonts w:hint="default" w:ascii="Times New Roman" w:hAnsi="Times New Roman" w:eastAsia="宋体" w:cs="Times New Roman"/>
              </w:rPr>
              <w:t>5</w:t>
            </w:r>
          </w:p>
        </w:tc>
        <w:tc>
          <w:tcPr>
            <w:tcW w:w="1592" w:type="pct"/>
            <w:noWrap w:val="0"/>
            <w:vAlign w:val="center"/>
          </w:tcPr>
          <w:p w14:paraId="4D247ECB">
            <w:pPr>
              <w:pStyle w:val="104"/>
              <w:rPr>
                <w:rFonts w:hint="default" w:ascii="Times New Roman" w:hAnsi="Times New Roman" w:eastAsia="宋体" w:cs="Times New Roman"/>
              </w:rPr>
            </w:pPr>
            <w:r>
              <w:rPr>
                <w:rFonts w:hint="default" w:ascii="Times New Roman" w:hAnsi="Times New Roman" w:eastAsia="宋体" w:cs="Times New Roman"/>
              </w:rPr>
              <w:t>贫化率</w:t>
            </w:r>
          </w:p>
        </w:tc>
        <w:tc>
          <w:tcPr>
            <w:tcW w:w="596" w:type="pct"/>
            <w:noWrap w:val="0"/>
            <w:vAlign w:val="center"/>
          </w:tcPr>
          <w:p w14:paraId="445F969B">
            <w:pPr>
              <w:pStyle w:val="104"/>
              <w:rPr>
                <w:rFonts w:hint="default" w:ascii="Times New Roman" w:hAnsi="Times New Roman" w:eastAsia="宋体" w:cs="Times New Roman"/>
              </w:rPr>
            </w:pPr>
            <w:r>
              <w:rPr>
                <w:rFonts w:hint="default" w:ascii="Times New Roman" w:hAnsi="Times New Roman" w:eastAsia="宋体" w:cs="Times New Roman"/>
              </w:rPr>
              <w:t>%</w:t>
            </w:r>
          </w:p>
        </w:tc>
        <w:tc>
          <w:tcPr>
            <w:tcW w:w="1021" w:type="pct"/>
            <w:noWrap w:val="0"/>
            <w:vAlign w:val="center"/>
          </w:tcPr>
          <w:p w14:paraId="524E7467">
            <w:pPr>
              <w:pStyle w:val="104"/>
              <w:rPr>
                <w:rFonts w:hint="default" w:ascii="Times New Roman" w:hAnsi="Times New Roman" w:eastAsia="宋体" w:cs="Times New Roman"/>
              </w:rPr>
            </w:pPr>
            <w:r>
              <w:rPr>
                <w:rFonts w:hint="default" w:ascii="Times New Roman" w:hAnsi="Times New Roman" w:eastAsia="宋体" w:cs="Times New Roman"/>
              </w:rPr>
              <w:t>0</w:t>
            </w:r>
          </w:p>
        </w:tc>
        <w:tc>
          <w:tcPr>
            <w:tcW w:w="1078" w:type="pct"/>
            <w:noWrap w:val="0"/>
            <w:vAlign w:val="center"/>
          </w:tcPr>
          <w:p w14:paraId="200E5974">
            <w:pPr>
              <w:pStyle w:val="104"/>
              <w:rPr>
                <w:rFonts w:hint="default" w:ascii="Times New Roman" w:hAnsi="Times New Roman" w:eastAsia="宋体" w:cs="Times New Roman"/>
              </w:rPr>
            </w:pPr>
          </w:p>
        </w:tc>
      </w:tr>
      <w:tr w14:paraId="5170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88FA3A2">
            <w:pPr>
              <w:pStyle w:val="104"/>
              <w:rPr>
                <w:rFonts w:hint="default" w:ascii="Times New Roman" w:hAnsi="Times New Roman" w:eastAsia="宋体" w:cs="Times New Roman"/>
              </w:rPr>
            </w:pPr>
            <w:r>
              <w:rPr>
                <w:rFonts w:hint="default" w:ascii="Times New Roman" w:hAnsi="Times New Roman" w:eastAsia="宋体" w:cs="Times New Roman"/>
              </w:rPr>
              <w:t>6</w:t>
            </w:r>
          </w:p>
        </w:tc>
        <w:tc>
          <w:tcPr>
            <w:tcW w:w="1592" w:type="pct"/>
            <w:noWrap w:val="0"/>
            <w:vAlign w:val="center"/>
          </w:tcPr>
          <w:p w14:paraId="6CEEF7E4">
            <w:pPr>
              <w:pStyle w:val="104"/>
              <w:rPr>
                <w:rFonts w:hint="default" w:ascii="Times New Roman" w:hAnsi="Times New Roman" w:eastAsia="宋体" w:cs="Times New Roman"/>
              </w:rPr>
            </w:pPr>
            <w:r>
              <w:rPr>
                <w:rFonts w:hint="default" w:ascii="Times New Roman" w:hAnsi="Times New Roman" w:eastAsia="宋体" w:cs="Times New Roman"/>
              </w:rPr>
              <w:t>开拓方式</w:t>
            </w:r>
          </w:p>
        </w:tc>
        <w:tc>
          <w:tcPr>
            <w:tcW w:w="596" w:type="pct"/>
            <w:noWrap w:val="0"/>
            <w:vAlign w:val="center"/>
          </w:tcPr>
          <w:p w14:paraId="79AE5B75">
            <w:pPr>
              <w:pStyle w:val="104"/>
              <w:rPr>
                <w:rFonts w:hint="default" w:ascii="Times New Roman" w:hAnsi="Times New Roman" w:eastAsia="宋体" w:cs="Times New Roman"/>
              </w:rPr>
            </w:pPr>
          </w:p>
        </w:tc>
        <w:tc>
          <w:tcPr>
            <w:tcW w:w="1021" w:type="pct"/>
            <w:noWrap w:val="0"/>
            <w:vAlign w:val="center"/>
          </w:tcPr>
          <w:p w14:paraId="7D7E7FDE">
            <w:pPr>
              <w:pStyle w:val="104"/>
              <w:rPr>
                <w:rFonts w:hint="default" w:ascii="Times New Roman" w:hAnsi="Times New Roman" w:eastAsia="宋体" w:cs="Times New Roman"/>
              </w:rPr>
            </w:pPr>
            <w:r>
              <w:rPr>
                <w:rFonts w:hint="default" w:ascii="Times New Roman" w:hAnsi="Times New Roman" w:eastAsia="宋体" w:cs="Times New Roman"/>
              </w:rPr>
              <w:t>溜槽</w:t>
            </w:r>
          </w:p>
        </w:tc>
        <w:tc>
          <w:tcPr>
            <w:tcW w:w="1078" w:type="pct"/>
            <w:noWrap w:val="0"/>
            <w:vAlign w:val="center"/>
          </w:tcPr>
          <w:p w14:paraId="77117AC7">
            <w:pPr>
              <w:pStyle w:val="104"/>
              <w:rPr>
                <w:rFonts w:hint="default" w:ascii="Times New Roman" w:hAnsi="Times New Roman" w:eastAsia="宋体" w:cs="Times New Roman"/>
              </w:rPr>
            </w:pPr>
          </w:p>
        </w:tc>
      </w:tr>
      <w:tr w14:paraId="0D2C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EF1DFCC">
            <w:pPr>
              <w:pStyle w:val="104"/>
              <w:rPr>
                <w:rFonts w:hint="default" w:ascii="Times New Roman" w:hAnsi="Times New Roman" w:eastAsia="宋体" w:cs="Times New Roman"/>
              </w:rPr>
            </w:pPr>
            <w:r>
              <w:rPr>
                <w:rFonts w:hint="default" w:ascii="Times New Roman" w:hAnsi="Times New Roman" w:eastAsia="宋体" w:cs="Times New Roman"/>
              </w:rPr>
              <w:t>7</w:t>
            </w:r>
          </w:p>
        </w:tc>
        <w:tc>
          <w:tcPr>
            <w:tcW w:w="1592" w:type="pct"/>
            <w:noWrap w:val="0"/>
            <w:vAlign w:val="center"/>
          </w:tcPr>
          <w:p w14:paraId="719EE018">
            <w:pPr>
              <w:pStyle w:val="104"/>
              <w:rPr>
                <w:rFonts w:hint="default" w:ascii="Times New Roman" w:hAnsi="Times New Roman" w:eastAsia="宋体" w:cs="Times New Roman"/>
              </w:rPr>
            </w:pPr>
            <w:r>
              <w:rPr>
                <w:rFonts w:hint="default" w:ascii="Times New Roman" w:hAnsi="Times New Roman" w:eastAsia="宋体" w:cs="Times New Roman"/>
              </w:rPr>
              <w:t>运输设备</w:t>
            </w:r>
          </w:p>
        </w:tc>
        <w:tc>
          <w:tcPr>
            <w:tcW w:w="596" w:type="pct"/>
            <w:noWrap w:val="0"/>
            <w:vAlign w:val="center"/>
          </w:tcPr>
          <w:p w14:paraId="7BB61C55">
            <w:pPr>
              <w:pStyle w:val="104"/>
              <w:rPr>
                <w:rFonts w:hint="default" w:ascii="Times New Roman" w:hAnsi="Times New Roman" w:eastAsia="宋体" w:cs="Times New Roman"/>
              </w:rPr>
            </w:pPr>
            <w:r>
              <w:rPr>
                <w:rFonts w:hint="default" w:ascii="Times New Roman" w:hAnsi="Times New Roman" w:eastAsia="宋体" w:cs="Times New Roman"/>
              </w:rPr>
              <w:t>辆</w:t>
            </w:r>
          </w:p>
        </w:tc>
        <w:tc>
          <w:tcPr>
            <w:tcW w:w="1021" w:type="pct"/>
            <w:noWrap w:val="0"/>
            <w:vAlign w:val="center"/>
          </w:tcPr>
          <w:p w14:paraId="3BE0D1E8">
            <w:pPr>
              <w:pStyle w:val="104"/>
              <w:rPr>
                <w:rFonts w:hint="default" w:ascii="Times New Roman" w:hAnsi="Times New Roman" w:eastAsia="宋体" w:cs="Times New Roman"/>
              </w:rPr>
            </w:pPr>
            <w:r>
              <w:rPr>
                <w:rFonts w:hint="default" w:ascii="Times New Roman" w:hAnsi="Times New Roman" w:eastAsia="宋体" w:cs="Times New Roman"/>
              </w:rPr>
              <w:t>3</w:t>
            </w:r>
          </w:p>
        </w:tc>
        <w:tc>
          <w:tcPr>
            <w:tcW w:w="1078" w:type="pct"/>
            <w:noWrap w:val="0"/>
            <w:vAlign w:val="center"/>
          </w:tcPr>
          <w:p w14:paraId="607BF9C9">
            <w:pPr>
              <w:pStyle w:val="104"/>
              <w:rPr>
                <w:rFonts w:hint="default" w:ascii="Times New Roman" w:hAnsi="Times New Roman" w:eastAsia="宋体" w:cs="Times New Roman"/>
              </w:rPr>
            </w:pPr>
            <w:r>
              <w:rPr>
                <w:rFonts w:hint="default" w:ascii="Times New Roman" w:hAnsi="Times New Roman" w:eastAsia="宋体" w:cs="Times New Roman"/>
              </w:rPr>
              <w:t>10t</w:t>
            </w:r>
          </w:p>
        </w:tc>
      </w:tr>
      <w:tr w14:paraId="799E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BD4281D">
            <w:pPr>
              <w:pStyle w:val="104"/>
              <w:rPr>
                <w:rFonts w:hint="default" w:ascii="Times New Roman" w:hAnsi="Times New Roman" w:eastAsia="宋体" w:cs="Times New Roman"/>
              </w:rPr>
            </w:pPr>
            <w:r>
              <w:rPr>
                <w:rFonts w:hint="default" w:ascii="Times New Roman" w:hAnsi="Times New Roman" w:eastAsia="宋体" w:cs="Times New Roman"/>
              </w:rPr>
              <w:t>8</w:t>
            </w:r>
          </w:p>
        </w:tc>
        <w:tc>
          <w:tcPr>
            <w:tcW w:w="1592" w:type="pct"/>
            <w:noWrap w:val="0"/>
            <w:vAlign w:val="center"/>
          </w:tcPr>
          <w:p w14:paraId="4549F905">
            <w:pPr>
              <w:pStyle w:val="104"/>
              <w:rPr>
                <w:rFonts w:hint="default" w:ascii="Times New Roman" w:hAnsi="Times New Roman" w:eastAsia="宋体" w:cs="Times New Roman"/>
              </w:rPr>
            </w:pPr>
            <w:r>
              <w:rPr>
                <w:rFonts w:hint="default" w:ascii="Times New Roman" w:hAnsi="Times New Roman" w:eastAsia="宋体" w:cs="Times New Roman"/>
              </w:rPr>
              <w:t>台阶高度</w:t>
            </w:r>
          </w:p>
        </w:tc>
        <w:tc>
          <w:tcPr>
            <w:tcW w:w="596" w:type="pct"/>
            <w:noWrap w:val="0"/>
            <w:vAlign w:val="center"/>
          </w:tcPr>
          <w:p w14:paraId="70A72E90">
            <w:pPr>
              <w:pStyle w:val="104"/>
              <w:rPr>
                <w:rFonts w:hint="default" w:ascii="Times New Roman" w:hAnsi="Times New Roman" w:eastAsia="宋体" w:cs="Times New Roman"/>
              </w:rPr>
            </w:pPr>
            <w:r>
              <w:rPr>
                <w:rFonts w:hint="default" w:ascii="Times New Roman" w:hAnsi="Times New Roman" w:eastAsia="宋体" w:cs="Times New Roman"/>
              </w:rPr>
              <w:t>m</w:t>
            </w:r>
          </w:p>
        </w:tc>
        <w:tc>
          <w:tcPr>
            <w:tcW w:w="1021" w:type="pct"/>
            <w:noWrap w:val="0"/>
            <w:vAlign w:val="center"/>
          </w:tcPr>
          <w:p w14:paraId="757B472C">
            <w:pPr>
              <w:pStyle w:val="104"/>
              <w:rPr>
                <w:rFonts w:hint="default" w:ascii="Times New Roman" w:hAnsi="Times New Roman" w:eastAsia="宋体" w:cs="Times New Roman"/>
              </w:rPr>
            </w:pPr>
            <w:r>
              <w:rPr>
                <w:rFonts w:hint="default" w:ascii="Times New Roman" w:hAnsi="Times New Roman" w:eastAsia="宋体" w:cs="Times New Roman"/>
              </w:rPr>
              <w:t>10</w:t>
            </w:r>
          </w:p>
        </w:tc>
        <w:tc>
          <w:tcPr>
            <w:tcW w:w="1078" w:type="pct"/>
            <w:noWrap w:val="0"/>
            <w:vAlign w:val="center"/>
          </w:tcPr>
          <w:p w14:paraId="5B54FD03">
            <w:pPr>
              <w:pStyle w:val="104"/>
              <w:rPr>
                <w:rFonts w:hint="default" w:ascii="Times New Roman" w:hAnsi="Times New Roman" w:eastAsia="宋体" w:cs="Times New Roman"/>
              </w:rPr>
            </w:pPr>
          </w:p>
        </w:tc>
      </w:tr>
      <w:tr w14:paraId="23B9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CD6A86B">
            <w:pPr>
              <w:pStyle w:val="104"/>
              <w:rPr>
                <w:rFonts w:hint="default" w:ascii="Times New Roman" w:hAnsi="Times New Roman" w:eastAsia="宋体" w:cs="Times New Roman"/>
              </w:rPr>
            </w:pPr>
            <w:r>
              <w:rPr>
                <w:rFonts w:hint="default" w:ascii="Times New Roman" w:hAnsi="Times New Roman" w:eastAsia="宋体" w:cs="Times New Roman"/>
              </w:rPr>
              <w:t>9</w:t>
            </w:r>
          </w:p>
        </w:tc>
        <w:tc>
          <w:tcPr>
            <w:tcW w:w="1592" w:type="pct"/>
            <w:noWrap w:val="0"/>
            <w:vAlign w:val="center"/>
          </w:tcPr>
          <w:p w14:paraId="44D6C8EF">
            <w:pPr>
              <w:pStyle w:val="104"/>
              <w:rPr>
                <w:rFonts w:hint="default" w:ascii="Times New Roman" w:hAnsi="Times New Roman" w:eastAsia="宋体" w:cs="Times New Roman"/>
              </w:rPr>
            </w:pPr>
            <w:r>
              <w:rPr>
                <w:rFonts w:hint="default" w:ascii="Times New Roman" w:hAnsi="Times New Roman" w:eastAsia="宋体" w:cs="Times New Roman"/>
              </w:rPr>
              <w:t>露天采场顶部标高</w:t>
            </w:r>
          </w:p>
        </w:tc>
        <w:tc>
          <w:tcPr>
            <w:tcW w:w="596" w:type="pct"/>
            <w:noWrap w:val="0"/>
            <w:vAlign w:val="center"/>
          </w:tcPr>
          <w:p w14:paraId="310606B7">
            <w:pPr>
              <w:pStyle w:val="104"/>
              <w:rPr>
                <w:rFonts w:hint="default" w:ascii="Times New Roman" w:hAnsi="Times New Roman" w:eastAsia="宋体" w:cs="Times New Roman"/>
              </w:rPr>
            </w:pPr>
            <w:r>
              <w:rPr>
                <w:rFonts w:hint="default" w:ascii="Times New Roman" w:hAnsi="Times New Roman" w:eastAsia="宋体" w:cs="Times New Roman"/>
              </w:rPr>
              <w:t>m</w:t>
            </w:r>
          </w:p>
        </w:tc>
        <w:tc>
          <w:tcPr>
            <w:tcW w:w="1021" w:type="pct"/>
            <w:noWrap w:val="0"/>
            <w:vAlign w:val="center"/>
          </w:tcPr>
          <w:p w14:paraId="66CA5EE0">
            <w:pPr>
              <w:pStyle w:val="104"/>
              <w:rPr>
                <w:rFonts w:hint="default" w:ascii="Times New Roman" w:hAnsi="Times New Roman" w:eastAsia="宋体" w:cs="Times New Roman"/>
              </w:rPr>
            </w:pPr>
            <w:r>
              <w:rPr>
                <w:rFonts w:hint="default" w:ascii="Times New Roman" w:hAnsi="Times New Roman" w:eastAsia="宋体" w:cs="Times New Roman"/>
              </w:rPr>
              <w:t>2218</w:t>
            </w:r>
          </w:p>
        </w:tc>
        <w:tc>
          <w:tcPr>
            <w:tcW w:w="1078" w:type="pct"/>
            <w:noWrap w:val="0"/>
            <w:vAlign w:val="center"/>
          </w:tcPr>
          <w:p w14:paraId="39C5F129">
            <w:pPr>
              <w:pStyle w:val="104"/>
              <w:rPr>
                <w:rFonts w:hint="default" w:ascii="Times New Roman" w:hAnsi="Times New Roman" w:eastAsia="宋体" w:cs="Times New Roman"/>
              </w:rPr>
            </w:pPr>
          </w:p>
        </w:tc>
      </w:tr>
      <w:tr w14:paraId="6CBE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2F0B7E6">
            <w:pPr>
              <w:pStyle w:val="104"/>
              <w:rPr>
                <w:rFonts w:hint="default" w:ascii="Times New Roman" w:hAnsi="Times New Roman" w:eastAsia="宋体" w:cs="Times New Roman"/>
              </w:rPr>
            </w:pPr>
            <w:r>
              <w:rPr>
                <w:rFonts w:hint="default" w:ascii="Times New Roman" w:hAnsi="Times New Roman" w:eastAsia="宋体" w:cs="Times New Roman"/>
              </w:rPr>
              <w:t>10</w:t>
            </w:r>
          </w:p>
        </w:tc>
        <w:tc>
          <w:tcPr>
            <w:tcW w:w="1592" w:type="pct"/>
            <w:noWrap w:val="0"/>
            <w:vAlign w:val="center"/>
          </w:tcPr>
          <w:p w14:paraId="0C013B51">
            <w:pPr>
              <w:pStyle w:val="104"/>
              <w:rPr>
                <w:rFonts w:hint="default" w:ascii="Times New Roman" w:hAnsi="Times New Roman" w:eastAsia="宋体" w:cs="Times New Roman"/>
              </w:rPr>
            </w:pPr>
            <w:r>
              <w:rPr>
                <w:rFonts w:hint="default" w:ascii="Times New Roman" w:hAnsi="Times New Roman" w:eastAsia="宋体" w:cs="Times New Roman"/>
              </w:rPr>
              <w:t>露天采场底部标高</w:t>
            </w:r>
          </w:p>
        </w:tc>
        <w:tc>
          <w:tcPr>
            <w:tcW w:w="596" w:type="pct"/>
            <w:noWrap w:val="0"/>
            <w:vAlign w:val="center"/>
          </w:tcPr>
          <w:p w14:paraId="475961DC">
            <w:pPr>
              <w:pStyle w:val="104"/>
              <w:rPr>
                <w:rFonts w:hint="default" w:ascii="Times New Roman" w:hAnsi="Times New Roman" w:eastAsia="宋体" w:cs="Times New Roman"/>
              </w:rPr>
            </w:pPr>
            <w:r>
              <w:rPr>
                <w:rFonts w:hint="default" w:ascii="Times New Roman" w:hAnsi="Times New Roman" w:eastAsia="宋体" w:cs="Times New Roman"/>
              </w:rPr>
              <w:t>m</w:t>
            </w:r>
          </w:p>
        </w:tc>
        <w:tc>
          <w:tcPr>
            <w:tcW w:w="1021" w:type="pct"/>
            <w:noWrap w:val="0"/>
            <w:vAlign w:val="center"/>
          </w:tcPr>
          <w:p w14:paraId="51205CF6">
            <w:pPr>
              <w:pStyle w:val="104"/>
              <w:rPr>
                <w:rFonts w:hint="default" w:ascii="Times New Roman" w:hAnsi="Times New Roman" w:eastAsia="宋体" w:cs="Times New Roman"/>
              </w:rPr>
            </w:pPr>
            <w:r>
              <w:rPr>
                <w:rFonts w:hint="default" w:ascii="Times New Roman" w:hAnsi="Times New Roman" w:eastAsia="宋体" w:cs="Times New Roman"/>
              </w:rPr>
              <w:t>2140</w:t>
            </w:r>
          </w:p>
        </w:tc>
        <w:tc>
          <w:tcPr>
            <w:tcW w:w="1078" w:type="pct"/>
            <w:noWrap w:val="0"/>
            <w:vAlign w:val="center"/>
          </w:tcPr>
          <w:p w14:paraId="6328D92F">
            <w:pPr>
              <w:pStyle w:val="104"/>
              <w:rPr>
                <w:rFonts w:hint="default" w:ascii="Times New Roman" w:hAnsi="Times New Roman" w:eastAsia="宋体" w:cs="Times New Roman"/>
              </w:rPr>
            </w:pPr>
          </w:p>
        </w:tc>
      </w:tr>
      <w:tr w14:paraId="3846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20F07FC">
            <w:pPr>
              <w:pStyle w:val="104"/>
              <w:rPr>
                <w:rFonts w:hint="default" w:ascii="Times New Roman" w:hAnsi="Times New Roman" w:eastAsia="宋体" w:cs="Times New Roman"/>
              </w:rPr>
            </w:pPr>
            <w:r>
              <w:rPr>
                <w:rFonts w:hint="default" w:ascii="Times New Roman" w:hAnsi="Times New Roman" w:eastAsia="宋体" w:cs="Times New Roman"/>
              </w:rPr>
              <w:t>11</w:t>
            </w:r>
          </w:p>
        </w:tc>
        <w:tc>
          <w:tcPr>
            <w:tcW w:w="1592" w:type="pct"/>
            <w:noWrap w:val="0"/>
            <w:vAlign w:val="center"/>
          </w:tcPr>
          <w:p w14:paraId="1B9F28B4">
            <w:pPr>
              <w:pStyle w:val="104"/>
              <w:rPr>
                <w:rFonts w:hint="default" w:ascii="Times New Roman" w:hAnsi="Times New Roman" w:eastAsia="宋体" w:cs="Times New Roman"/>
              </w:rPr>
            </w:pPr>
            <w:r>
              <w:rPr>
                <w:rFonts w:hint="default" w:ascii="Times New Roman" w:hAnsi="Times New Roman" w:eastAsia="宋体" w:cs="Times New Roman"/>
              </w:rPr>
              <w:t>露天采场最大采深</w:t>
            </w:r>
          </w:p>
        </w:tc>
        <w:tc>
          <w:tcPr>
            <w:tcW w:w="596" w:type="pct"/>
            <w:noWrap w:val="0"/>
            <w:vAlign w:val="center"/>
          </w:tcPr>
          <w:p w14:paraId="70173D41">
            <w:pPr>
              <w:pStyle w:val="104"/>
              <w:rPr>
                <w:rFonts w:hint="default" w:ascii="Times New Roman" w:hAnsi="Times New Roman" w:eastAsia="宋体" w:cs="Times New Roman"/>
              </w:rPr>
            </w:pPr>
            <w:r>
              <w:rPr>
                <w:rFonts w:hint="default" w:ascii="Times New Roman" w:hAnsi="Times New Roman" w:eastAsia="宋体" w:cs="Times New Roman"/>
              </w:rPr>
              <w:t>m</w:t>
            </w:r>
          </w:p>
        </w:tc>
        <w:tc>
          <w:tcPr>
            <w:tcW w:w="1021" w:type="pct"/>
            <w:noWrap w:val="0"/>
            <w:vAlign w:val="center"/>
          </w:tcPr>
          <w:p w14:paraId="4790DC88">
            <w:pPr>
              <w:pStyle w:val="104"/>
              <w:rPr>
                <w:rFonts w:hint="default" w:ascii="Times New Roman" w:hAnsi="Times New Roman" w:eastAsia="宋体" w:cs="Times New Roman"/>
              </w:rPr>
            </w:pPr>
            <w:r>
              <w:rPr>
                <w:rFonts w:hint="default" w:ascii="Times New Roman" w:hAnsi="Times New Roman" w:eastAsia="宋体" w:cs="Times New Roman"/>
              </w:rPr>
              <w:t>78</w:t>
            </w:r>
          </w:p>
        </w:tc>
        <w:tc>
          <w:tcPr>
            <w:tcW w:w="1078" w:type="pct"/>
            <w:noWrap w:val="0"/>
            <w:vAlign w:val="center"/>
          </w:tcPr>
          <w:p w14:paraId="1E182EE3">
            <w:pPr>
              <w:pStyle w:val="104"/>
              <w:rPr>
                <w:rFonts w:hint="default" w:ascii="Times New Roman" w:hAnsi="Times New Roman" w:eastAsia="宋体" w:cs="Times New Roman"/>
              </w:rPr>
            </w:pPr>
          </w:p>
        </w:tc>
      </w:tr>
      <w:tr w14:paraId="687C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D005231">
            <w:pPr>
              <w:pStyle w:val="104"/>
              <w:rPr>
                <w:rFonts w:hint="default" w:ascii="Times New Roman" w:hAnsi="Times New Roman" w:eastAsia="宋体" w:cs="Times New Roman"/>
              </w:rPr>
            </w:pPr>
            <w:r>
              <w:rPr>
                <w:rFonts w:hint="default" w:ascii="Times New Roman" w:hAnsi="Times New Roman" w:eastAsia="宋体" w:cs="Times New Roman"/>
              </w:rPr>
              <w:t>12</w:t>
            </w:r>
          </w:p>
        </w:tc>
        <w:tc>
          <w:tcPr>
            <w:tcW w:w="1592" w:type="pct"/>
            <w:noWrap w:val="0"/>
            <w:vAlign w:val="center"/>
          </w:tcPr>
          <w:p w14:paraId="45D1BDE9">
            <w:pPr>
              <w:pStyle w:val="104"/>
              <w:rPr>
                <w:rFonts w:hint="default" w:ascii="Times New Roman" w:hAnsi="Times New Roman" w:eastAsia="宋体" w:cs="Times New Roman"/>
              </w:rPr>
            </w:pPr>
            <w:r>
              <w:rPr>
                <w:rFonts w:hint="default" w:ascii="Times New Roman" w:hAnsi="Times New Roman" w:eastAsia="宋体" w:cs="Times New Roman"/>
              </w:rPr>
              <w:t>剥采方法</w:t>
            </w:r>
          </w:p>
        </w:tc>
        <w:tc>
          <w:tcPr>
            <w:tcW w:w="596" w:type="pct"/>
            <w:noWrap w:val="0"/>
            <w:vAlign w:val="center"/>
          </w:tcPr>
          <w:p w14:paraId="727C7A08">
            <w:pPr>
              <w:pStyle w:val="104"/>
              <w:rPr>
                <w:rFonts w:hint="default" w:ascii="Times New Roman" w:hAnsi="Times New Roman" w:eastAsia="宋体" w:cs="Times New Roman"/>
              </w:rPr>
            </w:pPr>
          </w:p>
        </w:tc>
        <w:tc>
          <w:tcPr>
            <w:tcW w:w="1021" w:type="pct"/>
            <w:noWrap w:val="0"/>
            <w:vAlign w:val="center"/>
          </w:tcPr>
          <w:p w14:paraId="575C378C">
            <w:pPr>
              <w:pStyle w:val="104"/>
              <w:rPr>
                <w:rFonts w:hint="default" w:ascii="Times New Roman" w:hAnsi="Times New Roman" w:eastAsia="宋体" w:cs="Times New Roman"/>
              </w:rPr>
            </w:pPr>
            <w:r>
              <w:rPr>
                <w:rFonts w:hint="default" w:ascii="Times New Roman" w:hAnsi="Times New Roman" w:eastAsia="宋体" w:cs="Times New Roman"/>
              </w:rPr>
              <w:t>分台阶开采</w:t>
            </w:r>
          </w:p>
        </w:tc>
        <w:tc>
          <w:tcPr>
            <w:tcW w:w="1078" w:type="pct"/>
            <w:noWrap w:val="0"/>
            <w:vAlign w:val="center"/>
          </w:tcPr>
          <w:p w14:paraId="4EF03802">
            <w:pPr>
              <w:pStyle w:val="104"/>
              <w:rPr>
                <w:rFonts w:hint="default" w:ascii="Times New Roman" w:hAnsi="Times New Roman" w:eastAsia="宋体" w:cs="Times New Roman"/>
              </w:rPr>
            </w:pPr>
          </w:p>
        </w:tc>
      </w:tr>
      <w:tr w14:paraId="208C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C34FAD9">
            <w:pPr>
              <w:pStyle w:val="104"/>
              <w:rPr>
                <w:rFonts w:hint="default" w:ascii="Times New Roman" w:hAnsi="Times New Roman" w:eastAsia="宋体" w:cs="Times New Roman"/>
              </w:rPr>
            </w:pPr>
            <w:r>
              <w:rPr>
                <w:rFonts w:hint="default" w:ascii="Times New Roman" w:hAnsi="Times New Roman" w:eastAsia="宋体" w:cs="Times New Roman"/>
              </w:rPr>
              <w:t>13</w:t>
            </w:r>
          </w:p>
        </w:tc>
        <w:tc>
          <w:tcPr>
            <w:tcW w:w="1592" w:type="pct"/>
            <w:noWrap w:val="0"/>
            <w:vAlign w:val="center"/>
          </w:tcPr>
          <w:p w14:paraId="68779C69">
            <w:pPr>
              <w:pStyle w:val="104"/>
              <w:rPr>
                <w:rFonts w:hint="default" w:ascii="Times New Roman" w:hAnsi="Times New Roman" w:eastAsia="宋体" w:cs="Times New Roman"/>
              </w:rPr>
            </w:pPr>
            <w:r>
              <w:rPr>
                <w:rFonts w:hint="default" w:ascii="Times New Roman" w:hAnsi="Times New Roman" w:eastAsia="宋体" w:cs="Times New Roman"/>
              </w:rPr>
              <w:t>矿山服务年限</w:t>
            </w:r>
          </w:p>
        </w:tc>
        <w:tc>
          <w:tcPr>
            <w:tcW w:w="596" w:type="pct"/>
            <w:noWrap w:val="0"/>
            <w:vAlign w:val="center"/>
          </w:tcPr>
          <w:p w14:paraId="0052A2E7">
            <w:pPr>
              <w:pStyle w:val="104"/>
              <w:rPr>
                <w:rFonts w:hint="default" w:ascii="Times New Roman" w:hAnsi="Times New Roman" w:eastAsia="宋体" w:cs="Times New Roman"/>
              </w:rPr>
            </w:pPr>
            <w:r>
              <w:rPr>
                <w:rFonts w:hint="default" w:ascii="Times New Roman" w:hAnsi="Times New Roman" w:eastAsia="宋体" w:cs="Times New Roman"/>
              </w:rPr>
              <w:t>a</w:t>
            </w:r>
          </w:p>
        </w:tc>
        <w:tc>
          <w:tcPr>
            <w:tcW w:w="1021" w:type="pct"/>
            <w:noWrap w:val="0"/>
            <w:vAlign w:val="center"/>
          </w:tcPr>
          <w:p w14:paraId="15F55851">
            <w:pPr>
              <w:pStyle w:val="104"/>
              <w:rPr>
                <w:rFonts w:hint="default" w:ascii="Times New Roman" w:hAnsi="Times New Roman" w:eastAsia="宋体" w:cs="Times New Roman"/>
              </w:rPr>
            </w:pPr>
            <w:r>
              <w:rPr>
                <w:rFonts w:hint="default" w:ascii="Times New Roman" w:hAnsi="Times New Roman" w:eastAsia="宋体" w:cs="Times New Roman"/>
              </w:rPr>
              <w:t>6.7</w:t>
            </w:r>
          </w:p>
        </w:tc>
        <w:tc>
          <w:tcPr>
            <w:tcW w:w="1078" w:type="pct"/>
            <w:noWrap w:val="0"/>
            <w:vAlign w:val="center"/>
          </w:tcPr>
          <w:p w14:paraId="7DB2E76A">
            <w:pPr>
              <w:pStyle w:val="104"/>
              <w:rPr>
                <w:rFonts w:hint="default" w:ascii="Times New Roman" w:hAnsi="Times New Roman" w:eastAsia="宋体" w:cs="Times New Roman"/>
              </w:rPr>
            </w:pPr>
          </w:p>
        </w:tc>
      </w:tr>
      <w:tr w14:paraId="370D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66D9E78">
            <w:pPr>
              <w:pStyle w:val="104"/>
              <w:rPr>
                <w:rFonts w:hint="default" w:ascii="Times New Roman" w:hAnsi="Times New Roman" w:eastAsia="宋体" w:cs="Times New Roman"/>
              </w:rPr>
            </w:pPr>
            <w:r>
              <w:rPr>
                <w:rFonts w:hint="default" w:ascii="Times New Roman" w:hAnsi="Times New Roman" w:eastAsia="宋体" w:cs="Times New Roman"/>
              </w:rPr>
              <w:t>13.1</w:t>
            </w:r>
          </w:p>
        </w:tc>
        <w:tc>
          <w:tcPr>
            <w:tcW w:w="1592" w:type="pct"/>
            <w:noWrap w:val="0"/>
            <w:vAlign w:val="center"/>
          </w:tcPr>
          <w:p w14:paraId="459FDDC8">
            <w:pPr>
              <w:pStyle w:val="104"/>
              <w:rPr>
                <w:rFonts w:hint="default" w:ascii="Times New Roman" w:hAnsi="Times New Roman" w:eastAsia="宋体" w:cs="Times New Roman"/>
              </w:rPr>
            </w:pPr>
            <w:r>
              <w:rPr>
                <w:rFonts w:hint="default" w:ascii="Times New Roman" w:hAnsi="Times New Roman" w:eastAsia="宋体" w:cs="Times New Roman"/>
              </w:rPr>
              <w:t>其中：达产年限</w:t>
            </w:r>
          </w:p>
        </w:tc>
        <w:tc>
          <w:tcPr>
            <w:tcW w:w="596" w:type="pct"/>
            <w:noWrap w:val="0"/>
            <w:vAlign w:val="center"/>
          </w:tcPr>
          <w:p w14:paraId="6FCD4A68">
            <w:pPr>
              <w:pStyle w:val="104"/>
              <w:rPr>
                <w:rFonts w:hint="default" w:ascii="Times New Roman" w:hAnsi="Times New Roman" w:eastAsia="宋体" w:cs="Times New Roman"/>
              </w:rPr>
            </w:pPr>
            <w:r>
              <w:rPr>
                <w:rFonts w:hint="default" w:ascii="Times New Roman" w:hAnsi="Times New Roman" w:eastAsia="宋体" w:cs="Times New Roman"/>
              </w:rPr>
              <w:t>a</w:t>
            </w:r>
          </w:p>
        </w:tc>
        <w:tc>
          <w:tcPr>
            <w:tcW w:w="1021" w:type="pct"/>
            <w:noWrap w:val="0"/>
            <w:vAlign w:val="center"/>
          </w:tcPr>
          <w:p w14:paraId="21CB1D08">
            <w:pPr>
              <w:pStyle w:val="104"/>
              <w:rPr>
                <w:rFonts w:hint="default" w:ascii="Times New Roman" w:hAnsi="Times New Roman" w:eastAsia="宋体" w:cs="Times New Roman"/>
              </w:rPr>
            </w:pPr>
            <w:r>
              <w:rPr>
                <w:rFonts w:hint="default" w:ascii="Times New Roman" w:hAnsi="Times New Roman" w:eastAsia="宋体" w:cs="Times New Roman"/>
              </w:rPr>
              <w:t>6</w:t>
            </w:r>
          </w:p>
        </w:tc>
        <w:tc>
          <w:tcPr>
            <w:tcW w:w="1078" w:type="pct"/>
            <w:noWrap w:val="0"/>
            <w:vAlign w:val="center"/>
          </w:tcPr>
          <w:p w14:paraId="4533F989">
            <w:pPr>
              <w:pStyle w:val="104"/>
              <w:rPr>
                <w:rFonts w:hint="default" w:ascii="Times New Roman" w:hAnsi="Times New Roman" w:eastAsia="宋体" w:cs="Times New Roman"/>
              </w:rPr>
            </w:pPr>
          </w:p>
        </w:tc>
      </w:tr>
      <w:tr w14:paraId="64D0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A55152F">
            <w:pPr>
              <w:pStyle w:val="104"/>
              <w:rPr>
                <w:rFonts w:hint="default" w:ascii="Times New Roman" w:hAnsi="Times New Roman" w:eastAsia="宋体" w:cs="Times New Roman"/>
              </w:rPr>
            </w:pPr>
            <w:r>
              <w:rPr>
                <w:rFonts w:hint="default" w:ascii="Times New Roman" w:hAnsi="Times New Roman" w:eastAsia="宋体" w:cs="Times New Roman"/>
              </w:rPr>
              <w:t>14</w:t>
            </w:r>
          </w:p>
        </w:tc>
        <w:tc>
          <w:tcPr>
            <w:tcW w:w="1592" w:type="pct"/>
            <w:noWrap w:val="0"/>
            <w:vAlign w:val="center"/>
          </w:tcPr>
          <w:p w14:paraId="30500714">
            <w:pPr>
              <w:pStyle w:val="104"/>
              <w:rPr>
                <w:rFonts w:hint="default" w:ascii="Times New Roman" w:hAnsi="Times New Roman" w:eastAsia="宋体" w:cs="Times New Roman"/>
              </w:rPr>
            </w:pPr>
            <w:r>
              <w:rPr>
                <w:rFonts w:hint="default" w:ascii="Times New Roman" w:hAnsi="Times New Roman" w:eastAsia="宋体" w:cs="Times New Roman"/>
              </w:rPr>
              <w:t>矿山工作制度</w:t>
            </w:r>
          </w:p>
        </w:tc>
        <w:tc>
          <w:tcPr>
            <w:tcW w:w="596" w:type="pct"/>
            <w:noWrap w:val="0"/>
            <w:vAlign w:val="center"/>
          </w:tcPr>
          <w:p w14:paraId="345C18B7">
            <w:pPr>
              <w:pStyle w:val="104"/>
              <w:rPr>
                <w:rFonts w:hint="default" w:ascii="Times New Roman" w:hAnsi="Times New Roman" w:eastAsia="宋体" w:cs="Times New Roman"/>
              </w:rPr>
            </w:pPr>
            <w:r>
              <w:rPr>
                <w:rFonts w:hint="default" w:ascii="Times New Roman" w:hAnsi="Times New Roman" w:eastAsia="宋体" w:cs="Times New Roman"/>
              </w:rPr>
              <w:t>d/a</w:t>
            </w:r>
          </w:p>
        </w:tc>
        <w:tc>
          <w:tcPr>
            <w:tcW w:w="1021" w:type="pct"/>
            <w:noWrap w:val="0"/>
            <w:vAlign w:val="center"/>
          </w:tcPr>
          <w:p w14:paraId="169A6D77">
            <w:pPr>
              <w:pStyle w:val="104"/>
              <w:rPr>
                <w:rFonts w:hint="default" w:ascii="Times New Roman" w:hAnsi="Times New Roman" w:eastAsia="宋体" w:cs="Times New Roman"/>
              </w:rPr>
            </w:pPr>
            <w:r>
              <w:rPr>
                <w:rFonts w:hint="default" w:ascii="Times New Roman" w:hAnsi="Times New Roman" w:eastAsia="宋体" w:cs="Times New Roman"/>
              </w:rPr>
              <w:t>300</w:t>
            </w:r>
          </w:p>
        </w:tc>
        <w:tc>
          <w:tcPr>
            <w:tcW w:w="1078" w:type="pct"/>
            <w:noWrap w:val="0"/>
            <w:vAlign w:val="center"/>
          </w:tcPr>
          <w:p w14:paraId="53DA5D83">
            <w:pPr>
              <w:pStyle w:val="104"/>
              <w:rPr>
                <w:rFonts w:hint="default" w:ascii="Times New Roman" w:hAnsi="Times New Roman" w:eastAsia="宋体" w:cs="Times New Roman"/>
              </w:rPr>
            </w:pPr>
          </w:p>
        </w:tc>
      </w:tr>
      <w:tr w14:paraId="4D07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1E7F7A7">
            <w:pPr>
              <w:pStyle w:val="104"/>
              <w:rPr>
                <w:rFonts w:hint="default" w:ascii="Times New Roman" w:hAnsi="Times New Roman" w:eastAsia="宋体" w:cs="Times New Roman"/>
              </w:rPr>
            </w:pPr>
            <w:r>
              <w:rPr>
                <w:rFonts w:hint="default" w:ascii="Times New Roman" w:hAnsi="Times New Roman" w:eastAsia="宋体" w:cs="Times New Roman"/>
              </w:rPr>
              <w:t>14.1</w:t>
            </w:r>
          </w:p>
        </w:tc>
        <w:tc>
          <w:tcPr>
            <w:tcW w:w="1592" w:type="pct"/>
            <w:noWrap w:val="0"/>
            <w:vAlign w:val="center"/>
          </w:tcPr>
          <w:p w14:paraId="6AB6414B">
            <w:pPr>
              <w:pStyle w:val="104"/>
              <w:rPr>
                <w:rFonts w:hint="default" w:ascii="Times New Roman" w:hAnsi="Times New Roman" w:eastAsia="宋体" w:cs="Times New Roman"/>
              </w:rPr>
            </w:pPr>
          </w:p>
        </w:tc>
        <w:tc>
          <w:tcPr>
            <w:tcW w:w="596" w:type="pct"/>
            <w:noWrap w:val="0"/>
            <w:vAlign w:val="center"/>
          </w:tcPr>
          <w:p w14:paraId="1F357A3B">
            <w:pPr>
              <w:pStyle w:val="104"/>
              <w:rPr>
                <w:rFonts w:hint="default" w:ascii="Times New Roman" w:hAnsi="Times New Roman" w:eastAsia="宋体" w:cs="Times New Roman"/>
              </w:rPr>
            </w:pPr>
            <w:r>
              <w:rPr>
                <w:rFonts w:hint="default" w:ascii="Times New Roman" w:hAnsi="Times New Roman" w:eastAsia="宋体" w:cs="Times New Roman"/>
              </w:rPr>
              <w:t>班/d</w:t>
            </w:r>
          </w:p>
        </w:tc>
        <w:tc>
          <w:tcPr>
            <w:tcW w:w="1021" w:type="pct"/>
            <w:noWrap w:val="0"/>
            <w:vAlign w:val="center"/>
          </w:tcPr>
          <w:p w14:paraId="61F80E90">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078" w:type="pct"/>
            <w:noWrap w:val="0"/>
            <w:vAlign w:val="center"/>
          </w:tcPr>
          <w:p w14:paraId="70E3DB6F">
            <w:pPr>
              <w:pStyle w:val="104"/>
              <w:rPr>
                <w:rFonts w:hint="default" w:ascii="Times New Roman" w:hAnsi="Times New Roman" w:eastAsia="宋体" w:cs="Times New Roman"/>
              </w:rPr>
            </w:pPr>
          </w:p>
        </w:tc>
      </w:tr>
      <w:tr w14:paraId="2623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EF1D3C6">
            <w:pPr>
              <w:pStyle w:val="104"/>
              <w:rPr>
                <w:rFonts w:hint="default" w:ascii="Times New Roman" w:hAnsi="Times New Roman" w:eastAsia="宋体" w:cs="Times New Roman"/>
              </w:rPr>
            </w:pPr>
            <w:r>
              <w:rPr>
                <w:rFonts w:hint="default" w:ascii="Times New Roman" w:hAnsi="Times New Roman" w:eastAsia="宋体" w:cs="Times New Roman"/>
              </w:rPr>
              <w:t>14.2</w:t>
            </w:r>
          </w:p>
        </w:tc>
        <w:tc>
          <w:tcPr>
            <w:tcW w:w="1592" w:type="pct"/>
            <w:noWrap w:val="0"/>
            <w:vAlign w:val="center"/>
          </w:tcPr>
          <w:p w14:paraId="081DBFB8">
            <w:pPr>
              <w:pStyle w:val="104"/>
              <w:rPr>
                <w:rFonts w:hint="default" w:ascii="Times New Roman" w:hAnsi="Times New Roman" w:eastAsia="宋体" w:cs="Times New Roman"/>
              </w:rPr>
            </w:pPr>
          </w:p>
        </w:tc>
        <w:tc>
          <w:tcPr>
            <w:tcW w:w="596" w:type="pct"/>
            <w:noWrap w:val="0"/>
            <w:vAlign w:val="center"/>
          </w:tcPr>
          <w:p w14:paraId="6FDA09ED">
            <w:pPr>
              <w:pStyle w:val="104"/>
              <w:rPr>
                <w:rFonts w:hint="default" w:ascii="Times New Roman" w:hAnsi="Times New Roman" w:eastAsia="宋体" w:cs="Times New Roman"/>
              </w:rPr>
            </w:pPr>
            <w:r>
              <w:rPr>
                <w:rFonts w:hint="default" w:ascii="Times New Roman" w:hAnsi="Times New Roman" w:eastAsia="宋体" w:cs="Times New Roman"/>
              </w:rPr>
              <w:t>h/班</w:t>
            </w:r>
          </w:p>
        </w:tc>
        <w:tc>
          <w:tcPr>
            <w:tcW w:w="1021" w:type="pct"/>
            <w:noWrap w:val="0"/>
            <w:vAlign w:val="center"/>
          </w:tcPr>
          <w:p w14:paraId="0A4FFDB4">
            <w:pPr>
              <w:pStyle w:val="104"/>
              <w:rPr>
                <w:rFonts w:hint="default" w:ascii="Times New Roman" w:hAnsi="Times New Roman" w:eastAsia="宋体" w:cs="Times New Roman"/>
              </w:rPr>
            </w:pPr>
            <w:r>
              <w:rPr>
                <w:rFonts w:hint="default" w:ascii="Times New Roman" w:hAnsi="Times New Roman" w:eastAsia="宋体" w:cs="Times New Roman"/>
              </w:rPr>
              <w:t>8</w:t>
            </w:r>
          </w:p>
        </w:tc>
        <w:tc>
          <w:tcPr>
            <w:tcW w:w="1078" w:type="pct"/>
            <w:noWrap w:val="0"/>
            <w:vAlign w:val="center"/>
          </w:tcPr>
          <w:p w14:paraId="017B9608">
            <w:pPr>
              <w:pStyle w:val="104"/>
              <w:rPr>
                <w:rFonts w:hint="default" w:ascii="Times New Roman" w:hAnsi="Times New Roman" w:eastAsia="宋体" w:cs="Times New Roman"/>
              </w:rPr>
            </w:pPr>
          </w:p>
        </w:tc>
      </w:tr>
      <w:tr w14:paraId="7B8C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4E0F813">
            <w:pPr>
              <w:pStyle w:val="104"/>
              <w:rPr>
                <w:rFonts w:hint="default" w:ascii="Times New Roman" w:hAnsi="Times New Roman" w:eastAsia="宋体" w:cs="Times New Roman"/>
              </w:rPr>
            </w:pPr>
            <w:r>
              <w:rPr>
                <w:rFonts w:hint="default" w:ascii="Times New Roman" w:hAnsi="Times New Roman" w:eastAsia="宋体" w:cs="Times New Roman"/>
              </w:rPr>
              <w:t>三</w:t>
            </w:r>
          </w:p>
        </w:tc>
        <w:tc>
          <w:tcPr>
            <w:tcW w:w="1592" w:type="pct"/>
            <w:noWrap w:val="0"/>
            <w:vAlign w:val="center"/>
          </w:tcPr>
          <w:p w14:paraId="6589F5C1">
            <w:pPr>
              <w:pStyle w:val="104"/>
              <w:rPr>
                <w:rFonts w:hint="default" w:ascii="Times New Roman" w:hAnsi="Times New Roman" w:eastAsia="宋体" w:cs="Times New Roman"/>
              </w:rPr>
            </w:pPr>
            <w:r>
              <w:rPr>
                <w:rFonts w:hint="default" w:ascii="Times New Roman" w:hAnsi="Times New Roman" w:eastAsia="宋体" w:cs="Times New Roman"/>
              </w:rPr>
              <w:t>总图</w:t>
            </w:r>
          </w:p>
        </w:tc>
        <w:tc>
          <w:tcPr>
            <w:tcW w:w="596" w:type="pct"/>
            <w:noWrap w:val="0"/>
            <w:vAlign w:val="center"/>
          </w:tcPr>
          <w:p w14:paraId="10E8DC29">
            <w:pPr>
              <w:pStyle w:val="104"/>
              <w:rPr>
                <w:rFonts w:hint="default" w:ascii="Times New Roman" w:hAnsi="Times New Roman" w:eastAsia="宋体" w:cs="Times New Roman"/>
              </w:rPr>
            </w:pPr>
          </w:p>
        </w:tc>
        <w:tc>
          <w:tcPr>
            <w:tcW w:w="1021" w:type="pct"/>
            <w:noWrap w:val="0"/>
            <w:vAlign w:val="center"/>
          </w:tcPr>
          <w:p w14:paraId="0E01C53F">
            <w:pPr>
              <w:pStyle w:val="104"/>
              <w:rPr>
                <w:rFonts w:hint="default" w:ascii="Times New Roman" w:hAnsi="Times New Roman" w:eastAsia="宋体" w:cs="Times New Roman"/>
              </w:rPr>
            </w:pPr>
          </w:p>
        </w:tc>
        <w:tc>
          <w:tcPr>
            <w:tcW w:w="1078" w:type="pct"/>
            <w:noWrap w:val="0"/>
            <w:vAlign w:val="center"/>
          </w:tcPr>
          <w:p w14:paraId="28A35BCB">
            <w:pPr>
              <w:pStyle w:val="104"/>
              <w:rPr>
                <w:rFonts w:hint="default" w:ascii="Times New Roman" w:hAnsi="Times New Roman" w:eastAsia="宋体" w:cs="Times New Roman"/>
              </w:rPr>
            </w:pPr>
          </w:p>
        </w:tc>
      </w:tr>
      <w:tr w14:paraId="36F6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D2734BA">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53809BE8">
            <w:pPr>
              <w:pStyle w:val="104"/>
              <w:rPr>
                <w:rFonts w:hint="default" w:ascii="Times New Roman" w:hAnsi="Times New Roman" w:eastAsia="宋体" w:cs="Times New Roman"/>
              </w:rPr>
            </w:pPr>
            <w:r>
              <w:rPr>
                <w:rFonts w:hint="default" w:ascii="Times New Roman" w:hAnsi="Times New Roman" w:eastAsia="宋体" w:cs="Times New Roman"/>
              </w:rPr>
              <w:t>占地面积</w:t>
            </w:r>
          </w:p>
        </w:tc>
        <w:tc>
          <w:tcPr>
            <w:tcW w:w="596" w:type="pct"/>
            <w:noWrap w:val="0"/>
            <w:vAlign w:val="center"/>
          </w:tcPr>
          <w:p w14:paraId="1112F715">
            <w:pPr>
              <w:pStyle w:val="104"/>
              <w:rPr>
                <w:rFonts w:hint="default" w:ascii="Times New Roman" w:hAnsi="Times New Roman" w:eastAsia="宋体" w:cs="Times New Roman"/>
              </w:rPr>
            </w:pPr>
            <w:r>
              <w:rPr>
                <w:rFonts w:hint="default" w:ascii="Times New Roman" w:hAnsi="Times New Roman" w:eastAsia="宋体" w:cs="Times New Roman"/>
              </w:rPr>
              <w:t>亩</w:t>
            </w:r>
          </w:p>
        </w:tc>
        <w:tc>
          <w:tcPr>
            <w:tcW w:w="1021" w:type="pct"/>
            <w:noWrap w:val="0"/>
            <w:vAlign w:val="center"/>
          </w:tcPr>
          <w:p w14:paraId="6397A653">
            <w:pPr>
              <w:pStyle w:val="104"/>
              <w:rPr>
                <w:rFonts w:hint="default" w:ascii="Times New Roman" w:hAnsi="Times New Roman" w:eastAsia="宋体" w:cs="Times New Roman"/>
              </w:rPr>
            </w:pPr>
            <w:r>
              <w:rPr>
                <w:rFonts w:hint="default" w:ascii="Times New Roman" w:hAnsi="Times New Roman" w:eastAsia="宋体" w:cs="Times New Roman"/>
              </w:rPr>
              <w:t>20</w:t>
            </w:r>
          </w:p>
        </w:tc>
        <w:tc>
          <w:tcPr>
            <w:tcW w:w="1078" w:type="pct"/>
            <w:noWrap w:val="0"/>
            <w:vAlign w:val="center"/>
          </w:tcPr>
          <w:p w14:paraId="099DF238">
            <w:pPr>
              <w:pStyle w:val="104"/>
              <w:rPr>
                <w:rFonts w:hint="default" w:ascii="Times New Roman" w:hAnsi="Times New Roman" w:eastAsia="宋体" w:cs="Times New Roman"/>
              </w:rPr>
            </w:pPr>
          </w:p>
        </w:tc>
      </w:tr>
      <w:tr w14:paraId="1BE7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441F9886">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92" w:type="pct"/>
            <w:noWrap w:val="0"/>
            <w:vAlign w:val="center"/>
          </w:tcPr>
          <w:p w14:paraId="1ED1D90D">
            <w:pPr>
              <w:pStyle w:val="104"/>
              <w:rPr>
                <w:rFonts w:hint="default" w:ascii="Times New Roman" w:hAnsi="Times New Roman" w:eastAsia="宋体" w:cs="Times New Roman"/>
              </w:rPr>
            </w:pPr>
            <w:r>
              <w:rPr>
                <w:rFonts w:hint="default" w:ascii="Times New Roman" w:hAnsi="Times New Roman" w:eastAsia="宋体" w:cs="Times New Roman"/>
              </w:rPr>
              <w:t>土石方工程量</w:t>
            </w:r>
          </w:p>
        </w:tc>
        <w:tc>
          <w:tcPr>
            <w:tcW w:w="596" w:type="pct"/>
            <w:noWrap w:val="0"/>
            <w:vAlign w:val="center"/>
          </w:tcPr>
          <w:p w14:paraId="78EF7982">
            <w:pPr>
              <w:pStyle w:val="104"/>
              <w:rPr>
                <w:rFonts w:hint="default" w:ascii="Times New Roman" w:hAnsi="Times New Roman" w:eastAsia="宋体" w:cs="Times New Roman"/>
              </w:rPr>
            </w:pPr>
          </w:p>
        </w:tc>
        <w:tc>
          <w:tcPr>
            <w:tcW w:w="1021" w:type="pct"/>
            <w:noWrap w:val="0"/>
            <w:vAlign w:val="center"/>
          </w:tcPr>
          <w:p w14:paraId="3B68FCEC">
            <w:pPr>
              <w:pStyle w:val="104"/>
              <w:rPr>
                <w:rFonts w:hint="default" w:ascii="Times New Roman" w:hAnsi="Times New Roman" w:eastAsia="宋体" w:cs="Times New Roman"/>
              </w:rPr>
            </w:pPr>
          </w:p>
        </w:tc>
        <w:tc>
          <w:tcPr>
            <w:tcW w:w="1078" w:type="pct"/>
            <w:noWrap w:val="0"/>
            <w:vAlign w:val="center"/>
          </w:tcPr>
          <w:p w14:paraId="56C17D92">
            <w:pPr>
              <w:pStyle w:val="104"/>
              <w:rPr>
                <w:rFonts w:hint="default" w:ascii="Times New Roman" w:hAnsi="Times New Roman" w:eastAsia="宋体" w:cs="Times New Roman"/>
              </w:rPr>
            </w:pPr>
          </w:p>
        </w:tc>
      </w:tr>
      <w:tr w14:paraId="13BC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7E627EA">
            <w:pPr>
              <w:pStyle w:val="104"/>
              <w:rPr>
                <w:rFonts w:hint="default" w:ascii="Times New Roman" w:hAnsi="Times New Roman" w:eastAsia="宋体" w:cs="Times New Roman"/>
              </w:rPr>
            </w:pPr>
            <w:r>
              <w:rPr>
                <w:rFonts w:hint="default" w:ascii="Times New Roman" w:hAnsi="Times New Roman" w:eastAsia="宋体" w:cs="Times New Roman"/>
              </w:rPr>
              <w:t>3</w:t>
            </w:r>
          </w:p>
        </w:tc>
        <w:tc>
          <w:tcPr>
            <w:tcW w:w="1592" w:type="pct"/>
            <w:noWrap w:val="0"/>
            <w:vAlign w:val="center"/>
          </w:tcPr>
          <w:p w14:paraId="4EB5D493">
            <w:pPr>
              <w:pStyle w:val="104"/>
              <w:rPr>
                <w:rFonts w:hint="default" w:ascii="Times New Roman" w:hAnsi="Times New Roman" w:eastAsia="宋体" w:cs="Times New Roman"/>
              </w:rPr>
            </w:pPr>
            <w:r>
              <w:rPr>
                <w:rFonts w:hint="default" w:ascii="Times New Roman" w:hAnsi="Times New Roman" w:eastAsia="宋体" w:cs="Times New Roman"/>
              </w:rPr>
              <w:t>挖方</w:t>
            </w:r>
          </w:p>
        </w:tc>
        <w:tc>
          <w:tcPr>
            <w:tcW w:w="596" w:type="pct"/>
            <w:noWrap w:val="0"/>
            <w:vAlign w:val="center"/>
          </w:tcPr>
          <w:p w14:paraId="7F6678DF">
            <w:pPr>
              <w:pStyle w:val="104"/>
              <w:rPr>
                <w:rFonts w:hint="default" w:ascii="Times New Roman" w:hAnsi="Times New Roman" w:eastAsia="宋体" w:cs="Times New Roman"/>
              </w:rPr>
            </w:pPr>
            <w:r>
              <w:rPr>
                <w:rFonts w:hint="default" w:ascii="Times New Roman" w:hAnsi="Times New Roman" w:eastAsia="宋体" w:cs="Times New Roman"/>
              </w:rPr>
              <w:t>万m</w:t>
            </w:r>
            <w:r>
              <w:rPr>
                <w:rFonts w:hint="default" w:ascii="Times New Roman" w:hAnsi="Times New Roman" w:eastAsia="宋体" w:cs="Times New Roman"/>
                <w:vertAlign w:val="superscript"/>
              </w:rPr>
              <w:t>3</w:t>
            </w:r>
          </w:p>
        </w:tc>
        <w:tc>
          <w:tcPr>
            <w:tcW w:w="1021" w:type="pct"/>
            <w:noWrap w:val="0"/>
            <w:vAlign w:val="center"/>
          </w:tcPr>
          <w:p w14:paraId="03AED986">
            <w:pPr>
              <w:pStyle w:val="104"/>
              <w:rPr>
                <w:rFonts w:hint="default" w:ascii="Times New Roman" w:hAnsi="Times New Roman" w:eastAsia="宋体" w:cs="Times New Roman"/>
              </w:rPr>
            </w:pPr>
            <w:r>
              <w:rPr>
                <w:rFonts w:hint="default" w:ascii="Times New Roman" w:hAnsi="Times New Roman" w:eastAsia="宋体" w:cs="Times New Roman"/>
              </w:rPr>
              <w:t>1.20</w:t>
            </w:r>
          </w:p>
        </w:tc>
        <w:tc>
          <w:tcPr>
            <w:tcW w:w="1078" w:type="pct"/>
            <w:noWrap w:val="0"/>
            <w:vAlign w:val="center"/>
          </w:tcPr>
          <w:p w14:paraId="20E3003A">
            <w:pPr>
              <w:pStyle w:val="104"/>
              <w:rPr>
                <w:rFonts w:hint="default" w:ascii="Times New Roman" w:hAnsi="Times New Roman" w:eastAsia="宋体" w:cs="Times New Roman"/>
              </w:rPr>
            </w:pPr>
          </w:p>
        </w:tc>
      </w:tr>
      <w:tr w14:paraId="0E0C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7BB5810">
            <w:pPr>
              <w:pStyle w:val="104"/>
              <w:rPr>
                <w:rFonts w:hint="default" w:ascii="Times New Roman" w:hAnsi="Times New Roman" w:eastAsia="宋体" w:cs="Times New Roman"/>
              </w:rPr>
            </w:pPr>
            <w:r>
              <w:rPr>
                <w:rFonts w:hint="default" w:ascii="Times New Roman" w:hAnsi="Times New Roman" w:eastAsia="宋体" w:cs="Times New Roman"/>
              </w:rPr>
              <w:t>4</w:t>
            </w:r>
          </w:p>
        </w:tc>
        <w:tc>
          <w:tcPr>
            <w:tcW w:w="1592" w:type="pct"/>
            <w:noWrap w:val="0"/>
            <w:vAlign w:val="center"/>
          </w:tcPr>
          <w:p w14:paraId="4C1FD303">
            <w:pPr>
              <w:pStyle w:val="104"/>
              <w:rPr>
                <w:rFonts w:hint="default" w:ascii="Times New Roman" w:hAnsi="Times New Roman" w:eastAsia="宋体" w:cs="Times New Roman"/>
              </w:rPr>
            </w:pPr>
            <w:r>
              <w:rPr>
                <w:rFonts w:hint="default" w:ascii="Times New Roman" w:hAnsi="Times New Roman" w:eastAsia="宋体" w:cs="Times New Roman"/>
              </w:rPr>
              <w:t>填方</w:t>
            </w:r>
          </w:p>
        </w:tc>
        <w:tc>
          <w:tcPr>
            <w:tcW w:w="596" w:type="pct"/>
            <w:noWrap w:val="0"/>
            <w:vAlign w:val="center"/>
          </w:tcPr>
          <w:p w14:paraId="5A9794CE">
            <w:pPr>
              <w:pStyle w:val="104"/>
              <w:rPr>
                <w:rFonts w:hint="default" w:ascii="Times New Roman" w:hAnsi="Times New Roman" w:eastAsia="宋体" w:cs="Times New Roman"/>
              </w:rPr>
            </w:pPr>
            <w:r>
              <w:rPr>
                <w:rFonts w:hint="default" w:ascii="Times New Roman" w:hAnsi="Times New Roman" w:eastAsia="宋体" w:cs="Times New Roman"/>
              </w:rPr>
              <w:t>万m</w:t>
            </w:r>
            <w:r>
              <w:rPr>
                <w:rFonts w:hint="default" w:ascii="Times New Roman" w:hAnsi="Times New Roman" w:eastAsia="宋体" w:cs="Times New Roman"/>
                <w:vertAlign w:val="superscript"/>
              </w:rPr>
              <w:t>3</w:t>
            </w:r>
          </w:p>
        </w:tc>
        <w:tc>
          <w:tcPr>
            <w:tcW w:w="1021" w:type="pct"/>
            <w:noWrap w:val="0"/>
            <w:vAlign w:val="center"/>
          </w:tcPr>
          <w:p w14:paraId="4415FA46">
            <w:pPr>
              <w:pStyle w:val="104"/>
              <w:rPr>
                <w:rFonts w:hint="default" w:ascii="Times New Roman" w:hAnsi="Times New Roman" w:eastAsia="宋体" w:cs="Times New Roman"/>
              </w:rPr>
            </w:pPr>
            <w:r>
              <w:rPr>
                <w:rFonts w:hint="default" w:ascii="Times New Roman" w:hAnsi="Times New Roman" w:eastAsia="宋体" w:cs="Times New Roman"/>
              </w:rPr>
              <w:t>0.71</w:t>
            </w:r>
          </w:p>
        </w:tc>
        <w:tc>
          <w:tcPr>
            <w:tcW w:w="1078" w:type="pct"/>
            <w:noWrap w:val="0"/>
            <w:vAlign w:val="center"/>
          </w:tcPr>
          <w:p w14:paraId="0298A5B8">
            <w:pPr>
              <w:pStyle w:val="104"/>
              <w:rPr>
                <w:rFonts w:hint="default" w:ascii="Times New Roman" w:hAnsi="Times New Roman" w:eastAsia="宋体" w:cs="Times New Roman"/>
              </w:rPr>
            </w:pPr>
          </w:p>
        </w:tc>
      </w:tr>
      <w:tr w14:paraId="699E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41F2B75">
            <w:pPr>
              <w:pStyle w:val="104"/>
              <w:rPr>
                <w:rFonts w:hint="default" w:ascii="Times New Roman" w:hAnsi="Times New Roman" w:eastAsia="宋体" w:cs="Times New Roman"/>
              </w:rPr>
            </w:pPr>
            <w:r>
              <w:rPr>
                <w:rFonts w:hint="default" w:ascii="Times New Roman" w:hAnsi="Times New Roman" w:eastAsia="宋体" w:cs="Times New Roman"/>
              </w:rPr>
              <w:t>四</w:t>
            </w:r>
          </w:p>
        </w:tc>
        <w:tc>
          <w:tcPr>
            <w:tcW w:w="1592" w:type="pct"/>
            <w:noWrap w:val="0"/>
            <w:vAlign w:val="center"/>
          </w:tcPr>
          <w:p w14:paraId="10A7E118">
            <w:pPr>
              <w:pStyle w:val="104"/>
              <w:rPr>
                <w:rFonts w:hint="default" w:ascii="Times New Roman" w:hAnsi="Times New Roman" w:eastAsia="宋体" w:cs="Times New Roman"/>
              </w:rPr>
            </w:pPr>
            <w:r>
              <w:rPr>
                <w:rFonts w:hint="default" w:ascii="Times New Roman" w:hAnsi="Times New Roman" w:eastAsia="宋体" w:cs="Times New Roman"/>
              </w:rPr>
              <w:t>绿化面积</w:t>
            </w:r>
          </w:p>
        </w:tc>
        <w:tc>
          <w:tcPr>
            <w:tcW w:w="596" w:type="pct"/>
            <w:noWrap w:val="0"/>
            <w:vAlign w:val="center"/>
          </w:tcPr>
          <w:p w14:paraId="1F2D740C">
            <w:pPr>
              <w:pStyle w:val="104"/>
              <w:rPr>
                <w:rFonts w:hint="default" w:ascii="Times New Roman" w:hAnsi="Times New Roman" w:eastAsia="宋体" w:cs="Times New Roman"/>
              </w:rPr>
            </w:pPr>
            <w:r>
              <w:rPr>
                <w:rFonts w:hint="default" w:ascii="Times New Roman" w:hAnsi="Times New Roman" w:eastAsia="宋体" w:cs="Times New Roman"/>
              </w:rPr>
              <w:t>％</w:t>
            </w:r>
          </w:p>
        </w:tc>
        <w:tc>
          <w:tcPr>
            <w:tcW w:w="1021" w:type="pct"/>
            <w:noWrap w:val="0"/>
            <w:vAlign w:val="center"/>
          </w:tcPr>
          <w:p w14:paraId="52B8B135">
            <w:pPr>
              <w:pStyle w:val="104"/>
              <w:rPr>
                <w:rFonts w:hint="default" w:ascii="Times New Roman" w:hAnsi="Times New Roman" w:eastAsia="宋体" w:cs="Times New Roman"/>
              </w:rPr>
            </w:pPr>
            <w:r>
              <w:rPr>
                <w:rFonts w:hint="default" w:ascii="Times New Roman" w:hAnsi="Times New Roman" w:eastAsia="宋体" w:cs="Times New Roman"/>
              </w:rPr>
              <w:t>20</w:t>
            </w:r>
          </w:p>
        </w:tc>
        <w:tc>
          <w:tcPr>
            <w:tcW w:w="1078" w:type="pct"/>
            <w:noWrap w:val="0"/>
            <w:vAlign w:val="center"/>
          </w:tcPr>
          <w:p w14:paraId="08320AE2">
            <w:pPr>
              <w:pStyle w:val="104"/>
              <w:rPr>
                <w:rFonts w:hint="default" w:ascii="Times New Roman" w:hAnsi="Times New Roman" w:eastAsia="宋体" w:cs="Times New Roman"/>
              </w:rPr>
            </w:pPr>
          </w:p>
        </w:tc>
      </w:tr>
      <w:tr w14:paraId="6815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4D54A1D">
            <w:pPr>
              <w:pStyle w:val="104"/>
              <w:rPr>
                <w:rFonts w:hint="default" w:ascii="Times New Roman" w:hAnsi="Times New Roman" w:eastAsia="宋体" w:cs="Times New Roman"/>
              </w:rPr>
            </w:pPr>
            <w:r>
              <w:rPr>
                <w:rFonts w:hint="default" w:ascii="Times New Roman" w:hAnsi="Times New Roman" w:eastAsia="宋体" w:cs="Times New Roman"/>
              </w:rPr>
              <w:t>五</w:t>
            </w:r>
          </w:p>
        </w:tc>
        <w:tc>
          <w:tcPr>
            <w:tcW w:w="1592" w:type="pct"/>
            <w:noWrap w:val="0"/>
            <w:vAlign w:val="center"/>
          </w:tcPr>
          <w:p w14:paraId="4AF0829B">
            <w:pPr>
              <w:pStyle w:val="104"/>
              <w:rPr>
                <w:rFonts w:hint="default" w:ascii="Times New Roman" w:hAnsi="Times New Roman" w:eastAsia="宋体" w:cs="Times New Roman"/>
              </w:rPr>
            </w:pPr>
            <w:r>
              <w:rPr>
                <w:rFonts w:hint="default" w:ascii="Times New Roman" w:hAnsi="Times New Roman" w:eastAsia="宋体" w:cs="Times New Roman"/>
              </w:rPr>
              <w:t>供电</w:t>
            </w:r>
          </w:p>
        </w:tc>
        <w:tc>
          <w:tcPr>
            <w:tcW w:w="596" w:type="pct"/>
            <w:noWrap w:val="0"/>
            <w:vAlign w:val="center"/>
          </w:tcPr>
          <w:p w14:paraId="756368A7">
            <w:pPr>
              <w:pStyle w:val="104"/>
              <w:rPr>
                <w:rFonts w:hint="default" w:ascii="Times New Roman" w:hAnsi="Times New Roman" w:eastAsia="宋体" w:cs="Times New Roman"/>
              </w:rPr>
            </w:pPr>
          </w:p>
        </w:tc>
        <w:tc>
          <w:tcPr>
            <w:tcW w:w="1021" w:type="pct"/>
            <w:noWrap w:val="0"/>
            <w:vAlign w:val="center"/>
          </w:tcPr>
          <w:p w14:paraId="72E34E31">
            <w:pPr>
              <w:pStyle w:val="104"/>
              <w:rPr>
                <w:rFonts w:hint="default" w:ascii="Times New Roman" w:hAnsi="Times New Roman" w:eastAsia="宋体" w:cs="Times New Roman"/>
              </w:rPr>
            </w:pPr>
          </w:p>
        </w:tc>
        <w:tc>
          <w:tcPr>
            <w:tcW w:w="1078" w:type="pct"/>
            <w:noWrap w:val="0"/>
            <w:vAlign w:val="center"/>
          </w:tcPr>
          <w:p w14:paraId="6444C73A">
            <w:pPr>
              <w:pStyle w:val="104"/>
              <w:rPr>
                <w:rFonts w:hint="default" w:ascii="Times New Roman" w:hAnsi="Times New Roman" w:eastAsia="宋体" w:cs="Times New Roman"/>
              </w:rPr>
            </w:pPr>
          </w:p>
        </w:tc>
      </w:tr>
      <w:tr w14:paraId="51D6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3B8E6F6">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5A168890">
            <w:pPr>
              <w:pStyle w:val="104"/>
              <w:rPr>
                <w:rFonts w:hint="default" w:ascii="Times New Roman" w:hAnsi="Times New Roman" w:eastAsia="宋体" w:cs="Times New Roman"/>
              </w:rPr>
            </w:pPr>
            <w:r>
              <w:rPr>
                <w:rFonts w:hint="default" w:ascii="Times New Roman" w:hAnsi="Times New Roman" w:eastAsia="宋体" w:cs="Times New Roman"/>
              </w:rPr>
              <w:t>装机容量</w:t>
            </w:r>
          </w:p>
        </w:tc>
        <w:tc>
          <w:tcPr>
            <w:tcW w:w="596" w:type="pct"/>
            <w:noWrap w:val="0"/>
            <w:vAlign w:val="center"/>
          </w:tcPr>
          <w:p w14:paraId="51691E14">
            <w:pPr>
              <w:pStyle w:val="104"/>
              <w:rPr>
                <w:rFonts w:hint="default" w:ascii="Times New Roman" w:hAnsi="Times New Roman" w:eastAsia="宋体" w:cs="Times New Roman"/>
              </w:rPr>
            </w:pPr>
            <w:r>
              <w:rPr>
                <w:rFonts w:hint="default" w:ascii="Times New Roman" w:hAnsi="Times New Roman" w:eastAsia="宋体" w:cs="Times New Roman"/>
              </w:rPr>
              <w:t>kw</w:t>
            </w:r>
          </w:p>
        </w:tc>
        <w:tc>
          <w:tcPr>
            <w:tcW w:w="1021" w:type="pct"/>
            <w:noWrap w:val="0"/>
            <w:vAlign w:val="center"/>
          </w:tcPr>
          <w:p w14:paraId="3A3240B8">
            <w:pPr>
              <w:pStyle w:val="104"/>
              <w:rPr>
                <w:rFonts w:hint="default" w:ascii="Times New Roman" w:hAnsi="Times New Roman" w:eastAsia="宋体" w:cs="Times New Roman"/>
              </w:rPr>
            </w:pPr>
            <w:r>
              <w:rPr>
                <w:rFonts w:hint="default" w:ascii="Times New Roman" w:hAnsi="Times New Roman" w:eastAsia="宋体" w:cs="Times New Roman"/>
              </w:rPr>
              <w:t>613</w:t>
            </w:r>
          </w:p>
        </w:tc>
        <w:tc>
          <w:tcPr>
            <w:tcW w:w="1078" w:type="pct"/>
            <w:noWrap w:val="0"/>
            <w:vAlign w:val="center"/>
          </w:tcPr>
          <w:p w14:paraId="5994B0CC">
            <w:pPr>
              <w:pStyle w:val="104"/>
              <w:rPr>
                <w:rFonts w:hint="default" w:ascii="Times New Roman" w:hAnsi="Times New Roman" w:eastAsia="宋体" w:cs="Times New Roman"/>
              </w:rPr>
            </w:pPr>
          </w:p>
        </w:tc>
      </w:tr>
      <w:tr w14:paraId="7648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66BE276">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92" w:type="pct"/>
            <w:noWrap w:val="0"/>
            <w:vAlign w:val="center"/>
          </w:tcPr>
          <w:p w14:paraId="3A298FE1">
            <w:pPr>
              <w:pStyle w:val="104"/>
              <w:rPr>
                <w:rFonts w:hint="default" w:ascii="Times New Roman" w:hAnsi="Times New Roman" w:eastAsia="宋体" w:cs="Times New Roman"/>
              </w:rPr>
            </w:pPr>
            <w:r>
              <w:rPr>
                <w:rFonts w:hint="default" w:ascii="Times New Roman" w:hAnsi="Times New Roman" w:eastAsia="宋体" w:cs="Times New Roman"/>
              </w:rPr>
              <w:t>有效功率</w:t>
            </w:r>
          </w:p>
        </w:tc>
        <w:tc>
          <w:tcPr>
            <w:tcW w:w="596" w:type="pct"/>
            <w:noWrap w:val="0"/>
            <w:vAlign w:val="center"/>
          </w:tcPr>
          <w:p w14:paraId="5D56C074">
            <w:pPr>
              <w:pStyle w:val="104"/>
              <w:rPr>
                <w:rFonts w:hint="default" w:ascii="Times New Roman" w:hAnsi="Times New Roman" w:eastAsia="宋体" w:cs="Times New Roman"/>
              </w:rPr>
            </w:pPr>
            <w:r>
              <w:rPr>
                <w:rFonts w:hint="default" w:ascii="Times New Roman" w:hAnsi="Times New Roman" w:eastAsia="宋体" w:cs="Times New Roman"/>
              </w:rPr>
              <w:t>kw</w:t>
            </w:r>
          </w:p>
        </w:tc>
        <w:tc>
          <w:tcPr>
            <w:tcW w:w="1021" w:type="pct"/>
            <w:noWrap w:val="0"/>
            <w:vAlign w:val="center"/>
          </w:tcPr>
          <w:p w14:paraId="1768B932">
            <w:pPr>
              <w:pStyle w:val="104"/>
              <w:rPr>
                <w:rFonts w:hint="default" w:ascii="Times New Roman" w:hAnsi="Times New Roman" w:eastAsia="宋体" w:cs="Times New Roman"/>
              </w:rPr>
            </w:pPr>
            <w:r>
              <w:rPr>
                <w:rFonts w:hint="default" w:ascii="Times New Roman" w:hAnsi="Times New Roman" w:eastAsia="宋体" w:cs="Times New Roman"/>
              </w:rPr>
              <w:t>324.89</w:t>
            </w:r>
          </w:p>
        </w:tc>
        <w:tc>
          <w:tcPr>
            <w:tcW w:w="1078" w:type="pct"/>
            <w:noWrap w:val="0"/>
            <w:vAlign w:val="center"/>
          </w:tcPr>
          <w:p w14:paraId="783EC5F9">
            <w:pPr>
              <w:pStyle w:val="104"/>
              <w:rPr>
                <w:rFonts w:hint="default" w:ascii="Times New Roman" w:hAnsi="Times New Roman" w:eastAsia="宋体" w:cs="Times New Roman"/>
              </w:rPr>
            </w:pPr>
          </w:p>
        </w:tc>
      </w:tr>
      <w:tr w14:paraId="6163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60B1C6A">
            <w:pPr>
              <w:pStyle w:val="104"/>
              <w:rPr>
                <w:rFonts w:hint="default" w:ascii="Times New Roman" w:hAnsi="Times New Roman" w:eastAsia="宋体" w:cs="Times New Roman"/>
              </w:rPr>
            </w:pPr>
            <w:r>
              <w:rPr>
                <w:rFonts w:hint="default" w:ascii="Times New Roman" w:hAnsi="Times New Roman" w:eastAsia="宋体" w:cs="Times New Roman"/>
              </w:rPr>
              <w:t>3</w:t>
            </w:r>
          </w:p>
        </w:tc>
        <w:tc>
          <w:tcPr>
            <w:tcW w:w="1592" w:type="pct"/>
            <w:noWrap w:val="0"/>
            <w:vAlign w:val="center"/>
          </w:tcPr>
          <w:p w14:paraId="467C451B">
            <w:pPr>
              <w:pStyle w:val="104"/>
              <w:rPr>
                <w:rFonts w:hint="default" w:ascii="Times New Roman" w:hAnsi="Times New Roman" w:eastAsia="宋体" w:cs="Times New Roman"/>
              </w:rPr>
            </w:pPr>
            <w:r>
              <w:rPr>
                <w:rFonts w:hint="default" w:ascii="Times New Roman" w:hAnsi="Times New Roman" w:eastAsia="宋体" w:cs="Times New Roman"/>
              </w:rPr>
              <w:t>年耗电量</w:t>
            </w:r>
          </w:p>
        </w:tc>
        <w:tc>
          <w:tcPr>
            <w:tcW w:w="596" w:type="pct"/>
            <w:noWrap w:val="0"/>
            <w:vAlign w:val="center"/>
          </w:tcPr>
          <w:p w14:paraId="79D8B194">
            <w:pPr>
              <w:pStyle w:val="104"/>
              <w:rPr>
                <w:rFonts w:hint="default" w:ascii="Times New Roman" w:hAnsi="Times New Roman" w:eastAsia="宋体" w:cs="Times New Roman"/>
              </w:rPr>
            </w:pPr>
            <w:r>
              <w:rPr>
                <w:rFonts w:hint="default" w:ascii="Times New Roman" w:hAnsi="Times New Roman" w:eastAsia="宋体" w:cs="Times New Roman"/>
              </w:rPr>
              <w:t>万kwh</w:t>
            </w:r>
          </w:p>
        </w:tc>
        <w:tc>
          <w:tcPr>
            <w:tcW w:w="1021" w:type="pct"/>
            <w:noWrap w:val="0"/>
            <w:vAlign w:val="center"/>
          </w:tcPr>
          <w:p w14:paraId="5282BC35">
            <w:pPr>
              <w:pStyle w:val="104"/>
              <w:rPr>
                <w:rFonts w:hint="default" w:ascii="Times New Roman" w:hAnsi="Times New Roman" w:eastAsia="宋体" w:cs="Times New Roman"/>
              </w:rPr>
            </w:pPr>
            <w:r>
              <w:rPr>
                <w:rFonts w:hint="default" w:ascii="Times New Roman" w:hAnsi="Times New Roman" w:eastAsia="宋体" w:cs="Times New Roman"/>
              </w:rPr>
              <w:t>77.97</w:t>
            </w:r>
          </w:p>
        </w:tc>
        <w:tc>
          <w:tcPr>
            <w:tcW w:w="1078" w:type="pct"/>
            <w:noWrap w:val="0"/>
            <w:vAlign w:val="center"/>
          </w:tcPr>
          <w:p w14:paraId="66739F4C">
            <w:pPr>
              <w:pStyle w:val="104"/>
              <w:rPr>
                <w:rFonts w:hint="default" w:ascii="Times New Roman" w:hAnsi="Times New Roman" w:eastAsia="宋体" w:cs="Times New Roman"/>
              </w:rPr>
            </w:pPr>
          </w:p>
        </w:tc>
      </w:tr>
      <w:tr w14:paraId="699F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1CF877B">
            <w:pPr>
              <w:pStyle w:val="104"/>
              <w:rPr>
                <w:rFonts w:hint="default" w:ascii="Times New Roman" w:hAnsi="Times New Roman" w:eastAsia="宋体" w:cs="Times New Roman"/>
              </w:rPr>
            </w:pPr>
            <w:r>
              <w:rPr>
                <w:rFonts w:hint="default" w:ascii="Times New Roman" w:hAnsi="Times New Roman" w:eastAsia="宋体" w:cs="Times New Roman"/>
              </w:rPr>
              <w:t>4</w:t>
            </w:r>
          </w:p>
        </w:tc>
        <w:tc>
          <w:tcPr>
            <w:tcW w:w="1592" w:type="pct"/>
            <w:noWrap w:val="0"/>
            <w:vAlign w:val="center"/>
          </w:tcPr>
          <w:p w14:paraId="2B8B366C">
            <w:pPr>
              <w:pStyle w:val="104"/>
              <w:rPr>
                <w:rFonts w:hint="default" w:ascii="Times New Roman" w:hAnsi="Times New Roman" w:eastAsia="宋体" w:cs="Times New Roman"/>
              </w:rPr>
            </w:pPr>
            <w:r>
              <w:rPr>
                <w:rFonts w:hint="default" w:ascii="Times New Roman" w:hAnsi="Times New Roman" w:eastAsia="宋体" w:cs="Times New Roman"/>
              </w:rPr>
              <w:t>单位耗电量</w:t>
            </w:r>
          </w:p>
        </w:tc>
        <w:tc>
          <w:tcPr>
            <w:tcW w:w="596" w:type="pct"/>
            <w:noWrap w:val="0"/>
            <w:vAlign w:val="center"/>
          </w:tcPr>
          <w:p w14:paraId="28465FE5">
            <w:pPr>
              <w:pStyle w:val="104"/>
              <w:rPr>
                <w:rFonts w:hint="default" w:ascii="Times New Roman" w:hAnsi="Times New Roman" w:eastAsia="宋体" w:cs="Times New Roman"/>
              </w:rPr>
            </w:pPr>
            <w:r>
              <w:rPr>
                <w:rFonts w:hint="default" w:ascii="Times New Roman" w:hAnsi="Times New Roman" w:eastAsia="宋体" w:cs="Times New Roman"/>
              </w:rPr>
              <w:t>kwh/t</w:t>
            </w:r>
          </w:p>
        </w:tc>
        <w:tc>
          <w:tcPr>
            <w:tcW w:w="1021" w:type="pct"/>
            <w:noWrap w:val="0"/>
            <w:vAlign w:val="center"/>
          </w:tcPr>
          <w:p w14:paraId="171CCEF7">
            <w:pPr>
              <w:pStyle w:val="104"/>
              <w:rPr>
                <w:rFonts w:hint="default" w:ascii="Times New Roman" w:hAnsi="Times New Roman" w:eastAsia="宋体" w:cs="Times New Roman"/>
              </w:rPr>
            </w:pPr>
            <w:r>
              <w:rPr>
                <w:rFonts w:hint="default" w:ascii="Times New Roman" w:hAnsi="Times New Roman" w:eastAsia="宋体" w:cs="Times New Roman"/>
              </w:rPr>
              <w:t>7.8</w:t>
            </w:r>
          </w:p>
        </w:tc>
        <w:tc>
          <w:tcPr>
            <w:tcW w:w="1078" w:type="pct"/>
            <w:noWrap w:val="0"/>
            <w:vAlign w:val="center"/>
          </w:tcPr>
          <w:p w14:paraId="6F29F58F">
            <w:pPr>
              <w:pStyle w:val="104"/>
              <w:rPr>
                <w:rFonts w:hint="default" w:ascii="Times New Roman" w:hAnsi="Times New Roman" w:eastAsia="宋体" w:cs="Times New Roman"/>
              </w:rPr>
            </w:pPr>
          </w:p>
        </w:tc>
      </w:tr>
      <w:tr w14:paraId="3392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C0ADB0C">
            <w:pPr>
              <w:pStyle w:val="104"/>
              <w:rPr>
                <w:rFonts w:hint="default" w:ascii="Times New Roman" w:hAnsi="Times New Roman" w:eastAsia="宋体" w:cs="Times New Roman"/>
              </w:rPr>
            </w:pPr>
            <w:r>
              <w:rPr>
                <w:rFonts w:hint="default" w:ascii="Times New Roman" w:hAnsi="Times New Roman" w:eastAsia="宋体" w:cs="Times New Roman"/>
              </w:rPr>
              <w:t>六</w:t>
            </w:r>
          </w:p>
        </w:tc>
        <w:tc>
          <w:tcPr>
            <w:tcW w:w="1592" w:type="pct"/>
            <w:noWrap w:val="0"/>
            <w:vAlign w:val="center"/>
          </w:tcPr>
          <w:p w14:paraId="335321EC">
            <w:pPr>
              <w:pStyle w:val="104"/>
              <w:rPr>
                <w:rFonts w:hint="default" w:ascii="Times New Roman" w:hAnsi="Times New Roman" w:eastAsia="宋体" w:cs="Times New Roman"/>
              </w:rPr>
            </w:pPr>
            <w:r>
              <w:rPr>
                <w:rFonts w:hint="default" w:ascii="Times New Roman" w:hAnsi="Times New Roman" w:eastAsia="宋体" w:cs="Times New Roman"/>
              </w:rPr>
              <w:t>供水</w:t>
            </w:r>
          </w:p>
        </w:tc>
        <w:tc>
          <w:tcPr>
            <w:tcW w:w="596" w:type="pct"/>
            <w:noWrap w:val="0"/>
            <w:vAlign w:val="center"/>
          </w:tcPr>
          <w:p w14:paraId="305B96D9">
            <w:pPr>
              <w:pStyle w:val="104"/>
              <w:rPr>
                <w:rFonts w:hint="default" w:ascii="Times New Roman" w:hAnsi="Times New Roman" w:eastAsia="宋体" w:cs="Times New Roman"/>
              </w:rPr>
            </w:pPr>
          </w:p>
        </w:tc>
        <w:tc>
          <w:tcPr>
            <w:tcW w:w="1021" w:type="pct"/>
            <w:noWrap w:val="0"/>
            <w:vAlign w:val="center"/>
          </w:tcPr>
          <w:p w14:paraId="0C21A61E">
            <w:pPr>
              <w:pStyle w:val="104"/>
              <w:rPr>
                <w:rFonts w:hint="default" w:ascii="Times New Roman" w:hAnsi="Times New Roman" w:eastAsia="宋体" w:cs="Times New Roman"/>
              </w:rPr>
            </w:pPr>
          </w:p>
        </w:tc>
        <w:tc>
          <w:tcPr>
            <w:tcW w:w="1078" w:type="pct"/>
            <w:noWrap w:val="0"/>
            <w:vAlign w:val="center"/>
          </w:tcPr>
          <w:p w14:paraId="732A4E9E">
            <w:pPr>
              <w:pStyle w:val="104"/>
              <w:rPr>
                <w:rFonts w:hint="default" w:ascii="Times New Roman" w:hAnsi="Times New Roman" w:eastAsia="宋体" w:cs="Times New Roman"/>
              </w:rPr>
            </w:pPr>
          </w:p>
        </w:tc>
      </w:tr>
      <w:tr w14:paraId="1C50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6568DDF">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2549A8E6">
            <w:pPr>
              <w:pStyle w:val="104"/>
              <w:rPr>
                <w:rFonts w:hint="default" w:ascii="Times New Roman" w:hAnsi="Times New Roman" w:eastAsia="宋体" w:cs="Times New Roman"/>
              </w:rPr>
            </w:pPr>
            <w:r>
              <w:rPr>
                <w:rFonts w:hint="default" w:ascii="Times New Roman" w:hAnsi="Times New Roman" w:eastAsia="宋体" w:cs="Times New Roman"/>
              </w:rPr>
              <w:t>总用水量</w:t>
            </w:r>
          </w:p>
        </w:tc>
        <w:tc>
          <w:tcPr>
            <w:tcW w:w="596" w:type="pct"/>
            <w:noWrap w:val="0"/>
            <w:vAlign w:val="center"/>
          </w:tcPr>
          <w:p w14:paraId="5044343D">
            <w:pPr>
              <w:pStyle w:val="104"/>
              <w:rPr>
                <w:rFonts w:hint="default" w:ascii="Times New Roman" w:hAnsi="Times New Roman" w:eastAsia="宋体" w:cs="Times New Roman"/>
              </w:rPr>
            </w:pPr>
            <w:r>
              <w:rPr>
                <w:rFonts w:hint="default" w:ascii="Times New Roman" w:hAnsi="Times New Roman" w:eastAsia="宋体" w:cs="Times New Roman"/>
              </w:rPr>
              <w:t>m</w:t>
            </w:r>
            <w:r>
              <w:rPr>
                <w:rFonts w:hint="default" w:ascii="Times New Roman" w:hAnsi="Times New Roman" w:eastAsia="宋体" w:cs="Times New Roman"/>
                <w:vertAlign w:val="superscript"/>
              </w:rPr>
              <w:t>3</w:t>
            </w:r>
            <w:r>
              <w:rPr>
                <w:rFonts w:hint="default" w:ascii="Times New Roman" w:hAnsi="Times New Roman" w:eastAsia="宋体" w:cs="Times New Roman"/>
              </w:rPr>
              <w:t>/d</w:t>
            </w:r>
          </w:p>
        </w:tc>
        <w:tc>
          <w:tcPr>
            <w:tcW w:w="1021" w:type="pct"/>
            <w:noWrap w:val="0"/>
            <w:vAlign w:val="center"/>
          </w:tcPr>
          <w:p w14:paraId="76C095DF">
            <w:pPr>
              <w:pStyle w:val="104"/>
              <w:rPr>
                <w:rFonts w:hint="default" w:ascii="Times New Roman" w:hAnsi="Times New Roman" w:eastAsia="宋体" w:cs="Times New Roman"/>
              </w:rPr>
            </w:pPr>
            <w:r>
              <w:rPr>
                <w:rFonts w:hint="default" w:ascii="Times New Roman" w:hAnsi="Times New Roman" w:eastAsia="宋体" w:cs="Times New Roman"/>
              </w:rPr>
              <w:t>70</w:t>
            </w:r>
          </w:p>
        </w:tc>
        <w:tc>
          <w:tcPr>
            <w:tcW w:w="1078" w:type="pct"/>
            <w:noWrap w:val="0"/>
            <w:vAlign w:val="center"/>
          </w:tcPr>
          <w:p w14:paraId="38834CD4">
            <w:pPr>
              <w:pStyle w:val="104"/>
              <w:rPr>
                <w:rFonts w:hint="default" w:ascii="Times New Roman" w:hAnsi="Times New Roman" w:eastAsia="宋体" w:cs="Times New Roman"/>
              </w:rPr>
            </w:pPr>
          </w:p>
        </w:tc>
      </w:tr>
      <w:tr w14:paraId="39AE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C1388C6">
            <w:pPr>
              <w:pStyle w:val="104"/>
              <w:rPr>
                <w:rFonts w:hint="default" w:ascii="Times New Roman" w:hAnsi="Times New Roman" w:eastAsia="宋体" w:cs="Times New Roman"/>
              </w:rPr>
            </w:pPr>
            <w:r>
              <w:rPr>
                <w:rFonts w:hint="default" w:ascii="Times New Roman" w:hAnsi="Times New Roman" w:eastAsia="宋体" w:cs="Times New Roman"/>
              </w:rPr>
              <w:t>七</w:t>
            </w:r>
          </w:p>
        </w:tc>
        <w:tc>
          <w:tcPr>
            <w:tcW w:w="1592" w:type="pct"/>
            <w:noWrap w:val="0"/>
            <w:vAlign w:val="center"/>
          </w:tcPr>
          <w:p w14:paraId="52D77913">
            <w:pPr>
              <w:pStyle w:val="104"/>
              <w:rPr>
                <w:rFonts w:hint="default" w:ascii="Times New Roman" w:hAnsi="Times New Roman" w:eastAsia="宋体" w:cs="Times New Roman"/>
              </w:rPr>
            </w:pPr>
            <w:r>
              <w:rPr>
                <w:rFonts w:hint="default" w:ascii="Times New Roman" w:hAnsi="Times New Roman" w:eastAsia="宋体" w:cs="Times New Roman"/>
              </w:rPr>
              <w:t>劳动及劳动生产率</w:t>
            </w:r>
          </w:p>
        </w:tc>
        <w:tc>
          <w:tcPr>
            <w:tcW w:w="596" w:type="pct"/>
            <w:noWrap w:val="0"/>
            <w:vAlign w:val="center"/>
          </w:tcPr>
          <w:p w14:paraId="1A209064">
            <w:pPr>
              <w:pStyle w:val="104"/>
              <w:rPr>
                <w:rFonts w:hint="default" w:ascii="Times New Roman" w:hAnsi="Times New Roman" w:eastAsia="宋体" w:cs="Times New Roman"/>
              </w:rPr>
            </w:pPr>
          </w:p>
        </w:tc>
        <w:tc>
          <w:tcPr>
            <w:tcW w:w="1021" w:type="pct"/>
            <w:noWrap w:val="0"/>
            <w:vAlign w:val="center"/>
          </w:tcPr>
          <w:p w14:paraId="0FFFE23C">
            <w:pPr>
              <w:pStyle w:val="104"/>
              <w:rPr>
                <w:rFonts w:hint="default" w:ascii="Times New Roman" w:hAnsi="Times New Roman" w:eastAsia="宋体" w:cs="Times New Roman"/>
              </w:rPr>
            </w:pPr>
          </w:p>
        </w:tc>
        <w:tc>
          <w:tcPr>
            <w:tcW w:w="1078" w:type="pct"/>
            <w:noWrap w:val="0"/>
            <w:vAlign w:val="center"/>
          </w:tcPr>
          <w:p w14:paraId="633C5C2A">
            <w:pPr>
              <w:pStyle w:val="104"/>
              <w:rPr>
                <w:rFonts w:hint="default" w:ascii="Times New Roman" w:hAnsi="Times New Roman" w:eastAsia="宋体" w:cs="Times New Roman"/>
              </w:rPr>
            </w:pPr>
          </w:p>
        </w:tc>
      </w:tr>
      <w:tr w14:paraId="2A22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6849555">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04F11666">
            <w:pPr>
              <w:pStyle w:val="104"/>
              <w:rPr>
                <w:rFonts w:hint="default" w:ascii="Times New Roman" w:hAnsi="Times New Roman" w:eastAsia="宋体" w:cs="Times New Roman"/>
              </w:rPr>
            </w:pPr>
            <w:r>
              <w:rPr>
                <w:rFonts w:hint="default" w:ascii="Times New Roman" w:hAnsi="Times New Roman" w:eastAsia="宋体" w:cs="Times New Roman"/>
              </w:rPr>
              <w:t>在册职工人数</w:t>
            </w:r>
          </w:p>
        </w:tc>
        <w:tc>
          <w:tcPr>
            <w:tcW w:w="596" w:type="pct"/>
            <w:noWrap w:val="0"/>
            <w:vAlign w:val="center"/>
          </w:tcPr>
          <w:p w14:paraId="5C55AF95">
            <w:pPr>
              <w:pStyle w:val="104"/>
              <w:rPr>
                <w:rFonts w:hint="default" w:ascii="Times New Roman" w:hAnsi="Times New Roman" w:eastAsia="宋体" w:cs="Times New Roman"/>
              </w:rPr>
            </w:pPr>
            <w:r>
              <w:rPr>
                <w:rFonts w:hint="default" w:ascii="Times New Roman" w:hAnsi="Times New Roman" w:eastAsia="宋体" w:cs="Times New Roman"/>
              </w:rPr>
              <w:t>人</w:t>
            </w:r>
          </w:p>
        </w:tc>
        <w:tc>
          <w:tcPr>
            <w:tcW w:w="1021" w:type="pct"/>
            <w:noWrap w:val="0"/>
            <w:vAlign w:val="center"/>
          </w:tcPr>
          <w:p w14:paraId="44FD978E">
            <w:pPr>
              <w:pStyle w:val="104"/>
              <w:rPr>
                <w:rFonts w:hint="default" w:ascii="Times New Roman" w:hAnsi="Times New Roman" w:eastAsia="宋体" w:cs="Times New Roman"/>
              </w:rPr>
            </w:pPr>
            <w:r>
              <w:rPr>
                <w:rFonts w:hint="default" w:ascii="Times New Roman" w:hAnsi="Times New Roman" w:eastAsia="宋体" w:cs="Times New Roman"/>
              </w:rPr>
              <w:t>16</w:t>
            </w:r>
          </w:p>
        </w:tc>
        <w:tc>
          <w:tcPr>
            <w:tcW w:w="1078" w:type="pct"/>
            <w:noWrap w:val="0"/>
            <w:vAlign w:val="center"/>
          </w:tcPr>
          <w:p w14:paraId="2ACD5370">
            <w:pPr>
              <w:pStyle w:val="104"/>
              <w:rPr>
                <w:rFonts w:hint="default" w:ascii="Times New Roman" w:hAnsi="Times New Roman" w:eastAsia="宋体" w:cs="Times New Roman"/>
              </w:rPr>
            </w:pPr>
          </w:p>
        </w:tc>
      </w:tr>
      <w:tr w14:paraId="34AA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BE3E95B">
            <w:pPr>
              <w:pStyle w:val="104"/>
              <w:rPr>
                <w:rFonts w:hint="default" w:ascii="Times New Roman" w:hAnsi="Times New Roman" w:eastAsia="宋体" w:cs="Times New Roman"/>
              </w:rPr>
            </w:pPr>
            <w:r>
              <w:rPr>
                <w:rFonts w:hint="default" w:ascii="Times New Roman" w:hAnsi="Times New Roman" w:eastAsia="宋体" w:cs="Times New Roman"/>
              </w:rPr>
              <w:t>1.1</w:t>
            </w:r>
          </w:p>
        </w:tc>
        <w:tc>
          <w:tcPr>
            <w:tcW w:w="1592" w:type="pct"/>
            <w:noWrap w:val="0"/>
            <w:vAlign w:val="center"/>
          </w:tcPr>
          <w:p w14:paraId="59C97153">
            <w:pPr>
              <w:pStyle w:val="104"/>
              <w:rPr>
                <w:rFonts w:hint="default" w:ascii="Times New Roman" w:hAnsi="Times New Roman" w:eastAsia="宋体" w:cs="Times New Roman"/>
              </w:rPr>
            </w:pPr>
            <w:r>
              <w:rPr>
                <w:rFonts w:hint="default" w:ascii="Times New Roman" w:hAnsi="Times New Roman" w:eastAsia="宋体" w:cs="Times New Roman"/>
              </w:rPr>
              <w:t>生产性人员</w:t>
            </w:r>
          </w:p>
        </w:tc>
        <w:tc>
          <w:tcPr>
            <w:tcW w:w="596" w:type="pct"/>
            <w:noWrap w:val="0"/>
            <w:vAlign w:val="center"/>
          </w:tcPr>
          <w:p w14:paraId="7B38BE9B">
            <w:pPr>
              <w:pStyle w:val="104"/>
              <w:rPr>
                <w:rFonts w:hint="default" w:ascii="Times New Roman" w:hAnsi="Times New Roman" w:eastAsia="宋体" w:cs="Times New Roman"/>
              </w:rPr>
            </w:pPr>
            <w:r>
              <w:rPr>
                <w:rFonts w:hint="default" w:ascii="Times New Roman" w:hAnsi="Times New Roman" w:eastAsia="宋体" w:cs="Times New Roman"/>
              </w:rPr>
              <w:t>人</w:t>
            </w:r>
          </w:p>
        </w:tc>
        <w:tc>
          <w:tcPr>
            <w:tcW w:w="1021" w:type="pct"/>
            <w:noWrap w:val="0"/>
            <w:vAlign w:val="center"/>
          </w:tcPr>
          <w:p w14:paraId="6C09827D">
            <w:pPr>
              <w:pStyle w:val="104"/>
              <w:rPr>
                <w:rFonts w:hint="default" w:ascii="Times New Roman" w:hAnsi="Times New Roman" w:eastAsia="宋体" w:cs="Times New Roman"/>
              </w:rPr>
            </w:pPr>
            <w:r>
              <w:rPr>
                <w:rFonts w:hint="default" w:ascii="Times New Roman" w:hAnsi="Times New Roman" w:eastAsia="宋体" w:cs="Times New Roman"/>
              </w:rPr>
              <w:t>12</w:t>
            </w:r>
          </w:p>
        </w:tc>
        <w:tc>
          <w:tcPr>
            <w:tcW w:w="1078" w:type="pct"/>
            <w:noWrap w:val="0"/>
            <w:vAlign w:val="center"/>
          </w:tcPr>
          <w:p w14:paraId="5ECE31BA">
            <w:pPr>
              <w:pStyle w:val="104"/>
              <w:rPr>
                <w:rFonts w:hint="default" w:ascii="Times New Roman" w:hAnsi="Times New Roman" w:eastAsia="宋体" w:cs="Times New Roman"/>
              </w:rPr>
            </w:pPr>
          </w:p>
        </w:tc>
      </w:tr>
      <w:tr w14:paraId="3C94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485905AB">
            <w:pPr>
              <w:pStyle w:val="104"/>
              <w:rPr>
                <w:rFonts w:hint="default" w:ascii="Times New Roman" w:hAnsi="Times New Roman" w:eastAsia="宋体" w:cs="Times New Roman"/>
              </w:rPr>
            </w:pPr>
            <w:r>
              <w:rPr>
                <w:rFonts w:hint="default" w:ascii="Times New Roman" w:hAnsi="Times New Roman" w:eastAsia="宋体" w:cs="Times New Roman"/>
              </w:rPr>
              <w:t>1.2</w:t>
            </w:r>
          </w:p>
        </w:tc>
        <w:tc>
          <w:tcPr>
            <w:tcW w:w="1592" w:type="pct"/>
            <w:noWrap w:val="0"/>
            <w:vAlign w:val="center"/>
          </w:tcPr>
          <w:p w14:paraId="00AA8617">
            <w:pPr>
              <w:pStyle w:val="104"/>
              <w:rPr>
                <w:rFonts w:hint="default" w:ascii="Times New Roman" w:hAnsi="Times New Roman" w:eastAsia="宋体" w:cs="Times New Roman"/>
              </w:rPr>
            </w:pPr>
            <w:r>
              <w:rPr>
                <w:rFonts w:hint="default" w:ascii="Times New Roman" w:hAnsi="Times New Roman" w:eastAsia="宋体" w:cs="Times New Roman"/>
              </w:rPr>
              <w:t>管理性及后勤人员</w:t>
            </w:r>
          </w:p>
        </w:tc>
        <w:tc>
          <w:tcPr>
            <w:tcW w:w="596" w:type="pct"/>
            <w:noWrap w:val="0"/>
            <w:vAlign w:val="center"/>
          </w:tcPr>
          <w:p w14:paraId="21D83822">
            <w:pPr>
              <w:pStyle w:val="104"/>
              <w:rPr>
                <w:rFonts w:hint="default" w:ascii="Times New Roman" w:hAnsi="Times New Roman" w:eastAsia="宋体" w:cs="Times New Roman"/>
              </w:rPr>
            </w:pPr>
            <w:r>
              <w:rPr>
                <w:rFonts w:hint="default" w:ascii="Times New Roman" w:hAnsi="Times New Roman" w:eastAsia="宋体" w:cs="Times New Roman"/>
              </w:rPr>
              <w:t>人</w:t>
            </w:r>
          </w:p>
        </w:tc>
        <w:tc>
          <w:tcPr>
            <w:tcW w:w="1021" w:type="pct"/>
            <w:noWrap w:val="0"/>
            <w:vAlign w:val="center"/>
          </w:tcPr>
          <w:p w14:paraId="401A5C9A">
            <w:pPr>
              <w:pStyle w:val="104"/>
              <w:rPr>
                <w:rFonts w:hint="default" w:ascii="Times New Roman" w:hAnsi="Times New Roman" w:eastAsia="宋体" w:cs="Times New Roman"/>
              </w:rPr>
            </w:pPr>
            <w:r>
              <w:rPr>
                <w:rFonts w:hint="default" w:ascii="Times New Roman" w:hAnsi="Times New Roman" w:eastAsia="宋体" w:cs="Times New Roman"/>
              </w:rPr>
              <w:t>4</w:t>
            </w:r>
          </w:p>
        </w:tc>
        <w:tc>
          <w:tcPr>
            <w:tcW w:w="1078" w:type="pct"/>
            <w:noWrap w:val="0"/>
            <w:vAlign w:val="center"/>
          </w:tcPr>
          <w:p w14:paraId="40FF0F8A">
            <w:pPr>
              <w:pStyle w:val="104"/>
              <w:rPr>
                <w:rFonts w:hint="default" w:ascii="Times New Roman" w:hAnsi="Times New Roman" w:eastAsia="宋体" w:cs="Times New Roman"/>
              </w:rPr>
            </w:pPr>
          </w:p>
        </w:tc>
      </w:tr>
      <w:tr w14:paraId="0D06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8F4E22F">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92" w:type="pct"/>
            <w:noWrap w:val="0"/>
            <w:vAlign w:val="center"/>
          </w:tcPr>
          <w:p w14:paraId="71D071CD">
            <w:pPr>
              <w:pStyle w:val="104"/>
              <w:rPr>
                <w:rFonts w:hint="default" w:ascii="Times New Roman" w:hAnsi="Times New Roman" w:eastAsia="宋体" w:cs="Times New Roman"/>
              </w:rPr>
            </w:pPr>
            <w:r>
              <w:rPr>
                <w:rFonts w:hint="default" w:ascii="Times New Roman" w:hAnsi="Times New Roman" w:eastAsia="宋体" w:cs="Times New Roman"/>
              </w:rPr>
              <w:t>实物劳动生产率</w:t>
            </w:r>
          </w:p>
        </w:tc>
        <w:tc>
          <w:tcPr>
            <w:tcW w:w="596" w:type="pct"/>
            <w:noWrap w:val="0"/>
            <w:vAlign w:val="center"/>
          </w:tcPr>
          <w:p w14:paraId="415E5BD8">
            <w:pPr>
              <w:pStyle w:val="104"/>
              <w:rPr>
                <w:rFonts w:hint="default" w:ascii="Times New Roman" w:hAnsi="Times New Roman" w:eastAsia="宋体" w:cs="Times New Roman"/>
              </w:rPr>
            </w:pPr>
          </w:p>
        </w:tc>
        <w:tc>
          <w:tcPr>
            <w:tcW w:w="1021" w:type="pct"/>
            <w:noWrap w:val="0"/>
            <w:vAlign w:val="center"/>
          </w:tcPr>
          <w:p w14:paraId="0C4EDC29">
            <w:pPr>
              <w:pStyle w:val="104"/>
              <w:rPr>
                <w:rFonts w:hint="default" w:ascii="Times New Roman" w:hAnsi="Times New Roman" w:eastAsia="宋体" w:cs="Times New Roman"/>
              </w:rPr>
            </w:pPr>
          </w:p>
        </w:tc>
        <w:tc>
          <w:tcPr>
            <w:tcW w:w="1078" w:type="pct"/>
            <w:noWrap w:val="0"/>
            <w:vAlign w:val="center"/>
          </w:tcPr>
          <w:p w14:paraId="1E267BF9">
            <w:pPr>
              <w:pStyle w:val="104"/>
              <w:rPr>
                <w:rFonts w:hint="default" w:ascii="Times New Roman" w:hAnsi="Times New Roman" w:eastAsia="宋体" w:cs="Times New Roman"/>
              </w:rPr>
            </w:pPr>
          </w:p>
        </w:tc>
      </w:tr>
      <w:tr w14:paraId="6CBD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4C0197A3">
            <w:pPr>
              <w:pStyle w:val="104"/>
              <w:rPr>
                <w:rFonts w:hint="default" w:ascii="Times New Roman" w:hAnsi="Times New Roman" w:eastAsia="宋体" w:cs="Times New Roman"/>
              </w:rPr>
            </w:pPr>
            <w:r>
              <w:rPr>
                <w:rFonts w:hint="default" w:ascii="Times New Roman" w:hAnsi="Times New Roman" w:eastAsia="宋体" w:cs="Times New Roman"/>
              </w:rPr>
              <w:t>2.1</w:t>
            </w:r>
          </w:p>
        </w:tc>
        <w:tc>
          <w:tcPr>
            <w:tcW w:w="1592" w:type="pct"/>
            <w:noWrap w:val="0"/>
            <w:vAlign w:val="center"/>
          </w:tcPr>
          <w:p w14:paraId="0BDC76A1">
            <w:pPr>
              <w:pStyle w:val="104"/>
              <w:rPr>
                <w:rFonts w:hint="default" w:ascii="Times New Roman" w:hAnsi="Times New Roman" w:eastAsia="宋体" w:cs="Times New Roman"/>
              </w:rPr>
            </w:pPr>
            <w:r>
              <w:rPr>
                <w:rFonts w:hint="default" w:ascii="Times New Roman" w:hAnsi="Times New Roman" w:eastAsia="宋体" w:cs="Times New Roman"/>
              </w:rPr>
              <w:t>工人实物劳动生产率</w:t>
            </w:r>
          </w:p>
        </w:tc>
        <w:tc>
          <w:tcPr>
            <w:tcW w:w="596" w:type="pct"/>
            <w:noWrap w:val="0"/>
            <w:vAlign w:val="center"/>
          </w:tcPr>
          <w:p w14:paraId="04F492B5">
            <w:pPr>
              <w:pStyle w:val="104"/>
              <w:rPr>
                <w:rFonts w:hint="default" w:ascii="Times New Roman" w:hAnsi="Times New Roman" w:eastAsia="宋体" w:cs="Times New Roman"/>
              </w:rPr>
            </w:pPr>
            <w:r>
              <w:rPr>
                <w:rFonts w:hint="default" w:ascii="Times New Roman" w:hAnsi="Times New Roman" w:eastAsia="宋体" w:cs="Times New Roman"/>
              </w:rPr>
              <w:t>t/人•a</w:t>
            </w:r>
          </w:p>
        </w:tc>
        <w:tc>
          <w:tcPr>
            <w:tcW w:w="1021" w:type="pct"/>
            <w:noWrap w:val="0"/>
            <w:vAlign w:val="center"/>
          </w:tcPr>
          <w:p w14:paraId="130E7BC6">
            <w:pPr>
              <w:pStyle w:val="104"/>
              <w:rPr>
                <w:rFonts w:hint="default" w:ascii="Times New Roman" w:hAnsi="Times New Roman" w:eastAsia="宋体" w:cs="Times New Roman"/>
              </w:rPr>
            </w:pPr>
            <w:r>
              <w:rPr>
                <w:rFonts w:hint="default" w:ascii="Times New Roman" w:hAnsi="Times New Roman" w:eastAsia="宋体" w:cs="Times New Roman"/>
              </w:rPr>
              <w:t>8333.3</w:t>
            </w:r>
          </w:p>
        </w:tc>
        <w:tc>
          <w:tcPr>
            <w:tcW w:w="1078" w:type="pct"/>
            <w:noWrap w:val="0"/>
            <w:vAlign w:val="center"/>
          </w:tcPr>
          <w:p w14:paraId="472E558C">
            <w:pPr>
              <w:pStyle w:val="104"/>
              <w:rPr>
                <w:rFonts w:hint="default" w:ascii="Times New Roman" w:hAnsi="Times New Roman" w:eastAsia="宋体" w:cs="Times New Roman"/>
              </w:rPr>
            </w:pPr>
          </w:p>
        </w:tc>
      </w:tr>
      <w:tr w14:paraId="5B04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C9B2D0C">
            <w:pPr>
              <w:pStyle w:val="104"/>
              <w:rPr>
                <w:rFonts w:hint="default" w:ascii="Times New Roman" w:hAnsi="Times New Roman" w:eastAsia="宋体" w:cs="Times New Roman"/>
              </w:rPr>
            </w:pPr>
            <w:r>
              <w:rPr>
                <w:rFonts w:hint="default" w:ascii="Times New Roman" w:hAnsi="Times New Roman" w:eastAsia="宋体" w:cs="Times New Roman"/>
              </w:rPr>
              <w:t>2.1.1</w:t>
            </w:r>
          </w:p>
        </w:tc>
        <w:tc>
          <w:tcPr>
            <w:tcW w:w="1592" w:type="pct"/>
            <w:noWrap w:val="0"/>
            <w:vAlign w:val="center"/>
          </w:tcPr>
          <w:p w14:paraId="2BC49249">
            <w:pPr>
              <w:pStyle w:val="104"/>
              <w:rPr>
                <w:rFonts w:hint="default" w:ascii="Times New Roman" w:hAnsi="Times New Roman" w:eastAsia="宋体" w:cs="Times New Roman"/>
              </w:rPr>
            </w:pPr>
          </w:p>
        </w:tc>
        <w:tc>
          <w:tcPr>
            <w:tcW w:w="596" w:type="pct"/>
            <w:noWrap w:val="0"/>
            <w:vAlign w:val="center"/>
          </w:tcPr>
          <w:p w14:paraId="486DAC59">
            <w:pPr>
              <w:pStyle w:val="104"/>
              <w:rPr>
                <w:rFonts w:hint="default" w:ascii="Times New Roman" w:hAnsi="Times New Roman" w:eastAsia="宋体" w:cs="Times New Roman"/>
              </w:rPr>
            </w:pPr>
            <w:r>
              <w:rPr>
                <w:rFonts w:hint="default" w:ascii="Times New Roman" w:hAnsi="Times New Roman" w:eastAsia="宋体" w:cs="Times New Roman"/>
              </w:rPr>
              <w:t>t/人•d</w:t>
            </w:r>
          </w:p>
        </w:tc>
        <w:tc>
          <w:tcPr>
            <w:tcW w:w="1021" w:type="pct"/>
            <w:noWrap w:val="0"/>
            <w:vAlign w:val="center"/>
          </w:tcPr>
          <w:p w14:paraId="24FB0001">
            <w:pPr>
              <w:pStyle w:val="104"/>
              <w:rPr>
                <w:rFonts w:hint="default" w:ascii="Times New Roman" w:hAnsi="Times New Roman" w:eastAsia="宋体" w:cs="Times New Roman"/>
              </w:rPr>
            </w:pPr>
            <w:r>
              <w:rPr>
                <w:rFonts w:hint="default" w:ascii="Times New Roman" w:hAnsi="Times New Roman" w:eastAsia="宋体" w:cs="Times New Roman"/>
              </w:rPr>
              <w:t>27.8</w:t>
            </w:r>
          </w:p>
        </w:tc>
        <w:tc>
          <w:tcPr>
            <w:tcW w:w="1078" w:type="pct"/>
            <w:noWrap w:val="0"/>
            <w:vAlign w:val="center"/>
          </w:tcPr>
          <w:p w14:paraId="5C170CD1">
            <w:pPr>
              <w:pStyle w:val="104"/>
              <w:rPr>
                <w:rFonts w:hint="default" w:ascii="Times New Roman" w:hAnsi="Times New Roman" w:eastAsia="宋体" w:cs="Times New Roman"/>
              </w:rPr>
            </w:pPr>
          </w:p>
        </w:tc>
      </w:tr>
      <w:tr w14:paraId="30F5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C491863">
            <w:pPr>
              <w:pStyle w:val="104"/>
              <w:rPr>
                <w:rFonts w:hint="default" w:ascii="Times New Roman" w:hAnsi="Times New Roman" w:eastAsia="宋体" w:cs="Times New Roman"/>
              </w:rPr>
            </w:pPr>
            <w:r>
              <w:rPr>
                <w:rFonts w:hint="default" w:ascii="Times New Roman" w:hAnsi="Times New Roman" w:eastAsia="宋体" w:cs="Times New Roman"/>
              </w:rPr>
              <w:t>2.2</w:t>
            </w:r>
          </w:p>
        </w:tc>
        <w:tc>
          <w:tcPr>
            <w:tcW w:w="1592" w:type="pct"/>
            <w:noWrap w:val="0"/>
            <w:vAlign w:val="center"/>
          </w:tcPr>
          <w:p w14:paraId="3D3C8079">
            <w:pPr>
              <w:pStyle w:val="104"/>
              <w:rPr>
                <w:rFonts w:hint="default" w:ascii="Times New Roman" w:hAnsi="Times New Roman" w:eastAsia="宋体" w:cs="Times New Roman"/>
              </w:rPr>
            </w:pPr>
            <w:r>
              <w:rPr>
                <w:rFonts w:hint="default" w:ascii="Times New Roman" w:hAnsi="Times New Roman" w:eastAsia="宋体" w:cs="Times New Roman"/>
              </w:rPr>
              <w:t>全员实物劳动生产率</w:t>
            </w:r>
          </w:p>
        </w:tc>
        <w:tc>
          <w:tcPr>
            <w:tcW w:w="596" w:type="pct"/>
            <w:noWrap w:val="0"/>
            <w:vAlign w:val="center"/>
          </w:tcPr>
          <w:p w14:paraId="0CED52B4">
            <w:pPr>
              <w:pStyle w:val="104"/>
              <w:rPr>
                <w:rFonts w:hint="default" w:ascii="Times New Roman" w:hAnsi="Times New Roman" w:eastAsia="宋体" w:cs="Times New Roman"/>
              </w:rPr>
            </w:pPr>
            <w:r>
              <w:rPr>
                <w:rFonts w:hint="default" w:ascii="Times New Roman" w:hAnsi="Times New Roman" w:eastAsia="宋体" w:cs="Times New Roman"/>
              </w:rPr>
              <w:t>t/人•a</w:t>
            </w:r>
          </w:p>
        </w:tc>
        <w:tc>
          <w:tcPr>
            <w:tcW w:w="1021" w:type="pct"/>
            <w:noWrap w:val="0"/>
            <w:vAlign w:val="center"/>
          </w:tcPr>
          <w:p w14:paraId="571082A7">
            <w:pPr>
              <w:pStyle w:val="104"/>
              <w:rPr>
                <w:rFonts w:hint="default" w:ascii="Times New Roman" w:hAnsi="Times New Roman" w:eastAsia="宋体" w:cs="Times New Roman"/>
              </w:rPr>
            </w:pPr>
            <w:r>
              <w:rPr>
                <w:rFonts w:hint="default" w:ascii="Times New Roman" w:hAnsi="Times New Roman" w:eastAsia="宋体" w:cs="Times New Roman"/>
              </w:rPr>
              <w:t>6250</w:t>
            </w:r>
          </w:p>
        </w:tc>
        <w:tc>
          <w:tcPr>
            <w:tcW w:w="1078" w:type="pct"/>
            <w:noWrap w:val="0"/>
            <w:vAlign w:val="center"/>
          </w:tcPr>
          <w:p w14:paraId="6AAD5AF1">
            <w:pPr>
              <w:pStyle w:val="104"/>
              <w:rPr>
                <w:rFonts w:hint="default" w:ascii="Times New Roman" w:hAnsi="Times New Roman" w:eastAsia="宋体" w:cs="Times New Roman"/>
              </w:rPr>
            </w:pPr>
          </w:p>
        </w:tc>
      </w:tr>
      <w:tr w14:paraId="1771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2180405">
            <w:pPr>
              <w:pStyle w:val="104"/>
              <w:rPr>
                <w:rFonts w:hint="default" w:ascii="Times New Roman" w:hAnsi="Times New Roman" w:eastAsia="宋体" w:cs="Times New Roman"/>
              </w:rPr>
            </w:pPr>
            <w:r>
              <w:rPr>
                <w:rFonts w:hint="default" w:ascii="Times New Roman" w:hAnsi="Times New Roman" w:eastAsia="宋体" w:cs="Times New Roman"/>
              </w:rPr>
              <w:t>2.2.1</w:t>
            </w:r>
          </w:p>
        </w:tc>
        <w:tc>
          <w:tcPr>
            <w:tcW w:w="1592" w:type="pct"/>
            <w:noWrap w:val="0"/>
            <w:vAlign w:val="center"/>
          </w:tcPr>
          <w:p w14:paraId="2090BC04">
            <w:pPr>
              <w:pStyle w:val="104"/>
              <w:rPr>
                <w:rFonts w:hint="default" w:ascii="Times New Roman" w:hAnsi="Times New Roman" w:eastAsia="宋体" w:cs="Times New Roman"/>
              </w:rPr>
            </w:pPr>
          </w:p>
        </w:tc>
        <w:tc>
          <w:tcPr>
            <w:tcW w:w="596" w:type="pct"/>
            <w:noWrap w:val="0"/>
            <w:vAlign w:val="center"/>
          </w:tcPr>
          <w:p w14:paraId="597E76B6">
            <w:pPr>
              <w:pStyle w:val="104"/>
              <w:rPr>
                <w:rFonts w:hint="default" w:ascii="Times New Roman" w:hAnsi="Times New Roman" w:eastAsia="宋体" w:cs="Times New Roman"/>
              </w:rPr>
            </w:pPr>
            <w:r>
              <w:rPr>
                <w:rFonts w:hint="default" w:ascii="Times New Roman" w:hAnsi="Times New Roman" w:eastAsia="宋体" w:cs="Times New Roman"/>
              </w:rPr>
              <w:t>t/人•d</w:t>
            </w:r>
          </w:p>
        </w:tc>
        <w:tc>
          <w:tcPr>
            <w:tcW w:w="1021" w:type="pct"/>
            <w:noWrap w:val="0"/>
            <w:vAlign w:val="center"/>
          </w:tcPr>
          <w:p w14:paraId="106AC218">
            <w:pPr>
              <w:pStyle w:val="104"/>
              <w:rPr>
                <w:rFonts w:hint="default" w:ascii="Times New Roman" w:hAnsi="Times New Roman" w:eastAsia="宋体" w:cs="Times New Roman"/>
              </w:rPr>
            </w:pPr>
            <w:r>
              <w:rPr>
                <w:rFonts w:hint="default" w:ascii="Times New Roman" w:hAnsi="Times New Roman" w:eastAsia="宋体" w:cs="Times New Roman"/>
              </w:rPr>
              <w:t>20.8</w:t>
            </w:r>
          </w:p>
        </w:tc>
        <w:tc>
          <w:tcPr>
            <w:tcW w:w="1078" w:type="pct"/>
            <w:noWrap w:val="0"/>
            <w:vAlign w:val="center"/>
          </w:tcPr>
          <w:p w14:paraId="5BFE1517">
            <w:pPr>
              <w:pStyle w:val="104"/>
              <w:rPr>
                <w:rFonts w:hint="default" w:ascii="Times New Roman" w:hAnsi="Times New Roman" w:eastAsia="宋体" w:cs="Times New Roman"/>
              </w:rPr>
            </w:pPr>
          </w:p>
        </w:tc>
      </w:tr>
      <w:tr w14:paraId="7BC6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3136405">
            <w:pPr>
              <w:pStyle w:val="104"/>
              <w:rPr>
                <w:rFonts w:hint="default" w:ascii="Times New Roman" w:hAnsi="Times New Roman" w:eastAsia="宋体" w:cs="Times New Roman"/>
              </w:rPr>
            </w:pPr>
            <w:r>
              <w:rPr>
                <w:rFonts w:hint="default" w:ascii="Times New Roman" w:hAnsi="Times New Roman" w:eastAsia="宋体" w:cs="Times New Roman"/>
              </w:rPr>
              <w:t>八</w:t>
            </w:r>
          </w:p>
        </w:tc>
        <w:tc>
          <w:tcPr>
            <w:tcW w:w="1592" w:type="pct"/>
            <w:noWrap w:val="0"/>
            <w:vAlign w:val="center"/>
          </w:tcPr>
          <w:p w14:paraId="5F7F1AF4">
            <w:pPr>
              <w:pStyle w:val="104"/>
              <w:rPr>
                <w:rFonts w:hint="default" w:ascii="Times New Roman" w:hAnsi="Times New Roman" w:eastAsia="宋体" w:cs="Times New Roman"/>
              </w:rPr>
            </w:pPr>
            <w:r>
              <w:rPr>
                <w:rFonts w:hint="default" w:ascii="Times New Roman" w:hAnsi="Times New Roman" w:eastAsia="宋体" w:cs="Times New Roman"/>
              </w:rPr>
              <w:t>投资及资金筹措</w:t>
            </w:r>
          </w:p>
        </w:tc>
        <w:tc>
          <w:tcPr>
            <w:tcW w:w="596" w:type="pct"/>
            <w:noWrap w:val="0"/>
            <w:vAlign w:val="center"/>
          </w:tcPr>
          <w:p w14:paraId="02E9149F">
            <w:pPr>
              <w:pStyle w:val="104"/>
              <w:rPr>
                <w:rFonts w:hint="default" w:ascii="Times New Roman" w:hAnsi="Times New Roman" w:eastAsia="宋体" w:cs="Times New Roman"/>
              </w:rPr>
            </w:pPr>
          </w:p>
        </w:tc>
        <w:tc>
          <w:tcPr>
            <w:tcW w:w="1021" w:type="pct"/>
            <w:noWrap w:val="0"/>
            <w:vAlign w:val="center"/>
          </w:tcPr>
          <w:p w14:paraId="7DDB7F11">
            <w:pPr>
              <w:pStyle w:val="104"/>
              <w:rPr>
                <w:rFonts w:hint="default" w:ascii="Times New Roman" w:hAnsi="Times New Roman" w:eastAsia="宋体" w:cs="Times New Roman"/>
              </w:rPr>
            </w:pPr>
          </w:p>
        </w:tc>
        <w:tc>
          <w:tcPr>
            <w:tcW w:w="1078" w:type="pct"/>
            <w:noWrap w:val="0"/>
            <w:vAlign w:val="center"/>
          </w:tcPr>
          <w:p w14:paraId="1F1CD59E">
            <w:pPr>
              <w:pStyle w:val="104"/>
              <w:rPr>
                <w:rFonts w:hint="default" w:ascii="Times New Roman" w:hAnsi="Times New Roman" w:eastAsia="宋体" w:cs="Times New Roman"/>
              </w:rPr>
            </w:pPr>
          </w:p>
        </w:tc>
      </w:tr>
      <w:tr w14:paraId="4904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9C0524D">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105FAF14">
            <w:pPr>
              <w:pStyle w:val="104"/>
              <w:rPr>
                <w:rFonts w:hint="default" w:ascii="Times New Roman" w:hAnsi="Times New Roman" w:eastAsia="宋体" w:cs="Times New Roman"/>
              </w:rPr>
            </w:pPr>
            <w:r>
              <w:rPr>
                <w:rFonts w:hint="default" w:ascii="Times New Roman" w:hAnsi="Times New Roman" w:eastAsia="宋体" w:cs="Times New Roman"/>
              </w:rPr>
              <w:t>建设项目总投资</w:t>
            </w:r>
          </w:p>
        </w:tc>
        <w:tc>
          <w:tcPr>
            <w:tcW w:w="596" w:type="pct"/>
            <w:noWrap w:val="0"/>
            <w:vAlign w:val="center"/>
          </w:tcPr>
          <w:p w14:paraId="5646D0AD">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75099079">
            <w:pPr>
              <w:pStyle w:val="104"/>
              <w:rPr>
                <w:rFonts w:hint="default" w:ascii="Times New Roman" w:hAnsi="Times New Roman" w:eastAsia="宋体" w:cs="Times New Roman"/>
              </w:rPr>
            </w:pPr>
            <w:r>
              <w:rPr>
                <w:rFonts w:hint="default" w:ascii="Times New Roman" w:hAnsi="Times New Roman" w:eastAsia="宋体" w:cs="Times New Roman"/>
              </w:rPr>
              <w:t>767.29</w:t>
            </w:r>
          </w:p>
        </w:tc>
        <w:tc>
          <w:tcPr>
            <w:tcW w:w="1078" w:type="pct"/>
            <w:noWrap w:val="0"/>
            <w:vAlign w:val="center"/>
          </w:tcPr>
          <w:p w14:paraId="4AA506FE">
            <w:pPr>
              <w:pStyle w:val="104"/>
              <w:rPr>
                <w:rFonts w:hint="default" w:ascii="Times New Roman" w:hAnsi="Times New Roman" w:eastAsia="宋体" w:cs="Times New Roman"/>
              </w:rPr>
            </w:pPr>
          </w:p>
        </w:tc>
      </w:tr>
      <w:tr w14:paraId="1BDE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BE4A1B3">
            <w:pPr>
              <w:pStyle w:val="104"/>
              <w:rPr>
                <w:rFonts w:hint="default" w:ascii="Times New Roman" w:hAnsi="Times New Roman" w:eastAsia="宋体" w:cs="Times New Roman"/>
              </w:rPr>
            </w:pPr>
            <w:r>
              <w:rPr>
                <w:rFonts w:hint="default" w:ascii="Times New Roman" w:hAnsi="Times New Roman" w:eastAsia="宋体" w:cs="Times New Roman"/>
              </w:rPr>
              <w:t>1.1</w:t>
            </w:r>
          </w:p>
        </w:tc>
        <w:tc>
          <w:tcPr>
            <w:tcW w:w="1592" w:type="pct"/>
            <w:noWrap w:val="0"/>
            <w:vAlign w:val="center"/>
          </w:tcPr>
          <w:p w14:paraId="7A2B7FFB">
            <w:pPr>
              <w:pStyle w:val="104"/>
              <w:rPr>
                <w:rFonts w:hint="default" w:ascii="Times New Roman" w:hAnsi="Times New Roman" w:eastAsia="宋体" w:cs="Times New Roman"/>
              </w:rPr>
            </w:pPr>
            <w:r>
              <w:rPr>
                <w:rFonts w:hint="default" w:ascii="Times New Roman" w:hAnsi="Times New Roman" w:eastAsia="宋体" w:cs="Times New Roman"/>
              </w:rPr>
              <w:t>利用原有资产</w:t>
            </w:r>
          </w:p>
        </w:tc>
        <w:tc>
          <w:tcPr>
            <w:tcW w:w="596" w:type="pct"/>
            <w:noWrap w:val="0"/>
            <w:vAlign w:val="center"/>
          </w:tcPr>
          <w:p w14:paraId="622B0561">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6EC7AECF">
            <w:pPr>
              <w:pStyle w:val="104"/>
              <w:rPr>
                <w:rFonts w:hint="default" w:ascii="Times New Roman" w:hAnsi="Times New Roman" w:eastAsia="宋体" w:cs="Times New Roman"/>
              </w:rPr>
            </w:pPr>
            <w:r>
              <w:rPr>
                <w:rFonts w:hint="default" w:ascii="Times New Roman" w:hAnsi="Times New Roman" w:eastAsia="宋体" w:cs="Times New Roman"/>
              </w:rPr>
              <w:t>194.15</w:t>
            </w:r>
          </w:p>
        </w:tc>
        <w:tc>
          <w:tcPr>
            <w:tcW w:w="1078" w:type="pct"/>
            <w:noWrap w:val="0"/>
            <w:vAlign w:val="center"/>
          </w:tcPr>
          <w:p w14:paraId="4C655203">
            <w:pPr>
              <w:pStyle w:val="104"/>
              <w:rPr>
                <w:rFonts w:hint="default" w:ascii="Times New Roman" w:hAnsi="Times New Roman" w:eastAsia="宋体" w:cs="Times New Roman"/>
              </w:rPr>
            </w:pPr>
          </w:p>
        </w:tc>
      </w:tr>
      <w:tr w14:paraId="2CD0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880910D">
            <w:pPr>
              <w:pStyle w:val="104"/>
              <w:rPr>
                <w:rFonts w:hint="default" w:ascii="Times New Roman" w:hAnsi="Times New Roman" w:eastAsia="宋体" w:cs="Times New Roman"/>
              </w:rPr>
            </w:pPr>
            <w:r>
              <w:rPr>
                <w:rFonts w:hint="default" w:ascii="Times New Roman" w:hAnsi="Times New Roman" w:eastAsia="宋体" w:cs="Times New Roman"/>
              </w:rPr>
              <w:t>1.2</w:t>
            </w:r>
          </w:p>
        </w:tc>
        <w:tc>
          <w:tcPr>
            <w:tcW w:w="1592" w:type="pct"/>
            <w:noWrap w:val="0"/>
            <w:vAlign w:val="center"/>
          </w:tcPr>
          <w:p w14:paraId="1E08ED4F">
            <w:pPr>
              <w:pStyle w:val="104"/>
              <w:rPr>
                <w:rFonts w:hint="default" w:ascii="Times New Roman" w:hAnsi="Times New Roman" w:eastAsia="宋体" w:cs="Times New Roman"/>
              </w:rPr>
            </w:pPr>
            <w:r>
              <w:rPr>
                <w:rFonts w:hint="default" w:ascii="Times New Roman" w:hAnsi="Times New Roman" w:eastAsia="宋体" w:cs="Times New Roman"/>
              </w:rPr>
              <w:t>建设投资</w:t>
            </w:r>
          </w:p>
        </w:tc>
        <w:tc>
          <w:tcPr>
            <w:tcW w:w="596" w:type="pct"/>
            <w:noWrap w:val="0"/>
            <w:vAlign w:val="center"/>
          </w:tcPr>
          <w:p w14:paraId="0E457527">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3D2D1E44">
            <w:pPr>
              <w:pStyle w:val="104"/>
              <w:rPr>
                <w:rFonts w:hint="default" w:ascii="Times New Roman" w:hAnsi="Times New Roman" w:eastAsia="宋体" w:cs="Times New Roman"/>
              </w:rPr>
            </w:pPr>
            <w:r>
              <w:rPr>
                <w:rFonts w:hint="default" w:ascii="Times New Roman" w:hAnsi="Times New Roman" w:eastAsia="宋体" w:cs="Times New Roman"/>
              </w:rPr>
              <w:t>552.49</w:t>
            </w:r>
          </w:p>
        </w:tc>
        <w:tc>
          <w:tcPr>
            <w:tcW w:w="1078" w:type="pct"/>
            <w:noWrap w:val="0"/>
            <w:vAlign w:val="center"/>
          </w:tcPr>
          <w:p w14:paraId="3C7A96F0">
            <w:pPr>
              <w:pStyle w:val="104"/>
              <w:rPr>
                <w:rFonts w:hint="default" w:ascii="Times New Roman" w:hAnsi="Times New Roman" w:eastAsia="宋体" w:cs="Times New Roman"/>
              </w:rPr>
            </w:pPr>
          </w:p>
        </w:tc>
      </w:tr>
      <w:tr w14:paraId="5082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1342902">
            <w:pPr>
              <w:pStyle w:val="104"/>
              <w:rPr>
                <w:rFonts w:hint="default" w:ascii="Times New Roman" w:hAnsi="Times New Roman" w:eastAsia="宋体" w:cs="Times New Roman"/>
              </w:rPr>
            </w:pPr>
            <w:r>
              <w:rPr>
                <w:rFonts w:hint="default" w:ascii="Times New Roman" w:hAnsi="Times New Roman" w:eastAsia="宋体" w:cs="Times New Roman"/>
              </w:rPr>
              <w:t>1.3</w:t>
            </w:r>
          </w:p>
        </w:tc>
        <w:tc>
          <w:tcPr>
            <w:tcW w:w="1592" w:type="pct"/>
            <w:noWrap w:val="0"/>
            <w:vAlign w:val="center"/>
          </w:tcPr>
          <w:p w14:paraId="4CD491B6">
            <w:pPr>
              <w:pStyle w:val="104"/>
              <w:rPr>
                <w:rFonts w:hint="default" w:ascii="Times New Roman" w:hAnsi="Times New Roman" w:eastAsia="宋体" w:cs="Times New Roman"/>
              </w:rPr>
            </w:pPr>
            <w:r>
              <w:rPr>
                <w:rFonts w:hint="default" w:ascii="Times New Roman" w:hAnsi="Times New Roman" w:eastAsia="宋体" w:cs="Times New Roman"/>
              </w:rPr>
              <w:t>建设期利息</w:t>
            </w:r>
          </w:p>
        </w:tc>
        <w:tc>
          <w:tcPr>
            <w:tcW w:w="596" w:type="pct"/>
            <w:noWrap w:val="0"/>
            <w:vAlign w:val="center"/>
          </w:tcPr>
          <w:p w14:paraId="10757E7D">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34E4F637">
            <w:pPr>
              <w:pStyle w:val="104"/>
              <w:rPr>
                <w:rFonts w:hint="default" w:ascii="Times New Roman" w:hAnsi="Times New Roman" w:eastAsia="宋体" w:cs="Times New Roman"/>
              </w:rPr>
            </w:pPr>
            <w:r>
              <w:rPr>
                <w:rFonts w:hint="default" w:ascii="Times New Roman" w:hAnsi="Times New Roman" w:eastAsia="宋体" w:cs="Times New Roman"/>
              </w:rPr>
              <w:t>0.00</w:t>
            </w:r>
          </w:p>
        </w:tc>
        <w:tc>
          <w:tcPr>
            <w:tcW w:w="1078" w:type="pct"/>
            <w:noWrap w:val="0"/>
            <w:vAlign w:val="center"/>
          </w:tcPr>
          <w:p w14:paraId="79BCE60E">
            <w:pPr>
              <w:pStyle w:val="104"/>
              <w:rPr>
                <w:rFonts w:hint="default" w:ascii="Times New Roman" w:hAnsi="Times New Roman" w:eastAsia="宋体" w:cs="Times New Roman"/>
              </w:rPr>
            </w:pPr>
          </w:p>
        </w:tc>
      </w:tr>
      <w:tr w14:paraId="2ACA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42CCDAB1">
            <w:pPr>
              <w:pStyle w:val="104"/>
              <w:rPr>
                <w:rFonts w:hint="default" w:ascii="Times New Roman" w:hAnsi="Times New Roman" w:eastAsia="宋体" w:cs="Times New Roman"/>
              </w:rPr>
            </w:pPr>
            <w:r>
              <w:rPr>
                <w:rFonts w:hint="default" w:ascii="Times New Roman" w:hAnsi="Times New Roman" w:eastAsia="宋体" w:cs="Times New Roman"/>
              </w:rPr>
              <w:t>1.4</w:t>
            </w:r>
          </w:p>
        </w:tc>
        <w:tc>
          <w:tcPr>
            <w:tcW w:w="1592" w:type="pct"/>
            <w:noWrap w:val="0"/>
            <w:vAlign w:val="center"/>
          </w:tcPr>
          <w:p w14:paraId="2B591A18">
            <w:pPr>
              <w:pStyle w:val="104"/>
              <w:rPr>
                <w:rFonts w:hint="default" w:ascii="Times New Roman" w:hAnsi="Times New Roman" w:eastAsia="宋体" w:cs="Times New Roman"/>
              </w:rPr>
            </w:pPr>
            <w:r>
              <w:rPr>
                <w:rFonts w:hint="default" w:ascii="Times New Roman" w:hAnsi="Times New Roman" w:eastAsia="宋体" w:cs="Times New Roman"/>
              </w:rPr>
              <w:t>流动资金</w:t>
            </w:r>
          </w:p>
        </w:tc>
        <w:tc>
          <w:tcPr>
            <w:tcW w:w="596" w:type="pct"/>
            <w:noWrap w:val="0"/>
            <w:vAlign w:val="center"/>
          </w:tcPr>
          <w:p w14:paraId="69965162">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47A69F1F">
            <w:pPr>
              <w:pStyle w:val="104"/>
              <w:rPr>
                <w:rFonts w:hint="default" w:ascii="Times New Roman" w:hAnsi="Times New Roman" w:eastAsia="宋体" w:cs="Times New Roman"/>
              </w:rPr>
            </w:pPr>
            <w:r>
              <w:rPr>
                <w:rFonts w:hint="default" w:ascii="Times New Roman" w:hAnsi="Times New Roman" w:eastAsia="宋体" w:cs="Times New Roman"/>
              </w:rPr>
              <w:t>20.65</w:t>
            </w:r>
          </w:p>
        </w:tc>
        <w:tc>
          <w:tcPr>
            <w:tcW w:w="1078" w:type="pct"/>
            <w:noWrap w:val="0"/>
            <w:vAlign w:val="center"/>
          </w:tcPr>
          <w:p w14:paraId="1C82E6E8">
            <w:pPr>
              <w:pStyle w:val="104"/>
              <w:rPr>
                <w:rFonts w:hint="default" w:ascii="Times New Roman" w:hAnsi="Times New Roman" w:eastAsia="宋体" w:cs="Times New Roman"/>
              </w:rPr>
            </w:pPr>
          </w:p>
        </w:tc>
      </w:tr>
      <w:tr w14:paraId="5695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1DE6D13">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92" w:type="pct"/>
            <w:noWrap w:val="0"/>
            <w:vAlign w:val="center"/>
          </w:tcPr>
          <w:p w14:paraId="2895648E">
            <w:pPr>
              <w:pStyle w:val="104"/>
              <w:rPr>
                <w:rFonts w:hint="default" w:ascii="Times New Roman" w:hAnsi="Times New Roman" w:eastAsia="宋体" w:cs="Times New Roman"/>
              </w:rPr>
            </w:pPr>
            <w:r>
              <w:rPr>
                <w:rFonts w:hint="default" w:ascii="Times New Roman" w:hAnsi="Times New Roman" w:eastAsia="宋体" w:cs="Times New Roman"/>
              </w:rPr>
              <w:t>资金筹措</w:t>
            </w:r>
          </w:p>
        </w:tc>
        <w:tc>
          <w:tcPr>
            <w:tcW w:w="596" w:type="pct"/>
            <w:noWrap w:val="0"/>
            <w:vAlign w:val="center"/>
          </w:tcPr>
          <w:p w14:paraId="65FB5492">
            <w:pPr>
              <w:pStyle w:val="104"/>
              <w:rPr>
                <w:rFonts w:hint="default" w:ascii="Times New Roman" w:hAnsi="Times New Roman" w:eastAsia="宋体" w:cs="Times New Roman"/>
              </w:rPr>
            </w:pPr>
          </w:p>
        </w:tc>
        <w:tc>
          <w:tcPr>
            <w:tcW w:w="1740" w:type="dxa"/>
            <w:noWrap w:val="0"/>
            <w:vAlign w:val="center"/>
          </w:tcPr>
          <w:p w14:paraId="44393E53">
            <w:pPr>
              <w:pStyle w:val="104"/>
              <w:rPr>
                <w:rFonts w:hint="default" w:ascii="Times New Roman" w:hAnsi="Times New Roman" w:eastAsia="宋体" w:cs="Times New Roman"/>
              </w:rPr>
            </w:pPr>
          </w:p>
        </w:tc>
        <w:tc>
          <w:tcPr>
            <w:tcW w:w="1078" w:type="pct"/>
            <w:noWrap w:val="0"/>
            <w:vAlign w:val="center"/>
          </w:tcPr>
          <w:p w14:paraId="38851C63">
            <w:pPr>
              <w:pStyle w:val="104"/>
              <w:rPr>
                <w:rFonts w:hint="default" w:ascii="Times New Roman" w:hAnsi="Times New Roman" w:eastAsia="宋体" w:cs="Times New Roman"/>
              </w:rPr>
            </w:pPr>
          </w:p>
        </w:tc>
      </w:tr>
      <w:tr w14:paraId="6B7B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3E7813A">
            <w:pPr>
              <w:pStyle w:val="104"/>
              <w:rPr>
                <w:rFonts w:hint="default" w:ascii="Times New Roman" w:hAnsi="Times New Roman" w:eastAsia="宋体" w:cs="Times New Roman"/>
              </w:rPr>
            </w:pPr>
            <w:r>
              <w:rPr>
                <w:rFonts w:hint="default" w:ascii="Times New Roman" w:hAnsi="Times New Roman" w:eastAsia="宋体" w:cs="Times New Roman"/>
              </w:rPr>
              <w:t>2.1</w:t>
            </w:r>
          </w:p>
        </w:tc>
        <w:tc>
          <w:tcPr>
            <w:tcW w:w="1592" w:type="pct"/>
            <w:noWrap w:val="0"/>
            <w:vAlign w:val="center"/>
          </w:tcPr>
          <w:p w14:paraId="2FDDD6D8">
            <w:pPr>
              <w:pStyle w:val="104"/>
              <w:rPr>
                <w:rFonts w:hint="default" w:ascii="Times New Roman" w:hAnsi="Times New Roman" w:eastAsia="宋体" w:cs="Times New Roman"/>
              </w:rPr>
            </w:pPr>
            <w:r>
              <w:rPr>
                <w:rFonts w:hint="default" w:ascii="Times New Roman" w:hAnsi="Times New Roman" w:eastAsia="宋体" w:cs="Times New Roman"/>
              </w:rPr>
              <w:t>资本金</w:t>
            </w:r>
          </w:p>
        </w:tc>
        <w:tc>
          <w:tcPr>
            <w:tcW w:w="596" w:type="pct"/>
            <w:noWrap w:val="0"/>
            <w:vAlign w:val="center"/>
          </w:tcPr>
          <w:p w14:paraId="5101E3F5">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5B028E2C">
            <w:pPr>
              <w:pStyle w:val="104"/>
              <w:rPr>
                <w:rFonts w:hint="default" w:ascii="Times New Roman" w:hAnsi="Times New Roman" w:eastAsia="宋体" w:cs="Times New Roman"/>
              </w:rPr>
            </w:pPr>
            <w:r>
              <w:rPr>
                <w:rFonts w:hint="default" w:ascii="Times New Roman" w:hAnsi="Times New Roman" w:eastAsia="宋体" w:cs="Times New Roman"/>
              </w:rPr>
              <w:t>767.29</w:t>
            </w:r>
          </w:p>
        </w:tc>
        <w:tc>
          <w:tcPr>
            <w:tcW w:w="1078" w:type="pct"/>
            <w:noWrap w:val="0"/>
            <w:vAlign w:val="center"/>
          </w:tcPr>
          <w:p w14:paraId="3E9BCEAE">
            <w:pPr>
              <w:pStyle w:val="104"/>
              <w:rPr>
                <w:rFonts w:hint="default" w:ascii="Times New Roman" w:hAnsi="Times New Roman" w:eastAsia="宋体" w:cs="Times New Roman"/>
              </w:rPr>
            </w:pPr>
          </w:p>
        </w:tc>
      </w:tr>
      <w:tr w14:paraId="5F1A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DC13F3C">
            <w:pPr>
              <w:pStyle w:val="104"/>
              <w:rPr>
                <w:rFonts w:hint="default" w:ascii="Times New Roman" w:hAnsi="Times New Roman" w:eastAsia="宋体" w:cs="Times New Roman"/>
              </w:rPr>
            </w:pPr>
            <w:r>
              <w:rPr>
                <w:rFonts w:hint="default" w:ascii="Times New Roman" w:hAnsi="Times New Roman" w:eastAsia="宋体" w:cs="Times New Roman"/>
              </w:rPr>
              <w:t>2.2</w:t>
            </w:r>
          </w:p>
        </w:tc>
        <w:tc>
          <w:tcPr>
            <w:tcW w:w="1592" w:type="pct"/>
            <w:noWrap w:val="0"/>
            <w:vAlign w:val="center"/>
          </w:tcPr>
          <w:p w14:paraId="323743FA">
            <w:pPr>
              <w:pStyle w:val="104"/>
              <w:rPr>
                <w:rFonts w:hint="default" w:ascii="Times New Roman" w:hAnsi="Times New Roman" w:eastAsia="宋体" w:cs="Times New Roman"/>
              </w:rPr>
            </w:pPr>
            <w:r>
              <w:rPr>
                <w:rFonts w:hint="default" w:ascii="Times New Roman" w:hAnsi="Times New Roman" w:eastAsia="宋体" w:cs="Times New Roman"/>
              </w:rPr>
              <w:t>利用原有资产</w:t>
            </w:r>
          </w:p>
        </w:tc>
        <w:tc>
          <w:tcPr>
            <w:tcW w:w="596" w:type="pct"/>
            <w:noWrap w:val="0"/>
            <w:vAlign w:val="center"/>
          </w:tcPr>
          <w:p w14:paraId="4F5C292F">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2C096B4E">
            <w:pPr>
              <w:pStyle w:val="104"/>
              <w:rPr>
                <w:rFonts w:hint="default" w:ascii="Times New Roman" w:hAnsi="Times New Roman" w:eastAsia="宋体" w:cs="Times New Roman"/>
              </w:rPr>
            </w:pPr>
            <w:r>
              <w:rPr>
                <w:rFonts w:hint="default" w:ascii="Times New Roman" w:hAnsi="Times New Roman" w:eastAsia="宋体" w:cs="Times New Roman"/>
              </w:rPr>
              <w:t>194.15</w:t>
            </w:r>
          </w:p>
        </w:tc>
        <w:tc>
          <w:tcPr>
            <w:tcW w:w="1078" w:type="pct"/>
            <w:noWrap w:val="0"/>
            <w:vAlign w:val="center"/>
          </w:tcPr>
          <w:p w14:paraId="6E75A41C">
            <w:pPr>
              <w:pStyle w:val="104"/>
              <w:rPr>
                <w:rFonts w:hint="default" w:ascii="Times New Roman" w:hAnsi="Times New Roman" w:eastAsia="宋体" w:cs="Times New Roman"/>
              </w:rPr>
            </w:pPr>
          </w:p>
        </w:tc>
      </w:tr>
      <w:tr w14:paraId="0AA3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9D0F2C5">
            <w:pPr>
              <w:pStyle w:val="104"/>
              <w:rPr>
                <w:rFonts w:hint="default" w:ascii="Times New Roman" w:hAnsi="Times New Roman" w:eastAsia="宋体" w:cs="Times New Roman"/>
              </w:rPr>
            </w:pPr>
            <w:r>
              <w:rPr>
                <w:rFonts w:hint="default" w:ascii="Times New Roman" w:hAnsi="Times New Roman" w:eastAsia="宋体" w:cs="Times New Roman"/>
              </w:rPr>
              <w:t>2.3</w:t>
            </w:r>
          </w:p>
        </w:tc>
        <w:tc>
          <w:tcPr>
            <w:tcW w:w="1592" w:type="pct"/>
            <w:noWrap w:val="0"/>
            <w:vAlign w:val="center"/>
          </w:tcPr>
          <w:p w14:paraId="573A6E9C">
            <w:pPr>
              <w:pStyle w:val="104"/>
              <w:rPr>
                <w:rFonts w:hint="default" w:ascii="Times New Roman" w:hAnsi="Times New Roman" w:eastAsia="宋体" w:cs="Times New Roman"/>
              </w:rPr>
            </w:pPr>
            <w:r>
              <w:rPr>
                <w:rFonts w:hint="default" w:ascii="Times New Roman" w:hAnsi="Times New Roman" w:eastAsia="宋体" w:cs="Times New Roman"/>
              </w:rPr>
              <w:t>建设投资部分</w:t>
            </w:r>
          </w:p>
        </w:tc>
        <w:tc>
          <w:tcPr>
            <w:tcW w:w="596" w:type="pct"/>
            <w:noWrap w:val="0"/>
            <w:vAlign w:val="center"/>
          </w:tcPr>
          <w:p w14:paraId="1B9AACFB">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04390BE4">
            <w:pPr>
              <w:pStyle w:val="104"/>
              <w:rPr>
                <w:rFonts w:hint="default" w:ascii="Times New Roman" w:hAnsi="Times New Roman" w:eastAsia="宋体" w:cs="Times New Roman"/>
              </w:rPr>
            </w:pPr>
            <w:r>
              <w:rPr>
                <w:rFonts w:hint="default" w:ascii="Times New Roman" w:hAnsi="Times New Roman" w:eastAsia="宋体" w:cs="Times New Roman"/>
              </w:rPr>
              <w:t>552.49</w:t>
            </w:r>
          </w:p>
        </w:tc>
        <w:tc>
          <w:tcPr>
            <w:tcW w:w="1078" w:type="pct"/>
            <w:noWrap w:val="0"/>
            <w:vAlign w:val="center"/>
          </w:tcPr>
          <w:p w14:paraId="2E4D263F">
            <w:pPr>
              <w:pStyle w:val="104"/>
              <w:rPr>
                <w:rFonts w:hint="default" w:ascii="Times New Roman" w:hAnsi="Times New Roman" w:eastAsia="宋体" w:cs="Times New Roman"/>
              </w:rPr>
            </w:pPr>
          </w:p>
        </w:tc>
      </w:tr>
      <w:tr w14:paraId="56FF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ED4ED12">
            <w:pPr>
              <w:pStyle w:val="104"/>
              <w:rPr>
                <w:rFonts w:hint="default" w:ascii="Times New Roman" w:hAnsi="Times New Roman" w:eastAsia="宋体" w:cs="Times New Roman"/>
              </w:rPr>
            </w:pPr>
            <w:r>
              <w:rPr>
                <w:rFonts w:hint="default" w:ascii="Times New Roman" w:hAnsi="Times New Roman" w:eastAsia="宋体" w:cs="Times New Roman"/>
              </w:rPr>
              <w:t>2.4</w:t>
            </w:r>
          </w:p>
        </w:tc>
        <w:tc>
          <w:tcPr>
            <w:tcW w:w="1592" w:type="pct"/>
            <w:noWrap w:val="0"/>
            <w:vAlign w:val="center"/>
          </w:tcPr>
          <w:p w14:paraId="745731FE">
            <w:pPr>
              <w:pStyle w:val="104"/>
              <w:rPr>
                <w:rFonts w:hint="default" w:ascii="Times New Roman" w:hAnsi="Times New Roman" w:eastAsia="宋体" w:cs="Times New Roman"/>
              </w:rPr>
            </w:pPr>
            <w:r>
              <w:rPr>
                <w:rFonts w:hint="default" w:ascii="Times New Roman" w:hAnsi="Times New Roman" w:eastAsia="宋体" w:cs="Times New Roman"/>
              </w:rPr>
              <w:t>流动资金部分</w:t>
            </w:r>
          </w:p>
        </w:tc>
        <w:tc>
          <w:tcPr>
            <w:tcW w:w="596" w:type="pct"/>
            <w:noWrap w:val="0"/>
            <w:vAlign w:val="center"/>
          </w:tcPr>
          <w:p w14:paraId="03B4434E">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7ED17B10">
            <w:pPr>
              <w:pStyle w:val="104"/>
              <w:rPr>
                <w:rFonts w:hint="default" w:ascii="Times New Roman" w:hAnsi="Times New Roman" w:eastAsia="宋体" w:cs="Times New Roman"/>
              </w:rPr>
            </w:pPr>
            <w:r>
              <w:rPr>
                <w:rFonts w:hint="default" w:ascii="Times New Roman" w:hAnsi="Times New Roman" w:eastAsia="宋体" w:cs="Times New Roman"/>
              </w:rPr>
              <w:t>20.65</w:t>
            </w:r>
          </w:p>
        </w:tc>
        <w:tc>
          <w:tcPr>
            <w:tcW w:w="1078" w:type="pct"/>
            <w:noWrap w:val="0"/>
            <w:vAlign w:val="center"/>
          </w:tcPr>
          <w:p w14:paraId="1A5168A8">
            <w:pPr>
              <w:pStyle w:val="104"/>
              <w:rPr>
                <w:rFonts w:hint="default" w:ascii="Times New Roman" w:hAnsi="Times New Roman" w:eastAsia="宋体" w:cs="Times New Roman"/>
              </w:rPr>
            </w:pPr>
          </w:p>
        </w:tc>
      </w:tr>
      <w:tr w14:paraId="2774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D7EA2E5">
            <w:pPr>
              <w:pStyle w:val="104"/>
              <w:rPr>
                <w:rFonts w:hint="default" w:ascii="Times New Roman" w:hAnsi="Times New Roman" w:eastAsia="宋体" w:cs="Times New Roman"/>
              </w:rPr>
            </w:pPr>
            <w:r>
              <w:rPr>
                <w:rFonts w:hint="default" w:ascii="Times New Roman" w:hAnsi="Times New Roman" w:eastAsia="宋体" w:cs="Times New Roman"/>
              </w:rPr>
              <w:t>九</w:t>
            </w:r>
          </w:p>
        </w:tc>
        <w:tc>
          <w:tcPr>
            <w:tcW w:w="1592" w:type="pct"/>
            <w:noWrap w:val="0"/>
            <w:vAlign w:val="center"/>
          </w:tcPr>
          <w:p w14:paraId="52DA14CD">
            <w:pPr>
              <w:pStyle w:val="104"/>
              <w:rPr>
                <w:rFonts w:hint="default" w:ascii="Times New Roman" w:hAnsi="Times New Roman" w:eastAsia="宋体" w:cs="Times New Roman"/>
              </w:rPr>
            </w:pPr>
            <w:r>
              <w:rPr>
                <w:rFonts w:hint="default" w:ascii="Times New Roman" w:hAnsi="Times New Roman" w:eastAsia="宋体" w:cs="Times New Roman"/>
              </w:rPr>
              <w:t>成本及费用</w:t>
            </w:r>
          </w:p>
        </w:tc>
        <w:tc>
          <w:tcPr>
            <w:tcW w:w="596" w:type="pct"/>
            <w:noWrap w:val="0"/>
            <w:vAlign w:val="center"/>
          </w:tcPr>
          <w:p w14:paraId="342EA2DC">
            <w:pPr>
              <w:pStyle w:val="104"/>
              <w:rPr>
                <w:rFonts w:hint="default" w:ascii="Times New Roman" w:hAnsi="Times New Roman" w:eastAsia="宋体" w:cs="Times New Roman"/>
              </w:rPr>
            </w:pPr>
          </w:p>
        </w:tc>
        <w:tc>
          <w:tcPr>
            <w:tcW w:w="1021" w:type="pct"/>
            <w:noWrap w:val="0"/>
            <w:vAlign w:val="center"/>
          </w:tcPr>
          <w:p w14:paraId="72E60185">
            <w:pPr>
              <w:pStyle w:val="104"/>
              <w:rPr>
                <w:rFonts w:hint="default" w:ascii="Times New Roman" w:hAnsi="Times New Roman" w:eastAsia="宋体" w:cs="Times New Roman"/>
              </w:rPr>
            </w:pPr>
          </w:p>
        </w:tc>
        <w:tc>
          <w:tcPr>
            <w:tcW w:w="1078" w:type="pct"/>
            <w:noWrap w:val="0"/>
            <w:vAlign w:val="center"/>
          </w:tcPr>
          <w:p w14:paraId="31DA61B6">
            <w:pPr>
              <w:pStyle w:val="104"/>
              <w:rPr>
                <w:rFonts w:hint="default" w:ascii="Times New Roman" w:hAnsi="Times New Roman" w:eastAsia="宋体" w:cs="Times New Roman"/>
              </w:rPr>
            </w:pPr>
          </w:p>
        </w:tc>
      </w:tr>
      <w:tr w14:paraId="3D04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40F65964">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05FD5788">
            <w:pPr>
              <w:pStyle w:val="104"/>
              <w:rPr>
                <w:rFonts w:hint="default" w:ascii="Times New Roman" w:hAnsi="Times New Roman" w:eastAsia="宋体" w:cs="Times New Roman"/>
              </w:rPr>
            </w:pPr>
            <w:r>
              <w:rPr>
                <w:rFonts w:hint="default" w:ascii="Times New Roman" w:hAnsi="Times New Roman" w:eastAsia="宋体" w:cs="Times New Roman"/>
              </w:rPr>
              <w:t>总成本费用（不含税）</w:t>
            </w:r>
          </w:p>
        </w:tc>
        <w:tc>
          <w:tcPr>
            <w:tcW w:w="596" w:type="pct"/>
            <w:noWrap w:val="0"/>
            <w:vAlign w:val="center"/>
          </w:tcPr>
          <w:p w14:paraId="108D36B8">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11733395">
            <w:pPr>
              <w:pStyle w:val="104"/>
              <w:rPr>
                <w:rFonts w:hint="default" w:ascii="Times New Roman" w:hAnsi="Times New Roman" w:eastAsia="宋体" w:cs="Times New Roman"/>
              </w:rPr>
            </w:pPr>
            <w:r>
              <w:rPr>
                <w:rFonts w:hint="default" w:ascii="Times New Roman" w:hAnsi="Times New Roman" w:eastAsia="宋体" w:cs="Times New Roman"/>
              </w:rPr>
              <w:t>167.19</w:t>
            </w:r>
          </w:p>
        </w:tc>
        <w:tc>
          <w:tcPr>
            <w:tcW w:w="1078" w:type="pct"/>
            <w:noWrap w:val="0"/>
            <w:vAlign w:val="center"/>
          </w:tcPr>
          <w:p w14:paraId="3881E586">
            <w:pPr>
              <w:pStyle w:val="104"/>
              <w:rPr>
                <w:rFonts w:hint="default" w:ascii="Times New Roman" w:hAnsi="Times New Roman" w:eastAsia="宋体" w:cs="Times New Roman"/>
              </w:rPr>
            </w:pPr>
          </w:p>
        </w:tc>
      </w:tr>
      <w:tr w14:paraId="740B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B5F4884">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92" w:type="pct"/>
            <w:noWrap w:val="0"/>
            <w:vAlign w:val="center"/>
          </w:tcPr>
          <w:p w14:paraId="05A3290F">
            <w:pPr>
              <w:pStyle w:val="104"/>
              <w:rPr>
                <w:rFonts w:hint="default" w:ascii="Times New Roman" w:hAnsi="Times New Roman" w:eastAsia="宋体" w:cs="Times New Roman"/>
              </w:rPr>
            </w:pPr>
            <w:r>
              <w:rPr>
                <w:rFonts w:hint="default" w:ascii="Times New Roman" w:hAnsi="Times New Roman" w:eastAsia="宋体" w:cs="Times New Roman"/>
              </w:rPr>
              <w:t>总成本费用（含税）</w:t>
            </w:r>
          </w:p>
        </w:tc>
        <w:tc>
          <w:tcPr>
            <w:tcW w:w="596" w:type="pct"/>
            <w:noWrap w:val="0"/>
            <w:vAlign w:val="center"/>
          </w:tcPr>
          <w:p w14:paraId="6E121514">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2FA62D3B">
            <w:pPr>
              <w:pStyle w:val="104"/>
              <w:rPr>
                <w:rFonts w:hint="default" w:ascii="Times New Roman" w:hAnsi="Times New Roman" w:eastAsia="宋体" w:cs="Times New Roman"/>
              </w:rPr>
            </w:pPr>
            <w:r>
              <w:rPr>
                <w:rFonts w:hint="default" w:ascii="Times New Roman" w:hAnsi="Times New Roman" w:eastAsia="宋体" w:cs="Times New Roman"/>
              </w:rPr>
              <w:t>176.73</w:t>
            </w:r>
          </w:p>
        </w:tc>
        <w:tc>
          <w:tcPr>
            <w:tcW w:w="1078" w:type="pct"/>
            <w:noWrap w:val="0"/>
            <w:vAlign w:val="center"/>
          </w:tcPr>
          <w:p w14:paraId="53815D50">
            <w:pPr>
              <w:pStyle w:val="104"/>
              <w:rPr>
                <w:rFonts w:hint="default" w:ascii="Times New Roman" w:hAnsi="Times New Roman" w:eastAsia="宋体" w:cs="Times New Roman"/>
              </w:rPr>
            </w:pPr>
          </w:p>
        </w:tc>
      </w:tr>
      <w:tr w14:paraId="0358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C57758C">
            <w:pPr>
              <w:pStyle w:val="104"/>
              <w:rPr>
                <w:rFonts w:hint="default" w:ascii="Times New Roman" w:hAnsi="Times New Roman" w:eastAsia="宋体" w:cs="Times New Roman"/>
              </w:rPr>
            </w:pPr>
          </w:p>
        </w:tc>
        <w:tc>
          <w:tcPr>
            <w:tcW w:w="1592" w:type="pct"/>
            <w:noWrap w:val="0"/>
            <w:vAlign w:val="center"/>
          </w:tcPr>
          <w:p w14:paraId="0FA44C21">
            <w:pPr>
              <w:pStyle w:val="104"/>
              <w:rPr>
                <w:rFonts w:hint="default" w:ascii="Times New Roman" w:hAnsi="Times New Roman" w:eastAsia="宋体" w:cs="Times New Roman"/>
              </w:rPr>
            </w:pPr>
            <w:r>
              <w:rPr>
                <w:rFonts w:hint="default" w:ascii="Times New Roman" w:hAnsi="Times New Roman" w:eastAsia="宋体" w:cs="Times New Roman"/>
              </w:rPr>
              <w:t>其中：制造成本</w:t>
            </w:r>
          </w:p>
        </w:tc>
        <w:tc>
          <w:tcPr>
            <w:tcW w:w="596" w:type="pct"/>
            <w:noWrap w:val="0"/>
            <w:vAlign w:val="center"/>
          </w:tcPr>
          <w:p w14:paraId="1AC825EC">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486437CF">
            <w:pPr>
              <w:pStyle w:val="104"/>
              <w:rPr>
                <w:rFonts w:hint="default" w:ascii="Times New Roman" w:hAnsi="Times New Roman" w:eastAsia="宋体" w:cs="Times New Roman"/>
              </w:rPr>
            </w:pPr>
            <w:r>
              <w:rPr>
                <w:rFonts w:hint="default" w:ascii="Times New Roman" w:hAnsi="Times New Roman" w:eastAsia="宋体" w:cs="Times New Roman"/>
              </w:rPr>
              <w:t>115.17</w:t>
            </w:r>
          </w:p>
        </w:tc>
        <w:tc>
          <w:tcPr>
            <w:tcW w:w="1078" w:type="pct"/>
            <w:noWrap w:val="0"/>
            <w:vAlign w:val="center"/>
          </w:tcPr>
          <w:p w14:paraId="1858E24C">
            <w:pPr>
              <w:pStyle w:val="104"/>
              <w:rPr>
                <w:rFonts w:hint="default" w:ascii="Times New Roman" w:hAnsi="Times New Roman" w:eastAsia="宋体" w:cs="Times New Roman"/>
              </w:rPr>
            </w:pPr>
          </w:p>
        </w:tc>
      </w:tr>
      <w:tr w14:paraId="0421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9BE29F5">
            <w:pPr>
              <w:pStyle w:val="104"/>
              <w:rPr>
                <w:rFonts w:hint="default" w:ascii="Times New Roman" w:hAnsi="Times New Roman" w:eastAsia="宋体" w:cs="Times New Roman"/>
              </w:rPr>
            </w:pPr>
          </w:p>
        </w:tc>
        <w:tc>
          <w:tcPr>
            <w:tcW w:w="1592" w:type="pct"/>
            <w:noWrap w:val="0"/>
            <w:vAlign w:val="center"/>
          </w:tcPr>
          <w:p w14:paraId="01C284A4">
            <w:pPr>
              <w:pStyle w:val="104"/>
              <w:rPr>
                <w:rFonts w:hint="default" w:ascii="Times New Roman" w:hAnsi="Times New Roman" w:eastAsia="宋体" w:cs="Times New Roman"/>
              </w:rPr>
            </w:pPr>
            <w:r>
              <w:rPr>
                <w:rFonts w:hint="default" w:ascii="Times New Roman" w:hAnsi="Times New Roman" w:eastAsia="宋体" w:cs="Times New Roman"/>
              </w:rPr>
              <w:t>管理费用</w:t>
            </w:r>
          </w:p>
        </w:tc>
        <w:tc>
          <w:tcPr>
            <w:tcW w:w="596" w:type="pct"/>
            <w:noWrap w:val="0"/>
            <w:vAlign w:val="center"/>
          </w:tcPr>
          <w:p w14:paraId="4D05D347">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7EFAF3D3">
            <w:pPr>
              <w:pStyle w:val="104"/>
              <w:rPr>
                <w:rFonts w:hint="default" w:ascii="Times New Roman" w:hAnsi="Times New Roman" w:eastAsia="宋体" w:cs="Times New Roman"/>
              </w:rPr>
            </w:pPr>
            <w:r>
              <w:rPr>
                <w:rFonts w:hint="default" w:ascii="Times New Roman" w:hAnsi="Times New Roman" w:eastAsia="宋体" w:cs="Times New Roman"/>
              </w:rPr>
              <w:t>58.26</w:t>
            </w:r>
          </w:p>
        </w:tc>
        <w:tc>
          <w:tcPr>
            <w:tcW w:w="1078" w:type="pct"/>
            <w:noWrap w:val="0"/>
            <w:vAlign w:val="center"/>
          </w:tcPr>
          <w:p w14:paraId="22D8DBCD">
            <w:pPr>
              <w:pStyle w:val="104"/>
              <w:rPr>
                <w:rFonts w:hint="default" w:ascii="Times New Roman" w:hAnsi="Times New Roman" w:eastAsia="宋体" w:cs="Times New Roman"/>
              </w:rPr>
            </w:pPr>
          </w:p>
        </w:tc>
      </w:tr>
      <w:tr w14:paraId="7342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CEFB1AD">
            <w:pPr>
              <w:pStyle w:val="104"/>
              <w:rPr>
                <w:rFonts w:hint="default" w:ascii="Times New Roman" w:hAnsi="Times New Roman" w:eastAsia="宋体" w:cs="Times New Roman"/>
              </w:rPr>
            </w:pPr>
          </w:p>
        </w:tc>
        <w:tc>
          <w:tcPr>
            <w:tcW w:w="1592" w:type="pct"/>
            <w:noWrap w:val="0"/>
            <w:vAlign w:val="center"/>
          </w:tcPr>
          <w:p w14:paraId="3C05ECD3">
            <w:pPr>
              <w:pStyle w:val="104"/>
              <w:rPr>
                <w:rFonts w:hint="default" w:ascii="Times New Roman" w:hAnsi="Times New Roman" w:eastAsia="宋体" w:cs="Times New Roman"/>
              </w:rPr>
            </w:pPr>
            <w:r>
              <w:rPr>
                <w:rFonts w:hint="default" w:ascii="Times New Roman" w:hAnsi="Times New Roman" w:eastAsia="宋体" w:cs="Times New Roman"/>
              </w:rPr>
              <w:t>财务费用</w:t>
            </w:r>
          </w:p>
        </w:tc>
        <w:tc>
          <w:tcPr>
            <w:tcW w:w="596" w:type="pct"/>
            <w:noWrap w:val="0"/>
            <w:vAlign w:val="center"/>
          </w:tcPr>
          <w:p w14:paraId="74CD96E9">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07F28ABE">
            <w:pPr>
              <w:pStyle w:val="104"/>
              <w:rPr>
                <w:rFonts w:hint="default" w:ascii="Times New Roman" w:hAnsi="Times New Roman" w:eastAsia="宋体" w:cs="Times New Roman"/>
              </w:rPr>
            </w:pPr>
            <w:r>
              <w:rPr>
                <w:rFonts w:hint="default" w:ascii="Times New Roman" w:hAnsi="Times New Roman" w:eastAsia="宋体" w:cs="Times New Roman"/>
              </w:rPr>
              <w:t>0.00</w:t>
            </w:r>
          </w:p>
        </w:tc>
        <w:tc>
          <w:tcPr>
            <w:tcW w:w="1078" w:type="pct"/>
            <w:noWrap w:val="0"/>
            <w:vAlign w:val="center"/>
          </w:tcPr>
          <w:p w14:paraId="74983553">
            <w:pPr>
              <w:pStyle w:val="104"/>
              <w:rPr>
                <w:rFonts w:hint="default" w:ascii="Times New Roman" w:hAnsi="Times New Roman" w:eastAsia="宋体" w:cs="Times New Roman"/>
              </w:rPr>
            </w:pPr>
          </w:p>
        </w:tc>
      </w:tr>
      <w:tr w14:paraId="68F1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133EC95">
            <w:pPr>
              <w:pStyle w:val="104"/>
              <w:rPr>
                <w:rFonts w:hint="default" w:ascii="Times New Roman" w:hAnsi="Times New Roman" w:eastAsia="宋体" w:cs="Times New Roman"/>
              </w:rPr>
            </w:pPr>
          </w:p>
        </w:tc>
        <w:tc>
          <w:tcPr>
            <w:tcW w:w="1592" w:type="pct"/>
            <w:noWrap w:val="0"/>
            <w:vAlign w:val="center"/>
          </w:tcPr>
          <w:p w14:paraId="01F6BC48">
            <w:pPr>
              <w:pStyle w:val="104"/>
              <w:rPr>
                <w:rFonts w:hint="default" w:ascii="Times New Roman" w:hAnsi="Times New Roman" w:eastAsia="宋体" w:cs="Times New Roman"/>
              </w:rPr>
            </w:pPr>
            <w:r>
              <w:rPr>
                <w:rFonts w:hint="default" w:ascii="Times New Roman" w:hAnsi="Times New Roman" w:eastAsia="宋体" w:cs="Times New Roman"/>
              </w:rPr>
              <w:t>营业费用</w:t>
            </w:r>
          </w:p>
        </w:tc>
        <w:tc>
          <w:tcPr>
            <w:tcW w:w="596" w:type="pct"/>
            <w:noWrap w:val="0"/>
            <w:vAlign w:val="center"/>
          </w:tcPr>
          <w:p w14:paraId="0CC87939">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078E72BC">
            <w:pPr>
              <w:pStyle w:val="104"/>
              <w:rPr>
                <w:rFonts w:hint="default" w:ascii="Times New Roman" w:hAnsi="Times New Roman" w:eastAsia="宋体" w:cs="Times New Roman"/>
              </w:rPr>
            </w:pPr>
            <w:r>
              <w:rPr>
                <w:rFonts w:hint="default" w:ascii="Times New Roman" w:hAnsi="Times New Roman" w:eastAsia="宋体" w:cs="Times New Roman"/>
              </w:rPr>
              <w:t>267.3</w:t>
            </w:r>
          </w:p>
        </w:tc>
        <w:tc>
          <w:tcPr>
            <w:tcW w:w="1078" w:type="pct"/>
            <w:noWrap w:val="0"/>
            <w:vAlign w:val="center"/>
          </w:tcPr>
          <w:p w14:paraId="44C950B9">
            <w:pPr>
              <w:pStyle w:val="104"/>
              <w:rPr>
                <w:rFonts w:hint="default" w:ascii="Times New Roman" w:hAnsi="Times New Roman" w:eastAsia="宋体" w:cs="Times New Roman"/>
              </w:rPr>
            </w:pPr>
          </w:p>
        </w:tc>
      </w:tr>
      <w:tr w14:paraId="6813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EA6F8CB">
            <w:pPr>
              <w:pStyle w:val="104"/>
              <w:rPr>
                <w:rFonts w:hint="default" w:ascii="Times New Roman" w:hAnsi="Times New Roman" w:eastAsia="宋体" w:cs="Times New Roman"/>
              </w:rPr>
            </w:pPr>
            <w:r>
              <w:rPr>
                <w:rFonts w:hint="default" w:ascii="Times New Roman" w:hAnsi="Times New Roman" w:eastAsia="宋体" w:cs="Times New Roman"/>
              </w:rPr>
              <w:t>3</w:t>
            </w:r>
          </w:p>
        </w:tc>
        <w:tc>
          <w:tcPr>
            <w:tcW w:w="1592" w:type="pct"/>
            <w:noWrap w:val="0"/>
            <w:vAlign w:val="center"/>
          </w:tcPr>
          <w:p w14:paraId="443AB9A6">
            <w:pPr>
              <w:pStyle w:val="104"/>
              <w:rPr>
                <w:rFonts w:hint="default" w:ascii="Times New Roman" w:hAnsi="Times New Roman" w:eastAsia="宋体" w:cs="Times New Roman"/>
              </w:rPr>
            </w:pPr>
            <w:r>
              <w:rPr>
                <w:rFonts w:hint="default" w:ascii="Times New Roman" w:hAnsi="Times New Roman" w:eastAsia="宋体" w:cs="Times New Roman"/>
              </w:rPr>
              <w:t>单位采矿制造成本</w:t>
            </w:r>
          </w:p>
        </w:tc>
        <w:tc>
          <w:tcPr>
            <w:tcW w:w="596" w:type="pct"/>
            <w:noWrap w:val="0"/>
            <w:vAlign w:val="center"/>
          </w:tcPr>
          <w:p w14:paraId="396B19BD">
            <w:pPr>
              <w:pStyle w:val="104"/>
              <w:rPr>
                <w:rFonts w:hint="default" w:ascii="Times New Roman" w:hAnsi="Times New Roman" w:eastAsia="宋体" w:cs="Times New Roman"/>
              </w:rPr>
            </w:pPr>
            <w:r>
              <w:rPr>
                <w:rFonts w:hint="default" w:ascii="Times New Roman" w:hAnsi="Times New Roman" w:eastAsia="宋体" w:cs="Times New Roman"/>
              </w:rPr>
              <w:t>元/t.矿</w:t>
            </w:r>
          </w:p>
        </w:tc>
        <w:tc>
          <w:tcPr>
            <w:tcW w:w="1740" w:type="dxa"/>
            <w:noWrap w:val="0"/>
            <w:vAlign w:val="center"/>
          </w:tcPr>
          <w:p w14:paraId="5CEA253E">
            <w:pPr>
              <w:pStyle w:val="104"/>
              <w:rPr>
                <w:rFonts w:hint="default" w:ascii="Times New Roman" w:hAnsi="Times New Roman" w:eastAsia="宋体" w:cs="Times New Roman"/>
              </w:rPr>
            </w:pPr>
            <w:r>
              <w:rPr>
                <w:rFonts w:hint="default" w:ascii="Times New Roman" w:hAnsi="Times New Roman" w:eastAsia="宋体" w:cs="Times New Roman"/>
              </w:rPr>
              <w:t>13.78</w:t>
            </w:r>
          </w:p>
        </w:tc>
        <w:tc>
          <w:tcPr>
            <w:tcW w:w="1078" w:type="pct"/>
            <w:noWrap w:val="0"/>
            <w:vAlign w:val="center"/>
          </w:tcPr>
          <w:p w14:paraId="1CB4C1AB">
            <w:pPr>
              <w:pStyle w:val="104"/>
              <w:rPr>
                <w:rFonts w:hint="default" w:ascii="Times New Roman" w:hAnsi="Times New Roman" w:eastAsia="宋体" w:cs="Times New Roman"/>
              </w:rPr>
            </w:pPr>
          </w:p>
        </w:tc>
      </w:tr>
      <w:tr w14:paraId="7B54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EF6632F">
            <w:pPr>
              <w:pStyle w:val="104"/>
              <w:rPr>
                <w:rFonts w:hint="default" w:ascii="Times New Roman" w:hAnsi="Times New Roman" w:eastAsia="宋体" w:cs="Times New Roman"/>
              </w:rPr>
            </w:pPr>
            <w:r>
              <w:rPr>
                <w:rFonts w:hint="default" w:ascii="Times New Roman" w:hAnsi="Times New Roman" w:eastAsia="宋体" w:cs="Times New Roman"/>
              </w:rPr>
              <w:t>4</w:t>
            </w:r>
          </w:p>
        </w:tc>
        <w:tc>
          <w:tcPr>
            <w:tcW w:w="1592" w:type="pct"/>
            <w:noWrap w:val="0"/>
            <w:vAlign w:val="center"/>
          </w:tcPr>
          <w:p w14:paraId="5F67848E">
            <w:pPr>
              <w:pStyle w:val="104"/>
              <w:rPr>
                <w:rFonts w:hint="default" w:ascii="Times New Roman" w:hAnsi="Times New Roman" w:eastAsia="宋体" w:cs="Times New Roman"/>
              </w:rPr>
            </w:pPr>
            <w:r>
              <w:rPr>
                <w:rFonts w:hint="default" w:ascii="Times New Roman" w:hAnsi="Times New Roman" w:eastAsia="宋体" w:cs="Times New Roman"/>
              </w:rPr>
              <w:t>单位产品总成本费用</w:t>
            </w:r>
          </w:p>
        </w:tc>
        <w:tc>
          <w:tcPr>
            <w:tcW w:w="596" w:type="pct"/>
            <w:noWrap w:val="0"/>
            <w:vAlign w:val="center"/>
          </w:tcPr>
          <w:p w14:paraId="1F459F3B">
            <w:pPr>
              <w:pStyle w:val="104"/>
              <w:rPr>
                <w:rFonts w:hint="default" w:ascii="Times New Roman" w:hAnsi="Times New Roman" w:eastAsia="宋体" w:cs="Times New Roman"/>
              </w:rPr>
            </w:pPr>
            <w:r>
              <w:rPr>
                <w:rFonts w:hint="default" w:ascii="Times New Roman" w:hAnsi="Times New Roman" w:eastAsia="宋体" w:cs="Times New Roman"/>
              </w:rPr>
              <w:t>元/t.矿</w:t>
            </w:r>
          </w:p>
        </w:tc>
        <w:tc>
          <w:tcPr>
            <w:tcW w:w="1740" w:type="dxa"/>
            <w:noWrap w:val="0"/>
            <w:vAlign w:val="center"/>
          </w:tcPr>
          <w:p w14:paraId="51C0F354">
            <w:pPr>
              <w:pStyle w:val="104"/>
              <w:rPr>
                <w:rFonts w:hint="default" w:ascii="Times New Roman" w:hAnsi="Times New Roman" w:eastAsia="宋体" w:cs="Times New Roman"/>
              </w:rPr>
            </w:pPr>
            <w:r>
              <w:rPr>
                <w:rFonts w:hint="default" w:ascii="Times New Roman" w:hAnsi="Times New Roman" w:eastAsia="宋体" w:cs="Times New Roman"/>
              </w:rPr>
              <w:t>20.85</w:t>
            </w:r>
          </w:p>
        </w:tc>
        <w:tc>
          <w:tcPr>
            <w:tcW w:w="1078" w:type="pct"/>
            <w:noWrap w:val="0"/>
            <w:vAlign w:val="center"/>
          </w:tcPr>
          <w:p w14:paraId="3DCBC8B0">
            <w:pPr>
              <w:pStyle w:val="104"/>
              <w:rPr>
                <w:rFonts w:hint="default" w:ascii="Times New Roman" w:hAnsi="Times New Roman" w:eastAsia="宋体" w:cs="Times New Roman"/>
              </w:rPr>
            </w:pPr>
          </w:p>
        </w:tc>
      </w:tr>
      <w:tr w14:paraId="4DFE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238A2B5">
            <w:pPr>
              <w:pStyle w:val="104"/>
              <w:rPr>
                <w:rFonts w:hint="default" w:ascii="Times New Roman" w:hAnsi="Times New Roman" w:eastAsia="宋体" w:cs="Times New Roman"/>
              </w:rPr>
            </w:pPr>
            <w:r>
              <w:rPr>
                <w:rFonts w:hint="default" w:ascii="Times New Roman" w:hAnsi="Times New Roman" w:eastAsia="宋体" w:cs="Times New Roman"/>
              </w:rPr>
              <w:t>十</w:t>
            </w:r>
          </w:p>
        </w:tc>
        <w:tc>
          <w:tcPr>
            <w:tcW w:w="1592" w:type="pct"/>
            <w:noWrap w:val="0"/>
            <w:vAlign w:val="center"/>
          </w:tcPr>
          <w:p w14:paraId="4FC05468">
            <w:pPr>
              <w:pStyle w:val="104"/>
              <w:rPr>
                <w:rFonts w:hint="default" w:ascii="Times New Roman" w:hAnsi="Times New Roman" w:eastAsia="宋体" w:cs="Times New Roman"/>
              </w:rPr>
            </w:pPr>
            <w:r>
              <w:rPr>
                <w:rFonts w:hint="default" w:ascii="Times New Roman" w:hAnsi="Times New Roman" w:eastAsia="宋体" w:cs="Times New Roman"/>
              </w:rPr>
              <w:t>销售收入、税金、利润</w:t>
            </w:r>
          </w:p>
        </w:tc>
        <w:tc>
          <w:tcPr>
            <w:tcW w:w="596" w:type="pct"/>
            <w:noWrap w:val="0"/>
            <w:vAlign w:val="center"/>
          </w:tcPr>
          <w:p w14:paraId="3A7B155C">
            <w:pPr>
              <w:pStyle w:val="104"/>
              <w:rPr>
                <w:rFonts w:hint="default" w:ascii="Times New Roman" w:hAnsi="Times New Roman" w:eastAsia="宋体" w:cs="Times New Roman"/>
              </w:rPr>
            </w:pPr>
          </w:p>
        </w:tc>
        <w:tc>
          <w:tcPr>
            <w:tcW w:w="1021" w:type="pct"/>
            <w:noWrap w:val="0"/>
            <w:vAlign w:val="center"/>
          </w:tcPr>
          <w:p w14:paraId="7A7DB9CB">
            <w:pPr>
              <w:pStyle w:val="104"/>
              <w:rPr>
                <w:rFonts w:hint="default" w:ascii="Times New Roman" w:hAnsi="Times New Roman" w:eastAsia="宋体" w:cs="Times New Roman"/>
              </w:rPr>
            </w:pPr>
            <w:r>
              <w:rPr>
                <w:rFonts w:hint="default" w:ascii="Times New Roman" w:hAnsi="Times New Roman" w:eastAsia="宋体" w:cs="Times New Roman"/>
              </w:rPr>
              <w:t>达产年平均</w:t>
            </w:r>
          </w:p>
        </w:tc>
        <w:tc>
          <w:tcPr>
            <w:tcW w:w="1078" w:type="pct"/>
            <w:noWrap w:val="0"/>
            <w:vAlign w:val="center"/>
          </w:tcPr>
          <w:p w14:paraId="1587A83E">
            <w:pPr>
              <w:pStyle w:val="104"/>
              <w:rPr>
                <w:rFonts w:hint="default" w:ascii="Times New Roman" w:hAnsi="Times New Roman" w:eastAsia="宋体" w:cs="Times New Roman"/>
              </w:rPr>
            </w:pPr>
          </w:p>
        </w:tc>
      </w:tr>
      <w:tr w14:paraId="61CF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EB96E57">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1B21128E">
            <w:pPr>
              <w:pStyle w:val="104"/>
              <w:rPr>
                <w:rFonts w:hint="default" w:ascii="Times New Roman" w:hAnsi="Times New Roman" w:eastAsia="宋体" w:cs="Times New Roman"/>
              </w:rPr>
            </w:pPr>
            <w:r>
              <w:rPr>
                <w:rFonts w:hint="default" w:ascii="Times New Roman" w:hAnsi="Times New Roman" w:eastAsia="宋体" w:cs="Times New Roman"/>
              </w:rPr>
              <w:t>销售价格</w:t>
            </w:r>
          </w:p>
        </w:tc>
        <w:tc>
          <w:tcPr>
            <w:tcW w:w="596" w:type="pct"/>
            <w:noWrap w:val="0"/>
            <w:vAlign w:val="center"/>
          </w:tcPr>
          <w:p w14:paraId="2BF15566">
            <w:pPr>
              <w:pStyle w:val="104"/>
              <w:rPr>
                <w:rFonts w:hint="default" w:ascii="Times New Roman" w:hAnsi="Times New Roman" w:eastAsia="宋体" w:cs="Times New Roman"/>
              </w:rPr>
            </w:pPr>
          </w:p>
        </w:tc>
        <w:tc>
          <w:tcPr>
            <w:tcW w:w="1021" w:type="pct"/>
            <w:noWrap w:val="0"/>
            <w:vAlign w:val="center"/>
          </w:tcPr>
          <w:p w14:paraId="79B31050">
            <w:pPr>
              <w:pStyle w:val="104"/>
              <w:rPr>
                <w:rFonts w:hint="default" w:ascii="Times New Roman" w:hAnsi="Times New Roman" w:eastAsia="宋体" w:cs="Times New Roman"/>
              </w:rPr>
            </w:pPr>
          </w:p>
        </w:tc>
        <w:tc>
          <w:tcPr>
            <w:tcW w:w="1078" w:type="pct"/>
            <w:noWrap w:val="0"/>
            <w:vAlign w:val="center"/>
          </w:tcPr>
          <w:p w14:paraId="4B926B87">
            <w:pPr>
              <w:pStyle w:val="104"/>
              <w:rPr>
                <w:rFonts w:hint="default" w:ascii="Times New Roman" w:hAnsi="Times New Roman" w:eastAsia="宋体" w:cs="Times New Roman"/>
              </w:rPr>
            </w:pPr>
          </w:p>
        </w:tc>
      </w:tr>
      <w:tr w14:paraId="2314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06B068E">
            <w:pPr>
              <w:pStyle w:val="104"/>
              <w:rPr>
                <w:rFonts w:hint="default" w:ascii="Times New Roman" w:hAnsi="Times New Roman" w:eastAsia="宋体" w:cs="Times New Roman"/>
              </w:rPr>
            </w:pPr>
          </w:p>
        </w:tc>
        <w:tc>
          <w:tcPr>
            <w:tcW w:w="1592" w:type="pct"/>
            <w:noWrap w:val="0"/>
            <w:vAlign w:val="center"/>
          </w:tcPr>
          <w:p w14:paraId="6EB8A234">
            <w:pPr>
              <w:pStyle w:val="104"/>
              <w:rPr>
                <w:rFonts w:hint="default" w:ascii="Times New Roman" w:hAnsi="Times New Roman" w:eastAsia="宋体" w:cs="Times New Roman"/>
              </w:rPr>
            </w:pPr>
            <w:r>
              <w:rPr>
                <w:rFonts w:hint="default" w:ascii="Times New Roman" w:hAnsi="Times New Roman" w:eastAsia="宋体" w:cs="Times New Roman"/>
              </w:rPr>
              <w:t>石灰岩</w:t>
            </w:r>
          </w:p>
        </w:tc>
        <w:tc>
          <w:tcPr>
            <w:tcW w:w="596" w:type="pct"/>
            <w:noWrap w:val="0"/>
            <w:vAlign w:val="center"/>
          </w:tcPr>
          <w:p w14:paraId="54C76EE9">
            <w:pPr>
              <w:pStyle w:val="104"/>
              <w:rPr>
                <w:rFonts w:hint="default" w:ascii="Times New Roman" w:hAnsi="Times New Roman" w:eastAsia="宋体" w:cs="Times New Roman"/>
              </w:rPr>
            </w:pPr>
            <w:r>
              <w:rPr>
                <w:rFonts w:hint="default" w:ascii="Times New Roman" w:hAnsi="Times New Roman" w:eastAsia="宋体" w:cs="Times New Roman"/>
              </w:rPr>
              <w:t>元/t</w:t>
            </w:r>
          </w:p>
        </w:tc>
        <w:tc>
          <w:tcPr>
            <w:tcW w:w="1740" w:type="dxa"/>
            <w:noWrap w:val="0"/>
            <w:vAlign w:val="center"/>
          </w:tcPr>
          <w:p w14:paraId="0E5CC2E2">
            <w:pPr>
              <w:pStyle w:val="104"/>
              <w:rPr>
                <w:rFonts w:hint="default" w:ascii="Times New Roman" w:hAnsi="Times New Roman" w:eastAsia="宋体" w:cs="Times New Roman"/>
              </w:rPr>
            </w:pPr>
            <w:r>
              <w:rPr>
                <w:rFonts w:hint="default" w:ascii="Times New Roman" w:hAnsi="Times New Roman" w:eastAsia="宋体" w:cs="Times New Roman"/>
              </w:rPr>
              <w:t>45.00</w:t>
            </w:r>
          </w:p>
        </w:tc>
        <w:tc>
          <w:tcPr>
            <w:tcW w:w="1078" w:type="pct"/>
            <w:noWrap w:val="0"/>
            <w:vAlign w:val="center"/>
          </w:tcPr>
          <w:p w14:paraId="0CBAB76D">
            <w:pPr>
              <w:pStyle w:val="104"/>
              <w:rPr>
                <w:rFonts w:hint="default" w:ascii="Times New Roman" w:hAnsi="Times New Roman" w:eastAsia="宋体" w:cs="Times New Roman"/>
              </w:rPr>
            </w:pPr>
          </w:p>
        </w:tc>
      </w:tr>
      <w:tr w14:paraId="07DB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A6E49B6">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92" w:type="pct"/>
            <w:noWrap w:val="0"/>
            <w:vAlign w:val="center"/>
          </w:tcPr>
          <w:p w14:paraId="7AA95F66">
            <w:pPr>
              <w:pStyle w:val="104"/>
              <w:rPr>
                <w:rFonts w:hint="default" w:ascii="Times New Roman" w:hAnsi="Times New Roman" w:eastAsia="宋体" w:cs="Times New Roman"/>
              </w:rPr>
            </w:pPr>
            <w:r>
              <w:rPr>
                <w:rFonts w:hint="default" w:ascii="Times New Roman" w:hAnsi="Times New Roman" w:eastAsia="宋体" w:cs="Times New Roman"/>
              </w:rPr>
              <w:t>销售收入（含税）</w:t>
            </w:r>
          </w:p>
        </w:tc>
        <w:tc>
          <w:tcPr>
            <w:tcW w:w="596" w:type="pct"/>
            <w:noWrap w:val="0"/>
            <w:vAlign w:val="center"/>
          </w:tcPr>
          <w:p w14:paraId="7F08439E">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51DC35CD">
            <w:pPr>
              <w:pStyle w:val="104"/>
              <w:rPr>
                <w:rFonts w:hint="default" w:ascii="Times New Roman" w:hAnsi="Times New Roman" w:eastAsia="宋体" w:cs="Times New Roman"/>
              </w:rPr>
            </w:pPr>
            <w:r>
              <w:rPr>
                <w:rFonts w:hint="default" w:ascii="Times New Roman" w:hAnsi="Times New Roman" w:eastAsia="宋体" w:cs="Times New Roman"/>
              </w:rPr>
              <w:t>370.67</w:t>
            </w:r>
          </w:p>
        </w:tc>
        <w:tc>
          <w:tcPr>
            <w:tcW w:w="1078" w:type="pct"/>
            <w:noWrap w:val="0"/>
            <w:vAlign w:val="center"/>
          </w:tcPr>
          <w:p w14:paraId="401ED316">
            <w:pPr>
              <w:pStyle w:val="104"/>
              <w:rPr>
                <w:rFonts w:hint="default" w:ascii="Times New Roman" w:hAnsi="Times New Roman" w:eastAsia="宋体" w:cs="Times New Roman"/>
              </w:rPr>
            </w:pPr>
            <w:r>
              <w:rPr>
                <w:rFonts w:hint="default" w:ascii="Times New Roman" w:hAnsi="Times New Roman" w:eastAsia="宋体" w:cs="Times New Roman"/>
              </w:rPr>
              <w:t>平均</w:t>
            </w:r>
          </w:p>
        </w:tc>
      </w:tr>
      <w:tr w14:paraId="71CD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01B5AC68">
            <w:pPr>
              <w:pStyle w:val="104"/>
              <w:rPr>
                <w:rFonts w:hint="default" w:ascii="Times New Roman" w:hAnsi="Times New Roman" w:eastAsia="宋体" w:cs="Times New Roman"/>
              </w:rPr>
            </w:pPr>
            <w:r>
              <w:rPr>
                <w:rFonts w:hint="default" w:ascii="Times New Roman" w:hAnsi="Times New Roman" w:eastAsia="宋体" w:cs="Times New Roman"/>
              </w:rPr>
              <w:t>3</w:t>
            </w:r>
          </w:p>
        </w:tc>
        <w:tc>
          <w:tcPr>
            <w:tcW w:w="1592" w:type="pct"/>
            <w:noWrap w:val="0"/>
            <w:vAlign w:val="center"/>
          </w:tcPr>
          <w:p w14:paraId="43DCBB9F">
            <w:pPr>
              <w:pStyle w:val="104"/>
              <w:rPr>
                <w:rFonts w:hint="default" w:ascii="Times New Roman" w:hAnsi="Times New Roman" w:eastAsia="宋体" w:cs="Times New Roman"/>
              </w:rPr>
            </w:pPr>
            <w:r>
              <w:rPr>
                <w:rFonts w:hint="default" w:ascii="Times New Roman" w:hAnsi="Times New Roman" w:eastAsia="宋体" w:cs="Times New Roman"/>
              </w:rPr>
              <w:t>销售收入（不含税）</w:t>
            </w:r>
          </w:p>
        </w:tc>
        <w:tc>
          <w:tcPr>
            <w:tcW w:w="596" w:type="pct"/>
            <w:noWrap w:val="0"/>
            <w:vAlign w:val="center"/>
          </w:tcPr>
          <w:p w14:paraId="1FBA7EA3">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3E596301">
            <w:pPr>
              <w:pStyle w:val="104"/>
              <w:rPr>
                <w:rFonts w:hint="default" w:ascii="Times New Roman" w:hAnsi="Times New Roman" w:eastAsia="宋体" w:cs="Times New Roman"/>
              </w:rPr>
            </w:pPr>
            <w:r>
              <w:rPr>
                <w:rFonts w:hint="default" w:ascii="Times New Roman" w:hAnsi="Times New Roman" w:eastAsia="宋体" w:cs="Times New Roman"/>
              </w:rPr>
              <w:t>328.03</w:t>
            </w:r>
          </w:p>
        </w:tc>
        <w:tc>
          <w:tcPr>
            <w:tcW w:w="1078" w:type="pct"/>
            <w:noWrap w:val="0"/>
            <w:vAlign w:val="center"/>
          </w:tcPr>
          <w:p w14:paraId="005F9572">
            <w:pPr>
              <w:pStyle w:val="104"/>
              <w:rPr>
                <w:rFonts w:hint="default" w:ascii="Times New Roman" w:hAnsi="Times New Roman" w:eastAsia="宋体" w:cs="Times New Roman"/>
              </w:rPr>
            </w:pPr>
            <w:r>
              <w:rPr>
                <w:rFonts w:hint="default" w:ascii="Times New Roman" w:hAnsi="Times New Roman" w:eastAsia="宋体" w:cs="Times New Roman"/>
              </w:rPr>
              <w:t>平均</w:t>
            </w:r>
          </w:p>
        </w:tc>
      </w:tr>
      <w:tr w14:paraId="3C23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153E2DC">
            <w:pPr>
              <w:pStyle w:val="104"/>
              <w:rPr>
                <w:rFonts w:hint="default" w:ascii="Times New Roman" w:hAnsi="Times New Roman" w:eastAsia="宋体" w:cs="Times New Roman"/>
              </w:rPr>
            </w:pPr>
            <w:r>
              <w:rPr>
                <w:rFonts w:hint="default" w:ascii="Times New Roman" w:hAnsi="Times New Roman" w:eastAsia="宋体" w:cs="Times New Roman"/>
              </w:rPr>
              <w:t>4</w:t>
            </w:r>
          </w:p>
        </w:tc>
        <w:tc>
          <w:tcPr>
            <w:tcW w:w="1592" w:type="pct"/>
            <w:noWrap w:val="0"/>
            <w:vAlign w:val="center"/>
          </w:tcPr>
          <w:p w14:paraId="5F060D6D">
            <w:pPr>
              <w:pStyle w:val="104"/>
              <w:rPr>
                <w:rFonts w:hint="default" w:ascii="Times New Roman" w:hAnsi="Times New Roman" w:eastAsia="宋体" w:cs="Times New Roman"/>
              </w:rPr>
            </w:pPr>
            <w:r>
              <w:rPr>
                <w:rFonts w:hint="default" w:ascii="Times New Roman" w:hAnsi="Times New Roman" w:eastAsia="宋体" w:cs="Times New Roman"/>
              </w:rPr>
              <w:t>增值税</w:t>
            </w:r>
          </w:p>
        </w:tc>
        <w:tc>
          <w:tcPr>
            <w:tcW w:w="596" w:type="pct"/>
            <w:noWrap w:val="0"/>
            <w:vAlign w:val="center"/>
          </w:tcPr>
          <w:p w14:paraId="79476887">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55B8108D">
            <w:pPr>
              <w:pStyle w:val="104"/>
              <w:rPr>
                <w:rFonts w:hint="default" w:ascii="Times New Roman" w:hAnsi="Times New Roman" w:eastAsia="宋体" w:cs="Times New Roman"/>
              </w:rPr>
            </w:pPr>
            <w:r>
              <w:rPr>
                <w:rFonts w:hint="default" w:ascii="Times New Roman" w:hAnsi="Times New Roman" w:eastAsia="宋体" w:cs="Times New Roman"/>
              </w:rPr>
              <w:t>28.41</w:t>
            </w:r>
          </w:p>
        </w:tc>
        <w:tc>
          <w:tcPr>
            <w:tcW w:w="1078" w:type="pct"/>
            <w:noWrap w:val="0"/>
            <w:vAlign w:val="center"/>
          </w:tcPr>
          <w:p w14:paraId="226CEFBE">
            <w:pPr>
              <w:pStyle w:val="104"/>
              <w:rPr>
                <w:rFonts w:hint="default" w:ascii="Times New Roman" w:hAnsi="Times New Roman" w:eastAsia="宋体" w:cs="Times New Roman"/>
              </w:rPr>
            </w:pPr>
          </w:p>
        </w:tc>
      </w:tr>
      <w:tr w14:paraId="3A2F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66BAE1AD">
            <w:pPr>
              <w:pStyle w:val="104"/>
              <w:rPr>
                <w:rFonts w:hint="default" w:ascii="Times New Roman" w:hAnsi="Times New Roman" w:eastAsia="宋体" w:cs="Times New Roman"/>
              </w:rPr>
            </w:pPr>
            <w:r>
              <w:rPr>
                <w:rFonts w:hint="default" w:ascii="Times New Roman" w:hAnsi="Times New Roman" w:eastAsia="宋体" w:cs="Times New Roman"/>
              </w:rPr>
              <w:t>5</w:t>
            </w:r>
          </w:p>
        </w:tc>
        <w:tc>
          <w:tcPr>
            <w:tcW w:w="1592" w:type="pct"/>
            <w:noWrap w:val="0"/>
            <w:vAlign w:val="center"/>
          </w:tcPr>
          <w:p w14:paraId="46040812">
            <w:pPr>
              <w:pStyle w:val="104"/>
              <w:rPr>
                <w:rFonts w:hint="default" w:ascii="Times New Roman" w:hAnsi="Times New Roman" w:eastAsia="宋体" w:cs="Times New Roman"/>
              </w:rPr>
            </w:pPr>
            <w:r>
              <w:rPr>
                <w:rFonts w:hint="default" w:ascii="Times New Roman" w:hAnsi="Times New Roman" w:eastAsia="宋体" w:cs="Times New Roman"/>
              </w:rPr>
              <w:t>销售税金及附加</w:t>
            </w:r>
          </w:p>
        </w:tc>
        <w:tc>
          <w:tcPr>
            <w:tcW w:w="596" w:type="pct"/>
            <w:noWrap w:val="0"/>
            <w:vAlign w:val="center"/>
          </w:tcPr>
          <w:p w14:paraId="69FC6F32">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1C2CC410">
            <w:pPr>
              <w:pStyle w:val="104"/>
              <w:rPr>
                <w:rFonts w:hint="default" w:ascii="Times New Roman" w:hAnsi="Times New Roman" w:eastAsia="宋体" w:cs="Times New Roman"/>
              </w:rPr>
            </w:pPr>
            <w:r>
              <w:rPr>
                <w:rFonts w:hint="default" w:ascii="Times New Roman" w:hAnsi="Times New Roman" w:eastAsia="宋体" w:cs="Times New Roman"/>
              </w:rPr>
              <w:t>2.84</w:t>
            </w:r>
          </w:p>
        </w:tc>
        <w:tc>
          <w:tcPr>
            <w:tcW w:w="1078" w:type="pct"/>
            <w:noWrap w:val="0"/>
            <w:vAlign w:val="center"/>
          </w:tcPr>
          <w:p w14:paraId="43D55529">
            <w:pPr>
              <w:pStyle w:val="104"/>
              <w:rPr>
                <w:rFonts w:hint="default" w:ascii="Times New Roman" w:hAnsi="Times New Roman" w:eastAsia="宋体" w:cs="Times New Roman"/>
              </w:rPr>
            </w:pPr>
          </w:p>
        </w:tc>
      </w:tr>
      <w:tr w14:paraId="1B85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28F1227">
            <w:pPr>
              <w:pStyle w:val="104"/>
              <w:rPr>
                <w:rFonts w:hint="default" w:ascii="Times New Roman" w:hAnsi="Times New Roman" w:eastAsia="宋体" w:cs="Times New Roman"/>
              </w:rPr>
            </w:pPr>
            <w:r>
              <w:rPr>
                <w:rFonts w:hint="default" w:ascii="Times New Roman" w:hAnsi="Times New Roman" w:eastAsia="宋体" w:cs="Times New Roman"/>
              </w:rPr>
              <w:t>6</w:t>
            </w:r>
          </w:p>
        </w:tc>
        <w:tc>
          <w:tcPr>
            <w:tcW w:w="1592" w:type="pct"/>
            <w:noWrap w:val="0"/>
            <w:vAlign w:val="center"/>
          </w:tcPr>
          <w:p w14:paraId="74482492">
            <w:pPr>
              <w:pStyle w:val="104"/>
              <w:rPr>
                <w:rFonts w:hint="default" w:ascii="Times New Roman" w:hAnsi="Times New Roman" w:eastAsia="宋体" w:cs="Times New Roman"/>
              </w:rPr>
            </w:pPr>
            <w:r>
              <w:rPr>
                <w:rFonts w:hint="default" w:ascii="Times New Roman" w:hAnsi="Times New Roman" w:eastAsia="宋体" w:cs="Times New Roman"/>
              </w:rPr>
              <w:t>利润总额</w:t>
            </w:r>
          </w:p>
        </w:tc>
        <w:tc>
          <w:tcPr>
            <w:tcW w:w="596" w:type="pct"/>
            <w:noWrap w:val="0"/>
            <w:vAlign w:val="center"/>
          </w:tcPr>
          <w:p w14:paraId="6EA72665">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0C4D5513">
            <w:pPr>
              <w:pStyle w:val="104"/>
              <w:rPr>
                <w:rFonts w:hint="default" w:ascii="Times New Roman" w:hAnsi="Times New Roman" w:eastAsia="宋体" w:cs="Times New Roman"/>
              </w:rPr>
            </w:pPr>
            <w:r>
              <w:rPr>
                <w:rFonts w:hint="default" w:ascii="Times New Roman" w:hAnsi="Times New Roman" w:eastAsia="宋体" w:cs="Times New Roman"/>
              </w:rPr>
              <w:t>138.37</w:t>
            </w:r>
          </w:p>
        </w:tc>
        <w:tc>
          <w:tcPr>
            <w:tcW w:w="1078" w:type="pct"/>
            <w:noWrap w:val="0"/>
            <w:vAlign w:val="center"/>
          </w:tcPr>
          <w:p w14:paraId="64C67588">
            <w:pPr>
              <w:pStyle w:val="104"/>
              <w:rPr>
                <w:rFonts w:hint="default" w:ascii="Times New Roman" w:hAnsi="Times New Roman" w:eastAsia="宋体" w:cs="Times New Roman"/>
              </w:rPr>
            </w:pPr>
          </w:p>
        </w:tc>
      </w:tr>
      <w:tr w14:paraId="1734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BC573CA">
            <w:pPr>
              <w:pStyle w:val="104"/>
              <w:rPr>
                <w:rFonts w:hint="default" w:ascii="Times New Roman" w:hAnsi="Times New Roman" w:eastAsia="宋体" w:cs="Times New Roman"/>
              </w:rPr>
            </w:pPr>
            <w:r>
              <w:rPr>
                <w:rFonts w:hint="default" w:ascii="Times New Roman" w:hAnsi="Times New Roman" w:eastAsia="宋体" w:cs="Times New Roman"/>
              </w:rPr>
              <w:t>7</w:t>
            </w:r>
          </w:p>
        </w:tc>
        <w:tc>
          <w:tcPr>
            <w:tcW w:w="1592" w:type="pct"/>
            <w:noWrap w:val="0"/>
            <w:vAlign w:val="center"/>
          </w:tcPr>
          <w:p w14:paraId="056232B9">
            <w:pPr>
              <w:pStyle w:val="104"/>
              <w:rPr>
                <w:rFonts w:hint="default" w:ascii="Times New Roman" w:hAnsi="Times New Roman" w:eastAsia="宋体" w:cs="Times New Roman"/>
              </w:rPr>
            </w:pPr>
            <w:r>
              <w:rPr>
                <w:rFonts w:hint="default" w:ascii="Times New Roman" w:hAnsi="Times New Roman" w:eastAsia="宋体" w:cs="Times New Roman"/>
              </w:rPr>
              <w:t>所得税</w:t>
            </w:r>
          </w:p>
        </w:tc>
        <w:tc>
          <w:tcPr>
            <w:tcW w:w="596" w:type="pct"/>
            <w:noWrap w:val="0"/>
            <w:vAlign w:val="center"/>
          </w:tcPr>
          <w:p w14:paraId="63E17954">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4EF9B14A">
            <w:pPr>
              <w:pStyle w:val="104"/>
              <w:rPr>
                <w:rFonts w:hint="default" w:ascii="Times New Roman" w:hAnsi="Times New Roman" w:eastAsia="宋体" w:cs="Times New Roman"/>
              </w:rPr>
            </w:pPr>
            <w:r>
              <w:rPr>
                <w:rFonts w:hint="default" w:ascii="Times New Roman" w:hAnsi="Times New Roman" w:eastAsia="宋体" w:cs="Times New Roman"/>
              </w:rPr>
              <w:t>34.59</w:t>
            </w:r>
          </w:p>
        </w:tc>
        <w:tc>
          <w:tcPr>
            <w:tcW w:w="1078" w:type="pct"/>
            <w:noWrap w:val="0"/>
            <w:vAlign w:val="center"/>
          </w:tcPr>
          <w:p w14:paraId="5322195E">
            <w:pPr>
              <w:pStyle w:val="104"/>
              <w:rPr>
                <w:rFonts w:hint="default" w:ascii="Times New Roman" w:hAnsi="Times New Roman" w:eastAsia="宋体" w:cs="Times New Roman"/>
              </w:rPr>
            </w:pPr>
          </w:p>
        </w:tc>
      </w:tr>
      <w:tr w14:paraId="2749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7AC666BF">
            <w:pPr>
              <w:pStyle w:val="104"/>
              <w:rPr>
                <w:rFonts w:hint="default" w:ascii="Times New Roman" w:hAnsi="Times New Roman" w:eastAsia="宋体" w:cs="Times New Roman"/>
              </w:rPr>
            </w:pPr>
            <w:r>
              <w:rPr>
                <w:rFonts w:hint="default" w:ascii="Times New Roman" w:hAnsi="Times New Roman" w:eastAsia="宋体" w:cs="Times New Roman"/>
              </w:rPr>
              <w:t>8</w:t>
            </w:r>
          </w:p>
        </w:tc>
        <w:tc>
          <w:tcPr>
            <w:tcW w:w="1592" w:type="pct"/>
            <w:noWrap w:val="0"/>
            <w:vAlign w:val="center"/>
          </w:tcPr>
          <w:p w14:paraId="455D168D">
            <w:pPr>
              <w:pStyle w:val="104"/>
              <w:rPr>
                <w:rFonts w:hint="default" w:ascii="Times New Roman" w:hAnsi="Times New Roman" w:eastAsia="宋体" w:cs="Times New Roman"/>
              </w:rPr>
            </w:pPr>
            <w:r>
              <w:rPr>
                <w:rFonts w:hint="default" w:ascii="Times New Roman" w:hAnsi="Times New Roman" w:eastAsia="宋体" w:cs="Times New Roman"/>
              </w:rPr>
              <w:t>净利润</w:t>
            </w:r>
          </w:p>
        </w:tc>
        <w:tc>
          <w:tcPr>
            <w:tcW w:w="596" w:type="pct"/>
            <w:noWrap w:val="0"/>
            <w:vAlign w:val="center"/>
          </w:tcPr>
          <w:p w14:paraId="366E96D2">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5AA38C1F">
            <w:pPr>
              <w:pStyle w:val="104"/>
              <w:rPr>
                <w:rFonts w:hint="default" w:ascii="Times New Roman" w:hAnsi="Times New Roman" w:eastAsia="宋体" w:cs="Times New Roman"/>
              </w:rPr>
            </w:pPr>
            <w:r>
              <w:rPr>
                <w:rFonts w:hint="default" w:ascii="Times New Roman" w:hAnsi="Times New Roman" w:eastAsia="宋体" w:cs="Times New Roman"/>
              </w:rPr>
              <w:t>103.78</w:t>
            </w:r>
          </w:p>
        </w:tc>
        <w:tc>
          <w:tcPr>
            <w:tcW w:w="1078" w:type="pct"/>
            <w:noWrap w:val="0"/>
            <w:vAlign w:val="center"/>
          </w:tcPr>
          <w:p w14:paraId="6DFF59FC">
            <w:pPr>
              <w:pStyle w:val="104"/>
              <w:rPr>
                <w:rFonts w:hint="default" w:ascii="Times New Roman" w:hAnsi="Times New Roman" w:eastAsia="宋体" w:cs="Times New Roman"/>
              </w:rPr>
            </w:pPr>
          </w:p>
        </w:tc>
      </w:tr>
      <w:tr w14:paraId="45DC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DB06350">
            <w:pPr>
              <w:pStyle w:val="104"/>
              <w:rPr>
                <w:rFonts w:hint="default" w:ascii="Times New Roman" w:hAnsi="Times New Roman" w:eastAsia="宋体" w:cs="Times New Roman"/>
              </w:rPr>
            </w:pPr>
            <w:r>
              <w:rPr>
                <w:rFonts w:hint="default" w:ascii="Times New Roman" w:hAnsi="Times New Roman" w:eastAsia="宋体" w:cs="Times New Roman"/>
              </w:rPr>
              <w:t>9</w:t>
            </w:r>
          </w:p>
        </w:tc>
        <w:tc>
          <w:tcPr>
            <w:tcW w:w="1592" w:type="pct"/>
            <w:noWrap w:val="0"/>
            <w:vAlign w:val="center"/>
          </w:tcPr>
          <w:p w14:paraId="7361906B">
            <w:pPr>
              <w:pStyle w:val="104"/>
              <w:rPr>
                <w:rFonts w:hint="default" w:ascii="Times New Roman" w:hAnsi="Times New Roman" w:eastAsia="宋体" w:cs="Times New Roman"/>
              </w:rPr>
            </w:pPr>
            <w:r>
              <w:rPr>
                <w:rFonts w:hint="default" w:ascii="Times New Roman" w:hAnsi="Times New Roman" w:eastAsia="宋体" w:cs="Times New Roman"/>
              </w:rPr>
              <w:t>法定盈余公积金</w:t>
            </w:r>
          </w:p>
        </w:tc>
        <w:tc>
          <w:tcPr>
            <w:tcW w:w="596" w:type="pct"/>
            <w:noWrap w:val="0"/>
            <w:vAlign w:val="center"/>
          </w:tcPr>
          <w:p w14:paraId="73A3825B">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7E4D5CC0">
            <w:pPr>
              <w:pStyle w:val="104"/>
              <w:rPr>
                <w:rFonts w:hint="default" w:ascii="Times New Roman" w:hAnsi="Times New Roman" w:eastAsia="宋体" w:cs="Times New Roman"/>
              </w:rPr>
            </w:pPr>
            <w:r>
              <w:rPr>
                <w:rFonts w:hint="default" w:ascii="Times New Roman" w:hAnsi="Times New Roman" w:eastAsia="宋体" w:cs="Times New Roman"/>
              </w:rPr>
              <w:t>10.38</w:t>
            </w:r>
          </w:p>
        </w:tc>
        <w:tc>
          <w:tcPr>
            <w:tcW w:w="1078" w:type="pct"/>
            <w:noWrap w:val="0"/>
            <w:vAlign w:val="center"/>
          </w:tcPr>
          <w:p w14:paraId="4CBC9775">
            <w:pPr>
              <w:pStyle w:val="104"/>
              <w:rPr>
                <w:rFonts w:hint="default" w:ascii="Times New Roman" w:hAnsi="Times New Roman" w:eastAsia="宋体" w:cs="Times New Roman"/>
              </w:rPr>
            </w:pPr>
          </w:p>
        </w:tc>
      </w:tr>
      <w:tr w14:paraId="1D5C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46E7FD21">
            <w:pPr>
              <w:pStyle w:val="104"/>
              <w:rPr>
                <w:rFonts w:hint="default" w:ascii="Times New Roman" w:hAnsi="Times New Roman" w:eastAsia="宋体" w:cs="Times New Roman"/>
              </w:rPr>
            </w:pPr>
            <w:r>
              <w:rPr>
                <w:rFonts w:hint="default" w:ascii="Times New Roman" w:hAnsi="Times New Roman" w:eastAsia="宋体" w:cs="Times New Roman"/>
              </w:rPr>
              <w:t>10</w:t>
            </w:r>
          </w:p>
        </w:tc>
        <w:tc>
          <w:tcPr>
            <w:tcW w:w="1592" w:type="pct"/>
            <w:noWrap w:val="0"/>
            <w:vAlign w:val="center"/>
          </w:tcPr>
          <w:p w14:paraId="30861475">
            <w:pPr>
              <w:pStyle w:val="104"/>
              <w:rPr>
                <w:rFonts w:hint="default" w:ascii="Times New Roman" w:hAnsi="Times New Roman" w:eastAsia="宋体" w:cs="Times New Roman"/>
              </w:rPr>
            </w:pPr>
            <w:r>
              <w:rPr>
                <w:rFonts w:hint="default" w:ascii="Times New Roman" w:hAnsi="Times New Roman" w:eastAsia="宋体" w:cs="Times New Roman"/>
              </w:rPr>
              <w:t>任意赢余公积金</w:t>
            </w:r>
          </w:p>
        </w:tc>
        <w:tc>
          <w:tcPr>
            <w:tcW w:w="596" w:type="pct"/>
            <w:noWrap w:val="0"/>
            <w:vAlign w:val="center"/>
          </w:tcPr>
          <w:p w14:paraId="68D62B1A">
            <w:pPr>
              <w:pStyle w:val="104"/>
              <w:rPr>
                <w:rFonts w:hint="default" w:ascii="Times New Roman" w:hAnsi="Times New Roman" w:eastAsia="宋体" w:cs="Times New Roman"/>
              </w:rPr>
            </w:pPr>
            <w:r>
              <w:rPr>
                <w:rFonts w:hint="default" w:ascii="Times New Roman" w:hAnsi="Times New Roman" w:eastAsia="宋体" w:cs="Times New Roman"/>
              </w:rPr>
              <w:t>万元/a</w:t>
            </w:r>
          </w:p>
        </w:tc>
        <w:tc>
          <w:tcPr>
            <w:tcW w:w="1740" w:type="dxa"/>
            <w:noWrap w:val="0"/>
            <w:vAlign w:val="center"/>
          </w:tcPr>
          <w:p w14:paraId="52A78951">
            <w:pPr>
              <w:pStyle w:val="104"/>
              <w:rPr>
                <w:rFonts w:hint="default" w:ascii="Times New Roman" w:hAnsi="Times New Roman" w:eastAsia="宋体" w:cs="Times New Roman"/>
              </w:rPr>
            </w:pPr>
            <w:r>
              <w:rPr>
                <w:rFonts w:hint="default" w:ascii="Times New Roman" w:hAnsi="Times New Roman" w:eastAsia="宋体" w:cs="Times New Roman"/>
              </w:rPr>
              <w:t>0</w:t>
            </w:r>
          </w:p>
        </w:tc>
        <w:tc>
          <w:tcPr>
            <w:tcW w:w="1078" w:type="pct"/>
            <w:noWrap w:val="0"/>
            <w:vAlign w:val="center"/>
          </w:tcPr>
          <w:p w14:paraId="1DD1C09D">
            <w:pPr>
              <w:pStyle w:val="104"/>
              <w:rPr>
                <w:rFonts w:hint="default" w:ascii="Times New Roman" w:hAnsi="Times New Roman" w:eastAsia="宋体" w:cs="Times New Roman"/>
              </w:rPr>
            </w:pPr>
          </w:p>
        </w:tc>
      </w:tr>
      <w:tr w14:paraId="3334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707F441">
            <w:pPr>
              <w:pStyle w:val="104"/>
              <w:rPr>
                <w:rFonts w:hint="default" w:ascii="Times New Roman" w:hAnsi="Times New Roman" w:eastAsia="宋体" w:cs="Times New Roman"/>
              </w:rPr>
            </w:pPr>
            <w:r>
              <w:rPr>
                <w:rFonts w:hint="default" w:ascii="Times New Roman" w:hAnsi="Times New Roman" w:eastAsia="宋体" w:cs="Times New Roman"/>
              </w:rPr>
              <w:t>十一</w:t>
            </w:r>
          </w:p>
        </w:tc>
        <w:tc>
          <w:tcPr>
            <w:tcW w:w="1592" w:type="pct"/>
            <w:noWrap w:val="0"/>
            <w:vAlign w:val="center"/>
          </w:tcPr>
          <w:p w14:paraId="11BC773F">
            <w:pPr>
              <w:pStyle w:val="104"/>
              <w:rPr>
                <w:rFonts w:hint="default" w:ascii="Times New Roman" w:hAnsi="Times New Roman" w:eastAsia="宋体" w:cs="Times New Roman"/>
              </w:rPr>
            </w:pPr>
            <w:r>
              <w:rPr>
                <w:rFonts w:hint="default" w:ascii="Times New Roman" w:hAnsi="Times New Roman" w:eastAsia="宋体" w:cs="Times New Roman"/>
              </w:rPr>
              <w:t>盈利能力</w:t>
            </w:r>
          </w:p>
        </w:tc>
        <w:tc>
          <w:tcPr>
            <w:tcW w:w="596" w:type="pct"/>
            <w:noWrap w:val="0"/>
            <w:vAlign w:val="center"/>
          </w:tcPr>
          <w:p w14:paraId="3FD0BF27">
            <w:pPr>
              <w:pStyle w:val="104"/>
              <w:rPr>
                <w:rFonts w:hint="default" w:ascii="Times New Roman" w:hAnsi="Times New Roman" w:eastAsia="宋体" w:cs="Times New Roman"/>
              </w:rPr>
            </w:pPr>
          </w:p>
        </w:tc>
        <w:tc>
          <w:tcPr>
            <w:tcW w:w="1021" w:type="pct"/>
            <w:noWrap w:val="0"/>
            <w:vAlign w:val="center"/>
          </w:tcPr>
          <w:p w14:paraId="794AB21E">
            <w:pPr>
              <w:pStyle w:val="104"/>
              <w:rPr>
                <w:rFonts w:hint="default" w:ascii="Times New Roman" w:hAnsi="Times New Roman" w:eastAsia="宋体" w:cs="Times New Roman"/>
              </w:rPr>
            </w:pPr>
            <w:r>
              <w:rPr>
                <w:rFonts w:hint="default" w:ascii="Times New Roman" w:hAnsi="Times New Roman" w:eastAsia="宋体" w:cs="Times New Roman"/>
              </w:rPr>
              <w:t>所得税后</w:t>
            </w:r>
          </w:p>
        </w:tc>
        <w:tc>
          <w:tcPr>
            <w:tcW w:w="1078" w:type="pct"/>
            <w:noWrap w:val="0"/>
            <w:vAlign w:val="center"/>
          </w:tcPr>
          <w:p w14:paraId="72463D58">
            <w:pPr>
              <w:pStyle w:val="104"/>
              <w:rPr>
                <w:rFonts w:hint="default" w:ascii="Times New Roman" w:hAnsi="Times New Roman" w:eastAsia="宋体" w:cs="Times New Roman"/>
              </w:rPr>
            </w:pPr>
            <w:r>
              <w:rPr>
                <w:rFonts w:hint="default" w:ascii="Times New Roman" w:hAnsi="Times New Roman" w:eastAsia="宋体" w:cs="Times New Roman"/>
              </w:rPr>
              <w:t>所得税前</w:t>
            </w:r>
          </w:p>
        </w:tc>
      </w:tr>
      <w:tr w14:paraId="7C17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5265E8A6">
            <w:pPr>
              <w:pStyle w:val="104"/>
              <w:rPr>
                <w:rFonts w:hint="default" w:ascii="Times New Roman" w:hAnsi="Times New Roman" w:eastAsia="宋体" w:cs="Times New Roman"/>
              </w:rPr>
            </w:pPr>
            <w:r>
              <w:rPr>
                <w:rFonts w:hint="default" w:ascii="Times New Roman" w:hAnsi="Times New Roman" w:eastAsia="宋体" w:cs="Times New Roman"/>
              </w:rPr>
              <w:t>1</w:t>
            </w:r>
          </w:p>
        </w:tc>
        <w:tc>
          <w:tcPr>
            <w:tcW w:w="1592" w:type="pct"/>
            <w:noWrap w:val="0"/>
            <w:vAlign w:val="center"/>
          </w:tcPr>
          <w:p w14:paraId="343026A9">
            <w:pPr>
              <w:pStyle w:val="104"/>
              <w:rPr>
                <w:rFonts w:hint="default" w:ascii="Times New Roman" w:hAnsi="Times New Roman" w:eastAsia="宋体" w:cs="Times New Roman"/>
              </w:rPr>
            </w:pPr>
            <w:r>
              <w:rPr>
                <w:rFonts w:hint="default" w:ascii="Times New Roman" w:hAnsi="Times New Roman" w:eastAsia="宋体" w:cs="Times New Roman"/>
              </w:rPr>
              <w:t>项目投资财务内部收益率</w:t>
            </w:r>
          </w:p>
        </w:tc>
        <w:tc>
          <w:tcPr>
            <w:tcW w:w="596" w:type="pct"/>
            <w:noWrap w:val="0"/>
            <w:vAlign w:val="center"/>
          </w:tcPr>
          <w:p w14:paraId="30159822">
            <w:pPr>
              <w:pStyle w:val="104"/>
              <w:rPr>
                <w:rFonts w:hint="default" w:ascii="Times New Roman" w:hAnsi="Times New Roman" w:eastAsia="宋体" w:cs="Times New Roman"/>
              </w:rPr>
            </w:pPr>
            <w:r>
              <w:rPr>
                <w:rFonts w:hint="default" w:ascii="Times New Roman" w:hAnsi="Times New Roman" w:eastAsia="宋体" w:cs="Times New Roman"/>
              </w:rPr>
              <w:t>%</w:t>
            </w:r>
          </w:p>
        </w:tc>
        <w:tc>
          <w:tcPr>
            <w:tcW w:w="1740" w:type="dxa"/>
            <w:noWrap w:val="0"/>
            <w:vAlign w:val="center"/>
          </w:tcPr>
          <w:p w14:paraId="2CEAAE91">
            <w:pPr>
              <w:pStyle w:val="104"/>
              <w:rPr>
                <w:rFonts w:hint="default" w:ascii="Times New Roman" w:hAnsi="Times New Roman" w:eastAsia="宋体" w:cs="Times New Roman"/>
              </w:rPr>
            </w:pPr>
            <w:r>
              <w:rPr>
                <w:rFonts w:hint="default" w:ascii="Times New Roman" w:hAnsi="Times New Roman" w:eastAsia="宋体" w:cs="Times New Roman"/>
              </w:rPr>
              <w:t>8.02</w:t>
            </w:r>
          </w:p>
        </w:tc>
        <w:tc>
          <w:tcPr>
            <w:tcW w:w="1837" w:type="dxa"/>
            <w:noWrap w:val="0"/>
            <w:vAlign w:val="center"/>
          </w:tcPr>
          <w:p w14:paraId="603A0578">
            <w:pPr>
              <w:pStyle w:val="104"/>
              <w:rPr>
                <w:rFonts w:hint="default" w:ascii="Times New Roman" w:hAnsi="Times New Roman" w:eastAsia="宋体" w:cs="Times New Roman"/>
              </w:rPr>
            </w:pPr>
            <w:r>
              <w:rPr>
                <w:rFonts w:hint="default" w:ascii="Times New Roman" w:hAnsi="Times New Roman" w:eastAsia="宋体" w:cs="Times New Roman"/>
              </w:rPr>
              <w:t>17.67</w:t>
            </w:r>
          </w:p>
        </w:tc>
      </w:tr>
      <w:tr w14:paraId="5ABA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29110F74">
            <w:pPr>
              <w:pStyle w:val="104"/>
              <w:rPr>
                <w:rFonts w:hint="default" w:ascii="Times New Roman" w:hAnsi="Times New Roman" w:eastAsia="宋体" w:cs="Times New Roman"/>
              </w:rPr>
            </w:pPr>
            <w:r>
              <w:rPr>
                <w:rFonts w:hint="default" w:ascii="Times New Roman" w:hAnsi="Times New Roman" w:eastAsia="宋体" w:cs="Times New Roman"/>
              </w:rPr>
              <w:t>2</w:t>
            </w:r>
          </w:p>
        </w:tc>
        <w:tc>
          <w:tcPr>
            <w:tcW w:w="1592" w:type="pct"/>
            <w:noWrap w:val="0"/>
            <w:vAlign w:val="center"/>
          </w:tcPr>
          <w:p w14:paraId="0CCE2485">
            <w:pPr>
              <w:pStyle w:val="104"/>
              <w:rPr>
                <w:rFonts w:hint="default" w:ascii="Times New Roman" w:hAnsi="Times New Roman" w:eastAsia="宋体" w:cs="Times New Roman"/>
              </w:rPr>
            </w:pPr>
            <w:r>
              <w:rPr>
                <w:rFonts w:hint="default" w:ascii="Times New Roman" w:hAnsi="Times New Roman" w:eastAsia="宋体" w:cs="Times New Roman"/>
              </w:rPr>
              <w:t>项目投资财务净现值(I=8%)</w:t>
            </w:r>
          </w:p>
        </w:tc>
        <w:tc>
          <w:tcPr>
            <w:tcW w:w="596" w:type="pct"/>
            <w:noWrap w:val="0"/>
            <w:vAlign w:val="center"/>
          </w:tcPr>
          <w:p w14:paraId="3F019FCE">
            <w:pPr>
              <w:pStyle w:val="104"/>
              <w:rPr>
                <w:rFonts w:hint="default" w:ascii="Times New Roman" w:hAnsi="Times New Roman" w:eastAsia="宋体" w:cs="Times New Roman"/>
              </w:rPr>
            </w:pPr>
            <w:r>
              <w:rPr>
                <w:rFonts w:hint="default" w:ascii="Times New Roman" w:hAnsi="Times New Roman" w:eastAsia="宋体" w:cs="Times New Roman"/>
              </w:rPr>
              <w:t>万元</w:t>
            </w:r>
          </w:p>
        </w:tc>
        <w:tc>
          <w:tcPr>
            <w:tcW w:w="1740" w:type="dxa"/>
            <w:noWrap w:val="0"/>
            <w:vAlign w:val="center"/>
          </w:tcPr>
          <w:p w14:paraId="4740BC46">
            <w:pPr>
              <w:pStyle w:val="104"/>
              <w:rPr>
                <w:rFonts w:hint="default" w:ascii="Times New Roman" w:hAnsi="Times New Roman" w:eastAsia="宋体" w:cs="Times New Roman"/>
              </w:rPr>
            </w:pPr>
            <w:r>
              <w:rPr>
                <w:rFonts w:hint="default" w:ascii="Times New Roman" w:hAnsi="Times New Roman" w:eastAsia="宋体" w:cs="Times New Roman"/>
              </w:rPr>
              <w:t>0.29</w:t>
            </w:r>
          </w:p>
        </w:tc>
        <w:tc>
          <w:tcPr>
            <w:tcW w:w="1837" w:type="dxa"/>
            <w:noWrap w:val="0"/>
            <w:vAlign w:val="center"/>
          </w:tcPr>
          <w:p w14:paraId="270D79BE">
            <w:pPr>
              <w:pStyle w:val="104"/>
              <w:rPr>
                <w:rFonts w:hint="default" w:ascii="Times New Roman" w:hAnsi="Times New Roman" w:eastAsia="宋体" w:cs="Times New Roman"/>
              </w:rPr>
            </w:pPr>
            <w:r>
              <w:rPr>
                <w:rFonts w:hint="default" w:ascii="Times New Roman" w:hAnsi="Times New Roman" w:eastAsia="宋体" w:cs="Times New Roman"/>
              </w:rPr>
              <w:t>181.60</w:t>
            </w:r>
          </w:p>
        </w:tc>
      </w:tr>
      <w:tr w14:paraId="3159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1EBCF71">
            <w:pPr>
              <w:pStyle w:val="104"/>
              <w:rPr>
                <w:rFonts w:hint="default" w:ascii="Times New Roman" w:hAnsi="Times New Roman" w:eastAsia="宋体" w:cs="Times New Roman"/>
              </w:rPr>
            </w:pPr>
            <w:r>
              <w:rPr>
                <w:rFonts w:hint="default" w:ascii="Times New Roman" w:hAnsi="Times New Roman" w:eastAsia="宋体" w:cs="Times New Roman"/>
              </w:rPr>
              <w:t>3</w:t>
            </w:r>
          </w:p>
        </w:tc>
        <w:tc>
          <w:tcPr>
            <w:tcW w:w="1592" w:type="pct"/>
            <w:noWrap w:val="0"/>
            <w:vAlign w:val="center"/>
          </w:tcPr>
          <w:p w14:paraId="7E30C0BF">
            <w:pPr>
              <w:pStyle w:val="104"/>
              <w:rPr>
                <w:rFonts w:hint="default" w:ascii="Times New Roman" w:hAnsi="Times New Roman" w:eastAsia="宋体" w:cs="Times New Roman"/>
              </w:rPr>
            </w:pPr>
            <w:r>
              <w:rPr>
                <w:rFonts w:hint="default" w:ascii="Times New Roman" w:hAnsi="Times New Roman" w:eastAsia="宋体" w:cs="Times New Roman"/>
              </w:rPr>
              <w:t>项目投资投资回收期（含基建期）</w:t>
            </w:r>
          </w:p>
        </w:tc>
        <w:tc>
          <w:tcPr>
            <w:tcW w:w="596" w:type="pct"/>
            <w:noWrap w:val="0"/>
            <w:vAlign w:val="center"/>
          </w:tcPr>
          <w:p w14:paraId="681DABB6">
            <w:pPr>
              <w:pStyle w:val="104"/>
              <w:rPr>
                <w:rFonts w:hint="default" w:ascii="Times New Roman" w:hAnsi="Times New Roman" w:eastAsia="宋体" w:cs="Times New Roman"/>
              </w:rPr>
            </w:pPr>
            <w:r>
              <w:rPr>
                <w:rFonts w:hint="default" w:ascii="Times New Roman" w:hAnsi="Times New Roman" w:eastAsia="宋体" w:cs="Times New Roman"/>
              </w:rPr>
              <w:t>a</w:t>
            </w:r>
          </w:p>
        </w:tc>
        <w:tc>
          <w:tcPr>
            <w:tcW w:w="1740" w:type="dxa"/>
            <w:noWrap w:val="0"/>
            <w:vAlign w:val="center"/>
          </w:tcPr>
          <w:p w14:paraId="39039380">
            <w:pPr>
              <w:pStyle w:val="104"/>
              <w:rPr>
                <w:rFonts w:hint="default" w:ascii="Times New Roman" w:hAnsi="Times New Roman" w:eastAsia="宋体" w:cs="Times New Roman"/>
              </w:rPr>
            </w:pPr>
            <w:r>
              <w:rPr>
                <w:rFonts w:hint="default" w:ascii="Times New Roman" w:hAnsi="Times New Roman" w:eastAsia="宋体" w:cs="Times New Roman"/>
              </w:rPr>
              <w:t>4.22</w:t>
            </w:r>
          </w:p>
        </w:tc>
        <w:tc>
          <w:tcPr>
            <w:tcW w:w="1837" w:type="dxa"/>
            <w:noWrap w:val="0"/>
            <w:vAlign w:val="center"/>
          </w:tcPr>
          <w:p w14:paraId="6DBF13B0">
            <w:pPr>
              <w:pStyle w:val="104"/>
              <w:rPr>
                <w:rFonts w:hint="default" w:ascii="Times New Roman" w:hAnsi="Times New Roman" w:eastAsia="宋体" w:cs="Times New Roman"/>
              </w:rPr>
            </w:pPr>
            <w:r>
              <w:rPr>
                <w:rFonts w:hint="default" w:ascii="Times New Roman" w:hAnsi="Times New Roman" w:eastAsia="宋体" w:cs="Times New Roman"/>
              </w:rPr>
              <w:t>3.67</w:t>
            </w:r>
          </w:p>
        </w:tc>
      </w:tr>
      <w:tr w14:paraId="7DBC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1726638C">
            <w:pPr>
              <w:pStyle w:val="104"/>
              <w:rPr>
                <w:rFonts w:hint="default" w:ascii="Times New Roman" w:hAnsi="Times New Roman" w:eastAsia="宋体" w:cs="Times New Roman"/>
              </w:rPr>
            </w:pPr>
            <w:r>
              <w:rPr>
                <w:rFonts w:hint="default" w:ascii="Times New Roman" w:hAnsi="Times New Roman" w:eastAsia="宋体" w:cs="Times New Roman"/>
              </w:rPr>
              <w:t>4</w:t>
            </w:r>
          </w:p>
        </w:tc>
        <w:tc>
          <w:tcPr>
            <w:tcW w:w="1592" w:type="pct"/>
            <w:noWrap w:val="0"/>
            <w:vAlign w:val="center"/>
          </w:tcPr>
          <w:p w14:paraId="7FD247FF">
            <w:pPr>
              <w:pStyle w:val="104"/>
              <w:rPr>
                <w:rFonts w:hint="default" w:ascii="Times New Roman" w:hAnsi="Times New Roman" w:eastAsia="宋体" w:cs="Times New Roman"/>
              </w:rPr>
            </w:pPr>
            <w:r>
              <w:rPr>
                <w:rFonts w:hint="default" w:ascii="Times New Roman" w:hAnsi="Times New Roman" w:eastAsia="宋体" w:cs="Times New Roman"/>
              </w:rPr>
              <w:t>总投资收益率</w:t>
            </w:r>
          </w:p>
        </w:tc>
        <w:tc>
          <w:tcPr>
            <w:tcW w:w="596" w:type="pct"/>
            <w:noWrap w:val="0"/>
            <w:vAlign w:val="center"/>
          </w:tcPr>
          <w:p w14:paraId="6BE675CD">
            <w:pPr>
              <w:pStyle w:val="104"/>
              <w:rPr>
                <w:rFonts w:hint="default" w:ascii="Times New Roman" w:hAnsi="Times New Roman" w:eastAsia="宋体" w:cs="Times New Roman"/>
              </w:rPr>
            </w:pPr>
            <w:r>
              <w:rPr>
                <w:rFonts w:hint="default" w:ascii="Times New Roman" w:hAnsi="Times New Roman" w:eastAsia="宋体" w:cs="Times New Roman"/>
              </w:rPr>
              <w:t>%</w:t>
            </w:r>
          </w:p>
        </w:tc>
        <w:tc>
          <w:tcPr>
            <w:tcW w:w="1740" w:type="dxa"/>
            <w:noWrap w:val="0"/>
            <w:vAlign w:val="center"/>
          </w:tcPr>
          <w:p w14:paraId="6B807A31">
            <w:pPr>
              <w:pStyle w:val="104"/>
              <w:rPr>
                <w:rFonts w:hint="default" w:ascii="Times New Roman" w:hAnsi="Times New Roman" w:eastAsia="宋体" w:cs="Times New Roman"/>
              </w:rPr>
            </w:pPr>
            <w:r>
              <w:rPr>
                <w:rFonts w:hint="default" w:ascii="Times New Roman" w:hAnsi="Times New Roman" w:eastAsia="宋体" w:cs="Times New Roman"/>
              </w:rPr>
              <w:t>18.03</w:t>
            </w:r>
          </w:p>
        </w:tc>
        <w:tc>
          <w:tcPr>
            <w:tcW w:w="1837" w:type="dxa"/>
            <w:noWrap w:val="0"/>
            <w:vAlign w:val="center"/>
          </w:tcPr>
          <w:p w14:paraId="3A3F5E61">
            <w:pPr>
              <w:pStyle w:val="104"/>
              <w:rPr>
                <w:rFonts w:hint="default" w:ascii="Times New Roman" w:hAnsi="Times New Roman" w:eastAsia="宋体" w:cs="Times New Roman"/>
              </w:rPr>
            </w:pPr>
          </w:p>
        </w:tc>
      </w:tr>
      <w:tr w14:paraId="3E4C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3" w:type="pct"/>
            <w:noWrap w:val="0"/>
            <w:vAlign w:val="center"/>
          </w:tcPr>
          <w:p w14:paraId="39F5AD11">
            <w:pPr>
              <w:pStyle w:val="104"/>
              <w:rPr>
                <w:rFonts w:hint="default" w:ascii="Times New Roman" w:hAnsi="Times New Roman" w:eastAsia="宋体" w:cs="Times New Roman"/>
              </w:rPr>
            </w:pPr>
            <w:r>
              <w:rPr>
                <w:rFonts w:hint="default" w:ascii="Times New Roman" w:hAnsi="Times New Roman" w:eastAsia="宋体" w:cs="Times New Roman"/>
              </w:rPr>
              <w:t>5</w:t>
            </w:r>
          </w:p>
        </w:tc>
        <w:tc>
          <w:tcPr>
            <w:tcW w:w="1592" w:type="pct"/>
            <w:noWrap w:val="0"/>
            <w:vAlign w:val="center"/>
          </w:tcPr>
          <w:p w14:paraId="5BC9AF90">
            <w:pPr>
              <w:pStyle w:val="104"/>
              <w:rPr>
                <w:rFonts w:hint="default" w:ascii="Times New Roman" w:hAnsi="Times New Roman" w:eastAsia="宋体" w:cs="Times New Roman"/>
              </w:rPr>
            </w:pPr>
            <w:r>
              <w:rPr>
                <w:rFonts w:hint="default" w:ascii="Times New Roman" w:hAnsi="Times New Roman" w:eastAsia="宋体" w:cs="Times New Roman"/>
              </w:rPr>
              <w:t>资本金净利润率</w:t>
            </w:r>
          </w:p>
        </w:tc>
        <w:tc>
          <w:tcPr>
            <w:tcW w:w="596" w:type="pct"/>
            <w:noWrap w:val="0"/>
            <w:vAlign w:val="center"/>
          </w:tcPr>
          <w:p w14:paraId="2A63D28E">
            <w:pPr>
              <w:pStyle w:val="104"/>
              <w:rPr>
                <w:rFonts w:hint="default" w:ascii="Times New Roman" w:hAnsi="Times New Roman" w:eastAsia="宋体" w:cs="Times New Roman"/>
              </w:rPr>
            </w:pPr>
            <w:r>
              <w:rPr>
                <w:rFonts w:hint="default" w:ascii="Times New Roman" w:hAnsi="Times New Roman" w:eastAsia="宋体" w:cs="Times New Roman"/>
              </w:rPr>
              <w:t>%</w:t>
            </w:r>
          </w:p>
        </w:tc>
        <w:tc>
          <w:tcPr>
            <w:tcW w:w="1740" w:type="dxa"/>
            <w:noWrap w:val="0"/>
            <w:vAlign w:val="center"/>
          </w:tcPr>
          <w:p w14:paraId="63B480CF">
            <w:pPr>
              <w:pStyle w:val="104"/>
              <w:rPr>
                <w:rFonts w:hint="default" w:ascii="Times New Roman" w:hAnsi="Times New Roman" w:eastAsia="宋体" w:cs="Times New Roman"/>
              </w:rPr>
            </w:pPr>
            <w:r>
              <w:rPr>
                <w:rFonts w:hint="default" w:ascii="Times New Roman" w:hAnsi="Times New Roman" w:eastAsia="宋体" w:cs="Times New Roman"/>
              </w:rPr>
              <w:t>13.53</w:t>
            </w:r>
          </w:p>
        </w:tc>
        <w:tc>
          <w:tcPr>
            <w:tcW w:w="1837" w:type="dxa"/>
            <w:noWrap w:val="0"/>
            <w:vAlign w:val="center"/>
          </w:tcPr>
          <w:p w14:paraId="05D6CDE8">
            <w:pPr>
              <w:pStyle w:val="104"/>
              <w:rPr>
                <w:rFonts w:hint="default" w:ascii="Times New Roman" w:hAnsi="Times New Roman" w:eastAsia="宋体" w:cs="Times New Roman"/>
              </w:rPr>
            </w:pPr>
          </w:p>
        </w:tc>
      </w:tr>
      <w:bookmarkEnd w:id="328"/>
    </w:tbl>
    <w:p w14:paraId="76476FDC">
      <w:pPr>
        <w:widowControl/>
        <w:adjustRightInd w:val="0"/>
        <w:snapToGrid w:val="0"/>
        <w:spacing w:line="360" w:lineRule="auto"/>
        <w:ind w:firstLine="560" w:firstLineChars="200"/>
        <w:jc w:val="left"/>
        <w:rPr>
          <w:rFonts w:hint="default" w:ascii="Times New Roman" w:hAnsi="Times New Roman" w:eastAsia="宋体" w:cs="Times New Roman"/>
          <w:sz w:val="28"/>
          <w:szCs w:val="28"/>
        </w:rPr>
      </w:pPr>
    </w:p>
    <w:p w14:paraId="736AA39A">
      <w:pPr>
        <w:widowControl/>
        <w:adjustRightInd w:val="0"/>
        <w:snapToGrid w:val="0"/>
        <w:spacing w:line="360" w:lineRule="auto"/>
        <w:ind w:firstLine="560" w:firstLineChars="200"/>
        <w:jc w:val="left"/>
        <w:rPr>
          <w:rFonts w:hint="default" w:ascii="Times New Roman" w:hAnsi="Times New Roman" w:eastAsia="宋体" w:cs="Times New Roman"/>
          <w:sz w:val="28"/>
          <w:szCs w:val="28"/>
        </w:rPr>
        <w:sectPr>
          <w:pgSz w:w="11905" w:h="16838"/>
          <w:pgMar w:top="1417" w:right="1134" w:bottom="1134" w:left="1587" w:header="850" w:footer="992" w:gutter="0"/>
          <w:cols w:space="720" w:num="1"/>
          <w:docGrid w:linePitch="332" w:charSpace="0"/>
        </w:sectPr>
      </w:pPr>
    </w:p>
    <w:p w14:paraId="7E680DF9">
      <w:pPr>
        <w:pStyle w:val="2"/>
        <w:adjustRightInd w:val="0"/>
        <w:snapToGrid w:val="0"/>
        <w:spacing w:before="0" w:after="0" w:line="360" w:lineRule="auto"/>
        <w:jc w:val="center"/>
        <w:rPr>
          <w:rFonts w:hint="default" w:ascii="Times New Roman" w:hAnsi="Times New Roman" w:eastAsia="宋体" w:cs="Times New Roman"/>
          <w:sz w:val="32"/>
          <w:szCs w:val="32"/>
        </w:rPr>
      </w:pPr>
      <w:bookmarkStart w:id="330" w:name="_Toc8115"/>
      <w:bookmarkStart w:id="331" w:name="_Toc29828"/>
      <w:bookmarkStart w:id="332" w:name="_Toc1385"/>
      <w:bookmarkStart w:id="333" w:name="_Toc5301"/>
      <w:bookmarkStart w:id="334" w:name="_Toc29295"/>
      <w:r>
        <w:rPr>
          <w:rFonts w:hint="default" w:ascii="Times New Roman" w:hAnsi="Times New Roman" w:eastAsia="宋体" w:cs="Times New Roman"/>
          <w:sz w:val="32"/>
          <w:szCs w:val="32"/>
        </w:rPr>
        <w:t>3.定性定量评价</w:t>
      </w:r>
      <w:bookmarkEnd w:id="324"/>
      <w:bookmarkEnd w:id="325"/>
      <w:bookmarkEnd w:id="326"/>
      <w:bookmarkEnd w:id="327"/>
      <w:bookmarkEnd w:id="329"/>
      <w:bookmarkEnd w:id="330"/>
      <w:bookmarkEnd w:id="331"/>
      <w:bookmarkEnd w:id="332"/>
      <w:bookmarkEnd w:id="333"/>
      <w:bookmarkEnd w:id="334"/>
    </w:p>
    <w:p w14:paraId="4D9BEC22">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eastAsia" w:ascii="Times New Roman" w:hAnsi="Times New Roman" w:eastAsia="宋体" w:cs="Times New Roman"/>
          <w:sz w:val="28"/>
          <w:szCs w:val="28"/>
          <w:lang w:val="en-US" w:eastAsia="zh-CN"/>
        </w:rPr>
        <w:t>XX</w:t>
      </w:r>
      <w:r>
        <w:rPr>
          <w:rFonts w:hint="default" w:ascii="Times New Roman" w:hAnsi="Times New Roman" w:eastAsia="宋体" w:cs="Times New Roman"/>
          <w:sz w:val="28"/>
          <w:szCs w:val="28"/>
        </w:rPr>
        <w:t>。</w:t>
      </w:r>
    </w:p>
    <w:p w14:paraId="38A881D7">
      <w:pPr>
        <w:adjustRightInd w:val="0"/>
        <w:snapToGrid w:val="0"/>
        <w:spacing w:line="360" w:lineRule="auto"/>
        <w:ind w:firstLine="560" w:firstLineChars="200"/>
        <w:rPr>
          <w:rFonts w:hint="default" w:ascii="Times New Roman" w:hAnsi="Times New Roman" w:eastAsia="宋体" w:cs="Times New Roman"/>
          <w:sz w:val="28"/>
          <w:szCs w:val="28"/>
        </w:rPr>
      </w:pPr>
    </w:p>
    <w:p w14:paraId="0C7AAE5E">
      <w:pPr>
        <w:pStyle w:val="2"/>
        <w:adjustRightInd w:val="0"/>
        <w:snapToGrid w:val="0"/>
        <w:spacing w:before="0" w:after="0" w:line="360" w:lineRule="auto"/>
        <w:jc w:val="center"/>
        <w:rPr>
          <w:rFonts w:hint="default" w:ascii="Times New Roman" w:hAnsi="Times New Roman" w:eastAsia="宋体" w:cs="Times New Roman"/>
          <w:b w:val="0"/>
          <w:bCs w:val="0"/>
          <w:sz w:val="32"/>
          <w:szCs w:val="32"/>
        </w:rPr>
        <w:sectPr>
          <w:pgSz w:w="11905" w:h="16838"/>
          <w:pgMar w:top="1417" w:right="1134" w:bottom="1134" w:left="1587" w:header="850" w:footer="992" w:gutter="0"/>
          <w:cols w:space="720" w:num="1"/>
          <w:docGrid w:linePitch="332" w:charSpace="0"/>
        </w:sectPr>
      </w:pPr>
      <w:bookmarkStart w:id="335" w:name="_Toc242849811"/>
      <w:bookmarkStart w:id="336" w:name="_Toc115120673"/>
      <w:bookmarkStart w:id="337" w:name="_Toc226963199"/>
      <w:bookmarkStart w:id="338" w:name="_Toc115120279"/>
    </w:p>
    <w:p w14:paraId="45AA3075">
      <w:pPr>
        <w:pStyle w:val="2"/>
        <w:adjustRightInd w:val="0"/>
        <w:snapToGrid w:val="0"/>
        <w:spacing w:before="0" w:after="0" w:line="360" w:lineRule="auto"/>
        <w:jc w:val="center"/>
        <w:rPr>
          <w:rFonts w:hint="default" w:ascii="Times New Roman" w:hAnsi="Times New Roman" w:eastAsia="宋体" w:cs="Times New Roman"/>
          <w:sz w:val="32"/>
          <w:szCs w:val="32"/>
        </w:rPr>
      </w:pPr>
      <w:bookmarkStart w:id="339" w:name="_Toc6413"/>
      <w:bookmarkStart w:id="340" w:name="_Toc23263"/>
      <w:bookmarkStart w:id="341" w:name="_Toc30392"/>
      <w:bookmarkStart w:id="342" w:name="_Toc31784"/>
      <w:bookmarkStart w:id="343" w:name="_Toc32557"/>
      <w:bookmarkStart w:id="344" w:name="_Toc13190"/>
      <w:r>
        <w:rPr>
          <w:rFonts w:hint="default" w:ascii="Times New Roman" w:hAnsi="Times New Roman" w:eastAsia="宋体" w:cs="Times New Roman"/>
          <w:sz w:val="32"/>
          <w:szCs w:val="32"/>
        </w:rPr>
        <w:t>4.安全对策措施建议</w:t>
      </w:r>
      <w:bookmarkEnd w:id="335"/>
      <w:bookmarkEnd w:id="336"/>
      <w:bookmarkEnd w:id="337"/>
      <w:bookmarkEnd w:id="338"/>
      <w:bookmarkEnd w:id="339"/>
      <w:bookmarkEnd w:id="340"/>
      <w:bookmarkEnd w:id="341"/>
      <w:bookmarkEnd w:id="342"/>
      <w:bookmarkEnd w:id="343"/>
      <w:bookmarkEnd w:id="344"/>
    </w:p>
    <w:p w14:paraId="33006CAE">
      <w:pPr>
        <w:pStyle w:val="3"/>
        <w:adjustRightInd w:val="0"/>
        <w:snapToGrid w:val="0"/>
        <w:spacing w:before="0" w:after="0" w:line="360" w:lineRule="auto"/>
        <w:jc w:val="center"/>
        <w:rPr>
          <w:rFonts w:hint="default" w:ascii="Times New Roman" w:hAnsi="Times New Roman" w:eastAsia="宋体" w:cs="Times New Roman"/>
          <w:sz w:val="30"/>
          <w:szCs w:val="30"/>
          <w:lang w:val="en-GB"/>
        </w:rPr>
      </w:pPr>
      <w:bookmarkStart w:id="345" w:name="_Toc18199"/>
      <w:bookmarkStart w:id="346" w:name="_Toc70"/>
      <w:bookmarkStart w:id="347" w:name="_Toc8855"/>
      <w:bookmarkStart w:id="348" w:name="_Toc8769"/>
      <w:bookmarkStart w:id="349" w:name="_Toc18135"/>
      <w:bookmarkStart w:id="350" w:name="_Toc15914"/>
      <w:r>
        <w:rPr>
          <w:rFonts w:hint="default" w:ascii="Times New Roman" w:hAnsi="Times New Roman" w:eastAsia="宋体" w:cs="Times New Roman"/>
          <w:sz w:val="30"/>
          <w:szCs w:val="30"/>
          <w:lang w:val="en-GB"/>
        </w:rPr>
        <w:t>4.1初步设计方案中提出的主要问题及建议</w:t>
      </w:r>
      <w:bookmarkEnd w:id="345"/>
      <w:bookmarkEnd w:id="346"/>
      <w:bookmarkEnd w:id="347"/>
      <w:bookmarkEnd w:id="348"/>
    </w:p>
    <w:p w14:paraId="70845E41">
      <w:pPr>
        <w:pStyle w:val="62"/>
        <w:snapToGrid w:val="0"/>
        <w:spacing w:line="360" w:lineRule="auto"/>
        <w:ind w:firstLine="560" w:firstLineChars="200"/>
        <w:rPr>
          <w:rFonts w:hint="default" w:ascii="Times New Roman" w:hAnsi="Times New Roman" w:eastAsia="宋体" w:cs="Times New Roman"/>
          <w:color w:val="auto"/>
          <w:kern w:val="2"/>
          <w:sz w:val="28"/>
          <w:szCs w:val="21"/>
        </w:rPr>
      </w:pPr>
      <w:r>
        <w:rPr>
          <w:rFonts w:hint="default" w:ascii="Times New Roman" w:hAnsi="Times New Roman" w:eastAsia="宋体" w:cs="Times New Roman"/>
          <w:color w:val="auto"/>
          <w:kern w:val="2"/>
          <w:sz w:val="28"/>
          <w:szCs w:val="21"/>
        </w:rPr>
        <w:t>（1）矿山西南有省道经过，爆破时，应做好安全警戒，设置哨岗，防止车辆、人员进入，爆破结束后待解除警戒方可通行。</w:t>
      </w:r>
    </w:p>
    <w:p w14:paraId="73C0A741">
      <w:pPr>
        <w:pStyle w:val="62"/>
        <w:snapToGrid w:val="0"/>
        <w:spacing w:line="360" w:lineRule="auto"/>
        <w:ind w:firstLine="560" w:firstLineChars="200"/>
        <w:rPr>
          <w:rFonts w:hint="default" w:ascii="Times New Roman" w:hAnsi="Times New Roman" w:eastAsia="宋体" w:cs="Times New Roman"/>
          <w:color w:val="auto"/>
          <w:kern w:val="2"/>
          <w:sz w:val="28"/>
          <w:szCs w:val="21"/>
        </w:rPr>
      </w:pPr>
      <w:r>
        <w:rPr>
          <w:rFonts w:hint="default" w:ascii="Times New Roman" w:hAnsi="Times New Roman" w:eastAsia="宋体" w:cs="Times New Roman"/>
          <w:color w:val="auto"/>
          <w:kern w:val="2"/>
          <w:sz w:val="28"/>
          <w:szCs w:val="21"/>
        </w:rPr>
        <w:t>（2）矿山岩石力学研究薄弱，在今后的生产过程中，应加强这方面的工作，并不断收集开采技术条件的相关资料，为矿山安全生产提供可靠的依据。</w:t>
      </w:r>
    </w:p>
    <w:p w14:paraId="211CAE31">
      <w:pPr>
        <w:pStyle w:val="62"/>
        <w:snapToGrid w:val="0"/>
        <w:spacing w:line="360" w:lineRule="auto"/>
        <w:ind w:firstLine="560" w:firstLineChars="200"/>
        <w:rPr>
          <w:rFonts w:hint="default" w:ascii="Times New Roman" w:hAnsi="Times New Roman" w:eastAsia="宋体" w:cs="Times New Roman"/>
          <w:color w:val="auto"/>
        </w:rPr>
      </w:pPr>
      <w:r>
        <w:rPr>
          <w:rFonts w:hint="default" w:ascii="Times New Roman" w:hAnsi="Times New Roman" w:eastAsia="宋体" w:cs="Times New Roman"/>
          <w:color w:val="auto"/>
          <w:kern w:val="2"/>
          <w:sz w:val="28"/>
          <w:szCs w:val="21"/>
        </w:rPr>
        <w:t>（3）在临近原露天采场生产作业时，人员及设备不得靠近采场边缘，应留有2m以上的安全距离。难以实施凿岩爆破的区域，可采用破碎锤进行开采</w:t>
      </w:r>
      <w:r>
        <w:rPr>
          <w:rFonts w:hint="default" w:ascii="Times New Roman" w:hAnsi="Times New Roman" w:eastAsia="宋体" w:cs="Times New Roman"/>
          <w:color w:val="auto"/>
          <w:kern w:val="2"/>
          <w:sz w:val="28"/>
          <w:szCs w:val="28"/>
        </w:rPr>
        <w:t>。</w:t>
      </w:r>
    </w:p>
    <w:p w14:paraId="141DB23B">
      <w:pPr>
        <w:pStyle w:val="3"/>
        <w:adjustRightInd w:val="0"/>
        <w:snapToGrid w:val="0"/>
        <w:spacing w:before="0" w:after="0" w:line="360" w:lineRule="auto"/>
        <w:jc w:val="center"/>
        <w:rPr>
          <w:rFonts w:hint="default" w:ascii="Times New Roman" w:hAnsi="Times New Roman" w:eastAsia="宋体" w:cs="Times New Roman"/>
          <w:sz w:val="30"/>
          <w:szCs w:val="30"/>
          <w:lang w:val="en-GB"/>
        </w:rPr>
      </w:pPr>
      <w:bookmarkStart w:id="351" w:name="_Toc5532"/>
      <w:bookmarkStart w:id="352" w:name="_Toc6068"/>
      <w:bookmarkStart w:id="353" w:name="_Toc32081"/>
      <w:bookmarkStart w:id="354" w:name="_Toc18713"/>
      <w:r>
        <w:rPr>
          <w:rFonts w:hint="default" w:ascii="Times New Roman" w:hAnsi="Times New Roman" w:eastAsia="宋体" w:cs="Times New Roman"/>
          <w:sz w:val="30"/>
          <w:szCs w:val="30"/>
          <w:lang w:val="en-GB"/>
        </w:rPr>
        <w:t>4.2各单元安全对策措施建议</w:t>
      </w:r>
      <w:bookmarkEnd w:id="349"/>
      <w:bookmarkEnd w:id="350"/>
      <w:bookmarkEnd w:id="351"/>
      <w:bookmarkEnd w:id="352"/>
      <w:bookmarkEnd w:id="353"/>
      <w:bookmarkEnd w:id="354"/>
    </w:p>
    <w:p w14:paraId="4FDD9F11">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355" w:name="_Toc15693"/>
      <w:bookmarkStart w:id="356" w:name="_Toc32645"/>
      <w:bookmarkStart w:id="357" w:name="_Toc12383"/>
      <w:bookmarkStart w:id="358" w:name="_Toc5895"/>
      <w:r>
        <w:rPr>
          <w:rFonts w:hint="default" w:ascii="Times New Roman" w:hAnsi="Times New Roman" w:eastAsia="宋体" w:cs="Times New Roman"/>
          <w:sz w:val="28"/>
          <w:szCs w:val="28"/>
        </w:rPr>
        <w:t>4.2.1总平面布置单元</w:t>
      </w:r>
      <w:bookmarkEnd w:id="355"/>
      <w:bookmarkEnd w:id="356"/>
      <w:bookmarkEnd w:id="357"/>
      <w:bookmarkEnd w:id="358"/>
    </w:p>
    <w:p w14:paraId="077C9716">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（1）按设计要求有计划、有序地进行开采，合理布置工业场地、设备设施，避免相互制约和影响，协调好各采剥作业面间的相互关系，确保作业安全。</w:t>
      </w:r>
    </w:p>
    <w:p w14:paraId="3FB407F4">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（2）矿区西南侧115m处临时工棚和112m处破碎站及工业场地均位于爆破警戒范围之内，进行爆破作业时应采取可靠的安全防范措施，确保爆破时人员撤离警戒范围，以免引起线路故障或其他安全事故。</w:t>
      </w:r>
    </w:p>
    <w:p w14:paraId="76F4336F">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（3）矿区西南侧354m处35KV高压线，矿山已经取得昭通供电局同意，高压线200m范围外允许爆破，进行爆破作业时应采取可靠的安全防范措施，以免引起线路故障或其他安全事故。</w:t>
      </w:r>
    </w:p>
    <w:p w14:paraId="3C178E0E">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矿区南侧100m处省道，位于爆破警戒范围之内，应当设置警戒岗哨，矿山爆破时，在乡道爆破境界范围之外设卡，禁止人员和车辆进入爆破境界范围之内，待爆破结束接触警戒，方可通行。对道路进行保护，并在矿山每次爆破时应对爆区采取覆盖措施（如橡胶防护垫、铁丝网工业毯垫、帆布、草垫子等），防止爆破飞石危及高压线道路安全。</w:t>
      </w:r>
    </w:p>
    <w:p w14:paraId="08764B8B">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对于采石场周边300米范围内存在生产生活设施的，建议安全设施设计中应根据《小型露天采石场安全管理与监督检查规定》的规定，对周边300米范围内的生产生活设施给予合理的解决方案，以保证项目合法合规建设和生产。</w:t>
      </w:r>
    </w:p>
    <w:p w14:paraId="48B91FA7">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（6）在下一步设计中补充禁采区描述，并在相关图纸中补充禁采区。</w:t>
      </w:r>
    </w:p>
    <w:p w14:paraId="1ADD137A">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（7）在露天采场边界和禁采区边界设置围栏，以及明显的禁止、警告、提示标志，非矿山专业作业人员、设备等禁止进入。</w:t>
      </w:r>
    </w:p>
    <w:p w14:paraId="40E90C32">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359" w:name="_Toc13719"/>
      <w:bookmarkStart w:id="360" w:name="_Toc13471"/>
      <w:bookmarkStart w:id="361" w:name="_Toc10816"/>
      <w:bookmarkStart w:id="362" w:name="_Toc26172"/>
      <w:r>
        <w:rPr>
          <w:rFonts w:hint="default" w:ascii="Times New Roman" w:hAnsi="Times New Roman" w:eastAsia="宋体" w:cs="Times New Roman"/>
          <w:sz w:val="28"/>
          <w:szCs w:val="28"/>
        </w:rPr>
        <w:t>4.2.2开拓运输单元</w:t>
      </w:r>
      <w:bookmarkEnd w:id="359"/>
      <w:bookmarkEnd w:id="360"/>
      <w:bookmarkEnd w:id="361"/>
      <w:bookmarkEnd w:id="362"/>
    </w:p>
    <w:p w14:paraId="4ED07F80">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t>矿山边坡较为高陡，挖机便道从原采空区经过，人行通道有工作人员经过，在下一步安全设施设计中应补充完善护栏或挡车墙。</w:t>
      </w:r>
    </w:p>
    <w:p w14:paraId="2D0C3429">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t>矿区道路边坡需加强支护并设置安全警示牌，山坡填方的弯道、坡度较大的填方地段以及高路基外侧应设置护栏或挡车墙，在下一步安全设施设计中应补充、完善。同时，矿山应建立道路安全管理制度，定期对运输设备进行检查维护。</w:t>
      </w:r>
    </w:p>
    <w:p w14:paraId="1BA0D3FE">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lang w:val="zh-CN"/>
        </w:rPr>
        <w:t>《云南省巧家县老店镇独梨树采石场10万t/a露天采场工程初步设计</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lang w:val="zh-CN"/>
        </w:rPr>
        <w:t>代可研）》</w:t>
      </w:r>
      <w:r>
        <w:rPr>
          <w:rFonts w:hint="default" w:ascii="Times New Roman" w:hAnsi="Times New Roman" w:eastAsia="宋体" w:cs="Times New Roman"/>
          <w:sz w:val="28"/>
          <w:szCs w:val="28"/>
        </w:rPr>
        <w:t>文本未对接矿平台的防滚石挡墙相关参数进行介绍，应在下一步安全设施设计中补充及完善其他安全管理措施。</w:t>
      </w:r>
    </w:p>
    <w:p w14:paraId="5AD3D859">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（4）矿山应建立道路安全管理制度，定期对运输设备进行检查维护。</w:t>
      </w:r>
    </w:p>
    <w:p w14:paraId="46F01CB2">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t>本项目使用溜槽开拓，建议下一步安全设施设计补充溜槽施工、防排水、检修、防堵及处理方面的安全措施。</w:t>
      </w:r>
    </w:p>
    <w:p w14:paraId="00AA3534">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（6）下一步设计明确溜槽卸矿口设置车挡。</w:t>
      </w:r>
    </w:p>
    <w:p w14:paraId="6B870F85">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（7）下一步设计明确在山坡填方的弯道、坡度较大的填方地段以及高路基外侧设置护栏或挡车墙。</w:t>
      </w:r>
    </w:p>
    <w:p w14:paraId="35172CFA">
      <w:pPr>
        <w:widowControl/>
        <w:adjustRightInd w:val="0"/>
        <w:snapToGrid w:val="0"/>
        <w:spacing w:line="360" w:lineRule="auto"/>
        <w:ind w:firstLine="560" w:firstLineChars="200"/>
        <w:rPr>
          <w:rFonts w:hint="eastAsia"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t>（8）下一步设计明确自卸汽车为矿用汽车</w:t>
      </w:r>
      <w:r>
        <w:rPr>
          <w:rFonts w:hint="eastAsia" w:ascii="Times New Roman" w:hAnsi="Times New Roman" w:eastAsia="宋体" w:cs="Times New Roman"/>
          <w:sz w:val="28"/>
          <w:szCs w:val="28"/>
          <w:lang w:eastAsia="zh-CN"/>
        </w:rPr>
        <w:t>。</w:t>
      </w:r>
    </w:p>
    <w:p w14:paraId="38AF6768">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9</w:t>
      </w:r>
      <w:r>
        <w:rPr>
          <w:rFonts w:hint="default" w:ascii="Times New Roman" w:hAnsi="Times New Roman" w:eastAsia="宋体" w:cs="Times New Roman"/>
          <w:sz w:val="28"/>
          <w:szCs w:val="28"/>
        </w:rPr>
        <w:t>）接矿平台的铲装作业必须等溜槽卸矿停止后才能进行溜槽底部装运平台周围应有明显警示标志，人员、设备不能靠近，以防滚石对人员及设备产生安全隐患。</w:t>
      </w:r>
    </w:p>
    <w:p w14:paraId="32722BE4">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363" w:name="_Toc6996"/>
      <w:bookmarkStart w:id="364" w:name="_Toc15200"/>
      <w:bookmarkStart w:id="365" w:name="_Toc28004"/>
      <w:bookmarkStart w:id="366" w:name="_Toc26189"/>
      <w:r>
        <w:rPr>
          <w:rFonts w:hint="default" w:ascii="Times New Roman" w:hAnsi="Times New Roman" w:eastAsia="宋体" w:cs="Times New Roman"/>
          <w:sz w:val="28"/>
          <w:szCs w:val="28"/>
        </w:rPr>
        <w:t>4.2.3采剥单元</w:t>
      </w:r>
      <w:bookmarkEnd w:id="363"/>
      <w:bookmarkEnd w:id="364"/>
      <w:bookmarkEnd w:id="365"/>
      <w:bookmarkEnd w:id="366"/>
    </w:p>
    <w:p w14:paraId="57C88A3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1.采场子单元：</w:t>
      </w:r>
    </w:p>
    <w:p w14:paraId="2C5D798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t>矿山</w:t>
      </w:r>
      <w:r>
        <w:rPr>
          <w:rFonts w:hint="eastAsia" w:ascii="Times New Roman" w:hAnsi="Times New Roman" w:eastAsia="宋体" w:cs="Times New Roman"/>
          <w:sz w:val="28"/>
          <w:szCs w:val="28"/>
          <w:lang w:val="en-US" w:eastAsia="zh-CN"/>
        </w:rPr>
        <w:t>采空区</w:t>
      </w:r>
      <w:r>
        <w:rPr>
          <w:rFonts w:hint="default" w:ascii="Times New Roman" w:hAnsi="Times New Roman" w:eastAsia="宋体" w:cs="Times New Roman"/>
          <w:sz w:val="28"/>
          <w:szCs w:val="28"/>
        </w:rPr>
        <w:t>现状边坡</w:t>
      </w:r>
      <w:r>
        <w:rPr>
          <w:rFonts w:hint="eastAsia" w:ascii="Times New Roman" w:hAnsi="Times New Roman" w:eastAsia="宋体" w:cs="Times New Roman"/>
          <w:sz w:val="28"/>
          <w:szCs w:val="28"/>
          <w:lang w:val="en-US" w:eastAsia="zh-CN"/>
        </w:rPr>
        <w:t>存在过高过陡情况，下一步</w:t>
      </w:r>
      <w:r>
        <w:rPr>
          <w:rFonts w:hint="default" w:ascii="Times New Roman" w:hAnsi="Times New Roman" w:eastAsia="宋体" w:cs="Times New Roman"/>
          <w:sz w:val="28"/>
          <w:szCs w:val="28"/>
        </w:rPr>
        <w:t>安全设施设计应</w:t>
      </w:r>
      <w:r>
        <w:rPr>
          <w:rFonts w:hint="eastAsia" w:ascii="Times New Roman" w:hAnsi="Times New Roman" w:eastAsia="宋体" w:cs="Times New Roman"/>
          <w:sz w:val="28"/>
          <w:szCs w:val="28"/>
          <w:lang w:val="en-US" w:eastAsia="zh-CN"/>
        </w:rPr>
        <w:t>进行</w:t>
      </w:r>
      <w:r>
        <w:rPr>
          <w:rFonts w:hint="default" w:ascii="Times New Roman" w:hAnsi="Times New Roman" w:eastAsia="宋体" w:cs="Times New Roman"/>
          <w:sz w:val="28"/>
          <w:szCs w:val="28"/>
        </w:rPr>
        <w:t>削坡减载</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人工加固等相关措施</w:t>
      </w:r>
      <w:r>
        <w:rPr>
          <w:rFonts w:hint="default" w:ascii="Times New Roman" w:hAnsi="Times New Roman" w:eastAsia="宋体" w:cs="Times New Roman"/>
          <w:sz w:val="28"/>
          <w:szCs w:val="28"/>
        </w:rPr>
        <w:t>，消除重大隐患</w:t>
      </w:r>
      <w:r>
        <w:rPr>
          <w:rFonts w:hint="eastAsia" w:ascii="Times New Roman" w:hAnsi="Times New Roman" w:eastAsia="宋体" w:cs="Times New Roman"/>
          <w:sz w:val="28"/>
          <w:szCs w:val="28"/>
          <w:lang w:val="en-US" w:eastAsia="zh-CN"/>
        </w:rPr>
        <w:t>后</w:t>
      </w:r>
      <w:r>
        <w:rPr>
          <w:rFonts w:hint="default" w:ascii="Times New Roman" w:hAnsi="Times New Roman" w:eastAsia="宋体" w:cs="Times New Roman"/>
          <w:sz w:val="28"/>
          <w:szCs w:val="28"/>
        </w:rPr>
        <w:t>方可开展本期矿山</w:t>
      </w:r>
      <w:r>
        <w:rPr>
          <w:rFonts w:hint="eastAsia" w:ascii="Times New Roman" w:hAnsi="Times New Roman" w:eastAsia="宋体" w:cs="Times New Roman"/>
          <w:sz w:val="28"/>
          <w:szCs w:val="28"/>
          <w:lang w:val="en-US" w:eastAsia="zh-CN"/>
        </w:rPr>
        <w:t>生产活动。</w:t>
      </w:r>
    </w:p>
    <w:p w14:paraId="5A656D50">
      <w:pPr>
        <w:adjustRightInd w:val="0"/>
        <w:snapToGrid w:val="0"/>
        <w:spacing w:line="360" w:lineRule="auto"/>
        <w:ind w:firstLine="560" w:firstLineChars="200"/>
        <w:rPr>
          <w:rFonts w:hint="default" w:ascii="Times New Roman" w:hAnsi="Times New Roman" w:eastAsia="宋体" w:cs="Times New Roman"/>
          <w:sz w:val="28"/>
          <w:szCs w:val="28"/>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2</w:t>
      </w:r>
      <w:r>
        <w:rPr>
          <w:rFonts w:hint="eastAsia" w:ascii="Times New Roman" w:hAnsi="Times New Roman" w:eastAsia="宋体" w:cs="Times New Roman"/>
          <w:sz w:val="28"/>
          <w:szCs w:val="28"/>
          <w:lang w:eastAsia="zh-CN"/>
        </w:rPr>
        <w:t>）</w:t>
      </w:r>
      <w:r>
        <w:rPr>
          <w:rFonts w:hint="default" w:ascii="Times New Roman" w:hAnsi="Times New Roman" w:eastAsia="宋体" w:cs="Times New Roman"/>
          <w:sz w:val="28"/>
          <w:szCs w:val="28"/>
        </w:rPr>
        <w:t>矿山应对易产生崩落、掉块的部位需重点防护，对过往行人车辆会构成威胁，应完善边坡截排水设施，定期进行巡查，发现浮石、开裂等隐患，及时处理。</w:t>
      </w:r>
    </w:p>
    <w:p w14:paraId="5D7C6CE5">
      <w:pPr>
        <w:adjustRightInd w:val="0"/>
        <w:snapToGrid w:val="0"/>
        <w:spacing w:line="360" w:lineRule="auto"/>
        <w:ind w:firstLine="560" w:firstLineChars="200"/>
        <w:rPr>
          <w:rFonts w:hint="default" w:ascii="Times New Roman" w:hAnsi="Times New Roman" w:eastAsia="宋体" w:cs="Times New Roman"/>
          <w:sz w:val="28"/>
          <w:szCs w:val="28"/>
          <w:lang w:val="zh-CN"/>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t>设计应进一步完善采场应采取的安全措施，矿山在露天矿边界应设可靠的围栏或醒目的警示标志，防止无关人员误入。露天矿边界上2m范围内，可能危及人员安全的树木及其他植物、不稳固材料和岩石等，应予清除</w:t>
      </w:r>
      <w:r>
        <w:rPr>
          <w:rFonts w:hint="default" w:ascii="Times New Roman" w:hAnsi="Times New Roman" w:eastAsia="宋体" w:cs="Times New Roman"/>
          <w:sz w:val="28"/>
          <w:szCs w:val="28"/>
          <w:lang w:val="zh-CN"/>
        </w:rPr>
        <w:t>。</w:t>
      </w:r>
    </w:p>
    <w:p w14:paraId="013430C2">
      <w:pPr>
        <w:adjustRightInd w:val="0"/>
        <w:snapToGrid w:val="0"/>
        <w:spacing w:line="360" w:lineRule="auto"/>
        <w:ind w:firstLine="560" w:firstLineChars="200"/>
        <w:rPr>
          <w:rFonts w:hint="default" w:ascii="Times New Roman" w:hAnsi="Times New Roman" w:eastAsia="宋体" w:cs="Times New Roman"/>
          <w:sz w:val="28"/>
          <w:szCs w:val="28"/>
          <w:lang w:val="zh-CN"/>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）下一步设计应对上、下台阶同时作业时的超前距离进行明确。</w:t>
      </w:r>
    </w:p>
    <w:p w14:paraId="38ED626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）下一步设计应明确溜槽底部接矿平台设置挡墙，并进行描述说明。</w:t>
      </w:r>
    </w:p>
    <w:p w14:paraId="007D019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）作业人员在进行高处作业时，应按照要求佩戴安全帽、安全带等劳动防护用品，避免发生高处坠落事故。</w:t>
      </w:r>
    </w:p>
    <w:p w14:paraId="6A80CE1F">
      <w:pPr>
        <w:adjustRightInd w:val="0"/>
        <w:snapToGrid w:val="0"/>
        <w:spacing w:line="360" w:lineRule="auto"/>
        <w:ind w:firstLine="560" w:firstLineChars="200"/>
        <w:rPr>
          <w:rFonts w:hint="default" w:ascii="Times New Roman" w:hAnsi="Times New Roman" w:eastAsia="宋体" w:cs="Times New Roman"/>
          <w:sz w:val="28"/>
          <w:szCs w:val="28"/>
          <w:lang w:val="zh-CN"/>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t>设计中对人工及在线监测未有具体描述，根据《金属非金属矿山安全规程》《国家矿山安全监察局关于印发〈金属非金属矿山重大事故隐患判定标准〉的通知》及现有边坡的高陡情况，需要在下一步安全设施设计中补充在线监测布置情况。</w:t>
      </w:r>
    </w:p>
    <w:p w14:paraId="6B88D254">
      <w:pPr>
        <w:adjustRightInd w:val="0"/>
        <w:snapToGrid w:val="0"/>
        <w:spacing w:line="360" w:lineRule="auto"/>
        <w:ind w:firstLine="560" w:firstLineChars="200"/>
        <w:rPr>
          <w:rFonts w:hint="default" w:ascii="Times New Roman" w:hAnsi="Times New Roman" w:eastAsia="宋体" w:cs="Times New Roman"/>
          <w:sz w:val="28"/>
          <w:szCs w:val="28"/>
          <w:lang w:val="zh-CN"/>
        </w:rPr>
      </w:pPr>
      <w:r>
        <w:rPr>
          <w:rFonts w:hint="default" w:ascii="Times New Roman" w:hAnsi="Times New Roman" w:eastAsia="宋体" w:cs="Times New Roman"/>
          <w:sz w:val="28"/>
          <w:szCs w:val="28"/>
          <w:lang w:val="zh-CN"/>
        </w:rPr>
        <w:t>（</w:t>
      </w:r>
      <w:r>
        <w:rPr>
          <w:rFonts w:hint="eastAsia" w:ascii="Times New Roman" w:hAnsi="Times New Roman" w:eastAsia="宋体" w:cs="Times New Roman"/>
          <w:sz w:val="28"/>
          <w:szCs w:val="28"/>
          <w:lang w:val="en-US" w:eastAsia="zh-CN"/>
        </w:rPr>
        <w:t>8</w:t>
      </w:r>
      <w:r>
        <w:rPr>
          <w:rFonts w:hint="default" w:ascii="Times New Roman" w:hAnsi="Times New Roman" w:eastAsia="宋体" w:cs="Times New Roman"/>
          <w:sz w:val="28"/>
          <w:szCs w:val="28"/>
          <w:lang w:val="zh-CN"/>
        </w:rPr>
        <w:t>）</w:t>
      </w:r>
      <w:r>
        <w:rPr>
          <w:rFonts w:hint="default" w:ascii="Times New Roman" w:hAnsi="Times New Roman" w:eastAsia="宋体" w:cs="Times New Roman"/>
          <w:sz w:val="28"/>
          <w:szCs w:val="28"/>
          <w:lang w:val="en-GB"/>
        </w:rPr>
        <w:t>定期对采空区及采区进行检查，发现灾害隐患时及时采取相应的控制及治理措施。</w:t>
      </w:r>
    </w:p>
    <w:p w14:paraId="6F35AA5F">
      <w:pPr>
        <w:adjustRightInd w:val="0"/>
        <w:snapToGrid w:val="0"/>
        <w:spacing w:line="360" w:lineRule="auto"/>
        <w:ind w:firstLine="560" w:firstLineChars="200"/>
        <w:rPr>
          <w:rFonts w:hint="default" w:ascii="Times New Roman" w:hAnsi="Times New Roman" w:eastAsia="宋体" w:cs="Times New Roman"/>
          <w:sz w:val="28"/>
          <w:szCs w:val="28"/>
          <w:lang w:val="zh-CN"/>
        </w:rPr>
      </w:pPr>
      <w:r>
        <w:rPr>
          <w:rFonts w:hint="default" w:ascii="Times New Roman" w:hAnsi="Times New Roman" w:eastAsia="宋体" w:cs="Times New Roman"/>
          <w:sz w:val="28"/>
          <w:szCs w:val="28"/>
          <w:lang w:val="zh-CN"/>
        </w:rPr>
        <w:t>（</w:t>
      </w:r>
      <w:r>
        <w:rPr>
          <w:rFonts w:hint="eastAsia" w:ascii="Times New Roman" w:hAnsi="Times New Roman" w:eastAsia="宋体" w:cs="Times New Roman"/>
          <w:sz w:val="28"/>
          <w:szCs w:val="28"/>
          <w:lang w:val="en-US" w:eastAsia="zh-CN"/>
        </w:rPr>
        <w:t>9</w:t>
      </w:r>
      <w:r>
        <w:rPr>
          <w:rFonts w:hint="default" w:ascii="Times New Roman" w:hAnsi="Times New Roman" w:eastAsia="宋体" w:cs="Times New Roman"/>
          <w:sz w:val="28"/>
          <w:szCs w:val="28"/>
          <w:lang w:val="zh-CN"/>
        </w:rPr>
        <w:t>）山坡露天采场</w:t>
      </w:r>
      <w:r>
        <w:rPr>
          <w:rFonts w:hint="default" w:ascii="Times New Roman" w:hAnsi="Times New Roman" w:eastAsia="宋体" w:cs="Times New Roman"/>
          <w:sz w:val="28"/>
          <w:szCs w:val="28"/>
        </w:rPr>
        <w:t>应设置人工监测设施及方案，对</w:t>
      </w:r>
      <w:r>
        <w:rPr>
          <w:rFonts w:hint="default" w:ascii="Times New Roman" w:hAnsi="Times New Roman" w:eastAsia="宋体" w:cs="Times New Roman"/>
          <w:sz w:val="28"/>
          <w:szCs w:val="28"/>
          <w:lang w:val="zh-CN"/>
        </w:rPr>
        <w:t>工作边坡应每季度检查1次，运输或者行人的非工作边坡每半年检查1次；边坡出现滑坡或者地面坍塌迹象时，应立即停止受影响区域的生产作业，撤出相关人员和设备，采取安全措施。</w:t>
      </w:r>
    </w:p>
    <w:p w14:paraId="42CDAFCD">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10</w:t>
      </w:r>
      <w:r>
        <w:rPr>
          <w:rFonts w:hint="default" w:ascii="Times New Roman" w:hAnsi="Times New Roman" w:eastAsia="宋体" w:cs="Times New Roman"/>
          <w:sz w:val="28"/>
          <w:szCs w:val="28"/>
        </w:rPr>
        <w:t>）矿山应建立健全边坡安全管理和检查制度，边坡高度100米及以上的边坡，应当每年进行一次边坡稳定性分析。现状高度200米及以上的边坡，应当进行在线监测。</w:t>
      </w:r>
    </w:p>
    <w:p w14:paraId="6E22CF6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2.穿孔爆破子单元</w:t>
      </w:r>
    </w:p>
    <w:p w14:paraId="1C42459C">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（1）矿山在生产过程中应严格按照设计对爆破单位提交的爆破设计进行审核，并按设计进行施工、装药及爆破。</w:t>
      </w:r>
    </w:p>
    <w:p w14:paraId="6EE2A3A5">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（2）爆破作业后应先清除边坡上的孤石、浮石，待清除完成后，方可进入采场进行铲装作业。</w:t>
      </w:r>
    </w:p>
    <w:p w14:paraId="51BBCA9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（3）矿区南侧有一个省道，距离设计开采范围100m，为保证过往人员安全，需要进一步加强爆破措施，比如设置爆破警戒、设置岗哨等方式保证爆破安全。</w:t>
      </w:r>
    </w:p>
    <w:p w14:paraId="10CF4C1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矿山西南侧临时工棚、破碎站及工业场地位于矿区范围之内，处于300m爆破警戒范围内，下一步设计应进一步完善爆破作业应采取的安全措施，矿山在进行爆破作业时撤出附近人员，并对300m爆破警戒范围内的建（构）筑物采取相应的安全措施。</w:t>
      </w:r>
    </w:p>
    <w:p w14:paraId="4E22C920">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（5）矿山作业人员在工作台阶上进行穿孔作业时，应坚持按照规范要求佩戴质量合格的保险带并固定在牢靠地点，平台边缘岩土较松散，穿孔设备应避免在平台边缘作业，避免发生设备倾翻、坠落事故。 </w:t>
      </w:r>
    </w:p>
    <w:p w14:paraId="6494A7C9">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6）凿岩前应对岩面做好清扫和检查工作，清除瞎炮，严禁在残眼上打孔；发现盲炮、危石时，应立即报告并进行处理，盲炮处理时，应在危险区域设置警戒，无关人员不准进入现场；处理过程中应严格遵守相关规定。 </w:t>
      </w:r>
    </w:p>
    <w:p w14:paraId="66D10AA6">
      <w:pPr>
        <w:adjustRightInd w:val="0"/>
        <w:snapToGrid w:val="0"/>
        <w:spacing w:line="360" w:lineRule="auto"/>
        <w:ind w:firstLine="560" w:firstLineChars="20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（7）矿山进行穿孔作业时应采用湿式凿岩。</w:t>
      </w:r>
    </w:p>
    <w:p w14:paraId="1F9A509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（8）补充爆破作业时人员撤离要求，补充禁爆区和爆破开采区控制和管理的相关要求。</w:t>
      </w:r>
    </w:p>
    <w:p w14:paraId="4B2650A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3.铲装运输子单元：</w:t>
      </w:r>
    </w:p>
    <w:p w14:paraId="62B30BF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（1）铲装设备在工作台阶上铲装作业时，应尽量避免靠近平台边缘，由于工作台阶边缘矿岩松散，有可能导致铲装设备坠落、倾翻。</w:t>
      </w:r>
    </w:p>
    <w:p w14:paraId="5BB1E32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（2）挖掘机汽笛或警报器应完好，进行各种操作时，均应发出警告信号。挖掘机作业时，悬臂和铲斗下面及工作面附近，不应有人停留。</w:t>
      </w:r>
    </w:p>
    <w:p w14:paraId="68B0DE9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（3）对运输设备建立定期的检测和保养制度，以确保运输设备的安全可靠性，防止机械失灵造成安全事故；建立运输系统各岗位安全职责、安全管理制度及安全操作规程。</w:t>
      </w:r>
    </w:p>
    <w:p w14:paraId="51CA411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道路设置安全警示标牌。包括：限速、弯道、路口指示、停车指示等标志；沿道路外侧设立安全桩或安全墙；建立道路运输安全管理制度，对操作人员的行为进行规范，定期进行车辆维护保养确保车况良好。</w:t>
      </w:r>
    </w:p>
    <w:p w14:paraId="7190DEF6">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367" w:name="_Toc22130"/>
      <w:bookmarkStart w:id="368" w:name="_Toc16036"/>
      <w:bookmarkStart w:id="369" w:name="_Toc9224"/>
      <w:r>
        <w:rPr>
          <w:rFonts w:hint="default" w:ascii="Times New Roman" w:hAnsi="Times New Roman" w:eastAsia="宋体" w:cs="Times New Roman"/>
          <w:sz w:val="28"/>
          <w:szCs w:val="28"/>
        </w:rPr>
        <w:t>4.2.4通风及供水系统单元</w:t>
      </w:r>
      <w:bookmarkEnd w:id="367"/>
      <w:bookmarkEnd w:id="368"/>
      <w:bookmarkEnd w:id="369"/>
    </w:p>
    <w:p w14:paraId="163162EE">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（1）灭火器的配置应考虑配置的场所及可能发生的火灾种类。</w:t>
      </w:r>
    </w:p>
    <w:p w14:paraId="0C9045D0">
      <w:pPr>
        <w:widowControl/>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（2）经常性检查消防水系统及灭火系统，并设置相应安全警示标志。</w:t>
      </w:r>
    </w:p>
    <w:p w14:paraId="7BB91E02">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370" w:name="_Toc27179"/>
      <w:bookmarkStart w:id="371" w:name="_Toc4999"/>
      <w:bookmarkStart w:id="372" w:name="_Toc8359"/>
      <w:r>
        <w:rPr>
          <w:rFonts w:hint="default" w:ascii="Times New Roman" w:hAnsi="Times New Roman" w:eastAsia="宋体" w:cs="Times New Roman"/>
          <w:sz w:val="28"/>
          <w:szCs w:val="28"/>
        </w:rPr>
        <w:t>4.2.5防尘单元</w:t>
      </w:r>
      <w:bookmarkEnd w:id="370"/>
      <w:bookmarkEnd w:id="371"/>
      <w:bookmarkEnd w:id="372"/>
    </w:p>
    <w:p w14:paraId="15F0600F">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lang w:val="en-GB"/>
        </w:rPr>
        <w:t>装运时对铲装与卸载两个产尘点都要进行喷雾洒水，设置洒水设备定时用洒水车沿路喷洒水，防止路面积尘二次飞扬；</w:t>
      </w:r>
    </w:p>
    <w:p w14:paraId="7EDB96E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lang w:val="en-GB"/>
        </w:rPr>
        <w:t>产尘点操作工均</w:t>
      </w:r>
      <w:r>
        <w:rPr>
          <w:rFonts w:hint="default" w:ascii="Times New Roman" w:hAnsi="Times New Roman" w:eastAsia="宋体" w:cs="Times New Roman"/>
          <w:sz w:val="28"/>
          <w:szCs w:val="28"/>
          <w:lang w:val="en-GB" w:eastAsia="zh-CN"/>
        </w:rPr>
        <w:t>佩戴</w:t>
      </w:r>
      <w:r>
        <w:rPr>
          <w:rFonts w:hint="default" w:ascii="Times New Roman" w:hAnsi="Times New Roman" w:eastAsia="宋体" w:cs="Times New Roman"/>
          <w:sz w:val="28"/>
          <w:szCs w:val="28"/>
          <w:lang w:val="en-GB"/>
        </w:rPr>
        <w:t>防尘口罩，防止粉尘吸入人呼吸道。</w:t>
      </w:r>
    </w:p>
    <w:p w14:paraId="0237AF40">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373" w:name="_Toc21264"/>
      <w:bookmarkStart w:id="374" w:name="_Toc7047"/>
      <w:bookmarkStart w:id="375" w:name="_Toc23267"/>
      <w:bookmarkStart w:id="376" w:name="_Toc13999"/>
      <w:r>
        <w:rPr>
          <w:rFonts w:hint="default" w:ascii="Times New Roman" w:hAnsi="Times New Roman" w:eastAsia="宋体" w:cs="Times New Roman"/>
          <w:sz w:val="28"/>
          <w:szCs w:val="28"/>
        </w:rPr>
        <w:t>4.2.6矿山</w:t>
      </w:r>
      <w:bookmarkEnd w:id="373"/>
      <w:bookmarkEnd w:id="374"/>
      <w:r>
        <w:rPr>
          <w:rFonts w:hint="default" w:ascii="Times New Roman" w:hAnsi="Times New Roman" w:eastAsia="宋体" w:cs="Times New Roman"/>
          <w:sz w:val="28"/>
          <w:szCs w:val="28"/>
        </w:rPr>
        <w:t>供配电设施单元</w:t>
      </w:r>
      <w:bookmarkEnd w:id="375"/>
      <w:bookmarkEnd w:id="376"/>
    </w:p>
    <w:p w14:paraId="4E977997">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lang w:val="en-GB"/>
        </w:rPr>
        <w:t>根据《建筑物防雷设计规范》（GB50057-2010），矿区地表建构筑物属第三类防雷建筑物。建议矿区各类建构筑物按照国家标准、规程和规范的有关要求，设置防雷接地保护装置。并按建筑物的类别满足防雷等级的要求。防雷设施能够满足放直接雷、雷电侵入及感应雷的要求</w:t>
      </w:r>
      <w:r>
        <w:rPr>
          <w:rFonts w:hint="default" w:ascii="Times New Roman" w:hAnsi="Times New Roman" w:eastAsia="宋体" w:cs="Times New Roman"/>
          <w:sz w:val="28"/>
          <w:szCs w:val="28"/>
        </w:rPr>
        <w:t>。</w:t>
      </w:r>
    </w:p>
    <w:p w14:paraId="2ECEDCAE">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（2）下一步安全设施设计应进一步完善矿山供配电设施应配备的安全设施，变压器室、配电室、电容器室等房间应设置防止雨、雪和蛇、鼠等小动物从采光窗、通风窗、门、电缆沟等处进入室内的设施。</w:t>
      </w:r>
    </w:p>
    <w:p w14:paraId="2995380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（3）下一步安全设施设计应对矿山供电系统的</w:t>
      </w:r>
      <w:r>
        <w:rPr>
          <w:rFonts w:hint="default" w:ascii="Times New Roman" w:hAnsi="Times New Roman" w:eastAsia="宋体" w:cs="Times New Roman"/>
          <w:bCs/>
          <w:sz w:val="28"/>
          <w:szCs w:val="28"/>
        </w:rPr>
        <w:t>电缆型号规格等具体内容</w:t>
      </w:r>
      <w:r>
        <w:rPr>
          <w:rFonts w:hint="default" w:ascii="Times New Roman" w:hAnsi="Times New Roman" w:eastAsia="宋体" w:cs="Times New Roman"/>
          <w:sz w:val="28"/>
          <w:szCs w:val="28"/>
        </w:rPr>
        <w:t>进行明确。</w:t>
      </w:r>
    </w:p>
    <w:p w14:paraId="47FF35C7">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377" w:name="_Toc8608"/>
      <w:bookmarkStart w:id="378" w:name="_Toc3314"/>
      <w:bookmarkStart w:id="379" w:name="_Toc13573"/>
      <w:bookmarkStart w:id="380" w:name="_Toc25555"/>
      <w:r>
        <w:rPr>
          <w:rFonts w:hint="default" w:ascii="Times New Roman" w:hAnsi="Times New Roman" w:eastAsia="宋体" w:cs="Times New Roman"/>
          <w:sz w:val="28"/>
          <w:szCs w:val="28"/>
        </w:rPr>
        <w:t>4.2.7防排水与防灭火单元</w:t>
      </w:r>
      <w:bookmarkEnd w:id="377"/>
      <w:bookmarkEnd w:id="378"/>
      <w:bookmarkEnd w:id="379"/>
      <w:bookmarkEnd w:id="380"/>
    </w:p>
    <w:p w14:paraId="5324B6E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（1）按照国家颁发的有关防火规定和当地消防机关的要求，建立防火制度，采取防火措施，备足消防器材，消防通道上禁止堆放杂物。</w:t>
      </w:r>
    </w:p>
    <w:p w14:paraId="728287EB">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rPr>
        <w:t>（2）完善</w:t>
      </w:r>
      <w:r>
        <w:rPr>
          <w:rFonts w:hint="default" w:ascii="Times New Roman" w:hAnsi="Times New Roman" w:eastAsia="宋体" w:cs="Times New Roman"/>
          <w:sz w:val="28"/>
          <w:szCs w:val="28"/>
          <w:lang w:val="en-GB"/>
        </w:rPr>
        <w:t>重要采掘设备、配电室、生活办公区配备灭火器要求。</w:t>
      </w:r>
    </w:p>
    <w:p w14:paraId="2FA8CA9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（3）建议增加截排水沟断面尺寸图纸。</w:t>
      </w:r>
    </w:p>
    <w:p w14:paraId="7190D3F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t>汛期时应做好矿区的防汛工作，包括明确防汛安全生产责任制，建立紧急预案，疏浚矿区内外的截洪沟，详细检查排洪系统的安全状况，配备足够物资，确保通信、照明、道路、供电可靠和畅通等。</w:t>
      </w:r>
    </w:p>
    <w:p w14:paraId="1AE91746">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381" w:name="_Toc7718"/>
      <w:bookmarkStart w:id="382" w:name="_Toc12983"/>
      <w:bookmarkStart w:id="383" w:name="_Toc22296"/>
      <w:bookmarkStart w:id="384" w:name="_Toc23950"/>
      <w:r>
        <w:rPr>
          <w:rFonts w:hint="default" w:ascii="Times New Roman" w:hAnsi="Times New Roman" w:eastAsia="宋体" w:cs="Times New Roman"/>
          <w:sz w:val="28"/>
          <w:szCs w:val="28"/>
        </w:rPr>
        <w:t>4.2.8安全管理单元</w:t>
      </w:r>
      <w:bookmarkEnd w:id="381"/>
      <w:bookmarkEnd w:id="382"/>
      <w:bookmarkEnd w:id="383"/>
      <w:bookmarkEnd w:id="384"/>
    </w:p>
    <w:p w14:paraId="71A50E9E">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建立安全生产管理机构，确定主要负责人和安全管理人员，小型露天采石场应当建立健全安全生产管理制度和岗位安全操作规程，至少配备一名专职安全生产管理人员，并要参加当地应急管理部门组织的资格培训，取得相应安全合格证书，特种作业人员也应取得特种作业资格证。</w:t>
      </w:r>
    </w:p>
    <w:p w14:paraId="17DF66C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（2）企业应完善各安全责任制、安全管理制度、安全操作规程及相应的安全管理台账。</w:t>
      </w:r>
    </w:p>
    <w:p w14:paraId="49E19FE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（3）矿山应当配备注册安全工程师从事安全生产管理工作。</w:t>
      </w:r>
    </w:p>
    <w:p w14:paraId="526E248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（4）对员工进行操作技术培训和安全教育（安全教育中除包括思想、纪律、安全知识、消防器材使用、个体防护用品使用等内容外，还应包括事故紧急处理、抢救、报告方法的教育）。</w:t>
      </w:r>
    </w:p>
    <w:p w14:paraId="07DCE6A7">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w:t>
      </w:r>
      <w:r>
        <w:rPr>
          <w:rFonts w:hint="default" w:ascii="Times New Roman" w:hAnsi="Times New Roman" w:eastAsia="宋体" w:cs="Times New Roman"/>
          <w:sz w:val="28"/>
          <w:szCs w:val="28"/>
          <w:lang w:val="en-GB"/>
        </w:rPr>
        <w:t>根据国家有关规定，购买、发放具有产品合格证的劳动防护用品，建立防护品更换、报废制度，并保证职工能正确使用</w:t>
      </w:r>
      <w:r>
        <w:rPr>
          <w:rFonts w:hint="default" w:ascii="Times New Roman" w:hAnsi="Times New Roman" w:eastAsia="宋体" w:cs="Times New Roman"/>
          <w:sz w:val="28"/>
          <w:szCs w:val="28"/>
        </w:rPr>
        <w:t>。</w:t>
      </w:r>
    </w:p>
    <w:p w14:paraId="0399DEB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（6）企业应按《生产经营单位生产安全事故应急预案编制导则》（GB/T 29639-2020）的要求规范编制应急预案、签订应急救援协议、进行应急预案演练。</w:t>
      </w:r>
    </w:p>
    <w:p w14:paraId="7BD1C64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（7）下一步安全设施设计中应明确配备地质，测量，采矿等工程技术人员的情况。</w:t>
      </w:r>
    </w:p>
    <w:p w14:paraId="35C302C8">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4.2.9排土场单元</w:t>
      </w:r>
    </w:p>
    <w:p w14:paraId="14235264">
      <w:pPr>
        <w:adjustRightInd w:val="0"/>
        <w:snapToGrid w:val="0"/>
        <w:spacing w:line="360" w:lineRule="auto"/>
        <w:ind w:firstLine="560" w:firstLineChars="200"/>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（1）设计未明确废石滚落时可能的最大距离以及相邻阶段同时作业的超前堆置距离等参数，下一步安全设施设计应进行补充。</w:t>
      </w:r>
    </w:p>
    <w:p w14:paraId="44E5DD0C">
      <w:pPr>
        <w:adjustRightInd w:val="0"/>
        <w:snapToGrid w:val="0"/>
        <w:spacing w:line="360" w:lineRule="auto"/>
        <w:ind w:firstLine="560" w:firstLineChars="200"/>
        <w:rPr>
          <w:rFonts w:hint="eastAsia" w:ascii="Times New Roman" w:hAnsi="Times New Roman" w:eastAsia="宋体" w:cs="Times New Roman"/>
          <w:sz w:val="28"/>
          <w:szCs w:val="28"/>
          <w:lang w:val="en-GB" w:eastAsia="zh-CN"/>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lang w:val="en-GB"/>
        </w:rPr>
        <w:t>）</w:t>
      </w:r>
      <w:r>
        <w:rPr>
          <w:rFonts w:hint="default" w:ascii="Times New Roman" w:hAnsi="Times New Roman" w:eastAsia="宋体" w:cs="Times New Roman"/>
          <w:color w:val="000000"/>
          <w:sz w:val="28"/>
          <w:szCs w:val="28"/>
        </w:rPr>
        <w:t>下一步安全设施设计应</w:t>
      </w:r>
      <w:r>
        <w:rPr>
          <w:rFonts w:hint="eastAsia" w:ascii="Times New Roman" w:hAnsi="Times New Roman" w:eastAsia="宋体" w:cs="Times New Roman"/>
          <w:color w:val="000000"/>
          <w:sz w:val="28"/>
          <w:szCs w:val="28"/>
          <w:lang w:val="en-US" w:eastAsia="zh-CN"/>
        </w:rPr>
        <w:t>参考</w:t>
      </w:r>
      <w:r>
        <w:rPr>
          <w:rFonts w:hint="eastAsia" w:ascii="Times New Roman" w:hAnsi="Times New Roman" w:eastAsia="宋体" w:cs="Times New Roman"/>
          <w:color w:val="000000"/>
          <w:sz w:val="28"/>
          <w:szCs w:val="28"/>
          <w:lang w:eastAsia="zh-CN"/>
        </w:rPr>
        <w:t>《金属非金属矿山排土场安全生产规则》（AQ 2005-2005）按永久排土场</w:t>
      </w:r>
      <w:r>
        <w:rPr>
          <w:rFonts w:hint="eastAsia" w:ascii="Times New Roman" w:hAnsi="Times New Roman" w:eastAsia="宋体" w:cs="Times New Roman"/>
          <w:color w:val="000000"/>
          <w:sz w:val="28"/>
          <w:szCs w:val="28"/>
          <w:lang w:val="en-US" w:eastAsia="zh-CN"/>
        </w:rPr>
        <w:t>进行</w:t>
      </w:r>
      <w:r>
        <w:rPr>
          <w:rFonts w:hint="eastAsia" w:ascii="Times New Roman" w:hAnsi="Times New Roman" w:eastAsia="宋体" w:cs="Times New Roman"/>
          <w:color w:val="000000"/>
          <w:sz w:val="28"/>
          <w:szCs w:val="28"/>
          <w:lang w:eastAsia="zh-CN"/>
        </w:rPr>
        <w:t>管理。</w:t>
      </w:r>
    </w:p>
    <w:p w14:paraId="6AD35E66">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eastAsia" w:ascii="Times New Roman" w:hAnsi="Times New Roman" w:eastAsia="宋体" w:cs="Times New Roman"/>
          <w:sz w:val="28"/>
          <w:szCs w:val="28"/>
          <w:lang w:val="en-GB" w:eastAsia="zh-CN"/>
        </w:rPr>
        <w:t>（</w:t>
      </w:r>
      <w:r>
        <w:rPr>
          <w:rFonts w:hint="eastAsia" w:ascii="Times New Roman" w:hAnsi="Times New Roman" w:eastAsia="宋体" w:cs="Times New Roman"/>
          <w:sz w:val="28"/>
          <w:szCs w:val="28"/>
          <w:lang w:val="en-US" w:eastAsia="zh-CN"/>
        </w:rPr>
        <w:t>3</w:t>
      </w:r>
      <w:r>
        <w:rPr>
          <w:rFonts w:hint="eastAsia" w:ascii="Times New Roman" w:hAnsi="Times New Roman" w:eastAsia="宋体" w:cs="Times New Roman"/>
          <w:sz w:val="28"/>
          <w:szCs w:val="28"/>
          <w:lang w:val="en-GB" w:eastAsia="zh-CN"/>
        </w:rPr>
        <w:t>）</w:t>
      </w:r>
      <w:r>
        <w:rPr>
          <w:rFonts w:hint="default" w:ascii="Times New Roman" w:hAnsi="Times New Roman" w:eastAsia="宋体" w:cs="Times New Roman"/>
          <w:sz w:val="28"/>
          <w:szCs w:val="28"/>
          <w:lang w:val="en-GB"/>
        </w:rPr>
        <w:t>排土场周边情况未进行充分介绍，补充排土场应进行周边环境介绍。</w:t>
      </w:r>
    </w:p>
    <w:p w14:paraId="753AC33B">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en-GB"/>
        </w:rPr>
        <w:t>）初步设计（代可研）说明书中未对排土场的汇水面积进行详细计算，下一步设计过程中，应根据排土场的汇水面积对排土场外围修筑截水沟的相关参数进行详细设计，并进行详细校验。</w:t>
      </w:r>
    </w:p>
    <w:p w14:paraId="13C817B7">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lang w:val="en-GB"/>
        </w:rPr>
        <w:t>）排土场排弃作业范围应设置明显安全警示标志，以防止人员进入产生滚石伤人等事故。</w:t>
      </w:r>
    </w:p>
    <w:p w14:paraId="4FF25BC5">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下一步设计明确</w:t>
      </w:r>
      <w:r>
        <w:rPr>
          <w:rFonts w:hint="default" w:ascii="Times New Roman" w:hAnsi="Times New Roman" w:eastAsia="宋体" w:cs="Times New Roman"/>
          <w:sz w:val="28"/>
          <w:szCs w:val="28"/>
          <w:lang w:val="en-GB"/>
        </w:rPr>
        <w:t>山坡排土场周围拦截山坡汇水</w:t>
      </w:r>
      <w:r>
        <w:rPr>
          <w:rFonts w:hint="default" w:ascii="Times New Roman" w:hAnsi="Times New Roman" w:eastAsia="宋体" w:cs="Times New Roman"/>
          <w:sz w:val="28"/>
          <w:szCs w:val="28"/>
        </w:rPr>
        <w:t>的</w:t>
      </w:r>
      <w:r>
        <w:rPr>
          <w:rFonts w:hint="default" w:ascii="Times New Roman" w:hAnsi="Times New Roman" w:eastAsia="宋体" w:cs="Times New Roman"/>
          <w:sz w:val="28"/>
          <w:szCs w:val="28"/>
          <w:lang w:val="en-GB"/>
        </w:rPr>
        <w:t>截洪和排水设施。</w:t>
      </w:r>
    </w:p>
    <w:p w14:paraId="7BB3B17F">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下一步设计明确</w:t>
      </w:r>
      <w:r>
        <w:rPr>
          <w:rFonts w:hint="default" w:ascii="Times New Roman" w:hAnsi="Times New Roman" w:eastAsia="宋体" w:cs="Times New Roman"/>
          <w:sz w:val="28"/>
          <w:szCs w:val="28"/>
          <w:lang w:val="en-GB"/>
        </w:rPr>
        <w:t>排土场内平台实施反坡</w:t>
      </w:r>
      <w:r>
        <w:rPr>
          <w:rFonts w:hint="default" w:ascii="Times New Roman" w:hAnsi="Times New Roman" w:eastAsia="宋体" w:cs="Times New Roman"/>
          <w:sz w:val="28"/>
          <w:szCs w:val="28"/>
        </w:rPr>
        <w:t>及</w:t>
      </w:r>
      <w:r>
        <w:rPr>
          <w:rFonts w:hint="default" w:ascii="Times New Roman" w:hAnsi="Times New Roman" w:eastAsia="宋体" w:cs="Times New Roman"/>
          <w:sz w:val="28"/>
          <w:szCs w:val="28"/>
          <w:lang w:val="en-GB"/>
        </w:rPr>
        <w:t>排土场平台上排水沟拦截平台表面及山坡汇水。</w:t>
      </w:r>
    </w:p>
    <w:p w14:paraId="235C41C8">
      <w:pPr>
        <w:pStyle w:val="62"/>
        <w:snapToGrid w:val="0"/>
        <w:spacing w:line="360" w:lineRule="auto"/>
        <w:ind w:firstLine="560" w:firstLineChars="200"/>
        <w:rPr>
          <w:rFonts w:hint="default" w:ascii="Times New Roman" w:hAnsi="Times New Roman" w:eastAsia="宋体" w:cs="Times New Roman"/>
        </w:rPr>
      </w:pPr>
      <w:r>
        <w:rPr>
          <w:rFonts w:hint="default" w:ascii="Times New Roman" w:hAnsi="Times New Roman" w:eastAsia="宋体" w:cs="Times New Roman"/>
          <w:kern w:val="2"/>
          <w:sz w:val="28"/>
          <w:szCs w:val="28"/>
          <w:lang w:val="en-GB"/>
        </w:rPr>
        <w:t>（</w:t>
      </w:r>
      <w:r>
        <w:rPr>
          <w:rFonts w:hint="eastAsia" w:ascii="Times New Roman" w:hAnsi="Times New Roman" w:eastAsia="宋体" w:cs="Times New Roman"/>
          <w:kern w:val="2"/>
          <w:sz w:val="28"/>
          <w:szCs w:val="28"/>
          <w:lang w:val="en-US" w:eastAsia="zh-CN"/>
        </w:rPr>
        <w:t>8</w:t>
      </w:r>
      <w:r>
        <w:rPr>
          <w:rFonts w:hint="default" w:ascii="Times New Roman" w:hAnsi="Times New Roman" w:eastAsia="宋体" w:cs="Times New Roman"/>
          <w:kern w:val="2"/>
          <w:sz w:val="28"/>
          <w:szCs w:val="28"/>
          <w:lang w:val="en-GB"/>
        </w:rPr>
        <w:t>）</w:t>
      </w:r>
      <w:r>
        <w:rPr>
          <w:rFonts w:hint="default" w:ascii="Times New Roman" w:hAnsi="Times New Roman" w:eastAsia="宋体" w:cs="Times New Roman"/>
          <w:kern w:val="2"/>
          <w:sz w:val="28"/>
          <w:szCs w:val="28"/>
        </w:rPr>
        <w:t>下一步设计应补充拦渣坝、截排水沟设计及相关图纸。</w:t>
      </w:r>
    </w:p>
    <w:p w14:paraId="7DB87EF4">
      <w:pPr>
        <w:pStyle w:val="3"/>
        <w:adjustRightInd w:val="0"/>
        <w:snapToGrid w:val="0"/>
        <w:spacing w:before="0" w:after="0" w:line="360" w:lineRule="auto"/>
        <w:ind w:firstLine="602" w:firstLineChars="200"/>
        <w:jc w:val="center"/>
        <w:rPr>
          <w:rFonts w:hint="default" w:ascii="Times New Roman" w:hAnsi="Times New Roman" w:eastAsia="宋体" w:cs="Times New Roman"/>
          <w:sz w:val="30"/>
          <w:szCs w:val="30"/>
          <w:lang w:val="en-GB"/>
        </w:rPr>
      </w:pPr>
      <w:bookmarkStart w:id="385" w:name="_Toc3963"/>
      <w:bookmarkStart w:id="386" w:name="_Toc13313"/>
      <w:bookmarkStart w:id="387" w:name="_Toc19594"/>
      <w:bookmarkStart w:id="388" w:name="_Toc15327"/>
      <w:bookmarkStart w:id="389" w:name="_Toc1079"/>
      <w:bookmarkStart w:id="390" w:name="_Toc29951"/>
      <w:r>
        <w:rPr>
          <w:rFonts w:hint="default" w:ascii="Times New Roman" w:hAnsi="Times New Roman" w:eastAsia="宋体" w:cs="Times New Roman"/>
          <w:sz w:val="30"/>
          <w:szCs w:val="30"/>
          <w:lang w:val="en-GB"/>
        </w:rPr>
        <w:t>4.3其他对策措施及建议</w:t>
      </w:r>
      <w:bookmarkEnd w:id="385"/>
      <w:bookmarkEnd w:id="386"/>
      <w:bookmarkEnd w:id="387"/>
      <w:bookmarkEnd w:id="388"/>
      <w:bookmarkEnd w:id="389"/>
      <w:bookmarkEnd w:id="390"/>
    </w:p>
    <w:p w14:paraId="0D07E01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lang w:val="en-GB"/>
        </w:rPr>
        <w:t>矿山应委托有相应资质的设计单位编制安全设施设计，施工及监理单位应由有相应资质的单位承担。</w:t>
      </w:r>
    </w:p>
    <w:p w14:paraId="21268354">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lang w:val="en-GB"/>
        </w:rPr>
        <w:t>）根据边坡失稳的影响因素分析，结合料场现有资料反映的工程及水文地质特征，建议加强可能对边坡稳定性产生影响地质等方面的研究；在生产过程中应对边坡参数进行详细确定，对边坡加固和维护做进一步说明和提出预防和控制措施系统，并根据生产实际情况调整边坡参数，以减少边坡失稳的可能性；对可能发生的坍塌、滚石影响及作业面人员、设备的安全条件采取安全可靠的措施。</w:t>
      </w:r>
    </w:p>
    <w:p w14:paraId="783DC2A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lang w:val="en-GB"/>
        </w:rPr>
        <w:t>）矿区道路边坡需加强支护并设置安全警示牌，山坡填方的弯道、坡度较大的填方地段以及高路基外侧应设置护栏或挡车墙</w:t>
      </w:r>
      <w:r>
        <w:rPr>
          <w:rFonts w:hint="default" w:ascii="Times New Roman" w:hAnsi="Times New Roman" w:eastAsia="宋体" w:cs="Times New Roman"/>
          <w:sz w:val="28"/>
          <w:szCs w:val="28"/>
        </w:rPr>
        <w:t>。</w:t>
      </w:r>
    </w:p>
    <w:p w14:paraId="4C7175D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w:t>
      </w:r>
      <w:r>
        <w:rPr>
          <w:rFonts w:hint="default" w:ascii="Times New Roman" w:hAnsi="Times New Roman" w:eastAsia="宋体" w:cs="Times New Roman"/>
          <w:sz w:val="28"/>
          <w:szCs w:val="28"/>
          <w:lang w:val="en-GB"/>
        </w:rPr>
        <w:t>道路设置安全警示标牌。包括：限速、弯道、路口指示、停车指示等标志；沿道路外侧设立安全桩或安全墙；建立道路运输安全管理制度，对操作人员的行为进行规范，定期进行车辆维护保养确保车况良好。进行各种机械设备操作时，均应发出警告信号。夜间作业时，车下及前后的所有信号、照明灯应完好；雨雪天运输车辆应采取防滑措施（如防滑链等）</w:t>
      </w:r>
      <w:r>
        <w:rPr>
          <w:rFonts w:hint="default" w:ascii="Times New Roman" w:hAnsi="Times New Roman" w:eastAsia="宋体" w:cs="Times New Roman"/>
          <w:sz w:val="28"/>
          <w:szCs w:val="28"/>
        </w:rPr>
        <w:t>。</w:t>
      </w:r>
    </w:p>
    <w:p w14:paraId="5097E4B5">
      <w:pPr>
        <w:adjustRightInd w:val="0"/>
        <w:snapToGrid w:val="0"/>
        <w:spacing w:line="360" w:lineRule="auto"/>
        <w:ind w:firstLine="560" w:firstLineChars="200"/>
        <w:rPr>
          <w:rFonts w:hint="default" w:ascii="Times New Roman" w:hAnsi="Times New Roman" w:eastAsia="宋体" w:cs="Times New Roman"/>
          <w:sz w:val="28"/>
          <w:szCs w:val="28"/>
          <w:lang w:val="zh-CN"/>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5</w:t>
      </w:r>
      <w:r>
        <w:rPr>
          <w:rFonts w:hint="default" w:ascii="Times New Roman" w:hAnsi="Times New Roman" w:eastAsia="宋体" w:cs="Times New Roman"/>
          <w:sz w:val="28"/>
          <w:szCs w:val="28"/>
          <w:lang w:val="en-GB"/>
        </w:rPr>
        <w:t>）企业应划拨一定的安全管理资金，用于开展安全宣传活动，对从业人员进行安全教育和培训，特殊工种的培训取证，为从业人员配备劳保用品，购买工伤保险，以及完善安全设施、设备及治理安全隐患等</w:t>
      </w:r>
      <w:r>
        <w:rPr>
          <w:rFonts w:hint="default" w:ascii="Times New Roman" w:hAnsi="Times New Roman" w:eastAsia="宋体" w:cs="Times New Roman"/>
          <w:sz w:val="28"/>
          <w:szCs w:val="28"/>
          <w:lang w:val="zh-CN"/>
        </w:rPr>
        <w:t>。</w:t>
      </w:r>
    </w:p>
    <w:p w14:paraId="6879196D">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zh-CN"/>
        </w:rPr>
        <w:t>（</w:t>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lang w:val="zh-CN"/>
        </w:rPr>
        <w:t>）</w:t>
      </w:r>
      <w:r>
        <w:rPr>
          <w:rFonts w:hint="default" w:ascii="Times New Roman" w:hAnsi="Times New Roman" w:eastAsia="宋体" w:cs="Times New Roman"/>
          <w:sz w:val="28"/>
          <w:szCs w:val="28"/>
        </w:rPr>
        <w:t>对员工进行操作技术培训和安全教育（安全教育中除包括思想、纪律、安全知识、消防器材使用、个体防护用品使用等内容外，还应包括事故紧急处理、抢救、报告方法的教育），既保证员工安全健康，又保证在紧急事故中能采取正确的处理方法，使事故损失降到最低。</w:t>
      </w:r>
    </w:p>
    <w:p w14:paraId="61A20BE9">
      <w:pPr>
        <w:adjustRightInd w:val="0"/>
        <w:snapToGrid w:val="0"/>
        <w:spacing w:line="360" w:lineRule="auto"/>
        <w:ind w:firstLine="560" w:firstLineChars="200"/>
        <w:rPr>
          <w:rFonts w:hint="default" w:ascii="Times New Roman" w:hAnsi="Times New Roman" w:eastAsia="宋体" w:cs="Times New Roman"/>
          <w:sz w:val="28"/>
          <w:szCs w:val="28"/>
          <w:lang w:val="zh-CN"/>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lang w:val="en-GB"/>
        </w:rPr>
        <w:t>）凡禁止跨越、禁止通行、禁止烟火的场所均应设置红色禁止标志；凡易发生坠落、触电伤人、机械伤害、主要交通道口等处均应设置黄色警告标志；所设各类安全标志应牢固、醒目、易于识别，真正起到应有警示作用。</w:t>
      </w:r>
    </w:p>
    <w:p w14:paraId="66BD7AF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zh-CN"/>
        </w:rPr>
        <w:t>（</w:t>
      </w:r>
      <w:r>
        <w:rPr>
          <w:rFonts w:hint="default" w:ascii="Times New Roman" w:hAnsi="Times New Roman" w:eastAsia="宋体" w:cs="Times New Roman"/>
          <w:sz w:val="28"/>
          <w:szCs w:val="28"/>
        </w:rPr>
        <w:t>8</w:t>
      </w:r>
      <w:r>
        <w:rPr>
          <w:rFonts w:hint="default" w:ascii="Times New Roman" w:hAnsi="Times New Roman" w:eastAsia="宋体" w:cs="Times New Roman"/>
          <w:sz w:val="28"/>
          <w:szCs w:val="28"/>
          <w:lang w:val="zh-CN"/>
        </w:rPr>
        <w:t>）</w:t>
      </w:r>
      <w:r>
        <w:rPr>
          <w:rFonts w:hint="default" w:ascii="Times New Roman" w:hAnsi="Times New Roman" w:eastAsia="宋体" w:cs="Times New Roman"/>
          <w:sz w:val="28"/>
          <w:szCs w:val="28"/>
        </w:rPr>
        <w:t>矿山应当建立安全风险分级管控制度，按照安全风险分级采取相应的管控措施。</w:t>
      </w:r>
    </w:p>
    <w:p w14:paraId="50FD6E1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zh-CN"/>
        </w:rPr>
        <w:t>（</w:t>
      </w:r>
      <w:r>
        <w:rPr>
          <w:rFonts w:hint="default" w:ascii="Times New Roman" w:hAnsi="Times New Roman" w:eastAsia="宋体" w:cs="Times New Roman"/>
          <w:sz w:val="28"/>
          <w:szCs w:val="28"/>
        </w:rPr>
        <w:t>9</w:t>
      </w:r>
      <w:r>
        <w:rPr>
          <w:rFonts w:hint="default" w:ascii="Times New Roman" w:hAnsi="Times New Roman" w:eastAsia="宋体" w:cs="Times New Roman"/>
          <w:sz w:val="28"/>
          <w:szCs w:val="28"/>
          <w:lang w:val="zh-CN"/>
        </w:rPr>
        <w:t>）</w:t>
      </w:r>
      <w:r>
        <w:rPr>
          <w:rFonts w:hint="default" w:ascii="Times New Roman" w:hAnsi="Times New Roman" w:eastAsia="宋体" w:cs="Times New Roman"/>
          <w:sz w:val="28"/>
          <w:szCs w:val="28"/>
        </w:rPr>
        <w:t>矿山应当成立矿山救护组织，明确矿山应急指挥机构及成员和矿山救护队人员，配备相应矿山救援设备和器材。</w:t>
      </w:r>
    </w:p>
    <w:p w14:paraId="0E503DE3">
      <w:pPr>
        <w:adjustRightInd w:val="0"/>
        <w:snapToGrid w:val="0"/>
        <w:spacing w:line="360" w:lineRule="auto"/>
        <w:ind w:firstLine="560" w:firstLineChars="200"/>
        <w:rPr>
          <w:rFonts w:hint="default" w:ascii="Times New Roman" w:hAnsi="Times New Roman" w:eastAsia="宋体" w:cs="Times New Roman"/>
          <w:sz w:val="28"/>
          <w:szCs w:val="28"/>
        </w:rPr>
      </w:pPr>
    </w:p>
    <w:p w14:paraId="503781C8">
      <w:pPr>
        <w:adjustRightInd w:val="0"/>
        <w:snapToGrid w:val="0"/>
        <w:spacing w:line="360" w:lineRule="auto"/>
        <w:ind w:firstLine="560" w:firstLineChars="200"/>
        <w:rPr>
          <w:rFonts w:hint="default" w:ascii="Times New Roman" w:hAnsi="Times New Roman" w:eastAsia="宋体" w:cs="Times New Roman"/>
          <w:sz w:val="28"/>
          <w:szCs w:val="28"/>
        </w:rPr>
        <w:sectPr>
          <w:pgSz w:w="11905" w:h="16838"/>
          <w:pgMar w:top="1417" w:right="1134" w:bottom="1134" w:left="1587" w:header="850" w:footer="992" w:gutter="0"/>
          <w:cols w:space="720" w:num="1"/>
          <w:docGrid w:linePitch="332" w:charSpace="0"/>
        </w:sectPr>
      </w:pPr>
    </w:p>
    <w:p w14:paraId="651A92F3">
      <w:pPr>
        <w:pStyle w:val="2"/>
        <w:adjustRightInd w:val="0"/>
        <w:snapToGrid w:val="0"/>
        <w:spacing w:before="0" w:after="0" w:line="360" w:lineRule="auto"/>
        <w:jc w:val="center"/>
        <w:rPr>
          <w:rFonts w:hint="default" w:ascii="Times New Roman" w:hAnsi="Times New Roman" w:eastAsia="宋体" w:cs="Times New Roman"/>
          <w:sz w:val="32"/>
          <w:szCs w:val="32"/>
        </w:rPr>
      </w:pPr>
      <w:bookmarkStart w:id="391" w:name="_Toc15816"/>
      <w:bookmarkStart w:id="392" w:name="_Toc15371"/>
      <w:bookmarkStart w:id="393" w:name="_Toc9611"/>
      <w:bookmarkStart w:id="394" w:name="_Toc9886"/>
      <w:bookmarkStart w:id="395" w:name="_Toc32414"/>
      <w:bookmarkStart w:id="396" w:name="_Toc12671"/>
      <w:r>
        <w:rPr>
          <w:rFonts w:hint="default" w:ascii="Times New Roman" w:hAnsi="Times New Roman" w:eastAsia="宋体" w:cs="Times New Roman"/>
          <w:sz w:val="32"/>
          <w:szCs w:val="32"/>
        </w:rPr>
        <w:t>5.评价结论</w:t>
      </w:r>
      <w:bookmarkEnd w:id="391"/>
      <w:bookmarkEnd w:id="392"/>
      <w:bookmarkEnd w:id="393"/>
      <w:bookmarkEnd w:id="394"/>
      <w:bookmarkEnd w:id="395"/>
      <w:bookmarkEnd w:id="396"/>
    </w:p>
    <w:p w14:paraId="1392515E">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397" w:name="_Toc28824"/>
      <w:bookmarkStart w:id="398" w:name="_Toc1005"/>
      <w:bookmarkStart w:id="399" w:name="_Toc28552"/>
      <w:bookmarkStart w:id="400" w:name="_Toc30025"/>
      <w:bookmarkStart w:id="401" w:name="_Toc115141969"/>
      <w:bookmarkStart w:id="402" w:name="_Toc226963213"/>
      <w:bookmarkStart w:id="403" w:name="_Toc18950"/>
      <w:bookmarkStart w:id="404" w:name="_Toc115120692"/>
      <w:bookmarkStart w:id="405" w:name="_Toc242849825"/>
      <w:bookmarkStart w:id="406" w:name="_Toc115120298"/>
      <w:bookmarkStart w:id="407" w:name="_Toc30044"/>
      <w:r>
        <w:rPr>
          <w:rFonts w:hint="default" w:ascii="Times New Roman" w:hAnsi="Times New Roman" w:eastAsia="宋体" w:cs="Times New Roman"/>
          <w:sz w:val="30"/>
          <w:szCs w:val="30"/>
        </w:rPr>
        <w:t>5.1主要危险、有害因素评价结果</w:t>
      </w:r>
      <w:bookmarkEnd w:id="397"/>
      <w:bookmarkEnd w:id="398"/>
      <w:bookmarkEnd w:id="399"/>
      <w:bookmarkEnd w:id="400"/>
      <w:bookmarkEnd w:id="401"/>
      <w:bookmarkEnd w:id="402"/>
      <w:bookmarkEnd w:id="403"/>
      <w:bookmarkEnd w:id="404"/>
      <w:bookmarkEnd w:id="405"/>
      <w:bookmarkEnd w:id="406"/>
      <w:bookmarkEnd w:id="407"/>
    </w:p>
    <w:p w14:paraId="47731AF7">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408" w:name="_Toc115120693"/>
      <w:bookmarkStart w:id="409" w:name="_Toc115141970"/>
      <w:bookmarkStart w:id="410" w:name="_Toc226963214"/>
      <w:bookmarkStart w:id="411" w:name="_Toc954"/>
      <w:bookmarkStart w:id="412" w:name="_Toc115120299"/>
      <w:bookmarkStart w:id="413" w:name="_Toc27398"/>
      <w:bookmarkStart w:id="414" w:name="_Toc242849826"/>
      <w:bookmarkStart w:id="415" w:name="_Toc14320"/>
      <w:bookmarkStart w:id="416" w:name="_Toc5379"/>
      <w:r>
        <w:rPr>
          <w:rFonts w:hint="default" w:ascii="Times New Roman" w:hAnsi="Times New Roman" w:eastAsia="宋体" w:cs="Times New Roman"/>
          <w:sz w:val="28"/>
          <w:szCs w:val="28"/>
        </w:rPr>
        <w:t>5.1.1该项目存在的主要危险、有害因素</w:t>
      </w:r>
      <w:bookmarkEnd w:id="408"/>
      <w:bookmarkEnd w:id="409"/>
      <w:bookmarkEnd w:id="410"/>
      <w:bookmarkEnd w:id="411"/>
      <w:bookmarkEnd w:id="412"/>
      <w:bookmarkEnd w:id="413"/>
      <w:bookmarkEnd w:id="414"/>
      <w:bookmarkEnd w:id="415"/>
      <w:bookmarkEnd w:id="416"/>
    </w:p>
    <w:p w14:paraId="402065A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该项目存在的主要危险、有害因素为：</w:t>
      </w:r>
      <w:r>
        <w:rPr>
          <w:rFonts w:hint="default" w:ascii="Times New Roman" w:hAnsi="Times New Roman" w:eastAsia="宋体" w:cs="Times New Roman"/>
          <w:sz w:val="28"/>
          <w:szCs w:val="28"/>
          <w:lang w:val="en-GB"/>
        </w:rPr>
        <w:t>坍塌、滑坡、滚石、泥石流、高处坠落、物体打击、机械伤害、车辆伤害、触电、火灾、容器爆炸、爆破伤害、粉尘、其他伤害等</w:t>
      </w:r>
      <w:r>
        <w:rPr>
          <w:rFonts w:hint="default" w:ascii="Times New Roman" w:hAnsi="Times New Roman" w:eastAsia="宋体" w:cs="Times New Roman"/>
          <w:sz w:val="28"/>
          <w:szCs w:val="28"/>
        </w:rPr>
        <w:t>。</w:t>
      </w:r>
    </w:p>
    <w:p w14:paraId="63E7748D">
      <w:pPr>
        <w:pStyle w:val="4"/>
        <w:adjustRightInd w:val="0"/>
        <w:snapToGrid w:val="0"/>
        <w:spacing w:before="0" w:after="0" w:line="360" w:lineRule="auto"/>
        <w:ind w:firstLine="562" w:firstLineChars="200"/>
        <w:rPr>
          <w:rFonts w:hint="default" w:ascii="Times New Roman" w:hAnsi="Times New Roman" w:eastAsia="宋体" w:cs="Times New Roman"/>
          <w:sz w:val="28"/>
          <w:szCs w:val="28"/>
        </w:rPr>
      </w:pPr>
      <w:bookmarkStart w:id="417" w:name="_Toc115141971"/>
      <w:bookmarkStart w:id="418" w:name="_Toc15733"/>
      <w:bookmarkStart w:id="419" w:name="_Toc1392"/>
      <w:bookmarkStart w:id="420" w:name="_Toc18959"/>
      <w:bookmarkStart w:id="421" w:name="_Toc115120694"/>
      <w:bookmarkStart w:id="422" w:name="_Toc32333"/>
      <w:bookmarkStart w:id="423" w:name="_Toc242849827"/>
      <w:bookmarkStart w:id="424" w:name="_Toc226963215"/>
      <w:bookmarkStart w:id="425" w:name="_Toc115120300"/>
      <w:bookmarkStart w:id="426" w:name="_Toc30763"/>
      <w:bookmarkStart w:id="427" w:name="_Toc19288"/>
      <w:bookmarkStart w:id="428" w:name="_Toc28523"/>
      <w:bookmarkStart w:id="429" w:name="_Toc31946"/>
      <w:bookmarkStart w:id="430" w:name="_Toc115141972"/>
      <w:bookmarkStart w:id="431" w:name="_Toc1810"/>
      <w:bookmarkStart w:id="432" w:name="_Toc226963216"/>
      <w:bookmarkStart w:id="433" w:name="_Toc242849828"/>
      <w:bookmarkStart w:id="434" w:name="_Toc115120695"/>
      <w:bookmarkStart w:id="435" w:name="_Toc4157"/>
      <w:bookmarkStart w:id="436" w:name="_Toc115120301"/>
      <w:r>
        <w:rPr>
          <w:rFonts w:hint="default" w:ascii="Times New Roman" w:hAnsi="Times New Roman" w:eastAsia="宋体" w:cs="Times New Roman"/>
          <w:sz w:val="28"/>
          <w:szCs w:val="28"/>
        </w:rPr>
        <w:t>5.1.2该项目存在的主要危险、有害因素存在的部位</w:t>
      </w:r>
      <w:bookmarkEnd w:id="417"/>
      <w:bookmarkEnd w:id="418"/>
      <w:bookmarkEnd w:id="419"/>
      <w:bookmarkEnd w:id="420"/>
      <w:bookmarkEnd w:id="421"/>
      <w:bookmarkEnd w:id="422"/>
      <w:bookmarkEnd w:id="423"/>
      <w:bookmarkEnd w:id="424"/>
      <w:bookmarkEnd w:id="425"/>
    </w:p>
    <w:p w14:paraId="29AF3CA8">
      <w:pPr>
        <w:autoSpaceDE w:val="0"/>
        <w:autoSpaceDN w:val="0"/>
        <w:adjustRightInd w:val="0"/>
        <w:snapToGrid w:val="0"/>
        <w:spacing w:line="360" w:lineRule="auto"/>
        <w:ind w:firstLine="480" w:firstLineChars="200"/>
        <w:jc w:val="center"/>
        <w:rPr>
          <w:rFonts w:hint="default" w:ascii="Times New Roman" w:hAnsi="Times New Roman" w:eastAsia="宋体" w:cs="Times New Roman"/>
          <w:bCs/>
          <w:kern w:val="0"/>
          <w:sz w:val="24"/>
          <w:lang w:eastAsia="zh-TW"/>
        </w:rPr>
      </w:pPr>
      <w:r>
        <w:rPr>
          <w:rFonts w:hint="default" w:ascii="Times New Roman" w:hAnsi="Times New Roman" w:eastAsia="宋体" w:cs="Times New Roman"/>
          <w:bCs/>
          <w:kern w:val="0"/>
          <w:sz w:val="24"/>
          <w:lang w:eastAsia="zh-TW"/>
        </w:rPr>
        <w:t>表</w:t>
      </w:r>
      <w:r>
        <w:rPr>
          <w:rFonts w:hint="default" w:ascii="Times New Roman" w:hAnsi="Times New Roman" w:eastAsia="宋体" w:cs="Times New Roman"/>
          <w:bCs/>
          <w:kern w:val="0"/>
          <w:sz w:val="24"/>
        </w:rPr>
        <w:t>5.1</w:t>
      </w:r>
      <w:r>
        <w:rPr>
          <w:rFonts w:hint="default" w:ascii="Times New Roman" w:hAnsi="Times New Roman" w:eastAsia="宋体" w:cs="Times New Roman"/>
          <w:bCs/>
          <w:kern w:val="0"/>
          <w:sz w:val="24"/>
          <w:lang w:eastAsia="zh-TW"/>
        </w:rPr>
        <w:t>-1 矿山</w:t>
      </w:r>
      <w:r>
        <w:rPr>
          <w:rFonts w:hint="default" w:ascii="Times New Roman" w:hAnsi="Times New Roman" w:eastAsia="宋体" w:cs="Times New Roman"/>
          <w:bCs/>
          <w:kern w:val="0"/>
          <w:sz w:val="24"/>
        </w:rPr>
        <w:t>主要</w:t>
      </w:r>
      <w:r>
        <w:rPr>
          <w:rFonts w:hint="default" w:ascii="Times New Roman" w:hAnsi="Times New Roman" w:eastAsia="宋体" w:cs="Times New Roman"/>
          <w:bCs/>
          <w:kern w:val="0"/>
          <w:sz w:val="24"/>
          <w:lang w:eastAsia="zh-TW"/>
        </w:rPr>
        <w:t>存在</w:t>
      </w:r>
      <w:r>
        <w:rPr>
          <w:rFonts w:hint="default" w:ascii="Times New Roman" w:hAnsi="Times New Roman" w:eastAsia="宋体" w:cs="Times New Roman"/>
          <w:bCs/>
          <w:kern w:val="0"/>
          <w:sz w:val="24"/>
        </w:rPr>
        <w:t>的</w:t>
      </w:r>
      <w:r>
        <w:rPr>
          <w:rFonts w:hint="default" w:ascii="Times New Roman" w:hAnsi="Times New Roman" w:eastAsia="宋体" w:cs="Times New Roman"/>
          <w:bCs/>
          <w:kern w:val="0"/>
          <w:sz w:val="24"/>
          <w:lang w:eastAsia="zh-TW"/>
        </w:rPr>
        <w:t>危险</w:t>
      </w:r>
      <w:r>
        <w:rPr>
          <w:rFonts w:hint="default" w:ascii="Times New Roman" w:hAnsi="Times New Roman" w:eastAsia="宋体" w:cs="Times New Roman"/>
          <w:bCs/>
          <w:kern w:val="0"/>
          <w:sz w:val="24"/>
        </w:rPr>
        <w:t>、</w:t>
      </w:r>
      <w:r>
        <w:rPr>
          <w:rFonts w:hint="default" w:ascii="Times New Roman" w:hAnsi="Times New Roman" w:eastAsia="宋体" w:cs="Times New Roman"/>
          <w:bCs/>
          <w:kern w:val="0"/>
          <w:sz w:val="24"/>
          <w:lang w:eastAsia="zh-TW"/>
        </w:rPr>
        <w:t>有害因素分布表</w:t>
      </w:r>
    </w:p>
    <w:tbl>
      <w:tblPr>
        <w:tblStyle w:val="30"/>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46"/>
        <w:gridCol w:w="2718"/>
        <w:gridCol w:w="3036"/>
        <w:gridCol w:w="2165"/>
      </w:tblGrid>
      <w:tr w14:paraId="27711E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91" w:type="pct"/>
            <w:tcBorders>
              <w:left w:val="single" w:color="auto" w:sz="4" w:space="0"/>
            </w:tcBorders>
            <w:noWrap w:val="0"/>
            <w:vAlign w:val="center"/>
          </w:tcPr>
          <w:p w14:paraId="4DE91BB6">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项目</w:t>
            </w:r>
          </w:p>
        </w:tc>
        <w:tc>
          <w:tcPr>
            <w:tcW w:w="397" w:type="pct"/>
            <w:noWrap w:val="0"/>
            <w:vAlign w:val="center"/>
          </w:tcPr>
          <w:p w14:paraId="74906510">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序号</w:t>
            </w:r>
          </w:p>
        </w:tc>
        <w:tc>
          <w:tcPr>
            <w:tcW w:w="1446" w:type="pct"/>
            <w:noWrap w:val="0"/>
            <w:vAlign w:val="center"/>
          </w:tcPr>
          <w:p w14:paraId="16CF51DF">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危险因素分类</w:t>
            </w:r>
          </w:p>
        </w:tc>
        <w:tc>
          <w:tcPr>
            <w:tcW w:w="1615" w:type="pct"/>
            <w:tcBorders>
              <w:right w:val="single" w:color="auto" w:sz="4" w:space="0"/>
            </w:tcBorders>
            <w:noWrap w:val="0"/>
            <w:vAlign w:val="center"/>
          </w:tcPr>
          <w:p w14:paraId="4078EB3B">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可能存在部位</w:t>
            </w:r>
          </w:p>
        </w:tc>
        <w:tc>
          <w:tcPr>
            <w:tcW w:w="1151" w:type="pct"/>
            <w:tcBorders>
              <w:right w:val="single" w:color="auto" w:sz="4" w:space="0"/>
            </w:tcBorders>
            <w:noWrap w:val="0"/>
            <w:vAlign w:val="center"/>
          </w:tcPr>
          <w:p w14:paraId="005790DE">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可能造成的后果</w:t>
            </w:r>
          </w:p>
        </w:tc>
      </w:tr>
      <w:tr w14:paraId="793EE7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391" w:type="pct"/>
            <w:vMerge w:val="restart"/>
            <w:tcBorders>
              <w:left w:val="single" w:color="auto" w:sz="4" w:space="0"/>
            </w:tcBorders>
            <w:noWrap w:val="0"/>
            <w:vAlign w:val="center"/>
          </w:tcPr>
          <w:p w14:paraId="07D2A619">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危险因素</w:t>
            </w:r>
          </w:p>
        </w:tc>
        <w:tc>
          <w:tcPr>
            <w:tcW w:w="397" w:type="pct"/>
            <w:noWrap w:val="0"/>
            <w:vAlign w:val="center"/>
          </w:tcPr>
          <w:p w14:paraId="3328AF13">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p>
        </w:tc>
        <w:tc>
          <w:tcPr>
            <w:tcW w:w="1446" w:type="pct"/>
            <w:noWrap w:val="0"/>
            <w:vAlign w:val="center"/>
          </w:tcPr>
          <w:p w14:paraId="381920D8">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滚石、边坡失稳、滑坡、泥石流</w:t>
            </w:r>
          </w:p>
        </w:tc>
        <w:tc>
          <w:tcPr>
            <w:tcW w:w="1615" w:type="pct"/>
            <w:tcBorders>
              <w:right w:val="single" w:color="auto" w:sz="4" w:space="0"/>
            </w:tcBorders>
            <w:noWrap w:val="0"/>
            <w:vAlign w:val="center"/>
          </w:tcPr>
          <w:p w14:paraId="12107CD6">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采场边坡</w:t>
            </w:r>
          </w:p>
        </w:tc>
        <w:tc>
          <w:tcPr>
            <w:tcW w:w="1151" w:type="pct"/>
            <w:tcBorders>
              <w:right w:val="single" w:color="auto" w:sz="4" w:space="0"/>
            </w:tcBorders>
            <w:noWrap w:val="0"/>
            <w:vAlign w:val="center"/>
          </w:tcPr>
          <w:p w14:paraId="495F220E">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w:t>
            </w:r>
          </w:p>
        </w:tc>
      </w:tr>
      <w:tr w14:paraId="49DA43D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1E377719">
            <w:pPr>
              <w:adjustRightInd w:val="0"/>
              <w:snapToGrid w:val="0"/>
              <w:rPr>
                <w:rFonts w:hint="default" w:ascii="Times New Roman" w:hAnsi="Times New Roman" w:eastAsia="宋体" w:cs="Times New Roman"/>
                <w:szCs w:val="21"/>
              </w:rPr>
            </w:pPr>
          </w:p>
        </w:tc>
        <w:tc>
          <w:tcPr>
            <w:tcW w:w="397" w:type="pct"/>
            <w:noWrap w:val="0"/>
            <w:vAlign w:val="center"/>
          </w:tcPr>
          <w:p w14:paraId="0D7F9F62">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c>
          <w:tcPr>
            <w:tcW w:w="1446" w:type="pct"/>
            <w:noWrap w:val="0"/>
            <w:vAlign w:val="center"/>
          </w:tcPr>
          <w:p w14:paraId="0B6BA6F8">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爆破伤害</w:t>
            </w:r>
          </w:p>
        </w:tc>
        <w:tc>
          <w:tcPr>
            <w:tcW w:w="1615" w:type="pct"/>
            <w:tcBorders>
              <w:right w:val="single" w:color="auto" w:sz="4" w:space="0"/>
            </w:tcBorders>
            <w:noWrap w:val="0"/>
            <w:vAlign w:val="center"/>
          </w:tcPr>
          <w:p w14:paraId="3143A106">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爆破器材运输、使用、销毁过程、采场穿孔爆破作业</w:t>
            </w:r>
          </w:p>
        </w:tc>
        <w:tc>
          <w:tcPr>
            <w:tcW w:w="1151" w:type="pct"/>
            <w:tcBorders>
              <w:right w:val="single" w:color="auto" w:sz="4" w:space="0"/>
            </w:tcBorders>
            <w:noWrap w:val="0"/>
            <w:vAlign w:val="center"/>
          </w:tcPr>
          <w:p w14:paraId="0764DC8E">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w:t>
            </w:r>
          </w:p>
        </w:tc>
      </w:tr>
      <w:tr w14:paraId="2B0690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391" w:type="pct"/>
            <w:vMerge w:val="continue"/>
            <w:tcBorders>
              <w:left w:val="single" w:color="auto" w:sz="4" w:space="0"/>
            </w:tcBorders>
            <w:noWrap w:val="0"/>
            <w:vAlign w:val="center"/>
          </w:tcPr>
          <w:p w14:paraId="62B9D926">
            <w:pPr>
              <w:adjustRightInd w:val="0"/>
              <w:snapToGrid w:val="0"/>
              <w:rPr>
                <w:rFonts w:hint="default" w:ascii="Times New Roman" w:hAnsi="Times New Roman" w:eastAsia="宋体" w:cs="Times New Roman"/>
                <w:szCs w:val="21"/>
              </w:rPr>
            </w:pPr>
          </w:p>
        </w:tc>
        <w:tc>
          <w:tcPr>
            <w:tcW w:w="397" w:type="pct"/>
            <w:noWrap w:val="0"/>
            <w:vAlign w:val="center"/>
          </w:tcPr>
          <w:p w14:paraId="39315F98">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3</w:t>
            </w:r>
          </w:p>
        </w:tc>
        <w:tc>
          <w:tcPr>
            <w:tcW w:w="1446" w:type="pct"/>
            <w:noWrap w:val="0"/>
            <w:vAlign w:val="center"/>
          </w:tcPr>
          <w:p w14:paraId="79136C5C">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物体打击</w:t>
            </w:r>
          </w:p>
        </w:tc>
        <w:tc>
          <w:tcPr>
            <w:tcW w:w="1615" w:type="pct"/>
            <w:tcBorders>
              <w:right w:val="single" w:color="auto" w:sz="4" w:space="0"/>
            </w:tcBorders>
            <w:noWrap w:val="0"/>
            <w:vAlign w:val="center"/>
          </w:tcPr>
          <w:p w14:paraId="715CA8B9">
            <w:pPr>
              <w:adjustRightInd w:val="0"/>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采场矿废石搬运、铲装作业工作面等</w:t>
            </w:r>
          </w:p>
        </w:tc>
        <w:tc>
          <w:tcPr>
            <w:tcW w:w="1151" w:type="pct"/>
            <w:tcBorders>
              <w:right w:val="single" w:color="auto" w:sz="4" w:space="0"/>
            </w:tcBorders>
            <w:noWrap w:val="0"/>
            <w:vAlign w:val="center"/>
          </w:tcPr>
          <w:p w14:paraId="3C6D5F75">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w:t>
            </w:r>
          </w:p>
        </w:tc>
      </w:tr>
      <w:tr w14:paraId="08FDFE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49CDB705">
            <w:pPr>
              <w:adjustRightInd w:val="0"/>
              <w:snapToGrid w:val="0"/>
              <w:rPr>
                <w:rFonts w:hint="default" w:ascii="Times New Roman" w:hAnsi="Times New Roman" w:eastAsia="宋体" w:cs="Times New Roman"/>
                <w:szCs w:val="21"/>
              </w:rPr>
            </w:pPr>
          </w:p>
        </w:tc>
        <w:tc>
          <w:tcPr>
            <w:tcW w:w="397" w:type="pct"/>
            <w:noWrap w:val="0"/>
            <w:vAlign w:val="center"/>
          </w:tcPr>
          <w:p w14:paraId="52121AC4">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1446" w:type="pct"/>
            <w:noWrap w:val="0"/>
            <w:vAlign w:val="center"/>
          </w:tcPr>
          <w:p w14:paraId="6E3D55C7">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高处坠落</w:t>
            </w:r>
          </w:p>
        </w:tc>
        <w:tc>
          <w:tcPr>
            <w:tcW w:w="1615" w:type="pct"/>
            <w:tcBorders>
              <w:right w:val="single" w:color="auto" w:sz="4" w:space="0"/>
            </w:tcBorders>
            <w:noWrap w:val="0"/>
            <w:vAlign w:val="center"/>
          </w:tcPr>
          <w:p w14:paraId="42967B12">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采场边坡、采矿过程中2m及以上的作业平台等</w:t>
            </w:r>
          </w:p>
        </w:tc>
        <w:tc>
          <w:tcPr>
            <w:tcW w:w="1151" w:type="pct"/>
            <w:tcBorders>
              <w:right w:val="single" w:color="auto" w:sz="4" w:space="0"/>
            </w:tcBorders>
            <w:noWrap w:val="0"/>
            <w:vAlign w:val="center"/>
          </w:tcPr>
          <w:p w14:paraId="58FAEC4F">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w:t>
            </w:r>
          </w:p>
        </w:tc>
      </w:tr>
      <w:tr w14:paraId="28E880D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3BA8A92F">
            <w:pPr>
              <w:adjustRightInd w:val="0"/>
              <w:snapToGrid w:val="0"/>
              <w:rPr>
                <w:rFonts w:hint="default" w:ascii="Times New Roman" w:hAnsi="Times New Roman" w:eastAsia="宋体" w:cs="Times New Roman"/>
                <w:szCs w:val="21"/>
              </w:rPr>
            </w:pPr>
          </w:p>
        </w:tc>
        <w:tc>
          <w:tcPr>
            <w:tcW w:w="397" w:type="pct"/>
            <w:noWrap w:val="0"/>
            <w:vAlign w:val="center"/>
          </w:tcPr>
          <w:p w14:paraId="779116A7">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5</w:t>
            </w:r>
          </w:p>
        </w:tc>
        <w:tc>
          <w:tcPr>
            <w:tcW w:w="1446" w:type="pct"/>
            <w:noWrap w:val="0"/>
            <w:vAlign w:val="center"/>
          </w:tcPr>
          <w:p w14:paraId="6B103412">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车辆伤害</w:t>
            </w:r>
          </w:p>
        </w:tc>
        <w:tc>
          <w:tcPr>
            <w:tcW w:w="1615" w:type="pct"/>
            <w:tcBorders>
              <w:right w:val="single" w:color="auto" w:sz="4" w:space="0"/>
            </w:tcBorders>
            <w:noWrap w:val="0"/>
            <w:vAlign w:val="center"/>
          </w:tcPr>
          <w:p w14:paraId="1D864E75">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运输过程中的各种车辆设备</w:t>
            </w:r>
          </w:p>
        </w:tc>
        <w:tc>
          <w:tcPr>
            <w:tcW w:w="1151" w:type="pct"/>
            <w:tcBorders>
              <w:right w:val="single" w:color="auto" w:sz="4" w:space="0"/>
            </w:tcBorders>
            <w:noWrap w:val="0"/>
            <w:vAlign w:val="center"/>
          </w:tcPr>
          <w:p w14:paraId="3108EB37">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w:t>
            </w:r>
          </w:p>
        </w:tc>
      </w:tr>
      <w:tr w14:paraId="1D9006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26869157">
            <w:pPr>
              <w:adjustRightInd w:val="0"/>
              <w:snapToGrid w:val="0"/>
              <w:rPr>
                <w:rFonts w:hint="default" w:ascii="Times New Roman" w:hAnsi="Times New Roman" w:eastAsia="宋体" w:cs="Times New Roman"/>
                <w:szCs w:val="21"/>
              </w:rPr>
            </w:pPr>
          </w:p>
        </w:tc>
        <w:tc>
          <w:tcPr>
            <w:tcW w:w="397" w:type="pct"/>
            <w:noWrap w:val="0"/>
            <w:vAlign w:val="center"/>
          </w:tcPr>
          <w:p w14:paraId="2432114B">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6</w:t>
            </w:r>
          </w:p>
        </w:tc>
        <w:tc>
          <w:tcPr>
            <w:tcW w:w="1446" w:type="pct"/>
            <w:noWrap w:val="0"/>
            <w:vAlign w:val="center"/>
          </w:tcPr>
          <w:p w14:paraId="2856A77B">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机械伤害</w:t>
            </w:r>
          </w:p>
        </w:tc>
        <w:tc>
          <w:tcPr>
            <w:tcW w:w="1615" w:type="pct"/>
            <w:tcBorders>
              <w:right w:val="single" w:color="auto" w:sz="4" w:space="0"/>
            </w:tcBorders>
            <w:noWrap w:val="0"/>
            <w:vAlign w:val="center"/>
          </w:tcPr>
          <w:p w14:paraId="0484BD13">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各种设备引起的机械事故</w:t>
            </w:r>
          </w:p>
        </w:tc>
        <w:tc>
          <w:tcPr>
            <w:tcW w:w="1151" w:type="pct"/>
            <w:tcBorders>
              <w:right w:val="single" w:color="auto" w:sz="4" w:space="0"/>
            </w:tcBorders>
            <w:noWrap w:val="0"/>
            <w:vAlign w:val="center"/>
          </w:tcPr>
          <w:p w14:paraId="7A16EFDF">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人员伤亡、设备损失</w:t>
            </w:r>
          </w:p>
        </w:tc>
      </w:tr>
      <w:tr w14:paraId="6AC3C2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66DC74A4">
            <w:pPr>
              <w:adjustRightInd w:val="0"/>
              <w:snapToGrid w:val="0"/>
              <w:rPr>
                <w:rFonts w:hint="default" w:ascii="Times New Roman" w:hAnsi="Times New Roman" w:eastAsia="宋体" w:cs="Times New Roman"/>
                <w:szCs w:val="21"/>
              </w:rPr>
            </w:pPr>
          </w:p>
        </w:tc>
        <w:tc>
          <w:tcPr>
            <w:tcW w:w="397" w:type="pct"/>
            <w:noWrap w:val="0"/>
            <w:vAlign w:val="center"/>
          </w:tcPr>
          <w:p w14:paraId="2CA6F414">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7</w:t>
            </w:r>
          </w:p>
        </w:tc>
        <w:tc>
          <w:tcPr>
            <w:tcW w:w="1446" w:type="pct"/>
            <w:noWrap w:val="0"/>
            <w:vAlign w:val="center"/>
          </w:tcPr>
          <w:p w14:paraId="536C671D">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容器爆炸</w:t>
            </w:r>
          </w:p>
        </w:tc>
        <w:tc>
          <w:tcPr>
            <w:tcW w:w="1615" w:type="pct"/>
            <w:tcBorders>
              <w:right w:val="single" w:color="auto" w:sz="4" w:space="0"/>
            </w:tcBorders>
            <w:noWrap w:val="0"/>
            <w:vAlign w:val="center"/>
          </w:tcPr>
          <w:p w14:paraId="76492CBC">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空压机储气罐等</w:t>
            </w:r>
          </w:p>
        </w:tc>
        <w:tc>
          <w:tcPr>
            <w:tcW w:w="1151" w:type="pct"/>
            <w:tcBorders>
              <w:right w:val="single" w:color="auto" w:sz="4" w:space="0"/>
            </w:tcBorders>
            <w:noWrap w:val="0"/>
            <w:vAlign w:val="center"/>
          </w:tcPr>
          <w:p w14:paraId="68C9347F">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人员伤亡、设备损失</w:t>
            </w:r>
          </w:p>
        </w:tc>
      </w:tr>
      <w:tr w14:paraId="0F78B0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78070FCD">
            <w:pPr>
              <w:adjustRightInd w:val="0"/>
              <w:snapToGrid w:val="0"/>
              <w:rPr>
                <w:rFonts w:hint="default" w:ascii="Times New Roman" w:hAnsi="Times New Roman" w:eastAsia="宋体" w:cs="Times New Roman"/>
                <w:szCs w:val="21"/>
              </w:rPr>
            </w:pPr>
          </w:p>
        </w:tc>
        <w:tc>
          <w:tcPr>
            <w:tcW w:w="397" w:type="pct"/>
            <w:noWrap w:val="0"/>
            <w:vAlign w:val="center"/>
          </w:tcPr>
          <w:p w14:paraId="598E56F1">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8</w:t>
            </w:r>
          </w:p>
        </w:tc>
        <w:tc>
          <w:tcPr>
            <w:tcW w:w="1446" w:type="pct"/>
            <w:noWrap w:val="0"/>
            <w:vAlign w:val="center"/>
          </w:tcPr>
          <w:p w14:paraId="77A7C1D2">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火灾</w:t>
            </w:r>
          </w:p>
        </w:tc>
        <w:tc>
          <w:tcPr>
            <w:tcW w:w="1615" w:type="pct"/>
            <w:tcBorders>
              <w:right w:val="single" w:color="auto" w:sz="4" w:space="0"/>
            </w:tcBorders>
            <w:noWrap w:val="0"/>
            <w:vAlign w:val="center"/>
          </w:tcPr>
          <w:p w14:paraId="0C952151">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机械设备及电气设备、线路</w:t>
            </w:r>
          </w:p>
        </w:tc>
        <w:tc>
          <w:tcPr>
            <w:tcW w:w="1151" w:type="pct"/>
            <w:tcBorders>
              <w:right w:val="single" w:color="auto" w:sz="4" w:space="0"/>
            </w:tcBorders>
            <w:noWrap w:val="0"/>
            <w:vAlign w:val="center"/>
          </w:tcPr>
          <w:p w14:paraId="5967C599">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人员伤亡、设备损失</w:t>
            </w:r>
          </w:p>
        </w:tc>
      </w:tr>
      <w:tr w14:paraId="3461FC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2123F46B">
            <w:pPr>
              <w:adjustRightInd w:val="0"/>
              <w:snapToGrid w:val="0"/>
              <w:rPr>
                <w:rFonts w:hint="default" w:ascii="Times New Roman" w:hAnsi="Times New Roman" w:eastAsia="宋体" w:cs="Times New Roman"/>
                <w:szCs w:val="21"/>
              </w:rPr>
            </w:pPr>
          </w:p>
        </w:tc>
        <w:tc>
          <w:tcPr>
            <w:tcW w:w="397" w:type="pct"/>
            <w:noWrap w:val="0"/>
            <w:vAlign w:val="center"/>
          </w:tcPr>
          <w:p w14:paraId="1DB851C1">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9</w:t>
            </w:r>
          </w:p>
        </w:tc>
        <w:tc>
          <w:tcPr>
            <w:tcW w:w="1446" w:type="pct"/>
            <w:noWrap w:val="0"/>
            <w:vAlign w:val="center"/>
          </w:tcPr>
          <w:p w14:paraId="073B79DF">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触电、雷电</w:t>
            </w:r>
          </w:p>
        </w:tc>
        <w:tc>
          <w:tcPr>
            <w:tcW w:w="1615" w:type="pct"/>
            <w:tcBorders>
              <w:right w:val="single" w:color="auto" w:sz="4" w:space="0"/>
            </w:tcBorders>
            <w:noWrap w:val="0"/>
            <w:vAlign w:val="center"/>
          </w:tcPr>
          <w:p w14:paraId="4E99C7CE">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各种电气设备及其线路</w:t>
            </w:r>
          </w:p>
        </w:tc>
        <w:tc>
          <w:tcPr>
            <w:tcW w:w="1151" w:type="pct"/>
            <w:tcBorders>
              <w:right w:val="single" w:color="auto" w:sz="4" w:space="0"/>
            </w:tcBorders>
            <w:noWrap w:val="0"/>
            <w:vAlign w:val="center"/>
          </w:tcPr>
          <w:p w14:paraId="4C136347">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人员伤亡、设备损坏</w:t>
            </w:r>
          </w:p>
        </w:tc>
      </w:tr>
      <w:tr w14:paraId="167236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391" w:type="pct"/>
            <w:vMerge w:val="restart"/>
            <w:tcBorders>
              <w:left w:val="single" w:color="auto" w:sz="4" w:space="0"/>
            </w:tcBorders>
            <w:noWrap w:val="0"/>
            <w:vAlign w:val="center"/>
          </w:tcPr>
          <w:p w14:paraId="6887D59A">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管理因素</w:t>
            </w:r>
          </w:p>
        </w:tc>
        <w:tc>
          <w:tcPr>
            <w:tcW w:w="397" w:type="pct"/>
            <w:noWrap w:val="0"/>
            <w:vAlign w:val="center"/>
          </w:tcPr>
          <w:p w14:paraId="68017E9B">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p>
        </w:tc>
        <w:tc>
          <w:tcPr>
            <w:tcW w:w="1446" w:type="pct"/>
            <w:noWrap w:val="0"/>
            <w:vAlign w:val="center"/>
          </w:tcPr>
          <w:p w14:paraId="7DB7FB6F">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未建立安全生产管理机构或安全生产监督检查不到位</w:t>
            </w:r>
          </w:p>
        </w:tc>
        <w:tc>
          <w:tcPr>
            <w:tcW w:w="1615" w:type="pct"/>
            <w:vMerge w:val="restart"/>
            <w:tcBorders>
              <w:right w:val="single" w:color="auto" w:sz="4" w:space="0"/>
            </w:tcBorders>
            <w:noWrap w:val="0"/>
            <w:vAlign w:val="center"/>
          </w:tcPr>
          <w:p w14:paraId="3ADC9F1E">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安全管理过程中，安全生产命令执行过程中</w:t>
            </w:r>
          </w:p>
        </w:tc>
        <w:tc>
          <w:tcPr>
            <w:tcW w:w="1151" w:type="pct"/>
            <w:vMerge w:val="restart"/>
            <w:tcBorders>
              <w:right w:val="single" w:color="auto" w:sz="4" w:space="0"/>
            </w:tcBorders>
            <w:noWrap w:val="0"/>
            <w:vAlign w:val="center"/>
          </w:tcPr>
          <w:p w14:paraId="7F871D44">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人员伤亡</w:t>
            </w:r>
          </w:p>
        </w:tc>
      </w:tr>
      <w:tr w14:paraId="61F260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5906A4A9">
            <w:pPr>
              <w:adjustRightInd w:val="0"/>
              <w:snapToGrid w:val="0"/>
              <w:rPr>
                <w:rFonts w:hint="default" w:ascii="Times New Roman" w:hAnsi="Times New Roman" w:eastAsia="宋体" w:cs="Times New Roman"/>
                <w:szCs w:val="21"/>
              </w:rPr>
            </w:pPr>
          </w:p>
        </w:tc>
        <w:tc>
          <w:tcPr>
            <w:tcW w:w="397" w:type="pct"/>
            <w:noWrap w:val="0"/>
            <w:vAlign w:val="center"/>
          </w:tcPr>
          <w:p w14:paraId="771A27A9">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c>
          <w:tcPr>
            <w:tcW w:w="1446" w:type="pct"/>
            <w:noWrap w:val="0"/>
            <w:vAlign w:val="center"/>
          </w:tcPr>
          <w:p w14:paraId="588E302B">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未建立安全生产责任制、安全管理制度及操作规程，或者不健全</w:t>
            </w:r>
          </w:p>
        </w:tc>
        <w:tc>
          <w:tcPr>
            <w:tcW w:w="1615" w:type="pct"/>
            <w:vMerge w:val="continue"/>
            <w:tcBorders>
              <w:right w:val="single" w:color="auto" w:sz="4" w:space="0"/>
            </w:tcBorders>
            <w:noWrap w:val="0"/>
            <w:vAlign w:val="center"/>
          </w:tcPr>
          <w:p w14:paraId="3BEFF613">
            <w:pPr>
              <w:adjustRightInd w:val="0"/>
              <w:snapToGrid w:val="0"/>
              <w:rPr>
                <w:rFonts w:hint="default" w:ascii="Times New Roman" w:hAnsi="Times New Roman" w:eastAsia="宋体" w:cs="Times New Roman"/>
                <w:szCs w:val="21"/>
              </w:rPr>
            </w:pPr>
          </w:p>
        </w:tc>
        <w:tc>
          <w:tcPr>
            <w:tcW w:w="1151" w:type="pct"/>
            <w:vMerge w:val="continue"/>
            <w:tcBorders>
              <w:right w:val="single" w:color="auto" w:sz="4" w:space="0"/>
            </w:tcBorders>
            <w:noWrap w:val="0"/>
            <w:vAlign w:val="center"/>
          </w:tcPr>
          <w:p w14:paraId="6CF68F47">
            <w:pPr>
              <w:adjustRightInd w:val="0"/>
              <w:snapToGrid w:val="0"/>
              <w:rPr>
                <w:rFonts w:hint="default" w:ascii="Times New Roman" w:hAnsi="Times New Roman" w:eastAsia="宋体" w:cs="Times New Roman"/>
                <w:szCs w:val="21"/>
              </w:rPr>
            </w:pPr>
          </w:p>
        </w:tc>
      </w:tr>
      <w:tr w14:paraId="7C0ACAF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503FEA29">
            <w:pPr>
              <w:adjustRightInd w:val="0"/>
              <w:snapToGrid w:val="0"/>
              <w:rPr>
                <w:rFonts w:hint="default" w:ascii="Times New Roman" w:hAnsi="Times New Roman" w:eastAsia="宋体" w:cs="Times New Roman"/>
                <w:szCs w:val="21"/>
              </w:rPr>
            </w:pPr>
          </w:p>
        </w:tc>
        <w:tc>
          <w:tcPr>
            <w:tcW w:w="397" w:type="pct"/>
            <w:noWrap w:val="0"/>
            <w:vAlign w:val="center"/>
          </w:tcPr>
          <w:p w14:paraId="1A0F8E4F">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3</w:t>
            </w:r>
          </w:p>
        </w:tc>
        <w:tc>
          <w:tcPr>
            <w:tcW w:w="1446" w:type="pct"/>
            <w:noWrap w:val="0"/>
            <w:vAlign w:val="center"/>
          </w:tcPr>
          <w:p w14:paraId="70C21A0A">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特种作业人员未取证上岗</w:t>
            </w:r>
          </w:p>
        </w:tc>
        <w:tc>
          <w:tcPr>
            <w:tcW w:w="1615" w:type="pct"/>
            <w:vMerge w:val="continue"/>
            <w:tcBorders>
              <w:right w:val="single" w:color="auto" w:sz="4" w:space="0"/>
            </w:tcBorders>
            <w:noWrap w:val="0"/>
            <w:vAlign w:val="center"/>
          </w:tcPr>
          <w:p w14:paraId="22AAC1E2">
            <w:pPr>
              <w:adjustRightInd w:val="0"/>
              <w:snapToGrid w:val="0"/>
              <w:rPr>
                <w:rFonts w:hint="default" w:ascii="Times New Roman" w:hAnsi="Times New Roman" w:eastAsia="宋体" w:cs="Times New Roman"/>
                <w:szCs w:val="21"/>
              </w:rPr>
            </w:pPr>
          </w:p>
        </w:tc>
        <w:tc>
          <w:tcPr>
            <w:tcW w:w="1151" w:type="pct"/>
            <w:vMerge w:val="continue"/>
            <w:tcBorders>
              <w:right w:val="single" w:color="auto" w:sz="4" w:space="0"/>
            </w:tcBorders>
            <w:noWrap w:val="0"/>
            <w:vAlign w:val="center"/>
          </w:tcPr>
          <w:p w14:paraId="0B6FB9A1">
            <w:pPr>
              <w:adjustRightInd w:val="0"/>
              <w:snapToGrid w:val="0"/>
              <w:rPr>
                <w:rFonts w:hint="default" w:ascii="Times New Roman" w:hAnsi="Times New Roman" w:eastAsia="宋体" w:cs="Times New Roman"/>
                <w:szCs w:val="21"/>
              </w:rPr>
            </w:pPr>
          </w:p>
        </w:tc>
      </w:tr>
      <w:tr w14:paraId="71AE38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1" w:type="pct"/>
            <w:vMerge w:val="continue"/>
            <w:tcBorders>
              <w:left w:val="single" w:color="auto" w:sz="4" w:space="0"/>
            </w:tcBorders>
            <w:noWrap w:val="0"/>
            <w:vAlign w:val="center"/>
          </w:tcPr>
          <w:p w14:paraId="071B85A7">
            <w:pPr>
              <w:adjustRightInd w:val="0"/>
              <w:snapToGrid w:val="0"/>
              <w:rPr>
                <w:rFonts w:hint="default" w:ascii="Times New Roman" w:hAnsi="Times New Roman" w:eastAsia="宋体" w:cs="Times New Roman"/>
                <w:szCs w:val="21"/>
              </w:rPr>
            </w:pPr>
          </w:p>
        </w:tc>
        <w:tc>
          <w:tcPr>
            <w:tcW w:w="397" w:type="pct"/>
            <w:noWrap w:val="0"/>
            <w:vAlign w:val="center"/>
          </w:tcPr>
          <w:p w14:paraId="38E9366E">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1446" w:type="pct"/>
            <w:noWrap w:val="0"/>
            <w:vAlign w:val="center"/>
          </w:tcPr>
          <w:p w14:paraId="0D39007A">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职业安全健康管理不完善</w:t>
            </w:r>
          </w:p>
        </w:tc>
        <w:tc>
          <w:tcPr>
            <w:tcW w:w="1615" w:type="pct"/>
            <w:vMerge w:val="continue"/>
            <w:tcBorders>
              <w:right w:val="single" w:color="auto" w:sz="4" w:space="0"/>
            </w:tcBorders>
            <w:noWrap w:val="0"/>
            <w:vAlign w:val="center"/>
          </w:tcPr>
          <w:p w14:paraId="49B4FC4C">
            <w:pPr>
              <w:adjustRightInd w:val="0"/>
              <w:snapToGrid w:val="0"/>
              <w:rPr>
                <w:rFonts w:hint="default" w:ascii="Times New Roman" w:hAnsi="Times New Roman" w:eastAsia="宋体" w:cs="Times New Roman"/>
                <w:szCs w:val="21"/>
              </w:rPr>
            </w:pPr>
          </w:p>
        </w:tc>
        <w:tc>
          <w:tcPr>
            <w:tcW w:w="1151" w:type="pct"/>
            <w:vMerge w:val="continue"/>
            <w:tcBorders>
              <w:right w:val="single" w:color="auto" w:sz="4" w:space="0"/>
            </w:tcBorders>
            <w:noWrap w:val="0"/>
            <w:vAlign w:val="center"/>
          </w:tcPr>
          <w:p w14:paraId="07795BDA">
            <w:pPr>
              <w:adjustRightInd w:val="0"/>
              <w:snapToGrid w:val="0"/>
              <w:rPr>
                <w:rFonts w:hint="default" w:ascii="Times New Roman" w:hAnsi="Times New Roman" w:eastAsia="宋体" w:cs="Times New Roman"/>
                <w:szCs w:val="21"/>
              </w:rPr>
            </w:pPr>
          </w:p>
        </w:tc>
      </w:tr>
      <w:tr w14:paraId="125B89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391" w:type="pct"/>
            <w:vMerge w:val="continue"/>
            <w:tcBorders>
              <w:left w:val="single" w:color="auto" w:sz="4" w:space="0"/>
            </w:tcBorders>
            <w:noWrap w:val="0"/>
            <w:vAlign w:val="center"/>
          </w:tcPr>
          <w:p w14:paraId="709490BE">
            <w:pPr>
              <w:adjustRightInd w:val="0"/>
              <w:snapToGrid w:val="0"/>
              <w:rPr>
                <w:rFonts w:hint="default" w:ascii="Times New Roman" w:hAnsi="Times New Roman" w:eastAsia="宋体" w:cs="Times New Roman"/>
                <w:szCs w:val="21"/>
              </w:rPr>
            </w:pPr>
          </w:p>
        </w:tc>
        <w:tc>
          <w:tcPr>
            <w:tcW w:w="397" w:type="pct"/>
            <w:noWrap w:val="0"/>
            <w:vAlign w:val="center"/>
          </w:tcPr>
          <w:p w14:paraId="19675FC1">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5</w:t>
            </w:r>
          </w:p>
        </w:tc>
        <w:tc>
          <w:tcPr>
            <w:tcW w:w="1446" w:type="pct"/>
            <w:noWrap w:val="0"/>
            <w:vAlign w:val="center"/>
          </w:tcPr>
          <w:p w14:paraId="0A50170E">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职业安全健康投入不足</w:t>
            </w:r>
          </w:p>
        </w:tc>
        <w:tc>
          <w:tcPr>
            <w:tcW w:w="1615" w:type="pct"/>
            <w:vMerge w:val="continue"/>
            <w:tcBorders>
              <w:right w:val="single" w:color="auto" w:sz="4" w:space="0"/>
            </w:tcBorders>
            <w:noWrap w:val="0"/>
            <w:vAlign w:val="center"/>
          </w:tcPr>
          <w:p w14:paraId="47589EF5">
            <w:pPr>
              <w:adjustRightInd w:val="0"/>
              <w:snapToGrid w:val="0"/>
              <w:rPr>
                <w:rFonts w:hint="default" w:ascii="Times New Roman" w:hAnsi="Times New Roman" w:eastAsia="宋体" w:cs="Times New Roman"/>
                <w:szCs w:val="21"/>
              </w:rPr>
            </w:pPr>
          </w:p>
        </w:tc>
        <w:tc>
          <w:tcPr>
            <w:tcW w:w="1151" w:type="pct"/>
            <w:vMerge w:val="continue"/>
            <w:tcBorders>
              <w:right w:val="single" w:color="auto" w:sz="4" w:space="0"/>
            </w:tcBorders>
            <w:noWrap w:val="0"/>
            <w:vAlign w:val="center"/>
          </w:tcPr>
          <w:p w14:paraId="5FBDEB09">
            <w:pPr>
              <w:adjustRightInd w:val="0"/>
              <w:snapToGrid w:val="0"/>
              <w:rPr>
                <w:rFonts w:hint="default" w:ascii="Times New Roman" w:hAnsi="Times New Roman" w:eastAsia="宋体" w:cs="Times New Roman"/>
                <w:szCs w:val="21"/>
              </w:rPr>
            </w:pPr>
          </w:p>
        </w:tc>
      </w:tr>
      <w:tr w14:paraId="53698F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91" w:type="pct"/>
            <w:vMerge w:val="continue"/>
            <w:tcBorders>
              <w:left w:val="single" w:color="auto" w:sz="4" w:space="0"/>
            </w:tcBorders>
            <w:noWrap w:val="0"/>
            <w:vAlign w:val="center"/>
          </w:tcPr>
          <w:p w14:paraId="281F514C">
            <w:pPr>
              <w:adjustRightInd w:val="0"/>
              <w:snapToGrid w:val="0"/>
              <w:rPr>
                <w:rFonts w:hint="default" w:ascii="Times New Roman" w:hAnsi="Times New Roman" w:eastAsia="宋体" w:cs="Times New Roman"/>
                <w:szCs w:val="21"/>
              </w:rPr>
            </w:pPr>
          </w:p>
        </w:tc>
        <w:tc>
          <w:tcPr>
            <w:tcW w:w="397" w:type="pct"/>
            <w:noWrap w:val="0"/>
            <w:vAlign w:val="center"/>
          </w:tcPr>
          <w:p w14:paraId="7F9E957C">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7</w:t>
            </w:r>
          </w:p>
        </w:tc>
        <w:tc>
          <w:tcPr>
            <w:tcW w:w="1446" w:type="pct"/>
            <w:noWrap w:val="0"/>
            <w:vAlign w:val="center"/>
          </w:tcPr>
          <w:p w14:paraId="46BF2C95">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违章指挥、违章操作</w:t>
            </w:r>
          </w:p>
        </w:tc>
        <w:tc>
          <w:tcPr>
            <w:tcW w:w="1615" w:type="pct"/>
            <w:vMerge w:val="continue"/>
            <w:tcBorders>
              <w:right w:val="single" w:color="auto" w:sz="4" w:space="0"/>
            </w:tcBorders>
            <w:noWrap w:val="0"/>
            <w:vAlign w:val="center"/>
          </w:tcPr>
          <w:p w14:paraId="3B17E18C">
            <w:pPr>
              <w:adjustRightInd w:val="0"/>
              <w:snapToGrid w:val="0"/>
              <w:rPr>
                <w:rFonts w:hint="default" w:ascii="Times New Roman" w:hAnsi="Times New Roman" w:eastAsia="宋体" w:cs="Times New Roman"/>
                <w:szCs w:val="21"/>
              </w:rPr>
            </w:pPr>
          </w:p>
        </w:tc>
        <w:tc>
          <w:tcPr>
            <w:tcW w:w="1151" w:type="pct"/>
            <w:vMerge w:val="continue"/>
            <w:tcBorders>
              <w:right w:val="single" w:color="auto" w:sz="4" w:space="0"/>
            </w:tcBorders>
            <w:noWrap w:val="0"/>
            <w:vAlign w:val="center"/>
          </w:tcPr>
          <w:p w14:paraId="436A1331">
            <w:pPr>
              <w:adjustRightInd w:val="0"/>
              <w:snapToGrid w:val="0"/>
              <w:rPr>
                <w:rFonts w:hint="default" w:ascii="Times New Roman" w:hAnsi="Times New Roman" w:eastAsia="宋体" w:cs="Times New Roman"/>
                <w:szCs w:val="21"/>
              </w:rPr>
            </w:pPr>
          </w:p>
        </w:tc>
      </w:tr>
    </w:tbl>
    <w:p w14:paraId="76433115">
      <w:pPr>
        <w:pStyle w:val="3"/>
        <w:adjustRightInd w:val="0"/>
        <w:snapToGrid w:val="0"/>
        <w:spacing w:before="0" w:after="0" w:line="360" w:lineRule="auto"/>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5.2该项目应重点防范的危险、有害因素</w:t>
      </w:r>
      <w:bookmarkEnd w:id="426"/>
      <w:bookmarkEnd w:id="427"/>
      <w:bookmarkEnd w:id="428"/>
      <w:bookmarkEnd w:id="429"/>
      <w:bookmarkEnd w:id="430"/>
      <w:bookmarkEnd w:id="431"/>
      <w:bookmarkEnd w:id="432"/>
      <w:bookmarkEnd w:id="433"/>
      <w:bookmarkEnd w:id="434"/>
      <w:bookmarkEnd w:id="435"/>
      <w:bookmarkEnd w:id="436"/>
    </w:p>
    <w:p w14:paraId="7FBD8FE0">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该项目应重点防范以下危险因素：</w:t>
      </w:r>
      <w:r>
        <w:rPr>
          <w:rFonts w:hint="default" w:ascii="Times New Roman" w:hAnsi="Times New Roman" w:eastAsia="宋体" w:cs="Times New Roman"/>
          <w:bCs/>
          <w:sz w:val="28"/>
          <w:szCs w:val="28"/>
          <w:lang w:val="en-GB"/>
        </w:rPr>
        <w:t>边坡失稳（滑坡）、爆破伤害、高处坠落、机械伤害、车辆伤害、触电及边坡滑坡、坍塌及泥石流</w:t>
      </w:r>
      <w:r>
        <w:rPr>
          <w:rFonts w:hint="default" w:ascii="Times New Roman" w:hAnsi="Times New Roman" w:eastAsia="宋体" w:cs="Times New Roman"/>
          <w:sz w:val="28"/>
          <w:szCs w:val="28"/>
        </w:rPr>
        <w:t>。</w:t>
      </w:r>
    </w:p>
    <w:p w14:paraId="672BB1F1">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437" w:name="_Toc12916"/>
      <w:bookmarkStart w:id="438" w:name="_Toc2858"/>
      <w:bookmarkStart w:id="439" w:name="_Toc115120696"/>
      <w:bookmarkStart w:id="440" w:name="_Toc25732"/>
      <w:bookmarkStart w:id="441" w:name="_Toc115120302"/>
      <w:bookmarkStart w:id="442" w:name="_Toc12648"/>
      <w:bookmarkStart w:id="443" w:name="_Toc242849829"/>
      <w:bookmarkStart w:id="444" w:name="_Toc25494"/>
      <w:bookmarkStart w:id="445" w:name="_Toc22626"/>
      <w:bookmarkStart w:id="446" w:name="_Toc115141973"/>
      <w:bookmarkStart w:id="447" w:name="_Toc226963217"/>
      <w:r>
        <w:rPr>
          <w:rFonts w:hint="default" w:ascii="Times New Roman" w:hAnsi="Times New Roman" w:eastAsia="宋体" w:cs="Times New Roman"/>
          <w:sz w:val="30"/>
          <w:szCs w:val="30"/>
        </w:rPr>
        <w:t>5.3该项目应重视的安全对策措施建议</w:t>
      </w:r>
      <w:bookmarkEnd w:id="437"/>
      <w:bookmarkEnd w:id="438"/>
      <w:bookmarkEnd w:id="439"/>
      <w:bookmarkEnd w:id="440"/>
      <w:bookmarkEnd w:id="441"/>
      <w:bookmarkEnd w:id="442"/>
      <w:bookmarkEnd w:id="443"/>
      <w:bookmarkEnd w:id="444"/>
      <w:bookmarkEnd w:id="445"/>
      <w:bookmarkEnd w:id="446"/>
      <w:bookmarkEnd w:id="447"/>
    </w:p>
    <w:p w14:paraId="3A7AE81E">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矿山西南侧临时工棚、破碎站及工业场地位于矿区范围之内，处于300m爆破警戒范围内，下一步设计应进一步完善爆破作业应采取的安全措施，矿山在进行爆破作业时撤出附近人员，并对300m爆破警戒范围内的建（构）筑物采取相应的安全措施。</w:t>
      </w:r>
    </w:p>
    <w:p w14:paraId="07620D04">
      <w:pPr>
        <w:widowControl/>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（2）矿区西南侧354m处35KV高压线，矿山已经取得昭通供电局同意，高压线200m范围外允许爆破，进行爆破作业时应采取可靠的安全防范措施，以免引起线路故障或其他安全事故。</w:t>
      </w:r>
    </w:p>
    <w:p w14:paraId="00F05ADF">
      <w:pPr>
        <w:adjustRightInd w:val="0"/>
        <w:snapToGrid w:val="0"/>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（3）矿山</w:t>
      </w:r>
      <w:r>
        <w:rPr>
          <w:rFonts w:hint="eastAsia" w:ascii="Times New Roman" w:hAnsi="Times New Roman" w:eastAsia="宋体" w:cs="Times New Roman"/>
          <w:sz w:val="28"/>
          <w:szCs w:val="28"/>
          <w:lang w:val="en-US" w:eastAsia="zh-CN"/>
        </w:rPr>
        <w:t>采空区</w:t>
      </w:r>
      <w:r>
        <w:rPr>
          <w:rFonts w:hint="default" w:ascii="Times New Roman" w:hAnsi="Times New Roman" w:eastAsia="宋体" w:cs="Times New Roman"/>
          <w:sz w:val="28"/>
          <w:szCs w:val="28"/>
        </w:rPr>
        <w:t>现状边坡</w:t>
      </w:r>
      <w:r>
        <w:rPr>
          <w:rFonts w:hint="eastAsia" w:ascii="Times New Roman" w:hAnsi="Times New Roman" w:eastAsia="宋体" w:cs="Times New Roman"/>
          <w:sz w:val="28"/>
          <w:szCs w:val="28"/>
          <w:lang w:val="en-US" w:eastAsia="zh-CN"/>
        </w:rPr>
        <w:t>存在过高过</w:t>
      </w:r>
      <w:r>
        <w:rPr>
          <w:rFonts w:hint="eastAsia" w:ascii="Times New Roman" w:hAnsi="Times New Roman" w:eastAsia="宋体" w:cs="Times New Roman"/>
          <w:sz w:val="28"/>
          <w:szCs w:val="28"/>
          <w:lang w:val="en-US" w:eastAsia="zh-CN"/>
        </w:rPr>
        <w:t>陡</w:t>
      </w:r>
      <w:r>
        <w:rPr>
          <w:rFonts w:hint="eastAsia" w:ascii="Times New Roman" w:hAnsi="Times New Roman" w:eastAsia="宋体" w:cs="Times New Roman"/>
          <w:sz w:val="28"/>
          <w:szCs w:val="28"/>
          <w:lang w:val="en-US" w:eastAsia="zh-CN"/>
        </w:rPr>
        <w:t>情况，下一步</w:t>
      </w:r>
      <w:r>
        <w:rPr>
          <w:rFonts w:hint="default" w:ascii="Times New Roman" w:hAnsi="Times New Roman" w:eastAsia="宋体" w:cs="Times New Roman"/>
          <w:sz w:val="28"/>
          <w:szCs w:val="28"/>
        </w:rPr>
        <w:t>安全设施设计应</w:t>
      </w:r>
      <w:r>
        <w:rPr>
          <w:rFonts w:hint="eastAsia" w:ascii="Times New Roman" w:hAnsi="Times New Roman" w:eastAsia="宋体" w:cs="Times New Roman"/>
          <w:sz w:val="28"/>
          <w:szCs w:val="28"/>
          <w:lang w:val="en-US" w:eastAsia="zh-CN"/>
        </w:rPr>
        <w:t>进行</w:t>
      </w:r>
      <w:r>
        <w:rPr>
          <w:rFonts w:hint="default" w:ascii="Times New Roman" w:hAnsi="Times New Roman" w:eastAsia="宋体" w:cs="Times New Roman"/>
          <w:sz w:val="28"/>
          <w:szCs w:val="28"/>
        </w:rPr>
        <w:t>削坡减载</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人工加固等相关措施</w:t>
      </w:r>
      <w:r>
        <w:rPr>
          <w:rFonts w:hint="default" w:ascii="Times New Roman" w:hAnsi="Times New Roman" w:eastAsia="宋体" w:cs="Times New Roman"/>
          <w:sz w:val="28"/>
          <w:szCs w:val="28"/>
        </w:rPr>
        <w:t>，消除重大隐患</w:t>
      </w:r>
      <w:r>
        <w:rPr>
          <w:rFonts w:hint="eastAsia" w:ascii="Times New Roman" w:hAnsi="Times New Roman" w:eastAsia="宋体" w:cs="Times New Roman"/>
          <w:sz w:val="28"/>
          <w:szCs w:val="28"/>
          <w:lang w:val="en-US" w:eastAsia="zh-CN"/>
        </w:rPr>
        <w:t>后</w:t>
      </w:r>
      <w:r>
        <w:rPr>
          <w:rFonts w:hint="default" w:ascii="Times New Roman" w:hAnsi="Times New Roman" w:eastAsia="宋体" w:cs="Times New Roman"/>
          <w:sz w:val="28"/>
          <w:szCs w:val="28"/>
        </w:rPr>
        <w:t>方可开展本期矿山</w:t>
      </w:r>
      <w:r>
        <w:rPr>
          <w:rFonts w:hint="eastAsia" w:ascii="Times New Roman" w:hAnsi="Times New Roman" w:eastAsia="宋体" w:cs="Times New Roman"/>
          <w:sz w:val="28"/>
          <w:szCs w:val="28"/>
          <w:lang w:val="en-US" w:eastAsia="zh-CN"/>
        </w:rPr>
        <w:t>生产活动。</w:t>
      </w:r>
    </w:p>
    <w:p w14:paraId="1D648D79">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4</w:t>
      </w:r>
      <w:r>
        <w:rPr>
          <w:rFonts w:hint="eastAsia" w:ascii="Times New Roman" w:hAnsi="Times New Roman" w:eastAsia="宋体" w:cs="Times New Roman"/>
          <w:sz w:val="28"/>
          <w:szCs w:val="28"/>
          <w:lang w:eastAsia="zh-CN"/>
        </w:rPr>
        <w:t>）</w:t>
      </w:r>
      <w:r>
        <w:rPr>
          <w:rFonts w:hint="default" w:ascii="Times New Roman" w:hAnsi="Times New Roman" w:eastAsia="宋体" w:cs="Times New Roman"/>
          <w:sz w:val="28"/>
          <w:szCs w:val="28"/>
        </w:rPr>
        <w:t>矿区南侧100m处省道，位于爆破警戒范围之内，应当设置警戒岗哨，矿山爆破时，在乡道爆破境界范围之外设卡，禁止人员和车辆进入爆破境界范围之内，待爆破结束接触警戒，方可通行。对道路进行保护，并在矿山每次爆破时应对爆区采取覆盖措施（如橡胶防护垫、铁丝网工业毯垫、帆布、草垫子等），防止爆破飞石危及高压线道路安全。</w:t>
      </w:r>
    </w:p>
    <w:p w14:paraId="6640847E">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lang w:val="en-GB"/>
        </w:rPr>
        <w:tab/>
      </w:r>
      <w:r>
        <w:rPr>
          <w:rFonts w:hint="default" w:ascii="Times New Roman" w:hAnsi="Times New Roman" w:eastAsia="宋体" w:cs="Times New Roman"/>
          <w:sz w:val="28"/>
          <w:szCs w:val="28"/>
          <w:lang w:val="zh-CN"/>
        </w:rPr>
        <w:t>《云南省巧家县老店镇独梨树采石场10万t/a露天采场工程初步设计</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lang w:val="zh-CN"/>
        </w:rPr>
        <w:t>代可研）》</w:t>
      </w:r>
      <w:r>
        <w:rPr>
          <w:rFonts w:hint="default" w:ascii="Times New Roman" w:hAnsi="Times New Roman" w:eastAsia="宋体" w:cs="Times New Roman"/>
          <w:sz w:val="28"/>
          <w:szCs w:val="28"/>
          <w:lang w:val="en-GB"/>
        </w:rPr>
        <w:t>文本未补充对接矿平台的防滚石挡墙进行介绍，应在下一步安全设施设计中补充及完善其他安全管理措施。</w:t>
      </w:r>
    </w:p>
    <w:p w14:paraId="36D383C1">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lang w:val="en-GB"/>
        </w:rPr>
        <w:t>）设计中对人工及在线监测未有具体描述，根据《金属非金属矿山安全规程》《国家矿山安全监察局关于印发〈金属非金属矿山重大事故隐患判定标准〉的通知》及现有边坡的高陡情况，需要在下一步安全设施设计中补充在线监测布置情况。</w:t>
      </w:r>
    </w:p>
    <w:p w14:paraId="524CDD75">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对于</w:t>
      </w:r>
      <w:r>
        <w:rPr>
          <w:rFonts w:hint="default" w:ascii="Times New Roman" w:hAnsi="Times New Roman" w:eastAsia="宋体" w:cs="Times New Roman"/>
          <w:sz w:val="28"/>
          <w:szCs w:val="28"/>
          <w:lang w:val="en-GB"/>
        </w:rPr>
        <w:t>采石场周边300米范围内存在生产生活设施的，建议安全设施设计中应根据《小型露天采石场安全管理与监督检查规定》的规定，对周边300米范围内的生产生活设施给予合理的解决方案，以保证项目合法合规建设和生产。</w:t>
      </w:r>
    </w:p>
    <w:p w14:paraId="175F981D">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8</w:t>
      </w:r>
      <w:r>
        <w:rPr>
          <w:rFonts w:hint="default" w:ascii="Times New Roman" w:hAnsi="Times New Roman" w:eastAsia="宋体" w:cs="Times New Roman"/>
          <w:sz w:val="28"/>
          <w:szCs w:val="28"/>
          <w:lang w:val="en-GB"/>
        </w:rPr>
        <w:t>）</w:t>
      </w:r>
      <w:r>
        <w:rPr>
          <w:rFonts w:hint="default" w:ascii="Times New Roman" w:hAnsi="Times New Roman" w:eastAsia="宋体" w:cs="Times New Roman"/>
          <w:color w:val="000000"/>
          <w:sz w:val="28"/>
          <w:szCs w:val="28"/>
        </w:rPr>
        <w:t>下一步安全设施设计应</w:t>
      </w:r>
      <w:r>
        <w:rPr>
          <w:rFonts w:hint="eastAsia" w:ascii="Times New Roman" w:hAnsi="Times New Roman" w:eastAsia="宋体" w:cs="Times New Roman"/>
          <w:color w:val="000000"/>
          <w:sz w:val="28"/>
          <w:szCs w:val="28"/>
          <w:lang w:val="en-US" w:eastAsia="zh-CN"/>
        </w:rPr>
        <w:t>参考</w:t>
      </w:r>
      <w:r>
        <w:rPr>
          <w:rFonts w:hint="eastAsia" w:ascii="Times New Roman" w:hAnsi="Times New Roman" w:eastAsia="宋体" w:cs="Times New Roman"/>
          <w:color w:val="000000"/>
          <w:sz w:val="28"/>
          <w:szCs w:val="28"/>
          <w:lang w:eastAsia="zh-CN"/>
        </w:rPr>
        <w:t>《金属非金属矿山排土场安全生产规则》（AQ 2005-2005）按永久排土场</w:t>
      </w:r>
      <w:r>
        <w:rPr>
          <w:rFonts w:hint="eastAsia" w:ascii="Times New Roman" w:hAnsi="Times New Roman" w:eastAsia="宋体" w:cs="Times New Roman"/>
          <w:color w:val="000000"/>
          <w:sz w:val="28"/>
          <w:szCs w:val="28"/>
          <w:lang w:val="en-US" w:eastAsia="zh-CN"/>
        </w:rPr>
        <w:t>进行</w:t>
      </w:r>
      <w:r>
        <w:rPr>
          <w:rFonts w:hint="eastAsia" w:ascii="Times New Roman" w:hAnsi="Times New Roman" w:eastAsia="宋体" w:cs="Times New Roman"/>
          <w:color w:val="000000"/>
          <w:sz w:val="28"/>
          <w:szCs w:val="28"/>
          <w:lang w:eastAsia="zh-CN"/>
        </w:rPr>
        <w:t>管理。</w:t>
      </w:r>
    </w:p>
    <w:p w14:paraId="73EB25F4">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eastAsia" w:ascii="Times New Roman" w:hAnsi="Times New Roman" w:eastAsia="宋体" w:cs="Times New Roman"/>
          <w:sz w:val="28"/>
          <w:szCs w:val="28"/>
          <w:lang w:val="zh-CN"/>
        </w:rPr>
        <w:t>（</w:t>
      </w:r>
      <w:r>
        <w:rPr>
          <w:rFonts w:hint="eastAsia" w:ascii="Times New Roman" w:hAnsi="Times New Roman" w:eastAsia="宋体" w:cs="Times New Roman"/>
          <w:sz w:val="28"/>
          <w:szCs w:val="28"/>
          <w:lang w:val="en-US" w:eastAsia="zh-CN"/>
        </w:rPr>
        <w:t>9</w:t>
      </w:r>
      <w:r>
        <w:rPr>
          <w:rFonts w:hint="eastAsia" w:ascii="Times New Roman" w:hAnsi="Times New Roman" w:eastAsia="宋体" w:cs="Times New Roman"/>
          <w:sz w:val="28"/>
          <w:szCs w:val="28"/>
          <w:lang w:val="zh-CN"/>
        </w:rPr>
        <w:t>）</w:t>
      </w:r>
      <w:r>
        <w:rPr>
          <w:rFonts w:hint="default" w:ascii="Times New Roman" w:hAnsi="Times New Roman" w:eastAsia="宋体" w:cs="Times New Roman"/>
          <w:sz w:val="28"/>
          <w:szCs w:val="28"/>
          <w:lang w:val="zh-CN"/>
        </w:rPr>
        <w:t>《云南省巧家县老店镇独梨树采石场10万t/a露天采场工程初步设计</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lang w:val="zh-CN"/>
        </w:rPr>
        <w:t>代可研）》</w:t>
      </w:r>
      <w:r>
        <w:rPr>
          <w:rFonts w:hint="default" w:ascii="Times New Roman" w:hAnsi="Times New Roman" w:eastAsia="宋体" w:cs="Times New Roman"/>
          <w:sz w:val="28"/>
          <w:szCs w:val="28"/>
          <w:lang w:val="en-GB"/>
        </w:rPr>
        <w:t>文本未补充对</w:t>
      </w:r>
      <w:r>
        <w:rPr>
          <w:rFonts w:hint="default" w:ascii="Times New Roman" w:hAnsi="Times New Roman" w:eastAsia="宋体" w:cs="Times New Roman"/>
          <w:sz w:val="28"/>
          <w:szCs w:val="28"/>
        </w:rPr>
        <w:t>临时排土场</w:t>
      </w:r>
      <w:r>
        <w:rPr>
          <w:rFonts w:hint="default" w:ascii="Times New Roman" w:hAnsi="Times New Roman" w:eastAsia="宋体" w:cs="Times New Roman"/>
          <w:sz w:val="28"/>
          <w:szCs w:val="28"/>
          <w:lang w:val="en-GB"/>
        </w:rPr>
        <w:t>截洪和排水设施进行介绍，应在下一步安全设施设计中补充及完善</w:t>
      </w:r>
      <w:r>
        <w:rPr>
          <w:rFonts w:hint="default" w:ascii="Times New Roman" w:hAnsi="Times New Roman" w:eastAsia="宋体" w:cs="Times New Roman"/>
          <w:sz w:val="28"/>
          <w:szCs w:val="28"/>
        </w:rPr>
        <w:t>并增加相应图纸</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lang w:val="en-GB"/>
        </w:rPr>
        <w:tab/>
      </w:r>
    </w:p>
    <w:p w14:paraId="46BEE8EF">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10</w:t>
      </w:r>
      <w:r>
        <w:rPr>
          <w:rFonts w:hint="default" w:ascii="Times New Roman" w:hAnsi="Times New Roman" w:eastAsia="宋体" w:cs="Times New Roman"/>
          <w:sz w:val="28"/>
          <w:szCs w:val="28"/>
          <w:lang w:val="en-GB"/>
        </w:rPr>
        <w:t>）矿山应对易产生崩落、掉块的部位需重点防护，对过往行人车辆会构成威胁，应完善边坡截排水设施，定期进行巡查，发现浮石、开裂等隐患，及时处理。</w:t>
      </w:r>
    </w:p>
    <w:p w14:paraId="597B6DD8">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eastAsia" w:ascii="Times New Roman" w:hAnsi="Times New Roman" w:eastAsia="宋体" w:cs="Times New Roman"/>
          <w:sz w:val="28"/>
          <w:szCs w:val="28"/>
          <w:lang w:val="en-US" w:eastAsia="zh-CN"/>
        </w:rPr>
        <w:t>11</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在下一步设计中补充禁采区描述，并在相关图纸中补充禁采区。</w:t>
      </w:r>
    </w:p>
    <w:p w14:paraId="7560113F">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12</w:t>
      </w:r>
      <w:r>
        <w:rPr>
          <w:rFonts w:hint="default" w:ascii="Times New Roman" w:hAnsi="Times New Roman" w:eastAsia="宋体" w:cs="Times New Roman"/>
          <w:sz w:val="28"/>
          <w:szCs w:val="28"/>
        </w:rPr>
        <w:t>）下一步安全设施设计应进一步完善矿山供配电设施应配备的安全设施。</w:t>
      </w:r>
    </w:p>
    <w:p w14:paraId="6A5CB88D">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13</w:t>
      </w:r>
      <w:r>
        <w:rPr>
          <w:rFonts w:hint="default" w:ascii="Times New Roman" w:hAnsi="Times New Roman" w:eastAsia="宋体" w:cs="Times New Roman"/>
          <w:sz w:val="28"/>
          <w:szCs w:val="28"/>
        </w:rPr>
        <w:t>）下一步安全设施设计中应明确配备地质，测量，采矿等工程技术人员的情况。</w:t>
      </w:r>
    </w:p>
    <w:p w14:paraId="5734E12F">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1</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en-GB"/>
        </w:rPr>
        <w:t>）矿山应当建立安全风险分级管控制度，按照安全风险分级采取相应的管控措施。</w:t>
      </w:r>
    </w:p>
    <w:p w14:paraId="11471AE0">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lang w:val="en-GB"/>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7923D3C3">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lang w:val="en-GB"/>
        </w:rPr>
        <w:t>）应增设专人对采场边坡进行检查、监测，发现可疑情况须及时解决，建立健全边坡管理和检查制度，台账记录及时更新。</w:t>
      </w:r>
    </w:p>
    <w:p w14:paraId="0AF1EE97">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lang w:val="en-GB"/>
        </w:rPr>
        <w:t>）雨季时应加强边坡的观测、监测，防止发生滑坡、坍塌等安全事故，暴雨过后，应先对边坡进行仔细检查，确认安全后，方可开展其他工作。</w:t>
      </w:r>
    </w:p>
    <w:p w14:paraId="4959C36A">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1</w:t>
      </w:r>
      <w:r>
        <w:rPr>
          <w:rFonts w:hint="eastAsia" w:ascii="Times New Roman" w:hAnsi="Times New Roman" w:eastAsia="宋体" w:cs="Times New Roman"/>
          <w:sz w:val="28"/>
          <w:szCs w:val="28"/>
          <w:lang w:val="en-US" w:eastAsia="zh-CN"/>
        </w:rPr>
        <w:t>8</w:t>
      </w:r>
      <w:r>
        <w:rPr>
          <w:rFonts w:hint="default" w:ascii="Times New Roman" w:hAnsi="Times New Roman" w:eastAsia="宋体" w:cs="Times New Roman"/>
          <w:sz w:val="28"/>
          <w:szCs w:val="28"/>
          <w:lang w:val="en-GB"/>
        </w:rPr>
        <w:t>）矿山应当成立矿山救护组织，明确矿山应急指挥机构及成员和矿山救护队人员，配备相应矿山救援设备和器材。</w:t>
      </w:r>
    </w:p>
    <w:p w14:paraId="0BC8BC68">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448" w:name="_Toc23029"/>
      <w:bookmarkStart w:id="449" w:name="_Toc21179"/>
      <w:bookmarkStart w:id="450" w:name="_Toc13985"/>
      <w:bookmarkStart w:id="451" w:name="_Toc5782"/>
      <w:bookmarkStart w:id="452" w:name="_Toc4378"/>
      <w:r>
        <w:rPr>
          <w:rFonts w:hint="default" w:ascii="Times New Roman" w:hAnsi="Times New Roman" w:eastAsia="宋体" w:cs="Times New Roman"/>
          <w:sz w:val="30"/>
          <w:szCs w:val="30"/>
        </w:rPr>
        <w:t>5.4评价结果综述</w:t>
      </w:r>
      <w:bookmarkEnd w:id="448"/>
      <w:bookmarkEnd w:id="449"/>
      <w:bookmarkEnd w:id="450"/>
      <w:bookmarkEnd w:id="451"/>
      <w:bookmarkEnd w:id="452"/>
    </w:p>
    <w:p w14:paraId="68E13BA4">
      <w:pPr>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辽宁诺诚安全科技有限公司本着合法性、科学性、公正性、针对性的评价原则及对工作高度负责的态度，根据《安全生产许可证条例》《非煤矿矿山企业安全生产许可证实施办法》和《建设项目安全设施“三同时”监督管理办法》的规定，受企业委托，依据《中华人民共和国安全生产法》《中华人民共和国矿山安全法》《金属非金属矿山安全规程》等国家和地方法律法规、标准、规范及政策文件的要求，对该项目初步设计报告中设计方案所涉及的厂址选择及总平面布置、开拓运输系统、采剥工艺、</w:t>
      </w:r>
      <w:r>
        <w:rPr>
          <w:rFonts w:hint="default" w:ascii="Times New Roman" w:hAnsi="Times New Roman" w:eastAsia="宋体" w:cs="Times New Roman"/>
          <w:sz w:val="28"/>
          <w:szCs w:val="28"/>
        </w:rPr>
        <w:t>通风及供水、</w:t>
      </w:r>
      <w:r>
        <w:rPr>
          <w:rFonts w:hint="default" w:ascii="Times New Roman" w:hAnsi="Times New Roman" w:eastAsia="宋体" w:cs="Times New Roman"/>
          <w:sz w:val="28"/>
          <w:szCs w:val="28"/>
          <w:lang w:val="en-GB"/>
        </w:rPr>
        <w:t>矿山防尘、矿山</w:t>
      </w:r>
      <w:r>
        <w:rPr>
          <w:rFonts w:hint="default" w:ascii="Times New Roman" w:hAnsi="Times New Roman" w:eastAsia="宋体" w:cs="Times New Roman"/>
          <w:sz w:val="28"/>
          <w:szCs w:val="28"/>
        </w:rPr>
        <w:t>供配电</w:t>
      </w:r>
      <w:r>
        <w:rPr>
          <w:rFonts w:hint="default" w:ascii="Times New Roman" w:hAnsi="Times New Roman" w:eastAsia="宋体" w:cs="Times New Roman"/>
          <w:sz w:val="28"/>
          <w:szCs w:val="28"/>
          <w:lang w:val="en-GB"/>
        </w:rPr>
        <w:t>、防排水及防灭火</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lang w:val="en-GB"/>
        </w:rPr>
        <w:t>安全管理等进行了安全预评价。</w:t>
      </w:r>
    </w:p>
    <w:p w14:paraId="5BE0BC26">
      <w:pPr>
        <w:pStyle w:val="3"/>
        <w:adjustRightInd w:val="0"/>
        <w:snapToGrid w:val="0"/>
        <w:spacing w:before="0" w:after="0" w:line="360" w:lineRule="auto"/>
        <w:jc w:val="center"/>
        <w:rPr>
          <w:rFonts w:hint="default" w:ascii="Times New Roman" w:hAnsi="Times New Roman" w:eastAsia="宋体" w:cs="Times New Roman"/>
          <w:sz w:val="30"/>
          <w:szCs w:val="30"/>
        </w:rPr>
      </w:pPr>
      <w:bookmarkStart w:id="453" w:name="_Toc8876"/>
      <w:bookmarkStart w:id="454" w:name="_Toc115120697"/>
      <w:bookmarkStart w:id="455" w:name="_Toc226963218"/>
      <w:bookmarkStart w:id="456" w:name="_Toc5022"/>
      <w:bookmarkStart w:id="457" w:name="_Toc17326"/>
      <w:bookmarkStart w:id="458" w:name="_Toc4543"/>
      <w:bookmarkStart w:id="459" w:name="_Toc9420"/>
      <w:bookmarkStart w:id="460" w:name="_Toc13913"/>
      <w:bookmarkStart w:id="461" w:name="_Toc115141974"/>
      <w:bookmarkStart w:id="462" w:name="_Toc115120303"/>
      <w:bookmarkStart w:id="463" w:name="_Toc242849830"/>
      <w:r>
        <w:rPr>
          <w:rFonts w:hint="default" w:ascii="Times New Roman" w:hAnsi="Times New Roman" w:eastAsia="宋体" w:cs="Times New Roman"/>
          <w:sz w:val="30"/>
          <w:szCs w:val="30"/>
        </w:rPr>
        <w:t>5.5安全预评价结论</w:t>
      </w:r>
      <w:bookmarkEnd w:id="453"/>
      <w:bookmarkEnd w:id="454"/>
      <w:bookmarkEnd w:id="455"/>
      <w:bookmarkEnd w:id="456"/>
      <w:bookmarkEnd w:id="457"/>
      <w:bookmarkEnd w:id="458"/>
      <w:bookmarkEnd w:id="459"/>
      <w:bookmarkEnd w:id="460"/>
      <w:bookmarkEnd w:id="461"/>
      <w:bookmarkEnd w:id="462"/>
      <w:bookmarkEnd w:id="463"/>
    </w:p>
    <w:p w14:paraId="07FBA8A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评价组根据对评价项目的现场调查和相关资料的分析，完成了项目主要危险、有害因素的辨识和分析，对项目进行了较为科学合理的单元划分，并按照所选择的评价方法，对项目中存在的危险、有害因素进行了全面的定性评价，提出了合理可行的安全对策措施。</w:t>
      </w:r>
    </w:p>
    <w:p w14:paraId="3C81C5C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按照评价要求和各单元的分析评价结论，对云南省巧家县老店镇独梨树采石场10万t/a露天采场工程建设项目形成以下预评价结论：</w:t>
      </w:r>
    </w:p>
    <w:p w14:paraId="701D8BE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（1）云南省巧家县老店镇独梨树采石场10万t/a露天采场工程建设项目证照齐全、有效，建设项目建设程序合法。</w:t>
      </w:r>
    </w:p>
    <w:p w14:paraId="5B5038E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（2）云南省巧家县老店镇独梨树采石场10万t/a露天采场工程建设项目的选址合理，符合有关法律法规、标准和规程的规定。</w:t>
      </w:r>
    </w:p>
    <w:p w14:paraId="221B35C3">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（3）《云南省巧家县老店镇独梨树采石场10万t/a露天采场工程（代可研）》方案中的工艺设计总体上符合《金属非金属矿山安全规程》(GB16423-2020）等法规的有关规定，露天开采各工艺参数符合相关规范要求。</w:t>
      </w:r>
    </w:p>
    <w:p w14:paraId="6DDF2D2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项目中虽然存在滚石、边坡失稳、滑坡、泥石流、爆破伤害、物体打击、高处坠落、车辆伤害、机械伤害、容器爆炸、火灾、触电、粉尘、其他伤害等潜在的危险和有害因素，但在项目建设施工和生产过程中，通过落实设计方案中的安全对策措施和本次安全预评价报告补充的安全对策措施，切实针对项目中危险、有害因素对设计和生产设施进一步优化和完善，认真落实国家相关安全生产的法规、标准、规程、规范，加强事故预防和安全管理工作，即可为满足该项目安全生产的要求奠定基础，该项目潜在的危险、有害因素能得到控制，在可接受的范围内。</w:t>
      </w:r>
    </w:p>
    <w:p w14:paraId="709BCD5A">
      <w:pPr>
        <w:adjustRightInd w:val="0"/>
        <w:snapToGrid w:val="0"/>
        <w:spacing w:line="360" w:lineRule="auto"/>
        <w:ind w:firstLine="562" w:firstLineChars="200"/>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经评价认为：云南省巧家县老店镇独梨树采石场10万t/a露天采场工程建设方案从安全生产角度符合国家相关法律法规、规章、标准和规范的要求。</w:t>
      </w:r>
    </w:p>
    <w:p w14:paraId="084C6394">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在今后的设计、施工和生产过程中，建设单位应按有关法规和标准的要求，认真落实各项安全措施和预防手段，确保该改建项目的安全设施与主体工程同时设计、同时施工、同时投入生产和使用。根据本安全预评价报告中提出的安全对策措施，该改建项目应在下一步安全设施设计中进行完善与补充，以保证该项目建成投产后能安全运行。</w:t>
      </w:r>
    </w:p>
    <w:p w14:paraId="0BE775E1">
      <w:pPr>
        <w:adjustRightInd w:val="0"/>
        <w:snapToGrid w:val="0"/>
        <w:ind w:firstLine="560" w:firstLineChars="200"/>
        <w:rPr>
          <w:rFonts w:hint="default" w:ascii="Times New Roman" w:hAnsi="Times New Roman" w:eastAsia="宋体" w:cs="Times New Roman"/>
          <w:sz w:val="28"/>
          <w:szCs w:val="28"/>
        </w:rPr>
        <w:sectPr>
          <w:pgSz w:w="11905" w:h="16838"/>
          <w:pgMar w:top="1417" w:right="1134" w:bottom="1134" w:left="1587" w:header="850" w:footer="992" w:gutter="0"/>
          <w:cols w:space="720" w:num="1"/>
          <w:docGrid w:linePitch="332" w:charSpace="0"/>
        </w:sectPr>
      </w:pPr>
    </w:p>
    <w:p w14:paraId="14C26A33">
      <w:pPr>
        <w:pStyle w:val="2"/>
        <w:adjustRightInd w:val="0"/>
        <w:snapToGrid w:val="0"/>
        <w:spacing w:before="0" w:after="0" w:line="360" w:lineRule="auto"/>
        <w:jc w:val="center"/>
        <w:rPr>
          <w:rFonts w:hint="default" w:ascii="Times New Roman" w:hAnsi="Times New Roman" w:eastAsia="宋体" w:cs="Times New Roman"/>
          <w:sz w:val="32"/>
          <w:szCs w:val="32"/>
        </w:rPr>
      </w:pPr>
      <w:bookmarkStart w:id="464" w:name="_Toc20427"/>
      <w:bookmarkStart w:id="465" w:name="_Toc17248"/>
      <w:bookmarkStart w:id="466" w:name="_Toc1010"/>
      <w:bookmarkStart w:id="467" w:name="_Toc30075"/>
      <w:bookmarkStart w:id="468" w:name="_Toc9515"/>
      <w:bookmarkStart w:id="469" w:name="_Toc31531"/>
      <w:r>
        <w:rPr>
          <w:rFonts w:hint="default" w:ascii="Times New Roman" w:hAnsi="Times New Roman" w:eastAsia="宋体" w:cs="Times New Roman"/>
          <w:sz w:val="32"/>
          <w:szCs w:val="32"/>
        </w:rPr>
        <w:t>6.附件及附图</w:t>
      </w:r>
      <w:bookmarkEnd w:id="464"/>
      <w:bookmarkEnd w:id="465"/>
      <w:bookmarkEnd w:id="466"/>
      <w:bookmarkEnd w:id="467"/>
      <w:bookmarkEnd w:id="468"/>
      <w:bookmarkEnd w:id="469"/>
    </w:p>
    <w:p w14:paraId="68BA0F0C">
      <w:pPr>
        <w:adjustRightInd w:val="0"/>
        <w:snapToGrid w:val="0"/>
        <w:spacing w:line="360" w:lineRule="auto"/>
        <w:jc w:val="center"/>
        <w:rPr>
          <w:rFonts w:hint="default" w:ascii="Times New Roman" w:hAnsi="Times New Roman" w:eastAsia="宋体" w:cs="Times New Roman"/>
          <w:b/>
          <w:sz w:val="30"/>
          <w:szCs w:val="30"/>
          <w:lang w:val="sq-AL"/>
        </w:rPr>
      </w:pPr>
      <w:r>
        <w:rPr>
          <w:rFonts w:hint="default" w:ascii="Times New Roman" w:hAnsi="Times New Roman" w:eastAsia="宋体" w:cs="Times New Roman"/>
          <w:b/>
          <w:sz w:val="30"/>
          <w:szCs w:val="30"/>
        </w:rPr>
        <w:t>6.1</w:t>
      </w:r>
      <w:r>
        <w:rPr>
          <w:rFonts w:hint="default" w:ascii="Times New Roman" w:hAnsi="Times New Roman" w:eastAsia="宋体" w:cs="Times New Roman"/>
          <w:b/>
          <w:sz w:val="30"/>
          <w:szCs w:val="30"/>
          <w:lang w:val="sq-AL"/>
        </w:rPr>
        <w:t>附件</w:t>
      </w:r>
    </w:p>
    <w:p w14:paraId="6D1672BC">
      <w:pPr>
        <w:tabs>
          <w:tab w:val="center" w:pos="4872"/>
        </w:tabs>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附件1：安全预评价委托书</w:t>
      </w:r>
    </w:p>
    <w:p w14:paraId="1142E7B4">
      <w:pPr>
        <w:tabs>
          <w:tab w:val="center" w:pos="4872"/>
        </w:tabs>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附件2：提供材料真实性承诺书</w:t>
      </w:r>
    </w:p>
    <w:p w14:paraId="7EF2E6F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附件3：营业执照</w:t>
      </w:r>
    </w:p>
    <w:p w14:paraId="0460DA1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附件4：采矿许可证</w:t>
      </w:r>
    </w:p>
    <w:p w14:paraId="09DB6AC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附件5：投资备案证</w:t>
      </w:r>
    </w:p>
    <w:p w14:paraId="4A7F39E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附件6：电力设施保护安全协议</w:t>
      </w:r>
    </w:p>
    <w:p w14:paraId="0D74395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附件7：房屋租用协议</w:t>
      </w:r>
    </w:p>
    <w:p w14:paraId="474F346F">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附件8：关于《云南省巧家县老店镇独梨树采石场建筑石料用灰岩矿资源量核实报告（2023年）》矿产资源储量评审备案的复函（巧自然资函〔2023〕29号）；</w:t>
      </w:r>
    </w:p>
    <w:p w14:paraId="6A87CCF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附件9：关于《云南省巧家县老店镇独梨树采石场建筑石料用灰岩矿资源量核实报告（2023年）》评审意见书（云方圆中正资矿评储字〔2023〕08号）；</w:t>
      </w:r>
    </w:p>
    <w:p w14:paraId="3319115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附件10：《云南省巧家县老店镇独梨树采石场建筑石料用灰岩矿资源量核实报告（2023年）》（昭通德邦工程有限公司，2023年2月）；</w:t>
      </w:r>
    </w:p>
    <w:p w14:paraId="24ACBA79">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附件11：《云南省巧家县老店镇独梨树采石场10万t/a露天采场工程初步设计（代可研）》扉页、资质</w:t>
      </w:r>
    </w:p>
    <w:p w14:paraId="786E1EA4">
      <w:pPr>
        <w:adjustRightInd w:val="0"/>
        <w:snapToGrid w:val="0"/>
        <w:spacing w:line="360" w:lineRule="auto"/>
        <w:jc w:val="center"/>
        <w:rPr>
          <w:rFonts w:hint="default" w:ascii="Times New Roman" w:hAnsi="Times New Roman" w:eastAsia="宋体" w:cs="Times New Roman"/>
          <w:b/>
          <w:bCs/>
          <w:sz w:val="30"/>
          <w:szCs w:val="30"/>
          <w:lang w:val="sq-AL"/>
        </w:rPr>
      </w:pPr>
      <w:bookmarkStart w:id="470" w:name="_Toc329899609"/>
      <w:r>
        <w:rPr>
          <w:rFonts w:hint="default" w:ascii="Times New Roman" w:hAnsi="Times New Roman" w:eastAsia="宋体" w:cs="Times New Roman"/>
          <w:b/>
          <w:bCs/>
          <w:sz w:val="30"/>
          <w:szCs w:val="30"/>
        </w:rPr>
        <w:br w:type="page"/>
      </w:r>
      <w:r>
        <w:rPr>
          <w:rFonts w:hint="default" w:ascii="Times New Roman" w:hAnsi="Times New Roman" w:eastAsia="宋体" w:cs="Times New Roman"/>
          <w:b/>
          <w:bCs/>
          <w:sz w:val="30"/>
          <w:szCs w:val="30"/>
        </w:rPr>
        <w:t>6.2</w:t>
      </w:r>
      <w:r>
        <w:rPr>
          <w:rFonts w:hint="default" w:ascii="Times New Roman" w:hAnsi="Times New Roman" w:eastAsia="宋体" w:cs="Times New Roman"/>
          <w:b/>
          <w:bCs/>
          <w:sz w:val="30"/>
          <w:szCs w:val="30"/>
          <w:lang w:val="sq-AL"/>
        </w:rPr>
        <w:t>附图</w:t>
      </w:r>
    </w:p>
    <w:bookmarkEnd w:id="470"/>
    <w:p w14:paraId="3CC6F3A6">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附图1：地质地形及矿区范围图</w:t>
      </w:r>
    </w:p>
    <w:p w14:paraId="490CEC9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附图2：开采现状图</w:t>
      </w:r>
    </w:p>
    <w:p w14:paraId="3F5DBB6C">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附图3：总平面布置图</w:t>
      </w:r>
    </w:p>
    <w:p w14:paraId="65394B31">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附图4：开采终了图</w:t>
      </w:r>
    </w:p>
    <w:p w14:paraId="41BE3757">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附图</w:t>
      </w: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：设计剖面图</w:t>
      </w:r>
    </w:p>
    <w:p w14:paraId="6CE5C896">
      <w:pPr>
        <w:adjustRightInd w:val="0"/>
        <w:snapToGrid w:val="0"/>
        <w:spacing w:line="360" w:lineRule="auto"/>
        <w:ind w:firstLine="560" w:firstLineChars="200"/>
        <w:rPr>
          <w:rFonts w:hint="default" w:ascii="Times New Roman" w:hAnsi="Times New Roman" w:eastAsia="宋体" w:cs="Times New Roman"/>
        </w:rPr>
      </w:pPr>
      <w:r>
        <w:rPr>
          <w:rFonts w:hint="default" w:ascii="Times New Roman" w:hAnsi="Times New Roman" w:eastAsia="宋体" w:cs="Times New Roman"/>
          <w:sz w:val="28"/>
          <w:szCs w:val="28"/>
        </w:rPr>
        <w:t>附图</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：排水系统图</w:t>
      </w:r>
    </w:p>
    <w:p w14:paraId="19C1C352">
      <w:pPr>
        <w:adjustRightInd w:val="0"/>
        <w:snapToGrid w:val="0"/>
        <w:spacing w:line="360" w:lineRule="auto"/>
        <w:ind w:firstLine="420" w:firstLineChars="200"/>
        <w:rPr>
          <w:rFonts w:hint="default" w:ascii="Times New Roman" w:hAnsi="Times New Roman" w:eastAsia="宋体" w:cs="Times New Roman"/>
        </w:rPr>
      </w:pPr>
      <w:bookmarkStart w:id="471" w:name="_GoBack"/>
      <w:bookmarkEnd w:id="471"/>
    </w:p>
    <w:sectPr>
      <w:pgSz w:w="11905" w:h="16838"/>
      <w:pgMar w:top="1417" w:right="1134" w:bottom="1134" w:left="1587" w:header="850" w:footer="992" w:gutter="0"/>
      <w:cols w:space="720" w:num="1"/>
      <w:docGrid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E0002EFF" w:usb1="C000785B" w:usb2="00000009" w:usb3="00000000" w:csb0="000001FF" w:csb1="00000000"/>
  </w:font>
  <w:font w:name="仿宋_GB2312">
    <w:altName w:val="仿宋"/>
    <w:panose1 w:val="02010609030101010101"/>
    <w:charset w:val="86"/>
    <w:family w:val="modern"/>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serif">
    <w:altName w:val="微软雅黑"/>
    <w:panose1 w:val="00000000000000000000"/>
    <w:charset w:val="00"/>
    <w:family w:val="auto"/>
    <w:pitch w:val="default"/>
    <w:sig w:usb0="00000000" w:usb1="00000000" w:usb2="00000000" w:usb3="00000000" w:csb0="00040001" w:csb1="00000000"/>
  </w:font>
  <w:font w:name="MingLiU">
    <w:altName w:val="PMingLiU-ExtB"/>
    <w:panose1 w:val="02010609000101010101"/>
    <w:charset w:val="88"/>
    <w:family w:val="modern"/>
    <w:pitch w:val="default"/>
    <w:sig w:usb0="A00002FF" w:usb1="28CFFCFA" w:usb2="00000016" w:usb3="00000000" w:csb0="00100001" w:csb1="00000000"/>
  </w:font>
  <w:font w:name="Arial Narrow">
    <w:panose1 w:val="020B0606020202030204"/>
    <w:charset w:val="00"/>
    <w:family w:val="swiss"/>
    <w:pitch w:val="default"/>
    <w:sig w:usb0="00000287" w:usb1="00000800" w:usb2="00000000" w:usb3="00000000" w:csb0="2000009F" w:csb1="DFD70000"/>
  </w:font>
  <w:font w:name="Arial Unicode MS">
    <w:altName w:val="宋体"/>
    <w:panose1 w:val="020B0604020202020204"/>
    <w:charset w:val="86"/>
    <w:family w:val="roman"/>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Cambria Math">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7D586">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65530" cy="27876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065530" cy="278765"/>
                      </a:xfrm>
                      <a:prstGeom prst="rect">
                        <a:avLst/>
                      </a:prstGeom>
                      <a:noFill/>
                      <a:ln>
                        <a:noFill/>
                      </a:ln>
                      <a:effectLst/>
                    </wps:spPr>
                    <wps:txbx>
                      <w:txbxContent>
                        <w:p w14:paraId="39A35D29">
                          <w:pPr>
                            <w:pStyle w:val="18"/>
                          </w:pP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1.95pt;width:83.9pt;mso-position-horizontal:center;mso-position-horizontal-relative:margin;mso-wrap-style:none;z-index:251659264;mso-width-relative:page;mso-height-relative:page;" filled="f" stroked="f" coordsize="21600,21600" o:gfxdata="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V0V1U0gAAAAQBAAAPAAAAAAAAAAEAIAAAACIAAABk&#10;cnMvZG93bnJldi54bWxQSwECFAAUAAAACACHTuJAmj6xhdMBAACoAwAADgAAAAAAAAABACAAAAAh&#10;AQAAZHJzL2Uyb0RvYy54bWxQSwUGAAAAAAYABgBZAQAAZgUAAAAA&#10;">
              <v:fill on="f" focussize="0,0"/>
              <v:stroke on="f"/>
              <v:imagedata o:title=""/>
              <o:lock v:ext="edit" aspectratio="f"/>
              <v:textbox inset="0mm,0mm,0mm,0mm" style="mso-fit-shape-to-text:t;">
                <w:txbxContent>
                  <w:p w14:paraId="39A35D29">
                    <w:pPr>
                      <w:pStyle w:val="18"/>
                    </w:pP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135F1">
    <w:pPr>
      <w:pStyle w:val="18"/>
      <w:pBdr>
        <w:top w:val="single" w:color="auto" w:sz="4" w:space="1"/>
        <w:left w:val="none" w:color="auto" w:sz="0" w:space="4"/>
        <w:bottom w:val="none" w:color="auto" w:sz="0" w:space="1"/>
        <w:right w:val="none" w:color="auto" w:sz="0" w:space="4"/>
      </w:pBdr>
      <w:ind w:firstLine="180" w:firstLineChars="100"/>
      <w:jc w:val="both"/>
    </w:pPr>
    <w:r>
      <w:rPr>
        <w:rFonts w:hint="eastAsia"/>
      </w:rPr>
      <w:drawing>
        <wp:inline distT="0" distB="0" distL="114300" distR="114300">
          <wp:extent cx="363855" cy="136525"/>
          <wp:effectExtent l="0" t="0" r="0" b="15875"/>
          <wp:docPr id="38" name="图片 9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2"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mc:AlternateContent>
        <mc:Choice Requires="wps">
          <w:drawing>
            <wp:anchor distT="0" distB="0" distL="114300" distR="114300" simplePos="0" relativeHeight="251666432" behindDoc="0" locked="0" layoutInCell="1" allowOverlap="1">
              <wp:simplePos x="0" y="0"/>
              <wp:positionH relativeFrom="margin">
                <wp:posOffset>5774055</wp:posOffset>
              </wp:positionH>
              <wp:positionV relativeFrom="paragraph">
                <wp:posOffset>0</wp:posOffset>
              </wp:positionV>
              <wp:extent cx="58420" cy="278765"/>
              <wp:effectExtent l="0" t="0" r="0" b="0"/>
              <wp:wrapNone/>
              <wp:docPr id="37" name="文本框 34"/>
              <wp:cNvGraphicFramePr/>
              <a:graphic xmlns:a="http://schemas.openxmlformats.org/drawingml/2006/main">
                <a:graphicData uri="http://schemas.microsoft.com/office/word/2010/wordprocessingShape">
                  <wps:wsp>
                    <wps:cNvSpPr txBox="1"/>
                    <wps:spPr>
                      <a:xfrm>
                        <a:off x="0" y="0"/>
                        <a:ext cx="58420" cy="278765"/>
                      </a:xfrm>
                      <a:prstGeom prst="rect">
                        <a:avLst/>
                      </a:prstGeom>
                      <a:noFill/>
                      <a:ln>
                        <a:noFill/>
                      </a:ln>
                    </wps:spPr>
                    <wps:txbx>
                      <w:txbxContent>
                        <w:p w14:paraId="7E6A2F05">
                          <w:pPr>
                            <w:pStyle w:val="18"/>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left:454.65pt;margin-top:0pt;height:21.95pt;width:4.6pt;mso-position-horizontal-relative:margin;mso-wrap-style:none;z-index:251666432;mso-width-relative:page;mso-height-relative:page;" filled="f" stroked="f" coordsize="21600,21600" o:gfxdata="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6VDLp1AAAAAcBAAAPAAAAAAAAAAEAIAAAACIAAABkcnMv&#10;ZG93bnJldi54bWxQSwECFAAUAAAACACHTuJAWvLmj84BAACYAwAADgAAAAAAAAABACAAAAAjAQAA&#10;ZHJzL2Uyb0RvYy54bWxQSwUGAAAAAAYABgBZAQAAYwUAAAAA&#10;">
              <v:fill on="f" focussize="0,0"/>
              <v:stroke on="f"/>
              <v:imagedata o:title=""/>
              <o:lock v:ext="edit" aspectratio="f"/>
              <v:textbox inset="0mm,0mm,0mm,0mm" style="mso-fit-shape-to-text:t;">
                <w:txbxContent>
                  <w:p w14:paraId="7E6A2F05">
                    <w:pPr>
                      <w:pStyle w:val="18"/>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v:shape>
          </w:pict>
        </mc:Fallback>
      </mc:AlternateContent>
    </w:r>
    <w:r>
      <w:rPr>
        <w:rFonts w:hint="eastAsia"/>
      </w:rPr>
      <w:t>辽宁诺诚安全科技有限公司</w:t>
    </w: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8420" cy="278765"/>
              <wp:effectExtent l="0" t="0" r="0" b="0"/>
              <wp:wrapNone/>
              <wp:docPr id="31" name="文本框 34"/>
              <wp:cNvGraphicFramePr/>
              <a:graphic xmlns:a="http://schemas.openxmlformats.org/drawingml/2006/main">
                <a:graphicData uri="http://schemas.microsoft.com/office/word/2010/wordprocessingShape">
                  <wps:wsp>
                    <wps:cNvSpPr txBox="1"/>
                    <wps:spPr>
                      <a:xfrm>
                        <a:off x="0" y="0"/>
                        <a:ext cx="58420" cy="278765"/>
                      </a:xfrm>
                      <a:prstGeom prst="rect">
                        <a:avLst/>
                      </a:prstGeom>
                      <a:noFill/>
                      <a:ln>
                        <a:noFill/>
                      </a:ln>
                    </wps:spPr>
                    <wps:txbx>
                      <w:txbxContent>
                        <w:p w14:paraId="1B460FCC">
                          <w:pPr>
                            <w:pStyle w:val="18"/>
                          </w:pPr>
                          <w:r>
                            <w:rPr>
                              <w:rFonts w:hint="eastAsia"/>
                            </w:rPr>
                            <w:fldChar w:fldCharType="begin"/>
                          </w:r>
                          <w:r>
                            <w:rPr>
                              <w:rFonts w:hint="eastAsia"/>
                            </w:rPr>
                            <w:instrText xml:space="preserve"> PAGE  \* MERGEFORMAT </w:instrText>
                          </w:r>
                          <w:r>
                            <w:rPr>
                              <w:rFonts w:hint="eastAsia"/>
                            </w:rPr>
                            <w:fldChar w:fldCharType="separate"/>
                          </w:r>
                          <w:r>
                            <w:rPr>
                              <w:lang/>
                            </w:rPr>
                            <w:t>2</w:t>
                          </w:r>
                          <w:r>
                            <w:rPr>
                              <w:rFonts w:hint="eastAsia"/>
                            </w:rP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21.95pt;width:4.6pt;mso-position-horizontal:right;mso-position-horizontal-relative:margin;mso-wrap-style:none;z-index:251660288;mso-width-relative:page;mso-height-relative:page;" filled="f" stroked="f" coordsize="21600,21600" o:gfxdata="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W+KA60QAAAAIBAAAPAAAAAAAAAAEAIAAAACIAAABkcnMvZG93&#10;bnJldi54bWxQSwECFAAUAAAACACHTuJARYP0CM4BAACYAwAADgAAAAAAAAABACAAAAAgAQAAZHJz&#10;L2Uyb0RvYy54bWxQSwUGAAAAAAYABgBZAQAAYAUAAAAA&#10;">
              <v:fill on="f" focussize="0,0"/>
              <v:stroke on="f"/>
              <v:imagedata o:title=""/>
              <o:lock v:ext="edit" aspectratio="f"/>
              <v:textbox inset="0mm,0mm,0mm,0mm" style="mso-fit-shape-to-text:t;">
                <w:txbxContent>
                  <w:p w14:paraId="1B460FCC">
                    <w:pPr>
                      <w:pStyle w:val="18"/>
                    </w:pPr>
                    <w:r>
                      <w:rPr>
                        <w:rFonts w:hint="eastAsia"/>
                      </w:rPr>
                      <w:fldChar w:fldCharType="begin"/>
                    </w:r>
                    <w:r>
                      <w:rPr>
                        <w:rFonts w:hint="eastAsia"/>
                      </w:rPr>
                      <w:instrText xml:space="preserve"> PAGE  \* MERGEFORMAT </w:instrText>
                    </w:r>
                    <w:r>
                      <w:rPr>
                        <w:rFonts w:hint="eastAsia"/>
                      </w:rPr>
                      <w:fldChar w:fldCharType="separate"/>
                    </w:r>
                    <w:r>
                      <w:rPr>
                        <w:lang/>
                      </w:rPr>
                      <w:t>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4F8B3">
    <w:pPr>
      <w:pStyle w:val="18"/>
      <w:pBdr>
        <w:top w:val="single" w:color="auto" w:sz="4" w:space="1"/>
        <w:left w:val="none" w:color="auto" w:sz="0" w:space="4"/>
        <w:bottom w:val="none" w:color="auto" w:sz="0" w:space="1"/>
        <w:right w:val="none" w:color="auto" w:sz="0" w:space="4"/>
      </w:pBdr>
      <w:ind w:firstLine="180" w:firstLineChars="100"/>
      <w:jc w:val="both"/>
    </w:pPr>
    <w:r>
      <w:rPr>
        <w:rFonts w:hint="eastAsia"/>
      </w:rPr>
      <w:drawing>
        <wp:inline distT="0" distB="0" distL="114300" distR="114300">
          <wp:extent cx="363855" cy="136525"/>
          <wp:effectExtent l="0" t="0" r="0" b="15875"/>
          <wp:docPr id="39"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4"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w:rPr>
        <w:rFonts w:hint="eastAsia"/>
      </w:rPr>
      <w:t>辽宁诺诚安全科技有限公司</w:t>
    </w: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2C1E70">
                          <w:pPr>
                            <w:pStyle w:val="18"/>
                          </w:pPr>
                          <w:r>
                            <w:rPr>
                              <w:rFonts w:hint="eastAsia"/>
                            </w:rPr>
                            <w:fldChar w:fldCharType="begin"/>
                          </w:r>
                          <w:r>
                            <w:rPr>
                              <w:rFonts w:hint="eastAsia"/>
                            </w:rPr>
                            <w:instrText xml:space="preserve"> PAGE  \* MERGEFORMAT </w:instrText>
                          </w:r>
                          <w:r>
                            <w:rPr>
                              <w:rFonts w:hint="eastAsia"/>
                            </w:rPr>
                            <w:fldChar w:fldCharType="separate"/>
                          </w:r>
                          <w:r>
                            <w:rPr>
                              <w:lang/>
                            </w:rPr>
                            <w:t>1</w:t>
                          </w:r>
                          <w:r>
                            <w:rPr>
                              <w:rFonts w:hint="eastAsia"/>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Un5z5dIBAACjAwAADgAAAAAAAAABACAAAAAfAQAA&#10;ZHJzL2Uyb0RvYy54bWxQSwUGAAAAAAYABgBZAQAAYwUAAAAA&#10;">
              <v:fill on="f" focussize="0,0"/>
              <v:stroke on="f" weight="0.5pt"/>
              <v:imagedata o:title=""/>
              <o:lock v:ext="edit" aspectratio="f"/>
              <v:textbox inset="0mm,0mm,0mm,0mm" style="mso-fit-shape-to-text:t;">
                <w:txbxContent>
                  <w:p w14:paraId="562C1E70">
                    <w:pPr>
                      <w:pStyle w:val="18"/>
                    </w:pPr>
                    <w:r>
                      <w:rPr>
                        <w:rFonts w:hint="eastAsia"/>
                      </w:rPr>
                      <w:fldChar w:fldCharType="begin"/>
                    </w:r>
                    <w:r>
                      <w:rPr>
                        <w:rFonts w:hint="eastAsia"/>
                      </w:rPr>
                      <w:instrText xml:space="preserve"> PAGE  \* MERGEFORMAT </w:instrText>
                    </w:r>
                    <w:r>
                      <w:rPr>
                        <w:rFonts w:hint="eastAsia"/>
                      </w:rPr>
                      <w:fldChar w:fldCharType="separate"/>
                    </w:r>
                    <w:r>
                      <w:rPr>
                        <w:lang/>
                      </w:rPr>
                      <w:t>1</w:t>
                    </w:r>
                    <w:r>
                      <w:rPr>
                        <w:rFonts w:hint="eastAsia"/>
                      </w:rPr>
                      <w:fldChar w:fldCharType="end"/>
                    </w:r>
                  </w:p>
                </w:txbxContent>
              </v:textbox>
            </v:shape>
          </w:pict>
        </mc:Fallback>
      </mc:AlternateContent>
    </w:r>
    <w:r>
      <w:rPr>
        <w:rFonts w:hint="eastAsia"/>
      </w:rPr>
      <w:t xml:space="preserve">                                             </w:t>
    </w:r>
    <w:r>
      <w:rPr>
        <w:rFonts w:hint="eastAsia"/>
        <w:bdr w:val="single" w:color="auto" w:sz="4" w:space="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0559">
    <w:pPr>
      <w:pStyle w:val="18"/>
      <w:pBdr>
        <w:top w:val="single" w:color="auto" w:sz="4" w:space="1"/>
        <w:left w:val="none" w:color="auto" w:sz="0" w:space="4"/>
        <w:bottom w:val="none" w:color="auto" w:sz="0" w:space="1"/>
        <w:right w:val="none" w:color="auto" w:sz="0" w:space="4"/>
      </w:pBdr>
      <w:ind w:firstLine="180" w:firstLineChars="100"/>
      <w:jc w:val="both"/>
    </w:pPr>
    <w:r>
      <w:rPr>
        <w:rFonts w:hint="eastAsia"/>
      </w:rPr>
      <w:drawing>
        <wp:inline distT="0" distB="0" distL="114300" distR="114300">
          <wp:extent cx="363855" cy="136525"/>
          <wp:effectExtent l="0" t="0" r="0" b="15875"/>
          <wp:docPr id="40"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4"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58420" cy="27876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58420" cy="278765"/>
                      </a:xfrm>
                      <a:prstGeom prst="rect">
                        <a:avLst/>
                      </a:prstGeom>
                      <a:noFill/>
                      <a:ln>
                        <a:noFill/>
                      </a:ln>
                    </wps:spPr>
                    <wps:txbx>
                      <w:txbxContent>
                        <w:p w14:paraId="31F94DAC">
                          <w:pPr>
                            <w:pStyle w:val="18"/>
                          </w:pPr>
                          <w:r>
                            <w:rPr>
                              <w:rFonts w:hint="eastAsia"/>
                            </w:rPr>
                            <w:fldChar w:fldCharType="begin"/>
                          </w:r>
                          <w:r>
                            <w:rPr>
                              <w:rFonts w:hint="eastAsia"/>
                            </w:rPr>
                            <w:instrText xml:space="preserve"> PAGE  \* MERGEFORMAT </w:instrText>
                          </w:r>
                          <w:r>
                            <w:rPr>
                              <w:rFonts w:hint="eastAsia"/>
                            </w:rPr>
                            <w:fldChar w:fldCharType="separate"/>
                          </w:r>
                          <w:r>
                            <w:rPr>
                              <w:lang/>
                            </w:rPr>
                            <w:t>I</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1.95pt;width:4.6pt;mso-position-horizontal:right;mso-position-horizontal-relative:margin;mso-wrap-style:none;z-index:251663360;mso-width-relative:page;mso-height-relative:page;" filled="f" stroked="f" coordsize="21600,21600" o:gfxdata="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b4oDrRAAAAAgEAAA8AAAAAAAAAAQAgAAAAIgAAAGRycy9kb3du&#10;cmV2LnhtbFBLAQIUABQAAAAIAIdO4kD1SdchzQEAAJgDAAAOAAAAAAAAAAEAIAAAACABAABkcnMv&#10;ZTJvRG9jLnhtbFBLBQYAAAAABgAGAFkBAABfBQAAAAA=&#10;">
              <v:fill on="f" focussize="0,0"/>
              <v:stroke on="f"/>
              <v:imagedata o:title=""/>
              <o:lock v:ext="edit" aspectratio="f"/>
              <v:textbox inset="0mm,0mm,0mm,0mm" style="mso-fit-shape-to-text:t;">
                <w:txbxContent>
                  <w:p w14:paraId="31F94DAC">
                    <w:pPr>
                      <w:pStyle w:val="18"/>
                    </w:pPr>
                    <w:r>
                      <w:rPr>
                        <w:rFonts w:hint="eastAsia"/>
                      </w:rPr>
                      <w:fldChar w:fldCharType="begin"/>
                    </w:r>
                    <w:r>
                      <w:rPr>
                        <w:rFonts w:hint="eastAsia"/>
                      </w:rPr>
                      <w:instrText xml:space="preserve"> PAGE  \* MERGEFORMAT </w:instrText>
                    </w:r>
                    <w:r>
                      <w:rPr>
                        <w:rFonts w:hint="eastAsia"/>
                      </w:rPr>
                      <w:fldChar w:fldCharType="separate"/>
                    </w:r>
                    <w:r>
                      <w:rPr>
                        <w:lang/>
                      </w:rPr>
                      <w:t>I</w:t>
                    </w:r>
                    <w:r>
                      <w:rPr>
                        <w:rFonts w:hint="eastAsia"/>
                      </w:rPr>
                      <w:fldChar w:fldCharType="end"/>
                    </w:r>
                  </w:p>
                </w:txbxContent>
              </v:textbox>
            </v:shape>
          </w:pict>
        </mc:Fallback>
      </mc:AlternateContent>
    </w:r>
    <w:r>
      <w:rPr>
        <w:rFonts w:hint="eastAsia"/>
      </w:rPr>
      <w:t>辽宁诺诚安全科技有限公司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38D98">
    <w:pPr>
      <w:pStyle w:val="18"/>
      <w:pBdr>
        <w:top w:val="single" w:color="auto" w:sz="4" w:space="1"/>
        <w:left w:val="none" w:color="auto" w:sz="0" w:space="4"/>
        <w:bottom w:val="none" w:color="auto" w:sz="0" w:space="1"/>
        <w:right w:val="none" w:color="auto" w:sz="0" w:space="4"/>
      </w:pBdr>
      <w:ind w:firstLine="360" w:firstLineChars="200"/>
      <w:jc w:val="both"/>
    </w:pPr>
    <w:r>
      <w:rPr>
        <w:rFonts w:hint="eastAsia"/>
      </w:rPr>
      <w:t>辽宁诺诚安全科技有限公司</w:t>
    </w: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3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CC2ED4A">
                          <w:pPr>
                            <w:pStyle w:val="18"/>
                          </w:pPr>
                          <w:r>
                            <w:rPr>
                              <w:rFonts w:hint="eastAsia"/>
                            </w:rPr>
                            <w:fldChar w:fldCharType="begin"/>
                          </w:r>
                          <w:r>
                            <w:rPr>
                              <w:rFonts w:hint="eastAsia"/>
                            </w:rPr>
                            <w:instrText xml:space="preserve"> PAGE  \* MERGEFORMAT </w:instrText>
                          </w:r>
                          <w:r>
                            <w:rPr>
                              <w:rFonts w:hint="eastAsia"/>
                            </w:rPr>
                            <w:fldChar w:fldCharType="separate"/>
                          </w:r>
                          <w:r>
                            <w:rPr>
                              <w:lang/>
                            </w:rPr>
                            <w:t>I</w:t>
                          </w:r>
                          <w:r>
                            <w:rPr>
                              <w:rFonts w:hint="eastAsia"/>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M1GPhrTAQAAowMAAA4AAAAAAAAAAQAgAAAAHwEA&#10;AGRycy9lMm9Eb2MueG1sUEsFBgAAAAAGAAYAWQEAAGQFAAAAAA==&#10;">
              <v:fill on="f" focussize="0,0"/>
              <v:stroke on="f" weight="0.5pt"/>
              <v:imagedata o:title=""/>
              <o:lock v:ext="edit" aspectratio="f"/>
              <v:textbox inset="0mm,0mm,0mm,0mm" style="mso-fit-shape-to-text:t;">
                <w:txbxContent>
                  <w:p w14:paraId="3CC2ED4A">
                    <w:pPr>
                      <w:pStyle w:val="18"/>
                    </w:pPr>
                    <w:r>
                      <w:rPr>
                        <w:rFonts w:hint="eastAsia"/>
                      </w:rPr>
                      <w:fldChar w:fldCharType="begin"/>
                    </w:r>
                    <w:r>
                      <w:rPr>
                        <w:rFonts w:hint="eastAsia"/>
                      </w:rPr>
                      <w:instrText xml:space="preserve"> PAGE  \* MERGEFORMAT </w:instrText>
                    </w:r>
                    <w:r>
                      <w:rPr>
                        <w:rFonts w:hint="eastAsia"/>
                      </w:rPr>
                      <w:fldChar w:fldCharType="separate"/>
                    </w:r>
                    <w:r>
                      <w:rPr>
                        <w:lang/>
                      </w:rPr>
                      <w:t>I</w:t>
                    </w:r>
                    <w:r>
                      <w:rPr>
                        <w:rFonts w:hint="eastAsia"/>
                      </w:rPr>
                      <w:fldChar w:fldCharType="end"/>
                    </w:r>
                  </w:p>
                </w:txbxContent>
              </v:textbox>
            </v:shape>
          </w:pict>
        </mc:Fallback>
      </mc:AlternateContent>
    </w:r>
    <w:r>
      <w:rPr>
        <w:rFonts w:hint="eastAsia"/>
      </w:rPr>
      <w:t xml:space="preserve">                                             </w:t>
    </w:r>
    <w:r>
      <w:rPr>
        <w:rFonts w:hint="eastAsia"/>
        <w:bdr w:val="single" w:color="auto" w:sz="4" w:space="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2801F">
    <w:pPr>
      <w:pStyle w:val="18"/>
      <w:pBdr>
        <w:top w:val="single" w:color="auto" w:sz="4" w:space="1"/>
        <w:left w:val="none" w:color="auto" w:sz="0" w:space="4"/>
        <w:bottom w:val="none" w:color="auto" w:sz="0" w:space="1"/>
        <w:right w:val="none" w:color="auto" w:sz="0" w:space="4"/>
      </w:pBdr>
      <w:ind w:firstLine="180" w:firstLineChars="100"/>
      <w:jc w:val="both"/>
    </w:pPr>
    <w:r>
      <w:rPr>
        <w:rFonts w:hint="eastAsia"/>
      </w:rPr>
      <w:drawing>
        <wp:inline distT="0" distB="0" distL="114300" distR="114300">
          <wp:extent cx="363855" cy="136525"/>
          <wp:effectExtent l="0" t="0" r="0" b="15875"/>
          <wp:docPr id="41" name="图片 14" descr="2"/>
          <wp:cNvGraphicFramePr/>
          <a:graphic xmlns:a="http://schemas.openxmlformats.org/drawingml/2006/main">
            <a:graphicData uri="http://schemas.openxmlformats.org/drawingml/2006/picture">
              <pic:pic xmlns:pic="http://schemas.openxmlformats.org/drawingml/2006/picture">
                <pic:nvPicPr>
                  <pic:cNvPr id="41" name="图片 14" descr="2"/>
                  <pic:cNvPicPr preferRelativeResize="0"/>
                </pic:nvPicPr>
                <pic:blipFill>
                  <a:blip r:embed="rId1"/>
                  <a:srcRect t="9595" b="16466"/>
                  <a:stretch>
                    <a:fillRect/>
                  </a:stretch>
                </pic:blipFill>
                <pic:spPr>
                  <a:xfrm>
                    <a:off x="0" y="0"/>
                    <a:ext cx="363855" cy="136525"/>
                  </a:xfrm>
                  <a:prstGeom prst="rect">
                    <a:avLst/>
                  </a:prstGeom>
                  <a:noFill/>
                  <a:ln>
                    <a:noFill/>
                  </a:ln>
                </pic:spPr>
              </pic:pic>
            </a:graphicData>
          </a:graphic>
        </wp:inline>
      </w:drawing>
    </w:r>
    <w:r>
      <w:rPr>
        <w:rFonts w:ascii="楷体" w:hAnsi="楷体" w:eastAsia="楷体"/>
        <w:sz w:val="21"/>
        <w:szCs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229235" cy="521335"/>
              <wp:effectExtent l="0" t="0" r="0" b="0"/>
              <wp:wrapNone/>
              <wp:docPr id="32" name="文本框 36"/>
              <wp:cNvGraphicFramePr/>
              <a:graphic xmlns:a="http://schemas.openxmlformats.org/drawingml/2006/main">
                <a:graphicData uri="http://schemas.microsoft.com/office/word/2010/wordprocessingShape">
                  <wps:wsp>
                    <wps:cNvSpPr txBox="1"/>
                    <wps:spPr>
                      <a:xfrm>
                        <a:off x="0" y="0"/>
                        <a:ext cx="229235" cy="521335"/>
                      </a:xfrm>
                      <a:prstGeom prst="rect">
                        <a:avLst/>
                      </a:prstGeom>
                      <a:noFill/>
                      <a:ln>
                        <a:noFill/>
                      </a:ln>
                    </wps:spPr>
                    <wps:txbx>
                      <w:txbxContent>
                        <w:p w14:paraId="4E446983">
                          <w:pPr>
                            <w:pStyle w:val="18"/>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lang/>
                            </w:rPr>
                            <w:t>6</w:t>
                          </w:r>
                          <w:r>
                            <w:rPr>
                              <w:rFonts w:hint="eastAsia"/>
                              <w:sz w:val="21"/>
                              <w:szCs w:val="21"/>
                            </w:rPr>
                            <w:fldChar w:fldCharType="end"/>
                          </w:r>
                        </w:p>
                      </w:txbxContent>
                    </wps:txbx>
                    <wps:bodyPr wrap="square" lIns="0" tIns="0" rIns="0" bIns="0" upright="0"/>
                  </wps:wsp>
                </a:graphicData>
              </a:graphic>
            </wp:anchor>
          </w:drawing>
        </mc:Choice>
        <mc:Fallback>
          <w:pict>
            <v:shape id="文本框 36" o:spid="_x0000_s1026" o:spt="202" type="#_x0000_t202" style="position:absolute;left:0pt;margin-top:0pt;height:41.05pt;width:18.05pt;mso-position-horizontal:right;mso-position-horizontal-relative:margin;z-index:251661312;mso-width-relative:page;mso-height-relative:page;" filled="f" stroked="f" coordsize="21600,21600" o:gfxdata="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Ou9MDTAAAAAwEAAA8AAAAAAAAAAQAgAAAAIgAAAGRycy9kb3ducmV2Lnht&#10;bFBLAQIUABQAAAAIAIdO4kBszfx7xQEAAIEDAAAOAAAAAAAAAAEAIAAAACIBAABkcnMvZTJvRG9j&#10;LnhtbFBLBQYAAAAABgAGAFkBAABZBQAAAAA=&#10;">
              <v:fill on="f" focussize="0,0"/>
              <v:stroke on="f"/>
              <v:imagedata o:title=""/>
              <o:lock v:ext="edit" aspectratio="f"/>
              <v:textbox inset="0mm,0mm,0mm,0mm">
                <w:txbxContent>
                  <w:p w14:paraId="4E446983">
                    <w:pPr>
                      <w:pStyle w:val="18"/>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lang/>
                      </w:rPr>
                      <w:t>6</w:t>
                    </w:r>
                    <w:r>
                      <w:rPr>
                        <w:rFonts w:hint="eastAsia"/>
                        <w:sz w:val="21"/>
                        <w:szCs w:val="21"/>
                      </w:rPr>
                      <w:fldChar w:fldCharType="end"/>
                    </w:r>
                  </w:p>
                </w:txbxContent>
              </v:textbox>
            </v:shape>
          </w:pict>
        </mc:Fallback>
      </mc:AlternateContent>
    </w:r>
    <w:r>
      <w:rPr>
        <w:rFonts w:hint="eastAsia" w:ascii="楷体" w:hAnsi="楷体" w:eastAsia="楷体"/>
        <w:sz w:val="21"/>
        <w:szCs w:val="21"/>
      </w:rPr>
      <w:t>辽宁诺诚安全科技有限公司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0DB10">
    <w:pPr>
      <w:pStyle w:val="18"/>
      <w:pBdr>
        <w:top w:val="single" w:color="auto" w:sz="4" w:space="1"/>
        <w:left w:val="none" w:color="auto" w:sz="0" w:space="4"/>
        <w:bottom w:val="none" w:color="auto" w:sz="0" w:space="1"/>
        <w:right w:val="none" w:color="auto" w:sz="0" w:space="4"/>
      </w:pBdr>
      <w:ind w:firstLine="180" w:firstLineChars="100"/>
      <w:jc w:val="both"/>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3515" cy="339725"/>
              <wp:effectExtent l="0" t="0" r="0" b="0"/>
              <wp:wrapNone/>
              <wp:docPr id="36" name="文本框 1"/>
              <wp:cNvGraphicFramePr/>
              <a:graphic xmlns:a="http://schemas.openxmlformats.org/drawingml/2006/main">
                <a:graphicData uri="http://schemas.microsoft.com/office/word/2010/wordprocessingShape">
                  <wps:wsp>
                    <wps:cNvSpPr txBox="1"/>
                    <wps:spPr>
                      <a:xfrm>
                        <a:off x="0" y="0"/>
                        <a:ext cx="183515" cy="339725"/>
                      </a:xfrm>
                      <a:prstGeom prst="rect">
                        <a:avLst/>
                      </a:prstGeom>
                      <a:noFill/>
                      <a:ln w="6350">
                        <a:noFill/>
                      </a:ln>
                    </wps:spPr>
                    <wps:txbx>
                      <w:txbxContent>
                        <w:p w14:paraId="2F6D54A8">
                          <w:pPr>
                            <w:pStyle w:val="18"/>
                          </w:pPr>
                          <w:r>
                            <w:rPr>
                              <w:rFonts w:hint="eastAsia"/>
                            </w:rPr>
                            <w:fldChar w:fldCharType="begin"/>
                          </w:r>
                          <w:r>
                            <w:rPr>
                              <w:rFonts w:hint="eastAsia"/>
                            </w:rPr>
                            <w:instrText xml:space="preserve"> PAGE  \* MERGEFORMAT </w:instrText>
                          </w:r>
                          <w:r>
                            <w:rPr>
                              <w:rFonts w:hint="eastAsia"/>
                            </w:rPr>
                            <w:fldChar w:fldCharType="separate"/>
                          </w:r>
                          <w:r>
                            <w:rPr>
                              <w:lang/>
                            </w:rPr>
                            <w:t>98</w:t>
                          </w:r>
                          <w:r>
                            <w:rPr>
                              <w:rFonts w:hint="eastAsia"/>
                            </w:rPr>
                            <w:fldChar w:fldCharType="end"/>
                          </w:r>
                        </w:p>
                      </w:txbxContent>
                    </wps:txbx>
                    <wps:bodyPr wrap="square" lIns="0" tIns="0" rIns="0" bIns="0" upright="0"/>
                  </wps:wsp>
                </a:graphicData>
              </a:graphic>
            </wp:anchor>
          </w:drawing>
        </mc:Choice>
        <mc:Fallback>
          <w:pict>
            <v:shape id="文本框 1" o:spid="_x0000_s1026" o:spt="202" type="#_x0000_t202" style="position:absolute;left:0pt;margin-top:0pt;height:26.75pt;width:14.45pt;mso-position-horizontal:right;mso-position-horizontal-relative:margin;z-index:251665408;mso-width-relative:page;mso-height-relative:page;" filled="f" stroked="f" coordsize="21600,21600" o:gfxdata="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19tItMAAAADAQAADwAAAAAAAAABACAAAAAiAAAAZHJzL2Rv&#10;d25yZXYueG1sUEsBAhQAFAAAAAgAh07iQNSGwpvNAQAAiQMAAA4AAAAAAAAAAQAgAAAAIgEAAGRy&#10;cy9lMm9Eb2MueG1sUEsFBgAAAAAGAAYAWQEAAGEFAAAAAA==&#10;">
              <v:fill on="f" focussize="0,0"/>
              <v:stroke on="f" weight="0.5pt"/>
              <v:imagedata o:title=""/>
              <o:lock v:ext="edit" aspectratio="f"/>
              <v:textbox inset="0mm,0mm,0mm,0mm">
                <w:txbxContent>
                  <w:p w14:paraId="2F6D54A8">
                    <w:pPr>
                      <w:pStyle w:val="18"/>
                    </w:pPr>
                    <w:r>
                      <w:rPr>
                        <w:rFonts w:hint="eastAsia"/>
                      </w:rPr>
                      <w:fldChar w:fldCharType="begin"/>
                    </w:r>
                    <w:r>
                      <w:rPr>
                        <w:rFonts w:hint="eastAsia"/>
                      </w:rPr>
                      <w:instrText xml:space="preserve"> PAGE  \* MERGEFORMAT </w:instrText>
                    </w:r>
                    <w:r>
                      <w:rPr>
                        <w:rFonts w:hint="eastAsia"/>
                      </w:rPr>
                      <w:fldChar w:fldCharType="separate"/>
                    </w:r>
                    <w:r>
                      <w:rPr>
                        <w:lang/>
                      </w:rPr>
                      <w:t>98</w:t>
                    </w:r>
                    <w:r>
                      <w:rPr>
                        <w:rFonts w:hint="eastAsia"/>
                      </w:rPr>
                      <w:fldChar w:fldCharType="end"/>
                    </w:r>
                  </w:p>
                </w:txbxContent>
              </v:textbox>
            </v:shape>
          </w:pict>
        </mc:Fallback>
      </mc:AlternateContent>
    </w:r>
    <w:r>
      <w:rPr>
        <w:rFonts w:hint="eastAsia"/>
      </w:rPr>
      <w:t xml:space="preserve">辽宁诺诚安全科技有限公司                                             </w:t>
    </w:r>
    <w:r>
      <w:rPr>
        <w:rFonts w:hint="eastAsia"/>
        <w:bdr w:val="single" w:color="auto" w:sz="4" w:space="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A929B">
    <w:pPr>
      <w:pStyle w:val="1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23C8A">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DA83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A1A5F">
    <w:pPr>
      <w:pStyle w:val="19"/>
      <w:pBdr>
        <w:bottom w:val="single" w:color="auto" w:sz="4" w:space="1"/>
      </w:pBdr>
    </w:pPr>
    <w:r>
      <w:rPr>
        <w:rFonts w:hint="eastAsia"/>
        <w:szCs w:val="20"/>
      </w:rPr>
      <w:t>威信县宏誉商贸有限责任公司瓦厂头采石场10万t／a露天采矿工程安全预评价</w:t>
    </w:r>
  </w:p>
  <w:p w14:paraId="412AF050">
    <w:pPr>
      <w:pStyle w:val="1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68DD6">
    <w:pPr>
      <w:pStyle w:val="19"/>
      <w:pBdr>
        <w:bottom w:val="single" w:color="auto" w:sz="4" w:space="1"/>
      </w:pBdr>
      <w:rPr>
        <w:rFonts w:ascii="楷体" w:hAnsi="楷体" w:eastAsia="楷体"/>
        <w:sz w:val="21"/>
        <w:szCs w:val="21"/>
      </w:rPr>
    </w:pPr>
    <w:r>
      <w:rPr>
        <w:rFonts w:hint="eastAsia" w:ascii="楷体" w:hAnsi="楷体" w:eastAsia="楷体"/>
        <w:sz w:val="21"/>
        <w:szCs w:val="21"/>
      </w:rPr>
      <w:t>云南省巧家县老店镇独梨树采石场建筑石料用灰岩矿安全预评价报告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4A6F3"/>
    <w:multiLevelType w:val="singleLevel"/>
    <w:tmpl w:val="80E4A6F3"/>
    <w:lvl w:ilvl="0" w:tentative="0">
      <w:start w:val="1"/>
      <w:numFmt w:val="decimal"/>
      <w:pStyle w:val="75"/>
      <w:lvlText w:val="%1."/>
      <w:lvlJc w:val="left"/>
      <w:pPr>
        <w:ind w:left="425" w:hanging="425"/>
      </w:pPr>
      <w:rPr>
        <w:rFonts w:hint="default"/>
      </w:rPr>
    </w:lvl>
  </w:abstractNum>
  <w:abstractNum w:abstractNumId="1">
    <w:nsid w:val="8A419C09"/>
    <w:multiLevelType w:val="singleLevel"/>
    <w:tmpl w:val="8A419C09"/>
    <w:lvl w:ilvl="0" w:tentative="0">
      <w:start w:val="1"/>
      <w:numFmt w:val="decimal"/>
      <w:suff w:val="nothing"/>
      <w:lvlText w:val="%1．"/>
      <w:lvlJc w:val="left"/>
      <w:pPr>
        <w:ind w:left="0" w:firstLine="400"/>
      </w:pPr>
      <w:rPr>
        <w:rFonts w:hint="default"/>
      </w:rPr>
    </w:lvl>
  </w:abstractNum>
  <w:abstractNum w:abstractNumId="2">
    <w:nsid w:val="8A6F100F"/>
    <w:multiLevelType w:val="singleLevel"/>
    <w:tmpl w:val="8A6F100F"/>
    <w:lvl w:ilvl="0" w:tentative="0">
      <w:start w:val="1"/>
      <w:numFmt w:val="decimal"/>
      <w:suff w:val="nothing"/>
      <w:lvlText w:val="%1．"/>
      <w:lvlJc w:val="left"/>
      <w:pPr>
        <w:ind w:left="0" w:firstLine="0"/>
      </w:pPr>
      <w:rPr>
        <w:rFonts w:hint="default"/>
      </w:rPr>
    </w:lvl>
  </w:abstractNum>
  <w:abstractNum w:abstractNumId="3">
    <w:nsid w:val="D84ACD4C"/>
    <w:multiLevelType w:val="singleLevel"/>
    <w:tmpl w:val="D84ACD4C"/>
    <w:lvl w:ilvl="0" w:tentative="0">
      <w:start w:val="1"/>
      <w:numFmt w:val="decimal"/>
      <w:suff w:val="nothing"/>
      <w:lvlText w:val="%1．"/>
      <w:lvlJc w:val="left"/>
      <w:pPr>
        <w:ind w:left="-258" w:firstLine="400"/>
      </w:pPr>
      <w:rPr>
        <w:rFonts w:hint="default"/>
      </w:rPr>
    </w:lvl>
  </w:abstractNum>
  <w:abstractNum w:abstractNumId="4">
    <w:nsid w:val="E4D0BCEC"/>
    <w:multiLevelType w:val="singleLevel"/>
    <w:tmpl w:val="E4D0BCEC"/>
    <w:lvl w:ilvl="0" w:tentative="0">
      <w:start w:val="1"/>
      <w:numFmt w:val="decimal"/>
      <w:suff w:val="nothing"/>
      <w:lvlText w:val="%1．"/>
      <w:lvlJc w:val="left"/>
      <w:pPr>
        <w:ind w:left="0" w:firstLine="400"/>
      </w:pPr>
      <w:rPr>
        <w:rFonts w:hint="default"/>
      </w:rPr>
    </w:lvl>
  </w:abstractNum>
  <w:abstractNum w:abstractNumId="5">
    <w:nsid w:val="ED743BD0"/>
    <w:multiLevelType w:val="singleLevel"/>
    <w:tmpl w:val="ED743BD0"/>
    <w:lvl w:ilvl="0" w:tentative="0">
      <w:start w:val="1"/>
      <w:numFmt w:val="decimal"/>
      <w:suff w:val="nothing"/>
      <w:lvlText w:val="%1．"/>
      <w:lvlJc w:val="left"/>
      <w:pPr>
        <w:ind w:left="0" w:firstLine="0"/>
      </w:pPr>
      <w:rPr>
        <w:rFonts w:hint="default"/>
      </w:rPr>
    </w:lvl>
  </w:abstractNum>
  <w:abstractNum w:abstractNumId="6">
    <w:nsid w:val="0AB44BFF"/>
    <w:multiLevelType w:val="multilevel"/>
    <w:tmpl w:val="0AB44BFF"/>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10AE229E"/>
    <w:multiLevelType w:val="singleLevel"/>
    <w:tmpl w:val="10AE229E"/>
    <w:lvl w:ilvl="0" w:tentative="0">
      <w:start w:val="1"/>
      <w:numFmt w:val="decimal"/>
      <w:suff w:val="nothing"/>
      <w:lvlText w:val="%1．"/>
      <w:lvlJc w:val="left"/>
      <w:pPr>
        <w:ind w:left="0" w:firstLine="400"/>
      </w:pPr>
      <w:rPr>
        <w:rFonts w:hint="default"/>
      </w:rPr>
    </w:lvl>
  </w:abstractNum>
  <w:abstractNum w:abstractNumId="8">
    <w:nsid w:val="66A939A3"/>
    <w:multiLevelType w:val="singleLevel"/>
    <w:tmpl w:val="66A939A3"/>
    <w:lvl w:ilvl="0" w:tentative="0">
      <w:start w:val="1"/>
      <w:numFmt w:val="decimal"/>
      <w:suff w:val="nothing"/>
      <w:lvlText w:val="%1．"/>
      <w:lvlJc w:val="left"/>
      <w:pPr>
        <w:ind w:left="0" w:firstLine="400"/>
      </w:pPr>
      <w:rPr>
        <w:rFonts w:hint="default"/>
      </w:rPr>
    </w:lvl>
  </w:abstractNum>
  <w:abstractNum w:abstractNumId="9">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525" w:firstLine="0"/>
      </w:pPr>
      <w:rPr>
        <w:rFonts w:hint="eastAsia" w:ascii="黑体" w:hAnsi="Times New Roman" w:eastAsia="黑体"/>
        <w:b w:val="0"/>
        <w:i w:val="0"/>
        <w:color w:val="auto"/>
        <w:sz w:val="21"/>
      </w:rPr>
    </w:lvl>
    <w:lvl w:ilvl="3" w:tentative="0">
      <w:start w:val="1"/>
      <w:numFmt w:val="decimal"/>
      <w:suff w:val="nothing"/>
      <w:lvlText w:val="%1%2.%3.%4　"/>
      <w:lvlJc w:val="left"/>
      <w:pPr>
        <w:ind w:left="840" w:firstLine="0"/>
      </w:pPr>
      <w:rPr>
        <w:rFonts w:hint="eastAsia" w:ascii="黑体" w:hAnsi="Times New Roman" w:eastAsia="黑体"/>
        <w:b w:val="0"/>
        <w:i w:val="0"/>
        <w:sz w:val="21"/>
      </w:rPr>
    </w:lvl>
    <w:lvl w:ilvl="4" w:tentative="0">
      <w:start w:val="1"/>
      <w:numFmt w:val="decimal"/>
      <w:pStyle w:val="83"/>
      <w:suff w:val="nothing"/>
      <w:lvlText w:val="%1%2.%3.%4.%5　"/>
      <w:lvlJc w:val="left"/>
      <w:pPr>
        <w:ind w:left="945" w:firstLine="0"/>
      </w:pPr>
      <w:rPr>
        <w:rFonts w:hint="eastAsia" w:ascii="黑体" w:hAnsi="Times New Roman" w:eastAsia="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9"/>
  </w:num>
  <w:num w:numId="3">
    <w:abstractNumId w:val="4"/>
  </w:num>
  <w:num w:numId="4">
    <w:abstractNumId w:val="3"/>
  </w:num>
  <w:num w:numId="5">
    <w:abstractNumId w:val="5"/>
  </w:num>
  <w:num w:numId="6">
    <w:abstractNumId w:val="6"/>
  </w:num>
  <w:num w:numId="7">
    <w:abstractNumId w:val="2"/>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0"/>
  <w:hyphenationZone w:val="360"/>
  <w:drawingGridHorizontalSpacing w:val="210"/>
  <w:drawingGridVerticalSpacing w:val="16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iZWQwMTQ1NjNmOTA1MTM1YjQ1ZTY3ZTU0NjRkNzcifQ=="/>
  </w:docVars>
  <w:rsids>
    <w:rsidRoot w:val="00172A27"/>
    <w:rsid w:val="0001015D"/>
    <w:rsid w:val="00015778"/>
    <w:rsid w:val="00024546"/>
    <w:rsid w:val="000335B7"/>
    <w:rsid w:val="00036D37"/>
    <w:rsid w:val="00046D01"/>
    <w:rsid w:val="00053F7A"/>
    <w:rsid w:val="00065B87"/>
    <w:rsid w:val="000676A1"/>
    <w:rsid w:val="00067A30"/>
    <w:rsid w:val="00087BB1"/>
    <w:rsid w:val="00097B93"/>
    <w:rsid w:val="000A126F"/>
    <w:rsid w:val="000A3A7D"/>
    <w:rsid w:val="000A5D38"/>
    <w:rsid w:val="000B0F57"/>
    <w:rsid w:val="000B160C"/>
    <w:rsid w:val="000B45CA"/>
    <w:rsid w:val="000B5327"/>
    <w:rsid w:val="000C0635"/>
    <w:rsid w:val="000C20E3"/>
    <w:rsid w:val="000D1D93"/>
    <w:rsid w:val="000D69CF"/>
    <w:rsid w:val="000E160B"/>
    <w:rsid w:val="000E2267"/>
    <w:rsid w:val="000F3195"/>
    <w:rsid w:val="000F3CAD"/>
    <w:rsid w:val="000F3F3D"/>
    <w:rsid w:val="000F6AE7"/>
    <w:rsid w:val="00103919"/>
    <w:rsid w:val="00106071"/>
    <w:rsid w:val="00106855"/>
    <w:rsid w:val="00117B68"/>
    <w:rsid w:val="00136689"/>
    <w:rsid w:val="001371F2"/>
    <w:rsid w:val="001415C8"/>
    <w:rsid w:val="00144C33"/>
    <w:rsid w:val="0017149B"/>
    <w:rsid w:val="00174732"/>
    <w:rsid w:val="00177B01"/>
    <w:rsid w:val="00186C76"/>
    <w:rsid w:val="0019364E"/>
    <w:rsid w:val="001A100C"/>
    <w:rsid w:val="001B183E"/>
    <w:rsid w:val="001B2137"/>
    <w:rsid w:val="001B5432"/>
    <w:rsid w:val="001C4BEC"/>
    <w:rsid w:val="001D4C37"/>
    <w:rsid w:val="002060D1"/>
    <w:rsid w:val="0021068D"/>
    <w:rsid w:val="00225E6B"/>
    <w:rsid w:val="00230300"/>
    <w:rsid w:val="002339E5"/>
    <w:rsid w:val="002471B1"/>
    <w:rsid w:val="0025398E"/>
    <w:rsid w:val="00256478"/>
    <w:rsid w:val="00261166"/>
    <w:rsid w:val="002664C6"/>
    <w:rsid w:val="00273656"/>
    <w:rsid w:val="00282C35"/>
    <w:rsid w:val="002858CB"/>
    <w:rsid w:val="002953E5"/>
    <w:rsid w:val="002B01ED"/>
    <w:rsid w:val="002B1892"/>
    <w:rsid w:val="002C1A8F"/>
    <w:rsid w:val="002E5D15"/>
    <w:rsid w:val="002F16A0"/>
    <w:rsid w:val="002F1E3F"/>
    <w:rsid w:val="002F21E5"/>
    <w:rsid w:val="00322573"/>
    <w:rsid w:val="003426F2"/>
    <w:rsid w:val="00355187"/>
    <w:rsid w:val="003624A9"/>
    <w:rsid w:val="00365899"/>
    <w:rsid w:val="003662BD"/>
    <w:rsid w:val="00374539"/>
    <w:rsid w:val="00376AA1"/>
    <w:rsid w:val="00377795"/>
    <w:rsid w:val="003A2128"/>
    <w:rsid w:val="003A2A45"/>
    <w:rsid w:val="003A312E"/>
    <w:rsid w:val="003A7441"/>
    <w:rsid w:val="003B7695"/>
    <w:rsid w:val="003D2081"/>
    <w:rsid w:val="003F54CF"/>
    <w:rsid w:val="004021AF"/>
    <w:rsid w:val="00405CF2"/>
    <w:rsid w:val="004077BE"/>
    <w:rsid w:val="00416F9E"/>
    <w:rsid w:val="004224A7"/>
    <w:rsid w:val="004240E9"/>
    <w:rsid w:val="0044102E"/>
    <w:rsid w:val="004411D9"/>
    <w:rsid w:val="00445559"/>
    <w:rsid w:val="00445E76"/>
    <w:rsid w:val="00447C03"/>
    <w:rsid w:val="00451E78"/>
    <w:rsid w:val="004663A5"/>
    <w:rsid w:val="00470AE9"/>
    <w:rsid w:val="00471031"/>
    <w:rsid w:val="004727AB"/>
    <w:rsid w:val="004740E6"/>
    <w:rsid w:val="00477812"/>
    <w:rsid w:val="00486997"/>
    <w:rsid w:val="00492F6B"/>
    <w:rsid w:val="004930BA"/>
    <w:rsid w:val="004943E1"/>
    <w:rsid w:val="00497940"/>
    <w:rsid w:val="004A2935"/>
    <w:rsid w:val="004A75DC"/>
    <w:rsid w:val="004B1967"/>
    <w:rsid w:val="004B1DD5"/>
    <w:rsid w:val="004C3789"/>
    <w:rsid w:val="004D27FA"/>
    <w:rsid w:val="004E6E67"/>
    <w:rsid w:val="004E6FC7"/>
    <w:rsid w:val="004F27BD"/>
    <w:rsid w:val="004F36CE"/>
    <w:rsid w:val="004F4E37"/>
    <w:rsid w:val="00511DAF"/>
    <w:rsid w:val="0053577B"/>
    <w:rsid w:val="00536EB6"/>
    <w:rsid w:val="0053767A"/>
    <w:rsid w:val="00541CE1"/>
    <w:rsid w:val="0054795E"/>
    <w:rsid w:val="00550CB7"/>
    <w:rsid w:val="00566D19"/>
    <w:rsid w:val="0056702B"/>
    <w:rsid w:val="005714BA"/>
    <w:rsid w:val="00597715"/>
    <w:rsid w:val="005A168F"/>
    <w:rsid w:val="005A2519"/>
    <w:rsid w:val="005A63A2"/>
    <w:rsid w:val="005C1B89"/>
    <w:rsid w:val="005D3C63"/>
    <w:rsid w:val="005E33E1"/>
    <w:rsid w:val="005E6D4F"/>
    <w:rsid w:val="005F5201"/>
    <w:rsid w:val="005F6607"/>
    <w:rsid w:val="005F7CBA"/>
    <w:rsid w:val="006021FB"/>
    <w:rsid w:val="006024FC"/>
    <w:rsid w:val="006030A0"/>
    <w:rsid w:val="00635D9F"/>
    <w:rsid w:val="00636F8F"/>
    <w:rsid w:val="006443A7"/>
    <w:rsid w:val="00665D08"/>
    <w:rsid w:val="00671EFE"/>
    <w:rsid w:val="006745B4"/>
    <w:rsid w:val="0069575D"/>
    <w:rsid w:val="006A0665"/>
    <w:rsid w:val="006A6192"/>
    <w:rsid w:val="006B4C2D"/>
    <w:rsid w:val="006C5024"/>
    <w:rsid w:val="006E47F5"/>
    <w:rsid w:val="006F0DD1"/>
    <w:rsid w:val="006F3E1F"/>
    <w:rsid w:val="006F5D9D"/>
    <w:rsid w:val="006F7058"/>
    <w:rsid w:val="006F74F5"/>
    <w:rsid w:val="00706A2C"/>
    <w:rsid w:val="00716A5D"/>
    <w:rsid w:val="00721388"/>
    <w:rsid w:val="00721F01"/>
    <w:rsid w:val="00730798"/>
    <w:rsid w:val="00730DA9"/>
    <w:rsid w:val="007313AF"/>
    <w:rsid w:val="00734351"/>
    <w:rsid w:val="0073439C"/>
    <w:rsid w:val="00734961"/>
    <w:rsid w:val="00740E9D"/>
    <w:rsid w:val="00744946"/>
    <w:rsid w:val="00745FBE"/>
    <w:rsid w:val="00746224"/>
    <w:rsid w:val="00750805"/>
    <w:rsid w:val="00754921"/>
    <w:rsid w:val="00756DEA"/>
    <w:rsid w:val="0075727B"/>
    <w:rsid w:val="00765872"/>
    <w:rsid w:val="007678D7"/>
    <w:rsid w:val="0077015B"/>
    <w:rsid w:val="00780061"/>
    <w:rsid w:val="0078044D"/>
    <w:rsid w:val="00784E2F"/>
    <w:rsid w:val="007863D2"/>
    <w:rsid w:val="00791FBA"/>
    <w:rsid w:val="007B1749"/>
    <w:rsid w:val="007B2609"/>
    <w:rsid w:val="007B4DD4"/>
    <w:rsid w:val="007B6FDF"/>
    <w:rsid w:val="007C1354"/>
    <w:rsid w:val="007C1E3E"/>
    <w:rsid w:val="007D7356"/>
    <w:rsid w:val="007D740F"/>
    <w:rsid w:val="007E224C"/>
    <w:rsid w:val="007F24F8"/>
    <w:rsid w:val="007F28E0"/>
    <w:rsid w:val="007F529E"/>
    <w:rsid w:val="007F571C"/>
    <w:rsid w:val="00807A4B"/>
    <w:rsid w:val="008131E5"/>
    <w:rsid w:val="00822D0D"/>
    <w:rsid w:val="00827E3F"/>
    <w:rsid w:val="00833ED5"/>
    <w:rsid w:val="00835E50"/>
    <w:rsid w:val="00844FE0"/>
    <w:rsid w:val="00846C63"/>
    <w:rsid w:val="00850D66"/>
    <w:rsid w:val="00851D97"/>
    <w:rsid w:val="00853BCC"/>
    <w:rsid w:val="00873C7E"/>
    <w:rsid w:val="00881675"/>
    <w:rsid w:val="00893649"/>
    <w:rsid w:val="008A0083"/>
    <w:rsid w:val="008A0EBF"/>
    <w:rsid w:val="008B392C"/>
    <w:rsid w:val="008B78AD"/>
    <w:rsid w:val="008C5599"/>
    <w:rsid w:val="008D03CA"/>
    <w:rsid w:val="008E6D82"/>
    <w:rsid w:val="008F0FDC"/>
    <w:rsid w:val="008F26DA"/>
    <w:rsid w:val="008F3811"/>
    <w:rsid w:val="009022A1"/>
    <w:rsid w:val="00911814"/>
    <w:rsid w:val="00917A65"/>
    <w:rsid w:val="00926505"/>
    <w:rsid w:val="00927A3C"/>
    <w:rsid w:val="0093466D"/>
    <w:rsid w:val="009368E7"/>
    <w:rsid w:val="0094016F"/>
    <w:rsid w:val="00942F93"/>
    <w:rsid w:val="0094369C"/>
    <w:rsid w:val="00943858"/>
    <w:rsid w:val="009602D1"/>
    <w:rsid w:val="00960A58"/>
    <w:rsid w:val="00963604"/>
    <w:rsid w:val="009676A9"/>
    <w:rsid w:val="0098320E"/>
    <w:rsid w:val="009863A2"/>
    <w:rsid w:val="009A006C"/>
    <w:rsid w:val="009A13FF"/>
    <w:rsid w:val="009A37B6"/>
    <w:rsid w:val="009A463A"/>
    <w:rsid w:val="009B12B5"/>
    <w:rsid w:val="009B3550"/>
    <w:rsid w:val="009C4A57"/>
    <w:rsid w:val="009C6164"/>
    <w:rsid w:val="009D32AA"/>
    <w:rsid w:val="009E135D"/>
    <w:rsid w:val="009E2DD9"/>
    <w:rsid w:val="009E3FC8"/>
    <w:rsid w:val="00A16F77"/>
    <w:rsid w:val="00A27445"/>
    <w:rsid w:val="00A366BD"/>
    <w:rsid w:val="00A40C85"/>
    <w:rsid w:val="00A60EAD"/>
    <w:rsid w:val="00A64F81"/>
    <w:rsid w:val="00A72CA2"/>
    <w:rsid w:val="00A754F3"/>
    <w:rsid w:val="00A801A8"/>
    <w:rsid w:val="00A838C1"/>
    <w:rsid w:val="00A84C46"/>
    <w:rsid w:val="00A95CB0"/>
    <w:rsid w:val="00AA29F8"/>
    <w:rsid w:val="00AC21C1"/>
    <w:rsid w:val="00AE7052"/>
    <w:rsid w:val="00AE734E"/>
    <w:rsid w:val="00B040E0"/>
    <w:rsid w:val="00B21240"/>
    <w:rsid w:val="00B360DD"/>
    <w:rsid w:val="00B40E19"/>
    <w:rsid w:val="00B41222"/>
    <w:rsid w:val="00B655FE"/>
    <w:rsid w:val="00B809AE"/>
    <w:rsid w:val="00B80D8F"/>
    <w:rsid w:val="00B86173"/>
    <w:rsid w:val="00B86BB0"/>
    <w:rsid w:val="00B87290"/>
    <w:rsid w:val="00B91526"/>
    <w:rsid w:val="00B92558"/>
    <w:rsid w:val="00B925B8"/>
    <w:rsid w:val="00BA2F83"/>
    <w:rsid w:val="00BA5652"/>
    <w:rsid w:val="00BC57FC"/>
    <w:rsid w:val="00BD7DBF"/>
    <w:rsid w:val="00BF2142"/>
    <w:rsid w:val="00C00363"/>
    <w:rsid w:val="00C13F54"/>
    <w:rsid w:val="00C240C7"/>
    <w:rsid w:val="00C32C18"/>
    <w:rsid w:val="00C4397F"/>
    <w:rsid w:val="00C46EB2"/>
    <w:rsid w:val="00C57AA2"/>
    <w:rsid w:val="00C64E85"/>
    <w:rsid w:val="00C67ABA"/>
    <w:rsid w:val="00C8504D"/>
    <w:rsid w:val="00C85796"/>
    <w:rsid w:val="00C93E1C"/>
    <w:rsid w:val="00CA3401"/>
    <w:rsid w:val="00CA34B5"/>
    <w:rsid w:val="00CA3FDE"/>
    <w:rsid w:val="00CA4A41"/>
    <w:rsid w:val="00CD7AA5"/>
    <w:rsid w:val="00CE6699"/>
    <w:rsid w:val="00CF15E1"/>
    <w:rsid w:val="00CF4A9A"/>
    <w:rsid w:val="00D0155A"/>
    <w:rsid w:val="00D01AEB"/>
    <w:rsid w:val="00D137C3"/>
    <w:rsid w:val="00D20175"/>
    <w:rsid w:val="00D22849"/>
    <w:rsid w:val="00D3096D"/>
    <w:rsid w:val="00D31B65"/>
    <w:rsid w:val="00D40044"/>
    <w:rsid w:val="00D45E8E"/>
    <w:rsid w:val="00D625B7"/>
    <w:rsid w:val="00D62806"/>
    <w:rsid w:val="00D9372D"/>
    <w:rsid w:val="00D951F5"/>
    <w:rsid w:val="00D97E96"/>
    <w:rsid w:val="00DA6855"/>
    <w:rsid w:val="00DB0872"/>
    <w:rsid w:val="00DB20B2"/>
    <w:rsid w:val="00DC18E0"/>
    <w:rsid w:val="00DC1A8C"/>
    <w:rsid w:val="00DC4C0F"/>
    <w:rsid w:val="00DC6A56"/>
    <w:rsid w:val="00DD34A9"/>
    <w:rsid w:val="00DD6536"/>
    <w:rsid w:val="00DE26CB"/>
    <w:rsid w:val="00E0203E"/>
    <w:rsid w:val="00E041F8"/>
    <w:rsid w:val="00E04267"/>
    <w:rsid w:val="00E114F5"/>
    <w:rsid w:val="00E16992"/>
    <w:rsid w:val="00E4110B"/>
    <w:rsid w:val="00E4669E"/>
    <w:rsid w:val="00E5375B"/>
    <w:rsid w:val="00E55307"/>
    <w:rsid w:val="00E72242"/>
    <w:rsid w:val="00E82684"/>
    <w:rsid w:val="00E8437F"/>
    <w:rsid w:val="00E95FAB"/>
    <w:rsid w:val="00E96681"/>
    <w:rsid w:val="00EA247D"/>
    <w:rsid w:val="00EA6458"/>
    <w:rsid w:val="00EB7BA4"/>
    <w:rsid w:val="00EC1AC0"/>
    <w:rsid w:val="00EC3EEB"/>
    <w:rsid w:val="00EC4218"/>
    <w:rsid w:val="00EE3F82"/>
    <w:rsid w:val="00EF3109"/>
    <w:rsid w:val="00EF5BF8"/>
    <w:rsid w:val="00EF6A6F"/>
    <w:rsid w:val="00F126A1"/>
    <w:rsid w:val="00F1508E"/>
    <w:rsid w:val="00F16C8E"/>
    <w:rsid w:val="00F248FB"/>
    <w:rsid w:val="00F27D40"/>
    <w:rsid w:val="00F27FCC"/>
    <w:rsid w:val="00F3189A"/>
    <w:rsid w:val="00F43E70"/>
    <w:rsid w:val="00F53F0B"/>
    <w:rsid w:val="00F565C7"/>
    <w:rsid w:val="00F62A4F"/>
    <w:rsid w:val="00F7368A"/>
    <w:rsid w:val="00F75DC2"/>
    <w:rsid w:val="00F81806"/>
    <w:rsid w:val="00F81B7E"/>
    <w:rsid w:val="00F85617"/>
    <w:rsid w:val="00F918B5"/>
    <w:rsid w:val="00FA5C76"/>
    <w:rsid w:val="00FB08CD"/>
    <w:rsid w:val="00FC22FF"/>
    <w:rsid w:val="00FD3F3B"/>
    <w:rsid w:val="00FF4695"/>
    <w:rsid w:val="012A673E"/>
    <w:rsid w:val="015E02E2"/>
    <w:rsid w:val="01B56238"/>
    <w:rsid w:val="023B3EC4"/>
    <w:rsid w:val="0242406F"/>
    <w:rsid w:val="02607F20"/>
    <w:rsid w:val="02692F7A"/>
    <w:rsid w:val="027A7612"/>
    <w:rsid w:val="02895A40"/>
    <w:rsid w:val="02896A63"/>
    <w:rsid w:val="02B372B1"/>
    <w:rsid w:val="02F72828"/>
    <w:rsid w:val="0421654F"/>
    <w:rsid w:val="04E709F1"/>
    <w:rsid w:val="05136E6A"/>
    <w:rsid w:val="052267F4"/>
    <w:rsid w:val="05421225"/>
    <w:rsid w:val="06D1354B"/>
    <w:rsid w:val="076A0827"/>
    <w:rsid w:val="076E1B3C"/>
    <w:rsid w:val="07830C01"/>
    <w:rsid w:val="07E37C46"/>
    <w:rsid w:val="089E69CE"/>
    <w:rsid w:val="08A42274"/>
    <w:rsid w:val="08C51C9E"/>
    <w:rsid w:val="08CF7B81"/>
    <w:rsid w:val="090B768D"/>
    <w:rsid w:val="09C804E1"/>
    <w:rsid w:val="09E24C1F"/>
    <w:rsid w:val="09F34D7E"/>
    <w:rsid w:val="0A06646A"/>
    <w:rsid w:val="0A200482"/>
    <w:rsid w:val="0B5D4ACF"/>
    <w:rsid w:val="0B8319F6"/>
    <w:rsid w:val="0C0108CB"/>
    <w:rsid w:val="0C0820AF"/>
    <w:rsid w:val="0C3A1520"/>
    <w:rsid w:val="0CBA195A"/>
    <w:rsid w:val="0CC7165F"/>
    <w:rsid w:val="0CD71483"/>
    <w:rsid w:val="0D5A5186"/>
    <w:rsid w:val="0D72044A"/>
    <w:rsid w:val="0DD27E71"/>
    <w:rsid w:val="0E1C6140"/>
    <w:rsid w:val="0E6246F5"/>
    <w:rsid w:val="0E63426B"/>
    <w:rsid w:val="0E862687"/>
    <w:rsid w:val="0EF34D3B"/>
    <w:rsid w:val="0F21080A"/>
    <w:rsid w:val="0F5A30B2"/>
    <w:rsid w:val="0F5E44C7"/>
    <w:rsid w:val="0F9C719B"/>
    <w:rsid w:val="0FC77418"/>
    <w:rsid w:val="0FD042AC"/>
    <w:rsid w:val="0FF04708"/>
    <w:rsid w:val="0FF23639"/>
    <w:rsid w:val="103E7721"/>
    <w:rsid w:val="10544AB9"/>
    <w:rsid w:val="10841544"/>
    <w:rsid w:val="10902034"/>
    <w:rsid w:val="10B8165A"/>
    <w:rsid w:val="113A4DB0"/>
    <w:rsid w:val="117C163B"/>
    <w:rsid w:val="11882FF5"/>
    <w:rsid w:val="11B772C7"/>
    <w:rsid w:val="11CD6921"/>
    <w:rsid w:val="121C338F"/>
    <w:rsid w:val="123511C8"/>
    <w:rsid w:val="1269542F"/>
    <w:rsid w:val="12D3511F"/>
    <w:rsid w:val="13002C45"/>
    <w:rsid w:val="13A37B5C"/>
    <w:rsid w:val="13C92844"/>
    <w:rsid w:val="13EC6C6D"/>
    <w:rsid w:val="13EC71A6"/>
    <w:rsid w:val="142B68B5"/>
    <w:rsid w:val="148B7942"/>
    <w:rsid w:val="14A72314"/>
    <w:rsid w:val="14A95746"/>
    <w:rsid w:val="151A7B6C"/>
    <w:rsid w:val="15384550"/>
    <w:rsid w:val="158B2AD1"/>
    <w:rsid w:val="158F1F1D"/>
    <w:rsid w:val="1599504E"/>
    <w:rsid w:val="15D02106"/>
    <w:rsid w:val="15DA2060"/>
    <w:rsid w:val="15DB2678"/>
    <w:rsid w:val="15DD358D"/>
    <w:rsid w:val="160D5E4C"/>
    <w:rsid w:val="16172559"/>
    <w:rsid w:val="16565C6A"/>
    <w:rsid w:val="16FE71EC"/>
    <w:rsid w:val="17003D4C"/>
    <w:rsid w:val="171D3107"/>
    <w:rsid w:val="17271759"/>
    <w:rsid w:val="17F00C5B"/>
    <w:rsid w:val="183E7552"/>
    <w:rsid w:val="185D2E02"/>
    <w:rsid w:val="18B652A9"/>
    <w:rsid w:val="18C51663"/>
    <w:rsid w:val="18D605E1"/>
    <w:rsid w:val="18F73CB5"/>
    <w:rsid w:val="192E387E"/>
    <w:rsid w:val="19441DDC"/>
    <w:rsid w:val="196569E4"/>
    <w:rsid w:val="19997B6A"/>
    <w:rsid w:val="19A50419"/>
    <w:rsid w:val="19A628FA"/>
    <w:rsid w:val="19AE3E03"/>
    <w:rsid w:val="19C55143"/>
    <w:rsid w:val="19DA50FE"/>
    <w:rsid w:val="1A1E0DCC"/>
    <w:rsid w:val="1A3A13B8"/>
    <w:rsid w:val="1A580CF0"/>
    <w:rsid w:val="1A7752B6"/>
    <w:rsid w:val="1A81337B"/>
    <w:rsid w:val="1AB50428"/>
    <w:rsid w:val="1AC2238F"/>
    <w:rsid w:val="1AC95C2D"/>
    <w:rsid w:val="1ACF0EDB"/>
    <w:rsid w:val="1AD2191D"/>
    <w:rsid w:val="1B2F7B4B"/>
    <w:rsid w:val="1B527002"/>
    <w:rsid w:val="1B8439DC"/>
    <w:rsid w:val="1BBB0B95"/>
    <w:rsid w:val="1BC42796"/>
    <w:rsid w:val="1BFF7448"/>
    <w:rsid w:val="1C2F6FE2"/>
    <w:rsid w:val="1C504148"/>
    <w:rsid w:val="1CAC330E"/>
    <w:rsid w:val="1CB92162"/>
    <w:rsid w:val="1CF859F9"/>
    <w:rsid w:val="1D37120A"/>
    <w:rsid w:val="1D3A055A"/>
    <w:rsid w:val="1D4330A6"/>
    <w:rsid w:val="1D6D0FAE"/>
    <w:rsid w:val="1D855C9C"/>
    <w:rsid w:val="1E002062"/>
    <w:rsid w:val="1E231879"/>
    <w:rsid w:val="1EDF468E"/>
    <w:rsid w:val="1EF01474"/>
    <w:rsid w:val="1F016B48"/>
    <w:rsid w:val="1FA80104"/>
    <w:rsid w:val="1FAE5B96"/>
    <w:rsid w:val="1FB0099C"/>
    <w:rsid w:val="1FCA72BF"/>
    <w:rsid w:val="1FF07106"/>
    <w:rsid w:val="20063231"/>
    <w:rsid w:val="20443FB8"/>
    <w:rsid w:val="20637658"/>
    <w:rsid w:val="20D806D0"/>
    <w:rsid w:val="213B5E42"/>
    <w:rsid w:val="218E2BE2"/>
    <w:rsid w:val="21F66B0D"/>
    <w:rsid w:val="22071D70"/>
    <w:rsid w:val="227519F9"/>
    <w:rsid w:val="228F7CB0"/>
    <w:rsid w:val="22E91B5A"/>
    <w:rsid w:val="239021CB"/>
    <w:rsid w:val="23B30E35"/>
    <w:rsid w:val="23B63C72"/>
    <w:rsid w:val="23B67665"/>
    <w:rsid w:val="23D83113"/>
    <w:rsid w:val="23FD4816"/>
    <w:rsid w:val="24190D97"/>
    <w:rsid w:val="24561E7C"/>
    <w:rsid w:val="245D603E"/>
    <w:rsid w:val="24755BBE"/>
    <w:rsid w:val="247D6D03"/>
    <w:rsid w:val="247E43DB"/>
    <w:rsid w:val="249D5ACF"/>
    <w:rsid w:val="24F21ADB"/>
    <w:rsid w:val="2502322D"/>
    <w:rsid w:val="250D2139"/>
    <w:rsid w:val="252263A8"/>
    <w:rsid w:val="2550414D"/>
    <w:rsid w:val="25540207"/>
    <w:rsid w:val="25A02008"/>
    <w:rsid w:val="25A22E2E"/>
    <w:rsid w:val="25CB1C5A"/>
    <w:rsid w:val="26082904"/>
    <w:rsid w:val="26096E56"/>
    <w:rsid w:val="26BB45CC"/>
    <w:rsid w:val="26D17DFC"/>
    <w:rsid w:val="273857B0"/>
    <w:rsid w:val="277657ED"/>
    <w:rsid w:val="2785228E"/>
    <w:rsid w:val="27DA4D4E"/>
    <w:rsid w:val="27FF6736"/>
    <w:rsid w:val="2806375E"/>
    <w:rsid w:val="281B4283"/>
    <w:rsid w:val="28D74616"/>
    <w:rsid w:val="29275A3A"/>
    <w:rsid w:val="29B344EE"/>
    <w:rsid w:val="29EF3F08"/>
    <w:rsid w:val="2A1E645A"/>
    <w:rsid w:val="2A232B51"/>
    <w:rsid w:val="2ACC0C28"/>
    <w:rsid w:val="2AE87488"/>
    <w:rsid w:val="2B177920"/>
    <w:rsid w:val="2B980D43"/>
    <w:rsid w:val="2BFA0655"/>
    <w:rsid w:val="2C787303"/>
    <w:rsid w:val="2C7A1A36"/>
    <w:rsid w:val="2C9B7D12"/>
    <w:rsid w:val="2CA376BD"/>
    <w:rsid w:val="2D0B3FDE"/>
    <w:rsid w:val="2D4F441E"/>
    <w:rsid w:val="2D61663A"/>
    <w:rsid w:val="2D7B0394"/>
    <w:rsid w:val="2E2E6DBB"/>
    <w:rsid w:val="2E7F08A4"/>
    <w:rsid w:val="2E924498"/>
    <w:rsid w:val="2EA71A4E"/>
    <w:rsid w:val="2EDD668A"/>
    <w:rsid w:val="2FCB1D9D"/>
    <w:rsid w:val="30115261"/>
    <w:rsid w:val="30CC2B1B"/>
    <w:rsid w:val="30CE7A67"/>
    <w:rsid w:val="31390DC6"/>
    <w:rsid w:val="31485AA4"/>
    <w:rsid w:val="31C12CF7"/>
    <w:rsid w:val="31E31072"/>
    <w:rsid w:val="31FA1C59"/>
    <w:rsid w:val="320762DA"/>
    <w:rsid w:val="32117F7F"/>
    <w:rsid w:val="322070BA"/>
    <w:rsid w:val="32745676"/>
    <w:rsid w:val="328B1836"/>
    <w:rsid w:val="32A90113"/>
    <w:rsid w:val="32BF64E1"/>
    <w:rsid w:val="32FA64A8"/>
    <w:rsid w:val="330B5C1E"/>
    <w:rsid w:val="3360385F"/>
    <w:rsid w:val="33AD2743"/>
    <w:rsid w:val="33CB7137"/>
    <w:rsid w:val="33ED5A53"/>
    <w:rsid w:val="33F153DA"/>
    <w:rsid w:val="3402049F"/>
    <w:rsid w:val="340E72AC"/>
    <w:rsid w:val="34207F99"/>
    <w:rsid w:val="34770F74"/>
    <w:rsid w:val="34F226A3"/>
    <w:rsid w:val="35190E08"/>
    <w:rsid w:val="351C5C1C"/>
    <w:rsid w:val="358C4D0A"/>
    <w:rsid w:val="35BE1477"/>
    <w:rsid w:val="35C4366C"/>
    <w:rsid w:val="35CE157A"/>
    <w:rsid w:val="35FA30DB"/>
    <w:rsid w:val="360F36FB"/>
    <w:rsid w:val="36151DA7"/>
    <w:rsid w:val="362E6436"/>
    <w:rsid w:val="363E7DFE"/>
    <w:rsid w:val="36794589"/>
    <w:rsid w:val="36B57E63"/>
    <w:rsid w:val="37195D3F"/>
    <w:rsid w:val="3729476F"/>
    <w:rsid w:val="374C7F38"/>
    <w:rsid w:val="375B320D"/>
    <w:rsid w:val="37C0051A"/>
    <w:rsid w:val="38294525"/>
    <w:rsid w:val="38CA60C7"/>
    <w:rsid w:val="390A511C"/>
    <w:rsid w:val="390C5837"/>
    <w:rsid w:val="396226AE"/>
    <w:rsid w:val="399576C4"/>
    <w:rsid w:val="39AE1450"/>
    <w:rsid w:val="39C2698F"/>
    <w:rsid w:val="39D646A3"/>
    <w:rsid w:val="3A285012"/>
    <w:rsid w:val="3A3B3260"/>
    <w:rsid w:val="3AC12A52"/>
    <w:rsid w:val="3AEB6265"/>
    <w:rsid w:val="3AFD2BCF"/>
    <w:rsid w:val="3B7A3CDF"/>
    <w:rsid w:val="3B825F01"/>
    <w:rsid w:val="3B88196E"/>
    <w:rsid w:val="3BD4400C"/>
    <w:rsid w:val="3BEB6E8C"/>
    <w:rsid w:val="3CC92BC0"/>
    <w:rsid w:val="3D04010B"/>
    <w:rsid w:val="3D1A5A9E"/>
    <w:rsid w:val="3DA33F2B"/>
    <w:rsid w:val="3DC0403E"/>
    <w:rsid w:val="3DC26E96"/>
    <w:rsid w:val="3E061731"/>
    <w:rsid w:val="3EA6608F"/>
    <w:rsid w:val="3F0A4F47"/>
    <w:rsid w:val="3F3930C4"/>
    <w:rsid w:val="3F8571E9"/>
    <w:rsid w:val="3F8B2F8E"/>
    <w:rsid w:val="3FAC0D99"/>
    <w:rsid w:val="3FB75C43"/>
    <w:rsid w:val="3FDA4996"/>
    <w:rsid w:val="40136C73"/>
    <w:rsid w:val="405354A3"/>
    <w:rsid w:val="406A1CC7"/>
    <w:rsid w:val="40903534"/>
    <w:rsid w:val="409D4879"/>
    <w:rsid w:val="40A60CAA"/>
    <w:rsid w:val="40AA23A3"/>
    <w:rsid w:val="40BC0996"/>
    <w:rsid w:val="40C34D68"/>
    <w:rsid w:val="40FD59A5"/>
    <w:rsid w:val="41683069"/>
    <w:rsid w:val="419E453E"/>
    <w:rsid w:val="41A00E9E"/>
    <w:rsid w:val="41A619D9"/>
    <w:rsid w:val="41D43A1D"/>
    <w:rsid w:val="41FA17F9"/>
    <w:rsid w:val="42224C44"/>
    <w:rsid w:val="423153CC"/>
    <w:rsid w:val="42F56D0F"/>
    <w:rsid w:val="43712B9A"/>
    <w:rsid w:val="43834DA0"/>
    <w:rsid w:val="43C40AB2"/>
    <w:rsid w:val="442B65B3"/>
    <w:rsid w:val="446A178B"/>
    <w:rsid w:val="44756E4B"/>
    <w:rsid w:val="44AB47A6"/>
    <w:rsid w:val="450D46BF"/>
    <w:rsid w:val="452F68AA"/>
    <w:rsid w:val="456218D0"/>
    <w:rsid w:val="458D1D1E"/>
    <w:rsid w:val="459814F0"/>
    <w:rsid w:val="45E81E3B"/>
    <w:rsid w:val="46051132"/>
    <w:rsid w:val="46122485"/>
    <w:rsid w:val="463B22BD"/>
    <w:rsid w:val="4681409A"/>
    <w:rsid w:val="468E639A"/>
    <w:rsid w:val="46B9772F"/>
    <w:rsid w:val="4708446D"/>
    <w:rsid w:val="47703746"/>
    <w:rsid w:val="480C646A"/>
    <w:rsid w:val="489138C6"/>
    <w:rsid w:val="48A3310D"/>
    <w:rsid w:val="48A80FD3"/>
    <w:rsid w:val="48F82D86"/>
    <w:rsid w:val="49404160"/>
    <w:rsid w:val="49A802EA"/>
    <w:rsid w:val="49CF61A3"/>
    <w:rsid w:val="4A025B17"/>
    <w:rsid w:val="4A0D6534"/>
    <w:rsid w:val="4A247050"/>
    <w:rsid w:val="4A3413EE"/>
    <w:rsid w:val="4A345B14"/>
    <w:rsid w:val="4A4D1C6E"/>
    <w:rsid w:val="4B8E217A"/>
    <w:rsid w:val="4BC6349C"/>
    <w:rsid w:val="4C2B5A78"/>
    <w:rsid w:val="4C577FCC"/>
    <w:rsid w:val="4DB36DE0"/>
    <w:rsid w:val="4DE85661"/>
    <w:rsid w:val="4E1A5984"/>
    <w:rsid w:val="4EBD1425"/>
    <w:rsid w:val="4EDA3C0D"/>
    <w:rsid w:val="4EE064F0"/>
    <w:rsid w:val="4F0059EA"/>
    <w:rsid w:val="4F2866BE"/>
    <w:rsid w:val="4F2A186E"/>
    <w:rsid w:val="4FB95F74"/>
    <w:rsid w:val="4FCE2C35"/>
    <w:rsid w:val="50534BB5"/>
    <w:rsid w:val="507377C2"/>
    <w:rsid w:val="507753FC"/>
    <w:rsid w:val="50FA6F3C"/>
    <w:rsid w:val="511A43EA"/>
    <w:rsid w:val="51246D02"/>
    <w:rsid w:val="513D15DF"/>
    <w:rsid w:val="517C6E89"/>
    <w:rsid w:val="51CE1D58"/>
    <w:rsid w:val="51D17C6C"/>
    <w:rsid w:val="51D67C32"/>
    <w:rsid w:val="523345A3"/>
    <w:rsid w:val="527D2248"/>
    <w:rsid w:val="528F013A"/>
    <w:rsid w:val="52A15D38"/>
    <w:rsid w:val="535055DC"/>
    <w:rsid w:val="53C6413B"/>
    <w:rsid w:val="54017416"/>
    <w:rsid w:val="547A29F0"/>
    <w:rsid w:val="54A27791"/>
    <w:rsid w:val="54C129F4"/>
    <w:rsid w:val="54FE4968"/>
    <w:rsid w:val="55294338"/>
    <w:rsid w:val="552A608B"/>
    <w:rsid w:val="55AE46F2"/>
    <w:rsid w:val="55D84593"/>
    <w:rsid w:val="563B7C9D"/>
    <w:rsid w:val="56513E71"/>
    <w:rsid w:val="569D4132"/>
    <w:rsid w:val="56A51FD7"/>
    <w:rsid w:val="56A64C68"/>
    <w:rsid w:val="56AB682E"/>
    <w:rsid w:val="56C04CBA"/>
    <w:rsid w:val="57416FE6"/>
    <w:rsid w:val="57432B67"/>
    <w:rsid w:val="57604F14"/>
    <w:rsid w:val="576842AE"/>
    <w:rsid w:val="57727832"/>
    <w:rsid w:val="57727B09"/>
    <w:rsid w:val="5789229C"/>
    <w:rsid w:val="57D7792C"/>
    <w:rsid w:val="57E22484"/>
    <w:rsid w:val="58303499"/>
    <w:rsid w:val="58580892"/>
    <w:rsid w:val="589E5B75"/>
    <w:rsid w:val="58CD1D82"/>
    <w:rsid w:val="58E270B9"/>
    <w:rsid w:val="58F81928"/>
    <w:rsid w:val="59407EBE"/>
    <w:rsid w:val="59A72DDE"/>
    <w:rsid w:val="59AB380E"/>
    <w:rsid w:val="59D1465A"/>
    <w:rsid w:val="59DE4CE8"/>
    <w:rsid w:val="59F66E14"/>
    <w:rsid w:val="5A126FD6"/>
    <w:rsid w:val="5A411A82"/>
    <w:rsid w:val="5B0139B9"/>
    <w:rsid w:val="5B0A1DF3"/>
    <w:rsid w:val="5B292EE4"/>
    <w:rsid w:val="5BCD1522"/>
    <w:rsid w:val="5C293663"/>
    <w:rsid w:val="5C8A7922"/>
    <w:rsid w:val="5CC567E1"/>
    <w:rsid w:val="5CDE6540"/>
    <w:rsid w:val="5CE042A9"/>
    <w:rsid w:val="5CE63CCE"/>
    <w:rsid w:val="5D811DED"/>
    <w:rsid w:val="5D856AE7"/>
    <w:rsid w:val="5E814900"/>
    <w:rsid w:val="5EDF16B0"/>
    <w:rsid w:val="5EE46607"/>
    <w:rsid w:val="5F94732A"/>
    <w:rsid w:val="5F955078"/>
    <w:rsid w:val="5FAC7A18"/>
    <w:rsid w:val="60362966"/>
    <w:rsid w:val="604E4AEF"/>
    <w:rsid w:val="60525D6B"/>
    <w:rsid w:val="605F653C"/>
    <w:rsid w:val="609C316A"/>
    <w:rsid w:val="60C64F9C"/>
    <w:rsid w:val="60FA1843"/>
    <w:rsid w:val="613A1E65"/>
    <w:rsid w:val="6159760B"/>
    <w:rsid w:val="617521C7"/>
    <w:rsid w:val="619001AC"/>
    <w:rsid w:val="619C04BA"/>
    <w:rsid w:val="619C23FF"/>
    <w:rsid w:val="61AC311F"/>
    <w:rsid w:val="61EB10E4"/>
    <w:rsid w:val="622676F0"/>
    <w:rsid w:val="622E17AC"/>
    <w:rsid w:val="62341A6B"/>
    <w:rsid w:val="624A6191"/>
    <w:rsid w:val="62636BB5"/>
    <w:rsid w:val="62A227A0"/>
    <w:rsid w:val="62EA0C1E"/>
    <w:rsid w:val="636A6307"/>
    <w:rsid w:val="63915388"/>
    <w:rsid w:val="63D478D7"/>
    <w:rsid w:val="63E405BD"/>
    <w:rsid w:val="640B2A07"/>
    <w:rsid w:val="64633CEF"/>
    <w:rsid w:val="647167A3"/>
    <w:rsid w:val="64B617F1"/>
    <w:rsid w:val="64C21273"/>
    <w:rsid w:val="64E63246"/>
    <w:rsid w:val="64EF464F"/>
    <w:rsid w:val="655155A4"/>
    <w:rsid w:val="66235C59"/>
    <w:rsid w:val="66670E45"/>
    <w:rsid w:val="66A74D39"/>
    <w:rsid w:val="671C1057"/>
    <w:rsid w:val="67230C8D"/>
    <w:rsid w:val="672833C3"/>
    <w:rsid w:val="67564590"/>
    <w:rsid w:val="67A9110F"/>
    <w:rsid w:val="67B20DE5"/>
    <w:rsid w:val="67BA17B5"/>
    <w:rsid w:val="67C930C1"/>
    <w:rsid w:val="67E64564"/>
    <w:rsid w:val="683516A1"/>
    <w:rsid w:val="68417E22"/>
    <w:rsid w:val="68E62864"/>
    <w:rsid w:val="69555EAB"/>
    <w:rsid w:val="698F4CCC"/>
    <w:rsid w:val="69EE15A7"/>
    <w:rsid w:val="6A1261F1"/>
    <w:rsid w:val="6A2B3A54"/>
    <w:rsid w:val="6A343EA7"/>
    <w:rsid w:val="6A5D5A14"/>
    <w:rsid w:val="6A7C19BF"/>
    <w:rsid w:val="6AAB7162"/>
    <w:rsid w:val="6AD03711"/>
    <w:rsid w:val="6AD24E38"/>
    <w:rsid w:val="6B36131D"/>
    <w:rsid w:val="6B4559B8"/>
    <w:rsid w:val="6C506F08"/>
    <w:rsid w:val="6C802646"/>
    <w:rsid w:val="6D314D12"/>
    <w:rsid w:val="6D476F39"/>
    <w:rsid w:val="6D6C3F5A"/>
    <w:rsid w:val="6DE97A98"/>
    <w:rsid w:val="6E444A1C"/>
    <w:rsid w:val="6E5B6AB4"/>
    <w:rsid w:val="6EA7712A"/>
    <w:rsid w:val="6F09173B"/>
    <w:rsid w:val="6F881DFC"/>
    <w:rsid w:val="6FEA6F08"/>
    <w:rsid w:val="70BF04F0"/>
    <w:rsid w:val="70BF4319"/>
    <w:rsid w:val="70D17BB9"/>
    <w:rsid w:val="70E825B4"/>
    <w:rsid w:val="714F4073"/>
    <w:rsid w:val="71594345"/>
    <w:rsid w:val="71A72E42"/>
    <w:rsid w:val="71A73F63"/>
    <w:rsid w:val="72327480"/>
    <w:rsid w:val="72F32281"/>
    <w:rsid w:val="730259B9"/>
    <w:rsid w:val="73181B79"/>
    <w:rsid w:val="731B6C5A"/>
    <w:rsid w:val="735E3BB5"/>
    <w:rsid w:val="737D1F6C"/>
    <w:rsid w:val="7405276B"/>
    <w:rsid w:val="743E54DE"/>
    <w:rsid w:val="74726126"/>
    <w:rsid w:val="74CA003C"/>
    <w:rsid w:val="74DA2B1D"/>
    <w:rsid w:val="74E100B7"/>
    <w:rsid w:val="7523256C"/>
    <w:rsid w:val="75380513"/>
    <w:rsid w:val="754374F2"/>
    <w:rsid w:val="75826E09"/>
    <w:rsid w:val="75881F55"/>
    <w:rsid w:val="75894983"/>
    <w:rsid w:val="75903A06"/>
    <w:rsid w:val="75BD6C89"/>
    <w:rsid w:val="75ED54BF"/>
    <w:rsid w:val="763771C3"/>
    <w:rsid w:val="76FF4A63"/>
    <w:rsid w:val="77235A46"/>
    <w:rsid w:val="775B5C40"/>
    <w:rsid w:val="77C537F1"/>
    <w:rsid w:val="77CE655B"/>
    <w:rsid w:val="78100DD3"/>
    <w:rsid w:val="78565585"/>
    <w:rsid w:val="78594BAC"/>
    <w:rsid w:val="786B5CE6"/>
    <w:rsid w:val="78700E84"/>
    <w:rsid w:val="78727511"/>
    <w:rsid w:val="78E76B4A"/>
    <w:rsid w:val="78FE1A06"/>
    <w:rsid w:val="7965111F"/>
    <w:rsid w:val="798E256C"/>
    <w:rsid w:val="79B1214D"/>
    <w:rsid w:val="79B82AA7"/>
    <w:rsid w:val="79BA4CCB"/>
    <w:rsid w:val="79D41D1E"/>
    <w:rsid w:val="7A296EF2"/>
    <w:rsid w:val="7A2A25EE"/>
    <w:rsid w:val="7A3047F9"/>
    <w:rsid w:val="7A634892"/>
    <w:rsid w:val="7A685140"/>
    <w:rsid w:val="7A7846D0"/>
    <w:rsid w:val="7AA87C57"/>
    <w:rsid w:val="7AC20829"/>
    <w:rsid w:val="7ACD58DA"/>
    <w:rsid w:val="7B274DF3"/>
    <w:rsid w:val="7B42706D"/>
    <w:rsid w:val="7B830A59"/>
    <w:rsid w:val="7B895131"/>
    <w:rsid w:val="7BD217F3"/>
    <w:rsid w:val="7BDA6878"/>
    <w:rsid w:val="7C9632FF"/>
    <w:rsid w:val="7CE862E7"/>
    <w:rsid w:val="7CFA7F8C"/>
    <w:rsid w:val="7D352305"/>
    <w:rsid w:val="7D40019E"/>
    <w:rsid w:val="7D423420"/>
    <w:rsid w:val="7DBC1DDD"/>
    <w:rsid w:val="7DD50D57"/>
    <w:rsid w:val="7E1B37E8"/>
    <w:rsid w:val="7E6B15E9"/>
    <w:rsid w:val="7E8330C8"/>
    <w:rsid w:val="7EA023D4"/>
    <w:rsid w:val="7ECE61B3"/>
    <w:rsid w:val="7ED97D36"/>
    <w:rsid w:val="7F627F9A"/>
    <w:rsid w:val="7F8C5343"/>
    <w:rsid w:val="7FD44C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1"/>
    <w:link w:val="49"/>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32">
    <w:name w:val="Default Paragraph Font"/>
    <w:unhideWhenUsed/>
    <w:uiPriority w:val="1"/>
  </w:style>
  <w:style w:type="table" w:default="1" w:styleId="30">
    <w:name w:val="Normal Table"/>
    <w:unhideWhenUsed/>
    <w:uiPriority w:val="99"/>
    <w:tblPr>
      <w:tblStyle w:val="30"/>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Calibri" w:hAnsi="Calibri" w:eastAsia="宋体" w:cs="Times New Roman"/>
      <w:szCs w:val="22"/>
    </w:rPr>
  </w:style>
  <w:style w:type="paragraph" w:styleId="7">
    <w:name w:val="Normal Indent"/>
    <w:basedOn w:val="1"/>
    <w:link w:val="50"/>
    <w:unhideWhenUsed/>
    <w:qFormat/>
    <w:uiPriority w:val="0"/>
    <w:pPr>
      <w:ind w:firstLine="200" w:firstLineChars="200"/>
    </w:pPr>
    <w:rPr>
      <w:rFonts w:ascii="Times" w:hAnsi="Times" w:eastAsia="仿宋_GB2312"/>
      <w:sz w:val="28"/>
    </w:rPr>
  </w:style>
  <w:style w:type="paragraph" w:styleId="8">
    <w:name w:val="Document Map"/>
    <w:basedOn w:val="1"/>
    <w:link w:val="51"/>
    <w:unhideWhenUsed/>
    <w:qFormat/>
    <w:uiPriority w:val="99"/>
    <w:rPr>
      <w:rFonts w:ascii="宋体"/>
      <w:sz w:val="18"/>
      <w:szCs w:val="18"/>
    </w:rPr>
  </w:style>
  <w:style w:type="paragraph" w:styleId="9">
    <w:name w:val="annotation text"/>
    <w:basedOn w:val="1"/>
    <w:link w:val="52"/>
    <w:qFormat/>
    <w:uiPriority w:val="99"/>
    <w:pPr>
      <w:jc w:val="left"/>
    </w:pPr>
    <w:rPr>
      <w:rFonts w:eastAsia="宋体" w:cs="Times New Roman"/>
      <w:sz w:val="28"/>
    </w:rPr>
  </w:style>
  <w:style w:type="paragraph" w:styleId="10">
    <w:name w:val="Body Text"/>
    <w:basedOn w:val="1"/>
    <w:link w:val="53"/>
    <w:qFormat/>
    <w:uiPriority w:val="0"/>
    <w:pPr>
      <w:spacing w:after="120"/>
    </w:pPr>
  </w:style>
  <w:style w:type="paragraph" w:styleId="11">
    <w:name w:val="Body Text Indent"/>
    <w:basedOn w:val="1"/>
    <w:link w:val="54"/>
    <w:unhideWhenUsed/>
    <w:qFormat/>
    <w:uiPriority w:val="99"/>
    <w:pPr>
      <w:spacing w:after="120"/>
      <w:ind w:left="420" w:leftChars="200"/>
    </w:pPr>
    <w:rPr>
      <w:szCs w:val="22"/>
    </w:rPr>
  </w:style>
  <w:style w:type="paragraph" w:styleId="12">
    <w:name w:val="toc 5"/>
    <w:basedOn w:val="1"/>
    <w:next w:val="1"/>
    <w:unhideWhenUsed/>
    <w:qFormat/>
    <w:uiPriority w:val="39"/>
    <w:pPr>
      <w:ind w:left="1680" w:leftChars="800"/>
    </w:pPr>
    <w:rPr>
      <w:rFonts w:ascii="Calibri" w:hAnsi="Calibri" w:eastAsia="宋体" w:cs="Times New Roman"/>
      <w:szCs w:val="22"/>
    </w:rPr>
  </w:style>
  <w:style w:type="paragraph" w:styleId="13">
    <w:name w:val="toc 3"/>
    <w:basedOn w:val="1"/>
    <w:next w:val="1"/>
    <w:qFormat/>
    <w:uiPriority w:val="39"/>
    <w:pPr>
      <w:spacing w:line="360" w:lineRule="auto"/>
      <w:ind w:left="420"/>
      <w:jc w:val="left"/>
    </w:pPr>
    <w:rPr>
      <w:rFonts w:ascii="Calibri" w:hAnsi="Calibri"/>
      <w:iCs/>
      <w:sz w:val="24"/>
      <w:szCs w:val="20"/>
    </w:rPr>
  </w:style>
  <w:style w:type="paragraph" w:styleId="14">
    <w:name w:val="Plain Text"/>
    <w:basedOn w:val="1"/>
    <w:next w:val="1"/>
    <w:link w:val="55"/>
    <w:qFormat/>
    <w:uiPriority w:val="0"/>
    <w:rPr>
      <w:rFonts w:ascii="宋体" w:hAnsi="Courier New" w:cs="Courier New"/>
      <w:szCs w:val="21"/>
    </w:rPr>
  </w:style>
  <w:style w:type="paragraph" w:styleId="15">
    <w:name w:val="toc 8"/>
    <w:basedOn w:val="1"/>
    <w:next w:val="1"/>
    <w:unhideWhenUsed/>
    <w:qFormat/>
    <w:uiPriority w:val="39"/>
    <w:pPr>
      <w:ind w:left="2940" w:leftChars="1400"/>
    </w:pPr>
    <w:rPr>
      <w:rFonts w:ascii="Calibri" w:hAnsi="Calibri" w:eastAsia="宋体" w:cs="Times New Roman"/>
      <w:szCs w:val="22"/>
    </w:rPr>
  </w:style>
  <w:style w:type="paragraph" w:styleId="16">
    <w:name w:val="Body Text Indent 2"/>
    <w:basedOn w:val="1"/>
    <w:link w:val="56"/>
    <w:unhideWhenUsed/>
    <w:qFormat/>
    <w:uiPriority w:val="99"/>
    <w:pPr>
      <w:spacing w:after="120" w:line="480" w:lineRule="auto"/>
      <w:ind w:left="420" w:leftChars="200"/>
    </w:pPr>
    <w:rPr>
      <w:szCs w:val="22"/>
    </w:rPr>
  </w:style>
  <w:style w:type="paragraph" w:styleId="17">
    <w:name w:val="Balloon Text"/>
    <w:basedOn w:val="1"/>
    <w:link w:val="57"/>
    <w:unhideWhenUsed/>
    <w:qFormat/>
    <w:uiPriority w:val="0"/>
    <w:rPr>
      <w:sz w:val="18"/>
      <w:szCs w:val="18"/>
    </w:rPr>
  </w:style>
  <w:style w:type="paragraph" w:styleId="18">
    <w:name w:val="footer"/>
    <w:basedOn w:val="1"/>
    <w:link w:val="58"/>
    <w:unhideWhenUsed/>
    <w:qFormat/>
    <w:uiPriority w:val="0"/>
    <w:pPr>
      <w:tabs>
        <w:tab w:val="center" w:pos="4153"/>
        <w:tab w:val="right" w:pos="8306"/>
      </w:tabs>
      <w:snapToGrid w:val="0"/>
      <w:jc w:val="left"/>
    </w:pPr>
    <w:rPr>
      <w:sz w:val="18"/>
      <w:szCs w:val="18"/>
    </w:rPr>
  </w:style>
  <w:style w:type="paragraph" w:styleId="19">
    <w:name w:val="header"/>
    <w:basedOn w:val="1"/>
    <w:link w:val="59"/>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line="360" w:lineRule="auto"/>
      <w:jc w:val="left"/>
    </w:pPr>
    <w:rPr>
      <w:rFonts w:ascii="Calibri" w:hAnsi="Calibri"/>
      <w:b/>
      <w:bCs/>
      <w:caps/>
      <w:sz w:val="28"/>
      <w:szCs w:val="20"/>
    </w:rPr>
  </w:style>
  <w:style w:type="paragraph" w:styleId="21">
    <w:name w:val="toc 4"/>
    <w:basedOn w:val="1"/>
    <w:next w:val="1"/>
    <w:unhideWhenUsed/>
    <w:qFormat/>
    <w:uiPriority w:val="39"/>
    <w:pPr>
      <w:ind w:left="1260" w:leftChars="600"/>
    </w:pPr>
    <w:rPr>
      <w:rFonts w:ascii="Calibri" w:hAnsi="Calibri" w:eastAsia="宋体" w:cs="Times New Roman"/>
      <w:szCs w:val="22"/>
    </w:rPr>
  </w:style>
  <w:style w:type="paragraph" w:styleId="22">
    <w:name w:val="toc 6"/>
    <w:basedOn w:val="1"/>
    <w:next w:val="1"/>
    <w:unhideWhenUsed/>
    <w:qFormat/>
    <w:uiPriority w:val="39"/>
    <w:pPr>
      <w:ind w:left="2100" w:leftChars="1000"/>
    </w:pPr>
    <w:rPr>
      <w:rFonts w:ascii="Calibri" w:hAnsi="Calibri" w:eastAsia="宋体" w:cs="Times New Roman"/>
      <w:szCs w:val="22"/>
    </w:rPr>
  </w:style>
  <w:style w:type="paragraph" w:styleId="23">
    <w:name w:val="toc 2"/>
    <w:basedOn w:val="1"/>
    <w:next w:val="1"/>
    <w:qFormat/>
    <w:uiPriority w:val="39"/>
    <w:pPr>
      <w:spacing w:line="360" w:lineRule="auto"/>
      <w:ind w:left="210"/>
      <w:jc w:val="left"/>
    </w:pPr>
    <w:rPr>
      <w:rFonts w:ascii="Calibri" w:hAnsi="Calibri"/>
      <w:smallCaps/>
      <w:sz w:val="24"/>
      <w:szCs w:val="20"/>
    </w:rPr>
  </w:style>
  <w:style w:type="paragraph" w:styleId="24">
    <w:name w:val="toc 9"/>
    <w:basedOn w:val="1"/>
    <w:next w:val="1"/>
    <w:unhideWhenUsed/>
    <w:qFormat/>
    <w:uiPriority w:val="39"/>
    <w:pPr>
      <w:ind w:left="3360" w:leftChars="1600"/>
    </w:pPr>
    <w:rPr>
      <w:rFonts w:ascii="Calibri" w:hAnsi="Calibri" w:eastAsia="宋体" w:cs="Times New Roman"/>
      <w:szCs w:val="22"/>
    </w:rPr>
  </w:style>
  <w:style w:type="paragraph" w:styleId="25">
    <w:name w:val="Normal (Web)"/>
    <w:basedOn w:val="1"/>
    <w:unhideWhenUsed/>
    <w:qFormat/>
    <w:uiPriority w:val="99"/>
    <w:pPr>
      <w:spacing w:beforeAutospacing="1" w:afterAutospacing="1"/>
      <w:jc w:val="left"/>
    </w:pPr>
    <w:rPr>
      <w:kern w:val="0"/>
      <w:sz w:val="24"/>
    </w:rPr>
  </w:style>
  <w:style w:type="paragraph" w:styleId="26">
    <w:name w:val="annotation subject"/>
    <w:basedOn w:val="9"/>
    <w:next w:val="9"/>
    <w:link w:val="60"/>
    <w:unhideWhenUsed/>
    <w:qFormat/>
    <w:uiPriority w:val="99"/>
    <w:rPr>
      <w:rFonts w:eastAsia="宋体" w:cs="Times New Roman"/>
      <w:b/>
      <w:bCs/>
      <w:sz w:val="21"/>
      <w:szCs w:val="22"/>
    </w:rPr>
  </w:style>
  <w:style w:type="paragraph" w:styleId="27">
    <w:name w:val="Body Text First Indent"/>
    <w:basedOn w:val="10"/>
    <w:link w:val="61"/>
    <w:qFormat/>
    <w:uiPriority w:val="0"/>
    <w:pPr>
      <w:ind w:firstLine="420" w:firstLineChars="100"/>
    </w:pPr>
    <w:rPr>
      <w:sz w:val="28"/>
      <w:szCs w:val="20"/>
    </w:rPr>
  </w:style>
  <w:style w:type="paragraph" w:styleId="28">
    <w:name w:val="Body Text First Indent 2"/>
    <w:basedOn w:val="11"/>
    <w:next w:val="29"/>
    <w:unhideWhenUsed/>
    <w:qFormat/>
    <w:uiPriority w:val="99"/>
    <w:pPr>
      <w:widowControl/>
      <w:tabs>
        <w:tab w:val="left" w:pos="960"/>
      </w:tabs>
      <w:adjustRightInd w:val="0"/>
      <w:snapToGrid w:val="0"/>
      <w:spacing w:beforeLines="25" w:afterLines="25"/>
      <w:ind w:left="960" w:hanging="420"/>
      <w:jc w:val="left"/>
      <w:textAlignment w:val="baseline"/>
    </w:pPr>
    <w:rPr>
      <w:rFonts w:ascii="宋体"/>
      <w:b/>
      <w:bCs/>
      <w:kern w:val="0"/>
      <w:sz w:val="28"/>
      <w:szCs w:val="20"/>
    </w:rPr>
  </w:style>
  <w:style w:type="paragraph" w:customStyle="1" w:styleId="29">
    <w:name w:val="样式 正文首行缩进 2 + (符号) 仿宋_GB2312 小三 行距: 单倍行距"/>
    <w:basedOn w:val="28"/>
    <w:next w:val="1"/>
    <w:qFormat/>
    <w:uiPriority w:val="0"/>
    <w:pPr>
      <w:tabs>
        <w:tab w:val="left" w:pos="5327"/>
        <w:tab w:val="left" w:pos="6326"/>
        <w:tab w:val="left" w:pos="7230"/>
        <w:tab w:val="left" w:pos="9301"/>
        <w:tab w:val="clear" w:pos="960"/>
      </w:tabs>
      <w:spacing w:line="360" w:lineRule="auto"/>
      <w:ind w:left="0" w:firstLine="600"/>
    </w:pPr>
    <w:rPr>
      <w:rFonts w:ascii="仿宋_GB2312" w:hAnsi="仿宋_GB2312" w:cs="仿宋_GB2312"/>
      <w:color w:val="000000"/>
      <w:kern w:val="28"/>
    </w:rPr>
  </w:style>
  <w:style w:type="table" w:styleId="31">
    <w:name w:val="Table Grid"/>
    <w:basedOn w:val="30"/>
    <w:qFormat/>
    <w:uiPriority w:val="59"/>
    <w:tblPr>
      <w:tblStyle w:val="3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22"/>
    <w:rPr>
      <w:b/>
    </w:rPr>
  </w:style>
  <w:style w:type="character" w:styleId="34">
    <w:name w:val="page number"/>
    <w:qFormat/>
    <w:uiPriority w:val="0"/>
  </w:style>
  <w:style w:type="character" w:styleId="35">
    <w:name w:val="FollowedHyperlink"/>
    <w:unhideWhenUsed/>
    <w:qFormat/>
    <w:uiPriority w:val="99"/>
    <w:rPr>
      <w:color w:val="1687CB"/>
      <w:u w:val="none"/>
    </w:rPr>
  </w:style>
  <w:style w:type="character" w:styleId="36">
    <w:name w:val="Emphasis"/>
    <w:qFormat/>
    <w:uiPriority w:val="20"/>
  </w:style>
  <w:style w:type="character" w:styleId="37">
    <w:name w:val="HTML Definition"/>
    <w:unhideWhenUsed/>
    <w:qFormat/>
    <w:uiPriority w:val="99"/>
  </w:style>
  <w:style w:type="character" w:styleId="38">
    <w:name w:val="HTML Acronym"/>
    <w:unhideWhenUsed/>
    <w:qFormat/>
    <w:uiPriority w:val="99"/>
  </w:style>
  <w:style w:type="character" w:styleId="39">
    <w:name w:val="HTML Variable"/>
    <w:unhideWhenUsed/>
    <w:qFormat/>
    <w:uiPriority w:val="99"/>
  </w:style>
  <w:style w:type="character" w:styleId="40">
    <w:name w:val="Hyperlink"/>
    <w:unhideWhenUsed/>
    <w:qFormat/>
    <w:uiPriority w:val="99"/>
    <w:rPr>
      <w:color w:val="000000"/>
      <w:u w:val="none"/>
    </w:rPr>
  </w:style>
  <w:style w:type="character" w:styleId="41">
    <w:name w:val="HTML Code"/>
    <w:unhideWhenUsed/>
    <w:qFormat/>
    <w:uiPriority w:val="99"/>
    <w:rPr>
      <w:rFonts w:hint="default" w:ascii="serif" w:hAnsi="serif" w:eastAsia="serif" w:cs="serif"/>
      <w:sz w:val="21"/>
      <w:szCs w:val="21"/>
    </w:rPr>
  </w:style>
  <w:style w:type="character" w:styleId="42">
    <w:name w:val="annotation reference"/>
    <w:unhideWhenUsed/>
    <w:qFormat/>
    <w:uiPriority w:val="99"/>
    <w:rPr>
      <w:sz w:val="21"/>
      <w:szCs w:val="21"/>
    </w:rPr>
  </w:style>
  <w:style w:type="character" w:styleId="43">
    <w:name w:val="HTML Cite"/>
    <w:unhideWhenUsed/>
    <w:qFormat/>
    <w:uiPriority w:val="99"/>
  </w:style>
  <w:style w:type="character" w:styleId="44">
    <w:name w:val="HTML Keyboard"/>
    <w:unhideWhenUsed/>
    <w:qFormat/>
    <w:uiPriority w:val="99"/>
    <w:rPr>
      <w:rFonts w:hint="default" w:ascii="serif" w:hAnsi="serif" w:eastAsia="serif" w:cs="serif"/>
      <w:sz w:val="21"/>
      <w:szCs w:val="21"/>
    </w:rPr>
  </w:style>
  <w:style w:type="character" w:styleId="45">
    <w:name w:val="HTML Sample"/>
    <w:unhideWhenUsed/>
    <w:qFormat/>
    <w:uiPriority w:val="99"/>
    <w:rPr>
      <w:rFonts w:ascii="serif" w:hAnsi="serif" w:eastAsia="serif" w:cs="serif"/>
      <w:sz w:val="21"/>
      <w:szCs w:val="21"/>
    </w:rPr>
  </w:style>
  <w:style w:type="character" w:customStyle="1" w:styleId="46">
    <w:name w:val="标题 1 字符"/>
    <w:link w:val="2"/>
    <w:qFormat/>
    <w:uiPriority w:val="0"/>
    <w:rPr>
      <w:rFonts w:ascii="Times New Roman" w:hAnsi="Times New Roman" w:eastAsia="宋体" w:cs="Times New Roman"/>
      <w:b/>
      <w:bCs/>
      <w:kern w:val="44"/>
      <w:sz w:val="44"/>
      <w:szCs w:val="44"/>
    </w:rPr>
  </w:style>
  <w:style w:type="character" w:customStyle="1" w:styleId="47">
    <w:name w:val="标题 2 字符"/>
    <w:link w:val="3"/>
    <w:qFormat/>
    <w:uiPriority w:val="0"/>
    <w:rPr>
      <w:rFonts w:ascii="等线 Light" w:hAnsi="等线 Light" w:eastAsia="等线 Light" w:cs="Times New Roman"/>
      <w:b/>
      <w:bCs/>
      <w:sz w:val="32"/>
      <w:szCs w:val="32"/>
    </w:rPr>
  </w:style>
  <w:style w:type="character" w:customStyle="1" w:styleId="48">
    <w:name w:val="标题 3 字符"/>
    <w:link w:val="4"/>
    <w:qFormat/>
    <w:uiPriority w:val="0"/>
    <w:rPr>
      <w:rFonts w:ascii="Times New Roman" w:hAnsi="Times New Roman" w:eastAsia="宋体" w:cs="Times New Roman"/>
      <w:b/>
      <w:bCs/>
      <w:sz w:val="32"/>
      <w:szCs w:val="32"/>
    </w:rPr>
  </w:style>
  <w:style w:type="character" w:customStyle="1" w:styleId="49">
    <w:name w:val="标题 4 字符"/>
    <w:link w:val="5"/>
    <w:qFormat/>
    <w:uiPriority w:val="0"/>
    <w:rPr>
      <w:rFonts w:ascii="Cambria" w:hAnsi="Cambria" w:eastAsia="宋体" w:cs="Times New Roman"/>
      <w:b/>
      <w:bCs/>
      <w:sz w:val="28"/>
      <w:szCs w:val="28"/>
    </w:rPr>
  </w:style>
  <w:style w:type="character" w:customStyle="1" w:styleId="50">
    <w:name w:val="正文缩进 字符"/>
    <w:link w:val="7"/>
    <w:qFormat/>
    <w:uiPriority w:val="0"/>
    <w:rPr>
      <w:rFonts w:ascii="Times" w:hAnsi="Times" w:eastAsia="仿宋_GB2312"/>
      <w:kern w:val="2"/>
      <w:sz w:val="28"/>
      <w:szCs w:val="24"/>
    </w:rPr>
  </w:style>
  <w:style w:type="character" w:customStyle="1" w:styleId="51">
    <w:name w:val="文档结构图 字符"/>
    <w:link w:val="8"/>
    <w:semiHidden/>
    <w:qFormat/>
    <w:uiPriority w:val="99"/>
    <w:rPr>
      <w:rFonts w:ascii="宋体" w:hAnsi="Times New Roman" w:eastAsia="宋体" w:cs="Times New Roman"/>
      <w:sz w:val="18"/>
      <w:szCs w:val="18"/>
    </w:rPr>
  </w:style>
  <w:style w:type="character" w:customStyle="1" w:styleId="52">
    <w:name w:val="批注文字 字符"/>
    <w:link w:val="9"/>
    <w:qFormat/>
    <w:uiPriority w:val="99"/>
    <w:rPr>
      <w:rFonts w:ascii="Times New Roman" w:hAnsi="Times New Roman"/>
      <w:sz w:val="28"/>
      <w:szCs w:val="24"/>
    </w:rPr>
  </w:style>
  <w:style w:type="character" w:customStyle="1" w:styleId="53">
    <w:name w:val="正文文本 字符"/>
    <w:link w:val="10"/>
    <w:qFormat/>
    <w:uiPriority w:val="0"/>
    <w:rPr>
      <w:rFonts w:ascii="Times New Roman" w:hAnsi="Times New Roman" w:eastAsia="宋体" w:cs="Times New Roman"/>
      <w:szCs w:val="24"/>
    </w:rPr>
  </w:style>
  <w:style w:type="character" w:customStyle="1" w:styleId="54">
    <w:name w:val="正文文本缩进 字符"/>
    <w:link w:val="11"/>
    <w:semiHidden/>
    <w:qFormat/>
    <w:uiPriority w:val="99"/>
    <w:rPr>
      <w:rFonts w:ascii="Times New Roman" w:hAnsi="Times New Roman" w:eastAsia="宋体" w:cs="Times New Roman"/>
    </w:rPr>
  </w:style>
  <w:style w:type="character" w:customStyle="1" w:styleId="55">
    <w:name w:val="纯文本 字符"/>
    <w:link w:val="14"/>
    <w:qFormat/>
    <w:uiPriority w:val="0"/>
    <w:rPr>
      <w:rFonts w:ascii="宋体" w:hAnsi="Courier New" w:eastAsia="宋体" w:cs="Courier New"/>
      <w:szCs w:val="21"/>
    </w:rPr>
  </w:style>
  <w:style w:type="character" w:customStyle="1" w:styleId="56">
    <w:name w:val="正文文本缩进 2 字符"/>
    <w:link w:val="16"/>
    <w:semiHidden/>
    <w:qFormat/>
    <w:uiPriority w:val="99"/>
    <w:rPr>
      <w:rFonts w:ascii="Times New Roman" w:hAnsi="Times New Roman" w:eastAsia="宋体" w:cs="Times New Roman"/>
    </w:rPr>
  </w:style>
  <w:style w:type="character" w:customStyle="1" w:styleId="57">
    <w:name w:val="批注框文本 字符"/>
    <w:link w:val="17"/>
    <w:qFormat/>
    <w:uiPriority w:val="0"/>
    <w:rPr>
      <w:rFonts w:ascii="Times New Roman" w:hAnsi="Times New Roman" w:eastAsia="宋体" w:cs="Times New Roman"/>
      <w:sz w:val="18"/>
      <w:szCs w:val="18"/>
    </w:rPr>
  </w:style>
  <w:style w:type="character" w:customStyle="1" w:styleId="58">
    <w:name w:val="页脚 字符"/>
    <w:link w:val="18"/>
    <w:qFormat/>
    <w:uiPriority w:val="0"/>
    <w:rPr>
      <w:rFonts w:ascii="Times New Roman" w:hAnsi="Times New Roman" w:eastAsia="宋体" w:cs="Times New Roman"/>
      <w:sz w:val="18"/>
      <w:szCs w:val="18"/>
    </w:rPr>
  </w:style>
  <w:style w:type="character" w:customStyle="1" w:styleId="59">
    <w:name w:val="页眉 字符"/>
    <w:link w:val="19"/>
    <w:qFormat/>
    <w:uiPriority w:val="99"/>
    <w:rPr>
      <w:rFonts w:ascii="Times New Roman" w:hAnsi="Times New Roman" w:eastAsia="宋体" w:cs="Times New Roman"/>
      <w:sz w:val="18"/>
      <w:szCs w:val="18"/>
    </w:rPr>
  </w:style>
  <w:style w:type="character" w:customStyle="1" w:styleId="60">
    <w:name w:val="批注主题 字符"/>
    <w:link w:val="26"/>
    <w:semiHidden/>
    <w:qFormat/>
    <w:uiPriority w:val="99"/>
    <w:rPr>
      <w:rFonts w:ascii="Times New Roman" w:hAnsi="Times New Roman" w:eastAsia="宋体" w:cs="Times New Roman"/>
      <w:b/>
      <w:bCs/>
      <w:sz w:val="28"/>
      <w:szCs w:val="24"/>
    </w:rPr>
  </w:style>
  <w:style w:type="character" w:customStyle="1" w:styleId="61">
    <w:name w:val="正文文本首行缩进 字符"/>
    <w:link w:val="27"/>
    <w:qFormat/>
    <w:uiPriority w:val="0"/>
    <w:rPr>
      <w:rFonts w:ascii="Times New Roman" w:hAnsi="Times New Roman" w:eastAsia="宋体" w:cs="Times New Roman"/>
      <w:sz w:val="28"/>
      <w:szCs w:val="20"/>
    </w:rPr>
  </w:style>
  <w:style w:type="paragraph" w:customStyle="1" w:styleId="62">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character" w:customStyle="1" w:styleId="63">
    <w:name w:val="正文文本 (2)_"/>
    <w:link w:val="64"/>
    <w:qFormat/>
    <w:uiPriority w:val="0"/>
    <w:rPr>
      <w:rFonts w:ascii="MingLiU" w:eastAsia="MingLiU" w:cs="MingLiU"/>
      <w:kern w:val="0"/>
      <w:sz w:val="26"/>
      <w:szCs w:val="26"/>
    </w:rPr>
  </w:style>
  <w:style w:type="paragraph" w:customStyle="1" w:styleId="64">
    <w:name w:val="正文文本 (2)1"/>
    <w:basedOn w:val="1"/>
    <w:link w:val="63"/>
    <w:semiHidden/>
    <w:qFormat/>
    <w:uiPriority w:val="0"/>
    <w:pPr>
      <w:shd w:val="clear" w:color="auto" w:fill="FFFFFF"/>
      <w:spacing w:line="312" w:lineRule="exact"/>
      <w:ind w:hanging="1660"/>
      <w:jc w:val="distribute"/>
    </w:pPr>
    <w:rPr>
      <w:rFonts w:ascii="MingLiU" w:eastAsia="MingLiU" w:cs="MingLiU"/>
      <w:kern w:val="0"/>
      <w:sz w:val="26"/>
      <w:szCs w:val="26"/>
    </w:rPr>
  </w:style>
  <w:style w:type="character" w:customStyle="1" w:styleId="65">
    <w:name w:val="页脚 字符1"/>
    <w:qFormat/>
    <w:uiPriority w:val="0"/>
    <w:rPr>
      <w:kern w:val="2"/>
      <w:sz w:val="18"/>
      <w:szCs w:val="18"/>
    </w:rPr>
  </w:style>
  <w:style w:type="character" w:customStyle="1" w:styleId="66">
    <w:name w:val="页脚 Char"/>
    <w:qFormat/>
    <w:uiPriority w:val="0"/>
    <w:rPr>
      <w:rFonts w:ascii="Times New Roman" w:hAnsi="Times New Roman" w:eastAsia="宋体" w:cs="Times New Roman"/>
      <w:sz w:val="18"/>
      <w:szCs w:val="18"/>
    </w:rPr>
  </w:style>
  <w:style w:type="character" w:customStyle="1" w:styleId="67">
    <w:name w:val="标题 3 字符1"/>
    <w:qFormat/>
    <w:uiPriority w:val="0"/>
    <w:rPr>
      <w:rFonts w:ascii="Times New Roman" w:hAnsi="Times New Roman" w:eastAsia="黑体"/>
      <w:kern w:val="2"/>
      <w:sz w:val="28"/>
      <w:szCs w:val="28"/>
    </w:rPr>
  </w:style>
  <w:style w:type="character" w:customStyle="1" w:styleId="68">
    <w:name w:val="正文1 Char Char"/>
    <w:link w:val="69"/>
    <w:qFormat/>
    <w:uiPriority w:val="0"/>
    <w:rPr>
      <w:rFonts w:ascii="Arial Narrow" w:hAnsi="Arial Narrow" w:eastAsia="宋体" w:cs="Times New Roman"/>
      <w:color w:val="000000"/>
      <w:kern w:val="10"/>
      <w:sz w:val="28"/>
      <w:szCs w:val="28"/>
      <w:lang w:val="zh-CN"/>
    </w:rPr>
  </w:style>
  <w:style w:type="paragraph" w:customStyle="1" w:styleId="69">
    <w:name w:val="正文1 Char"/>
    <w:basedOn w:val="1"/>
    <w:link w:val="68"/>
    <w:qFormat/>
    <w:uiPriority w:val="0"/>
    <w:pPr>
      <w:tabs>
        <w:tab w:val="left" w:pos="5327"/>
        <w:tab w:val="left" w:pos="6326"/>
        <w:tab w:val="left" w:pos="7230"/>
        <w:tab w:val="left" w:pos="9301"/>
      </w:tabs>
      <w:autoSpaceDE w:val="0"/>
      <w:autoSpaceDN w:val="0"/>
      <w:adjustRightInd w:val="0"/>
      <w:snapToGrid w:val="0"/>
      <w:spacing w:line="500" w:lineRule="exact"/>
      <w:ind w:firstLine="560" w:firstLineChars="200"/>
    </w:pPr>
    <w:rPr>
      <w:rFonts w:ascii="Arial Narrow" w:hAnsi="Arial Narrow"/>
      <w:color w:val="000000"/>
      <w:kern w:val="10"/>
      <w:sz w:val="28"/>
      <w:szCs w:val="28"/>
      <w:lang w:val="zh-CN"/>
    </w:rPr>
  </w:style>
  <w:style w:type="character" w:customStyle="1" w:styleId="70">
    <w:name w:val="未处理的提及2"/>
    <w:unhideWhenUsed/>
    <w:qFormat/>
    <w:uiPriority w:val="99"/>
    <w:rPr>
      <w:color w:val="605E5C"/>
      <w:shd w:val="clear" w:color="auto" w:fill="E1DFDD"/>
    </w:rPr>
  </w:style>
  <w:style w:type="character" w:customStyle="1" w:styleId="71">
    <w:name w:val="正文1 Char Char Char Char Char Char Char Char"/>
    <w:link w:val="72"/>
    <w:qFormat/>
    <w:uiPriority w:val="0"/>
    <w:rPr>
      <w:rFonts w:ascii="Arial Narrow" w:hAnsi="Arial Narrow" w:eastAsia="仿宋_GB2312" w:cs="Times New Roman"/>
      <w:color w:val="000000"/>
      <w:kern w:val="10"/>
      <w:sz w:val="28"/>
      <w:szCs w:val="28"/>
    </w:rPr>
  </w:style>
  <w:style w:type="paragraph" w:customStyle="1" w:styleId="72">
    <w:name w:val="正文1 Char Char Char Char Char Char Char"/>
    <w:basedOn w:val="1"/>
    <w:link w:val="71"/>
    <w:qFormat/>
    <w:uiPriority w:val="0"/>
    <w:pPr>
      <w:tabs>
        <w:tab w:val="left" w:pos="5327"/>
        <w:tab w:val="left" w:pos="6326"/>
        <w:tab w:val="left" w:pos="7230"/>
        <w:tab w:val="left" w:pos="9301"/>
      </w:tabs>
      <w:autoSpaceDE w:val="0"/>
      <w:autoSpaceDN w:val="0"/>
      <w:adjustRightInd w:val="0"/>
      <w:snapToGrid w:val="0"/>
      <w:spacing w:line="600" w:lineRule="exact"/>
      <w:ind w:firstLine="560" w:firstLineChars="200"/>
      <w:jc w:val="left"/>
    </w:pPr>
    <w:rPr>
      <w:rFonts w:ascii="Arial Narrow" w:hAnsi="Arial Narrow" w:eastAsia="仿宋_GB2312"/>
      <w:color w:val="000000"/>
      <w:kern w:val="10"/>
      <w:sz w:val="28"/>
      <w:szCs w:val="28"/>
    </w:rPr>
  </w:style>
  <w:style w:type="character" w:customStyle="1" w:styleId="73">
    <w:name w:val="未处理的提及1"/>
    <w:unhideWhenUsed/>
    <w:qFormat/>
    <w:uiPriority w:val="99"/>
    <w:rPr>
      <w:color w:val="605E5C"/>
      <w:shd w:val="clear" w:color="auto" w:fill="E1DFDD"/>
    </w:rPr>
  </w:style>
  <w:style w:type="character" w:customStyle="1" w:styleId="74">
    <w:name w:val="font10 Char Char"/>
    <w:uiPriority w:val="0"/>
    <w:rPr>
      <w:rFonts w:ascii="宋体" w:hAnsi="宋体" w:eastAsia="宋体"/>
      <w:color w:val="FF00FF"/>
      <w:lang w:val="en-US" w:eastAsia="zh-CN" w:bidi="ar-SA"/>
    </w:rPr>
  </w:style>
  <w:style w:type="paragraph" w:customStyle="1" w:styleId="75">
    <w:name w:val="二级条标题"/>
    <w:basedOn w:val="1"/>
    <w:next w:val="4"/>
    <w:qFormat/>
    <w:uiPriority w:val="0"/>
    <w:pPr>
      <w:widowControl/>
      <w:numPr>
        <w:ilvl w:val="0"/>
        <w:numId w:val="1"/>
      </w:numPr>
      <w:ind w:left="840" w:firstLine="0"/>
      <w:outlineLvl w:val="3"/>
    </w:pPr>
    <w:rPr>
      <w:rFonts w:ascii="黑体" w:hAnsi="Calibri" w:eastAsia="黑体"/>
      <w:kern w:val="0"/>
      <w:szCs w:val="20"/>
    </w:rPr>
  </w:style>
  <w:style w:type="paragraph" w:customStyle="1" w:styleId="76">
    <w:name w:val="样式 正文首行缩进 + 首行缩进:  1 字符"/>
    <w:basedOn w:val="27"/>
    <w:semiHidden/>
    <w:qFormat/>
    <w:uiPriority w:val="0"/>
    <w:pPr>
      <w:tabs>
        <w:tab w:val="left" w:pos="5327"/>
        <w:tab w:val="left" w:pos="6326"/>
        <w:tab w:val="left" w:pos="7230"/>
        <w:tab w:val="left" w:pos="9301"/>
      </w:tabs>
      <w:spacing w:after="0" w:line="560" w:lineRule="exact"/>
      <w:ind w:firstLine="560" w:firstLineChars="200"/>
      <w:jc w:val="left"/>
    </w:pPr>
    <w:rPr>
      <w:rFonts w:ascii="宋体" w:hAnsi="宋体" w:cs="宋体"/>
      <w:kern w:val="10"/>
      <w:szCs w:val="28"/>
    </w:rPr>
  </w:style>
  <w:style w:type="paragraph" w:customStyle="1" w:styleId="77">
    <w:name w:val="Table Paragraph"/>
    <w:basedOn w:val="1"/>
    <w:qFormat/>
    <w:uiPriority w:val="1"/>
    <w:pPr>
      <w:spacing w:before="184"/>
      <w:jc w:val="center"/>
    </w:pPr>
    <w:rPr>
      <w:rFonts w:eastAsia="Times New Roman"/>
      <w:lang w:val="zh-CN" w:bidi="zh-CN"/>
    </w:rPr>
  </w:style>
  <w:style w:type="paragraph" w:styleId="78">
    <w:name w:val="No Spacing"/>
    <w:qFormat/>
    <w:uiPriority w:val="1"/>
    <w:pPr>
      <w:widowControl w:val="0"/>
      <w:jc w:val="both"/>
    </w:pPr>
    <w:rPr>
      <w:rFonts w:ascii="Calibri" w:hAnsi="Calibri"/>
      <w:kern w:val="2"/>
      <w:sz w:val="21"/>
      <w:szCs w:val="22"/>
      <w:lang w:val="en-US" w:eastAsia="zh-CN" w:bidi="ar-SA"/>
    </w:rPr>
  </w:style>
  <w:style w:type="paragraph" w:customStyle="1" w:styleId="79">
    <w:name w:val="图表名"/>
    <w:basedOn w:val="1"/>
    <w:qFormat/>
    <w:uiPriority w:val="0"/>
    <w:pPr>
      <w:spacing w:line="360" w:lineRule="auto"/>
      <w:jc w:val="center"/>
    </w:pPr>
    <w:rPr>
      <w:rFonts w:ascii="黑体" w:hAnsi="黑体" w:eastAsia="黑体" w:cs="宋体"/>
      <w:sz w:val="24"/>
      <w:szCs w:val="20"/>
    </w:rPr>
  </w:style>
  <w:style w:type="paragraph" w:customStyle="1" w:styleId="80">
    <w:name w:val="正文 + 首行缩进"/>
    <w:basedOn w:val="1"/>
    <w:qFormat/>
    <w:uiPriority w:val="0"/>
    <w:pPr>
      <w:spacing w:line="500" w:lineRule="exact"/>
      <w:ind w:firstLine="560" w:firstLineChars="200"/>
    </w:pPr>
    <w:rPr>
      <w:rFonts w:ascii="Calibri" w:hAnsi="Calibri"/>
      <w:sz w:val="28"/>
      <w:szCs w:val="20"/>
    </w:rPr>
  </w:style>
  <w:style w:type="paragraph" w:customStyle="1" w:styleId="81">
    <w:name w:val="样式 段前: 6 磅 段后: 6 磅 行距: 1.5 倍行距 首行缩进:  2 字符"/>
    <w:basedOn w:val="1"/>
    <w:qFormat/>
    <w:uiPriority w:val="0"/>
    <w:pPr>
      <w:spacing w:line="540" w:lineRule="exact"/>
      <w:ind w:firstLine="560" w:firstLineChars="200"/>
    </w:pPr>
    <w:rPr>
      <w:rFonts w:ascii="宋体" w:hAnsi="宋体"/>
      <w:kern w:val="10"/>
      <w:sz w:val="28"/>
      <w:szCs w:val="28"/>
    </w:rPr>
  </w:style>
  <w:style w:type="paragraph" w:customStyle="1" w:styleId="82">
    <w:name w:val="正文一"/>
    <w:basedOn w:val="10"/>
    <w:qFormat/>
    <w:uiPriority w:val="0"/>
    <w:pPr>
      <w:widowControl/>
      <w:spacing w:after="0" w:line="560" w:lineRule="exact"/>
      <w:ind w:firstLine="639" w:firstLineChars="225"/>
    </w:pPr>
    <w:rPr>
      <w:rFonts w:ascii="仿宋_GB2312" w:eastAsia="仿宋_GB2312" w:cs="宋体"/>
      <w:spacing w:val="2"/>
      <w:sz w:val="28"/>
      <w:szCs w:val="20"/>
    </w:rPr>
  </w:style>
  <w:style w:type="paragraph" w:customStyle="1" w:styleId="83">
    <w:name w:val="三级条标题"/>
    <w:basedOn w:val="1"/>
    <w:next w:val="4"/>
    <w:qFormat/>
    <w:uiPriority w:val="0"/>
    <w:pPr>
      <w:widowControl/>
      <w:numPr>
        <w:ilvl w:val="4"/>
        <w:numId w:val="2"/>
      </w:numPr>
      <w:outlineLvl w:val="4"/>
    </w:pPr>
    <w:rPr>
      <w:rFonts w:ascii="黑体" w:hAnsi="Calibri" w:eastAsia="黑体"/>
      <w:kern w:val="0"/>
      <w:szCs w:val="20"/>
    </w:rPr>
  </w:style>
  <w:style w:type="paragraph" w:styleId="84">
    <w:name w:val="List Paragraph"/>
    <w:basedOn w:val="1"/>
    <w:qFormat/>
    <w:uiPriority w:val="34"/>
    <w:pPr>
      <w:ind w:firstLine="420" w:firstLineChars="200"/>
    </w:pPr>
    <w:rPr>
      <w:szCs w:val="22"/>
    </w:rPr>
  </w:style>
  <w:style w:type="character" w:customStyle="1" w:styleId="85">
    <w:name w:val="bsharetext"/>
    <w:uiPriority w:val="0"/>
  </w:style>
  <w:style w:type="character" w:customStyle="1" w:styleId="86">
    <w:name w:val="rt"/>
    <w:uiPriority w:val="0"/>
    <w:rPr>
      <w:color w:val="999999"/>
    </w:rPr>
  </w:style>
  <w:style w:type="character" w:customStyle="1" w:styleId="87">
    <w:name w:val="a_p_3"/>
    <w:uiPriority w:val="0"/>
    <w:rPr>
      <w:sz w:val="27"/>
      <w:szCs w:val="27"/>
    </w:rPr>
  </w:style>
  <w:style w:type="character" w:customStyle="1" w:styleId="88">
    <w:name w:val="a_p_1"/>
    <w:uiPriority w:val="0"/>
    <w:rPr>
      <w:sz w:val="27"/>
      <w:szCs w:val="27"/>
    </w:rPr>
  </w:style>
  <w:style w:type="character" w:customStyle="1" w:styleId="89">
    <w:name w:val="a_p_2"/>
    <w:uiPriority w:val="0"/>
    <w:rPr>
      <w:sz w:val="27"/>
      <w:szCs w:val="27"/>
    </w:rPr>
  </w:style>
  <w:style w:type="character" w:customStyle="1" w:styleId="90">
    <w:name w:val="a_p_21"/>
    <w:uiPriority w:val="0"/>
  </w:style>
  <w:style w:type="character" w:customStyle="1" w:styleId="91">
    <w:name w:val="fr2"/>
    <w:uiPriority w:val="0"/>
    <w:rPr>
      <w:color w:val="999999"/>
    </w:rPr>
  </w:style>
  <w:style w:type="character" w:customStyle="1" w:styleId="92">
    <w:name w:val="subt"/>
    <w:uiPriority w:val="0"/>
    <w:rPr>
      <w:rFonts w:ascii="宋体" w:hAnsi="宋体" w:eastAsia="宋体" w:cs="宋体"/>
      <w:color w:val="333333"/>
      <w:sz w:val="39"/>
      <w:szCs w:val="39"/>
    </w:rPr>
  </w:style>
  <w:style w:type="character" w:customStyle="1" w:styleId="93">
    <w:name w:val="t"/>
    <w:uiPriority w:val="0"/>
    <w:rPr>
      <w:color w:val="1C3E9D"/>
      <w:sz w:val="27"/>
      <w:szCs w:val="27"/>
    </w:rPr>
  </w:style>
  <w:style w:type="character" w:customStyle="1" w:styleId="94">
    <w:name w:val="exap"/>
    <w:uiPriority w:val="0"/>
    <w:rPr>
      <w:sz w:val="27"/>
      <w:szCs w:val="27"/>
    </w:rPr>
  </w:style>
  <w:style w:type="character" w:customStyle="1" w:styleId="95">
    <w:name w:val="ul_li_a_1"/>
    <w:uiPriority w:val="0"/>
    <w:rPr>
      <w:b/>
      <w:bCs/>
      <w:color w:val="FFFFFF"/>
    </w:rPr>
  </w:style>
  <w:style w:type="paragraph" w:customStyle="1" w:styleId="96">
    <w:name w:val="表头W"/>
    <w:basedOn w:val="1"/>
    <w:next w:val="97"/>
    <w:qFormat/>
    <w:uiPriority w:val="0"/>
    <w:pPr>
      <w:spacing w:line="360" w:lineRule="auto"/>
      <w:ind w:firstLine="560" w:firstLineChars="200"/>
      <w:jc w:val="center"/>
    </w:pPr>
    <w:rPr>
      <w:b/>
      <w:kern w:val="0"/>
      <w:szCs w:val="20"/>
    </w:rPr>
  </w:style>
  <w:style w:type="paragraph" w:customStyle="1" w:styleId="97">
    <w:name w:val="表格W"/>
    <w:basedOn w:val="14"/>
    <w:qFormat/>
    <w:uiPriority w:val="0"/>
    <w:pPr>
      <w:tabs>
        <w:tab w:val="left" w:pos="573"/>
      </w:tabs>
    </w:pPr>
    <w:rPr>
      <w:rFonts w:hAnsi="Calibri" w:cs="Times New Roman"/>
      <w:szCs w:val="22"/>
    </w:rPr>
  </w:style>
  <w:style w:type="paragraph" w:customStyle="1" w:styleId="98">
    <w:name w:val="初正文"/>
    <w:link w:val="99"/>
    <w:qFormat/>
    <w:uiPriority w:val="0"/>
    <w:pPr>
      <w:widowControl w:val="0"/>
      <w:spacing w:line="360" w:lineRule="auto"/>
      <w:jc w:val="both"/>
    </w:pPr>
    <w:rPr>
      <w:color w:val="000000"/>
      <w:kern w:val="28"/>
      <w:sz w:val="28"/>
      <w:lang w:val="en-US" w:eastAsia="zh-CN" w:bidi="ar-SA"/>
    </w:rPr>
  </w:style>
  <w:style w:type="character" w:customStyle="1" w:styleId="99">
    <w:name w:val="初正文 Char"/>
    <w:link w:val="98"/>
    <w:qFormat/>
    <w:uiPriority w:val="0"/>
    <w:rPr>
      <w:color w:val="000000"/>
      <w:kern w:val="28"/>
      <w:sz w:val="28"/>
    </w:rPr>
  </w:style>
  <w:style w:type="paragraph" w:styleId="100">
    <w:name w:val=""/>
    <w:unhideWhenUsed/>
    <w:uiPriority w:val="99"/>
    <w:rPr>
      <w:kern w:val="2"/>
      <w:sz w:val="21"/>
      <w:szCs w:val="24"/>
      <w:lang w:val="en-US" w:eastAsia="zh-CN" w:bidi="ar-SA"/>
    </w:rPr>
  </w:style>
  <w:style w:type="paragraph" w:customStyle="1" w:styleId="101">
    <w:name w:val="表头"/>
    <w:basedOn w:val="1"/>
    <w:link w:val="102"/>
    <w:qFormat/>
    <w:uiPriority w:val="4"/>
    <w:pPr>
      <w:tabs>
        <w:tab w:val="left" w:pos="5327"/>
        <w:tab w:val="left" w:pos="6326"/>
        <w:tab w:val="left" w:pos="7230"/>
        <w:tab w:val="left" w:pos="9301"/>
      </w:tabs>
      <w:spacing w:line="500" w:lineRule="exact"/>
      <w:ind w:firstLine="200" w:firstLineChars="200"/>
      <w:jc w:val="left"/>
    </w:pPr>
    <w:rPr>
      <w:rFonts w:ascii="Arial Unicode MS" w:hAnsi="Arial Unicode MS"/>
      <w:b/>
      <w:sz w:val="30"/>
      <w:szCs w:val="30"/>
    </w:rPr>
  </w:style>
  <w:style w:type="character" w:customStyle="1" w:styleId="102">
    <w:name w:val="表头 Char"/>
    <w:link w:val="101"/>
    <w:qFormat/>
    <w:uiPriority w:val="4"/>
    <w:rPr>
      <w:rFonts w:ascii="Arial Unicode MS" w:hAnsi="Arial Unicode MS"/>
      <w:b/>
      <w:kern w:val="2"/>
      <w:sz w:val="30"/>
      <w:szCs w:val="30"/>
    </w:rPr>
  </w:style>
  <w:style w:type="paragraph" w:customStyle="1" w:styleId="103">
    <w:name w:val="正文首行缩进 21"/>
    <w:basedOn w:val="11"/>
    <w:qFormat/>
    <w:uiPriority w:val="0"/>
    <w:pPr>
      <w:ind w:firstLine="420" w:firstLineChars="200"/>
    </w:pPr>
    <w:rPr>
      <w:rFonts w:ascii="Times New Roman" w:hAnsi="Times New Roman"/>
      <w:szCs w:val="24"/>
    </w:rPr>
  </w:style>
  <w:style w:type="paragraph" w:customStyle="1" w:styleId="104">
    <w:name w:val="表格"/>
    <w:qFormat/>
    <w:uiPriority w:val="0"/>
    <w:pPr>
      <w:autoSpaceDE w:val="0"/>
      <w:autoSpaceDN w:val="0"/>
      <w:adjustRightInd w:val="0"/>
      <w:snapToGrid w:val="0"/>
      <w:jc w:val="center"/>
    </w:pPr>
    <w:rPr>
      <w:kern w:val="2"/>
      <w:sz w:val="24"/>
      <w:szCs w:val="24"/>
      <w:lang w:val="en-US" w:eastAsia="zh-CN" w:bidi="ar-SA"/>
    </w:rPr>
  </w:style>
  <w:style w:type="paragraph" w:customStyle="1" w:styleId="105">
    <w:name w:val="无间隔1"/>
    <w:basedOn w:val="101"/>
    <w:qFormat/>
    <w:uiPriority w:val="0"/>
    <w:pPr>
      <w:spacing w:line="240" w:lineRule="auto"/>
    </w:pPr>
    <w:rPr>
      <w:rFonts w:cs="Times New Roman"/>
      <w:b w:val="0"/>
      <w:kern w:val="2"/>
      <w:sz w:val="24"/>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65</Pages>
  <Words>430</Words>
  <Characters>796</Characters>
  <Lines>500</Lines>
  <Paragraphs>140</Paragraphs>
  <TotalTime>2</TotalTime>
  <ScaleCrop>false</ScaleCrop>
  <LinksUpToDate>false</LinksUpToDate>
  <CharactersWithSpaces>809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2023-05-29T08:02:00Z</dcterms:created>
  <dc:creator>chen-pc</dc:creator>
  <cp:lastModifiedBy>赵健威</cp:lastModifiedBy>
  <cp:lastPrinted>2023-05-29T08:23:00Z</cp:lastPrinted>
  <dcterms:modified xsi:type="dcterms:W3CDTF">2026-08-12T08:38:36Z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144E935F579E4327BE39E2725C87F6D5_13</vt:lpwstr>
  </property>
  <property fmtid="{D5CDD505-2E9C-101B-9397-08002B2CF9AE}" pid="4" name="KSOTemplateDocerSaveRecord">
    <vt:lpwstr>eyJoZGlkIjoiYjRlNzBjMDY5YTQ1ZTgwMWNlNDZjNGZmNDJjZWY4NGUiLCJ1c2VySWQiOiI0MDE3ODY4MDgifQ==</vt:lpwstr>
  </property>
</Properties>
</file>