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31D5F">
      <w:pPr>
        <w:adjustRightInd/>
        <w:snapToGrid/>
        <w:ind w:firstLine="0" w:firstLineChars="0"/>
        <w:jc w:val="center"/>
        <w:rPr>
          <w:rFonts w:hint="default" w:ascii="Times New Roman" w:hAnsi="Times New Roman" w:cs="Times New Roman"/>
          <w:b/>
          <w:sz w:val="36"/>
          <w:szCs w:val="36"/>
        </w:rPr>
      </w:pPr>
      <w:bookmarkStart w:id="0" w:name="OLE_LINK39"/>
      <w:bookmarkStart w:id="1" w:name="_Toc11475"/>
      <w:bookmarkStart w:id="2" w:name="_Toc4616"/>
      <w:bookmarkStart w:id="3" w:name="_Toc28699"/>
      <w:bookmarkStart w:id="4" w:name="_Toc233462296"/>
      <w:bookmarkStart w:id="5" w:name="_Toc31423"/>
      <w:bookmarkStart w:id="6" w:name="_Toc28689"/>
      <w:bookmarkStart w:id="7" w:name="_Toc145125127"/>
      <w:bookmarkStart w:id="8" w:name="_Toc124926600"/>
      <w:bookmarkStart w:id="9" w:name="_Toc111601635"/>
    </w:p>
    <w:p w14:paraId="367CC740">
      <w:pPr>
        <w:adjustRightInd/>
        <w:snapToGrid/>
        <w:spacing w:after="120" w:line="520" w:lineRule="exact"/>
        <w:ind w:firstLine="0" w:firstLineChars="0"/>
        <w:rPr>
          <w:rFonts w:hint="default" w:ascii="Times New Roman" w:hAnsi="Times New Roman" w:cs="Times New Roman"/>
        </w:rPr>
      </w:pPr>
    </w:p>
    <w:p w14:paraId="3A14AD66">
      <w:pPr>
        <w:ind w:firstLine="0" w:firstLineChars="0"/>
        <w:jc w:val="center"/>
        <w:rPr>
          <w:rFonts w:hint="default" w:ascii="Times New Roman" w:hAnsi="Times New Roman" w:eastAsia="宋体" w:cs="Times New Roman"/>
          <w:b/>
          <w:sz w:val="44"/>
          <w:szCs w:val="44"/>
          <w:lang w:val="sq-AL" w:eastAsia="zh-CN"/>
        </w:rPr>
      </w:pPr>
      <w:r>
        <w:rPr>
          <w:rFonts w:hint="default" w:ascii="Times New Roman" w:hAnsi="Times New Roman" w:cs="Times New Roman"/>
          <w:b/>
          <w:sz w:val="44"/>
          <w:szCs w:val="44"/>
          <w:lang w:val="sq-AL" w:eastAsia="zh-CN"/>
        </w:rPr>
        <w:t>姚安县城镇投资开发有限公司</w:t>
      </w:r>
    </w:p>
    <w:p w14:paraId="58FCA337">
      <w:pPr>
        <w:ind w:firstLine="0" w:firstLineChars="0"/>
        <w:jc w:val="center"/>
        <w:rPr>
          <w:rFonts w:hint="default" w:ascii="Times New Roman" w:hAnsi="Times New Roman" w:cs="Times New Roman"/>
          <w:b/>
          <w:sz w:val="44"/>
          <w:szCs w:val="44"/>
          <w:lang w:val="sq-AL" w:eastAsia="zh-CN"/>
        </w:rPr>
      </w:pPr>
      <w:r>
        <w:rPr>
          <w:rFonts w:hint="default" w:ascii="Times New Roman" w:hAnsi="Times New Roman" w:cs="Times New Roman"/>
          <w:b/>
          <w:sz w:val="44"/>
          <w:szCs w:val="44"/>
          <w:lang w:val="sq-AL" w:eastAsia="zh-CN"/>
        </w:rPr>
        <w:t>姚安县太平镇王家咀石料场30万t／a</w:t>
      </w:r>
    </w:p>
    <w:p w14:paraId="79DC0A90">
      <w:pPr>
        <w:ind w:firstLine="0" w:firstLineChars="0"/>
        <w:jc w:val="center"/>
        <w:rPr>
          <w:rFonts w:hint="default" w:ascii="Times New Roman" w:hAnsi="Times New Roman" w:cs="Times New Roman"/>
          <w:b/>
          <w:sz w:val="44"/>
          <w:szCs w:val="44"/>
          <w:lang w:val="sq-AL"/>
        </w:rPr>
      </w:pPr>
      <w:r>
        <w:rPr>
          <w:rFonts w:hint="default" w:ascii="Times New Roman" w:hAnsi="Times New Roman" w:cs="Times New Roman"/>
          <w:b/>
          <w:sz w:val="44"/>
          <w:szCs w:val="44"/>
          <w:lang w:val="sq-AL"/>
        </w:rPr>
        <w:t>露天采矿工程</w:t>
      </w:r>
    </w:p>
    <w:p w14:paraId="0FFDFD21">
      <w:pPr>
        <w:adjustRightInd/>
        <w:snapToGrid/>
        <w:ind w:firstLine="537" w:firstLineChars="192"/>
        <w:rPr>
          <w:rFonts w:hint="default" w:ascii="Times New Roman" w:hAnsi="Times New Roman" w:cs="Times New Roman"/>
          <w:szCs w:val="24"/>
          <w:lang w:val="sq-AL"/>
        </w:rPr>
      </w:pPr>
    </w:p>
    <w:p w14:paraId="6E81240D">
      <w:pPr>
        <w:ind w:firstLine="0" w:firstLineChars="0"/>
        <w:jc w:val="center"/>
        <w:rPr>
          <w:rFonts w:hint="default" w:ascii="Times New Roman" w:hAnsi="Times New Roman" w:eastAsia="黑体" w:cs="Times New Roman"/>
          <w:b/>
          <w:bCs/>
          <w:snapToGrid w:val="0"/>
          <w:kern w:val="0"/>
          <w:sz w:val="52"/>
          <w:szCs w:val="52"/>
        </w:rPr>
      </w:pPr>
      <w:r>
        <w:rPr>
          <w:rFonts w:hint="default" w:ascii="Times New Roman" w:hAnsi="Times New Roman" w:eastAsia="黑体" w:cs="Times New Roman"/>
          <w:b/>
          <w:bCs/>
          <w:snapToGrid w:val="0"/>
          <w:kern w:val="0"/>
          <w:sz w:val="52"/>
          <w:szCs w:val="52"/>
        </w:rPr>
        <w:t>安全设施验收评价报告</w:t>
      </w:r>
    </w:p>
    <w:bookmarkEnd w:id="0"/>
    <w:p w14:paraId="123E356D">
      <w:pPr>
        <w:autoSpaceDE w:val="0"/>
        <w:autoSpaceDN w:val="0"/>
        <w:snapToGrid/>
        <w:ind w:firstLine="0" w:firstLineChars="0"/>
        <w:jc w:val="center"/>
        <w:rPr>
          <w:rFonts w:hint="default" w:ascii="Times New Roman" w:hAnsi="Times New Roman" w:cs="Times New Roman"/>
          <w:b/>
          <w:bCs/>
          <w:kern w:val="0"/>
          <w:sz w:val="32"/>
          <w:szCs w:val="32"/>
        </w:rPr>
      </w:pPr>
    </w:p>
    <w:p w14:paraId="53A49ACD">
      <w:pPr>
        <w:autoSpaceDE w:val="0"/>
        <w:autoSpaceDN w:val="0"/>
        <w:snapToGrid/>
        <w:ind w:firstLine="0" w:firstLineChars="0"/>
        <w:jc w:val="center"/>
        <w:rPr>
          <w:rFonts w:hint="default" w:ascii="Times New Roman" w:hAnsi="Times New Roman" w:cs="Times New Roman"/>
          <w:kern w:val="0"/>
          <w:sz w:val="30"/>
          <w:szCs w:val="30"/>
        </w:rPr>
      </w:pPr>
    </w:p>
    <w:p w14:paraId="29A017BB">
      <w:pPr>
        <w:autoSpaceDE w:val="0"/>
        <w:autoSpaceDN w:val="0"/>
        <w:snapToGrid/>
        <w:ind w:firstLine="0" w:firstLineChars="0"/>
        <w:jc w:val="center"/>
        <w:rPr>
          <w:rFonts w:hint="default" w:ascii="Times New Roman" w:hAnsi="Times New Roman" w:cs="Times New Roman"/>
          <w:kern w:val="0"/>
          <w:sz w:val="30"/>
          <w:szCs w:val="30"/>
        </w:rPr>
      </w:pPr>
      <w:r>
        <w:rPr>
          <w:rFonts w:hint="default" w:ascii="Times New Roman" w:hAnsi="Times New Roman" w:cs="Times New Roman"/>
        </w:rPr>
        <w:drawing>
          <wp:inline distT="0" distB="0" distL="114300" distR="114300">
            <wp:extent cx="2656840" cy="1630045"/>
            <wp:effectExtent l="0" t="0" r="10160" b="8255"/>
            <wp:docPr id="10" name="图片 40"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0" descr="aa21e77fe407a0da11c082e736ee588"/>
                    <pic:cNvPicPr>
                      <a:picLocks noChangeAspect="1"/>
                    </pic:cNvPicPr>
                  </pic:nvPicPr>
                  <pic:blipFill>
                    <a:blip r:embed="rId19"/>
                    <a:stretch>
                      <a:fillRect/>
                    </a:stretch>
                  </pic:blipFill>
                  <pic:spPr>
                    <a:xfrm>
                      <a:off x="0" y="0"/>
                      <a:ext cx="2656840" cy="1630045"/>
                    </a:xfrm>
                    <a:prstGeom prst="rect">
                      <a:avLst/>
                    </a:prstGeom>
                    <a:noFill/>
                    <a:ln>
                      <a:noFill/>
                    </a:ln>
                  </pic:spPr>
                </pic:pic>
              </a:graphicData>
            </a:graphic>
          </wp:inline>
        </w:drawing>
      </w:r>
    </w:p>
    <w:p w14:paraId="72E8D43D">
      <w:pPr>
        <w:autoSpaceDE w:val="0"/>
        <w:autoSpaceDN w:val="0"/>
        <w:snapToGrid/>
        <w:ind w:firstLine="0" w:firstLineChars="0"/>
        <w:jc w:val="center"/>
        <w:rPr>
          <w:rFonts w:hint="default" w:ascii="Times New Roman" w:hAnsi="Times New Roman" w:cs="Times New Roman"/>
          <w:kern w:val="0"/>
          <w:sz w:val="30"/>
          <w:szCs w:val="30"/>
        </w:rPr>
      </w:pPr>
    </w:p>
    <w:p w14:paraId="1E1DE2FB">
      <w:pPr>
        <w:pStyle w:val="41"/>
        <w:rPr>
          <w:rFonts w:hint="default" w:ascii="Times New Roman" w:hAnsi="Times New Roman" w:cs="Times New Roman"/>
        </w:rPr>
      </w:pPr>
    </w:p>
    <w:p w14:paraId="024F9728">
      <w:pPr>
        <w:autoSpaceDE w:val="0"/>
        <w:autoSpaceDN w:val="0"/>
        <w:snapToGrid/>
        <w:ind w:firstLine="0" w:firstLineChars="0"/>
        <w:jc w:val="center"/>
        <w:rPr>
          <w:rFonts w:hint="default" w:ascii="Times New Roman" w:hAnsi="Times New Roman" w:cs="Times New Roman"/>
          <w:kern w:val="0"/>
          <w:sz w:val="30"/>
          <w:szCs w:val="30"/>
        </w:rPr>
      </w:pPr>
    </w:p>
    <w:p w14:paraId="46BFEE87">
      <w:pPr>
        <w:adjustRightInd/>
        <w:snapToGrid/>
        <w:ind w:left="-188" w:leftChars="-67" w:right="-417" w:rightChars="-149" w:firstLine="0" w:firstLineChars="0"/>
        <w:jc w:val="center"/>
        <w:rPr>
          <w:rFonts w:hint="default" w:ascii="Times New Roman" w:hAnsi="Times New Roman" w:cs="Times New Roman"/>
          <w:b/>
          <w:sz w:val="44"/>
          <w:szCs w:val="44"/>
        </w:rPr>
      </w:pPr>
      <w:r>
        <w:rPr>
          <w:rFonts w:hint="default" w:ascii="Times New Roman" w:hAnsi="Times New Roman" w:cs="Times New Roman"/>
          <w:b/>
          <w:sz w:val="44"/>
          <w:szCs w:val="44"/>
        </w:rPr>
        <w:t>辽宁诺诚安全科技有限公司</w:t>
      </w:r>
    </w:p>
    <w:p w14:paraId="65FDAC3A">
      <w:pPr>
        <w:adjustRightInd/>
        <w:snapToGrid/>
        <w:ind w:firstLine="0" w:firstLineChars="0"/>
        <w:jc w:val="center"/>
        <w:rPr>
          <w:rFonts w:hint="default" w:ascii="Times New Roman" w:hAnsi="Times New Roman" w:cs="Times New Roman"/>
          <w:b/>
          <w:sz w:val="32"/>
          <w:szCs w:val="32"/>
        </w:rPr>
      </w:pPr>
      <w:r>
        <w:rPr>
          <w:rFonts w:hint="default" w:ascii="Times New Roman" w:hAnsi="Times New Roman" w:cs="Times New Roman"/>
          <w:b/>
          <w:sz w:val="32"/>
          <w:szCs w:val="32"/>
        </w:rPr>
        <w:t>资质证书编号：APJ-（辽）-021</w:t>
      </w:r>
    </w:p>
    <w:p w14:paraId="19695EE1">
      <w:pPr>
        <w:adjustRightInd/>
        <w:snapToGrid/>
        <w:ind w:firstLine="0" w:firstLineChars="0"/>
        <w:jc w:val="center"/>
        <w:rPr>
          <w:rFonts w:hint="default" w:ascii="Times New Roman" w:hAnsi="Times New Roman" w:cs="Times New Roman"/>
          <w:b/>
          <w:sz w:val="32"/>
          <w:szCs w:val="32"/>
        </w:rPr>
      </w:pPr>
      <w:r>
        <w:rPr>
          <w:rFonts w:hint="default" w:ascii="Times New Roman" w:hAnsi="Times New Roman" w:cs="Times New Roman"/>
          <w:b/>
          <w:sz w:val="32"/>
          <w:szCs w:val="32"/>
        </w:rPr>
        <w:t>2024年</w:t>
      </w:r>
      <w:r>
        <w:rPr>
          <w:rFonts w:hint="default" w:ascii="Times New Roman" w:hAnsi="Times New Roman" w:cs="Times New Roman"/>
          <w:b/>
          <w:sz w:val="32"/>
          <w:szCs w:val="32"/>
          <w:lang w:val="en-US" w:eastAsia="zh-CN"/>
        </w:rPr>
        <w:t>12</w:t>
      </w:r>
      <w:r>
        <w:rPr>
          <w:rFonts w:hint="default" w:ascii="Times New Roman" w:hAnsi="Times New Roman" w:cs="Times New Roman"/>
          <w:b/>
          <w:sz w:val="32"/>
          <w:szCs w:val="32"/>
        </w:rPr>
        <w:t>月</w:t>
      </w:r>
    </w:p>
    <w:p w14:paraId="62406E36">
      <w:pPr>
        <w:adjustRightInd/>
        <w:snapToGrid/>
        <w:ind w:firstLine="0" w:firstLineChars="0"/>
        <w:jc w:val="center"/>
        <w:rPr>
          <w:rFonts w:hint="default" w:ascii="Times New Roman" w:hAnsi="Times New Roman" w:cs="Times New Roman"/>
          <w:b/>
          <w:szCs w:val="28"/>
        </w:rPr>
        <w:sectPr>
          <w:headerReference r:id="rId7" w:type="first"/>
          <w:footerReference r:id="rId10" w:type="first"/>
          <w:headerReference r:id="rId5" w:type="default"/>
          <w:footerReference r:id="rId8" w:type="default"/>
          <w:headerReference r:id="rId6" w:type="even"/>
          <w:footerReference r:id="rId9" w:type="even"/>
          <w:type w:val="oddPage"/>
          <w:pgSz w:w="11907" w:h="16840"/>
          <w:pgMar w:top="1417" w:right="1134" w:bottom="1134" w:left="1587" w:header="850" w:footer="992" w:gutter="0"/>
          <w:pgNumType w:start="1"/>
          <w:cols w:space="720" w:num="1"/>
          <w:docGrid w:type="lines" w:linePitch="309" w:charSpace="0"/>
        </w:sectPr>
      </w:pPr>
    </w:p>
    <w:p w14:paraId="13CC7522">
      <w:pPr>
        <w:autoSpaceDE w:val="0"/>
        <w:autoSpaceDN w:val="0"/>
        <w:snapToGrid/>
        <w:ind w:firstLine="0" w:firstLineChars="0"/>
        <w:jc w:val="right"/>
        <w:rPr>
          <w:rFonts w:hint="default" w:ascii="Times New Roman" w:hAnsi="Times New Roman" w:eastAsia="宋体" w:cs="Times New Roman"/>
          <w:b/>
          <w:kern w:val="0"/>
          <w:szCs w:val="28"/>
          <w:lang w:val="en-US" w:eastAsia="zh-CN"/>
        </w:rPr>
      </w:pPr>
      <w:r>
        <w:rPr>
          <w:rFonts w:hint="default" w:ascii="Times New Roman" w:hAnsi="Times New Roman" w:eastAsia="宋体" w:cs="Times New Roman"/>
          <w:b/>
          <w:kern w:val="0"/>
          <w:szCs w:val="28"/>
          <w:lang w:val="en-US" w:eastAsia="zh-CN"/>
        </w:rPr>
        <w:t>NCAP/KS-YS-2024-021</w:t>
      </w:r>
    </w:p>
    <w:p w14:paraId="5E2ACEFE">
      <w:pPr>
        <w:pStyle w:val="20"/>
        <w:ind w:left="560" w:firstLine="560"/>
        <w:rPr>
          <w:rFonts w:hint="default" w:ascii="Times New Roman" w:hAnsi="Times New Roman" w:cs="Times New Roman"/>
          <w:szCs w:val="21"/>
        </w:rPr>
      </w:pPr>
    </w:p>
    <w:p w14:paraId="240FD468">
      <w:pPr>
        <w:adjustRightInd/>
        <w:snapToGrid/>
        <w:ind w:firstLine="0" w:firstLineChars="0"/>
        <w:jc w:val="center"/>
        <w:rPr>
          <w:rFonts w:hint="default" w:ascii="Times New Roman" w:hAnsi="Times New Roman" w:eastAsia="宋体" w:cs="Times New Roman"/>
          <w:b/>
          <w:sz w:val="32"/>
          <w:szCs w:val="32"/>
          <w:lang w:val="sq-AL" w:eastAsia="zh-CN"/>
        </w:rPr>
      </w:pPr>
      <w:r>
        <w:rPr>
          <w:rFonts w:hint="default" w:ascii="Times New Roman" w:hAnsi="Times New Roman" w:cs="Times New Roman"/>
          <w:b/>
          <w:sz w:val="32"/>
          <w:szCs w:val="32"/>
          <w:lang w:val="sq-AL" w:eastAsia="zh-CN"/>
        </w:rPr>
        <w:t>姚安县城镇投资开发有限公司</w:t>
      </w:r>
    </w:p>
    <w:p w14:paraId="34E4B0A6">
      <w:pPr>
        <w:adjustRightInd/>
        <w:snapToGrid/>
        <w:ind w:firstLine="0" w:firstLineChars="0"/>
        <w:jc w:val="center"/>
        <w:rPr>
          <w:rFonts w:hint="default" w:ascii="Times New Roman" w:hAnsi="Times New Roman" w:cs="Times New Roman"/>
          <w:b/>
          <w:sz w:val="32"/>
          <w:szCs w:val="32"/>
          <w:lang w:val="sq-AL"/>
        </w:rPr>
      </w:pPr>
      <w:r>
        <w:rPr>
          <w:rFonts w:hint="default" w:ascii="Times New Roman" w:hAnsi="Times New Roman" w:cs="Times New Roman"/>
          <w:b/>
          <w:sz w:val="32"/>
          <w:szCs w:val="32"/>
          <w:lang w:val="sq-AL" w:eastAsia="zh-CN"/>
        </w:rPr>
        <w:t>姚安县太平镇王家咀石料场30万t／a</w:t>
      </w:r>
      <w:r>
        <w:rPr>
          <w:rFonts w:hint="default" w:ascii="Times New Roman" w:hAnsi="Times New Roman" w:cs="Times New Roman"/>
          <w:b/>
          <w:sz w:val="32"/>
          <w:szCs w:val="32"/>
          <w:lang w:val="sq-AL"/>
        </w:rPr>
        <w:t>露天采矿工程</w:t>
      </w:r>
    </w:p>
    <w:p w14:paraId="6C573DF4">
      <w:pPr>
        <w:adjustRightInd/>
        <w:snapToGrid/>
        <w:ind w:firstLine="537" w:firstLineChars="192"/>
        <w:rPr>
          <w:rFonts w:hint="default" w:ascii="Times New Roman" w:hAnsi="Times New Roman" w:cs="Times New Roman"/>
          <w:szCs w:val="24"/>
          <w:lang w:val="sq-AL"/>
        </w:rPr>
      </w:pPr>
    </w:p>
    <w:p w14:paraId="0242E90A">
      <w:pPr>
        <w:adjustRightInd/>
        <w:snapToGrid/>
        <w:ind w:firstLine="0" w:firstLineChars="0"/>
        <w:jc w:val="center"/>
        <w:rPr>
          <w:rFonts w:hint="default" w:ascii="Times New Roman" w:hAnsi="Times New Roman" w:cs="Times New Roman"/>
          <w:b/>
          <w:sz w:val="44"/>
          <w:szCs w:val="44"/>
        </w:rPr>
      </w:pPr>
      <w:r>
        <w:rPr>
          <w:rFonts w:hint="default" w:ascii="Times New Roman" w:hAnsi="Times New Roman" w:cs="Times New Roman"/>
          <w:b/>
          <w:bCs/>
          <w:snapToGrid w:val="0"/>
          <w:kern w:val="0"/>
          <w:sz w:val="44"/>
          <w:szCs w:val="44"/>
        </w:rPr>
        <w:t>安全设施验收评价报告</w:t>
      </w:r>
    </w:p>
    <w:p w14:paraId="20E065CD">
      <w:pPr>
        <w:adjustRightInd/>
        <w:snapToGrid/>
        <w:ind w:firstLine="0" w:firstLineChars="0"/>
        <w:jc w:val="center"/>
        <w:rPr>
          <w:rFonts w:hint="default" w:ascii="Times New Roman" w:hAnsi="Times New Roman" w:cs="Times New Roman"/>
          <w:b/>
          <w:sz w:val="32"/>
          <w:szCs w:val="32"/>
        </w:rPr>
      </w:pPr>
    </w:p>
    <w:p w14:paraId="092C2845">
      <w:pPr>
        <w:adjustRightInd/>
        <w:snapToGrid/>
        <w:ind w:firstLine="0" w:firstLineChars="0"/>
        <w:jc w:val="center"/>
        <w:rPr>
          <w:rFonts w:hint="default" w:ascii="Times New Roman" w:hAnsi="Times New Roman" w:cs="Times New Roman"/>
          <w:b/>
          <w:sz w:val="32"/>
          <w:szCs w:val="32"/>
        </w:rPr>
      </w:pPr>
    </w:p>
    <w:p w14:paraId="1F2EAA7F">
      <w:pPr>
        <w:adjustRightInd/>
        <w:snapToGrid/>
        <w:ind w:firstLine="0" w:firstLineChars="0"/>
        <w:rPr>
          <w:rFonts w:hint="default" w:ascii="Times New Roman" w:hAnsi="Times New Roman" w:cs="Times New Roman"/>
          <w:b/>
          <w:sz w:val="32"/>
          <w:szCs w:val="32"/>
        </w:rPr>
      </w:pPr>
    </w:p>
    <w:p w14:paraId="10C68821">
      <w:pPr>
        <w:autoSpaceDE w:val="0"/>
        <w:autoSpaceDN w:val="0"/>
        <w:snapToGrid/>
        <w:ind w:firstLine="0" w:firstLineChars="0"/>
        <w:jc w:val="left"/>
        <w:rPr>
          <w:rFonts w:hint="default" w:ascii="Times New Roman" w:hAnsi="Times New Roman" w:cs="Times New Roman"/>
          <w:kern w:val="0"/>
          <w:sz w:val="24"/>
          <w:szCs w:val="24"/>
        </w:rPr>
      </w:pPr>
    </w:p>
    <w:p w14:paraId="2FDF3C0E">
      <w:pPr>
        <w:pStyle w:val="20"/>
        <w:ind w:left="560" w:firstLine="560"/>
        <w:rPr>
          <w:rFonts w:hint="default" w:ascii="Times New Roman" w:hAnsi="Times New Roman" w:cs="Times New Roman"/>
          <w:szCs w:val="21"/>
        </w:rPr>
      </w:pPr>
    </w:p>
    <w:p w14:paraId="1A8E8257">
      <w:pPr>
        <w:autoSpaceDE w:val="0"/>
        <w:autoSpaceDN w:val="0"/>
        <w:snapToGrid/>
        <w:ind w:firstLine="0" w:firstLineChars="0"/>
        <w:jc w:val="left"/>
        <w:rPr>
          <w:rFonts w:hint="default" w:ascii="Times New Roman" w:hAnsi="Times New Roman" w:cs="Times New Roman"/>
          <w:kern w:val="0"/>
          <w:sz w:val="24"/>
          <w:szCs w:val="24"/>
        </w:rPr>
      </w:pPr>
    </w:p>
    <w:p w14:paraId="79FD84E5">
      <w:pPr>
        <w:adjustRightInd/>
        <w:snapToGrid/>
        <w:ind w:firstLine="0" w:firstLineChars="0"/>
        <w:jc w:val="center"/>
        <w:rPr>
          <w:rFonts w:hint="default" w:ascii="Times New Roman" w:hAnsi="Times New Roman" w:cs="Times New Roman"/>
          <w:b/>
          <w:sz w:val="32"/>
          <w:szCs w:val="32"/>
        </w:rPr>
      </w:pPr>
    </w:p>
    <w:p w14:paraId="766093A7">
      <w:pPr>
        <w:adjustRightInd/>
        <w:snapToGrid/>
        <w:ind w:firstLine="0" w:firstLineChars="0"/>
        <w:jc w:val="center"/>
        <w:rPr>
          <w:rFonts w:hint="default" w:ascii="Times New Roman" w:hAnsi="Times New Roman" w:cs="Times New Roman"/>
          <w:bCs/>
          <w:szCs w:val="28"/>
        </w:rPr>
      </w:pPr>
      <w:r>
        <w:rPr>
          <w:rFonts w:hint="default" w:ascii="Times New Roman" w:hAnsi="Times New Roman" w:cs="Times New Roman"/>
          <w:bCs/>
          <w:szCs w:val="28"/>
        </w:rPr>
        <w:t>法定代表人：孙同辉</w:t>
      </w:r>
    </w:p>
    <w:p w14:paraId="3C75F952">
      <w:pPr>
        <w:adjustRightInd/>
        <w:snapToGrid/>
        <w:ind w:firstLine="0" w:firstLineChars="0"/>
        <w:jc w:val="center"/>
        <w:rPr>
          <w:rFonts w:hint="default" w:ascii="Times New Roman" w:hAnsi="Times New Roman" w:cs="Times New Roman"/>
          <w:bCs/>
          <w:szCs w:val="28"/>
        </w:rPr>
      </w:pPr>
      <w:r>
        <w:rPr>
          <w:rFonts w:hint="default" w:ascii="Times New Roman" w:hAnsi="Times New Roman" w:cs="Times New Roman"/>
          <w:bCs/>
          <w:szCs w:val="28"/>
        </w:rPr>
        <w:t>技术负责人：李在永</w:t>
      </w:r>
    </w:p>
    <w:p w14:paraId="3754C4D5">
      <w:pPr>
        <w:adjustRightInd/>
        <w:snapToGrid/>
        <w:ind w:firstLine="0" w:firstLineChars="0"/>
        <w:jc w:val="center"/>
        <w:rPr>
          <w:rFonts w:hint="default" w:ascii="Times New Roman" w:hAnsi="Times New Roman" w:cs="Times New Roman"/>
          <w:bCs/>
          <w:szCs w:val="28"/>
        </w:rPr>
      </w:pPr>
      <w:r>
        <w:rPr>
          <w:rFonts w:hint="default" w:ascii="Times New Roman" w:hAnsi="Times New Roman" w:cs="Times New Roman"/>
          <w:bCs/>
          <w:szCs w:val="28"/>
        </w:rPr>
        <w:t>评价项目负责人：杨会明</w:t>
      </w:r>
    </w:p>
    <w:p w14:paraId="7F131F01">
      <w:pPr>
        <w:adjustRightInd/>
        <w:snapToGrid/>
        <w:ind w:firstLine="3520" w:firstLineChars="1100"/>
        <w:jc w:val="left"/>
        <w:rPr>
          <w:rFonts w:hint="default" w:ascii="Times New Roman" w:hAnsi="Times New Roman" w:cs="Times New Roman"/>
          <w:bCs/>
          <w:sz w:val="32"/>
          <w:szCs w:val="32"/>
        </w:rPr>
      </w:pPr>
    </w:p>
    <w:p w14:paraId="4A3DCA7E">
      <w:pPr>
        <w:autoSpaceDE w:val="0"/>
        <w:autoSpaceDN w:val="0"/>
        <w:snapToGrid/>
        <w:ind w:firstLine="0" w:firstLineChars="0"/>
        <w:jc w:val="left"/>
        <w:rPr>
          <w:rFonts w:hint="default" w:ascii="Times New Roman" w:hAnsi="Times New Roman" w:cs="Times New Roman"/>
          <w:kern w:val="0"/>
          <w:sz w:val="24"/>
          <w:szCs w:val="24"/>
        </w:rPr>
      </w:pPr>
    </w:p>
    <w:p w14:paraId="7B0F7EB9">
      <w:pPr>
        <w:autoSpaceDE w:val="0"/>
        <w:autoSpaceDN w:val="0"/>
        <w:snapToGrid/>
        <w:ind w:firstLine="0" w:firstLineChars="0"/>
        <w:jc w:val="left"/>
        <w:rPr>
          <w:rFonts w:hint="default" w:ascii="Times New Roman" w:hAnsi="Times New Roman" w:cs="Times New Roman"/>
          <w:kern w:val="0"/>
          <w:sz w:val="24"/>
          <w:szCs w:val="24"/>
        </w:rPr>
      </w:pPr>
    </w:p>
    <w:p w14:paraId="31E30EA1">
      <w:pPr>
        <w:adjustRightInd/>
        <w:snapToGrid/>
        <w:ind w:firstLine="0" w:firstLineChars="0"/>
        <w:jc w:val="center"/>
        <w:rPr>
          <w:rFonts w:hint="default" w:ascii="Times New Roman" w:hAnsi="Times New Roman" w:cs="Times New Roman"/>
          <w:b/>
          <w:sz w:val="32"/>
          <w:szCs w:val="32"/>
        </w:rPr>
      </w:pPr>
      <w:r>
        <w:rPr>
          <w:rFonts w:hint="default" w:ascii="Times New Roman" w:hAnsi="Times New Roman" w:cs="Times New Roman"/>
          <w:b/>
          <w:sz w:val="24"/>
          <w:szCs w:val="24"/>
        </w:rPr>
        <w:t>2024年</w:t>
      </w:r>
      <w:r>
        <w:rPr>
          <w:rFonts w:hint="default" w:ascii="Times New Roman" w:hAnsi="Times New Roman" w:cs="Times New Roman"/>
          <w:b/>
          <w:sz w:val="24"/>
          <w:szCs w:val="24"/>
          <w:lang w:val="en-US" w:eastAsia="zh-CN"/>
        </w:rPr>
        <w:t>12</w:t>
      </w:r>
      <w:r>
        <w:rPr>
          <w:rFonts w:hint="default" w:ascii="Times New Roman" w:hAnsi="Times New Roman" w:cs="Times New Roman"/>
          <w:b/>
          <w:sz w:val="24"/>
          <w:szCs w:val="24"/>
        </w:rPr>
        <w:t>月</w:t>
      </w:r>
    </w:p>
    <w:p w14:paraId="7DA9F203">
      <w:pPr>
        <w:adjustRightInd/>
        <w:snapToGrid/>
        <w:ind w:firstLine="0" w:firstLineChars="0"/>
        <w:jc w:val="center"/>
        <w:rPr>
          <w:rFonts w:hint="default" w:ascii="Times New Roman" w:hAnsi="Times New Roman" w:cs="Times New Roman"/>
          <w:bCs/>
          <w:sz w:val="24"/>
          <w:szCs w:val="24"/>
        </w:rPr>
      </w:pPr>
      <w:r>
        <w:rPr>
          <w:rFonts w:hint="default" w:ascii="Times New Roman" w:hAnsi="Times New Roman" w:cs="Times New Roman"/>
          <w:sz w:val="21"/>
          <w:szCs w:val="21"/>
        </w:rPr>
        <w:t>（安全评价机构公章）</w:t>
      </w:r>
    </w:p>
    <w:p w14:paraId="39E08BA2">
      <w:pPr>
        <w:adjustRightInd/>
        <w:snapToGrid/>
        <w:ind w:firstLine="0" w:firstLineChars="0"/>
        <w:jc w:val="center"/>
        <w:rPr>
          <w:rFonts w:hint="default" w:ascii="Times New Roman" w:hAnsi="Times New Roman" w:cs="Times New Roman"/>
          <w:sz w:val="32"/>
          <w:szCs w:val="32"/>
        </w:rPr>
        <w:sectPr>
          <w:footerReference r:id="rId11" w:type="default"/>
          <w:pgSz w:w="11907" w:h="16840"/>
          <w:pgMar w:top="1417" w:right="1134" w:bottom="1134" w:left="1587" w:header="850" w:footer="992" w:gutter="0"/>
          <w:pgNumType w:start="1"/>
          <w:cols w:space="720" w:num="1"/>
          <w:docGrid w:type="lines" w:linePitch="309" w:charSpace="0"/>
        </w:sectPr>
      </w:pPr>
    </w:p>
    <w:p w14:paraId="57E317D5">
      <w:pPr>
        <w:adjustRightInd/>
        <w:snapToGrid/>
        <w:ind w:firstLine="0" w:firstLineChars="0"/>
        <w:jc w:val="center"/>
        <w:rPr>
          <w:rFonts w:hint="default" w:ascii="Times New Roman" w:hAnsi="Times New Roman" w:cs="Times New Roman"/>
          <w:b/>
          <w:sz w:val="32"/>
          <w:szCs w:val="32"/>
        </w:rPr>
      </w:pPr>
      <w:r>
        <w:rPr>
          <w:rFonts w:hint="default" w:ascii="Times New Roman" w:hAnsi="Times New Roman" w:cs="Times New Roman"/>
          <w:b/>
          <w:sz w:val="32"/>
          <w:szCs w:val="32"/>
        </w:rPr>
        <w:t>评 价 人 员</w:t>
      </w:r>
    </w:p>
    <w:tbl>
      <w:tblPr>
        <w:tblStyle w:val="44"/>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140"/>
        <w:gridCol w:w="1387"/>
        <w:gridCol w:w="2434"/>
        <w:gridCol w:w="1746"/>
        <w:gridCol w:w="1594"/>
      </w:tblGrid>
      <w:tr w14:paraId="32C9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3B87EB2A">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评价单位</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1A01CECE">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辽宁诺诚安全科技有限公司</w:t>
            </w:r>
          </w:p>
        </w:tc>
      </w:tr>
      <w:tr w14:paraId="3CC0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2B37A0C4">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项目名称</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78455293">
            <w:pPr>
              <w:ind w:firstLine="0" w:firstLineChars="0"/>
              <w:jc w:val="center"/>
              <w:rPr>
                <w:rFonts w:hint="default" w:ascii="Times New Roman" w:hAnsi="Times New Roman" w:cs="Times New Roman"/>
                <w:sz w:val="24"/>
                <w:szCs w:val="24"/>
              </w:rPr>
            </w:pPr>
            <w:bookmarkStart w:id="10" w:name="_Hlk165036601"/>
            <w:r>
              <w:rPr>
                <w:rFonts w:hint="default" w:ascii="Times New Roman" w:hAnsi="Times New Roman" w:eastAsia="宋体" w:cs="Times New Roman"/>
                <w:sz w:val="24"/>
                <w:szCs w:val="24"/>
              </w:rPr>
              <w:t>姚安县城镇投资开发有限公司</w:t>
            </w:r>
            <w:r>
              <w:rPr>
                <w:rFonts w:hint="default" w:ascii="Times New Roman" w:hAnsi="Times New Roman" w:cs="Times New Roman"/>
                <w:sz w:val="24"/>
                <w:szCs w:val="24"/>
              </w:rPr>
              <w:t>姚安县太平镇王家咀石料场30万t／a露天采矿工程安全设施验收评价报告</w:t>
            </w:r>
            <w:bookmarkEnd w:id="10"/>
          </w:p>
        </w:tc>
      </w:tr>
      <w:tr w14:paraId="3134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05F924FD">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评价人员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DDA0BA2">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姓  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4F68678">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专业能力</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5ABF51B6">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资格证书号</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A1E9074">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从业登记编号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C9B3F93">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签  字</w:t>
            </w:r>
          </w:p>
        </w:tc>
      </w:tr>
      <w:tr w14:paraId="78D3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6077A3C7">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项目负责人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C659A63">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3FAAF5">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通风</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3F92E38A">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cs="Times New Roman"/>
                <w:sz w:val="21"/>
                <w:szCs w:val="24"/>
              </w:rPr>
              <w:fldChar w:fldCharType="separate"/>
            </w:r>
            <w:r>
              <w:rPr>
                <w:rFonts w:hint="default" w:ascii="Times New Roman" w:hAnsi="Times New Roman" w:cs="Times New Roman"/>
                <w:sz w:val="24"/>
                <w:szCs w:val="24"/>
              </w:rPr>
              <w:t>S011053000110192003194</w:t>
            </w:r>
            <w:r>
              <w:rPr>
                <w:rFonts w:hint="default" w:ascii="Times New Roman" w:hAnsi="Times New Roman" w:cs="Times New Roman"/>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5F553F0">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B7A8BB0">
            <w:pPr>
              <w:adjustRightInd/>
              <w:snapToGrid/>
              <w:spacing w:line="440" w:lineRule="exact"/>
              <w:ind w:firstLine="0" w:firstLineChars="0"/>
              <w:jc w:val="center"/>
              <w:rPr>
                <w:rFonts w:hint="default" w:ascii="Times New Roman" w:hAnsi="Times New Roman" w:cs="Times New Roman"/>
                <w:sz w:val="24"/>
                <w:szCs w:val="24"/>
              </w:rPr>
            </w:pPr>
          </w:p>
        </w:tc>
      </w:tr>
      <w:tr w14:paraId="23C9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restart"/>
            <w:tcBorders>
              <w:left w:val="single" w:color="auto" w:sz="4" w:space="0"/>
              <w:right w:val="single" w:color="auto" w:sz="4" w:space="0"/>
            </w:tcBorders>
            <w:noWrap w:val="0"/>
            <w:vAlign w:val="center"/>
          </w:tcPr>
          <w:p w14:paraId="7990C1A1">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项目组成员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A549B40">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张廷辉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CB04B50">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电气</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32091E40">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1200000000100119</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3590F0E8">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009798</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2F10C1D">
            <w:pPr>
              <w:adjustRightInd/>
              <w:snapToGrid/>
              <w:spacing w:line="440" w:lineRule="exact"/>
              <w:ind w:firstLine="0" w:firstLineChars="0"/>
              <w:jc w:val="center"/>
              <w:rPr>
                <w:rFonts w:hint="default" w:ascii="Times New Roman" w:hAnsi="Times New Roman" w:cs="Times New Roman"/>
                <w:sz w:val="24"/>
                <w:szCs w:val="24"/>
              </w:rPr>
            </w:pPr>
          </w:p>
        </w:tc>
      </w:tr>
      <w:tr w14:paraId="1C38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noWrap w:val="0"/>
            <w:vAlign w:val="center"/>
          </w:tcPr>
          <w:p w14:paraId="479641E0">
            <w:pPr>
              <w:adjustRightInd/>
              <w:spacing w:line="440" w:lineRule="exact"/>
              <w:ind w:firstLine="0" w:firstLineChars="0"/>
              <w:jc w:val="center"/>
              <w:rPr>
                <w:rFonts w:hint="default" w:ascii="Times New Roman" w:hAnsi="Times New Roman" w:cs="Times New Roman"/>
                <w:sz w:val="24"/>
                <w:szCs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D0FCF0F">
            <w:pPr>
              <w:widowControl/>
              <w:adjustRightInd/>
              <w:snapToGrid/>
              <w:spacing w:line="240" w:lineRule="auto"/>
              <w:ind w:firstLine="0" w:firstLineChars="0"/>
              <w:jc w:val="center"/>
              <w:textAlignment w:val="center"/>
              <w:rPr>
                <w:rFonts w:hint="default" w:ascii="Times New Roman" w:hAnsi="Times New Roman" w:cs="Times New Roman"/>
                <w:sz w:val="20"/>
              </w:rPr>
            </w:pPr>
            <w:r>
              <w:rPr>
                <w:rFonts w:hint="default" w:ascii="Times New Roman" w:hAnsi="Times New Roman" w:cs="Times New Roman"/>
                <w:sz w:val="24"/>
              </w:rPr>
              <w:t>李欣泽</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463D394">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4EF7DD7">
            <w:pPr>
              <w:adjustRightInd/>
              <w:snapToGri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rPr>
              <w:t>1600000000200299</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1FD5A632">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rPr>
              <w:t>019600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2D34857">
            <w:pPr>
              <w:adjustRightInd/>
              <w:snapToGrid/>
              <w:spacing w:line="440" w:lineRule="exact"/>
              <w:ind w:firstLine="0" w:firstLineChars="0"/>
              <w:jc w:val="center"/>
              <w:rPr>
                <w:rFonts w:hint="default" w:ascii="Times New Roman" w:hAnsi="Times New Roman" w:cs="Times New Roman"/>
                <w:sz w:val="24"/>
                <w:szCs w:val="24"/>
              </w:rPr>
            </w:pPr>
          </w:p>
        </w:tc>
      </w:tr>
      <w:tr w14:paraId="63AF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noWrap w:val="0"/>
            <w:vAlign w:val="center"/>
          </w:tcPr>
          <w:p w14:paraId="7BAFA19A">
            <w:pPr>
              <w:adjustRightInd/>
              <w:spacing w:line="440" w:lineRule="exact"/>
              <w:ind w:firstLine="0" w:firstLineChars="0"/>
              <w:jc w:val="center"/>
              <w:rPr>
                <w:rFonts w:hint="default" w:ascii="Times New Roman" w:hAnsi="Times New Roman" w:cs="Times New Roman"/>
                <w:sz w:val="24"/>
                <w:szCs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2590A12">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李金明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1F3B27D">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机械</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114CAB6B">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S011021000110193000605</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1FADDD97">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037257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A6E7AF3">
            <w:pPr>
              <w:adjustRightInd/>
              <w:snapToGrid/>
              <w:spacing w:line="440" w:lineRule="exact"/>
              <w:ind w:firstLine="0" w:firstLineChars="0"/>
              <w:jc w:val="center"/>
              <w:rPr>
                <w:rFonts w:hint="default" w:ascii="Times New Roman" w:hAnsi="Times New Roman" w:cs="Times New Roman"/>
                <w:sz w:val="24"/>
                <w:szCs w:val="24"/>
              </w:rPr>
            </w:pPr>
          </w:p>
        </w:tc>
      </w:tr>
      <w:tr w14:paraId="7E3E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noWrap w:val="0"/>
            <w:vAlign w:val="center"/>
          </w:tcPr>
          <w:p w14:paraId="00C0D78D">
            <w:pPr>
              <w:adjustRightInd/>
              <w:spacing w:line="440" w:lineRule="exact"/>
              <w:ind w:firstLine="0" w:firstLineChars="0"/>
              <w:jc w:val="center"/>
              <w:rPr>
                <w:rFonts w:hint="default" w:ascii="Times New Roman" w:hAnsi="Times New Roman" w:cs="Times New Roman"/>
                <w:sz w:val="24"/>
                <w:szCs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EA8CD84">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5422609">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3746800E">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S011053000110203001658</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EBDA96C">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4F6F86D">
            <w:pPr>
              <w:adjustRightInd/>
              <w:snapToGrid/>
              <w:spacing w:line="440" w:lineRule="exact"/>
              <w:ind w:firstLine="0" w:firstLineChars="0"/>
              <w:jc w:val="center"/>
              <w:rPr>
                <w:rFonts w:hint="default" w:ascii="Times New Roman" w:hAnsi="Times New Roman" w:cs="Times New Roman"/>
                <w:sz w:val="24"/>
                <w:szCs w:val="24"/>
              </w:rPr>
            </w:pPr>
          </w:p>
        </w:tc>
      </w:tr>
      <w:tr w14:paraId="1331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noWrap w:val="0"/>
            <w:vAlign w:val="center"/>
          </w:tcPr>
          <w:p w14:paraId="5063B873">
            <w:pPr>
              <w:adjustRightInd/>
              <w:spacing w:line="440" w:lineRule="exact"/>
              <w:ind w:firstLine="0" w:firstLineChars="0"/>
              <w:jc w:val="center"/>
              <w:rPr>
                <w:rFonts w:hint="default" w:ascii="Times New Roman" w:hAnsi="Times New Roman" w:cs="Times New Roman"/>
                <w:sz w:val="24"/>
                <w:szCs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3968661">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杨  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78B7DEC">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水工结构</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53D3905">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"http://cydj.5anquan.com/Admin/AprySearch/path=/Files/Image/ApryImg/Profession/Edit9607/" \o "http://cydj.5anquan.com/Admin/AprySearch/path=/Files/Image/ApryImg/Profession/Edit9607/" </w:instrText>
            </w:r>
            <w:r>
              <w:rPr>
                <w:rFonts w:hint="default" w:ascii="Times New Roman" w:hAnsi="Times New Roman" w:cs="Times New Roman"/>
                <w:sz w:val="21"/>
                <w:szCs w:val="24"/>
              </w:rPr>
              <w:fldChar w:fldCharType="separate"/>
            </w:r>
            <w:r>
              <w:rPr>
                <w:rFonts w:hint="default" w:ascii="Times New Roman" w:hAnsi="Times New Roman" w:cs="Times New Roman"/>
                <w:sz w:val="24"/>
                <w:szCs w:val="24"/>
              </w:rPr>
              <w:t>1100000000302455</w:t>
            </w:r>
            <w:r>
              <w:rPr>
                <w:rFonts w:hint="default" w:ascii="Times New Roman" w:hAnsi="Times New Roman" w:cs="Times New Roman"/>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9902287">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020433</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C0FD299">
            <w:pPr>
              <w:adjustRightInd/>
              <w:snapToGrid/>
              <w:spacing w:line="440" w:lineRule="exact"/>
              <w:ind w:firstLine="0" w:firstLineChars="0"/>
              <w:jc w:val="center"/>
              <w:rPr>
                <w:rFonts w:hint="default" w:ascii="Times New Roman" w:hAnsi="Times New Roman" w:cs="Times New Roman"/>
                <w:sz w:val="24"/>
                <w:szCs w:val="24"/>
              </w:rPr>
            </w:pPr>
          </w:p>
        </w:tc>
      </w:tr>
      <w:tr w14:paraId="761A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right w:val="single" w:color="auto" w:sz="4" w:space="0"/>
            </w:tcBorders>
            <w:noWrap w:val="0"/>
            <w:vAlign w:val="center"/>
          </w:tcPr>
          <w:p w14:paraId="78203F74">
            <w:pPr>
              <w:adjustRightInd/>
              <w:spacing w:line="440" w:lineRule="exact"/>
              <w:ind w:firstLine="0" w:firstLineChars="0"/>
              <w:jc w:val="center"/>
              <w:rPr>
                <w:rFonts w:hint="default" w:ascii="Times New Roman" w:hAnsi="Times New Roman" w:cs="Times New Roman"/>
                <w:sz w:val="24"/>
                <w:szCs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010A356">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王英楠</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FFD35DE">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地质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2E02DDA">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1100000000302557</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8D1355C">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020437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0E3D3DD">
            <w:pPr>
              <w:adjustRightInd/>
              <w:snapToGrid/>
              <w:spacing w:line="440" w:lineRule="exact"/>
              <w:ind w:firstLine="0" w:firstLineChars="0"/>
              <w:jc w:val="center"/>
              <w:rPr>
                <w:rFonts w:hint="default" w:ascii="Times New Roman" w:hAnsi="Times New Roman" w:cs="Times New Roman"/>
                <w:sz w:val="24"/>
                <w:szCs w:val="24"/>
              </w:rPr>
            </w:pPr>
          </w:p>
        </w:tc>
      </w:tr>
      <w:tr w14:paraId="047F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restart"/>
            <w:tcBorders>
              <w:top w:val="single" w:color="auto" w:sz="4" w:space="0"/>
              <w:left w:val="single" w:color="auto" w:sz="4" w:space="0"/>
              <w:right w:val="single" w:color="auto" w:sz="4" w:space="0"/>
            </w:tcBorders>
            <w:noWrap w:val="0"/>
            <w:vAlign w:val="center"/>
          </w:tcPr>
          <w:p w14:paraId="24391D22">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报告编制人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C0A34D0">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EA51EB0">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通风</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1D0E4482">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cs="Times New Roman"/>
                <w:sz w:val="21"/>
                <w:szCs w:val="24"/>
              </w:rPr>
              <w:fldChar w:fldCharType="separate"/>
            </w:r>
            <w:r>
              <w:rPr>
                <w:rFonts w:hint="default" w:ascii="Times New Roman" w:hAnsi="Times New Roman" w:cs="Times New Roman"/>
                <w:sz w:val="24"/>
                <w:szCs w:val="24"/>
              </w:rPr>
              <w:t>S011053000110192003194</w:t>
            </w:r>
            <w:r>
              <w:rPr>
                <w:rFonts w:hint="default" w:ascii="Times New Roman" w:hAnsi="Times New Roman" w:cs="Times New Roman"/>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F14A84D">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9C4A318">
            <w:pPr>
              <w:adjustRightInd/>
              <w:snapToGrid/>
              <w:spacing w:line="440" w:lineRule="exact"/>
              <w:ind w:firstLine="0" w:firstLineChars="0"/>
              <w:jc w:val="center"/>
              <w:rPr>
                <w:rFonts w:hint="default" w:ascii="Times New Roman" w:hAnsi="Times New Roman" w:cs="Times New Roman"/>
                <w:sz w:val="24"/>
                <w:szCs w:val="24"/>
              </w:rPr>
            </w:pPr>
          </w:p>
        </w:tc>
      </w:tr>
      <w:tr w14:paraId="5BAB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vMerge w:val="continue"/>
            <w:tcBorders>
              <w:left w:val="single" w:color="auto" w:sz="4" w:space="0"/>
              <w:bottom w:val="single" w:color="auto" w:sz="4" w:space="0"/>
              <w:right w:val="single" w:color="auto" w:sz="4" w:space="0"/>
            </w:tcBorders>
            <w:noWrap w:val="0"/>
            <w:vAlign w:val="center"/>
          </w:tcPr>
          <w:p w14:paraId="4C106214">
            <w:pPr>
              <w:adjustRightInd/>
              <w:spacing w:line="440" w:lineRule="exact"/>
              <w:ind w:firstLine="0" w:firstLineChars="0"/>
              <w:jc w:val="center"/>
              <w:rPr>
                <w:rFonts w:hint="default" w:ascii="Times New Roman" w:hAnsi="Times New Roman" w:cs="Times New Roman"/>
                <w:sz w:val="24"/>
                <w:szCs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C541C6B">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安东亮</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FB17339">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4E5E5FC4">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S011053000110203001658</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7E4BABE">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042539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3A5AFE34">
            <w:pPr>
              <w:adjustRightInd/>
              <w:snapToGrid/>
              <w:spacing w:line="440" w:lineRule="exact"/>
              <w:ind w:firstLine="0" w:firstLineChars="0"/>
              <w:jc w:val="center"/>
              <w:rPr>
                <w:rFonts w:hint="default" w:ascii="Times New Roman" w:hAnsi="Times New Roman" w:cs="Times New Roman"/>
                <w:sz w:val="24"/>
                <w:szCs w:val="24"/>
              </w:rPr>
            </w:pPr>
          </w:p>
        </w:tc>
      </w:tr>
      <w:tr w14:paraId="1BA1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79E890B7">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报告审核人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4DA5040">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李  超</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60CD5D8">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91D98D9">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S011021000110202000521</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776C5A7">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041289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4164976">
            <w:pPr>
              <w:adjustRightInd/>
              <w:snapToGrid/>
              <w:spacing w:line="440" w:lineRule="exact"/>
              <w:ind w:firstLine="0" w:firstLineChars="0"/>
              <w:jc w:val="center"/>
              <w:rPr>
                <w:rFonts w:hint="default" w:ascii="Times New Roman" w:hAnsi="Times New Roman" w:cs="Times New Roman"/>
                <w:sz w:val="24"/>
                <w:szCs w:val="24"/>
              </w:rPr>
            </w:pPr>
          </w:p>
        </w:tc>
      </w:tr>
      <w:tr w14:paraId="6A42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14C3CDBD">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过程控制</w:t>
            </w:r>
          </w:p>
          <w:p w14:paraId="0E9C8DB3">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AEA7E2E">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吴家辉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0A22C0E">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57C4753E">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CAWS210000230300034</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4F3EE4C">
            <w:pPr>
              <w:adjustRightInd/>
              <w:spacing w:line="440" w:lineRule="exact"/>
              <w:ind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rPr>
              <w:t>043015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7E287DE">
            <w:pPr>
              <w:adjustRightInd/>
              <w:snapToGrid/>
              <w:spacing w:line="440" w:lineRule="exact"/>
              <w:ind w:firstLine="0" w:firstLineChars="0"/>
              <w:jc w:val="center"/>
              <w:rPr>
                <w:rFonts w:hint="default" w:ascii="Times New Roman" w:hAnsi="Times New Roman" w:cs="Times New Roman"/>
                <w:sz w:val="24"/>
                <w:szCs w:val="24"/>
              </w:rPr>
            </w:pPr>
          </w:p>
        </w:tc>
      </w:tr>
      <w:tr w14:paraId="0E0C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6D5ED8BD">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技术负责人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7265825">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李在永</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F91CC0B">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采矿</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074244C">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S011021000110201000315</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1E4AE1E9">
            <w:pPr>
              <w:adjustRightInd/>
              <w:spacing w:line="440" w:lineRule="exact"/>
              <w:ind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019609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931CD60">
            <w:pPr>
              <w:adjustRightInd/>
              <w:snapToGrid/>
              <w:spacing w:line="440" w:lineRule="exact"/>
              <w:ind w:firstLine="0" w:firstLineChars="0"/>
              <w:jc w:val="center"/>
              <w:rPr>
                <w:rFonts w:hint="default" w:ascii="Times New Roman" w:hAnsi="Times New Roman" w:cs="Times New Roman"/>
                <w:sz w:val="24"/>
                <w:szCs w:val="24"/>
              </w:rPr>
            </w:pPr>
          </w:p>
        </w:tc>
      </w:tr>
    </w:tbl>
    <w:p w14:paraId="31640B28">
      <w:pPr>
        <w:pStyle w:val="41"/>
        <w:rPr>
          <w:rFonts w:hint="default" w:ascii="Times New Roman" w:hAnsi="Times New Roman" w:cs="Times New Roman"/>
        </w:rPr>
        <w:sectPr>
          <w:pgSz w:w="11907" w:h="16840"/>
          <w:pgMar w:top="1417" w:right="1134" w:bottom="1134" w:left="1587" w:header="850" w:footer="992" w:gutter="0"/>
          <w:pgNumType w:start="1"/>
          <w:cols w:space="720" w:num="1"/>
          <w:docGrid w:type="lines" w:linePitch="309" w:charSpace="0"/>
        </w:sectPr>
      </w:pPr>
    </w:p>
    <w:p w14:paraId="1D2D59DF">
      <w:pPr>
        <w:pStyle w:val="2"/>
        <w:rPr>
          <w:rFonts w:hint="default" w:ascii="Times New Roman" w:hAnsi="Times New Roman" w:eastAsia="华文中宋" w:cs="Times New Roman"/>
          <w:kern w:val="0"/>
          <w:szCs w:val="28"/>
        </w:rPr>
      </w:pPr>
      <w:bookmarkStart w:id="11" w:name="_Toc17450"/>
      <w:bookmarkStart w:id="12" w:name="_Toc9177"/>
      <w:bookmarkStart w:id="13" w:name="_Toc1697"/>
      <w:r>
        <w:rPr>
          <w:rFonts w:hint="default" w:ascii="Times New Roman" w:hAnsi="Times New Roman" w:cs="Times New Roman"/>
        </w:rPr>
        <w:t>前  言</w:t>
      </w:r>
      <w:bookmarkEnd w:id="1"/>
      <w:bookmarkEnd w:id="2"/>
      <w:bookmarkEnd w:id="3"/>
      <w:bookmarkEnd w:id="4"/>
      <w:bookmarkEnd w:id="5"/>
      <w:bookmarkEnd w:id="6"/>
      <w:bookmarkEnd w:id="11"/>
      <w:bookmarkEnd w:id="12"/>
      <w:bookmarkEnd w:id="13"/>
    </w:p>
    <w:p w14:paraId="2A9F3B76">
      <w:pPr>
        <w:pStyle w:val="122"/>
        <w:snapToGrid w:val="0"/>
        <w:spacing w:line="360" w:lineRule="auto"/>
        <w:ind w:firstLine="560" w:firstLineChars="200"/>
        <w:jc w:val="both"/>
        <w:rPr>
          <w:rFonts w:hint="default" w:ascii="Times New Roman" w:hAnsi="Times New Roman" w:cs="Times New Roman"/>
          <w:color w:val="auto"/>
          <w:sz w:val="28"/>
          <w:szCs w:val="28"/>
          <w:lang w:eastAsia="zh-CN"/>
        </w:rPr>
      </w:pPr>
      <w:bookmarkStart w:id="14" w:name="_Hlk144305543"/>
      <w:r>
        <w:rPr>
          <w:rFonts w:hint="default" w:ascii="Times New Roman" w:hAnsi="Times New Roman" w:cs="Times New Roman"/>
          <w:color w:val="auto"/>
          <w:sz w:val="28"/>
          <w:szCs w:val="28"/>
          <w:lang w:eastAsia="zh-CN"/>
        </w:rPr>
        <w:t>姚安县太平镇王家咀石场采矿权人为姚安县城镇投资开发有限公司。该矿山是为了满足昆楚大高速公路复线（姚安段）建筑用砂石料而设立的新建矿山，姚安县自然资源局于2021年8月委托云南省有色地质局楚雄勘查院开展姚安县太平镇王家咀石料场采矿权资源储量核实工作，进行矿区范围划定后公开挂牌出让该矿权，该矿权由姚安县城镇投资开发有限公司拍卖取得。</w:t>
      </w:r>
    </w:p>
    <w:p w14:paraId="6B666596">
      <w:pPr>
        <w:pStyle w:val="122"/>
        <w:snapToGrid w:val="0"/>
        <w:spacing w:line="360" w:lineRule="auto"/>
        <w:ind w:firstLine="560" w:firstLineChars="200"/>
        <w:jc w:val="both"/>
        <w:rPr>
          <w:rFonts w:hint="default" w:ascii="Times New Roman" w:hAnsi="Times New Roman" w:cs="Times New Roman"/>
          <w:color w:val="auto"/>
          <w:sz w:val="28"/>
          <w:szCs w:val="28"/>
          <w:lang w:eastAsia="zh-CN"/>
        </w:rPr>
      </w:pPr>
      <w:r>
        <w:rPr>
          <w:rFonts w:hint="default" w:ascii="Times New Roman" w:hAnsi="Times New Roman" w:cs="Times New Roman"/>
          <w:color w:val="auto"/>
          <w:sz w:val="28"/>
          <w:szCs w:val="28"/>
          <w:lang w:eastAsia="zh-CN"/>
        </w:rPr>
        <w:t>姚安县城镇投资开发有限公司于2023年12月01日取得最新采矿许可证，证号为C5323002023127150155997，开采矿种为建筑用砂岩，开采方式为露天开采，生产规模为30万t/a，有效期限，自2023年12月01日至2036年12月01日，矿区面积为0.0739km</w:t>
      </w:r>
      <w:r>
        <w:rPr>
          <w:rFonts w:hint="default" w:ascii="Times New Roman" w:hAnsi="Times New Roman" w:cs="Times New Roman"/>
          <w:color w:val="auto"/>
          <w:sz w:val="28"/>
          <w:szCs w:val="28"/>
          <w:vertAlign w:val="superscript"/>
          <w:lang w:eastAsia="zh-CN"/>
        </w:rPr>
        <w:t>2</w:t>
      </w:r>
      <w:r>
        <w:rPr>
          <w:rFonts w:hint="default" w:ascii="Times New Roman" w:hAnsi="Times New Roman" w:cs="Times New Roman"/>
          <w:color w:val="auto"/>
          <w:sz w:val="28"/>
          <w:szCs w:val="28"/>
          <w:lang w:eastAsia="zh-CN"/>
        </w:rPr>
        <w:t>，开采深度为2251m~2068m，采矿权范围由6个拐点圈定。</w:t>
      </w:r>
    </w:p>
    <w:bookmarkEnd w:id="14"/>
    <w:p w14:paraId="47732814">
      <w:pPr>
        <w:pStyle w:val="122"/>
        <w:snapToGrid w:val="0"/>
        <w:spacing w:line="360" w:lineRule="auto"/>
        <w:ind w:firstLine="560" w:firstLineChars="2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矿区位于姚安县太平镇王家咀村东北方向约1km处，隶属姚安县太平镇陈家村委会管辖。矿权范围由6个拐点坐标组成，地理坐标：东经101°07′25″～101°07′28″，北纬25°15′51″～25°15′57″，中心地理坐标：东经101°12′43″，北纬25°26′50″。矿区紧邻古山寺至陈家的陈家线乡村公路，直线距离约1.2km，矿区至姚安县城公路里程约16km，姚安至楚雄公路里程约76km，姚安至昆明公路里程约266km，交通运输较为方便。通信网络有中国电信、中国移动、中国联通，通讯方便。</w:t>
      </w:r>
    </w:p>
    <w:p w14:paraId="7266BF6A">
      <w:pPr>
        <w:pStyle w:val="122"/>
        <w:snapToGrid w:val="0"/>
        <w:spacing w:line="360" w:lineRule="auto"/>
        <w:ind w:firstLine="560" w:firstLineChars="200"/>
        <w:jc w:val="both"/>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根据</w:t>
      </w:r>
      <w:r>
        <w:rPr>
          <w:rFonts w:hint="default" w:ascii="Times New Roman" w:hAnsi="Times New Roman" w:eastAsia="宋体" w:cs="Times New Roman"/>
          <w:color w:val="auto"/>
          <w:sz w:val="28"/>
          <w:szCs w:val="28"/>
          <w:lang w:eastAsia="zh-CN"/>
        </w:rPr>
        <w:t>河南省冶金规划设计研究院有限责任公司</w:t>
      </w:r>
      <w:r>
        <w:rPr>
          <w:rFonts w:hint="default" w:ascii="Times New Roman" w:hAnsi="Times New Roman" w:eastAsia="宋体" w:cs="Times New Roman"/>
          <w:color w:val="auto"/>
          <w:sz w:val="28"/>
          <w:szCs w:val="28"/>
        </w:rPr>
        <w:t>于202</w:t>
      </w:r>
      <w:r>
        <w:rPr>
          <w:rFonts w:hint="default"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12</w:t>
      </w:r>
      <w:r>
        <w:rPr>
          <w:rFonts w:hint="default" w:ascii="Times New Roman" w:hAnsi="Times New Roman" w:eastAsia="宋体" w:cs="Times New Roman"/>
          <w:color w:val="auto"/>
          <w:sz w:val="28"/>
          <w:szCs w:val="28"/>
        </w:rPr>
        <w:t>月出具</w:t>
      </w:r>
      <w:r>
        <w:rPr>
          <w:rFonts w:hint="default" w:ascii="Times New Roman" w:hAnsi="Times New Roman" w:eastAsia="宋体" w:cs="Times New Roman"/>
          <w:color w:val="auto"/>
          <w:sz w:val="28"/>
          <w:szCs w:val="28"/>
          <w:lang w:val="en-US" w:eastAsia="zh-CN"/>
        </w:rPr>
        <w:t>的</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eastAsia="zh-CN"/>
        </w:rPr>
        <w:t>姚安县太平镇王家咀石料场30万</w:t>
      </w:r>
      <w:r>
        <w:rPr>
          <w:rFonts w:hint="default" w:ascii="Times New Roman" w:hAnsi="Times New Roman" w:eastAsia="宋体" w:cs="Times New Roman"/>
          <w:color w:val="auto"/>
          <w:sz w:val="28"/>
          <w:szCs w:val="28"/>
          <w:lang w:val="en-US" w:eastAsia="zh-CN"/>
        </w:rPr>
        <w:t>吨</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lang w:val="en-US" w:eastAsia="zh-CN"/>
        </w:rPr>
        <w:t>年</w:t>
      </w:r>
      <w:r>
        <w:rPr>
          <w:rFonts w:hint="default" w:ascii="Times New Roman" w:hAnsi="Times New Roman" w:eastAsia="宋体" w:cs="Times New Roman"/>
          <w:color w:val="auto"/>
          <w:sz w:val="28"/>
          <w:szCs w:val="28"/>
          <w:lang w:eastAsia="zh-CN"/>
        </w:rPr>
        <w:t>露天采矿工程</w:t>
      </w:r>
      <w:r>
        <w:rPr>
          <w:rFonts w:hint="default" w:ascii="Times New Roman" w:hAnsi="Times New Roman" w:eastAsia="宋体" w:cs="Times New Roman"/>
          <w:color w:val="auto"/>
          <w:sz w:val="28"/>
          <w:szCs w:val="28"/>
        </w:rPr>
        <w:t>初步设计》及202</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rPr>
        <w:t>月出具</w:t>
      </w:r>
      <w:r>
        <w:rPr>
          <w:rFonts w:hint="default" w:ascii="Times New Roman" w:hAnsi="Times New Roman" w:eastAsia="宋体" w:cs="Times New Roman"/>
          <w:color w:val="auto"/>
          <w:sz w:val="28"/>
          <w:szCs w:val="28"/>
          <w:lang w:val="en-US" w:eastAsia="zh-CN"/>
        </w:rPr>
        <w:t>的</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eastAsia="zh-CN"/>
        </w:rPr>
        <w:t>姚安县太平镇王家咀石料场30万</w:t>
      </w:r>
      <w:r>
        <w:rPr>
          <w:rFonts w:hint="default" w:ascii="Times New Roman" w:hAnsi="Times New Roman" w:eastAsia="宋体" w:cs="Times New Roman"/>
          <w:color w:val="auto"/>
          <w:sz w:val="28"/>
          <w:szCs w:val="28"/>
          <w:lang w:val="en-US" w:eastAsia="zh-CN"/>
        </w:rPr>
        <w:t>吨</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lang w:val="en-US" w:eastAsia="zh-CN"/>
        </w:rPr>
        <w:t>年</w:t>
      </w:r>
      <w:r>
        <w:rPr>
          <w:rFonts w:hint="default" w:ascii="Times New Roman" w:hAnsi="Times New Roman" w:eastAsia="宋体" w:cs="Times New Roman"/>
          <w:color w:val="auto"/>
          <w:sz w:val="28"/>
          <w:szCs w:val="28"/>
          <w:lang w:eastAsia="zh-CN"/>
        </w:rPr>
        <w:t>露天采矿工程</w:t>
      </w:r>
      <w:r>
        <w:rPr>
          <w:rFonts w:hint="default" w:ascii="Times New Roman" w:hAnsi="Times New Roman" w:eastAsia="宋体" w:cs="Times New Roman"/>
          <w:color w:val="auto"/>
          <w:sz w:val="28"/>
          <w:szCs w:val="28"/>
        </w:rPr>
        <w:t>安全设施设计》，设计采用露天开采，公路开拓汽车运输，设计台阶高度1</w:t>
      </w:r>
      <w:r>
        <w:rPr>
          <w:rFonts w:hint="default" w:ascii="Times New Roman" w:hAnsi="Times New Roman" w:eastAsia="宋体" w:cs="Times New Roman"/>
          <w:color w:val="auto"/>
          <w:sz w:val="28"/>
          <w:szCs w:val="28"/>
          <w:lang w:val="en-US" w:eastAsia="zh-CN"/>
        </w:rPr>
        <w:t>0</w:t>
      </w:r>
      <w:r>
        <w:rPr>
          <w:rFonts w:hint="default" w:ascii="Times New Roman" w:hAnsi="Times New Roman" w:eastAsia="宋体" w:cs="Times New Roman"/>
          <w:color w:val="auto"/>
          <w:sz w:val="28"/>
          <w:szCs w:val="28"/>
        </w:rPr>
        <w:t>m，</w:t>
      </w:r>
      <w:r>
        <w:rPr>
          <w:rFonts w:hint="default" w:ascii="Times New Roman" w:hAnsi="Times New Roman" w:eastAsia="宋体" w:cs="Times New Roman"/>
          <w:color w:val="auto"/>
          <w:sz w:val="28"/>
          <w:szCs w:val="28"/>
          <w:lang w:val="en-US" w:eastAsia="zh-CN"/>
        </w:rPr>
        <w:t>工作</w:t>
      </w:r>
      <w:r>
        <w:rPr>
          <w:rFonts w:hint="default" w:ascii="Times New Roman" w:hAnsi="Times New Roman" w:eastAsia="宋体" w:cs="Times New Roman"/>
          <w:color w:val="auto"/>
          <w:sz w:val="28"/>
          <w:szCs w:val="28"/>
        </w:rPr>
        <w:t>台阶坡面角</w:t>
      </w:r>
      <w:r>
        <w:rPr>
          <w:rFonts w:hint="default" w:ascii="Times New Roman" w:hAnsi="Times New Roman" w:eastAsia="宋体" w:cs="Times New Roman"/>
          <w:color w:val="auto"/>
          <w:sz w:val="28"/>
          <w:szCs w:val="28"/>
          <w:lang w:val="en-US" w:eastAsia="zh-CN"/>
        </w:rPr>
        <w:t>75</w:t>
      </w:r>
      <w:r>
        <w:rPr>
          <w:rFonts w:hint="default" w:ascii="Times New Roman" w:hAnsi="Times New Roman" w:eastAsia="宋体" w:cs="Times New Roman"/>
          <w:color w:val="auto"/>
          <w:sz w:val="28"/>
          <w:szCs w:val="28"/>
        </w:rPr>
        <w:t>°，安全平台宽度</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rPr>
        <w:t>m，清扫平台宽度</w:t>
      </w:r>
      <w:r>
        <w:rPr>
          <w:rFonts w:hint="default" w:ascii="Times New Roman" w:hAnsi="Times New Roman" w:eastAsia="宋体" w:cs="Times New Roman"/>
          <w:color w:val="auto"/>
          <w:sz w:val="28"/>
          <w:szCs w:val="28"/>
          <w:lang w:val="en-US" w:eastAsia="zh-CN"/>
        </w:rPr>
        <w:t>6</w:t>
      </w:r>
      <w:r>
        <w:rPr>
          <w:rFonts w:hint="default" w:ascii="Times New Roman" w:hAnsi="Times New Roman" w:eastAsia="宋体" w:cs="Times New Roman"/>
          <w:color w:val="auto"/>
          <w:sz w:val="28"/>
          <w:szCs w:val="28"/>
        </w:rPr>
        <w:t>m。采用中深孔爆破，挖掘机铲装，汽车运输的采矿方式。该设计于202</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rPr>
        <w:t>月</w:t>
      </w:r>
      <w:r>
        <w:rPr>
          <w:rFonts w:hint="default" w:ascii="Times New Roman" w:hAnsi="Times New Roman" w:eastAsia="宋体" w:cs="Times New Roman"/>
          <w:color w:val="auto"/>
          <w:sz w:val="28"/>
          <w:szCs w:val="28"/>
          <w:lang w:val="en-US" w:eastAsia="zh-CN"/>
        </w:rPr>
        <w:t>23</w:t>
      </w:r>
      <w:r>
        <w:rPr>
          <w:rFonts w:hint="default" w:ascii="Times New Roman" w:hAnsi="Times New Roman" w:eastAsia="宋体" w:cs="Times New Roman"/>
          <w:color w:val="auto"/>
          <w:sz w:val="28"/>
          <w:szCs w:val="28"/>
        </w:rPr>
        <w:t>日由</w:t>
      </w:r>
      <w:r>
        <w:rPr>
          <w:rFonts w:hint="default" w:ascii="Times New Roman" w:hAnsi="Times New Roman" w:eastAsia="宋体" w:cs="Times New Roman"/>
          <w:color w:val="auto"/>
          <w:sz w:val="28"/>
          <w:szCs w:val="28"/>
          <w:lang w:eastAsia="zh-CN"/>
        </w:rPr>
        <w:t>楚雄彝族自治州应急管理局</w:t>
      </w:r>
      <w:r>
        <w:rPr>
          <w:rFonts w:hint="default" w:ascii="Times New Roman" w:hAnsi="Times New Roman" w:eastAsia="宋体" w:cs="Times New Roman"/>
          <w:color w:val="auto"/>
          <w:sz w:val="28"/>
          <w:szCs w:val="28"/>
        </w:rPr>
        <w:t>组织相关专家审查通过</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lang w:val="en-US" w:eastAsia="zh-CN"/>
        </w:rPr>
        <w:t>于2024年5月6日取得《楚雄州建设项目安全设施设计审批书》。</w:t>
      </w:r>
    </w:p>
    <w:p w14:paraId="2E82341A">
      <w:pPr>
        <w:pStyle w:val="122"/>
        <w:snapToGrid w:val="0"/>
        <w:spacing w:line="360" w:lineRule="auto"/>
        <w:ind w:firstLine="560" w:firstLineChars="200"/>
        <w:jc w:val="both"/>
        <w:rPr>
          <w:rFonts w:hint="default" w:ascii="Times New Roman" w:hAnsi="Times New Roman" w:cs="Times New Roman"/>
          <w:color w:val="auto"/>
          <w:sz w:val="28"/>
          <w:szCs w:val="28"/>
        </w:rPr>
      </w:pPr>
      <w:bookmarkStart w:id="15" w:name="_Hlk161236153"/>
      <w:r>
        <w:rPr>
          <w:rFonts w:hint="default" w:ascii="Times New Roman" w:hAnsi="Times New Roman" w:cs="Times New Roman"/>
          <w:color w:val="auto"/>
          <w:sz w:val="28"/>
          <w:szCs w:val="28"/>
        </w:rPr>
        <w:t>矿山</w:t>
      </w:r>
      <w:bookmarkEnd w:id="15"/>
      <w:r>
        <w:rPr>
          <w:rFonts w:hint="default" w:ascii="Times New Roman" w:hAnsi="Times New Roman" w:cs="Times New Roman"/>
          <w:color w:val="auto"/>
          <w:sz w:val="28"/>
          <w:szCs w:val="28"/>
        </w:rPr>
        <w:t>于202</w:t>
      </w:r>
      <w:r>
        <w:rPr>
          <w:rFonts w:hint="default" w:ascii="Times New Roman" w:hAnsi="Times New Roman" w:cs="Times New Roman"/>
          <w:color w:val="auto"/>
          <w:sz w:val="28"/>
          <w:szCs w:val="28"/>
          <w:lang w:val="en-US" w:eastAsia="zh-CN"/>
        </w:rPr>
        <w:t>4</w:t>
      </w:r>
      <w:r>
        <w:rPr>
          <w:rFonts w:hint="default" w:ascii="Times New Roman" w:hAnsi="Times New Roman" w:cs="Times New Roman"/>
          <w:color w:val="auto"/>
          <w:sz w:val="28"/>
          <w:szCs w:val="28"/>
        </w:rPr>
        <w:t>年</w:t>
      </w:r>
      <w:r>
        <w:rPr>
          <w:rFonts w:hint="default" w:ascii="Times New Roman" w:hAnsi="Times New Roman" w:cs="Times New Roman"/>
          <w:color w:val="auto"/>
          <w:sz w:val="28"/>
          <w:szCs w:val="28"/>
          <w:lang w:val="en-US" w:eastAsia="zh-CN"/>
        </w:rPr>
        <w:t>5</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lang w:val="en-US" w:eastAsia="zh-CN"/>
        </w:rPr>
        <w:t>15</w:t>
      </w:r>
      <w:r>
        <w:rPr>
          <w:rFonts w:hint="default" w:ascii="Times New Roman" w:hAnsi="Times New Roman" w:cs="Times New Roman"/>
          <w:color w:val="auto"/>
          <w:sz w:val="28"/>
          <w:szCs w:val="28"/>
        </w:rPr>
        <w:t>日开始动工，至2024年</w:t>
      </w:r>
      <w:r>
        <w:rPr>
          <w:rFonts w:hint="default" w:ascii="Times New Roman" w:hAnsi="Times New Roman" w:cs="Times New Roman"/>
          <w:color w:val="auto"/>
          <w:sz w:val="28"/>
          <w:szCs w:val="28"/>
          <w:lang w:val="en-US" w:eastAsia="zh-CN"/>
        </w:rPr>
        <w:t>10</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lang w:val="en-US" w:eastAsia="zh-CN"/>
        </w:rPr>
        <w:t>15</w:t>
      </w:r>
      <w:r>
        <w:rPr>
          <w:rFonts w:hint="default" w:ascii="Times New Roman" w:hAnsi="Times New Roman" w:cs="Times New Roman"/>
          <w:color w:val="auto"/>
          <w:sz w:val="28"/>
          <w:szCs w:val="28"/>
        </w:rPr>
        <w:t>日完成基建建设，基建工程周期为</w:t>
      </w:r>
      <w:r>
        <w:rPr>
          <w:rFonts w:hint="default" w:ascii="Times New Roman" w:hAnsi="Times New Roman" w:cs="Times New Roman"/>
          <w:color w:val="auto"/>
          <w:sz w:val="28"/>
          <w:szCs w:val="28"/>
          <w:lang w:val="en-US" w:eastAsia="zh-CN"/>
        </w:rPr>
        <w:t>5</w:t>
      </w:r>
      <w:r>
        <w:rPr>
          <w:rFonts w:hint="default" w:ascii="Times New Roman" w:hAnsi="Times New Roman" w:cs="Times New Roman"/>
          <w:color w:val="auto"/>
          <w:sz w:val="28"/>
          <w:szCs w:val="28"/>
        </w:rPr>
        <w:t>个月，202</w:t>
      </w:r>
      <w:r>
        <w:rPr>
          <w:rFonts w:hint="default" w:ascii="Times New Roman" w:hAnsi="Times New Roman" w:cs="Times New Roman"/>
          <w:color w:val="auto"/>
          <w:sz w:val="28"/>
          <w:szCs w:val="28"/>
          <w:lang w:val="en-US" w:eastAsia="zh-CN"/>
        </w:rPr>
        <w:t>4</w:t>
      </w:r>
      <w:r>
        <w:rPr>
          <w:rFonts w:hint="default" w:ascii="Times New Roman" w:hAnsi="Times New Roman" w:cs="Times New Roman"/>
          <w:color w:val="auto"/>
          <w:sz w:val="28"/>
          <w:szCs w:val="28"/>
        </w:rPr>
        <w:t>年</w:t>
      </w:r>
      <w:r>
        <w:rPr>
          <w:rFonts w:hint="default" w:ascii="Times New Roman" w:hAnsi="Times New Roman" w:cs="Times New Roman"/>
          <w:color w:val="auto"/>
          <w:sz w:val="28"/>
          <w:szCs w:val="28"/>
          <w:lang w:val="en-US" w:eastAsia="zh-CN"/>
        </w:rPr>
        <w:t>10</w:t>
      </w:r>
      <w:r>
        <w:rPr>
          <w:rFonts w:hint="default" w:ascii="Times New Roman" w:hAnsi="Times New Roman" w:cs="Times New Roman"/>
          <w:color w:val="auto"/>
          <w:sz w:val="28"/>
          <w:szCs w:val="28"/>
        </w:rPr>
        <w:t>月由姚安县城镇投资开发有限公司编制完成《姚安县太平镇王家咀石料场30万吨/年露天采矿基建工程施工</w:t>
      </w:r>
      <w:r>
        <w:rPr>
          <w:rFonts w:hint="default" w:ascii="Times New Roman" w:hAnsi="Times New Roman" w:cs="Times New Roman"/>
          <w:color w:val="auto"/>
          <w:sz w:val="28"/>
          <w:szCs w:val="28"/>
          <w:lang w:val="en-US" w:eastAsia="zh-CN"/>
        </w:rPr>
        <w:t>质量</w:t>
      </w:r>
      <w:r>
        <w:rPr>
          <w:rFonts w:hint="default" w:ascii="Times New Roman" w:hAnsi="Times New Roman" w:cs="Times New Roman"/>
          <w:color w:val="auto"/>
          <w:sz w:val="28"/>
          <w:szCs w:val="28"/>
        </w:rPr>
        <w:t>报告》，于202</w:t>
      </w:r>
      <w:r>
        <w:rPr>
          <w:rFonts w:hint="default" w:ascii="Times New Roman" w:hAnsi="Times New Roman" w:cs="Times New Roman"/>
          <w:color w:val="auto"/>
          <w:sz w:val="28"/>
          <w:szCs w:val="28"/>
          <w:lang w:val="en-US" w:eastAsia="zh-CN"/>
        </w:rPr>
        <w:t>4</w:t>
      </w:r>
      <w:r>
        <w:rPr>
          <w:rFonts w:hint="default" w:ascii="Times New Roman" w:hAnsi="Times New Roman" w:cs="Times New Roman"/>
          <w:color w:val="auto"/>
          <w:sz w:val="28"/>
          <w:szCs w:val="28"/>
        </w:rPr>
        <w:t>年</w:t>
      </w:r>
      <w:r>
        <w:rPr>
          <w:rFonts w:hint="default" w:ascii="Times New Roman" w:hAnsi="Times New Roman" w:cs="Times New Roman"/>
          <w:color w:val="auto"/>
          <w:sz w:val="28"/>
          <w:szCs w:val="28"/>
          <w:lang w:val="en-US" w:eastAsia="zh-CN"/>
        </w:rPr>
        <w:t>10</w:t>
      </w:r>
      <w:r>
        <w:rPr>
          <w:rFonts w:hint="default" w:ascii="Times New Roman" w:hAnsi="Times New Roman" w:cs="Times New Roman"/>
          <w:color w:val="auto"/>
          <w:sz w:val="28"/>
          <w:szCs w:val="28"/>
        </w:rPr>
        <w:t>月由姚安县城镇投资开发有限公司编制完成《姚安县太平镇王家咀石料场30万吨/年露天采矿基建工程监理总结报告》，完成相应基建工程的建设后，矿山组织开展项目试运行工作，试运行时间为2024年</w:t>
      </w:r>
      <w:r>
        <w:rPr>
          <w:rFonts w:hint="default" w:ascii="Times New Roman" w:hAnsi="Times New Roman" w:cs="Times New Roman"/>
          <w:color w:val="auto"/>
          <w:sz w:val="28"/>
          <w:szCs w:val="28"/>
          <w:lang w:val="en-US" w:eastAsia="zh-CN"/>
        </w:rPr>
        <w:t>10</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lang w:val="en-US" w:eastAsia="zh-CN"/>
        </w:rPr>
        <w:t>16</w:t>
      </w:r>
      <w:r>
        <w:rPr>
          <w:rFonts w:hint="default" w:ascii="Times New Roman" w:hAnsi="Times New Roman" w:cs="Times New Roman"/>
          <w:color w:val="auto"/>
          <w:sz w:val="28"/>
          <w:szCs w:val="28"/>
        </w:rPr>
        <w:t>日至2024年</w:t>
      </w:r>
      <w:r>
        <w:rPr>
          <w:rFonts w:hint="default" w:ascii="Times New Roman" w:hAnsi="Times New Roman" w:cs="Times New Roman"/>
          <w:color w:val="auto"/>
          <w:sz w:val="28"/>
          <w:szCs w:val="28"/>
          <w:lang w:val="en-US" w:eastAsia="zh-CN"/>
        </w:rPr>
        <w:t>11</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lang w:val="en-US" w:eastAsia="zh-CN"/>
        </w:rPr>
        <w:t>16</w:t>
      </w:r>
      <w:r>
        <w:rPr>
          <w:rFonts w:hint="default" w:ascii="Times New Roman" w:hAnsi="Times New Roman" w:cs="Times New Roman"/>
          <w:color w:val="auto"/>
          <w:sz w:val="28"/>
          <w:szCs w:val="28"/>
        </w:rPr>
        <w:t>日，矿山各系统运行正常，安全设施运行效果良好，未发生安全生产事故。</w:t>
      </w:r>
    </w:p>
    <w:p w14:paraId="62C4C86A">
      <w:pPr>
        <w:ind w:firstLine="560"/>
        <w:rPr>
          <w:rFonts w:hint="default" w:ascii="Times New Roman" w:hAnsi="Times New Roman" w:cs="Times New Roman"/>
          <w:spacing w:val="-6"/>
          <w:lang w:val="zh-CN"/>
        </w:rPr>
      </w:pPr>
      <w:r>
        <w:rPr>
          <w:rFonts w:hint="default" w:ascii="Times New Roman" w:hAnsi="Times New Roman" w:cs="Times New Roman"/>
          <w:lang w:val="zh-CN"/>
        </w:rPr>
        <w:t>根据</w:t>
      </w:r>
      <w:r>
        <w:rPr>
          <w:rFonts w:hint="default" w:ascii="Times New Roman" w:hAnsi="Times New Roman" w:cs="Times New Roman"/>
        </w:rPr>
        <w:t>《建设项目安全设施“三同时”监督管理办法》</w:t>
      </w:r>
      <w:r>
        <w:rPr>
          <w:rFonts w:hint="default" w:ascii="Times New Roman" w:hAnsi="Times New Roman" w:cs="Times New Roman"/>
          <w:lang w:val="zh-CN"/>
        </w:rPr>
        <w:t>（</w:t>
      </w:r>
      <w:r>
        <w:rPr>
          <w:rFonts w:hint="default" w:ascii="Times New Roman" w:hAnsi="Times New Roman" w:cs="Times New Roman"/>
          <w:lang w:val="sq-AL"/>
        </w:rPr>
        <w:t>原</w:t>
      </w:r>
      <w:r>
        <w:rPr>
          <w:rFonts w:hint="default" w:ascii="Times New Roman" w:hAnsi="Times New Roman" w:cs="Times New Roman"/>
          <w:lang w:val="zh-CN"/>
        </w:rPr>
        <w:t>国家安全生产监管总局令</w:t>
      </w:r>
      <w:r>
        <w:rPr>
          <w:rFonts w:hint="default" w:ascii="Times New Roman" w:hAnsi="Times New Roman" w:cs="Times New Roman"/>
        </w:rPr>
        <w:t>[2011]</w:t>
      </w:r>
      <w:r>
        <w:rPr>
          <w:rFonts w:hint="default" w:ascii="Times New Roman" w:hAnsi="Times New Roman" w:cs="Times New Roman"/>
          <w:lang w:val="zh-CN"/>
        </w:rPr>
        <w:t>第36号，</w:t>
      </w:r>
      <w:r>
        <w:rPr>
          <w:rFonts w:hint="default" w:ascii="Times New Roman" w:hAnsi="Times New Roman" w:cs="Times New Roman"/>
          <w:lang w:eastAsia="zh-Hans"/>
        </w:rPr>
        <w:t>原</w:t>
      </w:r>
      <w:r>
        <w:rPr>
          <w:rFonts w:hint="default" w:ascii="Times New Roman" w:hAnsi="Times New Roman" w:cs="Times New Roman"/>
          <w:lang w:val="zh-CN"/>
        </w:rPr>
        <w:t>国家安全生产监管总局令</w:t>
      </w:r>
      <w:r>
        <w:rPr>
          <w:rFonts w:hint="default" w:ascii="Times New Roman" w:hAnsi="Times New Roman" w:cs="Times New Roman"/>
        </w:rPr>
        <w:t>2015</w:t>
      </w:r>
      <w:r>
        <w:rPr>
          <w:rFonts w:hint="default" w:ascii="Times New Roman" w:hAnsi="Times New Roman" w:cs="Times New Roman"/>
          <w:lang w:eastAsia="zh-Hans"/>
        </w:rPr>
        <w:t>年</w:t>
      </w:r>
      <w:r>
        <w:rPr>
          <w:rFonts w:hint="default" w:ascii="Times New Roman" w:hAnsi="Times New Roman" w:cs="Times New Roman"/>
          <w:lang w:val="zh-CN"/>
        </w:rPr>
        <w:t>第77号第一次修订</w:t>
      </w:r>
      <w:r>
        <w:rPr>
          <w:rFonts w:hint="default" w:ascii="Times New Roman" w:hAnsi="Times New Roman" w:cs="Times New Roman"/>
          <w:lang w:val="sq-AL"/>
        </w:rPr>
        <w:t>）</w:t>
      </w:r>
      <w:r>
        <w:rPr>
          <w:rFonts w:hint="default" w:ascii="Times New Roman" w:hAnsi="Times New Roman" w:cs="Times New Roman"/>
        </w:rPr>
        <w:t>的要求，</w:t>
      </w:r>
      <w:r>
        <w:rPr>
          <w:rFonts w:hint="default" w:ascii="Times New Roman" w:hAnsi="Times New Roman" w:cs="Times New Roman"/>
          <w:lang w:val="zh-CN"/>
        </w:rPr>
        <w:t>需对建设项目进行安全设施验收评价。</w:t>
      </w:r>
      <w:r>
        <w:rPr>
          <w:rFonts w:hint="default" w:ascii="Times New Roman" w:hAnsi="Times New Roman" w:cs="Times New Roman"/>
        </w:rPr>
        <w:t>企业</w:t>
      </w:r>
      <w:r>
        <w:rPr>
          <w:rFonts w:hint="default" w:ascii="Times New Roman" w:hAnsi="Times New Roman" w:cs="Times New Roman"/>
          <w:lang w:val="zh-CN"/>
        </w:rPr>
        <w:t>于</w:t>
      </w:r>
      <w:r>
        <w:rPr>
          <w:rFonts w:hint="default" w:ascii="Times New Roman" w:hAnsi="Times New Roman" w:cs="Times New Roman"/>
          <w:bCs/>
          <w:color w:val="000000"/>
          <w:szCs w:val="28"/>
          <w:u w:val="none"/>
          <w:lang w:val="en-US" w:eastAsia="zh-CN"/>
        </w:rPr>
        <w:t>2024年8</w:t>
      </w:r>
      <w:r>
        <w:rPr>
          <w:rFonts w:hint="default" w:ascii="Times New Roman" w:hAnsi="Times New Roman" w:cs="Times New Roman"/>
          <w:bCs/>
          <w:szCs w:val="28"/>
        </w:rPr>
        <w:t>月</w:t>
      </w:r>
      <w:r>
        <w:rPr>
          <w:rFonts w:hint="default" w:ascii="Times New Roman" w:hAnsi="Times New Roman" w:cs="Times New Roman"/>
          <w:lang w:val="zh-CN"/>
        </w:rPr>
        <w:t>委托我公司（</w:t>
      </w:r>
      <w:r>
        <w:rPr>
          <w:rFonts w:hint="default" w:ascii="Times New Roman" w:hAnsi="Times New Roman" w:cs="Times New Roman"/>
        </w:rPr>
        <w:t>辽宁诺诚安全科技有限公司</w:t>
      </w:r>
      <w:r>
        <w:rPr>
          <w:rFonts w:hint="default" w:ascii="Times New Roman" w:hAnsi="Times New Roman" w:cs="Times New Roman"/>
          <w:lang w:val="zh-CN"/>
        </w:rPr>
        <w:t>）对</w:t>
      </w:r>
      <w:r>
        <w:rPr>
          <w:rFonts w:hint="default" w:ascii="Times New Roman" w:hAnsi="Times New Roman" w:cs="Times New Roman"/>
          <w:szCs w:val="28"/>
          <w:lang w:eastAsia="zh-CN"/>
        </w:rPr>
        <w:t>姚安县太平镇王家咀石料场30万t/a露天采矿工程</w:t>
      </w:r>
      <w:r>
        <w:rPr>
          <w:rFonts w:hint="default" w:ascii="Times New Roman" w:hAnsi="Times New Roman" w:cs="Times New Roman"/>
          <w:lang w:val="zh-CN"/>
        </w:rPr>
        <w:t>进行安全设施验收评价，我公司接受委托后立即组建了安全评价项目组</w:t>
      </w:r>
      <w:r>
        <w:rPr>
          <w:rFonts w:hint="default" w:ascii="Times New Roman" w:hAnsi="Times New Roman" w:cs="Times New Roman"/>
        </w:rPr>
        <w:t>，项目组于</w:t>
      </w:r>
      <w:r>
        <w:rPr>
          <w:rFonts w:hint="default" w:ascii="Times New Roman" w:hAnsi="Times New Roman" w:cs="Times New Roman"/>
          <w:bCs/>
          <w:szCs w:val="28"/>
        </w:rPr>
        <w:t>2024年</w:t>
      </w:r>
      <w:r>
        <w:rPr>
          <w:rFonts w:hint="default" w:ascii="Times New Roman" w:hAnsi="Times New Roman" w:cs="Times New Roman"/>
          <w:bCs/>
          <w:szCs w:val="28"/>
          <w:lang w:val="en-US" w:eastAsia="zh-CN"/>
        </w:rPr>
        <w:t>9</w:t>
      </w:r>
      <w:r>
        <w:rPr>
          <w:rFonts w:hint="default" w:ascii="Times New Roman" w:hAnsi="Times New Roman" w:cs="Times New Roman"/>
          <w:bCs/>
          <w:szCs w:val="28"/>
        </w:rPr>
        <w:t>月</w:t>
      </w:r>
      <w:r>
        <w:rPr>
          <w:rFonts w:hint="default" w:ascii="Times New Roman" w:hAnsi="Times New Roman" w:cs="Times New Roman"/>
          <w:bCs/>
          <w:szCs w:val="28"/>
          <w:lang w:val="en-US" w:eastAsia="zh-CN"/>
        </w:rPr>
        <w:t>9</w:t>
      </w:r>
      <w:r>
        <w:rPr>
          <w:rFonts w:hint="default" w:ascii="Times New Roman" w:hAnsi="Times New Roman" w:cs="Times New Roman"/>
          <w:bCs/>
          <w:szCs w:val="28"/>
        </w:rPr>
        <w:t>日</w:t>
      </w:r>
      <w:r>
        <w:rPr>
          <w:rFonts w:hint="default" w:ascii="Times New Roman" w:hAnsi="Times New Roman" w:cs="Times New Roman"/>
          <w:bCs/>
          <w:szCs w:val="28"/>
          <w:lang w:eastAsia="zh-CN"/>
        </w:rPr>
        <w:t>、</w:t>
      </w:r>
      <w:r>
        <w:rPr>
          <w:rFonts w:hint="default" w:ascii="Times New Roman" w:hAnsi="Times New Roman" w:cs="Times New Roman"/>
          <w:bCs/>
          <w:szCs w:val="28"/>
          <w:lang w:val="en-US" w:eastAsia="zh-CN"/>
        </w:rPr>
        <w:t>2024年11月20日</w:t>
      </w:r>
      <w:r>
        <w:rPr>
          <w:rFonts w:hint="default" w:ascii="Times New Roman" w:hAnsi="Times New Roman" w:cs="Times New Roman"/>
        </w:rPr>
        <w:t>进场服务，评价人员在现场踏勘，收集整理验收有关资料，并跟踪工程进展；</w:t>
      </w:r>
      <w:r>
        <w:rPr>
          <w:rFonts w:hint="default" w:ascii="Times New Roman" w:hAnsi="Times New Roman" w:cs="Times New Roman"/>
          <w:lang w:val="zh-CN"/>
        </w:rPr>
        <w:t>根据</w:t>
      </w:r>
      <w:r>
        <w:rPr>
          <w:rFonts w:hint="default" w:ascii="Times New Roman" w:hAnsi="Times New Roman" w:cs="Times New Roman"/>
        </w:rPr>
        <w:t>该建设项目的</w:t>
      </w:r>
      <w:r>
        <w:rPr>
          <w:rFonts w:hint="default" w:ascii="Times New Roman" w:hAnsi="Times New Roman" w:cs="Times New Roman"/>
          <w:lang w:val="zh-CN"/>
        </w:rPr>
        <w:t>初步设计、安全设施设计以及相关法律、法规和有关标准规范等要求，</w:t>
      </w:r>
      <w:r>
        <w:rPr>
          <w:rFonts w:hint="default" w:ascii="Times New Roman" w:hAnsi="Times New Roman" w:cs="Times New Roman"/>
        </w:rPr>
        <w:t>及时向企业提出了现场存在问题及整改建议，矿山企业根据我公司提出的现场问题及整改建议进行了认真</w:t>
      </w:r>
      <w:r>
        <w:rPr>
          <w:rFonts w:hint="default" w:ascii="Times New Roman" w:hAnsi="Times New Roman" w:cs="Times New Roman"/>
          <w:lang w:eastAsia="zh-CN"/>
        </w:rPr>
        <w:t>的</w:t>
      </w:r>
      <w:r>
        <w:rPr>
          <w:rFonts w:hint="default" w:ascii="Times New Roman" w:hAnsi="Times New Roman" w:cs="Times New Roman"/>
        </w:rPr>
        <w:t>整改落实。</w:t>
      </w:r>
      <w:r>
        <w:rPr>
          <w:rFonts w:hint="default" w:ascii="Times New Roman" w:hAnsi="Times New Roman" w:cs="Times New Roman"/>
          <w:lang w:val="zh-CN"/>
        </w:rPr>
        <w:t>根据《安全验收评价导则》</w:t>
      </w:r>
      <w:r>
        <w:rPr>
          <w:rFonts w:hint="default" w:ascii="Times New Roman" w:hAnsi="Times New Roman" w:cs="Times New Roman"/>
        </w:rPr>
        <w:t>（AQ8003-2007）</w:t>
      </w:r>
      <w:r>
        <w:rPr>
          <w:rFonts w:hint="default" w:ascii="Times New Roman" w:hAnsi="Times New Roman" w:cs="Times New Roman"/>
          <w:lang w:val="zh-CN"/>
        </w:rPr>
        <w:t>、《国家安全监管总局关于印发〈金属非金属矿山建设项目安全评价报告编写提纲〉的通知》</w:t>
      </w:r>
      <w:r>
        <w:rPr>
          <w:rFonts w:hint="default" w:ascii="Times New Roman" w:hAnsi="Times New Roman" w:cs="Times New Roman"/>
          <w:spacing w:val="-6"/>
        </w:rPr>
        <w:t>（原安监总管一</w:t>
      </w:r>
      <w:r>
        <w:rPr>
          <w:rFonts w:hint="default" w:ascii="Times New Roman" w:hAnsi="Times New Roman" w:cs="Times New Roman"/>
        </w:rPr>
        <w:t>〔</w:t>
      </w:r>
      <w:r>
        <w:rPr>
          <w:rFonts w:hint="default" w:ascii="Times New Roman" w:hAnsi="Times New Roman" w:cs="Times New Roman"/>
          <w:spacing w:val="-6"/>
        </w:rPr>
        <w:t>2016</w:t>
      </w:r>
      <w:r>
        <w:rPr>
          <w:rFonts w:hint="default" w:ascii="Times New Roman" w:hAnsi="Times New Roman" w:cs="Times New Roman"/>
        </w:rPr>
        <w:t>〕</w:t>
      </w:r>
      <w:r>
        <w:rPr>
          <w:rFonts w:hint="default" w:ascii="Times New Roman" w:hAnsi="Times New Roman" w:cs="Times New Roman"/>
          <w:spacing w:val="-6"/>
        </w:rPr>
        <w:t>49号）等文件的要求，</w:t>
      </w:r>
      <w:r>
        <w:rPr>
          <w:rFonts w:hint="default" w:ascii="Times New Roman" w:hAnsi="Times New Roman" w:cs="Times New Roman"/>
          <w:spacing w:val="-6"/>
          <w:lang w:val="zh-CN"/>
        </w:rPr>
        <w:t>对本项目投产后的生产过程中实际存在和潜在的危险有害因素进行辨识与分析，主要运用安全检查表评价方法，对本项目可能存在的危险、有害因素的种类和程度进行客观、科学的评价，并提出相应的对策措施和建议，得出评价结论，最终形成《姚安县太平镇王家咀石料场30万t/a露天采矿工程安全设施验收评价报告》。</w:t>
      </w:r>
    </w:p>
    <w:p w14:paraId="37FAF31C">
      <w:pPr>
        <w:ind w:firstLine="560"/>
        <w:rPr>
          <w:rFonts w:hint="default" w:ascii="Times New Roman" w:hAnsi="Times New Roman" w:cs="Times New Roman"/>
        </w:rPr>
      </w:pPr>
      <w:r>
        <w:rPr>
          <w:rFonts w:hint="default" w:ascii="Times New Roman" w:hAnsi="Times New Roman" w:cs="Times New Roman"/>
        </w:rPr>
        <w:t>在本次</w:t>
      </w:r>
      <w:r>
        <w:rPr>
          <w:rFonts w:hint="default" w:ascii="Times New Roman" w:hAnsi="Times New Roman" w:cs="Times New Roman"/>
          <w:spacing w:val="-6"/>
          <w:lang w:val="zh-CN"/>
        </w:rPr>
        <w:t>安全设施验收评价</w:t>
      </w:r>
      <w:r>
        <w:rPr>
          <w:rFonts w:hint="default" w:ascii="Times New Roman" w:hAnsi="Times New Roman" w:cs="Times New Roman"/>
        </w:rPr>
        <w:t>过程中，得到了</w:t>
      </w:r>
      <w:r>
        <w:rPr>
          <w:rFonts w:hint="default" w:ascii="Times New Roman" w:hAnsi="Times New Roman" w:cs="Times New Roman"/>
          <w:color w:val="auto"/>
          <w:sz w:val="28"/>
          <w:szCs w:val="28"/>
          <w:lang w:eastAsia="zh-CN"/>
        </w:rPr>
        <w:t>姚安县城镇投资开发有限公司</w:t>
      </w:r>
      <w:r>
        <w:rPr>
          <w:rFonts w:hint="default" w:ascii="Times New Roman" w:hAnsi="Times New Roman" w:cs="Times New Roman"/>
        </w:rPr>
        <w:t>给予了积极配合，谨在此一并表示感谢！</w:t>
      </w:r>
    </w:p>
    <w:p w14:paraId="7173D9FF">
      <w:pPr>
        <w:ind w:firstLine="560"/>
        <w:rPr>
          <w:rFonts w:hint="default" w:ascii="Times New Roman" w:hAnsi="Times New Roman" w:cs="Times New Roman"/>
        </w:rPr>
        <w:sectPr>
          <w:headerReference r:id="rId12" w:type="default"/>
          <w:footerReference r:id="rId13" w:type="default"/>
          <w:pgSz w:w="11905" w:h="16838"/>
          <w:pgMar w:top="1417" w:right="1134" w:bottom="1134" w:left="1587" w:header="850" w:footer="850" w:gutter="0"/>
          <w:pgNumType w:fmt="decimal" w:start="1"/>
          <w:cols w:space="720" w:num="1"/>
          <w:docGrid w:type="lines" w:linePitch="386" w:charSpace="0"/>
        </w:sectPr>
      </w:pPr>
    </w:p>
    <w:bookmarkEnd w:id="7"/>
    <w:bookmarkEnd w:id="8"/>
    <w:bookmarkEnd w:id="9"/>
    <w:p w14:paraId="7525BB91">
      <w:pPr>
        <w:pStyle w:val="2"/>
        <w:rPr>
          <w:rFonts w:hint="default" w:ascii="Times New Roman" w:hAnsi="Times New Roman" w:cs="Times New Roman"/>
        </w:rPr>
      </w:pPr>
      <w:bookmarkStart w:id="16" w:name="_Toc27274"/>
      <w:bookmarkStart w:id="17" w:name="_Toc25351"/>
      <w:bookmarkStart w:id="18" w:name="_Toc23941"/>
      <w:bookmarkStart w:id="19" w:name="_Toc297117574"/>
      <w:r>
        <w:rPr>
          <w:rFonts w:hint="default" w:ascii="Times New Roman" w:hAnsi="Times New Roman" w:cs="Times New Roman"/>
        </w:rPr>
        <w:t>目  录</w:t>
      </w:r>
      <w:bookmarkEnd w:id="16"/>
      <w:bookmarkEnd w:id="17"/>
      <w:bookmarkEnd w:id="18"/>
    </w:p>
    <w:p w14:paraId="3D60CA9E">
      <w:pPr>
        <w:pStyle w:val="30"/>
        <w:tabs>
          <w:tab w:val="right" w:leader="dot" w:pos="9184"/>
        </w:tabs>
        <w:rPr>
          <w:rFonts w:hint="default" w:ascii="Times New Roman" w:hAnsi="Times New Roman" w:eastAsia="宋体" w:cs="Times New Roman"/>
        </w:rPr>
      </w:pPr>
      <w:r>
        <w:rPr>
          <w:rFonts w:hint="default" w:ascii="Times New Roman" w:hAnsi="Times New Roman" w:eastAsia="宋体" w:cs="Times New Roman"/>
          <w:b w:val="0"/>
          <w:bCs/>
          <w:i/>
          <w:sz w:val="21"/>
          <w:szCs w:val="21"/>
        </w:rPr>
        <w:fldChar w:fldCharType="begin"/>
      </w:r>
      <w:r>
        <w:rPr>
          <w:rFonts w:hint="default" w:ascii="Times New Roman" w:hAnsi="Times New Roman" w:eastAsia="宋体" w:cs="Times New Roman"/>
          <w:b w:val="0"/>
          <w:bCs/>
          <w:i/>
          <w:sz w:val="21"/>
          <w:szCs w:val="21"/>
        </w:rPr>
        <w:instrText xml:space="preserve"> TOC \o "1-2" \h \z \u </w:instrText>
      </w:r>
      <w:r>
        <w:rPr>
          <w:rFonts w:hint="default" w:ascii="Times New Roman" w:hAnsi="Times New Roman" w:eastAsia="宋体" w:cs="Times New Roman"/>
          <w:b w:val="0"/>
          <w:bCs/>
          <w:i/>
          <w:sz w:val="21"/>
          <w:szCs w:val="21"/>
        </w:rPr>
        <w:fldChar w:fldCharType="separate"/>
      </w: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_Toc26214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1 评价范围与依据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_Toc26214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67499AF8">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_Toc18484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1.1评价对象和范围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_Toc18484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110B1D9F">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_Toc4886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1.2评价依据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_Toc4886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13C1129">
      <w:pPr>
        <w:pStyle w:val="30"/>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_Toc20540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 建设项目概述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_Toc20540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1EC847AB">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_Toc13142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2.1建设单位概况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_Toc13142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15</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6E1AB4FD">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_Toc7830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2.2自然环境概况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_Toc7830 \h </w:instrText>
      </w:r>
      <w:r>
        <w:rPr>
          <w:rFonts w:hint="default" w:ascii="Times New Roman" w:hAnsi="Times New Roman" w:eastAsia="宋体" w:cs="Times New Roman"/>
        </w:rPr>
        <w:fldChar w:fldCharType="separate"/>
      </w:r>
      <w:r>
        <w:rPr>
          <w:rFonts w:hint="default" w:ascii="Times New Roman" w:hAnsi="Times New Roman" w:eastAsia="宋体" w:cs="Times New Roman"/>
        </w:rPr>
        <w:t>21</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5A5F7269">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_Toc12957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2.3地质概况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_Toc12957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22</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1238CD13">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_Toc31462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2.4建设概况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_Toc31462 \h </w:instrText>
      </w:r>
      <w:r>
        <w:rPr>
          <w:rFonts w:hint="default" w:ascii="Times New Roman" w:hAnsi="Times New Roman" w:eastAsia="宋体" w:cs="Times New Roman"/>
        </w:rPr>
        <w:fldChar w:fldCharType="separate"/>
      </w:r>
      <w:r>
        <w:rPr>
          <w:rFonts w:hint="default" w:ascii="Times New Roman" w:hAnsi="Times New Roman" w:eastAsia="宋体" w:cs="Times New Roman"/>
        </w:rPr>
        <w:t>41</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16CE3933">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_Toc17373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2.5施工及监理概况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_Toc17373 \h </w:instrText>
      </w:r>
      <w:r>
        <w:rPr>
          <w:rFonts w:hint="default" w:ascii="Times New Roman" w:hAnsi="Times New Roman" w:eastAsia="宋体" w:cs="Times New Roman"/>
        </w:rPr>
        <w:fldChar w:fldCharType="separate"/>
      </w:r>
      <w:r>
        <w:rPr>
          <w:rFonts w:hint="default" w:ascii="Times New Roman" w:hAnsi="Times New Roman" w:eastAsia="宋体" w:cs="Times New Roman"/>
        </w:rPr>
        <w:t>67</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05596C56">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_Toc13999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2.6试运行概况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_Toc13999 \h </w:instrText>
      </w:r>
      <w:r>
        <w:rPr>
          <w:rFonts w:hint="default" w:ascii="Times New Roman" w:hAnsi="Times New Roman" w:eastAsia="宋体" w:cs="Times New Roman"/>
        </w:rPr>
        <w:fldChar w:fldCharType="separate"/>
      </w:r>
      <w:r>
        <w:rPr>
          <w:rFonts w:hint="default" w:ascii="Times New Roman" w:hAnsi="Times New Roman" w:eastAsia="宋体" w:cs="Times New Roman"/>
        </w:rPr>
        <w:t>68</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7780198">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_Toc7044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2.7安全设施概况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_Toc7044 \h </w:instrText>
      </w:r>
      <w:r>
        <w:rPr>
          <w:rFonts w:hint="default" w:ascii="Times New Roman" w:hAnsi="Times New Roman" w:eastAsia="宋体" w:cs="Times New Roman"/>
        </w:rPr>
        <w:fldChar w:fldCharType="separate"/>
      </w:r>
      <w:r>
        <w:rPr>
          <w:rFonts w:hint="default" w:ascii="Times New Roman" w:hAnsi="Times New Roman" w:eastAsia="宋体" w:cs="Times New Roman"/>
        </w:rPr>
        <w:t>69</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706E7077">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_Toc467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2.8矿山建设情况图片</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70</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4F5952EE">
      <w:pPr>
        <w:pStyle w:val="30"/>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_Toc27246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 安全设施符合性评价</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_Toc27246 \h </w:instrText>
      </w:r>
      <w:r>
        <w:rPr>
          <w:rFonts w:hint="default" w:ascii="Times New Roman" w:hAnsi="Times New Roman" w:eastAsia="宋体" w:cs="Times New Roman"/>
        </w:rPr>
        <w:fldChar w:fldCharType="separate"/>
      </w:r>
      <w:r>
        <w:rPr>
          <w:rFonts w:hint="default" w:ascii="Times New Roman" w:hAnsi="Times New Roman" w:eastAsia="宋体" w:cs="Times New Roman"/>
        </w:rPr>
        <w:t>79</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04F7AB0F">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_Toc4153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3.1安全设施“三同时”程序单元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_Toc4153 \h </w:instrText>
      </w:r>
      <w:r>
        <w:rPr>
          <w:rFonts w:hint="default" w:ascii="Times New Roman" w:hAnsi="Times New Roman" w:eastAsia="宋体" w:cs="Times New Roman"/>
        </w:rPr>
        <w:fldChar w:fldCharType="separate"/>
      </w:r>
      <w:r>
        <w:rPr>
          <w:rFonts w:hint="default" w:ascii="Times New Roman" w:hAnsi="Times New Roman" w:eastAsia="宋体" w:cs="Times New Roman"/>
        </w:rPr>
        <w:t>81</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709FBA54">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_Toc10611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3.2露天采场单元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_Toc10611 \h </w:instrText>
      </w:r>
      <w:r>
        <w:rPr>
          <w:rFonts w:hint="default" w:ascii="Times New Roman" w:hAnsi="Times New Roman" w:eastAsia="宋体" w:cs="Times New Roman"/>
        </w:rPr>
        <w:fldChar w:fldCharType="separate"/>
      </w:r>
      <w:r>
        <w:rPr>
          <w:rFonts w:hint="default" w:ascii="Times New Roman" w:hAnsi="Times New Roman" w:eastAsia="宋体" w:cs="Times New Roman"/>
        </w:rPr>
        <w:t>83</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0F8D4141">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_Toc414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3.3防排水单元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_Toc414 \h </w:instrText>
      </w:r>
      <w:r>
        <w:rPr>
          <w:rFonts w:hint="default" w:ascii="Times New Roman" w:hAnsi="Times New Roman" w:eastAsia="宋体" w:cs="Times New Roman"/>
        </w:rPr>
        <w:fldChar w:fldCharType="separate"/>
      </w:r>
      <w:r>
        <w:rPr>
          <w:rFonts w:hint="default" w:ascii="Times New Roman" w:hAnsi="Times New Roman" w:eastAsia="宋体" w:cs="Times New Roman"/>
        </w:rPr>
        <w:t>88</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272CF799">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_Toc643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3.4矿岩运输系统单元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_Toc643 \h </w:instrText>
      </w:r>
      <w:r>
        <w:rPr>
          <w:rFonts w:hint="default" w:ascii="Times New Roman" w:hAnsi="Times New Roman" w:eastAsia="宋体" w:cs="Times New Roman"/>
        </w:rPr>
        <w:fldChar w:fldCharType="separate"/>
      </w:r>
      <w:r>
        <w:rPr>
          <w:rFonts w:hint="default" w:ascii="Times New Roman" w:hAnsi="Times New Roman" w:eastAsia="宋体" w:cs="Times New Roman"/>
        </w:rPr>
        <w:t>89</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7465D643">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_Toc17617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3.5供配电单元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_Toc17617 \h </w:instrText>
      </w:r>
      <w:r>
        <w:rPr>
          <w:rFonts w:hint="default" w:ascii="Times New Roman" w:hAnsi="Times New Roman" w:eastAsia="宋体" w:cs="Times New Roman"/>
        </w:rPr>
        <w:fldChar w:fldCharType="separate"/>
      </w:r>
      <w:r>
        <w:rPr>
          <w:rFonts w:hint="default" w:ascii="Times New Roman" w:hAnsi="Times New Roman" w:eastAsia="宋体" w:cs="Times New Roman"/>
        </w:rPr>
        <w:t>91</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4D30A41F">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_Toc19300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3.6总平面布置单元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_Toc19300 \h </w:instrText>
      </w:r>
      <w:r>
        <w:rPr>
          <w:rFonts w:hint="default" w:ascii="Times New Roman" w:hAnsi="Times New Roman" w:eastAsia="宋体" w:cs="Times New Roman"/>
        </w:rPr>
        <w:fldChar w:fldCharType="separate"/>
      </w:r>
      <w:r>
        <w:rPr>
          <w:rFonts w:hint="default" w:ascii="Times New Roman" w:hAnsi="Times New Roman" w:eastAsia="宋体" w:cs="Times New Roman"/>
        </w:rPr>
        <w:t>93</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7367EAC5">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_Toc14827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3.7通信系统单元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_Toc14827 \h </w:instrText>
      </w:r>
      <w:r>
        <w:rPr>
          <w:rFonts w:hint="default" w:ascii="Times New Roman" w:hAnsi="Times New Roman" w:eastAsia="宋体" w:cs="Times New Roman"/>
        </w:rPr>
        <w:fldChar w:fldCharType="separate"/>
      </w:r>
      <w:r>
        <w:rPr>
          <w:rFonts w:hint="default" w:ascii="Times New Roman" w:hAnsi="Times New Roman" w:eastAsia="宋体" w:cs="Times New Roman"/>
        </w:rPr>
        <w:t>95</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B7B7EFD">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_Toc26503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3.8个人安全防护单元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_Toc26503 \h </w:instrText>
      </w:r>
      <w:r>
        <w:rPr>
          <w:rFonts w:hint="default" w:ascii="Times New Roman" w:hAnsi="Times New Roman" w:eastAsia="宋体" w:cs="Times New Roman"/>
        </w:rPr>
        <w:fldChar w:fldCharType="separate"/>
      </w:r>
      <w:r>
        <w:rPr>
          <w:rFonts w:hint="default" w:ascii="Times New Roman" w:hAnsi="Times New Roman" w:eastAsia="宋体" w:cs="Times New Roman"/>
        </w:rPr>
        <w:t>96</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7ED869C7">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_Toc13130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3.9安全标志单元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_Toc13130 \h </w:instrText>
      </w:r>
      <w:r>
        <w:rPr>
          <w:rFonts w:hint="default" w:ascii="Times New Roman" w:hAnsi="Times New Roman" w:eastAsia="宋体" w:cs="Times New Roman"/>
        </w:rPr>
        <w:fldChar w:fldCharType="separate"/>
      </w:r>
      <w:r>
        <w:rPr>
          <w:rFonts w:hint="default" w:ascii="Times New Roman" w:hAnsi="Times New Roman" w:eastAsia="宋体" w:cs="Times New Roman"/>
        </w:rPr>
        <w:t>97</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80C397D">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_Toc20902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3.10安全管理单元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_Toc20902 \h </w:instrText>
      </w:r>
      <w:r>
        <w:rPr>
          <w:rFonts w:hint="default" w:ascii="Times New Roman" w:hAnsi="Times New Roman" w:eastAsia="宋体" w:cs="Times New Roman"/>
        </w:rPr>
        <w:fldChar w:fldCharType="separate"/>
      </w:r>
      <w:r>
        <w:rPr>
          <w:rFonts w:hint="default" w:ascii="Times New Roman" w:hAnsi="Times New Roman" w:eastAsia="宋体" w:cs="Times New Roman"/>
        </w:rPr>
        <w:t>98</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78334ED0">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_Toc13140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szCs w:val="30"/>
        </w:rPr>
        <w:t>3.11 重大事故隐患判定单元</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_Toc13140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102</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668122BB">
      <w:pPr>
        <w:pStyle w:val="30"/>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_Toc21236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4 安全对策措施建议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_Toc21236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105</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29BEADCE">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_Toc30023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4.1企业整改完成落实情况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_Toc30023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105</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F7D5179">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_Toc23848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4.2安全对策措施建议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_Toc23848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106</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5AA2AE32">
      <w:pPr>
        <w:pStyle w:val="30"/>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_Toc423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5 安全验收评价结论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_Toc423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112</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1974E674">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_Toc21257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5.1验收检查项总结</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_Toc21257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112</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74CF6C5D">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_Toc21492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5.2验收评价结论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_Toc21492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112</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412D5F2">
      <w:pPr>
        <w:pStyle w:val="30"/>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_Toc30286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6 附件及附图</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_Toc30286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114</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4381DA22">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_Toc24798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6.1 附件</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_Toc24798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114</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98A5DB4">
      <w:pPr>
        <w:pStyle w:val="35"/>
        <w:tabs>
          <w:tab w:val="right" w:leader="dot" w:pos="9184"/>
        </w:tabs>
        <w:rPr>
          <w:rFonts w:hint="default" w:ascii="Times New Roman" w:hAnsi="Times New Roman" w:eastAsia="宋体" w:cs="Times New Roman"/>
        </w:rPr>
      </w:pPr>
      <w:r>
        <w:rPr>
          <w:rFonts w:hint="default" w:ascii="Times New Roman" w:hAnsi="Times New Roman" w:eastAsia="宋体" w:cs="Times New Roman"/>
          <w:bCs/>
          <w:i/>
          <w:szCs w:val="21"/>
        </w:rPr>
        <w:fldChar w:fldCharType="begin"/>
      </w:r>
      <w:r>
        <w:rPr>
          <w:rFonts w:hint="default" w:ascii="Times New Roman" w:hAnsi="Times New Roman" w:eastAsia="宋体" w:cs="Times New Roman"/>
          <w:bCs/>
          <w:i/>
          <w:szCs w:val="21"/>
        </w:rPr>
        <w:instrText xml:space="preserve"> HYPERLINK \l _Toc10629 </w:instrText>
      </w:r>
      <w:r>
        <w:rPr>
          <w:rFonts w:hint="default" w:ascii="Times New Roman" w:hAnsi="Times New Roman" w:eastAsia="宋体" w:cs="Times New Roman"/>
          <w:bCs/>
          <w:i/>
          <w:szCs w:val="21"/>
        </w:rPr>
        <w:fldChar w:fldCharType="separate"/>
      </w:r>
      <w:r>
        <w:rPr>
          <w:rFonts w:hint="default" w:ascii="Times New Roman" w:hAnsi="Times New Roman" w:eastAsia="宋体" w:cs="Times New Roman"/>
          <w:bCs w:val="0"/>
        </w:rPr>
        <w:t>6.2 附图</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_Toc10629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115</w:t>
      </w:r>
      <w:r>
        <w:rPr>
          <w:rFonts w:hint="default" w:ascii="Times New Roman" w:hAnsi="Times New Roman" w:eastAsia="宋体" w:cs="Times New Roman"/>
        </w:rPr>
        <w:fldChar w:fldCharType="end"/>
      </w:r>
      <w:r>
        <w:rPr>
          <w:rFonts w:hint="default" w:ascii="Times New Roman" w:hAnsi="Times New Roman" w:eastAsia="宋体" w:cs="Times New Roman"/>
          <w:bCs/>
          <w:i/>
          <w:szCs w:val="21"/>
        </w:rPr>
        <w:fldChar w:fldCharType="end"/>
      </w:r>
    </w:p>
    <w:p w14:paraId="34FBBFE4">
      <w:pPr>
        <w:pStyle w:val="23"/>
        <w:tabs>
          <w:tab w:val="right" w:leader="dot" w:pos="8306"/>
        </w:tabs>
        <w:ind w:left="1120" w:firstLine="0" w:firstLineChars="0"/>
        <w:rPr>
          <w:rFonts w:hint="default" w:ascii="Times New Roman" w:hAnsi="Times New Roman" w:cs="Times New Roman"/>
          <w:bCs/>
          <w:i/>
          <w:sz w:val="21"/>
          <w:szCs w:val="21"/>
        </w:rPr>
        <w:sectPr>
          <w:headerReference r:id="rId14" w:type="default"/>
          <w:footerReference r:id="rId15" w:type="default"/>
          <w:type w:val="oddPage"/>
          <w:pgSz w:w="11905" w:h="16838"/>
          <w:pgMar w:top="1417" w:right="1134" w:bottom="1134" w:left="1587" w:header="850" w:footer="850" w:gutter="0"/>
          <w:pgNumType w:fmt="upperRoman" w:start="1"/>
          <w:cols w:space="720" w:num="1"/>
          <w:docGrid w:type="lines" w:linePitch="386" w:charSpace="0"/>
        </w:sectPr>
      </w:pPr>
      <w:r>
        <w:rPr>
          <w:rFonts w:hint="default" w:ascii="Times New Roman" w:hAnsi="Times New Roman" w:eastAsia="宋体" w:cs="Times New Roman"/>
          <w:bCs/>
          <w:i/>
          <w:szCs w:val="21"/>
        </w:rPr>
        <w:fldChar w:fldCharType="end"/>
      </w:r>
    </w:p>
    <w:bookmarkEnd w:id="19"/>
    <w:p w14:paraId="54F6998F">
      <w:pPr>
        <w:pStyle w:val="2"/>
        <w:rPr>
          <w:rFonts w:hint="default" w:ascii="Times New Roman" w:hAnsi="Times New Roman" w:cs="Times New Roman"/>
          <w:b/>
          <w:bCs w:val="0"/>
          <w:szCs w:val="36"/>
        </w:rPr>
      </w:pPr>
      <w:bookmarkStart w:id="20" w:name="_Toc19271"/>
      <w:bookmarkStart w:id="21" w:name="_Toc59420488"/>
      <w:bookmarkStart w:id="22" w:name="_Toc17732"/>
      <w:bookmarkStart w:id="23" w:name="_Toc454614231"/>
      <w:bookmarkStart w:id="24" w:name="_Toc19452"/>
      <w:bookmarkStart w:id="25" w:name="_Toc26214"/>
      <w:bookmarkStart w:id="26" w:name="_Toc384121528"/>
      <w:bookmarkStart w:id="27" w:name="_Toc19767"/>
      <w:bookmarkStart w:id="28" w:name="_Toc32229"/>
      <w:bookmarkStart w:id="29" w:name="_Toc15573"/>
      <w:bookmarkStart w:id="30" w:name="_Toc7053"/>
      <w:r>
        <w:rPr>
          <w:rFonts w:hint="default" w:ascii="Times New Roman" w:hAnsi="Times New Roman" w:cs="Times New Roman"/>
          <w:b/>
          <w:bCs w:val="0"/>
        </w:rPr>
        <w:t>1 评价范围与依据</w:t>
      </w:r>
      <w:bookmarkEnd w:id="20"/>
      <w:bookmarkEnd w:id="21"/>
      <w:bookmarkEnd w:id="22"/>
      <w:bookmarkEnd w:id="23"/>
      <w:bookmarkEnd w:id="24"/>
      <w:bookmarkEnd w:id="25"/>
      <w:bookmarkEnd w:id="26"/>
      <w:bookmarkEnd w:id="27"/>
      <w:bookmarkEnd w:id="28"/>
      <w:bookmarkEnd w:id="29"/>
      <w:bookmarkEnd w:id="30"/>
    </w:p>
    <w:p w14:paraId="04EC7DCE">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31" w:name="_Toc332357203"/>
      <w:bookmarkStart w:id="32" w:name="_Toc332786032"/>
      <w:bookmarkStart w:id="33" w:name="_Toc384121529"/>
      <w:bookmarkStart w:id="34" w:name="_Toc227"/>
      <w:bookmarkStart w:id="35" w:name="_Toc25140"/>
      <w:bookmarkStart w:id="36" w:name="_Toc31663"/>
      <w:bookmarkStart w:id="37" w:name="_Toc18682"/>
      <w:bookmarkStart w:id="38" w:name="_Toc454614232"/>
      <w:bookmarkStart w:id="39" w:name="_Toc18484"/>
      <w:bookmarkStart w:id="40" w:name="_Toc13651"/>
      <w:bookmarkStart w:id="41" w:name="_Toc20204"/>
      <w:bookmarkStart w:id="42" w:name="_Toc14781"/>
      <w:bookmarkStart w:id="43" w:name="_Toc59420489"/>
      <w:r>
        <w:rPr>
          <w:rFonts w:hint="default" w:ascii="Times New Roman" w:hAnsi="Times New Roman" w:cs="Times New Roman"/>
          <w:b/>
          <w:bCs w:val="0"/>
        </w:rPr>
        <w:t>1.1评价</w:t>
      </w:r>
      <w:bookmarkEnd w:id="31"/>
      <w:bookmarkEnd w:id="32"/>
      <w:bookmarkEnd w:id="33"/>
      <w:r>
        <w:rPr>
          <w:rFonts w:hint="default" w:ascii="Times New Roman" w:hAnsi="Times New Roman" w:cs="Times New Roman"/>
          <w:b/>
          <w:bCs w:val="0"/>
        </w:rPr>
        <w:t>对象和范围</w:t>
      </w:r>
      <w:bookmarkEnd w:id="34"/>
      <w:bookmarkEnd w:id="35"/>
      <w:bookmarkEnd w:id="36"/>
      <w:bookmarkEnd w:id="37"/>
      <w:bookmarkEnd w:id="38"/>
      <w:bookmarkEnd w:id="39"/>
      <w:bookmarkEnd w:id="40"/>
      <w:bookmarkEnd w:id="41"/>
      <w:bookmarkEnd w:id="42"/>
      <w:bookmarkEnd w:id="43"/>
    </w:p>
    <w:p w14:paraId="15817B9C">
      <w:pPr>
        <w:pStyle w:val="4"/>
        <w:ind w:firstLine="562"/>
        <w:rPr>
          <w:rFonts w:hint="default" w:ascii="Times New Roman" w:hAnsi="Times New Roman" w:eastAsia="宋体" w:cs="Times New Roman"/>
          <w:b/>
          <w:bCs w:val="0"/>
        </w:rPr>
      </w:pPr>
      <w:bookmarkStart w:id="44" w:name="_Toc59420490"/>
      <w:bookmarkStart w:id="45" w:name="_Toc17212"/>
      <w:bookmarkStart w:id="46" w:name="_Toc32212"/>
      <w:bookmarkStart w:id="47" w:name="_Toc12378"/>
      <w:bookmarkStart w:id="48" w:name="_Toc14016"/>
      <w:bookmarkStart w:id="49" w:name="_Toc454614233"/>
      <w:r>
        <w:rPr>
          <w:rFonts w:hint="default" w:ascii="Times New Roman" w:hAnsi="Times New Roman" w:eastAsia="宋体" w:cs="Times New Roman"/>
          <w:b/>
          <w:bCs w:val="0"/>
        </w:rPr>
        <w:t>1.1.1评价对象</w:t>
      </w:r>
      <w:bookmarkEnd w:id="44"/>
      <w:bookmarkEnd w:id="45"/>
      <w:bookmarkEnd w:id="46"/>
      <w:bookmarkEnd w:id="47"/>
      <w:bookmarkEnd w:id="48"/>
      <w:bookmarkEnd w:id="49"/>
    </w:p>
    <w:p w14:paraId="4572A526">
      <w:pPr>
        <w:ind w:firstLine="560"/>
        <w:rPr>
          <w:rFonts w:hint="default" w:ascii="Times New Roman" w:hAnsi="Times New Roman" w:cs="Times New Roman"/>
        </w:rPr>
      </w:pPr>
      <w:r>
        <w:rPr>
          <w:rFonts w:hint="default" w:ascii="Times New Roman" w:hAnsi="Times New Roman" w:cs="Times New Roman"/>
        </w:rPr>
        <w:t>本次验收评价对象：</w:t>
      </w:r>
      <w:r>
        <w:rPr>
          <w:rFonts w:hint="default" w:ascii="Times New Roman" w:hAnsi="Times New Roman" w:cs="Times New Roman"/>
          <w:bCs/>
          <w:lang w:eastAsia="zh-CN"/>
        </w:rPr>
        <w:t>姚安县太平镇王家咀石料场30万t/a露天采矿工程</w:t>
      </w:r>
      <w:r>
        <w:rPr>
          <w:rFonts w:hint="default" w:ascii="Times New Roman" w:hAnsi="Times New Roman" w:cs="Times New Roman"/>
        </w:rPr>
        <w:t>。</w:t>
      </w:r>
    </w:p>
    <w:p w14:paraId="3748443B">
      <w:pPr>
        <w:pStyle w:val="4"/>
        <w:ind w:firstLine="562"/>
        <w:rPr>
          <w:rFonts w:hint="default" w:ascii="Times New Roman" w:hAnsi="Times New Roman" w:eastAsia="宋体" w:cs="Times New Roman"/>
          <w:b/>
          <w:bCs w:val="0"/>
        </w:rPr>
      </w:pPr>
      <w:bookmarkStart w:id="50" w:name="_Toc10878"/>
      <w:bookmarkStart w:id="51" w:name="_Toc59420491"/>
      <w:bookmarkStart w:id="52" w:name="_Toc11414"/>
      <w:bookmarkStart w:id="53" w:name="_Toc454614234"/>
      <w:bookmarkStart w:id="54" w:name="_Toc5141"/>
      <w:bookmarkStart w:id="55" w:name="_Toc32508"/>
      <w:r>
        <w:rPr>
          <w:rFonts w:hint="default" w:ascii="Times New Roman" w:hAnsi="Times New Roman" w:eastAsia="宋体" w:cs="Times New Roman"/>
          <w:b/>
          <w:bCs w:val="0"/>
        </w:rPr>
        <w:t>1.1.2评价范围</w:t>
      </w:r>
      <w:bookmarkEnd w:id="50"/>
      <w:bookmarkEnd w:id="51"/>
      <w:bookmarkEnd w:id="52"/>
      <w:bookmarkEnd w:id="53"/>
      <w:bookmarkEnd w:id="54"/>
      <w:bookmarkEnd w:id="55"/>
    </w:p>
    <w:p w14:paraId="5CB0D0B0">
      <w:pPr>
        <w:pStyle w:val="18"/>
        <w:ind w:firstLine="560"/>
        <w:rPr>
          <w:rFonts w:hint="default" w:ascii="Times New Roman" w:hAnsi="Times New Roman" w:cs="Times New Roman"/>
          <w:snapToGrid w:val="0"/>
          <w:kern w:val="0"/>
          <w:szCs w:val="28"/>
        </w:rPr>
      </w:pPr>
      <w:r>
        <w:rPr>
          <w:rFonts w:hint="default" w:ascii="Times New Roman" w:hAnsi="Times New Roman" w:cs="Times New Roman"/>
          <w:snapToGrid w:val="0"/>
          <w:kern w:val="0"/>
          <w:szCs w:val="28"/>
        </w:rPr>
        <w:t>本次安全设施验收评价范围是根据</w:t>
      </w:r>
      <w:r>
        <w:rPr>
          <w:rFonts w:hint="default" w:ascii="Times New Roman" w:hAnsi="Times New Roman" w:cs="Times New Roman"/>
          <w:bCs/>
          <w:szCs w:val="28"/>
          <w:lang w:eastAsia="zh-CN"/>
        </w:rPr>
        <w:t>姚安县太平镇王家咀石料场</w:t>
      </w:r>
      <w:r>
        <w:rPr>
          <w:rFonts w:hint="default" w:ascii="Times New Roman" w:hAnsi="Times New Roman" w:cs="Times New Roman"/>
          <w:snapToGrid w:val="0"/>
          <w:kern w:val="0"/>
          <w:szCs w:val="28"/>
        </w:rPr>
        <w:t>的采矿许可范围和设计范围确定；评价范围包括露天开采生产系统、辅助生产系统的安全设施及安全生产管理进行安全验收评价。主要包括：露天采场、防排水、供配电、矿岩运输、总平面布置、通信系统、个人安全防护、安全标志和安全管理等。</w:t>
      </w:r>
    </w:p>
    <w:p w14:paraId="45D9F2F9">
      <w:pPr>
        <w:pStyle w:val="18"/>
        <w:ind w:firstLine="560"/>
        <w:rPr>
          <w:rFonts w:hint="default" w:ascii="Times New Roman" w:hAnsi="Times New Roman" w:cs="Times New Roman"/>
          <w:szCs w:val="28"/>
        </w:rPr>
      </w:pPr>
      <w:r>
        <w:rPr>
          <w:rFonts w:hint="default" w:ascii="Times New Roman" w:hAnsi="Times New Roman" w:cs="Times New Roman"/>
          <w:szCs w:val="28"/>
        </w:rPr>
        <w:t>（1）安全设施验收评价空间范围</w:t>
      </w:r>
    </w:p>
    <w:p w14:paraId="01BBF772">
      <w:pPr>
        <w:pStyle w:val="18"/>
        <w:ind w:firstLine="560"/>
        <w:rPr>
          <w:rFonts w:hint="default" w:ascii="Times New Roman" w:hAnsi="Times New Roman" w:cs="Times New Roman"/>
          <w:szCs w:val="28"/>
        </w:rPr>
      </w:pPr>
      <w:r>
        <w:rPr>
          <w:rFonts w:hint="default" w:ascii="Times New Roman" w:hAnsi="Times New Roman" w:cs="Times New Roman"/>
          <w:szCs w:val="28"/>
        </w:rPr>
        <w:t>①矿区范围</w:t>
      </w:r>
    </w:p>
    <w:p w14:paraId="49569A75">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000000"/>
          <w:sz w:val="28"/>
          <w:szCs w:val="28"/>
        </w:rPr>
      </w:pPr>
      <w:r>
        <w:rPr>
          <w:rFonts w:hint="default" w:ascii="Times New Roman" w:hAnsi="Times New Roman" w:eastAsia="宋体" w:cs="Times New Roman"/>
          <w:bCs/>
          <w:color w:val="000000"/>
          <w:sz w:val="28"/>
          <w:szCs w:val="28"/>
          <w:lang w:val="en-GB" w:eastAsia="zh-CN"/>
        </w:rPr>
        <w:t>姚安县太平镇王家咀石料场</w:t>
      </w:r>
      <w:r>
        <w:rPr>
          <w:rFonts w:hint="default" w:ascii="Times New Roman" w:hAnsi="Times New Roman" w:eastAsia="宋体" w:cs="Times New Roman"/>
          <w:bCs/>
          <w:color w:val="000000"/>
          <w:sz w:val="28"/>
          <w:szCs w:val="28"/>
          <w:lang w:val="en-US" w:eastAsia="zh-CN"/>
        </w:rPr>
        <w:t>采矿权人姚安县城镇投资开发有限公司于2023年12月01日取得最新采矿许可证，证号为C5323002023127150155997，开采矿种为建筑用砂岩，开采方式为露天开采，生产规模为30万t/a，有效期限，自2023年12月01日至2036年12月01日，矿区面积为0.0739km</w:t>
      </w:r>
      <w:r>
        <w:rPr>
          <w:rFonts w:hint="default" w:ascii="Times New Roman" w:hAnsi="Times New Roman" w:eastAsia="宋体" w:cs="Times New Roman"/>
          <w:bCs/>
          <w:color w:val="000000"/>
          <w:sz w:val="28"/>
          <w:szCs w:val="28"/>
          <w:vertAlign w:val="superscript"/>
          <w:lang w:val="en-US" w:eastAsia="zh-CN"/>
        </w:rPr>
        <w:t>2</w:t>
      </w:r>
      <w:r>
        <w:rPr>
          <w:rFonts w:hint="default" w:ascii="Times New Roman" w:hAnsi="Times New Roman" w:eastAsia="宋体" w:cs="Times New Roman"/>
          <w:bCs/>
          <w:color w:val="000000"/>
          <w:sz w:val="28"/>
          <w:szCs w:val="28"/>
          <w:lang w:val="en-US" w:eastAsia="zh-CN"/>
        </w:rPr>
        <w:t>，开采深度为2251m~2068m，采矿权范围由6个拐点圈定</w:t>
      </w:r>
      <w:r>
        <w:rPr>
          <w:rFonts w:hint="default" w:ascii="Times New Roman" w:hAnsi="Times New Roman" w:eastAsia="宋体" w:cs="Times New Roman"/>
          <w:color w:val="000000"/>
          <w:sz w:val="28"/>
          <w:szCs w:val="28"/>
        </w:rPr>
        <w:t>，矿区范围拐点坐标详见表1.1-1</w:t>
      </w:r>
    </w:p>
    <w:p w14:paraId="077641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color w:val="000000"/>
          <w:kern w:val="0"/>
          <w:sz w:val="24"/>
          <w:szCs w:val="24"/>
          <w:lang w:val="en-US" w:eastAsia="zh-CN" w:bidi="ar-SA"/>
        </w:rPr>
      </w:pPr>
      <w:r>
        <w:rPr>
          <w:rFonts w:hint="default" w:ascii="Times New Roman" w:hAnsi="Times New Roman" w:eastAsia="宋体" w:cs="Times New Roman"/>
          <w:b w:val="0"/>
          <w:bCs/>
          <w:color w:val="000000"/>
          <w:kern w:val="0"/>
          <w:sz w:val="24"/>
          <w:szCs w:val="24"/>
          <w:lang w:val="en-US" w:eastAsia="zh-CN" w:bidi="ar-SA"/>
        </w:rPr>
        <w:t>表1.1-1  矿区范围拐点坐标表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1"/>
        <w:gridCol w:w="3351"/>
        <w:gridCol w:w="3588"/>
      </w:tblGrid>
      <w:tr w14:paraId="05DC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vMerge w:val="restart"/>
            <w:noWrap w:val="0"/>
            <w:vAlign w:val="center"/>
          </w:tcPr>
          <w:p w14:paraId="019A149A">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spacing w:val="10"/>
                <w:sz w:val="21"/>
                <w:szCs w:val="21"/>
              </w:rPr>
              <w:t>拐点编号</w:t>
            </w:r>
          </w:p>
        </w:tc>
        <w:tc>
          <w:tcPr>
            <w:tcW w:w="3690" w:type="pct"/>
            <w:gridSpan w:val="2"/>
            <w:noWrap w:val="0"/>
            <w:vAlign w:val="center"/>
          </w:tcPr>
          <w:p w14:paraId="376B8C9B">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kern w:val="0"/>
                <w:sz w:val="21"/>
                <w:szCs w:val="21"/>
              </w:rPr>
              <w:t>2000国家大地坐标系</w:t>
            </w:r>
          </w:p>
        </w:tc>
      </w:tr>
      <w:tr w14:paraId="0AF1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vMerge w:val="continue"/>
            <w:noWrap w:val="0"/>
            <w:vAlign w:val="center"/>
          </w:tcPr>
          <w:p w14:paraId="067BD20C">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p>
        </w:tc>
        <w:tc>
          <w:tcPr>
            <w:tcW w:w="1782" w:type="pct"/>
            <w:noWrap w:val="0"/>
            <w:vAlign w:val="center"/>
          </w:tcPr>
          <w:p w14:paraId="468FDC5A">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spacing w:val="10"/>
                <w:sz w:val="21"/>
                <w:szCs w:val="21"/>
              </w:rPr>
              <w:t>X</w:t>
            </w:r>
          </w:p>
        </w:tc>
        <w:tc>
          <w:tcPr>
            <w:tcW w:w="1908" w:type="pct"/>
            <w:noWrap w:val="0"/>
            <w:vAlign w:val="center"/>
          </w:tcPr>
          <w:p w14:paraId="2F3340B5">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spacing w:val="10"/>
                <w:sz w:val="21"/>
                <w:szCs w:val="21"/>
              </w:rPr>
              <w:t>Y</w:t>
            </w:r>
          </w:p>
        </w:tc>
      </w:tr>
      <w:tr w14:paraId="650C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5A98C50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矿1</w:t>
            </w:r>
          </w:p>
        </w:tc>
        <w:tc>
          <w:tcPr>
            <w:tcW w:w="3351" w:type="dxa"/>
            <w:noWrap w:val="0"/>
            <w:vAlign w:val="center"/>
          </w:tcPr>
          <w:p w14:paraId="29863205">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2816084.84</w:t>
            </w:r>
          </w:p>
        </w:tc>
        <w:tc>
          <w:tcPr>
            <w:tcW w:w="3588" w:type="dxa"/>
            <w:noWrap w:val="0"/>
            <w:vAlign w:val="center"/>
          </w:tcPr>
          <w:p w14:paraId="36C1C0C1">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 xml:space="preserve">34420704.89 </w:t>
            </w:r>
          </w:p>
        </w:tc>
      </w:tr>
      <w:tr w14:paraId="08D9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55D01DCE">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矿2</w:t>
            </w:r>
          </w:p>
        </w:tc>
        <w:tc>
          <w:tcPr>
            <w:tcW w:w="3351" w:type="dxa"/>
            <w:noWrap w:val="0"/>
            <w:vAlign w:val="center"/>
          </w:tcPr>
          <w:p w14:paraId="633C86E1">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2816064.19</w:t>
            </w:r>
          </w:p>
        </w:tc>
        <w:tc>
          <w:tcPr>
            <w:tcW w:w="3588" w:type="dxa"/>
            <w:noWrap w:val="0"/>
            <w:vAlign w:val="center"/>
          </w:tcPr>
          <w:p w14:paraId="48C5DA8E">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 xml:space="preserve">34420871.34 </w:t>
            </w:r>
          </w:p>
        </w:tc>
      </w:tr>
      <w:tr w14:paraId="5DD5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32D188A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矿3</w:t>
            </w:r>
          </w:p>
        </w:tc>
        <w:tc>
          <w:tcPr>
            <w:tcW w:w="3351" w:type="dxa"/>
            <w:noWrap w:val="0"/>
            <w:vAlign w:val="center"/>
          </w:tcPr>
          <w:p w14:paraId="0F0677F2">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2815751.17</w:t>
            </w:r>
          </w:p>
        </w:tc>
        <w:tc>
          <w:tcPr>
            <w:tcW w:w="3588" w:type="dxa"/>
            <w:noWrap w:val="0"/>
            <w:vAlign w:val="center"/>
          </w:tcPr>
          <w:p w14:paraId="51229E2E">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 xml:space="preserve">34420792.95 </w:t>
            </w:r>
          </w:p>
        </w:tc>
      </w:tr>
      <w:tr w14:paraId="508D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58BE2CF9">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矿4</w:t>
            </w:r>
          </w:p>
        </w:tc>
        <w:tc>
          <w:tcPr>
            <w:tcW w:w="3351" w:type="dxa"/>
            <w:noWrap w:val="0"/>
            <w:vAlign w:val="center"/>
          </w:tcPr>
          <w:p w14:paraId="73973050">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 xml:space="preserve">2815614.60 </w:t>
            </w:r>
          </w:p>
        </w:tc>
        <w:tc>
          <w:tcPr>
            <w:tcW w:w="3588" w:type="dxa"/>
            <w:noWrap w:val="0"/>
            <w:vAlign w:val="center"/>
          </w:tcPr>
          <w:p w14:paraId="2073DB6E">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 xml:space="preserve">34420851.24 </w:t>
            </w:r>
          </w:p>
        </w:tc>
      </w:tr>
      <w:tr w14:paraId="5AB9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066E9499">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矿5</w:t>
            </w:r>
          </w:p>
        </w:tc>
        <w:tc>
          <w:tcPr>
            <w:tcW w:w="3351" w:type="dxa"/>
            <w:noWrap w:val="0"/>
            <w:vAlign w:val="center"/>
          </w:tcPr>
          <w:p w14:paraId="6A737B5E">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2815587.78</w:t>
            </w:r>
          </w:p>
        </w:tc>
        <w:tc>
          <w:tcPr>
            <w:tcW w:w="3588" w:type="dxa"/>
            <w:noWrap w:val="0"/>
            <w:vAlign w:val="center"/>
          </w:tcPr>
          <w:p w14:paraId="04677136">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 xml:space="preserve">34420701.29 </w:t>
            </w:r>
          </w:p>
        </w:tc>
      </w:tr>
      <w:tr w14:paraId="7CE3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1B6D0E22">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矿6</w:t>
            </w:r>
          </w:p>
        </w:tc>
        <w:tc>
          <w:tcPr>
            <w:tcW w:w="3351" w:type="dxa"/>
            <w:noWrap w:val="0"/>
            <w:vAlign w:val="center"/>
          </w:tcPr>
          <w:p w14:paraId="6A7B8C15">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2815725.03</w:t>
            </w:r>
          </w:p>
        </w:tc>
        <w:tc>
          <w:tcPr>
            <w:tcW w:w="3588" w:type="dxa"/>
            <w:noWrap w:val="0"/>
            <w:vAlign w:val="center"/>
          </w:tcPr>
          <w:p w14:paraId="62F4F26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 xml:space="preserve">34420647.85 </w:t>
            </w:r>
          </w:p>
        </w:tc>
      </w:tr>
      <w:tr w14:paraId="3A9B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2E55F7F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矿区面积</w:t>
            </w:r>
          </w:p>
        </w:tc>
        <w:tc>
          <w:tcPr>
            <w:tcW w:w="3690" w:type="pct"/>
            <w:gridSpan w:val="2"/>
            <w:noWrap w:val="0"/>
            <w:vAlign w:val="center"/>
          </w:tcPr>
          <w:p w14:paraId="43F07901">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0.0739km</w:t>
            </w:r>
            <w:r>
              <w:rPr>
                <w:rFonts w:hint="default" w:ascii="Times New Roman" w:hAnsi="Times New Roman" w:eastAsia="宋体" w:cs="Times New Roman"/>
                <w:color w:val="auto"/>
                <w:spacing w:val="10"/>
                <w:sz w:val="21"/>
                <w:szCs w:val="21"/>
                <w:vertAlign w:val="superscript"/>
              </w:rPr>
              <w:t>2</w:t>
            </w:r>
          </w:p>
        </w:tc>
      </w:tr>
      <w:tr w14:paraId="75CD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309" w:type="pct"/>
            <w:noWrap w:val="0"/>
            <w:vAlign w:val="center"/>
          </w:tcPr>
          <w:p w14:paraId="35417752">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开采标高</w:t>
            </w:r>
          </w:p>
        </w:tc>
        <w:tc>
          <w:tcPr>
            <w:tcW w:w="3690" w:type="pct"/>
            <w:gridSpan w:val="2"/>
            <w:noWrap w:val="0"/>
            <w:vAlign w:val="center"/>
          </w:tcPr>
          <w:p w14:paraId="28485C61">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2251m～2068m</w:t>
            </w:r>
          </w:p>
        </w:tc>
      </w:tr>
    </w:tbl>
    <w:p w14:paraId="3438F202">
      <w:pPr>
        <w:pStyle w:val="18"/>
        <w:keepNext w:val="0"/>
        <w:keepLines w:val="0"/>
        <w:pageBreakBefore w:val="0"/>
        <w:widowControl w:val="0"/>
        <w:kinsoku/>
        <w:wordWrap/>
        <w:overflowPunct/>
        <w:topLinePunct w:val="0"/>
        <w:autoSpaceDE/>
        <w:autoSpaceDN/>
        <w:bidi w:val="0"/>
        <w:adjustRightInd w:val="0"/>
        <w:snapToGrid w:val="0"/>
        <w:ind w:firstLine="560"/>
        <w:textAlignment w:val="auto"/>
        <w:rPr>
          <w:rFonts w:hint="default" w:ascii="Times New Roman" w:hAnsi="Times New Roman" w:cs="Times New Roman"/>
          <w:szCs w:val="28"/>
        </w:rPr>
      </w:pPr>
      <w:r>
        <w:rPr>
          <w:rFonts w:hint="default" w:ascii="Times New Roman" w:hAnsi="Times New Roman" w:cs="Times New Roman"/>
          <w:szCs w:val="28"/>
        </w:rPr>
        <w:t>②设计范围</w:t>
      </w:r>
    </w:p>
    <w:p w14:paraId="079EDD31">
      <w:pPr>
        <w:pageBreakBefore w:val="0"/>
        <w:kinsoku/>
        <w:wordWrap/>
        <w:bidi w:val="0"/>
        <w:adjustRightInd w:val="0"/>
        <w:snapToGrid w:val="0"/>
        <w:spacing w:line="360" w:lineRule="auto"/>
        <w:ind w:firstLine="560" w:firstLineChars="200"/>
        <w:rPr>
          <w:rFonts w:hint="default" w:ascii="Times New Roman" w:hAnsi="Times New Roman" w:eastAsia="宋体" w:cs="Times New Roman"/>
          <w:bCs/>
          <w:color w:val="000000"/>
          <w:sz w:val="28"/>
          <w:szCs w:val="28"/>
          <w:lang w:val="en-GB" w:eastAsia="zh-CN"/>
        </w:rPr>
      </w:pPr>
      <w:r>
        <w:rPr>
          <w:rFonts w:hint="default" w:ascii="Times New Roman" w:hAnsi="Times New Roman" w:eastAsia="宋体" w:cs="Times New Roman"/>
          <w:bCs/>
          <w:color w:val="000000"/>
          <w:sz w:val="28"/>
          <w:szCs w:val="28"/>
          <w:lang w:val="en-GB" w:eastAsia="zh-CN"/>
        </w:rPr>
        <w:t>设计开采范围：根据采矿许可证证载范围以及矿体赋存条件，矿区东北侧部分地层为不可利用的泥岩，因此设计矿山开采范围为除去东北侧不可利用泥岩外的范围，开采标高为采矿许可证证载标高，即2251~2068m。开采范围详见附图</w:t>
      </w:r>
      <w:r>
        <w:rPr>
          <w:rFonts w:hint="default" w:ascii="Times New Roman" w:hAnsi="Times New Roman" w:eastAsia="宋体" w:cs="Times New Roman"/>
          <w:bCs/>
          <w:color w:val="000000"/>
          <w:sz w:val="28"/>
          <w:szCs w:val="28"/>
          <w:lang w:val="en-US" w:eastAsia="zh-CN"/>
        </w:rPr>
        <w:t>1</w:t>
      </w:r>
      <w:r>
        <w:rPr>
          <w:rFonts w:hint="default" w:ascii="Times New Roman" w:hAnsi="Times New Roman" w:eastAsia="宋体" w:cs="Times New Roman"/>
          <w:bCs/>
          <w:color w:val="000000"/>
          <w:sz w:val="28"/>
          <w:szCs w:val="28"/>
          <w:lang w:val="en-GB" w:eastAsia="zh-CN"/>
        </w:rPr>
        <w:t>-</w:t>
      </w:r>
      <w:r>
        <w:rPr>
          <w:rFonts w:hint="default" w:ascii="Times New Roman" w:hAnsi="Times New Roman" w:eastAsia="宋体" w:cs="Times New Roman"/>
          <w:bCs/>
          <w:color w:val="000000"/>
          <w:sz w:val="28"/>
          <w:szCs w:val="28"/>
          <w:lang w:val="en-US" w:eastAsia="zh-CN"/>
        </w:rPr>
        <w:t>设计</w:t>
      </w:r>
      <w:r>
        <w:rPr>
          <w:rFonts w:hint="default" w:ascii="Times New Roman" w:hAnsi="Times New Roman" w:eastAsia="宋体" w:cs="Times New Roman"/>
          <w:bCs/>
          <w:color w:val="000000"/>
          <w:sz w:val="28"/>
          <w:szCs w:val="28"/>
          <w:lang w:val="en-GB" w:eastAsia="zh-CN"/>
        </w:rPr>
        <w:t>总平面布置图，设计开采范围拐点坐标表见下表。</w:t>
      </w:r>
    </w:p>
    <w:p w14:paraId="693B7CA7">
      <w:pPr>
        <w:widowControl w:val="0"/>
        <w:adjustRightInd w:val="0"/>
        <w:snapToGrid w:val="0"/>
        <w:spacing w:line="360" w:lineRule="auto"/>
        <w:ind w:firstLine="0" w:firstLineChars="0"/>
        <w:jc w:val="center"/>
        <w:rPr>
          <w:rFonts w:hint="default" w:ascii="Times New Roman" w:hAnsi="Times New Roman" w:eastAsia="宋体" w:cs="Times New Roman"/>
          <w:b w:val="0"/>
          <w:bCs/>
          <w:color w:val="000000"/>
          <w:kern w:val="0"/>
          <w:sz w:val="24"/>
          <w:szCs w:val="24"/>
          <w:lang w:val="en-US" w:eastAsia="zh-CN" w:bidi="ar-SA"/>
        </w:rPr>
      </w:pPr>
      <w:r>
        <w:rPr>
          <w:rFonts w:hint="default" w:ascii="Times New Roman" w:hAnsi="Times New Roman" w:eastAsia="宋体" w:cs="Times New Roman"/>
          <w:b w:val="0"/>
          <w:bCs/>
          <w:color w:val="000000"/>
          <w:kern w:val="0"/>
          <w:sz w:val="24"/>
          <w:szCs w:val="24"/>
          <w:lang w:val="en-US" w:eastAsia="zh-CN" w:bidi="ar-SA"/>
        </w:rPr>
        <w:t>表1.1-2设计开采范围拐点坐标表</w:t>
      </w:r>
    </w:p>
    <w:tbl>
      <w:tblPr>
        <w:tblStyle w:val="44"/>
        <w:tblW w:w="4999" w:type="pct"/>
        <w:jc w:val="center"/>
        <w:tblLayout w:type="autofit"/>
        <w:tblCellMar>
          <w:top w:w="0" w:type="dxa"/>
          <w:left w:w="108" w:type="dxa"/>
          <w:bottom w:w="0" w:type="dxa"/>
          <w:right w:w="108" w:type="dxa"/>
        </w:tblCellMar>
      </w:tblPr>
      <w:tblGrid>
        <w:gridCol w:w="2921"/>
        <w:gridCol w:w="3087"/>
        <w:gridCol w:w="3390"/>
      </w:tblGrid>
      <w:tr w14:paraId="7BCC0EF3">
        <w:tblPrEx>
          <w:tblCellMar>
            <w:top w:w="0" w:type="dxa"/>
            <w:left w:w="108" w:type="dxa"/>
            <w:bottom w:w="0" w:type="dxa"/>
            <w:right w:w="108" w:type="dxa"/>
          </w:tblCellMar>
        </w:tblPrEx>
        <w:trPr>
          <w:trHeight w:val="397" w:hRule="atLeast"/>
          <w:jc w:val="center"/>
        </w:trPr>
        <w:tc>
          <w:tcPr>
            <w:tcW w:w="1554" w:type="pct"/>
            <w:vMerge w:val="restart"/>
            <w:tcBorders>
              <w:top w:val="single" w:color="000000" w:sz="4" w:space="0"/>
              <w:left w:val="single" w:color="000000" w:sz="4" w:space="0"/>
              <w:right w:val="single" w:color="000000" w:sz="4" w:space="0"/>
            </w:tcBorders>
            <w:noWrap/>
            <w:vAlign w:val="center"/>
          </w:tcPr>
          <w:p w14:paraId="3E3F366B">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拐点</w:t>
            </w:r>
          </w:p>
          <w:p w14:paraId="5DD51FA8">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编号</w:t>
            </w:r>
          </w:p>
        </w:tc>
        <w:tc>
          <w:tcPr>
            <w:tcW w:w="3445" w:type="pct"/>
            <w:gridSpan w:val="2"/>
            <w:tcBorders>
              <w:top w:val="single" w:color="000000" w:sz="4" w:space="0"/>
              <w:left w:val="single" w:color="000000" w:sz="4" w:space="0"/>
              <w:bottom w:val="single" w:color="000000" w:sz="4" w:space="0"/>
              <w:right w:val="single" w:color="000000" w:sz="4" w:space="0"/>
            </w:tcBorders>
            <w:noWrap/>
            <w:vAlign w:val="center"/>
          </w:tcPr>
          <w:p w14:paraId="35F9E9FF">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2000国家大地坐标系</w:t>
            </w:r>
          </w:p>
        </w:tc>
      </w:tr>
      <w:tr w14:paraId="21FD09E8">
        <w:tblPrEx>
          <w:tblCellMar>
            <w:top w:w="0" w:type="dxa"/>
            <w:left w:w="108" w:type="dxa"/>
            <w:bottom w:w="0" w:type="dxa"/>
            <w:right w:w="108" w:type="dxa"/>
          </w:tblCellMar>
        </w:tblPrEx>
        <w:trPr>
          <w:trHeight w:val="397" w:hRule="atLeast"/>
          <w:jc w:val="center"/>
        </w:trPr>
        <w:tc>
          <w:tcPr>
            <w:tcW w:w="1554" w:type="pct"/>
            <w:vMerge w:val="continue"/>
            <w:tcBorders>
              <w:left w:val="single" w:color="000000" w:sz="4" w:space="0"/>
              <w:bottom w:val="single" w:color="000000" w:sz="4" w:space="0"/>
              <w:right w:val="single" w:color="000000" w:sz="4" w:space="0"/>
            </w:tcBorders>
            <w:noWrap/>
            <w:vAlign w:val="center"/>
          </w:tcPr>
          <w:p w14:paraId="4E463054">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lang w:val="en-US" w:eastAsia="zh-CN"/>
              </w:rPr>
            </w:pP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68091904">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X</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2CCE95B1">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Y</w:t>
            </w:r>
          </w:p>
        </w:tc>
      </w:tr>
      <w:tr w14:paraId="3B9BDB1F">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5EB3E43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采1</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0B30BAEA">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2816084.84</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0EF89AC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 xml:space="preserve">34420704.89 </w:t>
            </w:r>
          </w:p>
        </w:tc>
      </w:tr>
      <w:tr w14:paraId="686FE885">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5192DA67">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采2</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5C7B88A7">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2816068.40</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56BC55FD">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34420837.27</w:t>
            </w:r>
          </w:p>
        </w:tc>
      </w:tr>
      <w:tr w14:paraId="0F8105C2">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4BD1F48E">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采3</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4E07C74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2815931.89</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18C61D1B">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34420814.71</w:t>
            </w:r>
          </w:p>
        </w:tc>
      </w:tr>
      <w:tr w14:paraId="777D526E">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01963227">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采4</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1E8133C3">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2815843.54</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2446A8E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34420816.08</w:t>
            </w:r>
          </w:p>
        </w:tc>
      </w:tr>
      <w:tr w14:paraId="1433CB10">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4714247A">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采5</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4A21A784">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2815751.17</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3C0D340A">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 xml:space="preserve">34420792.95 </w:t>
            </w:r>
          </w:p>
        </w:tc>
      </w:tr>
      <w:tr w14:paraId="5CCB1439">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73503D5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采6</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2D81FA0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 xml:space="preserve">2815614.60 </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2D84F9B6">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 xml:space="preserve">34420851.24 </w:t>
            </w:r>
          </w:p>
        </w:tc>
      </w:tr>
      <w:tr w14:paraId="67FA900D">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4347F4AD">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采7</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3B918F5D">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2815587.78</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5FFC5BB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 xml:space="preserve">34420701.29 </w:t>
            </w:r>
          </w:p>
        </w:tc>
      </w:tr>
      <w:tr w14:paraId="47FE7B00">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44B153ED">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采8</w:t>
            </w:r>
          </w:p>
        </w:tc>
        <w:tc>
          <w:tcPr>
            <w:tcW w:w="1642" w:type="pct"/>
            <w:tcBorders>
              <w:top w:val="single" w:color="000000" w:sz="4" w:space="0"/>
              <w:left w:val="single" w:color="000000" w:sz="4" w:space="0"/>
              <w:bottom w:val="single" w:color="000000" w:sz="4" w:space="0"/>
              <w:right w:val="single" w:color="000000" w:sz="4" w:space="0"/>
            </w:tcBorders>
            <w:noWrap/>
            <w:vAlign w:val="center"/>
          </w:tcPr>
          <w:p w14:paraId="3F33022F">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2815725.03</w:t>
            </w:r>
          </w:p>
        </w:tc>
        <w:tc>
          <w:tcPr>
            <w:tcW w:w="1802" w:type="pct"/>
            <w:tcBorders>
              <w:top w:val="single" w:color="000000" w:sz="4" w:space="0"/>
              <w:left w:val="single" w:color="000000" w:sz="4" w:space="0"/>
              <w:bottom w:val="single" w:color="000000" w:sz="4" w:space="0"/>
              <w:right w:val="single" w:color="000000" w:sz="4" w:space="0"/>
            </w:tcBorders>
            <w:noWrap/>
            <w:vAlign w:val="center"/>
          </w:tcPr>
          <w:p w14:paraId="1D3BA339">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 xml:space="preserve">34420647.85 </w:t>
            </w:r>
          </w:p>
        </w:tc>
      </w:tr>
      <w:tr w14:paraId="047977F6">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510A034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设计开采面积</w:t>
            </w:r>
          </w:p>
        </w:tc>
        <w:tc>
          <w:tcPr>
            <w:tcW w:w="3445" w:type="pct"/>
            <w:gridSpan w:val="2"/>
            <w:tcBorders>
              <w:top w:val="single" w:color="000000" w:sz="4" w:space="0"/>
              <w:left w:val="single" w:color="000000" w:sz="4" w:space="0"/>
              <w:bottom w:val="single" w:color="000000" w:sz="4" w:space="0"/>
              <w:right w:val="single" w:color="000000" w:sz="4" w:space="0"/>
            </w:tcBorders>
            <w:noWrap/>
            <w:vAlign w:val="center"/>
          </w:tcPr>
          <w:p w14:paraId="1F2B829A">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0.0689km</w:t>
            </w:r>
            <w:r>
              <w:rPr>
                <w:rFonts w:hint="default" w:ascii="Times New Roman" w:hAnsi="Times New Roman" w:eastAsia="宋体" w:cs="Times New Roman"/>
                <w:color w:val="auto"/>
                <w:spacing w:val="10"/>
                <w:sz w:val="21"/>
                <w:szCs w:val="21"/>
                <w:vertAlign w:val="superscript"/>
                <w:lang w:val="en-US" w:eastAsia="zh-CN"/>
              </w:rPr>
              <w:t>2</w:t>
            </w:r>
          </w:p>
        </w:tc>
      </w:tr>
      <w:tr w14:paraId="59AD25EC">
        <w:tblPrEx>
          <w:tblCellMar>
            <w:top w:w="0" w:type="dxa"/>
            <w:left w:w="108" w:type="dxa"/>
            <w:bottom w:w="0" w:type="dxa"/>
            <w:right w:w="108" w:type="dxa"/>
          </w:tblCellMar>
        </w:tblPrEx>
        <w:trPr>
          <w:trHeight w:val="397" w:hRule="atLeast"/>
          <w:jc w:val="center"/>
        </w:trPr>
        <w:tc>
          <w:tcPr>
            <w:tcW w:w="1554" w:type="pct"/>
            <w:tcBorders>
              <w:top w:val="single" w:color="000000" w:sz="4" w:space="0"/>
              <w:left w:val="single" w:color="000000" w:sz="4" w:space="0"/>
              <w:bottom w:val="single" w:color="000000" w:sz="4" w:space="0"/>
              <w:right w:val="single" w:color="000000" w:sz="4" w:space="0"/>
            </w:tcBorders>
            <w:noWrap/>
            <w:vAlign w:val="center"/>
          </w:tcPr>
          <w:p w14:paraId="2D01B92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开采标高</w:t>
            </w:r>
          </w:p>
        </w:tc>
        <w:tc>
          <w:tcPr>
            <w:tcW w:w="3445" w:type="pct"/>
            <w:gridSpan w:val="2"/>
            <w:tcBorders>
              <w:top w:val="single" w:color="000000" w:sz="4" w:space="0"/>
              <w:left w:val="single" w:color="000000" w:sz="4" w:space="0"/>
              <w:bottom w:val="single" w:color="000000" w:sz="4" w:space="0"/>
              <w:right w:val="single" w:color="000000" w:sz="4" w:space="0"/>
            </w:tcBorders>
            <w:noWrap/>
            <w:vAlign w:val="center"/>
          </w:tcPr>
          <w:p w14:paraId="627D0E55">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2251m-2068m</w:t>
            </w:r>
          </w:p>
        </w:tc>
      </w:tr>
    </w:tbl>
    <w:p w14:paraId="10477AD7">
      <w:pPr>
        <w:pStyle w:val="18"/>
        <w:ind w:firstLine="560"/>
        <w:rPr>
          <w:rFonts w:hint="default" w:ascii="Times New Roman" w:hAnsi="Times New Roman" w:cs="Times New Roman"/>
          <w:color w:val="auto"/>
          <w:szCs w:val="28"/>
        </w:rPr>
      </w:pPr>
      <w:r>
        <w:rPr>
          <w:rFonts w:hint="default" w:ascii="Times New Roman" w:hAnsi="Times New Roman" w:cs="Times New Roman"/>
          <w:color w:val="auto"/>
          <w:szCs w:val="28"/>
        </w:rPr>
        <w:t>③安全验收评价范围</w:t>
      </w:r>
    </w:p>
    <w:p w14:paraId="507711BE">
      <w:pPr>
        <w:pStyle w:val="18"/>
        <w:ind w:firstLine="560"/>
        <w:rPr>
          <w:rFonts w:hint="default" w:ascii="Times New Roman" w:hAnsi="Times New Roman" w:eastAsia="宋体" w:cs="Times New Roman"/>
          <w:color w:val="auto"/>
          <w:szCs w:val="28"/>
          <w:lang w:val="en-US" w:eastAsia="zh-CN"/>
        </w:rPr>
      </w:pPr>
      <w:r>
        <w:rPr>
          <w:rFonts w:hint="default" w:ascii="Times New Roman" w:hAnsi="Times New Roman" w:cs="Times New Roman"/>
          <w:color w:val="auto"/>
          <w:szCs w:val="28"/>
        </w:rPr>
        <w:t>本次安全设施验收评价</w:t>
      </w:r>
      <w:r>
        <w:rPr>
          <w:rFonts w:hint="default" w:ascii="Times New Roman" w:hAnsi="Times New Roman" w:cs="Times New Roman"/>
          <w:color w:val="auto"/>
          <w:szCs w:val="28"/>
          <w:lang w:val="en-US" w:eastAsia="zh-CN"/>
        </w:rPr>
        <w:t>主要</w:t>
      </w:r>
      <w:r>
        <w:rPr>
          <w:rFonts w:hint="default" w:ascii="Times New Roman" w:hAnsi="Times New Roman" w:cs="Times New Roman"/>
          <w:color w:val="auto"/>
          <w:szCs w:val="28"/>
        </w:rPr>
        <w:t>包含</w:t>
      </w:r>
      <w:r>
        <w:rPr>
          <w:rFonts w:hint="default" w:ascii="Times New Roman" w:hAnsi="Times New Roman" w:cs="Times New Roman"/>
          <w:color w:val="auto"/>
          <w:szCs w:val="28"/>
          <w:lang w:val="en-US" w:eastAsia="zh-CN"/>
        </w:rPr>
        <w:t>基建工程和安全设施。</w:t>
      </w:r>
    </w:p>
    <w:p w14:paraId="192EFBD4">
      <w:pPr>
        <w:pStyle w:val="18"/>
        <w:ind w:firstLine="560"/>
        <w:rPr>
          <w:rFonts w:hint="default" w:ascii="Times New Roman" w:hAnsi="Times New Roman" w:eastAsia="宋体" w:cs="Times New Roman"/>
          <w:color w:val="auto"/>
          <w:szCs w:val="28"/>
          <w:lang w:eastAsia="zh-CN"/>
        </w:rPr>
      </w:pPr>
      <w:r>
        <w:rPr>
          <w:rFonts w:hint="default" w:ascii="Times New Roman" w:hAnsi="Times New Roman" w:cs="Times New Roman"/>
          <w:color w:val="auto"/>
          <w:szCs w:val="28"/>
        </w:rPr>
        <w:t>①</w:t>
      </w:r>
      <w:r>
        <w:rPr>
          <w:rFonts w:hint="default" w:ascii="Times New Roman" w:hAnsi="Times New Roman" w:cs="Times New Roman"/>
          <w:color w:val="auto"/>
          <w:szCs w:val="28"/>
          <w:lang w:val="en-US" w:eastAsia="zh-CN"/>
        </w:rPr>
        <w:t>基建工程</w:t>
      </w:r>
    </w:p>
    <w:p w14:paraId="41926E20">
      <w:pPr>
        <w:pStyle w:val="18"/>
        <w:ind w:firstLine="560"/>
        <w:rPr>
          <w:rFonts w:hint="default" w:ascii="Times New Roman" w:hAnsi="Times New Roman" w:cs="Times New Roman"/>
          <w:snapToGrid w:val="0"/>
          <w:color w:val="auto"/>
          <w:kern w:val="0"/>
          <w:szCs w:val="28"/>
        </w:rPr>
      </w:pPr>
      <w:r>
        <w:rPr>
          <w:rFonts w:hint="default" w:ascii="Times New Roman" w:hAnsi="Times New Roman" w:cs="Times New Roman"/>
          <w:snapToGrid w:val="0"/>
          <w:color w:val="auto"/>
          <w:kern w:val="0"/>
          <w:szCs w:val="28"/>
        </w:rPr>
        <w:t>1、新建基建开采平台至破碎站料仓的道路工程</w:t>
      </w:r>
      <w:r>
        <w:rPr>
          <w:rFonts w:hint="default" w:ascii="Times New Roman" w:hAnsi="Times New Roman" w:cs="Times New Roman"/>
          <w:snapToGrid w:val="0"/>
          <w:color w:val="auto"/>
          <w:kern w:val="0"/>
          <w:szCs w:val="28"/>
          <w:lang w:val="en-US" w:eastAsia="zh-CN"/>
        </w:rPr>
        <w:t>1393</w:t>
      </w:r>
      <w:r>
        <w:rPr>
          <w:rFonts w:hint="default" w:ascii="Times New Roman" w:hAnsi="Times New Roman" w:cs="Times New Roman"/>
          <w:snapToGrid w:val="0"/>
          <w:color w:val="auto"/>
          <w:kern w:val="0"/>
          <w:szCs w:val="28"/>
        </w:rPr>
        <w:t>m；</w:t>
      </w:r>
    </w:p>
    <w:p w14:paraId="6737849E">
      <w:pPr>
        <w:pStyle w:val="18"/>
        <w:ind w:firstLine="560"/>
        <w:rPr>
          <w:rFonts w:hint="default" w:ascii="Times New Roman" w:hAnsi="Times New Roman" w:cs="Times New Roman"/>
          <w:snapToGrid w:val="0"/>
          <w:color w:val="auto"/>
          <w:kern w:val="0"/>
          <w:szCs w:val="28"/>
        </w:rPr>
      </w:pPr>
      <w:r>
        <w:rPr>
          <w:rFonts w:hint="default" w:ascii="Times New Roman" w:hAnsi="Times New Roman" w:cs="Times New Roman"/>
          <w:snapToGrid w:val="0"/>
          <w:color w:val="auto"/>
          <w:kern w:val="0"/>
          <w:szCs w:val="28"/>
        </w:rPr>
        <w:t>2、在矿区北部基建</w:t>
      </w:r>
      <w:r>
        <w:rPr>
          <w:rFonts w:hint="default" w:ascii="Times New Roman" w:hAnsi="Times New Roman" w:cs="Times New Roman"/>
          <w:snapToGrid w:val="0"/>
          <w:color w:val="auto"/>
          <w:kern w:val="0"/>
          <w:szCs w:val="28"/>
          <w:lang w:val="en-US" w:eastAsia="zh-CN"/>
        </w:rPr>
        <w:t>形成的2248</w:t>
      </w:r>
      <w:r>
        <w:rPr>
          <w:rFonts w:hint="default" w:ascii="Times New Roman" w:hAnsi="Times New Roman" w:cs="Times New Roman"/>
          <w:snapToGrid w:val="0"/>
          <w:color w:val="auto"/>
          <w:kern w:val="0"/>
          <w:szCs w:val="28"/>
        </w:rPr>
        <w:t>m</w:t>
      </w:r>
      <w:r>
        <w:rPr>
          <w:rFonts w:hint="default" w:ascii="Times New Roman" w:hAnsi="Times New Roman" w:cs="Times New Roman"/>
          <w:snapToGrid w:val="0"/>
          <w:color w:val="auto"/>
          <w:kern w:val="0"/>
          <w:szCs w:val="28"/>
          <w:lang w:val="en-US" w:eastAsia="zh-CN"/>
        </w:rPr>
        <w:t>剥离</w:t>
      </w:r>
      <w:r>
        <w:rPr>
          <w:rFonts w:hint="default" w:ascii="Times New Roman" w:hAnsi="Times New Roman" w:cs="Times New Roman"/>
          <w:snapToGrid w:val="0"/>
          <w:color w:val="auto"/>
          <w:kern w:val="0"/>
          <w:szCs w:val="28"/>
        </w:rPr>
        <w:t>台阶</w:t>
      </w:r>
      <w:r>
        <w:rPr>
          <w:rFonts w:hint="default" w:ascii="Times New Roman" w:hAnsi="Times New Roman" w:cs="Times New Roman"/>
          <w:snapToGrid w:val="0"/>
          <w:color w:val="auto"/>
          <w:kern w:val="0"/>
          <w:szCs w:val="28"/>
          <w:lang w:val="en-US" w:eastAsia="zh-CN"/>
        </w:rPr>
        <w:t>和2238</w:t>
      </w:r>
      <w:r>
        <w:rPr>
          <w:rFonts w:hint="default" w:ascii="Times New Roman" w:hAnsi="Times New Roman" w:cs="Times New Roman"/>
          <w:snapToGrid w:val="0"/>
          <w:color w:val="auto"/>
          <w:kern w:val="0"/>
          <w:szCs w:val="28"/>
        </w:rPr>
        <w:t>m</w:t>
      </w:r>
      <w:r>
        <w:rPr>
          <w:rFonts w:hint="default" w:ascii="Times New Roman" w:hAnsi="Times New Roman" w:cs="Times New Roman"/>
          <w:snapToGrid w:val="0"/>
          <w:color w:val="auto"/>
          <w:kern w:val="0"/>
          <w:szCs w:val="28"/>
          <w:lang w:val="en-US" w:eastAsia="zh-CN"/>
        </w:rPr>
        <w:t>基建</w:t>
      </w:r>
      <w:r>
        <w:rPr>
          <w:rFonts w:hint="default" w:ascii="Times New Roman" w:hAnsi="Times New Roman" w:cs="Times New Roman"/>
          <w:snapToGrid w:val="0"/>
          <w:color w:val="auto"/>
          <w:kern w:val="0"/>
          <w:szCs w:val="28"/>
        </w:rPr>
        <w:t>台阶；</w:t>
      </w:r>
    </w:p>
    <w:p w14:paraId="563CA7DB">
      <w:pPr>
        <w:pStyle w:val="18"/>
        <w:ind w:firstLine="560"/>
        <w:rPr>
          <w:rFonts w:hint="default" w:ascii="Times New Roman" w:hAnsi="Times New Roman" w:cs="Times New Roman"/>
          <w:color w:val="auto"/>
          <w:szCs w:val="28"/>
        </w:rPr>
      </w:pPr>
      <w:r>
        <w:rPr>
          <w:rFonts w:hint="default" w:ascii="Times New Roman" w:hAnsi="Times New Roman" w:cs="Times New Roman"/>
          <w:snapToGrid w:val="0"/>
          <w:color w:val="auto"/>
          <w:kern w:val="0"/>
          <w:szCs w:val="28"/>
        </w:rPr>
        <w:t>3、新建道路排水沟</w:t>
      </w:r>
      <w:r>
        <w:rPr>
          <w:rFonts w:hint="eastAsia" w:ascii="Times New Roman" w:hAnsi="Times New Roman" w:cs="Times New Roman"/>
          <w:snapToGrid w:val="0"/>
          <w:color w:val="auto"/>
          <w:kern w:val="0"/>
          <w:szCs w:val="28"/>
          <w:lang w:eastAsia="zh-CN"/>
        </w:rPr>
        <w:t>、</w:t>
      </w:r>
      <w:r>
        <w:rPr>
          <w:rFonts w:hint="eastAsia" w:ascii="Times New Roman" w:hAnsi="Times New Roman" w:cs="Times New Roman"/>
          <w:snapToGrid w:val="0"/>
          <w:color w:val="auto"/>
          <w:kern w:val="0"/>
          <w:szCs w:val="28"/>
          <w:lang w:val="en-US" w:eastAsia="zh-CN"/>
        </w:rPr>
        <w:t>采场边界围栏</w:t>
      </w:r>
      <w:r>
        <w:rPr>
          <w:rFonts w:hint="default" w:ascii="Times New Roman" w:hAnsi="Times New Roman" w:cs="Times New Roman"/>
          <w:snapToGrid w:val="0"/>
          <w:color w:val="auto"/>
          <w:kern w:val="0"/>
          <w:szCs w:val="28"/>
        </w:rPr>
        <w:t>等设施</w:t>
      </w:r>
      <w:r>
        <w:rPr>
          <w:rFonts w:hint="default" w:ascii="Times New Roman" w:hAnsi="Times New Roman" w:cs="Times New Roman"/>
          <w:color w:val="auto"/>
          <w:szCs w:val="28"/>
        </w:rPr>
        <w:t>。</w:t>
      </w:r>
    </w:p>
    <w:p w14:paraId="012CF631">
      <w:pPr>
        <w:pStyle w:val="18"/>
        <w:ind w:firstLine="560"/>
        <w:rPr>
          <w:rFonts w:hint="default" w:ascii="Times New Roman" w:hAnsi="Times New Roman" w:cs="Times New Roman"/>
          <w:color w:val="auto"/>
          <w:szCs w:val="28"/>
        </w:rPr>
      </w:pPr>
      <w:r>
        <w:rPr>
          <w:rFonts w:hint="default" w:ascii="Times New Roman" w:hAnsi="Times New Roman" w:cs="Times New Roman"/>
          <w:color w:val="auto"/>
          <w:szCs w:val="28"/>
        </w:rPr>
        <w:t>②安全设施</w:t>
      </w:r>
    </w:p>
    <w:p w14:paraId="59710F3E">
      <w:pPr>
        <w:pStyle w:val="18"/>
        <w:ind w:firstLine="560"/>
        <w:rPr>
          <w:rFonts w:hint="default" w:ascii="Times New Roman" w:hAnsi="Times New Roman" w:cs="Times New Roman"/>
          <w:color w:val="auto"/>
          <w:szCs w:val="28"/>
        </w:rPr>
      </w:pPr>
      <w:r>
        <w:rPr>
          <w:rFonts w:hint="default" w:ascii="Times New Roman" w:hAnsi="Times New Roman" w:cs="Times New Roman"/>
          <w:color w:val="auto"/>
          <w:szCs w:val="28"/>
        </w:rPr>
        <w:t>本次安全设施验收评价的安全设施包括基本安全设施和专用安全设施，基本安全设施主要包括露天采场、防排水、通信系统和供配电设施，专用安全设施主要包括露天采场、汽车运输、供配电设施、矿山应急救援器材及设备、个人安全防护用品和矿山、交通安全标志</w:t>
      </w:r>
      <w:r>
        <w:rPr>
          <w:rFonts w:hint="default" w:ascii="Times New Roman" w:hAnsi="Times New Roman" w:cs="Times New Roman"/>
          <w:color w:val="auto"/>
          <w:szCs w:val="28"/>
          <w:lang w:val="en-US" w:eastAsia="zh-CN"/>
        </w:rPr>
        <w:t>等</w:t>
      </w:r>
      <w:r>
        <w:rPr>
          <w:rFonts w:hint="default" w:ascii="Times New Roman" w:hAnsi="Times New Roman" w:cs="Times New Roman"/>
          <w:color w:val="auto"/>
          <w:szCs w:val="28"/>
        </w:rPr>
        <w:t>。</w:t>
      </w:r>
    </w:p>
    <w:p w14:paraId="6EE5F659">
      <w:pPr>
        <w:pStyle w:val="18"/>
        <w:ind w:firstLine="560"/>
        <w:rPr>
          <w:rFonts w:hint="default" w:ascii="Times New Roman" w:hAnsi="Times New Roman" w:eastAsia="宋体" w:cs="Times New Roman"/>
          <w:color w:val="auto"/>
          <w:lang w:eastAsia="zh-CN"/>
        </w:rPr>
      </w:pPr>
      <w:r>
        <w:rPr>
          <w:rFonts w:hint="default" w:ascii="Times New Roman" w:hAnsi="Times New Roman" w:cs="Times New Roman"/>
          <w:snapToGrid w:val="0"/>
          <w:color w:val="auto"/>
          <w:kern w:val="0"/>
          <w:szCs w:val="24"/>
        </w:rPr>
        <w:t>凡涉及本项目职业病及防治、环保、地质灾害、破碎系统评估问题，不在本次评价范围之内</w:t>
      </w:r>
      <w:r>
        <w:rPr>
          <w:rFonts w:hint="default" w:ascii="Times New Roman" w:hAnsi="Times New Roman" w:cs="Times New Roman"/>
          <w:color w:val="auto"/>
          <w:szCs w:val="21"/>
        </w:rPr>
        <w:t>，</w:t>
      </w:r>
      <w:r>
        <w:rPr>
          <w:rFonts w:hint="default" w:ascii="Times New Roman" w:hAnsi="Times New Roman" w:cs="Times New Roman"/>
          <w:snapToGrid w:val="0"/>
          <w:color w:val="auto"/>
          <w:kern w:val="0"/>
          <w:szCs w:val="24"/>
        </w:rPr>
        <w:t>但评价报告中会涉及到相关内容，企业应执行国家相关法律、法规、标准和规范要求</w:t>
      </w:r>
      <w:r>
        <w:rPr>
          <w:rFonts w:hint="default" w:ascii="Times New Roman" w:hAnsi="Times New Roman" w:cs="Times New Roman"/>
          <w:snapToGrid w:val="0"/>
          <w:color w:val="auto"/>
          <w:kern w:val="0"/>
          <w:szCs w:val="24"/>
          <w:lang w:eastAsia="zh-CN"/>
        </w:rPr>
        <w:t>。</w:t>
      </w:r>
    </w:p>
    <w:p w14:paraId="0855A99B">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56" w:name="_Toc323820644"/>
      <w:bookmarkStart w:id="57" w:name="_Toc332786033"/>
      <w:bookmarkStart w:id="58" w:name="_Toc384121530"/>
      <w:bookmarkStart w:id="59" w:name="_Toc327020768"/>
      <w:bookmarkStart w:id="60" w:name="_Toc332357204"/>
      <w:bookmarkStart w:id="61" w:name="_Toc809"/>
      <w:bookmarkStart w:id="62" w:name="_Toc26817"/>
      <w:bookmarkStart w:id="63" w:name="_Toc52"/>
      <w:bookmarkStart w:id="64" w:name="_Toc59420492"/>
      <w:bookmarkStart w:id="65" w:name="_Toc5664"/>
      <w:bookmarkStart w:id="66" w:name="_Toc454614235"/>
      <w:bookmarkStart w:id="67" w:name="_Toc22295"/>
      <w:bookmarkStart w:id="68" w:name="_Toc4886"/>
      <w:bookmarkStart w:id="69" w:name="_Toc9155"/>
      <w:bookmarkStart w:id="70" w:name="_Toc778"/>
      <w:r>
        <w:rPr>
          <w:rFonts w:hint="default" w:ascii="Times New Roman" w:hAnsi="Times New Roman" w:cs="Times New Roman"/>
          <w:b/>
          <w:bCs w:val="0"/>
        </w:rPr>
        <w:t>1.2评价</w:t>
      </w:r>
      <w:bookmarkEnd w:id="56"/>
      <w:bookmarkEnd w:id="57"/>
      <w:bookmarkEnd w:id="58"/>
      <w:bookmarkEnd w:id="59"/>
      <w:bookmarkEnd w:id="60"/>
      <w:r>
        <w:rPr>
          <w:rFonts w:hint="default" w:ascii="Times New Roman" w:hAnsi="Times New Roman" w:cs="Times New Roman"/>
          <w:b/>
          <w:bCs w:val="0"/>
        </w:rPr>
        <w:t>依据</w:t>
      </w:r>
      <w:bookmarkEnd w:id="61"/>
      <w:bookmarkEnd w:id="62"/>
      <w:bookmarkEnd w:id="63"/>
      <w:bookmarkEnd w:id="64"/>
      <w:bookmarkEnd w:id="65"/>
      <w:bookmarkEnd w:id="66"/>
      <w:bookmarkEnd w:id="67"/>
      <w:bookmarkEnd w:id="68"/>
      <w:bookmarkEnd w:id="69"/>
      <w:bookmarkEnd w:id="70"/>
    </w:p>
    <w:p w14:paraId="29057E13">
      <w:pPr>
        <w:pStyle w:val="4"/>
        <w:pageBreakBefore w:val="0"/>
        <w:kinsoku/>
        <w:wordWrap/>
        <w:overflowPunct/>
        <w:topLinePunct w:val="0"/>
        <w:autoSpaceDE/>
        <w:autoSpaceDN/>
        <w:bidi w:val="0"/>
        <w:ind w:firstLine="562"/>
        <w:textAlignment w:val="auto"/>
        <w:rPr>
          <w:rFonts w:hint="default" w:ascii="Times New Roman" w:hAnsi="Times New Roman" w:eastAsia="宋体" w:cs="Times New Roman"/>
          <w:b/>
          <w:bCs w:val="0"/>
        </w:rPr>
      </w:pPr>
      <w:bookmarkStart w:id="71" w:name="_Toc90281958"/>
      <w:bookmarkStart w:id="72" w:name="_Toc111601636"/>
      <w:bookmarkStart w:id="73" w:name="_Toc103418720"/>
      <w:bookmarkStart w:id="74" w:name="_Toc136406247"/>
      <w:bookmarkStart w:id="75" w:name="_Toc384121531"/>
      <w:bookmarkStart w:id="76" w:name="_Toc90283482"/>
      <w:bookmarkStart w:id="77" w:name="_Toc297117575"/>
      <w:bookmarkStart w:id="78" w:name="_Toc27779"/>
      <w:bookmarkStart w:id="79" w:name="_Toc59420493"/>
      <w:bookmarkStart w:id="80" w:name="_Toc11151"/>
      <w:bookmarkStart w:id="81" w:name="_Toc454614236"/>
      <w:bookmarkStart w:id="82" w:name="_Toc9176"/>
      <w:bookmarkStart w:id="83" w:name="_Toc7577"/>
      <w:bookmarkStart w:id="84" w:name="_Toc32673"/>
      <w:bookmarkStart w:id="85" w:name="_Toc27860"/>
      <w:bookmarkStart w:id="86" w:name="_Toc454614237"/>
      <w:bookmarkStart w:id="87" w:name="_Toc29821"/>
      <w:bookmarkStart w:id="88" w:name="_Toc384121537"/>
      <w:bookmarkStart w:id="89" w:name="_Toc327020772"/>
      <w:bookmarkStart w:id="90" w:name="_Toc332786038"/>
      <w:bookmarkStart w:id="91" w:name="_Toc332357209"/>
      <w:bookmarkStart w:id="92" w:name="_Toc14166"/>
      <w:bookmarkStart w:id="93" w:name="_Toc323820648"/>
      <w:bookmarkStart w:id="94" w:name="_Toc30324"/>
      <w:r>
        <w:rPr>
          <w:rFonts w:hint="default" w:ascii="Times New Roman" w:hAnsi="Times New Roman" w:eastAsia="宋体" w:cs="Times New Roman"/>
          <w:b/>
          <w:bCs w:val="0"/>
        </w:rPr>
        <w:t>1.2.1</w:t>
      </w:r>
      <w:bookmarkEnd w:id="71"/>
      <w:bookmarkEnd w:id="72"/>
      <w:bookmarkEnd w:id="73"/>
      <w:bookmarkEnd w:id="74"/>
      <w:bookmarkEnd w:id="75"/>
      <w:bookmarkEnd w:id="76"/>
      <w:bookmarkEnd w:id="77"/>
      <w:r>
        <w:rPr>
          <w:rFonts w:hint="default" w:ascii="Times New Roman" w:hAnsi="Times New Roman" w:eastAsia="宋体" w:cs="Times New Roman"/>
          <w:b/>
          <w:bCs w:val="0"/>
        </w:rPr>
        <w:t>法律法规</w:t>
      </w:r>
      <w:bookmarkEnd w:id="78"/>
      <w:bookmarkEnd w:id="79"/>
      <w:bookmarkEnd w:id="80"/>
      <w:bookmarkEnd w:id="81"/>
      <w:bookmarkEnd w:id="82"/>
      <w:bookmarkEnd w:id="83"/>
      <w:bookmarkEnd w:id="84"/>
      <w:bookmarkEnd w:id="85"/>
    </w:p>
    <w:p w14:paraId="000212A5">
      <w:pPr>
        <w:pStyle w:val="5"/>
        <w:pageBreakBefore w:val="0"/>
        <w:kinsoku/>
        <w:wordWrap/>
        <w:overflowPunct/>
        <w:topLinePunct w:val="0"/>
        <w:autoSpaceDE/>
        <w:autoSpaceDN/>
        <w:bidi w:val="0"/>
        <w:ind w:firstLine="560"/>
        <w:textAlignment w:val="auto"/>
        <w:rPr>
          <w:rFonts w:hint="default" w:ascii="Times New Roman" w:hAnsi="Times New Roman" w:cs="Times New Roman"/>
        </w:rPr>
      </w:pPr>
      <w:bookmarkStart w:id="95" w:name="_Toc79"/>
      <w:bookmarkStart w:id="96" w:name="_Toc501120261"/>
      <w:r>
        <w:rPr>
          <w:rFonts w:hint="default" w:ascii="Times New Roman" w:hAnsi="Times New Roman" w:cs="Times New Roman"/>
        </w:rPr>
        <w:t>1.2.1.1法律</w:t>
      </w:r>
      <w:bookmarkEnd w:id="95"/>
      <w:bookmarkEnd w:id="96"/>
    </w:p>
    <w:p w14:paraId="3988FE91">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rPr>
      </w:pPr>
      <w:r>
        <w:rPr>
          <w:rFonts w:hint="default" w:ascii="Times New Roman" w:hAnsi="Times New Roman" w:eastAsia="宋体" w:cs="Times New Roman"/>
          <w:szCs w:val="28"/>
          <w:lang w:val="en-US" w:eastAsia="zh-CN"/>
        </w:rPr>
        <w:t>（1）</w:t>
      </w:r>
      <w:r>
        <w:rPr>
          <w:rFonts w:hint="default" w:ascii="Times New Roman" w:hAnsi="Times New Roman" w:eastAsia="宋体" w:cs="Times New Roman"/>
          <w:szCs w:val="28"/>
        </w:rPr>
        <w:t>《中华人民共和国安全生产法》（中华人民共和国主席令第七十号，2002年11月1日起施行；中华人民共和国主席令第八十八号，中华人民共和国第十三届全国人民代表大会常务委员会第二十九次会议于通过《全国人民代表大会常务委员会关于修改〈中华人民共和国安全生产法〉的决定》，自2021年9月1日起施行）；</w:t>
      </w:r>
    </w:p>
    <w:p w14:paraId="1A8E3F06">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color w:val="auto"/>
          <w:szCs w:val="28"/>
        </w:rPr>
      </w:pPr>
      <w:r>
        <w:rPr>
          <w:rFonts w:hint="default" w:ascii="Times New Roman" w:hAnsi="Times New Roman" w:eastAsia="宋体" w:cs="Times New Roman"/>
          <w:color w:val="auto"/>
          <w:szCs w:val="28"/>
          <w:lang w:val="en-US" w:eastAsia="zh-CN"/>
        </w:rPr>
        <w:t>（2）《中华人民共和国矿产资源法》（中华人民共和国主席令第三十六号</w:t>
      </w:r>
      <w:r>
        <w:rPr>
          <w:rFonts w:hint="eastAsia" w:ascii="Times New Roman" w:hAnsi="Times New Roman" w:eastAsia="宋体" w:cs="Times New Roman"/>
          <w:color w:val="auto"/>
          <w:szCs w:val="28"/>
          <w:lang w:val="en-US" w:eastAsia="zh-CN"/>
        </w:rPr>
        <w:t>，</w:t>
      </w:r>
      <w:r>
        <w:rPr>
          <w:rFonts w:hint="default" w:ascii="Times New Roman" w:hAnsi="Times New Roman" w:eastAsia="宋体" w:cs="Times New Roman"/>
          <w:color w:val="auto"/>
          <w:szCs w:val="28"/>
          <w:lang w:val="en-US" w:eastAsia="zh-CN"/>
        </w:rPr>
        <w:t>1986年3月19日第六届全国人民代表大会常务委员会第十五次会议通过 根据1996年8月29日第八届全国人民代表大会常务委员会第二十一次会议《关于修改〈中华人民共和国矿产资源法〉的决定》第一次修正 根据2009年8月27日第十一届全国人民代表大会常务委员会第十次会议《关于修改部分法律的决定》第二次修正 2024年11月8日第十四届全国人民代表大会常务委员会第十二次会议修订</w:t>
      </w:r>
      <w:r>
        <w:rPr>
          <w:rFonts w:hint="eastAsia" w:ascii="Times New Roman" w:hAnsi="Times New Roman" w:eastAsia="宋体" w:cs="Times New Roman"/>
          <w:color w:val="auto"/>
          <w:szCs w:val="28"/>
          <w:lang w:val="en-US" w:eastAsia="zh-CN"/>
        </w:rPr>
        <w:t>，自2025年7月1日起施行</w:t>
      </w:r>
      <w:r>
        <w:rPr>
          <w:rFonts w:hint="default" w:ascii="Times New Roman" w:hAnsi="Times New Roman" w:eastAsia="宋体" w:cs="Times New Roman"/>
          <w:color w:val="auto"/>
          <w:szCs w:val="28"/>
          <w:lang w:val="en-US" w:eastAsia="zh-CN"/>
        </w:rPr>
        <w:t>）</w:t>
      </w:r>
      <w:r>
        <w:rPr>
          <w:rFonts w:hint="default" w:ascii="Times New Roman" w:hAnsi="Times New Roman" w:eastAsia="宋体" w:cs="Times New Roman"/>
          <w:color w:val="auto"/>
          <w:szCs w:val="28"/>
        </w:rPr>
        <w:t>；</w:t>
      </w:r>
    </w:p>
    <w:p w14:paraId="29098B59">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rPr>
      </w:pPr>
      <w:r>
        <w:rPr>
          <w:rFonts w:hint="default" w:ascii="Times New Roman" w:hAnsi="Times New Roman" w:eastAsia="宋体" w:cs="Times New Roman"/>
          <w:szCs w:val="28"/>
          <w:lang w:val="en-US" w:eastAsia="zh-CN"/>
        </w:rPr>
        <w:t>（3）</w:t>
      </w:r>
      <w:r>
        <w:rPr>
          <w:rFonts w:hint="default" w:ascii="Times New Roman" w:hAnsi="Times New Roman" w:eastAsia="宋体" w:cs="Times New Roman"/>
          <w:szCs w:val="28"/>
        </w:rPr>
        <w:t>《中华人民共和国矿山安全法》</w:t>
      </w:r>
      <w:r>
        <w:rPr>
          <w:rFonts w:hint="default" w:ascii="Times New Roman" w:hAnsi="Times New Roman" w:eastAsia="宋体" w:cs="Times New Roman"/>
          <w:szCs w:val="28"/>
          <w:lang w:val="sq-AL"/>
        </w:rPr>
        <w:t>（中华人民共和国主席令第</w:t>
      </w:r>
      <w:r>
        <w:rPr>
          <w:rFonts w:hint="default" w:ascii="Times New Roman" w:hAnsi="Times New Roman" w:eastAsia="宋体" w:cs="Times New Roman"/>
          <w:szCs w:val="28"/>
        </w:rPr>
        <w:t>六十五</w:t>
      </w:r>
      <w:r>
        <w:rPr>
          <w:rFonts w:hint="default" w:ascii="Times New Roman" w:hAnsi="Times New Roman" w:eastAsia="宋体" w:cs="Times New Roman"/>
          <w:szCs w:val="28"/>
          <w:lang w:val="sq-AL"/>
        </w:rPr>
        <w:t>号，</w:t>
      </w:r>
      <w:r>
        <w:rPr>
          <w:rFonts w:hint="default" w:ascii="Times New Roman" w:hAnsi="Times New Roman" w:eastAsia="宋体" w:cs="Times New Roman"/>
          <w:szCs w:val="28"/>
        </w:rPr>
        <w:t>自1993年5月1日起施行；</w:t>
      </w:r>
      <w:r>
        <w:rPr>
          <w:rFonts w:hint="default" w:ascii="Times New Roman" w:hAnsi="Times New Roman" w:eastAsia="宋体" w:cs="Times New Roman"/>
          <w:szCs w:val="28"/>
          <w:lang w:val="sq-AL"/>
        </w:rPr>
        <w:t>中华人民共和国主席令第</w:t>
      </w:r>
      <w:r>
        <w:rPr>
          <w:rFonts w:hint="default" w:ascii="Times New Roman" w:hAnsi="Times New Roman" w:eastAsia="宋体" w:cs="Times New Roman"/>
          <w:szCs w:val="28"/>
        </w:rPr>
        <w:t>十八</w:t>
      </w:r>
      <w:r>
        <w:rPr>
          <w:rFonts w:hint="default" w:ascii="Times New Roman" w:hAnsi="Times New Roman" w:eastAsia="宋体" w:cs="Times New Roman"/>
          <w:szCs w:val="28"/>
          <w:lang w:val="sq-AL"/>
        </w:rPr>
        <w:t>号，根据2009年8月27日第十一届全国人民代表大会常务委员会第十次会议《全国人民代表大会常务委员会关于修改部分法律的决定》修正，自20</w:t>
      </w:r>
      <w:r>
        <w:rPr>
          <w:rFonts w:hint="default" w:ascii="Times New Roman" w:hAnsi="Times New Roman" w:eastAsia="宋体" w:cs="Times New Roman"/>
          <w:szCs w:val="28"/>
        </w:rPr>
        <w:t>09</w:t>
      </w:r>
      <w:r>
        <w:rPr>
          <w:rFonts w:hint="default" w:ascii="Times New Roman" w:hAnsi="Times New Roman" w:eastAsia="宋体" w:cs="Times New Roman"/>
          <w:szCs w:val="28"/>
          <w:lang w:val="sq-AL"/>
        </w:rPr>
        <w:t>年</w:t>
      </w:r>
      <w:r>
        <w:rPr>
          <w:rFonts w:hint="default" w:ascii="Times New Roman" w:hAnsi="Times New Roman" w:eastAsia="宋体" w:cs="Times New Roman"/>
          <w:szCs w:val="28"/>
        </w:rPr>
        <w:t>8</w:t>
      </w:r>
      <w:r>
        <w:rPr>
          <w:rFonts w:hint="default" w:ascii="Times New Roman" w:hAnsi="Times New Roman" w:eastAsia="宋体" w:cs="Times New Roman"/>
          <w:szCs w:val="28"/>
          <w:lang w:val="sq-AL"/>
        </w:rPr>
        <w:t>月</w:t>
      </w:r>
      <w:r>
        <w:rPr>
          <w:rFonts w:hint="default" w:ascii="Times New Roman" w:hAnsi="Times New Roman" w:eastAsia="宋体" w:cs="Times New Roman"/>
          <w:szCs w:val="28"/>
        </w:rPr>
        <w:t>27</w:t>
      </w:r>
      <w:r>
        <w:rPr>
          <w:rFonts w:hint="default" w:ascii="Times New Roman" w:hAnsi="Times New Roman" w:eastAsia="宋体" w:cs="Times New Roman"/>
          <w:szCs w:val="28"/>
          <w:lang w:val="sq-AL"/>
        </w:rPr>
        <w:t>日</w:t>
      </w:r>
      <w:r>
        <w:rPr>
          <w:rFonts w:hint="default" w:ascii="Times New Roman" w:hAnsi="Times New Roman" w:eastAsia="宋体" w:cs="Times New Roman"/>
          <w:szCs w:val="28"/>
        </w:rPr>
        <w:t>起</w:t>
      </w:r>
      <w:r>
        <w:rPr>
          <w:rFonts w:hint="default" w:ascii="Times New Roman" w:hAnsi="Times New Roman" w:eastAsia="宋体" w:cs="Times New Roman"/>
          <w:szCs w:val="28"/>
          <w:lang w:val="sq-AL"/>
        </w:rPr>
        <w:t>施行）</w:t>
      </w:r>
      <w:r>
        <w:rPr>
          <w:rFonts w:hint="default" w:ascii="Times New Roman" w:hAnsi="Times New Roman" w:eastAsia="宋体" w:cs="Times New Roman"/>
          <w:szCs w:val="28"/>
        </w:rPr>
        <w:t>；</w:t>
      </w:r>
    </w:p>
    <w:p w14:paraId="25213D0D">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rPr>
      </w:pPr>
      <w:r>
        <w:rPr>
          <w:rFonts w:hint="default" w:ascii="Times New Roman" w:hAnsi="Times New Roman" w:eastAsia="宋体" w:cs="Times New Roman"/>
          <w:szCs w:val="28"/>
          <w:lang w:val="en-US" w:eastAsia="zh-CN"/>
        </w:rPr>
        <w:t>（4）</w:t>
      </w:r>
      <w:r>
        <w:rPr>
          <w:rFonts w:hint="default" w:ascii="Times New Roman" w:hAnsi="Times New Roman" w:eastAsia="宋体" w:cs="Times New Roman"/>
          <w:szCs w:val="28"/>
          <w:lang w:val="sq-AL"/>
        </w:rPr>
        <w:t>《中华人民共和国劳动法》（中华人民共和国主席令</w:t>
      </w:r>
      <w:r>
        <w:rPr>
          <w:rFonts w:hint="default" w:ascii="Times New Roman" w:hAnsi="Times New Roman" w:eastAsia="宋体" w:cs="Times New Roman"/>
          <w:szCs w:val="28"/>
        </w:rPr>
        <w:t>第二十八</w:t>
      </w:r>
      <w:r>
        <w:rPr>
          <w:rFonts w:hint="default" w:ascii="Times New Roman" w:hAnsi="Times New Roman" w:eastAsia="宋体" w:cs="Times New Roman"/>
          <w:szCs w:val="28"/>
          <w:lang w:val="sq-AL"/>
        </w:rPr>
        <w:t>号，199</w:t>
      </w:r>
      <w:r>
        <w:rPr>
          <w:rFonts w:hint="default" w:ascii="Times New Roman" w:hAnsi="Times New Roman" w:eastAsia="宋体" w:cs="Times New Roman"/>
          <w:szCs w:val="28"/>
        </w:rPr>
        <w:t>5</w:t>
      </w:r>
      <w:r>
        <w:rPr>
          <w:rFonts w:hint="default" w:ascii="Times New Roman" w:hAnsi="Times New Roman" w:eastAsia="宋体" w:cs="Times New Roman"/>
          <w:szCs w:val="28"/>
          <w:lang w:val="sq-AL"/>
        </w:rPr>
        <w:t>年</w:t>
      </w:r>
      <w:r>
        <w:rPr>
          <w:rFonts w:hint="default" w:ascii="Times New Roman" w:hAnsi="Times New Roman" w:eastAsia="宋体" w:cs="Times New Roman"/>
          <w:szCs w:val="28"/>
        </w:rPr>
        <w:t>1</w:t>
      </w:r>
      <w:r>
        <w:rPr>
          <w:rFonts w:hint="default" w:ascii="Times New Roman" w:hAnsi="Times New Roman" w:eastAsia="宋体" w:cs="Times New Roman"/>
          <w:szCs w:val="28"/>
          <w:lang w:val="sq-AL"/>
        </w:rPr>
        <w:t>月</w:t>
      </w:r>
      <w:r>
        <w:rPr>
          <w:rFonts w:hint="default" w:ascii="Times New Roman" w:hAnsi="Times New Roman" w:eastAsia="宋体" w:cs="Times New Roman"/>
          <w:szCs w:val="28"/>
        </w:rPr>
        <w:t>1</w:t>
      </w:r>
      <w:r>
        <w:rPr>
          <w:rFonts w:hint="default" w:ascii="Times New Roman" w:hAnsi="Times New Roman" w:eastAsia="宋体" w:cs="Times New Roman"/>
          <w:szCs w:val="28"/>
          <w:lang w:val="sq-AL"/>
        </w:rPr>
        <w:t>日</w:t>
      </w:r>
      <w:r>
        <w:rPr>
          <w:rFonts w:hint="default" w:ascii="Times New Roman" w:hAnsi="Times New Roman" w:eastAsia="宋体" w:cs="Times New Roman"/>
          <w:szCs w:val="28"/>
        </w:rPr>
        <w:t>起实施</w:t>
      </w:r>
      <w:r>
        <w:rPr>
          <w:rFonts w:hint="default" w:ascii="Times New Roman" w:hAnsi="Times New Roman" w:eastAsia="宋体" w:cs="Times New Roman"/>
          <w:szCs w:val="28"/>
          <w:lang w:val="sq-AL"/>
        </w:rPr>
        <w:t>；根据2018年12月29日第十三届全国人民代表大会常务委员会第七次会议《关于修改〈中华人民共和国劳动法〉等七部法律的决定》第二次修正，</w:t>
      </w:r>
      <w:r>
        <w:rPr>
          <w:rFonts w:hint="default" w:ascii="Times New Roman" w:hAnsi="Times New Roman" w:eastAsia="宋体" w:cs="Times New Roman"/>
          <w:szCs w:val="28"/>
        </w:rPr>
        <w:t>自</w:t>
      </w:r>
      <w:r>
        <w:rPr>
          <w:rFonts w:hint="default" w:ascii="Times New Roman" w:hAnsi="Times New Roman" w:eastAsia="宋体" w:cs="Times New Roman"/>
          <w:szCs w:val="28"/>
          <w:lang w:val="sq-AL"/>
        </w:rPr>
        <w:t>2018年12月29日</w:t>
      </w:r>
      <w:r>
        <w:rPr>
          <w:rFonts w:hint="default" w:ascii="Times New Roman" w:hAnsi="Times New Roman" w:eastAsia="宋体" w:cs="Times New Roman"/>
          <w:szCs w:val="28"/>
        </w:rPr>
        <w:t>起施行</w:t>
      </w:r>
      <w:r>
        <w:rPr>
          <w:rFonts w:hint="default" w:ascii="Times New Roman" w:hAnsi="Times New Roman" w:eastAsia="宋体" w:cs="Times New Roman"/>
          <w:szCs w:val="28"/>
          <w:lang w:val="sq-AL"/>
        </w:rPr>
        <w:t>）</w:t>
      </w:r>
      <w:r>
        <w:rPr>
          <w:rFonts w:hint="default" w:ascii="Times New Roman" w:hAnsi="Times New Roman" w:eastAsia="宋体" w:cs="Times New Roman"/>
          <w:szCs w:val="28"/>
        </w:rPr>
        <w:t>；</w:t>
      </w:r>
    </w:p>
    <w:p w14:paraId="2700B796">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rPr>
      </w:pPr>
      <w:r>
        <w:rPr>
          <w:rFonts w:hint="default" w:ascii="Times New Roman" w:hAnsi="Times New Roman" w:eastAsia="宋体" w:cs="Times New Roman"/>
          <w:szCs w:val="28"/>
          <w:lang w:val="en-US" w:eastAsia="zh-CN"/>
        </w:rPr>
        <w:t>（5）</w:t>
      </w:r>
      <w:r>
        <w:rPr>
          <w:rFonts w:hint="default" w:ascii="Times New Roman" w:hAnsi="Times New Roman" w:eastAsia="宋体" w:cs="Times New Roman"/>
          <w:szCs w:val="28"/>
          <w:lang w:val="sq-AL"/>
        </w:rPr>
        <w:t>《</w:t>
      </w:r>
      <w:bookmarkStart w:id="97" w:name="OLE_LINK12"/>
      <w:r>
        <w:rPr>
          <w:rFonts w:hint="default" w:ascii="Times New Roman" w:hAnsi="Times New Roman" w:eastAsia="宋体" w:cs="Times New Roman"/>
          <w:szCs w:val="28"/>
          <w:lang w:val="sq-AL"/>
        </w:rPr>
        <w:t>中华人民共和国消防法</w:t>
      </w:r>
      <w:bookmarkEnd w:id="97"/>
      <w:r>
        <w:rPr>
          <w:rFonts w:hint="default" w:ascii="Times New Roman" w:hAnsi="Times New Roman" w:eastAsia="宋体" w:cs="Times New Roman"/>
          <w:szCs w:val="28"/>
          <w:lang w:val="sq-AL"/>
        </w:rPr>
        <w:t>》（中华人民共和国主席令第</w:t>
      </w:r>
      <w:r>
        <w:rPr>
          <w:rFonts w:hint="default" w:ascii="Times New Roman" w:hAnsi="Times New Roman" w:eastAsia="宋体" w:cs="Times New Roman"/>
          <w:szCs w:val="28"/>
        </w:rPr>
        <w:t>八十一</w:t>
      </w:r>
      <w:r>
        <w:rPr>
          <w:rFonts w:hint="default" w:ascii="Times New Roman" w:hAnsi="Times New Roman" w:eastAsia="宋体" w:cs="Times New Roman"/>
          <w:szCs w:val="28"/>
          <w:lang w:val="sq-AL"/>
        </w:rPr>
        <w:t>号，根据20</w:t>
      </w:r>
      <w:r>
        <w:rPr>
          <w:rFonts w:hint="default" w:ascii="Times New Roman" w:hAnsi="Times New Roman" w:eastAsia="宋体" w:cs="Times New Roman"/>
          <w:szCs w:val="28"/>
        </w:rPr>
        <w:t>21</w:t>
      </w:r>
      <w:r>
        <w:rPr>
          <w:rFonts w:hint="default" w:ascii="Times New Roman" w:hAnsi="Times New Roman" w:eastAsia="宋体" w:cs="Times New Roman"/>
          <w:szCs w:val="28"/>
          <w:lang w:val="sq-AL"/>
        </w:rPr>
        <w:t>年4月2</w:t>
      </w:r>
      <w:r>
        <w:rPr>
          <w:rFonts w:hint="default" w:ascii="Times New Roman" w:hAnsi="Times New Roman" w:eastAsia="宋体" w:cs="Times New Roman"/>
          <w:szCs w:val="28"/>
        </w:rPr>
        <w:t>9</w:t>
      </w:r>
      <w:r>
        <w:rPr>
          <w:rFonts w:hint="default" w:ascii="Times New Roman" w:hAnsi="Times New Roman" w:eastAsia="宋体" w:cs="Times New Roman"/>
          <w:szCs w:val="28"/>
          <w:lang w:val="sq-AL"/>
        </w:rPr>
        <w:t>日第十三届全国人民代表大会常务委员会第</w:t>
      </w:r>
      <w:r>
        <w:rPr>
          <w:rFonts w:hint="default" w:ascii="Times New Roman" w:hAnsi="Times New Roman" w:eastAsia="宋体" w:cs="Times New Roman"/>
          <w:szCs w:val="28"/>
        </w:rPr>
        <w:t>二</w:t>
      </w:r>
      <w:r>
        <w:rPr>
          <w:rFonts w:hint="default" w:ascii="Times New Roman" w:hAnsi="Times New Roman" w:eastAsia="宋体" w:cs="Times New Roman"/>
          <w:szCs w:val="28"/>
          <w:lang w:val="sq-AL"/>
        </w:rPr>
        <w:t>十</w:t>
      </w:r>
      <w:r>
        <w:rPr>
          <w:rFonts w:hint="default" w:ascii="Times New Roman" w:hAnsi="Times New Roman" w:eastAsia="宋体" w:cs="Times New Roman"/>
          <w:szCs w:val="28"/>
        </w:rPr>
        <w:t>八</w:t>
      </w:r>
      <w:r>
        <w:rPr>
          <w:rFonts w:hint="default" w:ascii="Times New Roman" w:hAnsi="Times New Roman" w:eastAsia="宋体" w:cs="Times New Roman"/>
          <w:szCs w:val="28"/>
          <w:lang w:val="sq-AL"/>
        </w:rPr>
        <w:t>次会议</w:t>
      </w:r>
      <w:r>
        <w:rPr>
          <w:rFonts w:hint="default" w:ascii="Times New Roman" w:hAnsi="Times New Roman" w:eastAsia="宋体" w:cs="Times New Roman"/>
          <w:szCs w:val="28"/>
        </w:rPr>
        <w:t>通过</w:t>
      </w:r>
      <w:r>
        <w:rPr>
          <w:rFonts w:hint="default" w:ascii="Times New Roman" w:hAnsi="Times New Roman" w:eastAsia="宋体" w:cs="Times New Roman"/>
          <w:szCs w:val="28"/>
          <w:lang w:val="sq-AL"/>
        </w:rPr>
        <w:t>《全国人民代表大会常务委员会关于修改</w:t>
      </w:r>
      <w:r>
        <w:rPr>
          <w:rFonts w:hint="default" w:ascii="Times New Roman" w:hAnsi="Times New Roman" w:eastAsia="宋体" w:cs="Times New Roman"/>
          <w:szCs w:val="28"/>
          <w:lang w:val="sq-AL" w:eastAsia="zh-CN"/>
        </w:rPr>
        <w:t>〈</w:t>
      </w:r>
      <w:r>
        <w:rPr>
          <w:rFonts w:hint="default" w:ascii="Times New Roman" w:hAnsi="Times New Roman" w:eastAsia="宋体" w:cs="Times New Roman"/>
          <w:szCs w:val="28"/>
          <w:lang w:val="sq-AL"/>
        </w:rPr>
        <w:t>中华人民共和国道路交通安全法</w:t>
      </w:r>
      <w:r>
        <w:rPr>
          <w:rFonts w:hint="default" w:ascii="Times New Roman" w:hAnsi="Times New Roman" w:eastAsia="宋体" w:cs="Times New Roman"/>
          <w:szCs w:val="28"/>
          <w:lang w:val="sq-AL" w:eastAsia="zh-CN"/>
        </w:rPr>
        <w:t>〉</w:t>
      </w:r>
      <w:r>
        <w:rPr>
          <w:rFonts w:hint="default" w:ascii="Times New Roman" w:hAnsi="Times New Roman" w:eastAsia="宋体" w:cs="Times New Roman"/>
          <w:szCs w:val="28"/>
          <w:lang w:val="sq-AL"/>
        </w:rPr>
        <w:t>等八部法律的决定》，</w:t>
      </w:r>
      <w:r>
        <w:rPr>
          <w:rFonts w:hint="default" w:ascii="Times New Roman" w:hAnsi="Times New Roman" w:eastAsia="宋体" w:cs="Times New Roman"/>
          <w:szCs w:val="28"/>
        </w:rPr>
        <w:t>2021年4月29日实施</w:t>
      </w:r>
      <w:r>
        <w:rPr>
          <w:rFonts w:hint="default" w:ascii="Times New Roman" w:hAnsi="Times New Roman" w:eastAsia="宋体" w:cs="Times New Roman"/>
          <w:szCs w:val="28"/>
          <w:lang w:val="sq-AL"/>
        </w:rPr>
        <w:t>）</w:t>
      </w:r>
      <w:r>
        <w:rPr>
          <w:rFonts w:hint="default" w:ascii="Times New Roman" w:hAnsi="Times New Roman" w:eastAsia="宋体" w:cs="Times New Roman"/>
          <w:szCs w:val="28"/>
        </w:rPr>
        <w:t>；</w:t>
      </w:r>
    </w:p>
    <w:p w14:paraId="53E43B75">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rPr>
      </w:pPr>
      <w:r>
        <w:rPr>
          <w:rFonts w:hint="default" w:ascii="Times New Roman" w:hAnsi="Times New Roman" w:eastAsia="宋体" w:cs="Times New Roman"/>
          <w:szCs w:val="28"/>
          <w:lang w:val="en-US" w:eastAsia="zh-CN"/>
        </w:rPr>
        <w:t>（6）</w:t>
      </w:r>
      <w:r>
        <w:rPr>
          <w:rFonts w:hint="default" w:ascii="Times New Roman" w:hAnsi="Times New Roman" w:eastAsia="宋体" w:cs="Times New Roman"/>
          <w:szCs w:val="28"/>
        </w:rPr>
        <w:t>《</w:t>
      </w:r>
      <w:bookmarkStart w:id="98" w:name="OLE_LINK17"/>
      <w:r>
        <w:rPr>
          <w:rFonts w:hint="default" w:ascii="Times New Roman" w:hAnsi="Times New Roman" w:eastAsia="宋体" w:cs="Times New Roman"/>
          <w:szCs w:val="28"/>
        </w:rPr>
        <w:t>中华人民共和国特种设备安全法</w:t>
      </w:r>
      <w:bookmarkEnd w:id="98"/>
      <w:r>
        <w:rPr>
          <w:rFonts w:hint="default" w:ascii="Times New Roman" w:hAnsi="Times New Roman" w:eastAsia="宋体" w:cs="Times New Roman"/>
          <w:szCs w:val="28"/>
        </w:rPr>
        <w:t>》（中华人民共和国主席令第四号，2014年1月1日起施行）；</w:t>
      </w:r>
    </w:p>
    <w:p w14:paraId="69F8869F">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lang w:val="sq-AL"/>
        </w:rPr>
      </w:pPr>
      <w:r>
        <w:rPr>
          <w:rFonts w:hint="default" w:ascii="Times New Roman" w:hAnsi="Times New Roman" w:eastAsia="宋体" w:cs="Times New Roman"/>
          <w:szCs w:val="28"/>
          <w:lang w:val="sq-AL" w:eastAsia="zh-CN"/>
        </w:rPr>
        <w:t>（7）</w:t>
      </w:r>
      <w:r>
        <w:rPr>
          <w:rFonts w:hint="default" w:ascii="Times New Roman" w:hAnsi="Times New Roman" w:eastAsia="宋体" w:cs="Times New Roman"/>
          <w:szCs w:val="28"/>
        </w:rPr>
        <w:t>《中华人民共和国职业病防治法》（</w:t>
      </w:r>
      <w:r>
        <w:rPr>
          <w:rFonts w:hint="default" w:ascii="Times New Roman" w:hAnsi="Times New Roman" w:eastAsia="宋体" w:cs="Times New Roman"/>
          <w:szCs w:val="28"/>
          <w:lang w:val="sq-AL"/>
        </w:rPr>
        <w:t>中华人民共和国主席令第</w:t>
      </w:r>
      <w:r>
        <w:rPr>
          <w:rFonts w:hint="default" w:ascii="Times New Roman" w:hAnsi="Times New Roman" w:eastAsia="宋体" w:cs="Times New Roman"/>
          <w:szCs w:val="28"/>
        </w:rPr>
        <w:t>六十</w:t>
      </w:r>
      <w:r>
        <w:rPr>
          <w:rFonts w:hint="default" w:ascii="Times New Roman" w:hAnsi="Times New Roman" w:eastAsia="宋体" w:cs="Times New Roman"/>
          <w:szCs w:val="28"/>
          <w:lang w:val="sq-AL"/>
        </w:rPr>
        <w:t>号，自2002年5月1日起施行；2018年12月29日第十三届全国人民代表大会常务委员会第七次会议《关于修改等七部法律的决定》第四次修正，2018年12月30日起施行</w:t>
      </w:r>
      <w:r>
        <w:rPr>
          <w:rFonts w:hint="default" w:ascii="Times New Roman" w:hAnsi="Times New Roman" w:eastAsia="宋体" w:cs="Times New Roman"/>
          <w:szCs w:val="28"/>
        </w:rPr>
        <w:t>）</w:t>
      </w:r>
      <w:r>
        <w:rPr>
          <w:rFonts w:hint="default" w:ascii="Times New Roman" w:hAnsi="Times New Roman" w:eastAsia="宋体" w:cs="Times New Roman"/>
          <w:szCs w:val="28"/>
          <w:lang w:eastAsia="zh-CN"/>
        </w:rPr>
        <w:t>；</w:t>
      </w:r>
    </w:p>
    <w:p w14:paraId="7D0D5641">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lang w:val="sq-AL"/>
        </w:rPr>
      </w:pPr>
      <w:r>
        <w:rPr>
          <w:rFonts w:hint="default" w:ascii="Times New Roman" w:hAnsi="Times New Roman" w:eastAsia="宋体" w:cs="Times New Roman"/>
          <w:szCs w:val="28"/>
          <w:lang w:val="sq-AL" w:eastAsia="zh-CN"/>
        </w:rPr>
        <w:t>（8）</w:t>
      </w:r>
      <w:r>
        <w:rPr>
          <w:rFonts w:hint="default" w:ascii="Times New Roman" w:hAnsi="Times New Roman" w:eastAsia="宋体" w:cs="Times New Roman"/>
          <w:szCs w:val="28"/>
        </w:rPr>
        <w:t>《中华人民共和国突发事件应对法》（中华人民共和国主席令第六十九号，</w:t>
      </w:r>
      <w:r>
        <w:rPr>
          <w:rFonts w:hint="default" w:ascii="Times New Roman" w:hAnsi="Times New Roman" w:eastAsia="宋体" w:cs="Times New Roman"/>
          <w:szCs w:val="28"/>
          <w:lang w:val="en-US" w:eastAsia="zh-CN"/>
        </w:rPr>
        <w:t>2007年11月1日起施行；</w:t>
      </w:r>
      <w:r>
        <w:rPr>
          <w:rFonts w:hint="default" w:ascii="Times New Roman" w:hAnsi="Times New Roman" w:eastAsia="宋体" w:cs="Times New Roman"/>
          <w:szCs w:val="28"/>
        </w:rPr>
        <w:t>中华人民共和国主席令第</w:t>
      </w:r>
      <w:r>
        <w:rPr>
          <w:rFonts w:hint="default" w:ascii="Times New Roman" w:hAnsi="Times New Roman" w:eastAsia="宋体" w:cs="Times New Roman"/>
          <w:szCs w:val="28"/>
          <w:lang w:val="en-US" w:eastAsia="zh-CN"/>
        </w:rPr>
        <w:t>二十五</w:t>
      </w:r>
      <w:r>
        <w:rPr>
          <w:rFonts w:hint="default" w:ascii="Times New Roman" w:hAnsi="Times New Roman" w:eastAsia="宋体" w:cs="Times New Roman"/>
          <w:szCs w:val="28"/>
        </w:rPr>
        <w:t>号，</w:t>
      </w:r>
      <w:r>
        <w:rPr>
          <w:rFonts w:hint="default" w:ascii="Times New Roman" w:hAnsi="Times New Roman" w:eastAsia="宋体" w:cs="Times New Roman"/>
          <w:szCs w:val="28"/>
          <w:lang w:val="en-US" w:eastAsia="zh-CN"/>
        </w:rPr>
        <w:t>2024年6月28日第十四届全国人民代表大会常务委员会第十次会议修订，2024年11月1日起施行</w:t>
      </w:r>
      <w:r>
        <w:rPr>
          <w:rFonts w:hint="default" w:ascii="Times New Roman" w:hAnsi="Times New Roman" w:eastAsia="宋体" w:cs="Times New Roman"/>
          <w:szCs w:val="28"/>
        </w:rPr>
        <w:t>）</w:t>
      </w:r>
      <w:r>
        <w:rPr>
          <w:rFonts w:hint="default" w:ascii="Times New Roman" w:hAnsi="Times New Roman" w:eastAsia="宋体" w:cs="Times New Roman"/>
          <w:szCs w:val="28"/>
          <w:lang w:eastAsia="zh-CN"/>
        </w:rPr>
        <w:t>；</w:t>
      </w:r>
    </w:p>
    <w:p w14:paraId="37D3854D">
      <w:pPr>
        <w:pStyle w:val="18"/>
        <w:pageBreakBefore w:val="0"/>
        <w:kinsoku/>
        <w:wordWrap/>
        <w:overflowPunct/>
        <w:topLinePunct w:val="0"/>
        <w:autoSpaceDE/>
        <w:autoSpaceDN/>
        <w:bidi w:val="0"/>
        <w:ind w:firstLine="560"/>
        <w:textAlignment w:val="auto"/>
        <w:rPr>
          <w:rFonts w:hint="default" w:ascii="Times New Roman" w:hAnsi="Times New Roman" w:eastAsia="宋体" w:cs="Times New Roman"/>
          <w:szCs w:val="28"/>
          <w:lang w:val="sq-AL"/>
        </w:rPr>
      </w:pPr>
      <w:r>
        <w:rPr>
          <w:rFonts w:hint="default" w:ascii="Times New Roman" w:hAnsi="Times New Roman" w:eastAsia="宋体" w:cs="Times New Roman"/>
          <w:szCs w:val="28"/>
          <w:lang w:val="sq-AL" w:eastAsia="zh-CN"/>
        </w:rPr>
        <w:t>（9）</w:t>
      </w:r>
      <w:r>
        <w:rPr>
          <w:rFonts w:hint="default" w:ascii="Times New Roman" w:hAnsi="Times New Roman" w:eastAsia="宋体" w:cs="Times New Roman"/>
          <w:szCs w:val="28"/>
          <w:lang w:val="sq-AL"/>
        </w:rPr>
        <w:t>《中华人民共和国道路交通安全法》（根据2021年4月29日第十三届全国人民代表大会常务委员会第二十八次会议《关于修改〈中华人民共和国道路交通安全法〉等八部法律的决定》第三次修正）。</w:t>
      </w:r>
    </w:p>
    <w:p w14:paraId="58FE2EAF">
      <w:pPr>
        <w:pStyle w:val="5"/>
        <w:pageBreakBefore w:val="0"/>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1.2.1.2法规</w:t>
      </w:r>
    </w:p>
    <w:p w14:paraId="743FA2F7">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rPr>
      </w:pPr>
      <w:bookmarkStart w:id="99" w:name="_Hlk501312820"/>
      <w:r>
        <w:rPr>
          <w:rFonts w:hint="default" w:ascii="Times New Roman" w:hAnsi="Times New Roman" w:cs="Times New Roman"/>
        </w:rPr>
        <w:t>《中华人民共和国矿产资源法实施细则》（国务院令第152号，1994年3月26日施行）；</w:t>
      </w:r>
    </w:p>
    <w:p w14:paraId="0067BFA6">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《中华人民共和国矿山安全法实施条例》（中华人民共和国劳动部令第4号，1996年10月30日施行）；</w:t>
      </w:r>
    </w:p>
    <w:p w14:paraId="7B616C0E">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《建设工程安全生产管理条例》（中华人民共和国国务院令第393号，2003年11月12日国务院第28次常务会议通过，自2004年2月1日起施行）；</w:t>
      </w:r>
    </w:p>
    <w:p w14:paraId="1C923C73">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《地质灾害防治条例》（中华人民共和国国务院令第394号，自2004年3月1日起施行）；</w:t>
      </w:r>
    </w:p>
    <w:p w14:paraId="6322D4D1">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《生产安全事故报告和调查处理条例》（中华人民共和国国务院令第493号，2007年6月1日起施行）；</w:t>
      </w:r>
    </w:p>
    <w:p w14:paraId="1C8E22AD">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《特种设备安全监察条例》（中华人民共和国国务院令第549号修订，2009年5月1日起施行）；</w:t>
      </w:r>
    </w:p>
    <w:p w14:paraId="152961DF">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《工伤保险条例》（中华人民共和国国务院令[201</w:t>
      </w:r>
      <w:r>
        <w:rPr>
          <w:rFonts w:hint="default" w:ascii="Times New Roman" w:hAnsi="Times New Roman" w:cs="Times New Roman"/>
          <w:lang w:val="en-US" w:eastAsia="zh-CN"/>
        </w:rPr>
        <w:t>0</w:t>
      </w:r>
      <w:r>
        <w:rPr>
          <w:rFonts w:hint="default" w:ascii="Times New Roman" w:hAnsi="Times New Roman" w:cs="Times New Roman"/>
          <w:lang w:val="sq-AL"/>
        </w:rPr>
        <w:t>]586号，2011年1月1日起施行）；</w:t>
      </w:r>
    </w:p>
    <w:p w14:paraId="284E1FBA">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《电力设施保护条例》（</w:t>
      </w:r>
      <w:r>
        <w:rPr>
          <w:rFonts w:hint="default" w:ascii="Times New Roman" w:hAnsi="Times New Roman" w:cs="Times New Roman"/>
          <w:lang w:val="sq-AL"/>
        </w:rPr>
        <w:fldChar w:fldCharType="begin"/>
      </w:r>
      <w:r>
        <w:rPr>
          <w:rFonts w:hint="default" w:ascii="Times New Roman" w:hAnsi="Times New Roman" w:cs="Times New Roman"/>
          <w:lang w:val="sq-AL"/>
        </w:rPr>
        <w:instrText xml:space="preserve"> HYPERLINK "https://baike.so.com/doc/6420484-6634156.html" \t "https://baike.so.com/doc/_blank" </w:instrText>
      </w:r>
      <w:r>
        <w:rPr>
          <w:rFonts w:hint="default" w:ascii="Times New Roman" w:hAnsi="Times New Roman" w:cs="Times New Roman"/>
          <w:lang w:val="sq-AL"/>
        </w:rPr>
        <w:fldChar w:fldCharType="separate"/>
      </w:r>
      <w:r>
        <w:rPr>
          <w:rFonts w:hint="default" w:ascii="Times New Roman" w:hAnsi="Times New Roman" w:cs="Times New Roman"/>
          <w:lang w:val="sq-AL"/>
        </w:rPr>
        <w:t>中华人民共和国国务院</w:t>
      </w:r>
      <w:r>
        <w:rPr>
          <w:rFonts w:hint="default" w:ascii="Times New Roman" w:hAnsi="Times New Roman" w:cs="Times New Roman"/>
          <w:lang w:val="sq-AL"/>
        </w:rPr>
        <w:fldChar w:fldCharType="end"/>
      </w:r>
      <w:r>
        <w:rPr>
          <w:rFonts w:hint="default" w:ascii="Times New Roman" w:hAnsi="Times New Roman" w:cs="Times New Roman"/>
          <w:lang w:val="sq-AL"/>
        </w:rPr>
        <w:t>令第239号，根据1998年1月7日《国务院关于修改〈电力设施保护条例〉的决定》第一次修订；根据2011年1月8日《国务院关于废止和修改部分行政法规的决定》第二次修订，自2011年1月8日起施行）；</w:t>
      </w:r>
    </w:p>
    <w:p w14:paraId="581AF254">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《公路安全保护条例》（中华人民共和国国务院令第593号，2011年2月16日国务院第144次常务会议通过；2011年3月7日中华人民共和国国务院令第593号公布；自2011年7月1日起施行）；</w:t>
      </w:r>
    </w:p>
    <w:p w14:paraId="4498B509">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安全生产许可证条例》（中华人民共和国国务院令397号，2004年1月13日；根据2013年7月18日《国务院关于废止和修改部分行政法规的决定》第一次修订；根据2014年7月29日《国务院关于修改部分行政法规的决定》第二次修订，2014年7月29日起施行）；</w:t>
      </w:r>
    </w:p>
    <w:p w14:paraId="4FBD2CA3">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《生产安全事故应急条例》（中华人民共和国国务院令第708号，2019年4月1日起施行）</w:t>
      </w:r>
      <w:r>
        <w:rPr>
          <w:rFonts w:hint="default" w:ascii="Times New Roman" w:hAnsi="Times New Roman" w:cs="Times New Roman"/>
          <w:lang w:val="sq-AL" w:eastAsia="zh-CN"/>
        </w:rPr>
        <w:t>；</w:t>
      </w:r>
    </w:p>
    <w:p w14:paraId="0CBAD8E0">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lang w:val="sq-AL"/>
        </w:rPr>
        <w:t>《民用爆炸物品安全管理条例》（国务院令第466号颁布，国务院令第653号修订，修订后自2014年7月29日起施行）</w:t>
      </w:r>
      <w:r>
        <w:rPr>
          <w:rFonts w:hint="default" w:ascii="Times New Roman" w:hAnsi="Times New Roman" w:cs="Times New Roman"/>
          <w:lang w:val="sq-AL" w:eastAsia="zh-CN"/>
        </w:rPr>
        <w:t>；</w:t>
      </w:r>
    </w:p>
    <w:p w14:paraId="0838724B">
      <w:pPr>
        <w:pageBreakBefore w:val="0"/>
        <w:numPr>
          <w:ilvl w:val="0"/>
          <w:numId w:val="5"/>
        </w:numPr>
        <w:kinsoku/>
        <w:wordWrap/>
        <w:overflowPunct/>
        <w:topLinePunct w:val="0"/>
        <w:autoSpaceDE/>
        <w:autoSpaceDN/>
        <w:bidi w:val="0"/>
        <w:ind w:firstLine="560"/>
        <w:textAlignment w:val="auto"/>
        <w:rPr>
          <w:rFonts w:hint="default" w:ascii="Times New Roman" w:hAnsi="Times New Roman" w:cs="Times New Roman"/>
          <w:color w:val="auto"/>
        </w:rPr>
      </w:pPr>
      <w:r>
        <w:rPr>
          <w:rFonts w:hint="default" w:ascii="Times New Roman" w:hAnsi="Times New Roman" w:cs="Times New Roman"/>
          <w:snapToGrid w:val="0"/>
          <w:color w:val="auto"/>
          <w:kern w:val="0"/>
          <w:szCs w:val="24"/>
          <w:lang w:val="sq-AL"/>
        </w:rPr>
        <w:t>《中共中央办公厅 国务院办公厅关于进一步加强矿山安全生产工作的意见》（厅字〔2023〕21号，2023年8月25日）</w:t>
      </w:r>
      <w:r>
        <w:rPr>
          <w:rFonts w:hint="default" w:ascii="Times New Roman" w:hAnsi="Times New Roman" w:cs="Times New Roman"/>
          <w:color w:val="auto"/>
        </w:rPr>
        <w:t>。</w:t>
      </w:r>
      <w:bookmarkEnd w:id="99"/>
    </w:p>
    <w:p w14:paraId="79E84368">
      <w:pPr>
        <w:pStyle w:val="5"/>
        <w:pageBreakBefore w:val="0"/>
        <w:kinsoku/>
        <w:wordWrap/>
        <w:overflowPunct/>
        <w:topLinePunct w:val="0"/>
        <w:autoSpaceDE/>
        <w:autoSpaceDN/>
        <w:bidi w:val="0"/>
        <w:ind w:firstLine="560"/>
        <w:textAlignment w:val="auto"/>
        <w:rPr>
          <w:rFonts w:hint="default" w:ascii="Times New Roman" w:hAnsi="Times New Roman" w:cs="Times New Roman"/>
        </w:rPr>
      </w:pPr>
      <w:bookmarkStart w:id="100" w:name="_Toc20399"/>
      <w:bookmarkStart w:id="101" w:name="_Toc501120262"/>
      <w:r>
        <w:rPr>
          <w:rFonts w:hint="default" w:ascii="Times New Roman" w:hAnsi="Times New Roman" w:cs="Times New Roman"/>
        </w:rPr>
        <w:t>1.2.1.3部门规章</w:t>
      </w:r>
      <w:bookmarkEnd w:id="100"/>
      <w:bookmarkEnd w:id="101"/>
    </w:p>
    <w:p w14:paraId="01096FD7">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《生产安全事故信息报告和处置办法》（原国家安全生产监督管理总局令第21号，2009年7月1日实施）；</w:t>
      </w:r>
    </w:p>
    <w:p w14:paraId="3F629044">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《企业安全生产费用提取和使用管理办法》（财资〔2022〕136号，2022年11月21日实施）；</w:t>
      </w:r>
    </w:p>
    <w:p w14:paraId="6BE29CE9">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《国家安全监管总局关于修改</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生产安全事故报告和调查处理条例</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罚款处罚暂行规定》等四部规章的决定（原国家安全生产监督管理总局令第77号，2015年5月1日实施）；</w:t>
      </w:r>
    </w:p>
    <w:p w14:paraId="6DFCFA30">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《小型露天采石场安全管理与监督检查规定》（原国家安全生产监督管理总局令第39号，原国家安全生产监督管理总局令第78号修改，2011年7月1日起施行）</w:t>
      </w:r>
      <w:r>
        <w:rPr>
          <w:rFonts w:hint="default" w:ascii="Times New Roman" w:hAnsi="Times New Roman" w:cs="Times New Roman"/>
          <w:snapToGrid w:val="0"/>
          <w:kern w:val="0"/>
          <w:szCs w:val="24"/>
          <w:lang w:val="sq-AL" w:eastAsia="zh-CN"/>
        </w:rPr>
        <w:t>；</w:t>
      </w:r>
    </w:p>
    <w:p w14:paraId="24F9B1C4">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非煤矿矿山企业安全生产许可证实施办法》（原国家安全生产监督管理总局第20号令，自2009年6月8日起实施；原国家安全生产监管总局令第78号《国家安全监管总局关于废止和修改非煤矿矿山领域九部规章的决定》修正，自2015年7月1日起实施）；</w:t>
      </w:r>
    </w:p>
    <w:p w14:paraId="30A288FD">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《建设项目安全设施“三同时”监督管理办法》（原国家安全生产监督管理总局令第36号，原国家安全生产监督管理总局令第77号修正，自2015年5月1日起施行）；</w:t>
      </w:r>
    </w:p>
    <w:p w14:paraId="061C9F31">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《国家安全监管总局</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关于发布金属非金属矿山禁止使用的设备及工艺目录（第二批）</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的通知》（安监总管13号，2015年2月13日）；</w:t>
      </w:r>
    </w:p>
    <w:p w14:paraId="73CF133C">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《特种作业人员安全技术考核管理规定》（原国家安全监管总局令第30号，2013年8月29日原国家安全监管总局令第63号第一次修正，2015年5月29日原国家安全监管总局令第80号第二次修正，2015年7月1日施行）；</w:t>
      </w:r>
    </w:p>
    <w:p w14:paraId="3247BBD9">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《安全生产培训管理办法》（原国家安全生产监督管理总局令第44号，原国家安全生产监督管理总局令第80号修正，2015年7月1日起施行）；</w:t>
      </w:r>
    </w:p>
    <w:p w14:paraId="0227E46D">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《金属非金属矿山建设项目安全设施目录（试行）》（原安监总管—〔2015〕75号，2015年7月1日起施行）；</w:t>
      </w:r>
    </w:p>
    <w:p w14:paraId="79222278">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《国家矿山安全监察局关于印发</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非煤矿山建设项目安全设施重大变更范围</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的通知》（矿安〔2023〕147号，2023年11月14日施行）；</w:t>
      </w:r>
    </w:p>
    <w:p w14:paraId="0F2C2648">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《国家安全监管总局关于印发金属非金属矿山建设项目安全评价报告编写提纲的通知》（原安监总管一〔2016〕第49号）</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附件2</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金属非金属露天矿山建设项目安全设施验收评价报告编写提纲，2016年5月30日》；</w:t>
      </w:r>
    </w:p>
    <w:p w14:paraId="60F54D17">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《国家安全监管总局关于印发非煤矿山领域遏制重特大事故工作方案的通知》（原安监总管一〔2016〕60号，2016年5月27日）；</w:t>
      </w:r>
    </w:p>
    <w:p w14:paraId="7ADE1E1E">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《安全生产责任保险实施办法》（安监总办</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2017</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140号，自2018年1月1日起施行）；</w:t>
      </w:r>
    </w:p>
    <w:p w14:paraId="768F61C7">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color w:val="auto"/>
          <w:kern w:val="0"/>
          <w:szCs w:val="24"/>
          <w:lang w:val="sq-AL"/>
        </w:rPr>
      </w:pPr>
      <w:r>
        <w:rPr>
          <w:rFonts w:hint="default" w:ascii="Times New Roman" w:hAnsi="Times New Roman" w:cs="Times New Roman"/>
          <w:snapToGrid w:val="0"/>
          <w:color w:val="auto"/>
          <w:kern w:val="0"/>
          <w:szCs w:val="24"/>
          <w:lang w:val="sq-AL"/>
        </w:rPr>
        <w:t>《生产安全事故应急预案管理办法》（2016年6月3日原国家安全生产监督管理总局令第88号公布，自2016年7月1日起施行；根据2019年7月11日应急管理部令第2号修正，2019年9月1日施行）；</w:t>
      </w:r>
    </w:p>
    <w:p w14:paraId="0C86A2EE">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color w:val="auto"/>
          <w:kern w:val="0"/>
          <w:szCs w:val="24"/>
          <w:lang w:val="sq-AL"/>
        </w:rPr>
      </w:pPr>
      <w:r>
        <w:rPr>
          <w:rFonts w:hint="default" w:ascii="Times New Roman" w:hAnsi="Times New Roman" w:cs="Times New Roman"/>
          <w:snapToGrid w:val="0"/>
          <w:color w:val="auto"/>
          <w:kern w:val="0"/>
          <w:szCs w:val="24"/>
          <w:lang w:val="sq-AL"/>
        </w:rPr>
        <w:t>《国家矿山安全监察局关于印发〈矿山重大隐患调查处理办法（试行）〉的通知》</w:t>
      </w:r>
      <w:r>
        <w:rPr>
          <w:rFonts w:hint="default" w:ascii="Times New Roman" w:hAnsi="Times New Roman" w:cs="Times New Roman"/>
          <w:snapToGrid w:val="0"/>
          <w:color w:val="auto"/>
          <w:kern w:val="0"/>
          <w:szCs w:val="24"/>
          <w:lang w:val="sq-AL" w:eastAsia="zh-CN"/>
        </w:rPr>
        <w:t>（</w:t>
      </w:r>
      <w:r>
        <w:rPr>
          <w:rFonts w:hint="default" w:ascii="Times New Roman" w:hAnsi="Times New Roman" w:cs="Times New Roman"/>
          <w:snapToGrid w:val="0"/>
          <w:color w:val="auto"/>
          <w:kern w:val="0"/>
          <w:szCs w:val="24"/>
          <w:lang w:val="sq-AL"/>
        </w:rPr>
        <w:t>矿安〔2021〕49号</w:t>
      </w:r>
      <w:r>
        <w:rPr>
          <w:rFonts w:hint="default" w:ascii="Times New Roman" w:hAnsi="Times New Roman" w:cs="Times New Roman"/>
          <w:snapToGrid w:val="0"/>
          <w:color w:val="auto"/>
          <w:kern w:val="0"/>
          <w:szCs w:val="24"/>
          <w:lang w:val="sq-AL" w:eastAsia="zh-CN"/>
        </w:rPr>
        <w:t>）；</w:t>
      </w:r>
    </w:p>
    <w:p w14:paraId="6F8B8CA6">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《国家矿山安全监察局关于印发〈关于加强非煤矿山安全生产工作的指导意见》（矿安〔2022〕4号，自2022年2月8日起实施）；</w:t>
      </w:r>
    </w:p>
    <w:p w14:paraId="773DC49E">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《国家矿山安全监察局关于印发</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金属非金属矿山重大事故隐患判定标准</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的通知》（矿安〔2022〕88号，自2022年9月1日起施行）；</w:t>
      </w:r>
    </w:p>
    <w:p w14:paraId="0C59F2D9">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《国家矿山安全监察局关于开展露天矿山安全生产专项整治的通知》（矿安〔2023〕16号，2023年2月27日施行）；</w:t>
      </w:r>
    </w:p>
    <w:p w14:paraId="79CF4662">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《国务院安委会办公室关于学习宣传贯彻</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中共中央办公厅 国务院办公厅关于进一步加强矿山安全生产工作的意见</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的通知》（安委办〔2023〕7号，2023年9月9日）；</w:t>
      </w:r>
    </w:p>
    <w:p w14:paraId="756A3EBA">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《国家矿山安全监察局关于印发</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防范非煤矿山典型多发事故六十条措施</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的通知》（矿安〔2023〕124号，2023年9月12日</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w:t>
      </w:r>
    </w:p>
    <w:p w14:paraId="34A31AF6">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《应急管理部关于进一步加强安全评价机构监管的指导意见》（应急〔2023〕99号，2023年9月29日）；</w:t>
      </w:r>
    </w:p>
    <w:p w14:paraId="7DD63C96">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color w:val="auto"/>
          <w:kern w:val="0"/>
          <w:szCs w:val="24"/>
          <w:lang w:val="sq-AL"/>
        </w:rPr>
      </w:pPr>
      <w:r>
        <w:rPr>
          <w:rFonts w:hint="default" w:ascii="Times New Roman" w:hAnsi="Times New Roman" w:cs="Times New Roman"/>
          <w:snapToGrid w:val="0"/>
          <w:color w:val="auto"/>
          <w:kern w:val="0"/>
          <w:szCs w:val="24"/>
          <w:lang w:val="sq-AL"/>
        </w:rPr>
        <w:t>《国家矿山安全监察局关于开展露天矿山边坡监测系统建设及联网工作的通知》</w:t>
      </w:r>
      <w:r>
        <w:rPr>
          <w:rFonts w:hint="default" w:ascii="Times New Roman" w:hAnsi="Times New Roman" w:cs="Times New Roman"/>
          <w:snapToGrid w:val="0"/>
          <w:color w:val="auto"/>
          <w:kern w:val="0"/>
          <w:szCs w:val="24"/>
          <w:lang w:val="sq-AL" w:eastAsia="zh-CN"/>
        </w:rPr>
        <w:t>（</w:t>
      </w:r>
      <w:r>
        <w:rPr>
          <w:rFonts w:hint="default" w:ascii="Times New Roman" w:hAnsi="Times New Roman" w:cs="Times New Roman"/>
          <w:snapToGrid w:val="0"/>
          <w:color w:val="auto"/>
          <w:kern w:val="0"/>
          <w:szCs w:val="24"/>
          <w:lang w:val="sq-AL"/>
        </w:rPr>
        <w:t>矿安〔2023〕119号</w:t>
      </w:r>
      <w:r>
        <w:rPr>
          <w:rFonts w:hint="default" w:ascii="Times New Roman" w:hAnsi="Times New Roman" w:cs="Times New Roman"/>
          <w:snapToGrid w:val="0"/>
          <w:color w:val="auto"/>
          <w:kern w:val="0"/>
          <w:szCs w:val="24"/>
          <w:lang w:val="sq-AL" w:eastAsia="zh-CN"/>
        </w:rPr>
        <w:t>）；</w:t>
      </w:r>
    </w:p>
    <w:p w14:paraId="0DD79D93">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《国务院安全生产委员会印发</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关于防范遏制矿山领域重特大生产安全事故的硬措施</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的通知》（安委〔2024〕1号，2024年1月16日施行）</w:t>
      </w:r>
    </w:p>
    <w:p w14:paraId="0FA0D689">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《国家矿山安全监察局关于印发</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金属非金属矿山重大事故隐患判定标准补充情形</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的通知》（矿安〔2024〕41号，2024年4月23日）；</w:t>
      </w:r>
    </w:p>
    <w:p w14:paraId="530D00D7">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snapToGrid w:val="0"/>
          <w:kern w:val="0"/>
          <w:szCs w:val="24"/>
          <w:lang w:val="sq-AL"/>
        </w:rPr>
      </w:pPr>
      <w:r>
        <w:rPr>
          <w:rFonts w:hint="default" w:ascii="Times New Roman" w:hAnsi="Times New Roman" w:cs="Times New Roman"/>
          <w:snapToGrid w:val="0"/>
          <w:kern w:val="0"/>
          <w:szCs w:val="24"/>
          <w:lang w:val="sq-AL"/>
        </w:rPr>
        <w:t>《国家矿山安全监察局关于进一步加强非煤矿山安全生产行政许可工作的通知》（矿安〔2024〕70号，2024年6月28日）</w:t>
      </w:r>
      <w:r>
        <w:rPr>
          <w:rFonts w:hint="default" w:ascii="Times New Roman" w:hAnsi="Times New Roman" w:cs="Times New Roman"/>
          <w:snapToGrid w:val="0"/>
          <w:kern w:val="0"/>
          <w:szCs w:val="24"/>
          <w:lang w:val="sq-AL" w:eastAsia="zh-CN"/>
        </w:rPr>
        <w:t>；</w:t>
      </w:r>
    </w:p>
    <w:p w14:paraId="775F9160">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snapToGrid w:val="0"/>
          <w:kern w:val="0"/>
          <w:szCs w:val="24"/>
          <w:lang w:val="sq-AL"/>
        </w:rPr>
        <w:t>《国家矿山安全监察局关于印发</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“学铁规、明责任、硬落实、保安全”专项活动方案</w:t>
      </w:r>
      <w:r>
        <w:rPr>
          <w:rFonts w:hint="default" w:ascii="Times New Roman" w:hAnsi="Times New Roman" w:cs="Times New Roman"/>
          <w:snapToGrid w:val="0"/>
          <w:kern w:val="0"/>
          <w:szCs w:val="24"/>
          <w:lang w:val="sq-AL" w:eastAsia="zh-CN"/>
        </w:rPr>
        <w:t>〉</w:t>
      </w:r>
      <w:r>
        <w:rPr>
          <w:rFonts w:hint="default" w:ascii="Times New Roman" w:hAnsi="Times New Roman" w:cs="Times New Roman"/>
          <w:snapToGrid w:val="0"/>
          <w:kern w:val="0"/>
          <w:szCs w:val="24"/>
          <w:lang w:val="sq-AL"/>
        </w:rPr>
        <w:t>的通知》（矿安〔2024〕</w:t>
      </w:r>
      <w:r>
        <w:rPr>
          <w:rFonts w:hint="default" w:ascii="Times New Roman" w:hAnsi="Times New Roman" w:cs="Times New Roman"/>
          <w:snapToGrid w:val="0"/>
          <w:kern w:val="0"/>
          <w:szCs w:val="24"/>
          <w:lang w:val="sq-AL" w:eastAsia="zh-CN"/>
        </w:rPr>
        <w:t>72</w:t>
      </w:r>
      <w:r>
        <w:rPr>
          <w:rFonts w:hint="default" w:ascii="Times New Roman" w:hAnsi="Times New Roman" w:cs="Times New Roman"/>
          <w:snapToGrid w:val="0"/>
          <w:kern w:val="0"/>
          <w:szCs w:val="24"/>
          <w:lang w:val="sq-AL"/>
        </w:rPr>
        <w:t>号，2024年</w:t>
      </w:r>
      <w:r>
        <w:rPr>
          <w:rFonts w:hint="default" w:ascii="Times New Roman" w:hAnsi="Times New Roman" w:cs="Times New Roman"/>
          <w:snapToGrid w:val="0"/>
          <w:kern w:val="0"/>
          <w:szCs w:val="24"/>
          <w:lang w:val="sq-AL" w:eastAsia="zh-CN"/>
        </w:rPr>
        <w:t>7</w:t>
      </w:r>
      <w:r>
        <w:rPr>
          <w:rFonts w:hint="default" w:ascii="Times New Roman" w:hAnsi="Times New Roman" w:cs="Times New Roman"/>
          <w:snapToGrid w:val="0"/>
          <w:kern w:val="0"/>
          <w:szCs w:val="24"/>
          <w:lang w:val="sq-AL"/>
        </w:rPr>
        <w:t>月</w:t>
      </w:r>
      <w:r>
        <w:rPr>
          <w:rFonts w:hint="default" w:ascii="Times New Roman" w:hAnsi="Times New Roman" w:cs="Times New Roman"/>
          <w:snapToGrid w:val="0"/>
          <w:kern w:val="0"/>
          <w:szCs w:val="24"/>
          <w:lang w:val="sq-AL" w:eastAsia="zh-CN"/>
        </w:rPr>
        <w:t>14</w:t>
      </w:r>
      <w:r>
        <w:rPr>
          <w:rFonts w:hint="default" w:ascii="Times New Roman" w:hAnsi="Times New Roman" w:cs="Times New Roman"/>
          <w:snapToGrid w:val="0"/>
          <w:kern w:val="0"/>
          <w:szCs w:val="24"/>
          <w:lang w:val="sq-AL"/>
        </w:rPr>
        <w:t>日）</w:t>
      </w:r>
      <w:r>
        <w:rPr>
          <w:rFonts w:hint="default" w:ascii="Times New Roman" w:hAnsi="Times New Roman" w:cs="Times New Roman"/>
          <w:snapToGrid w:val="0"/>
          <w:kern w:val="0"/>
          <w:szCs w:val="24"/>
          <w:lang w:val="sq-AL" w:eastAsia="zh-CN"/>
        </w:rPr>
        <w:t>；</w:t>
      </w:r>
    </w:p>
    <w:p w14:paraId="117702A7">
      <w:pPr>
        <w:pageBreakBefore w:val="0"/>
        <w:numPr>
          <w:ilvl w:val="0"/>
          <w:numId w:val="6"/>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snapToGrid w:val="0"/>
          <w:kern w:val="0"/>
          <w:szCs w:val="24"/>
          <w:lang w:val="sq-AL"/>
        </w:rPr>
        <w:t>（28）《矿山救援规程》（中华人民共和国应急管理部令第16号，2024年4月15日应急管理部第12次部务会议审议通过，自2024年7月1日起施行）。</w:t>
      </w:r>
    </w:p>
    <w:p w14:paraId="569BF64C">
      <w:pPr>
        <w:pStyle w:val="5"/>
        <w:keepNext w:val="0"/>
        <w:keepLines w:val="0"/>
        <w:pageBreakBefore w:val="0"/>
        <w:kinsoku/>
        <w:wordWrap/>
        <w:overflowPunct/>
        <w:topLinePunct w:val="0"/>
        <w:autoSpaceDE/>
        <w:autoSpaceDN/>
        <w:bidi w:val="0"/>
        <w:ind w:firstLine="560"/>
        <w:textAlignment w:val="auto"/>
        <w:rPr>
          <w:rFonts w:hint="default" w:ascii="Times New Roman" w:hAnsi="Times New Roman" w:cs="Times New Roman"/>
        </w:rPr>
      </w:pPr>
      <w:bookmarkStart w:id="102" w:name="_Toc444458069"/>
      <w:bookmarkStart w:id="103" w:name="_Toc374352220"/>
      <w:bookmarkStart w:id="104" w:name="_Toc31208"/>
      <w:bookmarkStart w:id="105" w:name="_Toc501120263"/>
      <w:r>
        <w:rPr>
          <w:rFonts w:hint="default" w:ascii="Times New Roman" w:hAnsi="Times New Roman" w:cs="Times New Roman"/>
        </w:rPr>
        <w:t>1.2.1.4</w:t>
      </w:r>
      <w:bookmarkEnd w:id="102"/>
      <w:bookmarkEnd w:id="103"/>
      <w:bookmarkEnd w:id="104"/>
      <w:r>
        <w:rPr>
          <w:rFonts w:hint="default" w:ascii="Times New Roman" w:hAnsi="Times New Roman" w:cs="Times New Roman"/>
        </w:rPr>
        <w:t>地方性法规、政府规章和有关规范性文件</w:t>
      </w:r>
    </w:p>
    <w:p w14:paraId="5F5FE332">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电力设施保护条例》（2007年9月29日云南省人民代表大会常务委员会公告第61号；根据2012年3月31日云南省第十一届人民代表大会常务委员会第三十次会议（公告第58号）《云南省人民代表大会常务委员会关于修改25件涉及行政强制的地方性法规的决定》修正）；</w:t>
      </w:r>
    </w:p>
    <w:p w14:paraId="135E38BE">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《云南省人民政府关于进一步加强安全生产工作的决定》（云政发</w:t>
      </w:r>
      <w:r>
        <w:rPr>
          <w:rFonts w:hint="default" w:ascii="Times New Roman" w:hAnsi="Times New Roman" w:cs="Times New Roman"/>
          <w:lang w:val="sq-AL" w:eastAsia="zh-CN"/>
        </w:rPr>
        <w:t>〔</w:t>
      </w:r>
      <w:r>
        <w:rPr>
          <w:rFonts w:hint="default" w:ascii="Times New Roman" w:hAnsi="Times New Roman" w:cs="Times New Roman"/>
          <w:lang w:val="sq-AL"/>
        </w:rPr>
        <w:t>2011</w:t>
      </w:r>
      <w:r>
        <w:rPr>
          <w:rFonts w:hint="default" w:ascii="Times New Roman" w:hAnsi="Times New Roman" w:cs="Times New Roman"/>
          <w:lang w:val="sq-AL" w:eastAsia="zh-CN"/>
        </w:rPr>
        <w:t>〕</w:t>
      </w:r>
      <w:r>
        <w:rPr>
          <w:rFonts w:hint="default" w:ascii="Times New Roman" w:hAnsi="Times New Roman" w:cs="Times New Roman"/>
          <w:lang w:val="sq-AL"/>
        </w:rPr>
        <w:t>229号，自2011年11月14日起施行）；</w:t>
      </w:r>
    </w:p>
    <w:p w14:paraId="6160D1A1">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《云南省安全生产委员会关于贯彻落实云南省人民政府进一步加强安全生产工作决定的通知》（云安发电</w:t>
      </w:r>
      <w:r>
        <w:rPr>
          <w:rFonts w:hint="default" w:ascii="Times New Roman" w:hAnsi="Times New Roman" w:cs="Times New Roman"/>
          <w:lang w:val="sq-AL" w:eastAsia="zh-CN"/>
        </w:rPr>
        <w:t>〔</w:t>
      </w:r>
      <w:r>
        <w:rPr>
          <w:rFonts w:hint="default" w:ascii="Times New Roman" w:hAnsi="Times New Roman" w:cs="Times New Roman"/>
          <w:lang w:val="sq-AL"/>
        </w:rPr>
        <w:t>2011</w:t>
      </w:r>
      <w:r>
        <w:rPr>
          <w:rFonts w:hint="default" w:ascii="Times New Roman" w:hAnsi="Times New Roman" w:cs="Times New Roman"/>
          <w:lang w:val="sq-AL" w:eastAsia="zh-CN"/>
        </w:rPr>
        <w:t>〕</w:t>
      </w:r>
      <w:r>
        <w:rPr>
          <w:rFonts w:hint="default" w:ascii="Times New Roman" w:hAnsi="Times New Roman" w:cs="Times New Roman"/>
          <w:lang w:val="sq-AL"/>
        </w:rPr>
        <w:t>12号，自2011年11月15日起施行）；</w:t>
      </w:r>
    </w:p>
    <w:p w14:paraId="378D5223">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《云南省安全生产监督管理局</w:t>
      </w:r>
      <w:r>
        <w:rPr>
          <w:rFonts w:hint="default" w:ascii="Times New Roman" w:hAnsi="Times New Roman" w:cs="Times New Roman"/>
          <w:lang w:val="sq-AL" w:eastAsia="zh-CN"/>
        </w:rPr>
        <w:t>〈</w:t>
      </w:r>
      <w:r>
        <w:rPr>
          <w:rFonts w:hint="default" w:ascii="Times New Roman" w:hAnsi="Times New Roman" w:cs="Times New Roman"/>
          <w:lang w:val="sq-AL"/>
        </w:rPr>
        <w:t>关于进一步夯实非煤矿山安全生产基础的意见</w:t>
      </w:r>
      <w:r>
        <w:rPr>
          <w:rFonts w:hint="default" w:ascii="Times New Roman" w:hAnsi="Times New Roman" w:cs="Times New Roman"/>
          <w:lang w:val="sq-AL" w:eastAsia="zh-CN"/>
        </w:rPr>
        <w:t>〉</w:t>
      </w:r>
      <w:r>
        <w:rPr>
          <w:rFonts w:hint="default" w:ascii="Times New Roman" w:hAnsi="Times New Roman" w:cs="Times New Roman"/>
          <w:lang w:val="sq-AL"/>
        </w:rPr>
        <w:t>》（原云南省安全生产监督管理局，自2013年3月19日起施行）；</w:t>
      </w:r>
    </w:p>
    <w:p w14:paraId="0C3192A5">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《云南省人民政府关于促进非煤矿山转型升级的实施意见》（云政发</w:t>
      </w:r>
      <w:r>
        <w:rPr>
          <w:rFonts w:hint="default" w:ascii="Times New Roman" w:hAnsi="Times New Roman" w:cs="Times New Roman"/>
          <w:lang w:val="sq-AL" w:eastAsia="zh-CN"/>
        </w:rPr>
        <w:t>〔</w:t>
      </w:r>
      <w:r>
        <w:rPr>
          <w:rFonts w:hint="default" w:ascii="Times New Roman" w:hAnsi="Times New Roman" w:cs="Times New Roman"/>
          <w:lang w:val="sq-AL"/>
        </w:rPr>
        <w:t>2015</w:t>
      </w:r>
      <w:r>
        <w:rPr>
          <w:rFonts w:hint="default" w:ascii="Times New Roman" w:hAnsi="Times New Roman" w:cs="Times New Roman"/>
          <w:lang w:val="sq-AL" w:eastAsia="zh-CN"/>
        </w:rPr>
        <w:t>〕</w:t>
      </w:r>
      <w:r>
        <w:rPr>
          <w:rFonts w:hint="default" w:ascii="Times New Roman" w:hAnsi="Times New Roman" w:cs="Times New Roman"/>
          <w:lang w:val="sq-AL"/>
        </w:rPr>
        <w:t>38号，自2015年5月29日起施行）；</w:t>
      </w:r>
    </w:p>
    <w:p w14:paraId="306892F4">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《云南省安全生产监督管理局</w:t>
      </w:r>
      <w:r>
        <w:rPr>
          <w:rFonts w:hint="default" w:ascii="Times New Roman" w:hAnsi="Times New Roman" w:cs="Times New Roman"/>
          <w:lang w:val="sq-AL" w:eastAsia="zh-CN"/>
        </w:rPr>
        <w:t>〈</w:t>
      </w:r>
      <w:r>
        <w:rPr>
          <w:rFonts w:hint="default" w:ascii="Times New Roman" w:hAnsi="Times New Roman" w:cs="Times New Roman"/>
          <w:lang w:val="sq-AL"/>
        </w:rPr>
        <w:t>关于进一步规范金属非金属矿山建设项目安全“三同时”工作的通知</w:t>
      </w:r>
      <w:r>
        <w:rPr>
          <w:rFonts w:hint="default" w:ascii="Times New Roman" w:hAnsi="Times New Roman" w:cs="Times New Roman"/>
          <w:lang w:val="sq-AL" w:eastAsia="zh-CN"/>
        </w:rPr>
        <w:t>〉</w:t>
      </w:r>
      <w:r>
        <w:rPr>
          <w:rFonts w:hint="default" w:ascii="Times New Roman" w:hAnsi="Times New Roman" w:cs="Times New Roman"/>
          <w:lang w:val="sq-AL"/>
        </w:rPr>
        <w:t>》（原云南省安全生产监督管理局，自2016年3月21日起施行）；</w:t>
      </w:r>
    </w:p>
    <w:p w14:paraId="3E263FAD">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《云南省安全生产条例》（云南省第十二届人民代表大会常务委员会第三十八次会议于2017年11月30日修订，云南省十二届人民代表大会常务委员会公告第63号，自2018年1月1日施行）；</w:t>
      </w:r>
    </w:p>
    <w:p w14:paraId="46B5470D">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《云南省安委会办公室</w:t>
      </w:r>
      <w:r>
        <w:rPr>
          <w:rFonts w:hint="default" w:ascii="Times New Roman" w:hAnsi="Times New Roman" w:cs="Times New Roman"/>
          <w:lang w:val="sq-AL" w:eastAsia="zh-CN"/>
        </w:rPr>
        <w:t>〈</w:t>
      </w:r>
      <w:r>
        <w:rPr>
          <w:rFonts w:hint="default" w:ascii="Times New Roman" w:hAnsi="Times New Roman" w:cs="Times New Roman"/>
          <w:lang w:val="sq-AL"/>
        </w:rPr>
        <w:t>关于进一步夯实安全基础坚决防范遏制非煤矿山重特大事故的通知</w:t>
      </w:r>
      <w:r>
        <w:rPr>
          <w:rFonts w:hint="default" w:ascii="Times New Roman" w:hAnsi="Times New Roman" w:cs="Times New Roman"/>
          <w:lang w:val="sq-AL" w:eastAsia="zh-CN"/>
        </w:rPr>
        <w:t>〉</w:t>
      </w:r>
      <w:r>
        <w:rPr>
          <w:rFonts w:hint="default" w:ascii="Times New Roman" w:hAnsi="Times New Roman" w:cs="Times New Roman"/>
          <w:lang w:val="sq-AL"/>
        </w:rPr>
        <w:t>》（云安办〔2019〕7号，自2019年3月1日起施行）；</w:t>
      </w:r>
    </w:p>
    <w:p w14:paraId="65AA6283">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《云南省应急管理厅云南银保监局关于规范推进安全生产责任保险工作的通知》（云应急〔2022〕48号，2022年4月26日）</w:t>
      </w:r>
    </w:p>
    <w:p w14:paraId="397A0C13">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《云南省安全生产委员会办公室关于切实做好当前矿山安全生产工作的紧急通知》（云安办函〔2023〕16号，2023年2月23日）</w:t>
      </w:r>
    </w:p>
    <w:p w14:paraId="015358AE">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rPr>
        <w:t>《云南省应急管理厅 国家矿山安全监察局云南局</w:t>
      </w:r>
      <w:r>
        <w:rPr>
          <w:rFonts w:hint="default" w:ascii="Times New Roman" w:hAnsi="Times New Roman" w:cs="Times New Roman"/>
          <w:lang w:val="sq-AL" w:eastAsia="zh-CN"/>
        </w:rPr>
        <w:t>〈</w:t>
      </w:r>
      <w:r>
        <w:rPr>
          <w:rFonts w:hint="default" w:ascii="Times New Roman" w:hAnsi="Times New Roman" w:cs="Times New Roman"/>
          <w:lang w:val="sq-AL"/>
        </w:rPr>
        <w:t>关于开展非煤露天矿山安全生产专项整治的通知</w:t>
      </w:r>
      <w:r>
        <w:rPr>
          <w:rFonts w:hint="default" w:ascii="Times New Roman" w:hAnsi="Times New Roman" w:cs="Times New Roman"/>
          <w:lang w:val="sq-AL" w:eastAsia="zh-CN"/>
        </w:rPr>
        <w:t>〉</w:t>
      </w:r>
      <w:r>
        <w:rPr>
          <w:rFonts w:hint="default" w:ascii="Times New Roman" w:hAnsi="Times New Roman" w:cs="Times New Roman"/>
          <w:lang w:val="sq-AL"/>
        </w:rPr>
        <w:t>》（云应急[2023]31号，2023年3月9日）</w:t>
      </w:r>
      <w:r>
        <w:rPr>
          <w:rFonts w:hint="default" w:ascii="Times New Roman" w:hAnsi="Times New Roman" w:cs="Times New Roman"/>
          <w:lang w:val="sq-AL" w:eastAsia="zh-CN"/>
        </w:rPr>
        <w:t>；</w:t>
      </w:r>
    </w:p>
    <w:p w14:paraId="5172048C">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lang w:val="sq-AL"/>
        </w:rPr>
      </w:pPr>
      <w:r>
        <w:rPr>
          <w:rFonts w:hint="default" w:ascii="Times New Roman" w:hAnsi="Times New Roman" w:cs="Times New Roman"/>
          <w:lang w:val="sq-AL" w:eastAsia="zh-CN"/>
        </w:rPr>
        <w:t>《云南省全面加强非煤矿山安全生产工作若干措施》（云政办发〔2024〕44号，2024年7月23日）；</w:t>
      </w:r>
    </w:p>
    <w:p w14:paraId="3E27538F">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color w:val="auto"/>
          <w:lang w:val="sq-AL"/>
        </w:rPr>
      </w:pPr>
      <w:r>
        <w:rPr>
          <w:rFonts w:hint="default" w:ascii="Times New Roman" w:hAnsi="Times New Roman" w:cs="Times New Roman"/>
          <w:color w:val="auto"/>
          <w:lang w:val="sq-AL" w:eastAsia="zh-CN"/>
        </w:rPr>
        <w:t>《云南省安全生产治本攻坚三年行动方案（2024—2026年）》（</w:t>
      </w:r>
      <w:r>
        <w:rPr>
          <w:rFonts w:hint="default" w:ascii="Times New Roman" w:hAnsi="Times New Roman" w:cs="Times New Roman"/>
          <w:color w:val="auto"/>
          <w:lang w:val="en-US" w:eastAsia="zh-CN"/>
        </w:rPr>
        <w:t>云南省安委会</w:t>
      </w:r>
      <w:r>
        <w:rPr>
          <w:rFonts w:hint="default" w:ascii="Times New Roman" w:hAnsi="Times New Roman" w:cs="Times New Roman"/>
          <w:color w:val="auto"/>
          <w:lang w:val="sq-AL" w:eastAsia="zh-CN"/>
        </w:rPr>
        <w:t>）；</w:t>
      </w:r>
    </w:p>
    <w:p w14:paraId="21EEC3A6">
      <w:pPr>
        <w:pStyle w:val="160"/>
        <w:pageBreakBefore w:val="0"/>
        <w:numPr>
          <w:ilvl w:val="0"/>
          <w:numId w:val="7"/>
        </w:numPr>
        <w:kinsoku/>
        <w:wordWrap/>
        <w:overflowPunct/>
        <w:topLinePunct w:val="0"/>
        <w:autoSpaceDE/>
        <w:autoSpaceDN/>
        <w:bidi w:val="0"/>
        <w:ind w:firstLine="560" w:firstLineChars="200"/>
        <w:textAlignment w:val="auto"/>
        <w:rPr>
          <w:rFonts w:hint="default" w:ascii="Times New Roman" w:hAnsi="Times New Roman" w:cs="Times New Roman"/>
          <w:color w:val="auto"/>
          <w:lang w:val="sq-AL"/>
        </w:rPr>
      </w:pPr>
      <w:r>
        <w:rPr>
          <w:rFonts w:hint="default" w:ascii="Times New Roman" w:hAnsi="Times New Roman" w:cs="Times New Roman"/>
          <w:color w:val="auto"/>
          <w:lang w:val="sq-AL" w:eastAsia="zh-CN"/>
        </w:rPr>
        <w:t>《云南省</w:t>
      </w:r>
      <w:r>
        <w:rPr>
          <w:rFonts w:hint="default" w:ascii="Times New Roman" w:hAnsi="Times New Roman" w:cs="Times New Roman"/>
          <w:color w:val="auto"/>
          <w:lang w:val="en-US" w:eastAsia="zh-CN"/>
        </w:rPr>
        <w:t>非煤矿山</w:t>
      </w:r>
      <w:r>
        <w:rPr>
          <w:rFonts w:hint="default" w:ascii="Times New Roman" w:hAnsi="Times New Roman" w:cs="Times New Roman"/>
          <w:color w:val="auto"/>
          <w:lang w:val="sq-AL" w:eastAsia="zh-CN"/>
        </w:rPr>
        <w:t>安全生产治本攻坚三年行动方案（2024—2026年）》（</w:t>
      </w:r>
      <w:r>
        <w:rPr>
          <w:rFonts w:hint="default" w:ascii="Times New Roman" w:hAnsi="Times New Roman" w:cs="Times New Roman"/>
          <w:color w:val="auto"/>
          <w:lang w:val="en-US" w:eastAsia="zh-CN"/>
        </w:rPr>
        <w:t>国家矿山安全监察局云南局，2024年3月1日</w:t>
      </w:r>
      <w:r>
        <w:rPr>
          <w:rFonts w:hint="default" w:ascii="Times New Roman" w:hAnsi="Times New Roman" w:cs="Times New Roman"/>
          <w:color w:val="auto"/>
          <w:lang w:val="sq-AL" w:eastAsia="zh-CN"/>
        </w:rPr>
        <w:t>）。</w:t>
      </w:r>
    </w:p>
    <w:bookmarkEnd w:id="105"/>
    <w:p w14:paraId="41FD4271">
      <w:pPr>
        <w:pStyle w:val="4"/>
        <w:pageBreakBefore w:val="0"/>
        <w:kinsoku/>
        <w:wordWrap/>
        <w:overflowPunct/>
        <w:topLinePunct w:val="0"/>
        <w:autoSpaceDE/>
        <w:autoSpaceDN/>
        <w:bidi w:val="0"/>
        <w:ind w:firstLine="562"/>
        <w:textAlignment w:val="auto"/>
        <w:rPr>
          <w:rFonts w:hint="default" w:ascii="Times New Roman" w:hAnsi="Times New Roman" w:eastAsia="宋体" w:cs="Times New Roman"/>
          <w:b/>
          <w:bCs w:val="0"/>
        </w:rPr>
      </w:pPr>
      <w:bookmarkStart w:id="106" w:name="_Toc442"/>
      <w:bookmarkStart w:id="107" w:name="_Toc2881"/>
      <w:bookmarkStart w:id="108" w:name="_Toc59420494"/>
      <w:bookmarkStart w:id="109" w:name="_Toc28462"/>
      <w:r>
        <w:rPr>
          <w:rFonts w:hint="default" w:ascii="Times New Roman" w:hAnsi="Times New Roman" w:eastAsia="宋体" w:cs="Times New Roman"/>
          <w:b/>
          <w:bCs w:val="0"/>
        </w:rPr>
        <w:t>1.2.2标准和规范</w:t>
      </w:r>
      <w:bookmarkEnd w:id="86"/>
      <w:bookmarkEnd w:id="87"/>
      <w:bookmarkEnd w:id="88"/>
      <w:bookmarkEnd w:id="89"/>
      <w:bookmarkEnd w:id="90"/>
      <w:bookmarkEnd w:id="91"/>
      <w:bookmarkEnd w:id="92"/>
      <w:bookmarkEnd w:id="93"/>
      <w:bookmarkEnd w:id="94"/>
      <w:bookmarkEnd w:id="106"/>
      <w:bookmarkEnd w:id="107"/>
      <w:bookmarkEnd w:id="108"/>
      <w:bookmarkEnd w:id="109"/>
    </w:p>
    <w:p w14:paraId="10B86162">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bookmarkStart w:id="110" w:name="_Toc332786039"/>
      <w:bookmarkStart w:id="111" w:name="_Toc384121538"/>
      <w:bookmarkStart w:id="112" w:name="_Toc332357210"/>
      <w:r>
        <w:rPr>
          <w:rFonts w:hint="default" w:ascii="Times New Roman" w:hAnsi="Times New Roman" w:cs="Times New Roman"/>
        </w:rPr>
        <w:t>《企业职工伤亡事故分类》（GB6441-1986</w:t>
      </w:r>
      <w:r>
        <w:rPr>
          <w:rFonts w:hint="default" w:ascii="Times New Roman" w:hAnsi="Times New Roman" w:cs="Times New Roman"/>
          <w:lang w:val="sq-AL"/>
        </w:rPr>
        <w:t>，</w:t>
      </w:r>
      <w:r>
        <w:rPr>
          <w:rFonts w:hint="default" w:ascii="Times New Roman" w:hAnsi="Times New Roman" w:cs="Times New Roman"/>
        </w:rPr>
        <w:t>1987</w:t>
      </w:r>
      <w:r>
        <w:rPr>
          <w:rFonts w:hint="default" w:ascii="Times New Roman" w:hAnsi="Times New Roman" w:cs="Times New Roman"/>
          <w:lang w:val="sq-AL"/>
        </w:rPr>
        <w:t>年</w:t>
      </w:r>
      <w:r>
        <w:rPr>
          <w:rFonts w:hint="default" w:ascii="Times New Roman" w:hAnsi="Times New Roman" w:cs="Times New Roman"/>
        </w:rPr>
        <w:t>2</w:t>
      </w:r>
      <w:r>
        <w:rPr>
          <w:rFonts w:hint="default" w:ascii="Times New Roman" w:hAnsi="Times New Roman" w:cs="Times New Roman"/>
          <w:lang w:val="sq-AL"/>
        </w:rPr>
        <w:t>月1日实施</w:t>
      </w:r>
      <w:r>
        <w:rPr>
          <w:rFonts w:hint="default" w:ascii="Times New Roman" w:hAnsi="Times New Roman" w:cs="Times New Roman"/>
        </w:rPr>
        <w:t>）；</w:t>
      </w:r>
    </w:p>
    <w:p w14:paraId="0A83FD40">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《厂矿道路设计规范》（GBJ22-1987，1988年8月1日实施）；</w:t>
      </w:r>
    </w:p>
    <w:p w14:paraId="586FC32E">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《生产设备安全卫生设计总则》（GB5083-</w:t>
      </w:r>
      <w:r>
        <w:rPr>
          <w:rFonts w:hint="default" w:ascii="Times New Roman" w:hAnsi="Times New Roman" w:cs="Times New Roman"/>
          <w:lang w:val="en-US" w:eastAsia="zh-CN"/>
        </w:rPr>
        <w:t>2023</w:t>
      </w:r>
      <w:r>
        <w:rPr>
          <w:rFonts w:hint="default" w:ascii="Times New Roman" w:hAnsi="Times New Roman" w:cs="Times New Roman"/>
        </w:rPr>
        <w:t>，</w:t>
      </w:r>
      <w:r>
        <w:rPr>
          <w:rFonts w:hint="default" w:ascii="Times New Roman" w:hAnsi="Times New Roman" w:cs="Times New Roman"/>
          <w:lang w:val="en-US" w:eastAsia="zh-CN"/>
        </w:rPr>
        <w:t>2025</w:t>
      </w:r>
      <w:r>
        <w:rPr>
          <w:rFonts w:hint="default" w:ascii="Times New Roman" w:hAnsi="Times New Roman" w:cs="Times New Roman"/>
        </w:rPr>
        <w:t>年</w:t>
      </w:r>
      <w:r>
        <w:rPr>
          <w:rFonts w:hint="default" w:ascii="Times New Roman" w:hAnsi="Times New Roman" w:cs="Times New Roman"/>
          <w:lang w:val="en-US" w:eastAsia="zh-CN"/>
        </w:rPr>
        <w:t>1</w:t>
      </w:r>
      <w:r>
        <w:rPr>
          <w:rFonts w:hint="default" w:ascii="Times New Roman" w:hAnsi="Times New Roman" w:cs="Times New Roman"/>
        </w:rPr>
        <w:t>月1日实施）；</w:t>
      </w:r>
    </w:p>
    <w:p w14:paraId="4BD0CA13">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《建筑灭火器配置设计规范》（GB50140-2005，2005年10月1日实施）；</w:t>
      </w:r>
    </w:p>
    <w:p w14:paraId="13F17811">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《高处作业分级》（GB/T3608-2008，2009年6月1日实施）；</w:t>
      </w:r>
    </w:p>
    <w:p w14:paraId="57021F53">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《安全标志及其使用导则》（GB2894-2008，2009年10月1日实施）；</w:t>
      </w:r>
    </w:p>
    <w:p w14:paraId="13257C8A">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《生产过程安全卫生要求总则》（GB/T12801-20</w:t>
      </w:r>
      <w:r>
        <w:rPr>
          <w:rFonts w:hint="default" w:ascii="Times New Roman" w:hAnsi="Times New Roman" w:cs="Times New Roman"/>
          <w:lang w:val="en-US" w:eastAsia="zh-CN"/>
        </w:rPr>
        <w:t>08</w:t>
      </w:r>
      <w:r>
        <w:rPr>
          <w:rFonts w:hint="default" w:ascii="Times New Roman" w:hAnsi="Times New Roman" w:cs="Times New Roman"/>
        </w:rPr>
        <w:t>，20</w:t>
      </w:r>
      <w:r>
        <w:rPr>
          <w:rFonts w:hint="default" w:ascii="Times New Roman" w:hAnsi="Times New Roman" w:cs="Times New Roman"/>
          <w:lang w:val="en-US" w:eastAsia="zh-CN"/>
        </w:rPr>
        <w:t>09</w:t>
      </w:r>
      <w:r>
        <w:rPr>
          <w:rFonts w:hint="default" w:ascii="Times New Roman" w:hAnsi="Times New Roman" w:cs="Times New Roman"/>
        </w:rPr>
        <w:t>年</w:t>
      </w:r>
      <w:r>
        <w:rPr>
          <w:rFonts w:hint="default" w:ascii="Times New Roman" w:hAnsi="Times New Roman" w:cs="Times New Roman"/>
          <w:lang w:val="en-US" w:eastAsia="zh-CN"/>
        </w:rPr>
        <w:t>10</w:t>
      </w:r>
      <w:r>
        <w:rPr>
          <w:rFonts w:hint="default" w:ascii="Times New Roman" w:hAnsi="Times New Roman" w:cs="Times New Roman"/>
        </w:rPr>
        <w:t>月1日实施）；</w:t>
      </w:r>
    </w:p>
    <w:p w14:paraId="46528128">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《工业企业厂内铁路、道路运输安全规程》（GB4387-2008，2009年10月1日实施）；</w:t>
      </w:r>
    </w:p>
    <w:p w14:paraId="6BC9CC36">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《电气设备安全设计导则》（GB/T25295-2010，2011年5月1日实施）；</w:t>
      </w:r>
    </w:p>
    <w:p w14:paraId="684E9D1D">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《建筑抗震设计标准（2024年版）》（GB/T 50011-2010）；</w:t>
      </w:r>
    </w:p>
    <w:p w14:paraId="7FA91567">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《建筑物防雷设计规范》（GB50057-2010，2011年10月1日实施）；</w:t>
      </w:r>
    </w:p>
    <w:p w14:paraId="43266110">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《工业企业总平面设计规范》（GB50187-2012，2012年8月1日实施）；</w:t>
      </w:r>
    </w:p>
    <w:p w14:paraId="312D8A4A">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《建筑工程施工验收统一标准》（</w:t>
      </w:r>
      <w:r>
        <w:rPr>
          <w:rFonts w:hint="default" w:ascii="Times New Roman" w:hAnsi="Times New Roman" w:eastAsia="Times New Roman" w:cs="Times New Roman"/>
        </w:rPr>
        <w:t>GB50300-2013</w:t>
      </w:r>
      <w:r>
        <w:rPr>
          <w:rFonts w:hint="default" w:ascii="Times New Roman" w:hAnsi="Times New Roman" w:cs="Times New Roman"/>
        </w:rPr>
        <w:t>，2014年6月1日实施）；</w:t>
      </w:r>
    </w:p>
    <w:p w14:paraId="41EE607E">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《非煤露天矿边坡工程技术规范》（GB51016-2014</w:t>
      </w:r>
      <w:r>
        <w:rPr>
          <w:rFonts w:hint="default" w:ascii="Times New Roman" w:hAnsi="Times New Roman" w:cs="Times New Roman"/>
          <w:lang w:val="sq-AL"/>
        </w:rPr>
        <w:t>，2014年7月13日发布</w:t>
      </w:r>
      <w:r>
        <w:rPr>
          <w:rFonts w:hint="default" w:ascii="Times New Roman" w:hAnsi="Times New Roman" w:cs="Times New Roman"/>
        </w:rPr>
        <w:t>）；</w:t>
      </w:r>
    </w:p>
    <w:p w14:paraId="3EC7F125">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《爆破安全规程》（GB6722-2014，GB6722-2014/XG1-2016，2016年1月3日实施）；</w:t>
      </w:r>
    </w:p>
    <w:p w14:paraId="16AEB80E">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《建筑设计防火规范（2018年版）》（GB50016-2014，2018年10月1日实施）；</w:t>
      </w:r>
    </w:p>
    <w:p w14:paraId="72D53190">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《中国地震动参数区划图》（GB18306-2015，2016年6月1日实施）；</w:t>
      </w:r>
    </w:p>
    <w:p w14:paraId="1FFB641F">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《危险化学品重大危险源辨识》（GB18218-2018，2018年3月1日实施）；</w:t>
      </w:r>
    </w:p>
    <w:p w14:paraId="7C715867">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《机械安全 防护装置 固定式和活动式防护装置的设计与制造一般要求》（GB/T 8196-2018，2019年7月1日实施）；</w:t>
      </w:r>
    </w:p>
    <w:p w14:paraId="754DD13F">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《头部防护 安全帽》（GB2811-2019，2020年7月1日实施）；</w:t>
      </w:r>
    </w:p>
    <w:p w14:paraId="3B049753">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《矿山电力设计标准》（GB 50070-2020，2020年10月1日实施）；</w:t>
      </w:r>
    </w:p>
    <w:p w14:paraId="5516C46F">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《图形符号 安全色和安全标志 第5部分：安全标志使用原则与要求》（GB/T2893.5-2020，2020年10月1日实施）</w:t>
      </w:r>
    </w:p>
    <w:p w14:paraId="3C544EE0">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《生产经营单位生产安全事故应急预案编制导则》（GB/T 29639-2020，2021年4月1日实施）；</w:t>
      </w:r>
    </w:p>
    <w:p w14:paraId="6DE26C8D">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《金属非金属矿山安全规程》（GB16423-2020，2021年9月1日实施）；</w:t>
      </w:r>
    </w:p>
    <w:p w14:paraId="6505EA76">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CN"/>
        </w:rPr>
        <w:t>机械安全 防止人体部位挤压的最小间距</w:t>
      </w:r>
      <w:r>
        <w:rPr>
          <w:rFonts w:hint="default" w:ascii="Times New Roman" w:hAnsi="Times New Roman" w:cs="Times New Roman"/>
        </w:rPr>
        <w:t>》（GB/T 12265-2021，2021年12月1日实施）；</w:t>
      </w:r>
    </w:p>
    <w:p w14:paraId="4B0A201B">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《生产过程危险和有害因素分类与代码》（GB/T13861-2022，2021年12月1日实施）；</w:t>
      </w:r>
    </w:p>
    <w:p w14:paraId="7931B4D9">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《个体防护装备配备规范 第4部分：非煤矿山》（GB 39800.4-2020，2022年1月1日实施）；</w:t>
      </w:r>
    </w:p>
    <w:p w14:paraId="675871AA">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《机械安全防止上下肢触及危险区的安全距离》（GB/T23821-2022，2022年11月8日实施）；</w:t>
      </w:r>
    </w:p>
    <w:p w14:paraId="6A0FDE8E">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《安全评价通则》（AQ8001-2007，2007年4月1日实施）；</w:t>
      </w:r>
    </w:p>
    <w:p w14:paraId="54EA269C">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《安全验收评价导则》（AQ8003-2007，2007年4月1日实施）；</w:t>
      </w:r>
    </w:p>
    <w:p w14:paraId="17A00D8C">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《生产经营单位生产安全事故应急预案评估指南》（AQ/T 9011-2019，2020年2月1日实施）；</w:t>
      </w:r>
    </w:p>
    <w:p w14:paraId="3D9E9B2A">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《生产安全事故应急演练基本规范》（AQ/T 9007-2019，2020年2月1日实施）</w:t>
      </w:r>
      <w:r>
        <w:rPr>
          <w:rFonts w:hint="default" w:ascii="Times New Roman" w:hAnsi="Times New Roman" w:cs="Times New Roman"/>
          <w:lang w:eastAsia="zh-CN"/>
        </w:rPr>
        <w:t>；</w:t>
      </w:r>
    </w:p>
    <w:p w14:paraId="72A1910C">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《矿山隐蔽致灾因素普查规范 第1部分：总则》（KA/T 22.1-2024，2024年11月1日实施）；</w:t>
      </w:r>
    </w:p>
    <w:p w14:paraId="638C8184">
      <w:pPr>
        <w:pageBreakBefore w:val="0"/>
        <w:numPr>
          <w:ilvl w:val="0"/>
          <w:numId w:val="8"/>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《矿山隐蔽致灾因素普查规范 第3部分：金属非金属矿山及尾矿库》（KA/T 22.3-2024，2024年11月1日实施）。</w:t>
      </w:r>
    </w:p>
    <w:p w14:paraId="67EF3F64">
      <w:pPr>
        <w:pStyle w:val="4"/>
        <w:pageBreakBefore w:val="0"/>
        <w:kinsoku/>
        <w:wordWrap/>
        <w:overflowPunct/>
        <w:topLinePunct w:val="0"/>
        <w:autoSpaceDE/>
        <w:autoSpaceDN/>
        <w:bidi w:val="0"/>
        <w:ind w:firstLine="562"/>
        <w:textAlignment w:val="auto"/>
        <w:rPr>
          <w:rFonts w:hint="default" w:ascii="Times New Roman" w:hAnsi="Times New Roman" w:eastAsia="宋体" w:cs="Times New Roman"/>
          <w:b/>
          <w:bCs w:val="0"/>
        </w:rPr>
      </w:pPr>
      <w:bookmarkStart w:id="113" w:name="_Toc15845"/>
      <w:bookmarkStart w:id="114" w:name="_Toc454614238"/>
      <w:bookmarkStart w:id="115" w:name="_Toc17038"/>
      <w:bookmarkStart w:id="116" w:name="_Toc59420495"/>
      <w:bookmarkStart w:id="117" w:name="_Toc30096"/>
      <w:bookmarkStart w:id="118" w:name="_Toc22474"/>
      <w:bookmarkStart w:id="119" w:name="_Toc31720"/>
      <w:bookmarkStart w:id="120" w:name="_Toc19583"/>
      <w:r>
        <w:rPr>
          <w:rFonts w:hint="default" w:ascii="Times New Roman" w:hAnsi="Times New Roman" w:eastAsia="宋体" w:cs="Times New Roman"/>
          <w:b/>
          <w:bCs w:val="0"/>
        </w:rPr>
        <w:t>1.2.3建设项目合法证明文件</w:t>
      </w:r>
      <w:bookmarkEnd w:id="110"/>
      <w:bookmarkEnd w:id="111"/>
      <w:bookmarkEnd w:id="112"/>
      <w:bookmarkEnd w:id="113"/>
      <w:bookmarkEnd w:id="114"/>
      <w:bookmarkEnd w:id="115"/>
      <w:bookmarkEnd w:id="116"/>
      <w:bookmarkEnd w:id="117"/>
      <w:bookmarkEnd w:id="118"/>
      <w:bookmarkEnd w:id="119"/>
      <w:bookmarkEnd w:id="120"/>
    </w:p>
    <w:p w14:paraId="5ECFB604">
      <w:pPr>
        <w:pageBreakBefore w:val="0"/>
        <w:numPr>
          <w:ilvl w:val="0"/>
          <w:numId w:val="9"/>
        </w:numPr>
        <w:kinsoku/>
        <w:wordWrap/>
        <w:overflowPunct/>
        <w:topLinePunct w:val="0"/>
        <w:autoSpaceDE/>
        <w:autoSpaceDN/>
        <w:bidi w:val="0"/>
        <w:ind w:firstLine="560"/>
        <w:textAlignment w:val="auto"/>
        <w:rPr>
          <w:rFonts w:hint="default" w:ascii="Times New Roman" w:hAnsi="Times New Roman" w:cs="Times New Roman"/>
        </w:rPr>
      </w:pPr>
      <w:bookmarkStart w:id="121" w:name="_Toc332357211"/>
      <w:bookmarkStart w:id="122" w:name="_Toc332786040"/>
      <w:r>
        <w:rPr>
          <w:rFonts w:hint="default" w:ascii="Times New Roman" w:hAnsi="Times New Roman" w:cs="Times New Roman"/>
        </w:rPr>
        <w:t>营业执照；</w:t>
      </w:r>
    </w:p>
    <w:p w14:paraId="6F931E62">
      <w:pPr>
        <w:pageBreakBefore w:val="0"/>
        <w:numPr>
          <w:ilvl w:val="0"/>
          <w:numId w:val="9"/>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采矿许可证；</w:t>
      </w:r>
    </w:p>
    <w:p w14:paraId="0FEA3541">
      <w:pPr>
        <w:pageBreakBefore w:val="0"/>
        <w:numPr>
          <w:ilvl w:val="0"/>
          <w:numId w:val="9"/>
        </w:numPr>
        <w:kinsoku/>
        <w:wordWrap/>
        <w:overflowPunct/>
        <w:topLinePunct w:val="0"/>
        <w:autoSpaceDE/>
        <w:autoSpaceDN/>
        <w:bidi w:val="0"/>
        <w:ind w:firstLine="560"/>
        <w:textAlignment w:val="auto"/>
        <w:rPr>
          <w:rFonts w:hint="default" w:ascii="Times New Roman" w:hAnsi="Times New Roman" w:cs="Times New Roman"/>
        </w:rPr>
      </w:pPr>
      <w:bookmarkStart w:id="123" w:name="_Hlk58575576"/>
      <w:r>
        <w:rPr>
          <w:rFonts w:hint="default" w:ascii="Times New Roman" w:hAnsi="Times New Roman" w:cs="Times New Roman"/>
        </w:rPr>
        <w:t>《</w:t>
      </w:r>
      <w:r>
        <w:rPr>
          <w:rFonts w:hint="default" w:ascii="Times New Roman" w:hAnsi="Times New Roman" w:cs="Times New Roman"/>
          <w:lang w:eastAsia="zh-CN"/>
        </w:rPr>
        <w:t>姚安县太平镇王家咀石料场30万t/a露天采矿工程</w:t>
      </w:r>
      <w:r>
        <w:rPr>
          <w:rFonts w:hint="default" w:ascii="Times New Roman" w:hAnsi="Times New Roman" w:cs="Times New Roman"/>
        </w:rPr>
        <w:t>安全设施设计》</w:t>
      </w:r>
      <w:bookmarkEnd w:id="123"/>
      <w:r>
        <w:rPr>
          <w:rFonts w:hint="default" w:ascii="Times New Roman" w:hAnsi="Times New Roman" w:cs="Times New Roman"/>
        </w:rPr>
        <w:t>专家组审查意见；</w:t>
      </w:r>
    </w:p>
    <w:p w14:paraId="46EF5DAA">
      <w:pPr>
        <w:pageBreakBefore w:val="0"/>
        <w:numPr>
          <w:ilvl w:val="0"/>
          <w:numId w:val="9"/>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szCs w:val="28"/>
        </w:rPr>
        <w:t>《</w:t>
      </w:r>
      <w:r>
        <w:rPr>
          <w:rFonts w:hint="default" w:ascii="Times New Roman" w:hAnsi="Times New Roman" w:cs="Times New Roman"/>
          <w:szCs w:val="28"/>
          <w:lang w:eastAsia="zh-CN"/>
        </w:rPr>
        <w:t>姚安县太平镇王家咀石料场</w:t>
      </w:r>
      <w:r>
        <w:rPr>
          <w:rFonts w:hint="default" w:ascii="Times New Roman" w:hAnsi="Times New Roman" w:cs="Times New Roman"/>
          <w:lang w:eastAsia="zh-CN"/>
        </w:rPr>
        <w:t>30万t/a露天采矿工程</w:t>
      </w:r>
      <w:r>
        <w:rPr>
          <w:rFonts w:hint="default" w:ascii="Times New Roman" w:hAnsi="Times New Roman" w:cs="Times New Roman"/>
          <w:szCs w:val="28"/>
        </w:rPr>
        <w:t>安全设施设计》</w:t>
      </w:r>
      <w:r>
        <w:rPr>
          <w:rFonts w:hint="default" w:ascii="Times New Roman" w:hAnsi="Times New Roman" w:cs="Times New Roman"/>
          <w:szCs w:val="28"/>
          <w:lang w:val="en-US" w:eastAsia="zh-CN"/>
        </w:rPr>
        <w:t>审批书</w:t>
      </w:r>
      <w:r>
        <w:rPr>
          <w:rFonts w:hint="default" w:ascii="Times New Roman" w:hAnsi="Times New Roman" w:cs="Times New Roman"/>
          <w:szCs w:val="28"/>
          <w:lang w:eastAsia="zh-CN"/>
        </w:rPr>
        <w:t>。</w:t>
      </w:r>
    </w:p>
    <w:p w14:paraId="3B85FBE7">
      <w:pPr>
        <w:pStyle w:val="4"/>
        <w:pageBreakBefore w:val="0"/>
        <w:kinsoku/>
        <w:wordWrap/>
        <w:overflowPunct/>
        <w:topLinePunct w:val="0"/>
        <w:autoSpaceDE/>
        <w:autoSpaceDN/>
        <w:bidi w:val="0"/>
        <w:ind w:firstLine="562"/>
        <w:textAlignment w:val="auto"/>
        <w:rPr>
          <w:rFonts w:hint="default" w:ascii="Times New Roman" w:hAnsi="Times New Roman" w:eastAsia="宋体" w:cs="Times New Roman"/>
          <w:b/>
          <w:bCs w:val="0"/>
        </w:rPr>
      </w:pPr>
      <w:bookmarkStart w:id="124" w:name="_Toc20512"/>
      <w:bookmarkStart w:id="125" w:name="_Toc1310"/>
      <w:bookmarkStart w:id="126" w:name="_Toc454614239"/>
      <w:bookmarkStart w:id="127" w:name="_Toc59420496"/>
      <w:bookmarkStart w:id="128" w:name="_Toc384121539"/>
      <w:bookmarkStart w:id="129" w:name="_Toc26319"/>
      <w:bookmarkStart w:id="130" w:name="_Toc9165"/>
      <w:bookmarkStart w:id="131" w:name="_Toc7205"/>
      <w:r>
        <w:rPr>
          <w:rFonts w:hint="default" w:ascii="Times New Roman" w:hAnsi="Times New Roman" w:eastAsia="宋体" w:cs="Times New Roman"/>
          <w:b/>
          <w:bCs w:val="0"/>
        </w:rPr>
        <w:t>1.2.4建设项目技术资料</w:t>
      </w:r>
      <w:bookmarkEnd w:id="121"/>
      <w:bookmarkEnd w:id="122"/>
      <w:bookmarkEnd w:id="124"/>
      <w:bookmarkEnd w:id="125"/>
      <w:bookmarkEnd w:id="126"/>
      <w:bookmarkEnd w:id="127"/>
      <w:bookmarkEnd w:id="128"/>
      <w:bookmarkEnd w:id="129"/>
      <w:bookmarkEnd w:id="130"/>
      <w:bookmarkEnd w:id="131"/>
    </w:p>
    <w:p w14:paraId="45127289">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zh-CN"/>
        </w:rPr>
        <w:t>云南省姚安县太平镇王家咀石场</w:t>
      </w:r>
      <w:r>
        <w:rPr>
          <w:rFonts w:hint="default" w:ascii="Times New Roman" w:hAnsi="Times New Roman" w:cs="Times New Roman"/>
          <w:color w:val="auto"/>
          <w:sz w:val="28"/>
          <w:szCs w:val="28"/>
        </w:rPr>
        <w:t>普通建筑材料用砂岩</w:t>
      </w:r>
      <w:r>
        <w:rPr>
          <w:rFonts w:hint="default" w:ascii="Times New Roman" w:hAnsi="Times New Roman" w:cs="Times New Roman"/>
          <w:color w:val="auto"/>
          <w:sz w:val="28"/>
          <w:szCs w:val="28"/>
          <w:lang w:val="zh-CN"/>
        </w:rPr>
        <w:t>矿</w:t>
      </w:r>
      <w:r>
        <w:rPr>
          <w:rFonts w:hint="default" w:ascii="Times New Roman" w:hAnsi="Times New Roman" w:cs="Times New Roman"/>
          <w:color w:val="auto"/>
          <w:sz w:val="28"/>
          <w:szCs w:val="28"/>
        </w:rPr>
        <w:t>勘查地质</w:t>
      </w:r>
      <w:r>
        <w:rPr>
          <w:rFonts w:hint="default" w:ascii="Times New Roman" w:hAnsi="Times New Roman" w:cs="Times New Roman"/>
          <w:color w:val="auto"/>
          <w:sz w:val="28"/>
          <w:szCs w:val="28"/>
          <w:lang w:val="zh-CN"/>
        </w:rPr>
        <w:t>报告</w:t>
      </w:r>
      <w:r>
        <w:rPr>
          <w:rFonts w:hint="default" w:ascii="Times New Roman" w:hAnsi="Times New Roman" w:cs="Times New Roman"/>
          <w:color w:val="auto"/>
          <w:sz w:val="28"/>
          <w:szCs w:val="28"/>
        </w:rPr>
        <w:t>》评审意见书（云楚金储评字〔2021〕04号）</w:t>
      </w:r>
      <w:r>
        <w:rPr>
          <w:rFonts w:hint="default" w:ascii="Times New Roman" w:hAnsi="Times New Roman" w:cs="Times New Roman"/>
          <w:lang w:val="sq-AL"/>
        </w:rPr>
        <w:t>；</w:t>
      </w:r>
    </w:p>
    <w:p w14:paraId="76D43F17">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color w:val="auto"/>
          <w:sz w:val="28"/>
          <w:szCs w:val="28"/>
          <w:lang w:val="zh-CN"/>
        </w:rPr>
        <w:t>《云南省姚安县太平镇王家咀石场</w:t>
      </w:r>
      <w:r>
        <w:rPr>
          <w:rFonts w:hint="default" w:ascii="Times New Roman" w:hAnsi="Times New Roman" w:cs="Times New Roman"/>
          <w:color w:val="auto"/>
          <w:sz w:val="28"/>
          <w:szCs w:val="28"/>
        </w:rPr>
        <w:t>普通建筑材料用砂岩</w:t>
      </w:r>
      <w:r>
        <w:rPr>
          <w:rFonts w:hint="default" w:ascii="Times New Roman" w:hAnsi="Times New Roman" w:cs="Times New Roman"/>
          <w:color w:val="auto"/>
          <w:sz w:val="28"/>
          <w:szCs w:val="28"/>
          <w:lang w:val="zh-CN"/>
        </w:rPr>
        <w:t>矿</w:t>
      </w:r>
      <w:r>
        <w:rPr>
          <w:rFonts w:hint="default" w:ascii="Times New Roman" w:hAnsi="Times New Roman" w:cs="Times New Roman"/>
          <w:color w:val="auto"/>
          <w:sz w:val="28"/>
          <w:szCs w:val="28"/>
        </w:rPr>
        <w:t>勘查地质</w:t>
      </w:r>
      <w:r>
        <w:rPr>
          <w:rFonts w:hint="default" w:ascii="Times New Roman" w:hAnsi="Times New Roman" w:cs="Times New Roman"/>
          <w:color w:val="auto"/>
          <w:sz w:val="28"/>
          <w:szCs w:val="28"/>
          <w:lang w:val="zh-CN"/>
        </w:rPr>
        <w:t>报告》（</w:t>
      </w:r>
      <w:r>
        <w:rPr>
          <w:rFonts w:hint="default" w:ascii="Times New Roman" w:hAnsi="Times New Roman" w:cs="Times New Roman"/>
          <w:color w:val="auto"/>
          <w:sz w:val="28"/>
          <w:szCs w:val="28"/>
        </w:rPr>
        <w:t>云南省有色地质局楚雄勘察院</w:t>
      </w:r>
      <w:r>
        <w:rPr>
          <w:rFonts w:hint="default" w:ascii="Times New Roman" w:hAnsi="Times New Roman" w:cs="Times New Roman"/>
          <w:color w:val="auto"/>
          <w:sz w:val="28"/>
          <w:szCs w:val="28"/>
          <w:lang w:val="zh-CN"/>
        </w:rPr>
        <w:t>，20</w:t>
      </w:r>
      <w:r>
        <w:rPr>
          <w:rFonts w:hint="default" w:ascii="Times New Roman" w:hAnsi="Times New Roman" w:cs="Times New Roman"/>
          <w:color w:val="auto"/>
          <w:sz w:val="28"/>
          <w:szCs w:val="28"/>
        </w:rPr>
        <w:t>21</w:t>
      </w:r>
      <w:r>
        <w:rPr>
          <w:rFonts w:hint="default" w:ascii="Times New Roman" w:hAnsi="Times New Roman" w:cs="Times New Roman"/>
          <w:color w:val="auto"/>
          <w:sz w:val="28"/>
          <w:szCs w:val="28"/>
          <w:lang w:val="zh-CN"/>
        </w:rPr>
        <w:t>年</w:t>
      </w:r>
      <w:r>
        <w:rPr>
          <w:rFonts w:hint="default" w:ascii="Times New Roman" w:hAnsi="Times New Roman" w:cs="Times New Roman"/>
          <w:color w:val="auto"/>
          <w:sz w:val="28"/>
          <w:szCs w:val="28"/>
        </w:rPr>
        <w:t>12</w:t>
      </w:r>
      <w:r>
        <w:rPr>
          <w:rFonts w:hint="default" w:ascii="Times New Roman" w:hAnsi="Times New Roman" w:cs="Times New Roman"/>
          <w:color w:val="auto"/>
          <w:sz w:val="28"/>
          <w:szCs w:val="28"/>
          <w:lang w:val="zh-CN"/>
        </w:rPr>
        <w:t>月）</w:t>
      </w:r>
      <w:r>
        <w:rPr>
          <w:rFonts w:hint="default" w:ascii="Times New Roman" w:hAnsi="Times New Roman" w:cs="Times New Roman"/>
          <w:szCs w:val="28"/>
          <w:lang w:eastAsia="zh-CN"/>
        </w:rPr>
        <w:t>；</w:t>
      </w:r>
    </w:p>
    <w:p w14:paraId="345C7F70">
      <w:pPr>
        <w:pageBreakBefore w:val="0"/>
        <w:numPr>
          <w:ilvl w:val="0"/>
          <w:numId w:val="10"/>
        </w:numPr>
        <w:kinsoku/>
        <w:wordWrap/>
        <w:overflowPunct/>
        <w:topLinePunct w:val="0"/>
        <w:autoSpaceDE/>
        <w:autoSpaceDN/>
        <w:bidi w:val="0"/>
        <w:ind w:firstLineChars="0"/>
        <w:textAlignment w:val="auto"/>
        <w:rPr>
          <w:rFonts w:hint="default" w:ascii="Times New Roman" w:hAnsi="Times New Roman" w:cs="Times New Roman"/>
          <w:lang w:val="sq-AL"/>
        </w:rPr>
      </w:pPr>
      <w:r>
        <w:rPr>
          <w:rFonts w:hint="default" w:ascii="Times New Roman" w:hAnsi="Times New Roman" w:cs="Times New Roman"/>
          <w:color w:val="auto"/>
          <w:sz w:val="28"/>
          <w:szCs w:val="28"/>
        </w:rPr>
        <w:t>《姚安县城镇投资开发有限公司姚安县太平镇王家咀石料场30万t/a露天采矿工程初步设计（代可研）》（河南省冶金规划设计研究院有限责任公司，2023年12月）</w:t>
      </w:r>
      <w:r>
        <w:rPr>
          <w:rFonts w:hint="default" w:ascii="Times New Roman" w:hAnsi="Times New Roman" w:cs="Times New Roman"/>
          <w:lang w:val="sq-AL"/>
        </w:rPr>
        <w:t>；</w:t>
      </w:r>
    </w:p>
    <w:p w14:paraId="2E6FCD63">
      <w:pPr>
        <w:pageBreakBefore w:val="0"/>
        <w:numPr>
          <w:ilvl w:val="0"/>
          <w:numId w:val="10"/>
        </w:numPr>
        <w:kinsoku/>
        <w:wordWrap/>
        <w:overflowPunct/>
        <w:topLinePunct w:val="0"/>
        <w:autoSpaceDE/>
        <w:autoSpaceDN/>
        <w:bidi w:val="0"/>
        <w:ind w:firstLineChars="0"/>
        <w:textAlignment w:val="auto"/>
        <w:rPr>
          <w:rFonts w:hint="default" w:ascii="Times New Roman" w:hAnsi="Times New Roman" w:cs="Times New Roman"/>
          <w:lang w:val="sq-AL"/>
        </w:rPr>
      </w:pPr>
      <w:r>
        <w:rPr>
          <w:rFonts w:hint="default" w:ascii="Times New Roman" w:hAnsi="Times New Roman" w:cs="Times New Roman"/>
          <w:lang w:val="sq-AL"/>
        </w:rPr>
        <w:t>《</w:t>
      </w:r>
      <w:bookmarkStart w:id="132" w:name="_Hlk156553670"/>
      <w:r>
        <w:rPr>
          <w:rFonts w:hint="default" w:ascii="Times New Roman" w:hAnsi="Times New Roman" w:cs="Times New Roman"/>
          <w:lang w:val="sq-AL" w:eastAsia="zh-CN"/>
        </w:rPr>
        <w:t>姚安县太平镇王家咀石料场30万t/a露天采矿工程</w:t>
      </w:r>
      <w:r>
        <w:rPr>
          <w:rFonts w:hint="default" w:ascii="Times New Roman" w:hAnsi="Times New Roman" w:cs="Times New Roman"/>
          <w:lang w:val="sq-AL"/>
        </w:rPr>
        <w:t>安全预评价报告</w:t>
      </w:r>
      <w:bookmarkEnd w:id="132"/>
      <w:r>
        <w:rPr>
          <w:rFonts w:hint="default" w:ascii="Times New Roman" w:hAnsi="Times New Roman" w:cs="Times New Roman"/>
          <w:lang w:val="sq-AL"/>
        </w:rPr>
        <w:t>》（辽宁诺诚安全科技有限公司，202</w:t>
      </w:r>
      <w:r>
        <w:rPr>
          <w:rFonts w:hint="default" w:ascii="Times New Roman" w:hAnsi="Times New Roman" w:cs="Times New Roman"/>
          <w:lang w:val="en-US" w:eastAsia="zh-CN"/>
        </w:rPr>
        <w:t>4</w:t>
      </w:r>
      <w:r>
        <w:rPr>
          <w:rFonts w:hint="default" w:ascii="Times New Roman" w:hAnsi="Times New Roman" w:cs="Times New Roman"/>
          <w:lang w:val="sq-AL"/>
        </w:rPr>
        <w:t>年</w:t>
      </w:r>
      <w:r>
        <w:rPr>
          <w:rFonts w:hint="default" w:ascii="Times New Roman" w:hAnsi="Times New Roman" w:cs="Times New Roman"/>
          <w:lang w:val="en-US" w:eastAsia="zh-CN"/>
        </w:rPr>
        <w:t>4</w:t>
      </w:r>
      <w:r>
        <w:rPr>
          <w:rFonts w:hint="default" w:ascii="Times New Roman" w:hAnsi="Times New Roman" w:cs="Times New Roman"/>
          <w:lang w:val="sq-AL"/>
        </w:rPr>
        <w:t>月）；</w:t>
      </w:r>
    </w:p>
    <w:p w14:paraId="463A974A">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lang w:val="sq-AL"/>
        </w:rPr>
      </w:pPr>
      <w:r>
        <w:rPr>
          <w:rFonts w:hint="default" w:ascii="Times New Roman" w:hAnsi="Times New Roman" w:cs="Times New Roman"/>
          <w:lang w:val="sq-AL"/>
        </w:rPr>
        <w:t>《</w:t>
      </w:r>
      <w:bookmarkStart w:id="133" w:name="_Hlk156553704"/>
      <w:r>
        <w:rPr>
          <w:rFonts w:hint="default" w:ascii="Times New Roman" w:hAnsi="Times New Roman" w:cs="Times New Roman"/>
          <w:lang w:val="sq-AL" w:eastAsia="zh-CN"/>
        </w:rPr>
        <w:t>姚安县太平镇王家咀石料场30万t/a露天采矿工程</w:t>
      </w:r>
      <w:r>
        <w:rPr>
          <w:rFonts w:hint="default" w:ascii="Times New Roman" w:hAnsi="Times New Roman" w:cs="Times New Roman"/>
        </w:rPr>
        <w:t>安全设施</w:t>
      </w:r>
      <w:r>
        <w:rPr>
          <w:rFonts w:hint="default" w:ascii="Times New Roman" w:hAnsi="Times New Roman" w:cs="Times New Roman"/>
          <w:lang w:val="sq-AL"/>
        </w:rPr>
        <w:t>设计</w:t>
      </w:r>
      <w:bookmarkEnd w:id="133"/>
      <w:r>
        <w:rPr>
          <w:rFonts w:hint="default" w:ascii="Times New Roman" w:hAnsi="Times New Roman" w:cs="Times New Roman"/>
          <w:lang w:val="sq-AL"/>
        </w:rPr>
        <w:t>》（</w:t>
      </w:r>
      <w:r>
        <w:rPr>
          <w:rFonts w:hint="default" w:ascii="Times New Roman" w:hAnsi="Times New Roman" w:cs="Times New Roman"/>
          <w:lang w:val="sq-AL" w:eastAsia="zh-CN"/>
        </w:rPr>
        <w:t>河南省冶金规划设计研究院有限责任公司</w:t>
      </w:r>
      <w:r>
        <w:rPr>
          <w:rFonts w:hint="default" w:ascii="Times New Roman" w:hAnsi="Times New Roman" w:cs="Times New Roman"/>
          <w:lang w:val="sq-AL"/>
        </w:rPr>
        <w:t>，202</w:t>
      </w:r>
      <w:r>
        <w:rPr>
          <w:rFonts w:hint="default" w:ascii="Times New Roman" w:hAnsi="Times New Roman" w:cs="Times New Roman"/>
          <w:lang w:val="en-US" w:eastAsia="zh-CN"/>
        </w:rPr>
        <w:t>4</w:t>
      </w:r>
      <w:r>
        <w:rPr>
          <w:rFonts w:hint="default" w:ascii="Times New Roman" w:hAnsi="Times New Roman" w:cs="Times New Roman"/>
          <w:lang w:val="sq-AL"/>
        </w:rPr>
        <w:t>年</w:t>
      </w:r>
      <w:r>
        <w:rPr>
          <w:rFonts w:hint="default" w:ascii="Times New Roman" w:hAnsi="Times New Roman" w:cs="Times New Roman"/>
          <w:lang w:val="en-US" w:eastAsia="zh-CN"/>
        </w:rPr>
        <w:t>4</w:t>
      </w:r>
      <w:r>
        <w:rPr>
          <w:rFonts w:hint="default" w:ascii="Times New Roman" w:hAnsi="Times New Roman" w:cs="Times New Roman"/>
          <w:lang w:val="sq-AL"/>
        </w:rPr>
        <w:t>月）；</w:t>
      </w:r>
    </w:p>
    <w:p w14:paraId="0D0BA20A">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color w:val="auto"/>
          <w:sz w:val="28"/>
          <w:szCs w:val="28"/>
        </w:rPr>
        <w:t>姚安县太平镇王家咀石料场30万吨/年露天采矿基建工程</w:t>
      </w:r>
      <w:r>
        <w:rPr>
          <w:rFonts w:hint="default" w:ascii="Times New Roman" w:hAnsi="Times New Roman" w:cs="Times New Roman"/>
        </w:rPr>
        <w:t>施工</w:t>
      </w:r>
      <w:r>
        <w:rPr>
          <w:rFonts w:hint="default" w:ascii="Times New Roman" w:hAnsi="Times New Roman" w:cs="Times New Roman"/>
          <w:lang w:val="en-US" w:eastAsia="zh-CN"/>
        </w:rPr>
        <w:t>质量</w:t>
      </w:r>
      <w:r>
        <w:rPr>
          <w:rFonts w:hint="default" w:ascii="Times New Roman" w:hAnsi="Times New Roman" w:cs="Times New Roman"/>
        </w:rPr>
        <w:t>报告》（姚安县城镇投资开发有限公司，2024年</w:t>
      </w:r>
      <w:r>
        <w:rPr>
          <w:rFonts w:hint="default" w:ascii="Times New Roman" w:hAnsi="Times New Roman" w:cs="Times New Roman"/>
          <w:lang w:val="en-US" w:eastAsia="zh-CN"/>
        </w:rPr>
        <w:t>10</w:t>
      </w:r>
      <w:r>
        <w:rPr>
          <w:rFonts w:hint="default" w:ascii="Times New Roman" w:hAnsi="Times New Roman" w:cs="Times New Roman"/>
        </w:rPr>
        <w:t>月）；</w:t>
      </w:r>
    </w:p>
    <w:p w14:paraId="1E6600BA">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color w:val="auto"/>
          <w:sz w:val="28"/>
          <w:szCs w:val="28"/>
        </w:rPr>
        <w:t>姚安县太平镇王家咀石料场30万吨/年露天采矿基建工程</w:t>
      </w:r>
      <w:r>
        <w:rPr>
          <w:rFonts w:hint="default" w:ascii="Times New Roman" w:hAnsi="Times New Roman" w:cs="Times New Roman"/>
        </w:rPr>
        <w:t>监理总结报告》（姚安县城镇投资开发有限公司，2024年</w:t>
      </w:r>
      <w:r>
        <w:rPr>
          <w:rFonts w:hint="default" w:ascii="Times New Roman" w:hAnsi="Times New Roman" w:cs="Times New Roman"/>
          <w:lang w:val="en-US" w:eastAsia="zh-CN"/>
        </w:rPr>
        <w:t>10</w:t>
      </w:r>
      <w:r>
        <w:rPr>
          <w:rFonts w:hint="default" w:ascii="Times New Roman" w:hAnsi="Times New Roman" w:cs="Times New Roman"/>
        </w:rPr>
        <w:t>月）；</w:t>
      </w:r>
    </w:p>
    <w:p w14:paraId="4E65FDBC">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CN"/>
        </w:rPr>
        <w:t>姚安县太平镇王家咀石料场30万t/a</w:t>
      </w:r>
      <w:r>
        <w:rPr>
          <w:rFonts w:hint="default" w:ascii="Times New Roman" w:hAnsi="Times New Roman" w:cs="Times New Roman"/>
        </w:rPr>
        <w:t>露天采矿工程试运行报告》（</w:t>
      </w:r>
      <w:r>
        <w:rPr>
          <w:rFonts w:hint="default" w:ascii="Times New Roman" w:hAnsi="Times New Roman" w:cs="Times New Roman"/>
          <w:lang w:eastAsia="zh-CN"/>
        </w:rPr>
        <w:t>姚安县城镇投资开发有限公司</w:t>
      </w:r>
      <w:r>
        <w:rPr>
          <w:rFonts w:hint="default" w:ascii="Times New Roman" w:hAnsi="Times New Roman" w:cs="Times New Roman"/>
        </w:rPr>
        <w:t>，2024年</w:t>
      </w:r>
      <w:r>
        <w:rPr>
          <w:rFonts w:hint="default" w:ascii="Times New Roman" w:hAnsi="Times New Roman" w:cs="Times New Roman"/>
          <w:lang w:val="en-US" w:eastAsia="zh-CN"/>
        </w:rPr>
        <w:t>11</w:t>
      </w:r>
      <w:r>
        <w:rPr>
          <w:rFonts w:hint="default" w:ascii="Times New Roman" w:hAnsi="Times New Roman" w:cs="Times New Roman"/>
        </w:rPr>
        <w:t>月）；</w:t>
      </w:r>
    </w:p>
    <w:p w14:paraId="17F7586D">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eastAsia="zh-CN"/>
        </w:rPr>
        <w:t>姚安县太平镇王家咀石料场30万t/a</w:t>
      </w:r>
      <w:r>
        <w:rPr>
          <w:rFonts w:hint="default" w:ascii="Times New Roman" w:hAnsi="Times New Roman" w:cs="Times New Roman"/>
        </w:rPr>
        <w:t>露天采矿工程安全设施自查报告》（</w:t>
      </w:r>
      <w:r>
        <w:rPr>
          <w:rFonts w:hint="default" w:ascii="Times New Roman" w:hAnsi="Times New Roman" w:cs="Times New Roman"/>
          <w:lang w:eastAsia="zh-CN"/>
        </w:rPr>
        <w:t>姚安县城镇投资开发有限公司</w:t>
      </w:r>
      <w:r>
        <w:rPr>
          <w:rFonts w:hint="default" w:ascii="Times New Roman" w:hAnsi="Times New Roman" w:cs="Times New Roman"/>
        </w:rPr>
        <w:t>，2024年</w:t>
      </w:r>
      <w:r>
        <w:rPr>
          <w:rFonts w:hint="default" w:ascii="Times New Roman" w:hAnsi="Times New Roman" w:cs="Times New Roman"/>
          <w:lang w:val="en-US" w:eastAsia="zh-CN"/>
        </w:rPr>
        <w:t>11</w:t>
      </w:r>
      <w:r>
        <w:rPr>
          <w:rFonts w:hint="default" w:ascii="Times New Roman" w:hAnsi="Times New Roman" w:cs="Times New Roman"/>
        </w:rPr>
        <w:t>月）；</w:t>
      </w:r>
    </w:p>
    <w:p w14:paraId="7D3794B6">
      <w:pPr>
        <w:pageBreakBefore w:val="0"/>
        <w:numPr>
          <w:ilvl w:val="0"/>
          <w:numId w:val="10"/>
        </w:numPr>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现场踏勘收集其他资料及企业提供的相关证照、图纸、有关技术资料等。</w:t>
      </w:r>
    </w:p>
    <w:p w14:paraId="0484C5D3">
      <w:pPr>
        <w:pStyle w:val="4"/>
        <w:pageBreakBefore w:val="0"/>
        <w:kinsoku/>
        <w:wordWrap/>
        <w:overflowPunct/>
        <w:topLinePunct w:val="0"/>
        <w:autoSpaceDE/>
        <w:autoSpaceDN/>
        <w:bidi w:val="0"/>
        <w:ind w:firstLine="562"/>
        <w:textAlignment w:val="auto"/>
        <w:rPr>
          <w:rFonts w:hint="default" w:ascii="Times New Roman" w:hAnsi="Times New Roman" w:eastAsia="宋体" w:cs="Times New Roman"/>
          <w:b/>
          <w:bCs w:val="0"/>
        </w:rPr>
      </w:pPr>
      <w:bookmarkStart w:id="134" w:name="_Toc384121540"/>
      <w:bookmarkStart w:id="135" w:name="_Toc332786041"/>
      <w:bookmarkStart w:id="136" w:name="_Toc323820649"/>
      <w:bookmarkStart w:id="137" w:name="_Toc332357212"/>
      <w:bookmarkStart w:id="138" w:name="_Toc327020773"/>
      <w:bookmarkStart w:id="139" w:name="_Toc14147"/>
      <w:bookmarkStart w:id="140" w:name="_Toc20300"/>
      <w:bookmarkStart w:id="141" w:name="_Toc1802"/>
      <w:bookmarkStart w:id="142" w:name="_Toc454614240"/>
      <w:bookmarkStart w:id="143" w:name="_Toc59420497"/>
      <w:bookmarkStart w:id="144" w:name="_Toc16772"/>
      <w:bookmarkStart w:id="145" w:name="_Toc23706"/>
      <w:bookmarkStart w:id="146" w:name="_Toc18355"/>
      <w:r>
        <w:rPr>
          <w:rFonts w:hint="default" w:ascii="Times New Roman" w:hAnsi="Times New Roman" w:eastAsia="宋体" w:cs="Times New Roman"/>
          <w:b/>
          <w:bCs w:val="0"/>
        </w:rPr>
        <w:t>1.2.5</w:t>
      </w:r>
      <w:bookmarkEnd w:id="134"/>
      <w:bookmarkEnd w:id="135"/>
      <w:bookmarkEnd w:id="136"/>
      <w:bookmarkEnd w:id="137"/>
      <w:bookmarkEnd w:id="138"/>
      <w:r>
        <w:rPr>
          <w:rFonts w:hint="default" w:ascii="Times New Roman" w:hAnsi="Times New Roman" w:eastAsia="宋体" w:cs="Times New Roman"/>
          <w:b/>
          <w:bCs w:val="0"/>
        </w:rPr>
        <w:t>其他评价依据</w:t>
      </w:r>
      <w:bookmarkEnd w:id="139"/>
      <w:bookmarkEnd w:id="140"/>
      <w:bookmarkEnd w:id="141"/>
      <w:bookmarkEnd w:id="142"/>
      <w:bookmarkEnd w:id="143"/>
      <w:bookmarkEnd w:id="144"/>
      <w:bookmarkEnd w:id="145"/>
      <w:bookmarkEnd w:id="146"/>
    </w:p>
    <w:p w14:paraId="0C04E134">
      <w:pPr>
        <w:pageBreakBefore w:val="0"/>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（1）安全设施验收评价委托书；</w:t>
      </w:r>
    </w:p>
    <w:p w14:paraId="2456F394">
      <w:pPr>
        <w:pageBreakBefore w:val="0"/>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（2）现场调查收集及该企业提供的相关技术基础资料；</w:t>
      </w:r>
    </w:p>
    <w:p w14:paraId="0A7F7761">
      <w:pPr>
        <w:pageBreakBefore w:val="0"/>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（3）国家及地方有关设计规范、行业标准、安全规程等；</w:t>
      </w:r>
    </w:p>
    <w:p w14:paraId="74233A9F">
      <w:pPr>
        <w:pageBreakBefore w:val="0"/>
        <w:kinsoku/>
        <w:wordWrap/>
        <w:overflowPunct/>
        <w:topLinePunct w:val="0"/>
        <w:autoSpaceDE/>
        <w:autoSpaceDN/>
        <w:bidi w:val="0"/>
        <w:ind w:firstLine="560"/>
        <w:textAlignment w:val="auto"/>
        <w:rPr>
          <w:rFonts w:hint="default" w:ascii="Times New Roman" w:hAnsi="Times New Roman" w:cs="Times New Roman"/>
        </w:rPr>
      </w:pPr>
      <w:r>
        <w:rPr>
          <w:rFonts w:hint="default" w:ascii="Times New Roman" w:hAnsi="Times New Roman" w:cs="Times New Roman"/>
        </w:rPr>
        <w:t>（4）有关矿山安全管理状况的证明资料。</w:t>
      </w:r>
    </w:p>
    <w:p w14:paraId="4CF1C089">
      <w:pPr>
        <w:pStyle w:val="2"/>
        <w:rPr>
          <w:rFonts w:hint="default" w:ascii="Times New Roman" w:hAnsi="Times New Roman" w:cs="Times New Roman"/>
          <w:b/>
          <w:bCs w:val="0"/>
          <w:szCs w:val="36"/>
        </w:rPr>
      </w:pPr>
      <w:bookmarkStart w:id="147" w:name="_Toc11930"/>
      <w:bookmarkStart w:id="148" w:name="_Toc454614244"/>
      <w:bookmarkStart w:id="149" w:name="_Toc3924"/>
      <w:bookmarkStart w:id="150" w:name="_Toc18186"/>
      <w:bookmarkStart w:id="151" w:name="_Toc384121544"/>
      <w:bookmarkStart w:id="152" w:name="_Toc59420498"/>
      <w:bookmarkStart w:id="153" w:name="_Toc3898"/>
      <w:r>
        <w:rPr>
          <w:rFonts w:hint="default" w:ascii="Times New Roman" w:hAnsi="Times New Roman" w:cs="Times New Roman"/>
        </w:rPr>
        <w:br w:type="page"/>
      </w:r>
      <w:bookmarkStart w:id="154" w:name="_Toc28637"/>
      <w:bookmarkStart w:id="155" w:name="_Toc20540"/>
      <w:bookmarkStart w:id="156" w:name="_Toc30653"/>
      <w:bookmarkStart w:id="157" w:name="_Toc25490"/>
      <w:r>
        <w:rPr>
          <w:rFonts w:hint="default" w:ascii="Times New Roman" w:hAnsi="Times New Roman" w:cs="Times New Roman"/>
          <w:b/>
          <w:bCs w:val="0"/>
        </w:rPr>
        <w:t>2 建设项目概述</w:t>
      </w:r>
      <w:bookmarkEnd w:id="147"/>
      <w:bookmarkEnd w:id="148"/>
      <w:bookmarkEnd w:id="149"/>
      <w:bookmarkEnd w:id="150"/>
      <w:bookmarkEnd w:id="151"/>
      <w:bookmarkEnd w:id="152"/>
      <w:bookmarkEnd w:id="153"/>
      <w:bookmarkEnd w:id="154"/>
      <w:bookmarkEnd w:id="155"/>
      <w:bookmarkEnd w:id="156"/>
      <w:bookmarkEnd w:id="157"/>
    </w:p>
    <w:p w14:paraId="5F4544F2">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158" w:name="_Toc83289117"/>
      <w:bookmarkStart w:id="159" w:name="_Toc85075282"/>
      <w:bookmarkStart w:id="160" w:name="_Toc124926607"/>
      <w:bookmarkStart w:id="161" w:name="_Toc136406262"/>
      <w:bookmarkStart w:id="162" w:name="_Toc89337118"/>
      <w:bookmarkStart w:id="163" w:name="_Toc89333783"/>
      <w:bookmarkStart w:id="164" w:name="_Toc454614245"/>
      <w:bookmarkStart w:id="165" w:name="_Toc13395"/>
      <w:bookmarkStart w:id="166" w:name="_Toc18215"/>
      <w:bookmarkStart w:id="167" w:name="_Toc15244"/>
      <w:bookmarkStart w:id="168" w:name="_Toc59420499"/>
      <w:bookmarkStart w:id="169" w:name="_Toc20851"/>
      <w:bookmarkStart w:id="170" w:name="_Toc2282"/>
      <w:bookmarkStart w:id="171" w:name="_Toc13142"/>
      <w:bookmarkStart w:id="172" w:name="_Toc384121545"/>
      <w:bookmarkStart w:id="173" w:name="_Toc5100"/>
      <w:bookmarkStart w:id="174" w:name="_Toc18397"/>
      <w:r>
        <w:rPr>
          <w:rFonts w:hint="default" w:ascii="Times New Roman" w:hAnsi="Times New Roman" w:cs="Times New Roman"/>
          <w:b/>
          <w:bCs w:val="0"/>
        </w:rPr>
        <w:t>2.1</w:t>
      </w:r>
      <w:bookmarkEnd w:id="158"/>
      <w:bookmarkEnd w:id="159"/>
      <w:bookmarkEnd w:id="160"/>
      <w:bookmarkEnd w:id="161"/>
      <w:bookmarkEnd w:id="162"/>
      <w:bookmarkEnd w:id="163"/>
      <w:r>
        <w:rPr>
          <w:rFonts w:hint="default" w:ascii="Times New Roman" w:hAnsi="Times New Roman" w:cs="Times New Roman"/>
          <w:b/>
          <w:bCs w:val="0"/>
        </w:rPr>
        <w:t>建设单位概况</w:t>
      </w:r>
      <w:bookmarkEnd w:id="164"/>
      <w:bookmarkEnd w:id="165"/>
      <w:bookmarkEnd w:id="166"/>
      <w:bookmarkEnd w:id="167"/>
      <w:bookmarkEnd w:id="168"/>
      <w:bookmarkEnd w:id="169"/>
      <w:bookmarkEnd w:id="170"/>
      <w:bookmarkEnd w:id="171"/>
      <w:bookmarkEnd w:id="172"/>
      <w:bookmarkEnd w:id="173"/>
      <w:bookmarkEnd w:id="174"/>
    </w:p>
    <w:p w14:paraId="3C37A27C">
      <w:pPr>
        <w:pStyle w:val="4"/>
        <w:ind w:firstLine="562"/>
        <w:rPr>
          <w:rFonts w:hint="default" w:ascii="Times New Roman" w:hAnsi="Times New Roman" w:eastAsia="宋体" w:cs="Times New Roman"/>
          <w:b/>
          <w:bCs w:val="0"/>
        </w:rPr>
      </w:pPr>
      <w:bookmarkStart w:id="175" w:name="_Toc105730327"/>
      <w:bookmarkStart w:id="176" w:name="_Toc137793150"/>
      <w:bookmarkStart w:id="177" w:name="_Toc105675962"/>
      <w:bookmarkStart w:id="178" w:name="_Toc105675482"/>
      <w:bookmarkStart w:id="179" w:name="_Toc140123913"/>
      <w:bookmarkStart w:id="180" w:name="_Toc105674764"/>
      <w:bookmarkStart w:id="181" w:name="_Toc317240380"/>
      <w:bookmarkStart w:id="182" w:name="_Toc17011"/>
      <w:bookmarkStart w:id="183" w:name="_Toc2822"/>
      <w:bookmarkStart w:id="184" w:name="_Toc18329"/>
      <w:bookmarkStart w:id="185" w:name="_Toc9144"/>
      <w:bookmarkStart w:id="186" w:name="_Toc3163"/>
      <w:bookmarkStart w:id="187" w:name="_Toc25912"/>
      <w:bookmarkStart w:id="188" w:name="_Toc59420500"/>
      <w:bookmarkStart w:id="189" w:name="_Toc24827"/>
      <w:bookmarkStart w:id="190" w:name="_Toc454614246"/>
      <w:bookmarkStart w:id="191" w:name="_Toc2472"/>
      <w:r>
        <w:rPr>
          <w:rFonts w:hint="default" w:ascii="Times New Roman" w:hAnsi="Times New Roman" w:eastAsia="宋体" w:cs="Times New Roman"/>
          <w:b/>
          <w:bCs w:val="0"/>
        </w:rPr>
        <w:t>2.1.1</w:t>
      </w:r>
      <w:bookmarkEnd w:id="175"/>
      <w:bookmarkEnd w:id="176"/>
      <w:bookmarkEnd w:id="177"/>
      <w:bookmarkEnd w:id="178"/>
      <w:bookmarkEnd w:id="179"/>
      <w:bookmarkEnd w:id="180"/>
      <w:r>
        <w:rPr>
          <w:rFonts w:hint="default" w:ascii="Times New Roman" w:hAnsi="Times New Roman" w:eastAsia="宋体" w:cs="Times New Roman"/>
          <w:b/>
          <w:bCs w:val="0"/>
        </w:rPr>
        <w:t>建设单位简介</w:t>
      </w:r>
      <w:bookmarkEnd w:id="181"/>
      <w:bookmarkEnd w:id="182"/>
      <w:bookmarkEnd w:id="183"/>
      <w:bookmarkEnd w:id="184"/>
      <w:bookmarkEnd w:id="185"/>
      <w:bookmarkEnd w:id="186"/>
      <w:bookmarkEnd w:id="187"/>
      <w:bookmarkEnd w:id="188"/>
      <w:bookmarkEnd w:id="189"/>
      <w:bookmarkEnd w:id="190"/>
      <w:bookmarkEnd w:id="191"/>
    </w:p>
    <w:p w14:paraId="2A90A55C">
      <w:pPr>
        <w:adjustRightInd/>
        <w:snapToGrid/>
        <w:spacing w:line="360" w:lineRule="auto"/>
        <w:ind w:firstLine="560" w:firstLineChars="200"/>
        <w:rPr>
          <w:rFonts w:hint="default" w:ascii="Times New Roman" w:hAnsi="Times New Roman" w:eastAsia="宋体" w:cs="Times New Roman"/>
          <w:color w:val="auto"/>
          <w:sz w:val="28"/>
          <w:szCs w:val="28"/>
        </w:rPr>
      </w:pPr>
      <w:bookmarkStart w:id="192" w:name="_Hlk156553599"/>
      <w:bookmarkStart w:id="193" w:name="_Toc15425"/>
      <w:bookmarkStart w:id="194" w:name="_Toc15383"/>
      <w:bookmarkStart w:id="195" w:name="_Toc454614247"/>
      <w:bookmarkStart w:id="196" w:name="_Toc26041"/>
      <w:bookmarkStart w:id="197" w:name="_Toc313439205"/>
      <w:r>
        <w:rPr>
          <w:rFonts w:hint="default" w:ascii="Times New Roman" w:hAnsi="Times New Roman" w:eastAsia="宋体" w:cs="Times New Roman"/>
          <w:color w:val="auto"/>
          <w:sz w:val="28"/>
          <w:szCs w:val="28"/>
        </w:rPr>
        <w:t>姚安县城镇投资开发有限公司成立于2008年05月08日，是一家有限责任公司（国有独资），法定代表人：吴洪亮，住所位于云南省楚雄彝族自治州姚安县栋川镇府前街88号。</w:t>
      </w:r>
    </w:p>
    <w:p w14:paraId="6D2880E1">
      <w:pPr>
        <w:adjustRightInd/>
        <w:snapToGrid/>
        <w:spacing w:line="360" w:lineRule="auto"/>
        <w:ind w:firstLine="560" w:firstLineChars="200"/>
        <w:rPr>
          <w:rFonts w:hint="default" w:ascii="Times New Roman" w:hAnsi="Times New Roman" w:eastAsia="宋体" w:cs="Times New Roman"/>
          <w:color w:val="auto"/>
          <w:spacing w:val="4"/>
          <w:sz w:val="28"/>
          <w:szCs w:val="28"/>
        </w:rPr>
      </w:pPr>
      <w:r>
        <w:rPr>
          <w:rFonts w:hint="default" w:ascii="Times New Roman" w:hAnsi="Times New Roman" w:eastAsia="宋体" w:cs="Times New Roman"/>
          <w:color w:val="auto"/>
          <w:sz w:val="28"/>
          <w:szCs w:val="28"/>
        </w:rPr>
        <w:t>姚安县城镇投资开发有限公司姚安县太平镇王家咀石料场为新建矿山，是为了满足昆楚大高速公路复线（姚安段）建筑用砂石料而设立的新建矿山，姚安县自然资源局于2021年8月委托云南省有色地质局楚雄勘查院开展该矿山采矿权资源储量核实工作，进行矿区范围划定后公开挂牌出让该矿权，该矿权由姚安县城镇投资开发有限公司拍卖取得</w:t>
      </w:r>
      <w:r>
        <w:rPr>
          <w:rFonts w:hint="default" w:ascii="Times New Roman" w:hAnsi="Times New Roman" w:eastAsia="宋体" w:cs="Times New Roman"/>
          <w:color w:val="auto"/>
          <w:spacing w:val="4"/>
          <w:sz w:val="28"/>
          <w:szCs w:val="28"/>
        </w:rPr>
        <w:t>。</w:t>
      </w:r>
    </w:p>
    <w:p w14:paraId="13A80FF5">
      <w:pPr>
        <w:adjustRightInd/>
        <w:snapToGrid/>
        <w:spacing w:line="360" w:lineRule="auto"/>
        <w:ind w:firstLine="576" w:firstLineChars="200"/>
        <w:rPr>
          <w:rFonts w:hint="default" w:ascii="Times New Roman" w:hAnsi="Times New Roman" w:eastAsia="宋体" w:cs="Times New Roman"/>
          <w:color w:val="auto"/>
          <w:spacing w:val="4"/>
          <w:sz w:val="28"/>
          <w:szCs w:val="28"/>
        </w:rPr>
      </w:pPr>
      <w:r>
        <w:rPr>
          <w:rFonts w:hint="default" w:ascii="Times New Roman" w:hAnsi="Times New Roman" w:eastAsia="宋体" w:cs="Times New Roman"/>
          <w:color w:val="auto"/>
          <w:spacing w:val="4"/>
          <w:sz w:val="28"/>
          <w:szCs w:val="28"/>
        </w:rPr>
        <w:t>企业取得的主要证照信息如下：</w:t>
      </w:r>
    </w:p>
    <w:p w14:paraId="18E91967">
      <w:pPr>
        <w:adjustRightInd/>
        <w:snapToGrid/>
        <w:spacing w:line="360" w:lineRule="auto"/>
        <w:ind w:firstLine="562" w:firstLineChars="200"/>
        <w:rPr>
          <w:rFonts w:hint="default" w:ascii="Times New Roman" w:hAnsi="Times New Roman" w:eastAsia="宋体" w:cs="Times New Roman"/>
          <w:b/>
          <w:bCs/>
          <w:color w:val="auto"/>
          <w:sz w:val="28"/>
          <w:szCs w:val="24"/>
        </w:rPr>
      </w:pPr>
      <w:r>
        <w:rPr>
          <w:rFonts w:hint="default" w:ascii="Times New Roman" w:hAnsi="Times New Roman" w:eastAsia="宋体" w:cs="Times New Roman"/>
          <w:b/>
          <w:bCs/>
          <w:color w:val="auto"/>
          <w:sz w:val="28"/>
          <w:szCs w:val="24"/>
        </w:rPr>
        <w:t>一、营业执照</w:t>
      </w:r>
    </w:p>
    <w:p w14:paraId="59D0918F">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统一社会信用代码：915323256736322649</w:t>
      </w:r>
    </w:p>
    <w:p w14:paraId="5DC13508">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名    称：姚安县城镇投资开发有限公司</w:t>
      </w:r>
    </w:p>
    <w:p w14:paraId="5751D214">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类    型：有限责任公司（国有独资）</w:t>
      </w:r>
    </w:p>
    <w:p w14:paraId="37E59636">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法定代表人：吴洪亮</w:t>
      </w:r>
    </w:p>
    <w:p w14:paraId="36B92EAD">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注册资本：贰仟万元整</w:t>
      </w:r>
    </w:p>
    <w:p w14:paraId="60EC6F7B">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成立日期：2008年05月08日</w:t>
      </w:r>
    </w:p>
    <w:p w14:paraId="35733D6B">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营业期限：2008年05月08日至长期</w:t>
      </w:r>
    </w:p>
    <w:p w14:paraId="7297E194">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住    所：云南省楚雄彝族自治州姚安县栋川镇府前街88号</w:t>
      </w:r>
    </w:p>
    <w:p w14:paraId="7B49CFAE">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发证机关：姚安县行政审批局</w:t>
      </w:r>
    </w:p>
    <w:p w14:paraId="35D9389E">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登记日期：2022年1月21日</w:t>
      </w:r>
    </w:p>
    <w:p w14:paraId="65BDB229">
      <w:pPr>
        <w:adjustRightInd/>
        <w:snapToGrid/>
        <w:spacing w:line="360" w:lineRule="auto"/>
        <w:ind w:firstLine="562" w:firstLineChars="200"/>
        <w:rPr>
          <w:rFonts w:hint="default" w:ascii="Times New Roman" w:hAnsi="Times New Roman" w:eastAsia="宋体" w:cs="Times New Roman"/>
          <w:b/>
          <w:bCs/>
          <w:color w:val="auto"/>
          <w:sz w:val="28"/>
          <w:szCs w:val="24"/>
        </w:rPr>
      </w:pPr>
      <w:r>
        <w:rPr>
          <w:rFonts w:hint="default" w:ascii="Times New Roman" w:hAnsi="Times New Roman" w:eastAsia="宋体" w:cs="Times New Roman"/>
          <w:b/>
          <w:bCs/>
          <w:color w:val="auto"/>
          <w:sz w:val="28"/>
          <w:szCs w:val="24"/>
        </w:rPr>
        <w:t>二、采矿许可证</w:t>
      </w:r>
    </w:p>
    <w:p w14:paraId="5A60B32C">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4"/>
        </w:rPr>
        <w:t>证    号：</w:t>
      </w:r>
      <w:r>
        <w:rPr>
          <w:rFonts w:hint="default" w:ascii="Times New Roman" w:hAnsi="Times New Roman" w:eastAsia="宋体" w:cs="Times New Roman"/>
          <w:color w:val="auto"/>
          <w:sz w:val="28"/>
          <w:szCs w:val="28"/>
        </w:rPr>
        <w:t>C5323002023127150155997</w:t>
      </w:r>
    </w:p>
    <w:p w14:paraId="5CCCDF89">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采矿权人：姚安县城镇投资开发有限公司</w:t>
      </w:r>
    </w:p>
    <w:p w14:paraId="169E71A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地    址：云南省楚雄彝族自治州姚安县栋川镇府前街88号</w:t>
      </w:r>
    </w:p>
    <w:p w14:paraId="52AAE7E7">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矿山名称：姚安县城镇投资开发有限公司姚安县太平镇王家咀石料场</w:t>
      </w:r>
    </w:p>
    <w:p w14:paraId="6CB83ABB">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经济类型：有限责任公司</w:t>
      </w:r>
    </w:p>
    <w:p w14:paraId="600CE90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开采矿种：建筑用砂岩</w:t>
      </w:r>
    </w:p>
    <w:p w14:paraId="44BF4750">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开采方式：露天开采</w:t>
      </w:r>
    </w:p>
    <w:p w14:paraId="4AB8D56F">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生产规模：30.00万吨/年</w:t>
      </w:r>
    </w:p>
    <w:p w14:paraId="76975C5F">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矿区面积：0.0739平方公里</w:t>
      </w:r>
    </w:p>
    <w:p w14:paraId="64093BA3">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有效期限：拾叁年 2023年12月01日至2036年12月01日</w:t>
      </w:r>
    </w:p>
    <w:p w14:paraId="54CD1231">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8"/>
        </w:rPr>
        <w:t>发证单位：楚雄彝族自治州自然资源和规划局</w:t>
      </w:r>
    </w:p>
    <w:p w14:paraId="23A506F4">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发证时间：2023年12月01日</w:t>
      </w:r>
    </w:p>
    <w:p w14:paraId="07F69203">
      <w:pPr>
        <w:adjustRightInd/>
        <w:snapToGrid/>
        <w:spacing w:line="360" w:lineRule="auto"/>
        <w:ind w:firstLine="560" w:firstLineChars="200"/>
        <w:rPr>
          <w:rFonts w:hint="default" w:ascii="Times New Roman" w:hAnsi="Times New Roman" w:eastAsia="宋体" w:cs="Times New Roman"/>
          <w:color w:val="auto"/>
          <w:sz w:val="28"/>
          <w:szCs w:val="24"/>
        </w:rPr>
      </w:pPr>
      <w:r>
        <w:rPr>
          <w:rFonts w:hint="default" w:ascii="Times New Roman" w:hAnsi="Times New Roman" w:eastAsia="宋体" w:cs="Times New Roman"/>
          <w:color w:val="auto"/>
          <w:sz w:val="28"/>
          <w:szCs w:val="24"/>
        </w:rPr>
        <w:t>矿区范围拐点坐标见表1.1-1</w:t>
      </w:r>
    </w:p>
    <w:bookmarkEnd w:id="192"/>
    <w:p w14:paraId="6ADA2A6F">
      <w:pPr>
        <w:pStyle w:val="4"/>
        <w:pageBreakBefore w:val="0"/>
        <w:widowControl w:val="0"/>
        <w:kinsoku/>
        <w:wordWrap/>
        <w:overflowPunct/>
        <w:topLinePunct w:val="0"/>
        <w:bidi w:val="0"/>
        <w:adjustRightInd/>
        <w:snapToGrid/>
        <w:ind w:firstLine="562"/>
        <w:textAlignment w:val="auto"/>
        <w:rPr>
          <w:rFonts w:hint="default" w:ascii="Times New Roman" w:hAnsi="Times New Roman" w:eastAsia="宋体" w:cs="Times New Roman"/>
          <w:b/>
          <w:bCs w:val="0"/>
        </w:rPr>
      </w:pPr>
      <w:bookmarkStart w:id="198" w:name="_Toc26927"/>
      <w:bookmarkStart w:id="199" w:name="_Toc59420501"/>
      <w:bookmarkStart w:id="200" w:name="_Toc11868"/>
      <w:bookmarkStart w:id="201" w:name="_Toc1471"/>
      <w:r>
        <w:rPr>
          <w:rFonts w:hint="default" w:ascii="Times New Roman" w:hAnsi="Times New Roman" w:eastAsia="宋体" w:cs="Times New Roman"/>
          <w:b/>
          <w:bCs w:val="0"/>
        </w:rPr>
        <w:t>2.1.2建设项目背景及立项情况</w:t>
      </w:r>
      <w:bookmarkEnd w:id="193"/>
      <w:bookmarkEnd w:id="194"/>
      <w:bookmarkEnd w:id="195"/>
      <w:bookmarkEnd w:id="196"/>
      <w:bookmarkEnd w:id="198"/>
      <w:bookmarkEnd w:id="199"/>
      <w:bookmarkEnd w:id="200"/>
      <w:bookmarkEnd w:id="201"/>
    </w:p>
    <w:p w14:paraId="606371E1">
      <w:pPr>
        <w:ind w:firstLine="56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姚安县太平镇王家咀石场是为了满足昆楚大高速公路复线（姚安段）建筑用砂石料而设立的新建矿山。姚安县自然资源局于2021年8月委托云南省有色地质局楚雄勘查院开展姚安县太平镇王家咀石料场采矿权资源储量核实工作，进行矿区范围划定后公开挂牌出让该矿权，该矿权由姚安县城镇投资开发有限公司拍卖取得。</w:t>
      </w:r>
    </w:p>
    <w:p w14:paraId="19FF0025">
      <w:pPr>
        <w:pStyle w:val="122"/>
        <w:pageBreakBefore w:val="0"/>
        <w:widowControl w:val="0"/>
        <w:kinsoku/>
        <w:wordWrap/>
        <w:overflowPunct/>
        <w:topLinePunct w:val="0"/>
        <w:bidi w:val="0"/>
        <w:adjustRightInd/>
        <w:snapToGrid/>
        <w:spacing w:line="360" w:lineRule="auto"/>
        <w:ind w:firstLine="560" w:firstLineChars="200"/>
        <w:jc w:val="both"/>
        <w:textAlignment w:val="auto"/>
        <w:rPr>
          <w:rFonts w:hint="default" w:ascii="Times New Roman" w:hAnsi="Times New Roman" w:cs="Times New Roman"/>
          <w:color w:val="auto"/>
          <w:sz w:val="28"/>
          <w:szCs w:val="28"/>
        </w:rPr>
      </w:pPr>
      <w:r>
        <w:rPr>
          <w:rFonts w:hint="default" w:ascii="Times New Roman" w:hAnsi="Times New Roman" w:eastAsia="宋体" w:cs="Times New Roman"/>
          <w:sz w:val="28"/>
          <w:szCs w:val="28"/>
        </w:rPr>
        <w:t>姚安县城镇投资开发有限公司于2023年12月01日取得最新采矿许可证，证号为C5323002023127150155997，开采矿种为建筑用砂岩，开采方式为露天开采，生产规模为30万t/a，矿区面积为0.0739km</w:t>
      </w:r>
      <w:r>
        <w:rPr>
          <w:rFonts w:hint="default" w:ascii="Times New Roman" w:hAnsi="Times New Roman" w:eastAsia="宋体" w:cs="Times New Roman"/>
          <w:sz w:val="28"/>
          <w:szCs w:val="28"/>
          <w:vertAlign w:val="superscript"/>
        </w:rPr>
        <w:t>2</w:t>
      </w:r>
      <w:r>
        <w:rPr>
          <w:rFonts w:hint="default" w:ascii="Times New Roman" w:hAnsi="Times New Roman" w:eastAsia="宋体" w:cs="Times New Roman"/>
          <w:sz w:val="28"/>
          <w:szCs w:val="28"/>
        </w:rPr>
        <w:t>，开采深度为2251m-2068m，有效期限为拾叁年</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自2023年12月01日至2036年12月01日</w:t>
      </w:r>
      <w:r>
        <w:rPr>
          <w:rFonts w:hint="default" w:ascii="Times New Roman" w:hAnsi="Times New Roman" w:cs="Times New Roman"/>
          <w:color w:val="auto"/>
          <w:sz w:val="28"/>
          <w:szCs w:val="28"/>
        </w:rPr>
        <w:t>。</w:t>
      </w:r>
    </w:p>
    <w:p w14:paraId="53FF17CB">
      <w:pPr>
        <w:pageBreakBefore w:val="0"/>
        <w:widowControl w:val="0"/>
        <w:kinsoku/>
        <w:wordWrap/>
        <w:overflowPunct/>
        <w:topLinePunct w:val="0"/>
        <w:bidi w:val="0"/>
        <w:adjustRightInd/>
        <w:snapToGrid/>
        <w:ind w:firstLine="560" w:firstLineChars="200"/>
        <w:textAlignment w:val="auto"/>
        <w:rPr>
          <w:rFonts w:hint="default" w:ascii="Times New Roman" w:hAnsi="Times New Roman" w:eastAsia="宋体" w:cs="Times New Roman"/>
          <w:snapToGrid w:val="0"/>
          <w:kern w:val="0"/>
          <w:sz w:val="28"/>
          <w:szCs w:val="28"/>
          <w:lang w:val="en-US" w:eastAsia="zh-CN"/>
        </w:rPr>
      </w:pPr>
      <w:r>
        <w:rPr>
          <w:rFonts w:hint="default" w:ascii="Times New Roman" w:hAnsi="Times New Roman" w:eastAsia="宋体" w:cs="Times New Roman"/>
          <w:snapToGrid w:val="0"/>
          <w:kern w:val="0"/>
          <w:sz w:val="28"/>
          <w:szCs w:val="28"/>
          <w:lang w:val="en-US" w:eastAsia="zh-CN"/>
        </w:rPr>
        <w:t>2024年4月，</w:t>
      </w:r>
      <w:r>
        <w:rPr>
          <w:rFonts w:hint="default" w:ascii="Times New Roman" w:hAnsi="Times New Roman" w:eastAsia="宋体" w:cs="Times New Roman"/>
          <w:lang w:eastAsia="zh-CN"/>
        </w:rPr>
        <w:t>姚安县城镇投资开发有限公司</w:t>
      </w:r>
      <w:r>
        <w:rPr>
          <w:rFonts w:hint="default" w:ascii="Times New Roman" w:hAnsi="Times New Roman" w:cs="Times New Roman"/>
          <w:lang w:val="en-US" w:eastAsia="zh-CN"/>
        </w:rPr>
        <w:t>委托辽宁诺诚安全科技有限公司编制了《姚安县太平镇王家咀石料场30万t/a露天采矿工程安全预评价报告》；</w:t>
      </w:r>
      <w:r>
        <w:rPr>
          <w:rFonts w:hint="default" w:ascii="Times New Roman" w:hAnsi="Times New Roman" w:eastAsia="宋体" w:cs="Times New Roman"/>
          <w:snapToGrid w:val="0"/>
          <w:kern w:val="0"/>
          <w:sz w:val="28"/>
          <w:szCs w:val="28"/>
          <w:lang w:val="en-US" w:eastAsia="zh-CN"/>
        </w:rPr>
        <w:t>2023年12月，姚安县城镇投资开发有限公司委托河南省冶金规划设计研究院有限责任公司编制了《姚安县太平镇王家咀石料场30万t/a露天采矿工程初步设计》；</w:t>
      </w:r>
      <w:r>
        <w:rPr>
          <w:rFonts w:hint="default" w:ascii="Times New Roman" w:hAnsi="Times New Roman" w:eastAsia="宋体" w:cs="Times New Roman"/>
          <w:snapToGrid w:val="0"/>
          <w:kern w:val="0"/>
          <w:sz w:val="28"/>
          <w:szCs w:val="28"/>
          <w:lang w:val="sq-AL" w:eastAsia="zh-CN"/>
        </w:rPr>
        <w:t>202</w:t>
      </w:r>
      <w:r>
        <w:rPr>
          <w:rFonts w:hint="default" w:ascii="Times New Roman" w:hAnsi="Times New Roman" w:eastAsia="宋体" w:cs="Times New Roman"/>
          <w:snapToGrid w:val="0"/>
          <w:kern w:val="0"/>
          <w:sz w:val="28"/>
          <w:szCs w:val="28"/>
          <w:lang w:val="en-US" w:eastAsia="zh-CN"/>
        </w:rPr>
        <w:t>3</w:t>
      </w:r>
      <w:r>
        <w:rPr>
          <w:rFonts w:hint="default" w:ascii="Times New Roman" w:hAnsi="Times New Roman" w:eastAsia="宋体" w:cs="Times New Roman"/>
          <w:snapToGrid w:val="0"/>
          <w:kern w:val="0"/>
          <w:sz w:val="28"/>
          <w:szCs w:val="28"/>
          <w:lang w:val="sq-AL" w:eastAsia="zh-CN"/>
        </w:rPr>
        <w:t>年</w:t>
      </w:r>
      <w:r>
        <w:rPr>
          <w:rFonts w:hint="default" w:ascii="Times New Roman" w:hAnsi="Times New Roman" w:eastAsia="宋体" w:cs="Times New Roman"/>
          <w:snapToGrid w:val="0"/>
          <w:kern w:val="0"/>
          <w:sz w:val="28"/>
          <w:szCs w:val="28"/>
          <w:lang w:val="en-US" w:eastAsia="zh-CN"/>
        </w:rPr>
        <w:t>12</w:t>
      </w:r>
      <w:r>
        <w:rPr>
          <w:rFonts w:hint="default" w:ascii="Times New Roman" w:hAnsi="Times New Roman" w:eastAsia="宋体" w:cs="Times New Roman"/>
          <w:snapToGrid w:val="0"/>
          <w:kern w:val="0"/>
          <w:sz w:val="28"/>
          <w:szCs w:val="28"/>
          <w:lang w:val="sq-AL" w:eastAsia="zh-CN"/>
        </w:rPr>
        <w:t>月，</w:t>
      </w:r>
      <w:r>
        <w:rPr>
          <w:rFonts w:hint="default" w:ascii="Times New Roman" w:hAnsi="Times New Roman" w:eastAsia="宋体" w:cs="Times New Roman"/>
          <w:snapToGrid w:val="0"/>
          <w:kern w:val="0"/>
          <w:sz w:val="28"/>
          <w:szCs w:val="28"/>
          <w:lang w:val="en-US" w:eastAsia="zh-CN"/>
        </w:rPr>
        <w:t>姚安县城镇投资开发有限公司委托河南省冶金规划设计研究院有限责任公司编制了</w:t>
      </w:r>
      <w:r>
        <w:rPr>
          <w:rFonts w:hint="default" w:ascii="Times New Roman" w:hAnsi="Times New Roman" w:eastAsia="宋体" w:cs="Times New Roman"/>
          <w:snapToGrid w:val="0"/>
          <w:kern w:val="0"/>
          <w:sz w:val="28"/>
          <w:szCs w:val="28"/>
          <w:lang w:val="sq-AL" w:eastAsia="zh-CN"/>
        </w:rPr>
        <w:t>《姚安县太平镇王家咀石料场30万t/a露天采矿工程</w:t>
      </w:r>
      <w:r>
        <w:rPr>
          <w:rFonts w:hint="default" w:ascii="Times New Roman" w:hAnsi="Times New Roman" w:eastAsia="宋体" w:cs="Times New Roman"/>
          <w:snapToGrid w:val="0"/>
          <w:kern w:val="0"/>
          <w:sz w:val="28"/>
          <w:szCs w:val="28"/>
          <w:lang w:val="en-US" w:eastAsia="zh-CN"/>
        </w:rPr>
        <w:t>安全设施</w:t>
      </w:r>
      <w:r>
        <w:rPr>
          <w:rFonts w:hint="default" w:ascii="Times New Roman" w:hAnsi="Times New Roman" w:eastAsia="宋体" w:cs="Times New Roman"/>
          <w:snapToGrid w:val="0"/>
          <w:kern w:val="0"/>
          <w:sz w:val="28"/>
          <w:szCs w:val="28"/>
          <w:lang w:val="sq-AL" w:eastAsia="zh-CN"/>
        </w:rPr>
        <w:t>设计》，</w:t>
      </w:r>
      <w:r>
        <w:rPr>
          <w:rFonts w:hint="default" w:ascii="Times New Roman" w:hAnsi="Times New Roman" w:eastAsia="宋体" w:cs="Times New Roman"/>
          <w:snapToGrid w:val="0"/>
          <w:kern w:val="0"/>
          <w:sz w:val="28"/>
          <w:szCs w:val="28"/>
          <w:lang w:val="en-US" w:eastAsia="zh-CN"/>
        </w:rPr>
        <w:t>该安全设施设计于2024年4月23日通过了楚雄彝族自治州应急管理局组织专家对该项目安全设施设计的评审，并经修改和完善后于2024年5月6日通过了楚雄彝族自治州应急管理局审批。</w:t>
      </w:r>
    </w:p>
    <w:p w14:paraId="06C2EEF3">
      <w:pPr>
        <w:pageBreakBefore w:val="0"/>
        <w:widowControl w:val="0"/>
        <w:kinsoku/>
        <w:wordWrap/>
        <w:overflowPunct/>
        <w:topLinePunct w:val="0"/>
        <w:bidi w:val="0"/>
        <w:adjustRightInd/>
        <w:snapToGrid/>
        <w:ind w:firstLine="560" w:firstLineChars="200"/>
        <w:textAlignment w:val="auto"/>
        <w:rPr>
          <w:rFonts w:hint="default" w:ascii="Times New Roman" w:hAnsi="Times New Roman" w:eastAsia="宋体" w:cs="Times New Roman"/>
          <w:snapToGrid w:val="0"/>
          <w:kern w:val="0"/>
          <w:sz w:val="28"/>
          <w:szCs w:val="28"/>
          <w:lang w:val="en-US" w:eastAsia="zh-CN"/>
        </w:rPr>
      </w:pPr>
      <w:bookmarkStart w:id="202" w:name="_Hlk117521497"/>
      <w:r>
        <w:rPr>
          <w:rFonts w:hint="default" w:ascii="Times New Roman" w:hAnsi="Times New Roman" w:eastAsia="宋体" w:cs="Times New Roman"/>
          <w:snapToGrid w:val="0"/>
          <w:kern w:val="0"/>
          <w:sz w:val="28"/>
          <w:szCs w:val="28"/>
          <w:lang w:val="en-US" w:eastAsia="zh-CN"/>
        </w:rPr>
        <w:t>矿山于2023年5月15日开始施工建设，于2024年10月15日竣工，</w:t>
      </w:r>
      <w:bookmarkEnd w:id="202"/>
      <w:r>
        <w:rPr>
          <w:rFonts w:hint="default" w:ascii="Times New Roman" w:hAnsi="Times New Roman" w:eastAsia="宋体" w:cs="Times New Roman"/>
          <w:snapToGrid w:val="0"/>
          <w:kern w:val="0"/>
          <w:sz w:val="28"/>
          <w:szCs w:val="28"/>
          <w:lang w:val="en-US" w:eastAsia="zh-CN"/>
        </w:rPr>
        <w:t>矿山基建工程安全设施已建设完成，能够满足安全生产需要，安全设施运行正常，企业安全管理到位，安全技术措施已得到落实，未发生过生产安全事故。</w:t>
      </w:r>
    </w:p>
    <w:p w14:paraId="3BE8D246">
      <w:pPr>
        <w:pageBreakBefore w:val="0"/>
        <w:widowControl w:val="0"/>
        <w:kinsoku/>
        <w:wordWrap/>
        <w:overflowPunct/>
        <w:topLinePunct w:val="0"/>
        <w:bidi w:val="0"/>
        <w:adjustRightInd/>
        <w:snapToGrid/>
        <w:ind w:firstLine="560" w:firstLineChars="200"/>
        <w:textAlignment w:val="auto"/>
        <w:rPr>
          <w:rFonts w:hint="default" w:ascii="Times New Roman" w:hAnsi="Times New Roman" w:eastAsia="宋体" w:cs="Times New Roman"/>
          <w:snapToGrid w:val="0"/>
          <w:kern w:val="0"/>
          <w:sz w:val="28"/>
          <w:szCs w:val="28"/>
          <w:lang w:val="en-US" w:eastAsia="zh-CN"/>
        </w:rPr>
      </w:pPr>
      <w:r>
        <w:rPr>
          <w:rFonts w:hint="default" w:ascii="Times New Roman" w:hAnsi="Times New Roman" w:eastAsia="宋体" w:cs="Times New Roman"/>
          <w:snapToGrid w:val="0"/>
          <w:kern w:val="0"/>
          <w:sz w:val="28"/>
          <w:szCs w:val="28"/>
          <w:lang w:val="en-US" w:eastAsia="zh-CN"/>
        </w:rPr>
        <w:t>依据《中华人民共和国安全生产法》、《建设项目安全设施“三同时”监督管理办法》等国家有关安全生产法律法规及部门规章，建设单位须履行安全设施“三同时”手续。因此，姚安县城镇投资开发有限公司委托我公司根据《安全验收评价导则》（AQ8003-2007）、《国家安全监管总局关于印发〈金属非金属矿山建设项目安全评价报告编写提纲〉的通知》（原安监总管一〔2016〕49号）等文件的要求，最终形成《姚安县太平镇王家咀石料场30万t/a露天采矿工程安全设施验收评价报告》。</w:t>
      </w:r>
    </w:p>
    <w:p w14:paraId="36477BC2">
      <w:pPr>
        <w:pStyle w:val="4"/>
        <w:ind w:firstLine="562"/>
        <w:rPr>
          <w:rFonts w:hint="default" w:ascii="Times New Roman" w:hAnsi="Times New Roman" w:eastAsia="宋体" w:cs="Times New Roman"/>
          <w:b/>
          <w:bCs w:val="0"/>
        </w:rPr>
      </w:pPr>
      <w:bookmarkStart w:id="203" w:name="_Toc454614248"/>
      <w:bookmarkStart w:id="204" w:name="_Toc5400"/>
      <w:bookmarkStart w:id="205" w:name="_Toc29456"/>
      <w:bookmarkStart w:id="206" w:name="_Toc5380"/>
      <w:bookmarkStart w:id="207" w:name="_Toc3400"/>
      <w:bookmarkStart w:id="208" w:name="_Toc30678"/>
      <w:bookmarkStart w:id="209" w:name="_Toc1818"/>
      <w:bookmarkStart w:id="210" w:name="_Toc59420502"/>
      <w:r>
        <w:rPr>
          <w:rFonts w:hint="default" w:ascii="Times New Roman" w:hAnsi="Times New Roman" w:eastAsia="宋体" w:cs="Times New Roman"/>
          <w:b/>
          <w:bCs w:val="0"/>
        </w:rPr>
        <w:t>2.1.</w:t>
      </w:r>
      <w:bookmarkEnd w:id="197"/>
      <w:r>
        <w:rPr>
          <w:rFonts w:hint="default" w:ascii="Times New Roman" w:hAnsi="Times New Roman" w:eastAsia="宋体" w:cs="Times New Roman"/>
          <w:b/>
          <w:bCs w:val="0"/>
        </w:rPr>
        <w:t>3建设项目行政区划、地理位置及交通</w:t>
      </w:r>
      <w:bookmarkEnd w:id="203"/>
      <w:bookmarkEnd w:id="204"/>
      <w:bookmarkEnd w:id="205"/>
      <w:bookmarkEnd w:id="206"/>
      <w:bookmarkEnd w:id="207"/>
      <w:bookmarkEnd w:id="208"/>
      <w:bookmarkEnd w:id="209"/>
      <w:bookmarkEnd w:id="210"/>
    </w:p>
    <w:p w14:paraId="59D0F2EC">
      <w:pPr>
        <w:adjustRightInd/>
        <w:snapToGrid/>
        <w:spacing w:line="360" w:lineRule="auto"/>
        <w:ind w:firstLine="560" w:firstLineChars="200"/>
        <w:rPr>
          <w:rFonts w:hint="default" w:ascii="Times New Roman" w:hAnsi="Times New Roman" w:eastAsia="宋体" w:cs="Times New Roman"/>
          <w:color w:val="auto"/>
          <w:sz w:val="28"/>
          <w:szCs w:val="28"/>
        </w:rPr>
      </w:pPr>
      <w:bookmarkStart w:id="211" w:name="_Toc313439207"/>
      <w:r>
        <w:rPr>
          <w:rFonts w:hint="default" w:ascii="Times New Roman" w:hAnsi="Times New Roman" w:eastAsia="宋体" w:cs="Times New Roman"/>
          <w:color w:val="auto"/>
          <w:sz w:val="28"/>
          <w:szCs w:val="28"/>
        </w:rPr>
        <w:t>姚安县城镇投资开发有限公司姚安县太平镇王家咀石料场位于姚安县太平镇王家咀村东北方向约1km处，隶属姚安县太平镇陈家村委会管辖。矿权范围由6个拐点坐标组成，地理坐标：东经101°07′25″～101°07′28″，北纬25°15′51″～25°15′57″，中心地理坐标：东经101°12′43″，北纬25°26′50″。</w:t>
      </w:r>
    </w:p>
    <w:p w14:paraId="49D0FE93">
      <w:pPr>
        <w:pStyle w:val="122"/>
        <w:snapToGrid w:val="0"/>
        <w:spacing w:line="360" w:lineRule="auto"/>
        <w:ind w:firstLine="560" w:firstLineChars="200"/>
        <w:jc w:val="both"/>
        <w:rPr>
          <w:rFonts w:hint="default" w:ascii="Times New Roman" w:hAnsi="Times New Roman" w:cs="Times New Roman"/>
          <w:color w:val="auto"/>
          <w:sz w:val="28"/>
          <w:szCs w:val="28"/>
        </w:rPr>
      </w:pPr>
      <w:r>
        <w:rPr>
          <w:rFonts w:hint="default" w:ascii="Times New Roman" w:hAnsi="Times New Roman" w:eastAsia="宋体" w:cs="Times New Roman"/>
          <w:color w:val="auto"/>
          <w:sz w:val="28"/>
          <w:szCs w:val="28"/>
        </w:rPr>
        <w:t>矿区紧邻古山寺至陈家的陈家线乡村公路，直线距离约1.2km，矿区至姚安县城公路里程约16km，姚安至楚雄公路里程约76km，姚安至昆明公路里程约266km</w:t>
      </w:r>
      <w:r>
        <w:rPr>
          <w:rFonts w:hint="default" w:ascii="Times New Roman" w:hAnsi="Times New Roman" w:cs="Times New Roman"/>
          <w:color w:val="auto"/>
          <w:sz w:val="28"/>
          <w:szCs w:val="28"/>
        </w:rPr>
        <w:t>。</w:t>
      </w:r>
    </w:p>
    <w:p w14:paraId="3D103990">
      <w:pPr>
        <w:pStyle w:val="4"/>
        <w:keepNext/>
        <w:keepLines/>
        <w:pageBreakBefore w:val="0"/>
        <w:widowControl w:val="0"/>
        <w:kinsoku/>
        <w:wordWrap/>
        <w:overflowPunct/>
        <w:topLinePunct w:val="0"/>
        <w:autoSpaceDE/>
        <w:autoSpaceDN/>
        <w:bidi w:val="0"/>
        <w:adjustRightInd w:val="0"/>
        <w:snapToGrid w:val="0"/>
        <w:ind w:firstLine="562"/>
        <w:textAlignment w:val="auto"/>
        <w:rPr>
          <w:rFonts w:hint="default" w:ascii="Times New Roman" w:hAnsi="Times New Roman" w:eastAsia="宋体" w:cs="Times New Roman"/>
          <w:b/>
          <w:bCs w:val="0"/>
        </w:rPr>
      </w:pPr>
      <w:bookmarkStart w:id="212" w:name="_Toc59420503"/>
      <w:bookmarkStart w:id="213" w:name="_Toc19410"/>
      <w:bookmarkStart w:id="214" w:name="_Toc454614249"/>
      <w:bookmarkStart w:id="215" w:name="_Toc22805"/>
      <w:bookmarkStart w:id="216" w:name="_Toc12992"/>
      <w:bookmarkStart w:id="217" w:name="_Toc8474"/>
      <w:bookmarkStart w:id="218" w:name="_Toc24276"/>
      <w:bookmarkStart w:id="219" w:name="_Toc12252"/>
      <w:bookmarkStart w:id="220" w:name="_Toc384121547"/>
      <w:r>
        <w:rPr>
          <w:rFonts w:hint="default" w:ascii="Times New Roman" w:hAnsi="Times New Roman" w:eastAsia="宋体" w:cs="Times New Roman"/>
          <w:b/>
          <w:bCs w:val="0"/>
        </w:rPr>
        <w:t>2.1.4矿区周边环境</w:t>
      </w:r>
      <w:bookmarkEnd w:id="211"/>
      <w:bookmarkEnd w:id="212"/>
      <w:bookmarkEnd w:id="213"/>
      <w:bookmarkEnd w:id="214"/>
      <w:bookmarkEnd w:id="215"/>
      <w:bookmarkEnd w:id="216"/>
      <w:bookmarkEnd w:id="217"/>
      <w:bookmarkEnd w:id="218"/>
      <w:bookmarkEnd w:id="219"/>
      <w:bookmarkEnd w:id="220"/>
    </w:p>
    <w:p w14:paraId="5722B49E">
      <w:pPr>
        <w:adjustRightInd/>
        <w:snapToGrid/>
        <w:spacing w:line="360" w:lineRule="auto"/>
        <w:ind w:firstLine="560" w:firstLineChars="200"/>
        <w:rPr>
          <w:rFonts w:hint="default" w:ascii="Times New Roman" w:hAnsi="Times New Roman" w:eastAsia="宋体" w:cs="Times New Roman"/>
          <w:color w:val="auto"/>
          <w:sz w:val="28"/>
          <w:szCs w:val="28"/>
        </w:rPr>
      </w:pPr>
      <w:bookmarkStart w:id="221" w:name="_Hlk129349734"/>
      <w:bookmarkStart w:id="222" w:name="_Hlk85639330"/>
      <w:bookmarkStart w:id="223" w:name="_Toc313439206"/>
      <w:bookmarkStart w:id="224" w:name="_Toc384121548"/>
      <w:bookmarkStart w:id="225" w:name="_Toc5773"/>
      <w:bookmarkStart w:id="226" w:name="_Toc59420504"/>
      <w:bookmarkStart w:id="227" w:name="_Toc8199"/>
      <w:bookmarkStart w:id="228" w:name="_Toc5849"/>
      <w:bookmarkStart w:id="229" w:name="_Toc454614250"/>
      <w:r>
        <w:rPr>
          <w:rFonts w:hint="default" w:ascii="Times New Roman" w:hAnsi="Times New Roman" w:eastAsia="宋体" w:cs="Times New Roman"/>
          <w:color w:val="auto"/>
          <w:sz w:val="28"/>
          <w:szCs w:val="28"/>
        </w:rPr>
        <w:t>矿区东面及东北面有光伏发电板、破碎加工区、办公生活区和连接外部的村道；</w:t>
      </w:r>
      <w:bookmarkEnd w:id="221"/>
      <w:r>
        <w:rPr>
          <w:rFonts w:hint="default" w:ascii="Times New Roman" w:hAnsi="Times New Roman" w:eastAsia="宋体" w:cs="Times New Roman"/>
          <w:color w:val="auto"/>
          <w:sz w:val="28"/>
          <w:szCs w:val="28"/>
        </w:rPr>
        <w:t>东面最近村庄为老葛冲，西面最近村庄为杨官庄，西南面最近村庄为王家咀，南侧有一条机耕道路连接矿区，其余方向均为荒山</w:t>
      </w:r>
      <w:bookmarkEnd w:id="222"/>
      <w:r>
        <w:rPr>
          <w:rFonts w:hint="default" w:ascii="Times New Roman" w:hAnsi="Times New Roman" w:eastAsia="宋体" w:cs="Times New Roman"/>
          <w:color w:val="auto"/>
          <w:sz w:val="28"/>
          <w:szCs w:val="28"/>
        </w:rPr>
        <w:t>。矿区周边设施与开采境界最小距离详见表2.1-1。</w:t>
      </w:r>
    </w:p>
    <w:p w14:paraId="26F89510">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矿区周边关系简单，300m范围内无民房及重要工业设施等，区内无珍稀动植物分布，人烟相对稀少，区内不属于文物保护区和旅游区。矿区范围内无村寨。矿区周边1000m范围内没有铁路。</w:t>
      </w:r>
    </w:p>
    <w:p w14:paraId="02EA2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表2.1-1  矿区周边设施与开采境界最小距离表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6"/>
        <w:gridCol w:w="2553"/>
        <w:gridCol w:w="3756"/>
        <w:gridCol w:w="2235"/>
      </w:tblGrid>
      <w:tr w14:paraId="1337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noWrap w:val="0"/>
            <w:vAlign w:val="center"/>
          </w:tcPr>
          <w:p w14:paraId="0A6A99E7">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spacing w:val="10"/>
                <w:sz w:val="21"/>
                <w:szCs w:val="21"/>
              </w:rPr>
              <w:t>方位</w:t>
            </w:r>
          </w:p>
        </w:tc>
        <w:tc>
          <w:tcPr>
            <w:tcW w:w="1388" w:type="pct"/>
            <w:noWrap w:val="0"/>
            <w:vAlign w:val="center"/>
          </w:tcPr>
          <w:p w14:paraId="49FC3BCD">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spacing w:val="10"/>
                <w:sz w:val="21"/>
                <w:szCs w:val="21"/>
              </w:rPr>
              <w:t>周边设施或建筑</w:t>
            </w:r>
          </w:p>
        </w:tc>
        <w:tc>
          <w:tcPr>
            <w:tcW w:w="2042" w:type="pct"/>
            <w:noWrap w:val="0"/>
            <w:vAlign w:val="center"/>
          </w:tcPr>
          <w:p w14:paraId="6BD3F760">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spacing w:val="10"/>
                <w:sz w:val="21"/>
                <w:szCs w:val="21"/>
              </w:rPr>
              <w:t>与开采境界最小距离（m）</w:t>
            </w:r>
          </w:p>
        </w:tc>
        <w:tc>
          <w:tcPr>
            <w:tcW w:w="1215" w:type="pct"/>
            <w:noWrap w:val="0"/>
            <w:vAlign w:val="center"/>
          </w:tcPr>
          <w:p w14:paraId="180AD619">
            <w:pPr>
              <w:adjustRightInd w:val="0"/>
              <w:snapToGrid w:val="0"/>
              <w:spacing w:line="240" w:lineRule="auto"/>
              <w:ind w:firstLine="0" w:firstLineChars="0"/>
              <w:jc w:val="center"/>
              <w:rPr>
                <w:rFonts w:hint="default" w:ascii="Times New Roman" w:hAnsi="Times New Roman" w:eastAsia="宋体" w:cs="Times New Roman"/>
                <w:b/>
                <w:bCs/>
                <w:color w:val="auto"/>
                <w:spacing w:val="10"/>
                <w:sz w:val="21"/>
                <w:szCs w:val="21"/>
              </w:rPr>
            </w:pPr>
            <w:r>
              <w:rPr>
                <w:rFonts w:hint="default" w:ascii="Times New Roman" w:hAnsi="Times New Roman" w:eastAsia="宋体" w:cs="Times New Roman"/>
                <w:b/>
                <w:bCs/>
                <w:color w:val="auto"/>
                <w:spacing w:val="10"/>
                <w:sz w:val="21"/>
                <w:szCs w:val="21"/>
              </w:rPr>
              <w:t>备注</w:t>
            </w:r>
          </w:p>
        </w:tc>
      </w:tr>
      <w:tr w14:paraId="700F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vMerge w:val="restart"/>
            <w:noWrap w:val="0"/>
            <w:vAlign w:val="center"/>
          </w:tcPr>
          <w:p w14:paraId="15DA4E4C">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东侧</w:t>
            </w:r>
          </w:p>
        </w:tc>
        <w:tc>
          <w:tcPr>
            <w:tcW w:w="1388" w:type="pct"/>
            <w:noWrap w:val="0"/>
            <w:vAlign w:val="center"/>
          </w:tcPr>
          <w:p w14:paraId="359A66E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破碎站</w:t>
            </w:r>
          </w:p>
        </w:tc>
        <w:tc>
          <w:tcPr>
            <w:tcW w:w="2042" w:type="pct"/>
            <w:noWrap w:val="0"/>
            <w:vAlign w:val="center"/>
          </w:tcPr>
          <w:p w14:paraId="65565C12">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281</w:t>
            </w:r>
          </w:p>
        </w:tc>
        <w:tc>
          <w:tcPr>
            <w:tcW w:w="1215" w:type="pct"/>
            <w:noWrap w:val="0"/>
            <w:vAlign w:val="center"/>
          </w:tcPr>
          <w:p w14:paraId="07686B05">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r>
      <w:tr w14:paraId="10EB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vMerge w:val="continue"/>
            <w:noWrap w:val="0"/>
            <w:vAlign w:val="center"/>
          </w:tcPr>
          <w:p w14:paraId="60B84DA2">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c>
          <w:tcPr>
            <w:tcW w:w="1388" w:type="pct"/>
            <w:noWrap w:val="0"/>
            <w:vAlign w:val="center"/>
          </w:tcPr>
          <w:p w14:paraId="746420EE">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办公生活区</w:t>
            </w:r>
          </w:p>
        </w:tc>
        <w:tc>
          <w:tcPr>
            <w:tcW w:w="2042" w:type="pct"/>
            <w:noWrap w:val="0"/>
            <w:vAlign w:val="center"/>
          </w:tcPr>
          <w:p w14:paraId="6696B681">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317</w:t>
            </w:r>
          </w:p>
        </w:tc>
        <w:tc>
          <w:tcPr>
            <w:tcW w:w="1215" w:type="pct"/>
            <w:noWrap w:val="0"/>
            <w:vAlign w:val="center"/>
          </w:tcPr>
          <w:p w14:paraId="634B18AF">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r>
      <w:tr w14:paraId="255D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vMerge w:val="continue"/>
            <w:noWrap w:val="0"/>
            <w:vAlign w:val="center"/>
          </w:tcPr>
          <w:p w14:paraId="75DBDBD0">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c>
          <w:tcPr>
            <w:tcW w:w="1388" w:type="pct"/>
            <w:noWrap w:val="0"/>
            <w:vAlign w:val="center"/>
          </w:tcPr>
          <w:p w14:paraId="466686BD">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光伏发电板</w:t>
            </w:r>
          </w:p>
        </w:tc>
        <w:tc>
          <w:tcPr>
            <w:tcW w:w="2042" w:type="pct"/>
            <w:noWrap w:val="0"/>
            <w:vAlign w:val="center"/>
          </w:tcPr>
          <w:p w14:paraId="6AF2F77F">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371</w:t>
            </w:r>
          </w:p>
        </w:tc>
        <w:tc>
          <w:tcPr>
            <w:tcW w:w="1215" w:type="pct"/>
            <w:noWrap w:val="0"/>
            <w:vAlign w:val="center"/>
          </w:tcPr>
          <w:p w14:paraId="3CFFE9C7">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r>
      <w:tr w14:paraId="25E2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vMerge w:val="continue"/>
            <w:noWrap w:val="0"/>
            <w:vAlign w:val="center"/>
          </w:tcPr>
          <w:p w14:paraId="6CC4D134">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c>
          <w:tcPr>
            <w:tcW w:w="1388" w:type="pct"/>
            <w:noWrap w:val="0"/>
            <w:vAlign w:val="center"/>
          </w:tcPr>
          <w:p w14:paraId="58B6326B">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村道</w:t>
            </w:r>
          </w:p>
        </w:tc>
        <w:tc>
          <w:tcPr>
            <w:tcW w:w="2042" w:type="pct"/>
            <w:noWrap w:val="0"/>
            <w:vAlign w:val="center"/>
          </w:tcPr>
          <w:p w14:paraId="0293AF93">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457</w:t>
            </w:r>
          </w:p>
        </w:tc>
        <w:tc>
          <w:tcPr>
            <w:tcW w:w="1215" w:type="pct"/>
            <w:noWrap w:val="0"/>
            <w:vAlign w:val="center"/>
          </w:tcPr>
          <w:p w14:paraId="2BD0F6D3">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r>
      <w:tr w14:paraId="4030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vMerge w:val="continue"/>
            <w:noWrap w:val="0"/>
            <w:vAlign w:val="center"/>
          </w:tcPr>
          <w:p w14:paraId="2C4F91C7">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c>
          <w:tcPr>
            <w:tcW w:w="1388" w:type="pct"/>
            <w:noWrap w:val="0"/>
            <w:vAlign w:val="center"/>
          </w:tcPr>
          <w:p w14:paraId="2A60B789">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老葛冲</w:t>
            </w:r>
          </w:p>
        </w:tc>
        <w:tc>
          <w:tcPr>
            <w:tcW w:w="2042" w:type="pct"/>
            <w:noWrap w:val="0"/>
            <w:vAlign w:val="center"/>
          </w:tcPr>
          <w:p w14:paraId="02872000">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1650</w:t>
            </w:r>
          </w:p>
        </w:tc>
        <w:tc>
          <w:tcPr>
            <w:tcW w:w="1215" w:type="pct"/>
            <w:noWrap w:val="0"/>
            <w:vAlign w:val="center"/>
          </w:tcPr>
          <w:p w14:paraId="36FE9AC0">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r>
      <w:tr w14:paraId="0A37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vMerge w:val="restart"/>
            <w:noWrap w:val="0"/>
            <w:vAlign w:val="center"/>
          </w:tcPr>
          <w:p w14:paraId="6D5DFFE8">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西侧</w:t>
            </w:r>
          </w:p>
        </w:tc>
        <w:tc>
          <w:tcPr>
            <w:tcW w:w="1388" w:type="pct"/>
            <w:noWrap w:val="0"/>
            <w:vAlign w:val="center"/>
          </w:tcPr>
          <w:p w14:paraId="21117341">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杨官庄</w:t>
            </w:r>
          </w:p>
        </w:tc>
        <w:tc>
          <w:tcPr>
            <w:tcW w:w="2042" w:type="pct"/>
            <w:noWrap w:val="0"/>
            <w:vAlign w:val="center"/>
          </w:tcPr>
          <w:p w14:paraId="1A785391">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1100</w:t>
            </w:r>
          </w:p>
        </w:tc>
        <w:tc>
          <w:tcPr>
            <w:tcW w:w="1215" w:type="pct"/>
            <w:noWrap w:val="0"/>
            <w:vAlign w:val="center"/>
          </w:tcPr>
          <w:p w14:paraId="5AEB8829">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r>
      <w:tr w14:paraId="74A0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52" w:type="pct"/>
            <w:vMerge w:val="continue"/>
            <w:noWrap w:val="0"/>
            <w:vAlign w:val="center"/>
          </w:tcPr>
          <w:p w14:paraId="4B2076EB">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c>
          <w:tcPr>
            <w:tcW w:w="1388" w:type="pct"/>
            <w:noWrap w:val="0"/>
            <w:vAlign w:val="center"/>
          </w:tcPr>
          <w:p w14:paraId="2B6E5E2B">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王家咀</w:t>
            </w:r>
          </w:p>
        </w:tc>
        <w:tc>
          <w:tcPr>
            <w:tcW w:w="2042" w:type="pct"/>
            <w:noWrap w:val="0"/>
            <w:vAlign w:val="center"/>
          </w:tcPr>
          <w:p w14:paraId="0302BA6A">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r>
              <w:rPr>
                <w:rFonts w:hint="default" w:ascii="Times New Roman" w:hAnsi="Times New Roman" w:eastAsia="宋体" w:cs="Times New Roman"/>
                <w:color w:val="auto"/>
                <w:spacing w:val="10"/>
                <w:sz w:val="21"/>
                <w:szCs w:val="21"/>
              </w:rPr>
              <w:t>950</w:t>
            </w:r>
          </w:p>
        </w:tc>
        <w:tc>
          <w:tcPr>
            <w:tcW w:w="1215" w:type="pct"/>
            <w:noWrap w:val="0"/>
            <w:vAlign w:val="center"/>
          </w:tcPr>
          <w:p w14:paraId="4399D85D">
            <w:pPr>
              <w:adjustRightInd w:val="0"/>
              <w:snapToGrid w:val="0"/>
              <w:spacing w:line="240" w:lineRule="auto"/>
              <w:ind w:firstLine="0" w:firstLineChars="0"/>
              <w:jc w:val="center"/>
              <w:rPr>
                <w:rFonts w:hint="default" w:ascii="Times New Roman" w:hAnsi="Times New Roman" w:eastAsia="宋体" w:cs="Times New Roman"/>
                <w:color w:val="auto"/>
                <w:spacing w:val="10"/>
                <w:sz w:val="21"/>
                <w:szCs w:val="21"/>
              </w:rPr>
            </w:pPr>
          </w:p>
        </w:tc>
      </w:tr>
    </w:tbl>
    <w:p w14:paraId="19324183">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230" w:name="_Toc8765"/>
      <w:bookmarkStart w:id="231" w:name="_Toc27249"/>
      <w:bookmarkStart w:id="232" w:name="_Toc27091"/>
      <w:bookmarkStart w:id="233" w:name="_Toc7830"/>
      <w:bookmarkStart w:id="234" w:name="_Toc8500"/>
      <w:r>
        <w:rPr>
          <w:rFonts w:hint="default" w:ascii="Times New Roman" w:hAnsi="Times New Roman" w:cs="Times New Roman"/>
          <w:b/>
          <w:bCs w:val="0"/>
        </w:rPr>
        <w:t>2.2自然</w:t>
      </w:r>
      <w:bookmarkEnd w:id="223"/>
      <w:r>
        <w:rPr>
          <w:rFonts w:hint="default" w:ascii="Times New Roman" w:hAnsi="Times New Roman" w:cs="Times New Roman"/>
          <w:b/>
          <w:bCs w:val="0"/>
        </w:rPr>
        <w:t>环境概况</w:t>
      </w:r>
      <w:bookmarkEnd w:id="224"/>
      <w:bookmarkEnd w:id="225"/>
      <w:bookmarkEnd w:id="226"/>
      <w:bookmarkEnd w:id="227"/>
      <w:bookmarkEnd w:id="228"/>
      <w:bookmarkEnd w:id="229"/>
      <w:bookmarkEnd w:id="230"/>
      <w:bookmarkEnd w:id="231"/>
      <w:bookmarkEnd w:id="232"/>
      <w:bookmarkEnd w:id="233"/>
      <w:bookmarkEnd w:id="234"/>
    </w:p>
    <w:p w14:paraId="20A02BF6">
      <w:pPr>
        <w:pStyle w:val="4"/>
        <w:ind w:firstLine="562"/>
        <w:rPr>
          <w:rFonts w:hint="default" w:ascii="Times New Roman" w:hAnsi="Times New Roman" w:eastAsia="宋体" w:cs="Times New Roman"/>
          <w:b/>
          <w:bCs w:val="0"/>
          <w:lang w:eastAsia="zh-CN"/>
        </w:rPr>
      </w:pPr>
      <w:bookmarkStart w:id="235" w:name="_Toc14675"/>
      <w:bookmarkStart w:id="236" w:name="_Toc5899"/>
      <w:bookmarkStart w:id="237" w:name="_Toc27985"/>
      <w:bookmarkStart w:id="238" w:name="_Toc14503"/>
      <w:bookmarkStart w:id="239" w:name="_Toc12194"/>
      <w:bookmarkStart w:id="240" w:name="_Toc22164"/>
      <w:bookmarkStart w:id="241" w:name="_Toc18155"/>
      <w:bookmarkStart w:id="242" w:name="_Toc323820668"/>
      <w:bookmarkStart w:id="243" w:name="_Toc327020792"/>
      <w:bookmarkStart w:id="244" w:name="_Toc332786052"/>
      <w:bookmarkStart w:id="245" w:name="_Toc59420505"/>
      <w:bookmarkStart w:id="246" w:name="_Toc26785"/>
      <w:bookmarkStart w:id="247" w:name="_Toc454614251"/>
      <w:bookmarkStart w:id="248" w:name="_Toc2339"/>
      <w:bookmarkStart w:id="249" w:name="_Toc384121549"/>
      <w:bookmarkStart w:id="250" w:name="_Toc13503"/>
      <w:r>
        <w:rPr>
          <w:rFonts w:hint="default" w:ascii="Times New Roman" w:hAnsi="Times New Roman" w:eastAsia="宋体" w:cs="Times New Roman"/>
          <w:b/>
          <w:bCs w:val="0"/>
        </w:rPr>
        <w:t>2.2.1</w:t>
      </w:r>
      <w:bookmarkEnd w:id="235"/>
      <w:bookmarkEnd w:id="236"/>
      <w:bookmarkEnd w:id="237"/>
      <w:r>
        <w:rPr>
          <w:rFonts w:hint="default" w:ascii="Times New Roman" w:hAnsi="Times New Roman" w:eastAsia="宋体" w:cs="Times New Roman"/>
          <w:b/>
          <w:bCs w:val="0"/>
        </w:rPr>
        <w:t>地形</w:t>
      </w:r>
      <w:bookmarkEnd w:id="238"/>
      <w:bookmarkEnd w:id="239"/>
      <w:bookmarkEnd w:id="240"/>
      <w:bookmarkEnd w:id="241"/>
      <w:r>
        <w:rPr>
          <w:rFonts w:hint="default" w:ascii="Times New Roman" w:hAnsi="Times New Roman" w:eastAsia="宋体" w:cs="Times New Roman"/>
          <w:b/>
          <w:bCs w:val="0"/>
          <w:lang w:val="en-US" w:eastAsia="zh-CN"/>
        </w:rPr>
        <w:t>地貌</w:t>
      </w:r>
    </w:p>
    <w:p w14:paraId="20495A01">
      <w:pPr>
        <w:pStyle w:val="20"/>
        <w:spacing w:after="0"/>
        <w:ind w:left="0" w:leftChars="0" w:firstLine="560"/>
        <w:rPr>
          <w:rFonts w:hint="default" w:ascii="Times New Roman" w:hAnsi="Times New Roman" w:cs="Times New Roman"/>
          <w:szCs w:val="20"/>
        </w:rPr>
      </w:pPr>
      <w:bookmarkStart w:id="251" w:name="_Toc30063"/>
      <w:bookmarkStart w:id="252" w:name="_Toc16736"/>
      <w:bookmarkStart w:id="253" w:name="_Toc151"/>
      <w:r>
        <w:rPr>
          <w:rFonts w:hint="default" w:ascii="Times New Roman" w:hAnsi="Times New Roman" w:cs="Times New Roman"/>
          <w:szCs w:val="20"/>
        </w:rPr>
        <w:t>矿区属于构造剥蚀低中山地貌斜坡地形，总体地形南北两边高、中间低，最高点为矿权范围北东侧的山脊，海拔为2260.61m，最低点在矿区南西侧沟谷中，海拔标高为2039.5m（为当地最低侵蚀基准面），相对高差221.11m，地形起伏变化较大，地面自然坡度20～40°，山顶部位较平缓，山脊两侧较陡，中部发育一条北东-南西向主要冲沟。地表植被主要为低矮松树和阔叶乔木，有少量杂草及低矮灌木丛，植被较发育，部分基岩裸露。地形地貌复杂程度属中等类型。</w:t>
      </w:r>
    </w:p>
    <w:p w14:paraId="179379CE">
      <w:pPr>
        <w:pStyle w:val="20"/>
        <w:spacing w:after="0"/>
        <w:ind w:left="0" w:leftChars="0" w:firstLine="560"/>
        <w:rPr>
          <w:rFonts w:hint="default" w:ascii="Times New Roman" w:hAnsi="Times New Roman" w:cs="Times New Roman"/>
          <w:szCs w:val="20"/>
        </w:rPr>
      </w:pPr>
      <w:r>
        <w:rPr>
          <w:rFonts w:hint="default" w:ascii="Times New Roman" w:hAnsi="Times New Roman" w:cs="Times New Roman"/>
          <w:szCs w:val="20"/>
        </w:rPr>
        <w:t>根据《中国地震动参数区划图》（GB18306-2015）及《建筑抗震设计标准（2024年版）》（GB/T 50011-2010），矿区所在位置属地震基本烈度7度区第三组，地震动峰值加速度0.15g，反应谱特征周期0.45s；根据1：100万《云南省区域地壳稳定性评价》资料，矿山处于区域次不稳定区。</w:t>
      </w:r>
    </w:p>
    <w:bookmarkEnd w:id="251"/>
    <w:bookmarkEnd w:id="252"/>
    <w:bookmarkEnd w:id="253"/>
    <w:p w14:paraId="4498D362">
      <w:pPr>
        <w:pStyle w:val="4"/>
        <w:ind w:firstLine="562"/>
        <w:rPr>
          <w:rFonts w:hint="default" w:ascii="Times New Roman" w:hAnsi="Times New Roman" w:eastAsia="宋体" w:cs="Times New Roman"/>
          <w:b/>
          <w:bCs w:val="0"/>
          <w:lang w:val="en-US" w:eastAsia="zh-CN"/>
        </w:rPr>
      </w:pPr>
      <w:bookmarkStart w:id="254" w:name="_Toc25436"/>
      <w:bookmarkStart w:id="255" w:name="_Toc14087"/>
      <w:bookmarkStart w:id="256" w:name="_Toc24847"/>
      <w:bookmarkStart w:id="257" w:name="_Toc21025"/>
      <w:r>
        <w:rPr>
          <w:rFonts w:hint="default" w:ascii="Times New Roman" w:hAnsi="Times New Roman" w:eastAsia="宋体" w:cs="Times New Roman"/>
          <w:b/>
          <w:bCs w:val="0"/>
        </w:rPr>
        <w:t>2.2.2</w:t>
      </w:r>
      <w:r>
        <w:rPr>
          <w:rFonts w:hint="default" w:ascii="Times New Roman" w:hAnsi="Times New Roman" w:eastAsia="宋体" w:cs="Times New Roman"/>
          <w:b/>
          <w:bCs w:val="0"/>
          <w:lang w:val="en-US" w:eastAsia="zh-CN"/>
        </w:rPr>
        <w:t>水文条件</w:t>
      </w:r>
    </w:p>
    <w:p w14:paraId="1107429B">
      <w:pPr>
        <w:adjustRightInd/>
        <w:snapToGrid/>
        <w:spacing w:line="360" w:lineRule="auto"/>
        <w:ind w:firstLine="560" w:firstLineChars="200"/>
        <w:jc w:val="left"/>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矿区地形总体南北两边高、中间低，最高点为矿权范围北东侧的山脊，海拔为2260.61m，最低点在矿区南西侧标水箐中，海拔标高为2039.5m（最低侵蚀基准面），相对高差221.11m，构造剥蚀低中山地貌斜坡地形。</w:t>
      </w:r>
    </w:p>
    <w:p w14:paraId="39251D43">
      <w:pPr>
        <w:rPr>
          <w:rFonts w:hint="default" w:ascii="Times New Roman" w:hAnsi="Times New Roman" w:cs="Times New Roman"/>
          <w:lang w:val="en-US" w:eastAsia="zh-CN"/>
        </w:rPr>
      </w:pPr>
      <w:r>
        <w:rPr>
          <w:rFonts w:hint="default" w:ascii="Times New Roman" w:hAnsi="Times New Roman" w:eastAsia="宋体" w:cs="Times New Roman"/>
          <w:color w:val="auto"/>
          <w:sz w:val="28"/>
          <w:szCs w:val="28"/>
        </w:rPr>
        <w:t>矿区雨季标水箐内水量一般，旱季基本断流，属季节性冲沟，标水箐水流由东向西径流。矿权范围北西侧直线距离约1.6km低凹沟谷处为杨官庄水库，标水箐南西侧直线距离170m处有一个当地居民修建的水塘；高程均低于矿权最低开采标高</w:t>
      </w:r>
    </w:p>
    <w:p w14:paraId="3B8E8176">
      <w:pPr>
        <w:pStyle w:val="4"/>
        <w:ind w:firstLine="562"/>
        <w:rPr>
          <w:rFonts w:hint="default" w:ascii="Times New Roman" w:hAnsi="Times New Roman" w:eastAsia="宋体" w:cs="Times New Roman"/>
          <w:b/>
          <w:bCs w:val="0"/>
        </w:rPr>
      </w:pPr>
      <w:r>
        <w:rPr>
          <w:rFonts w:hint="default" w:ascii="Times New Roman" w:hAnsi="Times New Roman" w:eastAsia="宋体" w:cs="Times New Roman"/>
          <w:b/>
          <w:bCs w:val="0"/>
          <w:lang w:val="en-US" w:eastAsia="zh-CN"/>
        </w:rPr>
        <w:t>2.2.3</w:t>
      </w:r>
      <w:r>
        <w:rPr>
          <w:rFonts w:hint="default" w:ascii="Times New Roman" w:hAnsi="Times New Roman" w:eastAsia="宋体" w:cs="Times New Roman"/>
          <w:b/>
          <w:bCs w:val="0"/>
        </w:rPr>
        <w:t>气候条件</w:t>
      </w:r>
      <w:bookmarkEnd w:id="254"/>
      <w:bookmarkEnd w:id="255"/>
      <w:bookmarkEnd w:id="256"/>
      <w:bookmarkEnd w:id="257"/>
    </w:p>
    <w:p w14:paraId="19650A9D">
      <w:pPr>
        <w:pStyle w:val="20"/>
        <w:spacing w:after="0"/>
        <w:ind w:left="0" w:leftChars="0" w:firstLine="560"/>
        <w:rPr>
          <w:rFonts w:hint="default" w:ascii="Times New Roman" w:hAnsi="Times New Roman" w:cs="Times New Roman"/>
          <w:szCs w:val="20"/>
        </w:rPr>
      </w:pPr>
      <w:r>
        <w:rPr>
          <w:rFonts w:hint="default" w:ascii="Times New Roman" w:hAnsi="Times New Roman" w:cs="Times New Roman"/>
          <w:szCs w:val="20"/>
        </w:rPr>
        <w:t>区内主要河流为季节性河流河底箐，河水主要由降雨、地表水注入，水量随季节变化，雨季大，旱季小，河底箐由西向东流入东山河，东山河向北东流入中江河，中江河向东汇入金沙江，区内水系属金沙江水系。</w:t>
      </w:r>
    </w:p>
    <w:p w14:paraId="6E9A7656">
      <w:pPr>
        <w:pStyle w:val="20"/>
        <w:spacing w:after="0"/>
        <w:ind w:left="0" w:leftChars="0" w:firstLine="560"/>
        <w:rPr>
          <w:rFonts w:hint="default" w:ascii="Times New Roman" w:hAnsi="Times New Roman" w:cs="Times New Roman"/>
          <w:szCs w:val="20"/>
        </w:rPr>
      </w:pPr>
      <w:r>
        <w:rPr>
          <w:rFonts w:hint="default" w:ascii="Times New Roman" w:hAnsi="Times New Roman" w:cs="Times New Roman"/>
          <w:szCs w:val="20"/>
        </w:rPr>
        <w:t>姚安年平均降雨量为767.5毫米，一年之内，干湿二季界限分明，11月至次年4月为干季，降雨量占全年9%；5至10月为雨季，降雨量占全年91%，且海拔越高，降雨越多，海拔越低，降雨越少。矿区属亚热带高原季风气候，冬干夏湿，气候温和，夏无酷暑，冬无严寒，四季如春，年平均气温14.2℃，全年日照时数2500小时，无霜期约285天</w:t>
      </w:r>
      <w:r>
        <w:rPr>
          <w:rFonts w:hint="default" w:ascii="Times New Roman" w:hAnsi="Times New Roman" w:cs="Times New Roman"/>
          <w:szCs w:val="20"/>
          <w:lang w:eastAsia="zh-CN"/>
        </w:rPr>
        <w:t>，</w:t>
      </w:r>
      <w:r>
        <w:rPr>
          <w:rFonts w:hint="default" w:ascii="Times New Roman" w:hAnsi="Times New Roman" w:cs="Times New Roman"/>
          <w:szCs w:val="20"/>
        </w:rPr>
        <w:t>年平均降雨量为813.5mm。</w:t>
      </w:r>
    </w:p>
    <w:p w14:paraId="40B8C329">
      <w:pPr>
        <w:pStyle w:val="4"/>
        <w:ind w:firstLine="562"/>
        <w:rPr>
          <w:rFonts w:hint="default" w:ascii="Times New Roman" w:hAnsi="Times New Roman" w:eastAsia="宋体" w:cs="Times New Roman"/>
          <w:b/>
          <w:bCs w:val="0"/>
        </w:rPr>
      </w:pPr>
      <w:r>
        <w:rPr>
          <w:rFonts w:hint="default" w:ascii="Times New Roman" w:hAnsi="Times New Roman" w:eastAsia="宋体" w:cs="Times New Roman"/>
          <w:b/>
          <w:bCs w:val="0"/>
        </w:rPr>
        <w:t>2.2.</w:t>
      </w:r>
      <w:r>
        <w:rPr>
          <w:rFonts w:hint="default" w:ascii="Times New Roman" w:hAnsi="Times New Roman" w:eastAsia="宋体" w:cs="Times New Roman"/>
          <w:b/>
          <w:bCs w:val="0"/>
          <w:lang w:val="en-US" w:eastAsia="zh-CN"/>
        </w:rPr>
        <w:t>4</w:t>
      </w:r>
      <w:r>
        <w:rPr>
          <w:rFonts w:hint="default" w:ascii="Times New Roman" w:hAnsi="Times New Roman" w:eastAsia="宋体" w:cs="Times New Roman"/>
          <w:b/>
          <w:bCs w:val="0"/>
        </w:rPr>
        <w:t>社会经济概况</w:t>
      </w:r>
    </w:p>
    <w:p w14:paraId="4022E25F">
      <w:pPr>
        <w:pStyle w:val="20"/>
        <w:spacing w:after="0"/>
        <w:ind w:left="0" w:leftChars="0" w:firstLine="560"/>
        <w:rPr>
          <w:rFonts w:hint="default" w:ascii="Times New Roman" w:hAnsi="Times New Roman" w:cs="Times New Roman"/>
          <w:szCs w:val="21"/>
        </w:rPr>
      </w:pPr>
      <w:r>
        <w:rPr>
          <w:rFonts w:hint="default" w:ascii="Times New Roman" w:hAnsi="Times New Roman" w:cs="Times New Roman"/>
          <w:szCs w:val="21"/>
        </w:rPr>
        <w:t>姚安县太平镇位于姚安县南部，距省会昆明196公里，离州府楚雄市64公里，到县城有14公里。太平镇辖白石地、太平、陈家、老街、各苴5个村委会、54个自然村，83个村民小组。辖区总户数2915户，总人口9763人。居民以彝族、汉族为主，杂居少数回族、苗族、白族、傈僳族等少数民族，多从事农业生产。农产以种植水稻、玉米、烤烟为主，基本可以自给自足，经济作物以柿子、大蒜为主。</w:t>
      </w:r>
    </w:p>
    <w:p w14:paraId="76E4B50A">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258" w:name="_Toc12957"/>
      <w:bookmarkStart w:id="259" w:name="_Toc10789"/>
      <w:bookmarkStart w:id="260" w:name="_Toc12683"/>
      <w:bookmarkStart w:id="261" w:name="_Toc21070"/>
      <w:bookmarkStart w:id="262" w:name="_Toc26602"/>
      <w:r>
        <w:rPr>
          <w:rFonts w:hint="default" w:ascii="Times New Roman" w:hAnsi="Times New Roman" w:cs="Times New Roman"/>
          <w:b/>
          <w:bCs w:val="0"/>
        </w:rPr>
        <w:t>2.3地质</w:t>
      </w:r>
      <w:bookmarkEnd w:id="242"/>
      <w:bookmarkEnd w:id="243"/>
      <w:r>
        <w:rPr>
          <w:rFonts w:hint="default" w:ascii="Times New Roman" w:hAnsi="Times New Roman" w:cs="Times New Roman"/>
          <w:b/>
          <w:bCs w:val="0"/>
        </w:rPr>
        <w:t>概况</w:t>
      </w:r>
      <w:bookmarkEnd w:id="244"/>
      <w:bookmarkEnd w:id="245"/>
      <w:bookmarkEnd w:id="246"/>
      <w:bookmarkEnd w:id="247"/>
      <w:bookmarkEnd w:id="248"/>
      <w:bookmarkEnd w:id="249"/>
      <w:bookmarkEnd w:id="250"/>
      <w:bookmarkEnd w:id="258"/>
      <w:bookmarkEnd w:id="259"/>
      <w:bookmarkEnd w:id="260"/>
      <w:bookmarkEnd w:id="261"/>
      <w:bookmarkEnd w:id="262"/>
    </w:p>
    <w:p w14:paraId="6B4F5A1C">
      <w:pPr>
        <w:pStyle w:val="20"/>
        <w:spacing w:after="0"/>
        <w:ind w:left="0" w:leftChars="0" w:firstLine="560"/>
        <w:rPr>
          <w:rFonts w:hint="default" w:ascii="Times New Roman" w:hAnsi="Times New Roman" w:cs="Times New Roman"/>
          <w:szCs w:val="21"/>
        </w:rPr>
      </w:pPr>
      <w:r>
        <w:rPr>
          <w:rFonts w:hint="default" w:ascii="Times New Roman" w:hAnsi="Times New Roman" w:eastAsia="宋体" w:cs="Times New Roman"/>
          <w:sz w:val="28"/>
          <w:szCs w:val="21"/>
        </w:rPr>
        <w:t>矿山地质资料来源于云南省有色地质局楚雄勘查院于2021年10月提交的《云南省姚安县太平镇王家咀石场普通建筑材料用砂岩矿勘查地质报告》</w:t>
      </w:r>
      <w:r>
        <w:rPr>
          <w:rFonts w:hint="default" w:ascii="Times New Roman" w:hAnsi="Times New Roman" w:cs="Times New Roman"/>
          <w:szCs w:val="21"/>
        </w:rPr>
        <w:t>。</w:t>
      </w:r>
    </w:p>
    <w:p w14:paraId="5DB77F51">
      <w:pPr>
        <w:keepNext/>
        <w:keepLines/>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outlineLvl w:val="2"/>
        <w:rPr>
          <w:rFonts w:hint="default" w:ascii="Times New Roman" w:hAnsi="Times New Roman" w:eastAsia="宋体" w:cs="Times New Roman"/>
          <w:b/>
          <w:bCs w:val="0"/>
          <w:color w:val="000000"/>
          <w:kern w:val="2"/>
          <w:sz w:val="28"/>
          <w:szCs w:val="32"/>
          <w:lang w:val="en-GB" w:eastAsia="zh-CN" w:bidi="ar-SA"/>
        </w:rPr>
      </w:pPr>
      <w:r>
        <w:rPr>
          <w:rFonts w:hint="default" w:ascii="Times New Roman" w:hAnsi="Times New Roman" w:eastAsia="宋体" w:cs="Times New Roman"/>
          <w:b/>
          <w:bCs w:val="0"/>
          <w:color w:val="000000"/>
          <w:kern w:val="2"/>
          <w:sz w:val="28"/>
          <w:szCs w:val="32"/>
          <w:lang w:val="en-GB" w:eastAsia="zh-CN" w:bidi="ar-SA"/>
        </w:rPr>
        <w:t xml:space="preserve">2.3.1 </w:t>
      </w:r>
      <w:r>
        <w:rPr>
          <w:rFonts w:hint="default" w:ascii="Times New Roman" w:hAnsi="Times New Roman" w:eastAsia="宋体" w:cs="Times New Roman"/>
          <w:b/>
          <w:bCs w:val="0"/>
          <w:color w:val="000000"/>
          <w:kern w:val="2"/>
          <w:sz w:val="28"/>
          <w:szCs w:val="32"/>
          <w:lang w:val="en-US" w:eastAsia="zh-CN" w:bidi="ar-SA"/>
        </w:rPr>
        <w:t>区域</w:t>
      </w:r>
      <w:r>
        <w:rPr>
          <w:rFonts w:hint="default" w:ascii="Times New Roman" w:hAnsi="Times New Roman" w:eastAsia="宋体" w:cs="Times New Roman"/>
          <w:b/>
          <w:bCs w:val="0"/>
          <w:color w:val="000000"/>
          <w:kern w:val="2"/>
          <w:sz w:val="28"/>
          <w:szCs w:val="32"/>
          <w:lang w:val="en-GB" w:eastAsia="zh-CN" w:bidi="ar-SA"/>
        </w:rPr>
        <w:t>地质</w:t>
      </w:r>
    </w:p>
    <w:p w14:paraId="7BE4C86F">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bookmarkStart w:id="263" w:name="_Toc6114"/>
      <w:bookmarkStart w:id="264" w:name="_Toc29148210"/>
      <w:r>
        <w:rPr>
          <w:rFonts w:hint="default" w:ascii="Times New Roman" w:hAnsi="Times New Roman" w:eastAsia="黑体" w:cs="Times New Roman"/>
          <w:bCs/>
          <w:kern w:val="2"/>
          <w:sz w:val="28"/>
          <w:szCs w:val="28"/>
          <w:lang w:val="en-US" w:eastAsia="zh-CN" w:bidi="ar-SA"/>
        </w:rPr>
        <w:t>2.3.1.1区域地层</w:t>
      </w:r>
      <w:bookmarkEnd w:id="263"/>
      <w:bookmarkEnd w:id="264"/>
    </w:p>
    <w:p w14:paraId="5A7F1805">
      <w:pPr>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区域出露地层主要有新生界第四系全新统（Qh）、中生界白垩系上统江底河组（K</w:t>
      </w:r>
      <w:r>
        <w:rPr>
          <w:rFonts w:hint="default" w:ascii="Times New Roman" w:hAnsi="Times New Roman" w:eastAsia="宋体" w:cs="Times New Roman"/>
          <w:color w:val="auto"/>
          <w:sz w:val="28"/>
          <w:szCs w:val="28"/>
          <w:vertAlign w:val="subscript"/>
        </w:rPr>
        <w:t>2</w:t>
      </w:r>
      <w:r>
        <w:rPr>
          <w:rFonts w:hint="default" w:ascii="Times New Roman" w:hAnsi="Times New Roman" w:eastAsia="宋体" w:cs="Times New Roman"/>
          <w:color w:val="auto"/>
          <w:sz w:val="28"/>
          <w:szCs w:val="28"/>
        </w:rPr>
        <w:t>j）、中生界白垩系上统马头山组（K</w:t>
      </w:r>
      <w:r>
        <w:rPr>
          <w:rFonts w:hint="default" w:ascii="Times New Roman" w:hAnsi="Times New Roman" w:eastAsia="宋体" w:cs="Times New Roman"/>
          <w:color w:val="auto"/>
          <w:sz w:val="28"/>
          <w:szCs w:val="28"/>
          <w:vertAlign w:val="subscript"/>
        </w:rPr>
        <w:t>2</w:t>
      </w:r>
      <w:r>
        <w:rPr>
          <w:rFonts w:hint="default" w:ascii="Times New Roman" w:hAnsi="Times New Roman" w:eastAsia="宋体" w:cs="Times New Roman"/>
          <w:color w:val="auto"/>
          <w:sz w:val="28"/>
          <w:szCs w:val="28"/>
        </w:rPr>
        <w:t>m）、中生界白垩系下统普昌河组（K</w:t>
      </w:r>
      <w:r>
        <w:rPr>
          <w:rFonts w:hint="default" w:ascii="Times New Roman" w:hAnsi="Times New Roman" w:eastAsia="宋体" w:cs="Times New Roman"/>
          <w:color w:val="auto"/>
          <w:sz w:val="28"/>
          <w:szCs w:val="28"/>
          <w:vertAlign w:val="subscript"/>
        </w:rPr>
        <w:t>1</w:t>
      </w:r>
      <w:r>
        <w:rPr>
          <w:rFonts w:hint="default" w:ascii="Times New Roman" w:hAnsi="Times New Roman" w:eastAsia="宋体" w:cs="Times New Roman"/>
          <w:color w:val="auto"/>
          <w:sz w:val="28"/>
          <w:szCs w:val="28"/>
        </w:rPr>
        <w:t>p）、中生界白垩系下统高丰寺组（K</w:t>
      </w:r>
      <w:r>
        <w:rPr>
          <w:rFonts w:hint="default" w:ascii="Times New Roman" w:hAnsi="Times New Roman" w:eastAsia="宋体" w:cs="Times New Roman"/>
          <w:color w:val="auto"/>
          <w:sz w:val="28"/>
          <w:szCs w:val="28"/>
          <w:vertAlign w:val="subscript"/>
        </w:rPr>
        <w:t>1</w:t>
      </w:r>
      <w:r>
        <w:rPr>
          <w:rFonts w:hint="default" w:ascii="Times New Roman" w:hAnsi="Times New Roman" w:eastAsia="宋体" w:cs="Times New Roman"/>
          <w:color w:val="auto"/>
          <w:sz w:val="28"/>
          <w:szCs w:val="28"/>
        </w:rPr>
        <w:t>g），地层岩性由老至新略述如下：</w:t>
      </w:r>
    </w:p>
    <w:p w14:paraId="522337C2">
      <w:pPr>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（1）中生界白垩系下统高丰寺组（K</w:t>
      </w:r>
      <w:r>
        <w:rPr>
          <w:rFonts w:hint="default" w:ascii="Times New Roman" w:hAnsi="Times New Roman" w:eastAsia="宋体" w:cs="Times New Roman"/>
          <w:color w:val="auto"/>
          <w:sz w:val="28"/>
          <w:szCs w:val="28"/>
          <w:vertAlign w:val="subscript"/>
        </w:rPr>
        <w:t>1</w:t>
      </w:r>
      <w:r>
        <w:rPr>
          <w:rFonts w:hint="default" w:ascii="Times New Roman" w:hAnsi="Times New Roman" w:eastAsia="宋体" w:cs="Times New Roman"/>
          <w:color w:val="auto"/>
          <w:sz w:val="28"/>
          <w:szCs w:val="28"/>
        </w:rPr>
        <w:t>g）：呈近北西—南东向带状分布，岩性为灰色、褐灰色、浅灰色中厚层至块状中—细粒砂岩为主，局部夹泥岩、砂质泥岩、粉砂岩薄层或透镜体，底部见浅色、紫色泥质复矿砾石透镜体或薄层。区域地层厚度262.60—666.80m。与下伏地层呈整合接触。</w:t>
      </w:r>
    </w:p>
    <w:p w14:paraId="5E75DD0C">
      <w:pPr>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（2）中生界白垩系下统普昌河组（K</w:t>
      </w:r>
      <w:r>
        <w:rPr>
          <w:rFonts w:hint="default" w:ascii="Times New Roman" w:hAnsi="Times New Roman" w:eastAsia="宋体" w:cs="Times New Roman"/>
          <w:color w:val="auto"/>
          <w:sz w:val="28"/>
          <w:szCs w:val="28"/>
          <w:vertAlign w:val="subscript"/>
        </w:rPr>
        <w:t>1</w:t>
      </w:r>
      <w:r>
        <w:rPr>
          <w:rFonts w:hint="default" w:ascii="Times New Roman" w:hAnsi="Times New Roman" w:eastAsia="宋体" w:cs="Times New Roman"/>
          <w:color w:val="auto"/>
          <w:sz w:val="28"/>
          <w:szCs w:val="28"/>
        </w:rPr>
        <w:t>p）：呈近北西—南东向带状分布。上段岩性为灰黄色、紫灰色中厚层状含砾砂岩、粉砂岩，局部见膏状结晶；下段岩性为紫色、紫红色中厚层状泥岩夹细粒长石砂岩为主，局部夹紫红色砂岩、粉砂岩层或透镜体；区域地层厚度212.30～865.60m。与下伏地层为整合接触。</w:t>
      </w:r>
    </w:p>
    <w:p w14:paraId="7F266497">
      <w:pPr>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（3）中生界白垩系上统马头山组（K</w:t>
      </w:r>
      <w:r>
        <w:rPr>
          <w:rFonts w:hint="default" w:ascii="Times New Roman" w:hAnsi="Times New Roman" w:eastAsia="宋体" w:cs="Times New Roman"/>
          <w:color w:val="auto"/>
          <w:sz w:val="28"/>
          <w:szCs w:val="28"/>
          <w:vertAlign w:val="subscript"/>
        </w:rPr>
        <w:t>2</w:t>
      </w:r>
      <w:r>
        <w:rPr>
          <w:rFonts w:hint="default" w:ascii="Times New Roman" w:hAnsi="Times New Roman" w:eastAsia="宋体" w:cs="Times New Roman"/>
          <w:color w:val="auto"/>
          <w:sz w:val="28"/>
          <w:szCs w:val="28"/>
        </w:rPr>
        <w:t>m）：呈近北西～南东向带状分布，岩性为紫色、紫红色中厚层块状中～细粒长石砂岩为主，局部夹紫红色泥岩、砂质泥岩、粉砂岩薄层或透镜体，偶见浅色、紫色泥质、粉砂质小砾石（砾岩）透镜体或薄层。区域地层厚度约271.70m，与下伏地层呈假整合接触。</w:t>
      </w:r>
    </w:p>
    <w:p w14:paraId="48FDF44E">
      <w:pPr>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（4）中生界白垩系上统江底河组（K</w:t>
      </w:r>
      <w:r>
        <w:rPr>
          <w:rFonts w:hint="default" w:ascii="Times New Roman" w:hAnsi="Times New Roman" w:eastAsia="宋体" w:cs="Times New Roman"/>
          <w:color w:val="auto"/>
          <w:sz w:val="28"/>
          <w:szCs w:val="28"/>
          <w:vertAlign w:val="subscript"/>
        </w:rPr>
        <w:t>2</w:t>
      </w:r>
      <w:r>
        <w:rPr>
          <w:rFonts w:hint="default" w:ascii="Times New Roman" w:hAnsi="Times New Roman" w:eastAsia="宋体" w:cs="Times New Roman"/>
          <w:color w:val="auto"/>
          <w:sz w:val="28"/>
          <w:szCs w:val="28"/>
        </w:rPr>
        <w:t>j）：岩性为紫红色、黄色、灰绿色泥岩、砂质泥岩夹粉砂岩及泥灰岩，紫红色厚层状泥岩夹粉砂岩、泥质细砂岩及黄色泥岩。区域厚度约0～770.5m。</w:t>
      </w:r>
    </w:p>
    <w:p w14:paraId="4838BE05">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lang w:val="en-US" w:eastAsia="zh-CN"/>
        </w:rPr>
      </w:pPr>
      <w:r>
        <w:rPr>
          <w:rFonts w:hint="default" w:ascii="Times New Roman" w:hAnsi="Times New Roman" w:eastAsia="宋体" w:cs="Times New Roman"/>
          <w:color w:val="auto"/>
          <w:sz w:val="28"/>
          <w:szCs w:val="28"/>
        </w:rPr>
        <w:t>（5）新生界第四系全新统（Qh）：岩性为洪积、冲积砂砾石、砂质粘土、紫红色粘土、粘土夹泥炭层。区域厚度约0～50m</w:t>
      </w:r>
      <w:r>
        <w:rPr>
          <w:rFonts w:hint="default" w:ascii="Times New Roman" w:hAnsi="Times New Roman" w:eastAsia="宋体" w:cs="Times New Roman"/>
          <w:color w:val="auto"/>
          <w:sz w:val="28"/>
          <w:szCs w:val="28"/>
          <w:lang w:eastAsia="zh-CN"/>
        </w:rPr>
        <w:t>。</w:t>
      </w:r>
    </w:p>
    <w:p w14:paraId="5266251E">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bookmarkStart w:id="265" w:name="_Toc21286"/>
      <w:bookmarkStart w:id="266" w:name="_Toc29148211"/>
      <w:bookmarkStart w:id="267" w:name="_Toc50592425"/>
      <w:r>
        <w:rPr>
          <w:rFonts w:hint="default" w:ascii="Times New Roman" w:hAnsi="Times New Roman" w:eastAsia="黑体" w:cs="Times New Roman"/>
          <w:bCs/>
          <w:kern w:val="2"/>
          <w:sz w:val="28"/>
          <w:szCs w:val="28"/>
          <w:lang w:val="en-US" w:eastAsia="zh-CN" w:bidi="ar-SA"/>
        </w:rPr>
        <w:t>2.3.1.2区域构造</w:t>
      </w:r>
      <w:bookmarkEnd w:id="265"/>
      <w:bookmarkEnd w:id="266"/>
    </w:p>
    <w:bookmarkEnd w:id="267"/>
    <w:p w14:paraId="249AE18B">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bookmarkStart w:id="268" w:name="_Toc11265"/>
      <w:r>
        <w:rPr>
          <w:rFonts w:hint="default" w:ascii="Times New Roman" w:hAnsi="Times New Roman" w:eastAsia="宋体" w:cs="Times New Roman"/>
          <w:sz w:val="28"/>
          <w:szCs w:val="21"/>
        </w:rPr>
        <w:t>矿区区域地质构造处于扬子准地台康滇地轴姚安凹断褶束区，弥兴镇紧密褶皱束东侧，主要构造线方向呈北西向延伸。</w:t>
      </w:r>
    </w:p>
    <w:p w14:paraId="2E1294DF">
      <w:pPr>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弥兴镇紧密褶皱组以陡倾斜、紧密长轴褶皱为主，局部有向西的倒转构造存在，褶皱一般不对称，西陡东缓，倾角40～65°，该褶皱组内已知的断层不多，规模不大，以北西向为主。矿区区域构造位于弥兴镇紧密褶皱束东侧，矿区附近主要断层为阿别拉断层及不知名断层F1、F2，阿别拉断层位于矿区北西侧，走向约296°，倾向南西，延伸长约14km，断层性质为正断层；F1断层位于矿区北西侧，F2为一推测断层，位于矿区东侧。上述断层距离矿区均较远，断层对矿山开采影响不大。</w:t>
      </w:r>
    </w:p>
    <w:bookmarkEnd w:id="268"/>
    <w:p w14:paraId="1B3B9B2D">
      <w:pPr>
        <w:keepNext/>
        <w:keepLines/>
        <w:pageBreakBefore w:val="0"/>
        <w:widowControl w:val="0"/>
        <w:kinsoku/>
        <w:wordWrap/>
        <w:bidi w:val="0"/>
        <w:adjustRightInd w:val="0"/>
        <w:snapToGrid w:val="0"/>
        <w:spacing w:line="360" w:lineRule="auto"/>
        <w:ind w:firstLine="562" w:firstLineChars="200"/>
        <w:jc w:val="left"/>
        <w:outlineLvl w:val="2"/>
        <w:rPr>
          <w:rFonts w:hint="default" w:ascii="Times New Roman" w:hAnsi="Times New Roman" w:eastAsia="宋体" w:cs="Times New Roman"/>
          <w:b/>
          <w:bCs w:val="0"/>
          <w:color w:val="000000"/>
          <w:kern w:val="2"/>
          <w:sz w:val="28"/>
          <w:szCs w:val="32"/>
          <w:lang w:val="en-GB" w:eastAsia="zh-CN" w:bidi="ar-SA"/>
        </w:rPr>
      </w:pPr>
      <w:r>
        <w:rPr>
          <w:rFonts w:hint="default" w:ascii="Times New Roman" w:hAnsi="Times New Roman" w:eastAsia="宋体" w:cs="Times New Roman"/>
          <w:b/>
          <w:bCs w:val="0"/>
          <w:color w:val="000000"/>
          <w:kern w:val="2"/>
          <w:sz w:val="28"/>
          <w:szCs w:val="32"/>
          <w:lang w:val="en-GB" w:eastAsia="zh-CN" w:bidi="ar-SA"/>
        </w:rPr>
        <w:t>2.3.</w:t>
      </w:r>
      <w:r>
        <w:rPr>
          <w:rFonts w:hint="default" w:ascii="Times New Roman" w:hAnsi="Times New Roman" w:eastAsia="宋体" w:cs="Times New Roman"/>
          <w:b/>
          <w:bCs w:val="0"/>
          <w:color w:val="000000"/>
          <w:kern w:val="2"/>
          <w:sz w:val="28"/>
          <w:szCs w:val="32"/>
          <w:lang w:val="en-US" w:eastAsia="zh-CN" w:bidi="ar-SA"/>
        </w:rPr>
        <w:t>2</w:t>
      </w:r>
      <w:r>
        <w:rPr>
          <w:rFonts w:hint="default" w:ascii="Times New Roman" w:hAnsi="Times New Roman" w:eastAsia="宋体" w:cs="Times New Roman"/>
          <w:b/>
          <w:bCs w:val="0"/>
          <w:color w:val="000000"/>
          <w:kern w:val="2"/>
          <w:sz w:val="28"/>
          <w:szCs w:val="32"/>
          <w:lang w:val="en-GB" w:eastAsia="zh-CN" w:bidi="ar-SA"/>
        </w:rPr>
        <w:t xml:space="preserve"> </w:t>
      </w:r>
      <w:r>
        <w:rPr>
          <w:rFonts w:hint="default" w:ascii="Times New Roman" w:hAnsi="Times New Roman" w:eastAsia="宋体" w:cs="Times New Roman"/>
          <w:b/>
          <w:bCs w:val="0"/>
          <w:color w:val="000000"/>
          <w:kern w:val="2"/>
          <w:sz w:val="28"/>
          <w:szCs w:val="32"/>
          <w:lang w:val="en-US" w:eastAsia="zh-CN" w:bidi="ar-SA"/>
        </w:rPr>
        <w:t>矿区</w:t>
      </w:r>
      <w:r>
        <w:rPr>
          <w:rFonts w:hint="default" w:ascii="Times New Roman" w:hAnsi="Times New Roman" w:eastAsia="宋体" w:cs="Times New Roman"/>
          <w:b/>
          <w:bCs w:val="0"/>
          <w:color w:val="000000"/>
          <w:kern w:val="2"/>
          <w:sz w:val="28"/>
          <w:szCs w:val="32"/>
          <w:lang w:val="en-GB" w:eastAsia="zh-CN" w:bidi="ar-SA"/>
        </w:rPr>
        <w:t>地质</w:t>
      </w:r>
    </w:p>
    <w:p w14:paraId="7EC300A5">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2.3.2.1 矿区地层</w:t>
      </w:r>
    </w:p>
    <w:p w14:paraId="158C98E3">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矿区位于弥</w:t>
      </w:r>
      <w:r>
        <w:rPr>
          <w:rFonts w:hint="default" w:ascii="Times New Roman" w:hAnsi="Times New Roman" w:eastAsia="宋体" w:cs="Times New Roman"/>
          <w:szCs w:val="21"/>
          <w:lang w:val="en-US" w:eastAsia="zh-CN"/>
        </w:rPr>
        <w:t>兴</w:t>
      </w:r>
      <w:r>
        <w:rPr>
          <w:rFonts w:hint="default" w:ascii="Times New Roman" w:hAnsi="Times New Roman" w:eastAsia="宋体" w:cs="Times New Roman"/>
          <w:szCs w:val="21"/>
        </w:rPr>
        <w:t>镇紧密褶皱束不知名向斜的东翼，区内岩层发生了倒转。出露地层主要为中生界白垩系上统马头山组（K</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m）、江底河组下段（K</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j</w:t>
      </w:r>
      <w:r>
        <w:rPr>
          <w:rFonts w:hint="default" w:ascii="Times New Roman" w:hAnsi="Times New Roman" w:eastAsia="宋体" w:cs="Times New Roman"/>
          <w:szCs w:val="21"/>
          <w:vertAlign w:val="superscript"/>
        </w:rPr>
        <w:t>1</w:t>
      </w:r>
      <w:r>
        <w:rPr>
          <w:rFonts w:hint="default" w:ascii="Times New Roman" w:hAnsi="Times New Roman" w:eastAsia="宋体" w:cs="Times New Roman"/>
          <w:szCs w:val="21"/>
        </w:rPr>
        <w:t>）和中生界白垩系下统普昌河组（K</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p）。山顶及山箐低凹处零星分布有少量新生界第四系残坡积层（Q</w:t>
      </w:r>
      <w:r>
        <w:rPr>
          <w:rFonts w:hint="default" w:ascii="Times New Roman" w:hAnsi="Times New Roman" w:eastAsia="宋体" w:cs="Times New Roman"/>
          <w:szCs w:val="21"/>
          <w:vertAlign w:val="subscript"/>
        </w:rPr>
        <w:t>4</w:t>
      </w:r>
      <w:r>
        <w:rPr>
          <w:rFonts w:hint="default" w:ascii="Times New Roman" w:hAnsi="Times New Roman" w:eastAsia="宋体" w:cs="Times New Roman"/>
          <w:szCs w:val="21"/>
          <w:vertAlign w:val="superscript"/>
        </w:rPr>
        <w:t>el+dl</w:t>
      </w:r>
      <w:r>
        <w:rPr>
          <w:rFonts w:hint="default" w:ascii="Times New Roman" w:hAnsi="Times New Roman" w:eastAsia="宋体" w:cs="Times New Roman"/>
          <w:szCs w:val="21"/>
        </w:rPr>
        <w:t>）。由老到新叙述如下：</w:t>
      </w:r>
    </w:p>
    <w:p w14:paraId="597C9DD3">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1、中生界白垩系下统普昌河组（K</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p）</w:t>
      </w:r>
    </w:p>
    <w:p w14:paraId="1EE76860">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分布于矿区西侧呈大面积出露，地层呈层状产出，产状260°∠61°。岩性为紫色、紫红色中厚层状泥岩、砂质泥岩，局部夹紫红色砂岩、粉砂岩层或透镜体。地表岩体风化较强，裂隙较发育，部分岩体呈块状散落地表。矿区出露长度大于800m、宽度大于200m，厚度＞135m。</w:t>
      </w:r>
    </w:p>
    <w:p w14:paraId="75948D93">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2、中生界白垩系上统马头山组（K</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m）</w:t>
      </w:r>
    </w:p>
    <w:p w14:paraId="427A791F">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连续、稳定分布于矿区中部，近南北向呈层状产出，地层产状260°∠61°。岩性以浅灰、灰紫色中-厚层状细-中粗粒长石石英砂岩为主（局部含砾），局部夹紫红色细砂岩和粉砂质泥岩。节理裂隙发育，主要发育陡倾角节理。矿区开采矿体为该段地层中的砂岩，矿体整体上连续性较好。据钻孔揭露，全～强风化层厚度0～5m，地表和沟谷中风化强烈，往深部岩石风化变弱，钻孔揭露矿体最大厚度148.24m。矿区出露长度大于800m、宽度145—205m、厚度133—188m。与下伏地层呈假整合接触；与下伏地层的接触面上见0.7—0.8m厚的砾石，砾石磨圆度好，砾径在1×1cm—3×4cm之间。矿权开采矿体主要位于马头山组（K</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m）浅灰、灰紫长石石英砂岩和紫红色细砂岩层中。施工的钻孔揭露了紫红色粉砂质泥岩无法利用，勘查工作中作为夹石进行剔除。</w:t>
      </w:r>
    </w:p>
    <w:p w14:paraId="5972DB81">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3、中生界白垩系上统江底河组下段（K</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j</w:t>
      </w:r>
      <w:r>
        <w:rPr>
          <w:rFonts w:hint="default" w:ascii="Times New Roman" w:hAnsi="Times New Roman" w:eastAsia="宋体" w:cs="Times New Roman"/>
          <w:szCs w:val="21"/>
          <w:vertAlign w:val="superscript"/>
        </w:rPr>
        <w:t>1</w:t>
      </w:r>
      <w:r>
        <w:rPr>
          <w:rFonts w:hint="default" w:ascii="Times New Roman" w:hAnsi="Times New Roman" w:eastAsia="宋体" w:cs="Times New Roman"/>
          <w:szCs w:val="21"/>
        </w:rPr>
        <w:t>）</w:t>
      </w:r>
    </w:p>
    <w:p w14:paraId="34574749">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分布于矿区东侧及其外围呈大面积出露，近南北向呈层状产出，产状260°∠61°。岩性为紫红色厚层状泥岩夹泥质粉砂岩、细砂岩及黄色泥岩，出露长度大于800m、宽度大于300m、厚度大于230m ，与下伏地层呈整合接触。</w:t>
      </w:r>
    </w:p>
    <w:p w14:paraId="042C2BB9">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4、第四系残坡积层（Q</w:t>
      </w:r>
      <w:r>
        <w:rPr>
          <w:rFonts w:hint="default" w:ascii="Times New Roman" w:hAnsi="Times New Roman" w:eastAsia="宋体" w:cs="Times New Roman"/>
          <w:szCs w:val="21"/>
          <w:vertAlign w:val="subscript"/>
        </w:rPr>
        <w:t>4</w:t>
      </w:r>
      <w:r>
        <w:rPr>
          <w:rFonts w:hint="default" w:ascii="Times New Roman" w:hAnsi="Times New Roman" w:eastAsia="宋体" w:cs="Times New Roman"/>
          <w:szCs w:val="21"/>
          <w:vertAlign w:val="superscript"/>
        </w:rPr>
        <w:t>el+dl</w:t>
      </w:r>
      <w:r>
        <w:rPr>
          <w:rFonts w:hint="default" w:ascii="Times New Roman" w:hAnsi="Times New Roman" w:eastAsia="宋体" w:cs="Times New Roman"/>
          <w:szCs w:val="21"/>
        </w:rPr>
        <w:t>）</w:t>
      </w:r>
    </w:p>
    <w:p w14:paraId="2E4ECFCE">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Cs w:val="21"/>
        </w:rPr>
        <w:t>分布于矿区地表、低凹处及山箐中。为灰白色、褐黄色粘土、砂，含少量碎石、块石及植物根系，碎石、块石成分主要为全风化—强风化砂岩及泥岩，据钻孔揭露，全～强风化层厚度0～5m，地表和沟谷中风化强烈。碎石粒径1～10cm，与下伏地层呈不整合接触。勘查工作中作为剥离量估算</w:t>
      </w:r>
      <w:r>
        <w:rPr>
          <w:rFonts w:hint="default" w:ascii="Times New Roman" w:hAnsi="Times New Roman" w:eastAsia="宋体" w:cs="Times New Roman"/>
          <w:sz w:val="28"/>
          <w:szCs w:val="21"/>
        </w:rPr>
        <w:t>。</w:t>
      </w:r>
    </w:p>
    <w:p w14:paraId="3A5B73B8">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2.3.2.2 矿区构造</w:t>
      </w:r>
    </w:p>
    <w:p w14:paraId="3790A57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cs="Times New Roman"/>
        </w:rPr>
        <w:t>矿区处于</w:t>
      </w:r>
      <w:r>
        <w:rPr>
          <w:rFonts w:hint="default" w:ascii="Times New Roman" w:hAnsi="Times New Roman" w:cs="Times New Roman"/>
          <w:lang w:eastAsia="zh-CN"/>
        </w:rPr>
        <w:t>弥兴镇</w:t>
      </w:r>
      <w:r>
        <w:rPr>
          <w:rFonts w:hint="default" w:ascii="Times New Roman" w:hAnsi="Times New Roman" w:cs="Times New Roman"/>
        </w:rPr>
        <w:t>紧密褶皱束不知名向斜的东翼，地质构造简单，范围内无大的断裂通过，岩层呈南西倾的单斜层状产出。岩层节理、裂隙发育，为区内主要的构造形式。据野外实地调查，可见两组节理裂隙发育：一组为108°∠24°，3～6条/m，为主要裂隙，延伸1～2m，为压扭—张性节理，呈微张～闭合状，断续有少量钙质或泥质充填。二另一组为355°∠84°，2～11条/m，延伸2～3 m，裂面粗糙，张开2～5mm，锯齿状延伸，呈闭合状。两组节理交叉形成“X”型共轭节理构造</w:t>
      </w:r>
      <w:r>
        <w:rPr>
          <w:rFonts w:hint="default" w:ascii="Times New Roman" w:hAnsi="Times New Roman" w:eastAsia="宋体" w:cs="Times New Roman"/>
          <w:sz w:val="28"/>
          <w:szCs w:val="21"/>
        </w:rPr>
        <w:t>。</w:t>
      </w:r>
    </w:p>
    <w:p w14:paraId="671EE709">
      <w:pPr>
        <w:keepNext/>
        <w:keepLines/>
        <w:pageBreakBefore w:val="0"/>
        <w:widowControl w:val="0"/>
        <w:kinsoku/>
        <w:wordWrap/>
        <w:bidi w:val="0"/>
        <w:adjustRightInd w:val="0"/>
        <w:snapToGrid w:val="0"/>
        <w:spacing w:line="360" w:lineRule="auto"/>
        <w:ind w:firstLine="562" w:firstLineChars="200"/>
        <w:jc w:val="left"/>
        <w:outlineLvl w:val="2"/>
        <w:rPr>
          <w:rFonts w:hint="default" w:ascii="Times New Roman" w:hAnsi="Times New Roman" w:eastAsia="宋体" w:cs="Times New Roman"/>
          <w:b/>
          <w:bCs w:val="0"/>
          <w:color w:val="000000"/>
          <w:kern w:val="2"/>
          <w:sz w:val="28"/>
          <w:szCs w:val="32"/>
          <w:lang w:val="en-US" w:eastAsia="zh-CN" w:bidi="ar-SA"/>
        </w:rPr>
      </w:pPr>
      <w:r>
        <w:rPr>
          <w:rFonts w:hint="default" w:ascii="Times New Roman" w:hAnsi="Times New Roman" w:eastAsia="宋体" w:cs="Times New Roman"/>
          <w:b/>
          <w:bCs w:val="0"/>
          <w:color w:val="000000"/>
          <w:kern w:val="2"/>
          <w:sz w:val="28"/>
          <w:szCs w:val="32"/>
          <w:lang w:val="en-GB" w:eastAsia="zh-CN" w:bidi="ar-SA"/>
        </w:rPr>
        <w:t>2.3.</w:t>
      </w:r>
      <w:r>
        <w:rPr>
          <w:rFonts w:hint="default" w:ascii="Times New Roman" w:hAnsi="Times New Roman" w:eastAsia="宋体" w:cs="Times New Roman"/>
          <w:b/>
          <w:bCs w:val="0"/>
          <w:color w:val="000000"/>
          <w:kern w:val="2"/>
          <w:sz w:val="28"/>
          <w:szCs w:val="32"/>
          <w:lang w:val="en-US" w:eastAsia="zh-CN" w:bidi="ar-SA"/>
        </w:rPr>
        <w:t>3</w:t>
      </w:r>
      <w:r>
        <w:rPr>
          <w:rFonts w:hint="default" w:ascii="Times New Roman" w:hAnsi="Times New Roman" w:eastAsia="宋体" w:cs="Times New Roman"/>
          <w:b/>
          <w:bCs w:val="0"/>
          <w:color w:val="000000"/>
          <w:kern w:val="2"/>
          <w:sz w:val="28"/>
          <w:szCs w:val="32"/>
          <w:lang w:val="en-GB" w:eastAsia="zh-CN" w:bidi="ar-SA"/>
        </w:rPr>
        <w:t xml:space="preserve"> </w:t>
      </w:r>
      <w:r>
        <w:rPr>
          <w:rFonts w:hint="default" w:ascii="Times New Roman" w:hAnsi="Times New Roman" w:eastAsia="宋体" w:cs="Times New Roman"/>
          <w:b/>
          <w:bCs w:val="0"/>
          <w:color w:val="000000"/>
          <w:kern w:val="2"/>
          <w:sz w:val="28"/>
          <w:szCs w:val="32"/>
          <w:lang w:val="en-US" w:eastAsia="zh-CN" w:bidi="ar-SA"/>
        </w:rPr>
        <w:t>矿体地质特征</w:t>
      </w:r>
    </w:p>
    <w:p w14:paraId="74A5CC41">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2.3.3.1 矿体特征</w:t>
      </w:r>
    </w:p>
    <w:p w14:paraId="3C62E2ED">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体赋存于中生界白垩系上统马头山组（K2m）地层中，地层即为矿层，矿体呈层状产出，产状260°∠61°，岩性为灰紫色中-厚层状细-中粗粒长石石英砂岩（局部含砾）及紫红色细砂岩，矿体分布稳定，连续性好。经钻孔揭露，矿体夹有紫红色粉砂质泥岩夹层，夹层厚约0-5.5m，敲击易碎，主要位于矿区北部，需剥离，作为剥离层圈定。</w:t>
      </w:r>
    </w:p>
    <w:p w14:paraId="41C917EC">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矿区开采境界范围内，矿体出露长度约480米、宽度141—160m、厚度128—147m，在开采标高2251～2068m内均有分布。岩石节理裂隙较发育，出露浅表的岩石呈强风化，局部呈碎块状散落地表。</w:t>
      </w:r>
    </w:p>
    <w:p w14:paraId="040A24D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矿体上覆第四系残坡积层，厚度不均，经钻孔揭露，部分厚度较厚作为剥离层圈定。矿区砂岩矿赋存于中生界白垩系上统马头山组（K2m）地层中，呈层状产出，属沉积型砂岩矿床。</w:t>
      </w:r>
    </w:p>
    <w:p w14:paraId="30E8C8DE">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宋体" w:cs="Times New Roman"/>
          <w:bCs/>
          <w:kern w:val="2"/>
          <w:sz w:val="28"/>
          <w:szCs w:val="21"/>
          <w:lang w:val="en-US" w:eastAsia="zh-CN" w:bidi="ar-SA"/>
        </w:rPr>
      </w:pPr>
      <w:r>
        <w:rPr>
          <w:rFonts w:hint="default" w:ascii="Times New Roman" w:hAnsi="Times New Roman" w:eastAsia="黑体" w:cs="Times New Roman"/>
          <w:bCs/>
          <w:kern w:val="2"/>
          <w:sz w:val="28"/>
          <w:szCs w:val="28"/>
          <w:lang w:val="en-US" w:eastAsia="zh-CN" w:bidi="ar-SA"/>
        </w:rPr>
        <w:t>2.3.3.2 矿物组成与结构构造</w:t>
      </w:r>
    </w:p>
    <w:p w14:paraId="2DB4C10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bidi="ar"/>
        </w:rPr>
      </w:pPr>
      <w:r>
        <w:rPr>
          <w:rFonts w:hint="default" w:ascii="Times New Roman" w:hAnsi="Times New Roman" w:eastAsia="宋体" w:cs="Times New Roman"/>
          <w:sz w:val="28"/>
          <w:szCs w:val="21"/>
        </w:rPr>
        <w:t>岩石主要由碎屑颗粒及填隙物组成。碎屑成分主要为石英、长石和暗色矿物，粒度0.06-0.5mm，含量约为90%；石英呈次棱角状-次圆状，多为单晶石英，多晶石英碎屑状，大多具次生加大边；长石呈次棱角状-次圆状，大多泥化、绢云母化，晶体混浊；暗色矿物呈次棱角状，大多暗化，与石英、长石等混杂分布。颗粒支撑，孔隙式胶结。胶结物为硅质和铁泥质，隐晶质的铁泥质呈薄膜状包裹碎屑颗粒。根据采样岩矿鉴定报告结果，岩矿鉴定为长石石英砂岩。</w:t>
      </w:r>
    </w:p>
    <w:p w14:paraId="7265FC7E">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2.3.3.3 矿石化学成分</w:t>
      </w:r>
    </w:p>
    <w:p w14:paraId="27CDE330">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cs="Times New Roman"/>
        </w:rPr>
        <w:t>2021年10月25日采样送至云南省有色地质局测试中心，经检测报告分析，CaO含量5.63%； MgO含量0.29%；K</w:t>
      </w:r>
      <w:r>
        <w:rPr>
          <w:rFonts w:hint="default" w:ascii="Times New Roman" w:hAnsi="Times New Roman" w:cs="Times New Roman"/>
          <w:vertAlign w:val="subscript"/>
        </w:rPr>
        <w:t>2</w:t>
      </w:r>
      <w:r>
        <w:rPr>
          <w:rFonts w:hint="default" w:ascii="Times New Roman" w:hAnsi="Times New Roman" w:cs="Times New Roman"/>
        </w:rPr>
        <w:t>O含量0.54%；Na</w:t>
      </w:r>
      <w:r>
        <w:rPr>
          <w:rFonts w:hint="default" w:ascii="Times New Roman" w:hAnsi="Times New Roman" w:cs="Times New Roman"/>
          <w:vertAlign w:val="subscript"/>
        </w:rPr>
        <w:t>2</w:t>
      </w:r>
      <w:r>
        <w:rPr>
          <w:rFonts w:hint="default" w:ascii="Times New Roman" w:hAnsi="Times New Roman" w:cs="Times New Roman"/>
        </w:rPr>
        <w:t>O含量1.42%；SiO</w:t>
      </w:r>
      <w:r>
        <w:rPr>
          <w:rFonts w:hint="default" w:ascii="Times New Roman" w:hAnsi="Times New Roman" w:cs="Times New Roman"/>
          <w:vertAlign w:val="subscript"/>
        </w:rPr>
        <w:t>2</w:t>
      </w:r>
      <w:r>
        <w:rPr>
          <w:rFonts w:hint="default" w:ascii="Times New Roman" w:hAnsi="Times New Roman" w:cs="Times New Roman"/>
        </w:rPr>
        <w:t>含量71.64%；Al</w:t>
      </w:r>
      <w:r>
        <w:rPr>
          <w:rFonts w:hint="default" w:ascii="Times New Roman" w:hAnsi="Times New Roman" w:cs="Times New Roman"/>
          <w:vertAlign w:val="subscript"/>
        </w:rPr>
        <w:t>2</w:t>
      </w:r>
      <w:r>
        <w:rPr>
          <w:rFonts w:hint="default" w:ascii="Times New Roman" w:hAnsi="Times New Roman" w:cs="Times New Roman"/>
        </w:rPr>
        <w:t>O</w:t>
      </w:r>
      <w:r>
        <w:rPr>
          <w:rFonts w:hint="default" w:ascii="Times New Roman" w:hAnsi="Times New Roman" w:cs="Times New Roman"/>
          <w:vertAlign w:val="subscript"/>
        </w:rPr>
        <w:t>3</w:t>
      </w:r>
      <w:r>
        <w:rPr>
          <w:rFonts w:hint="default" w:ascii="Times New Roman" w:hAnsi="Times New Roman" w:cs="Times New Roman"/>
        </w:rPr>
        <w:t>含量4.24%；TFe</w:t>
      </w:r>
      <w:r>
        <w:rPr>
          <w:rFonts w:hint="default" w:ascii="Times New Roman" w:hAnsi="Times New Roman" w:cs="Times New Roman"/>
          <w:vertAlign w:val="subscript"/>
        </w:rPr>
        <w:t>2</w:t>
      </w:r>
      <w:r>
        <w:rPr>
          <w:rFonts w:hint="default" w:ascii="Times New Roman" w:hAnsi="Times New Roman" w:cs="Times New Roman"/>
        </w:rPr>
        <w:t>O</w:t>
      </w:r>
      <w:r>
        <w:rPr>
          <w:rFonts w:hint="default" w:ascii="Times New Roman" w:hAnsi="Times New Roman" w:cs="Times New Roman"/>
          <w:vertAlign w:val="subscript"/>
        </w:rPr>
        <w:t>3</w:t>
      </w:r>
      <w:r>
        <w:rPr>
          <w:rFonts w:hint="default" w:ascii="Times New Roman" w:hAnsi="Times New Roman" w:cs="Times New Roman"/>
        </w:rPr>
        <w:t>含量1.64%；SO</w:t>
      </w:r>
      <w:r>
        <w:rPr>
          <w:rFonts w:hint="default" w:ascii="Times New Roman" w:hAnsi="Times New Roman" w:cs="Times New Roman"/>
          <w:vertAlign w:val="subscript"/>
        </w:rPr>
        <w:t>3</w:t>
      </w:r>
      <w:r>
        <w:rPr>
          <w:rFonts w:hint="default" w:ascii="Times New Roman" w:hAnsi="Times New Roman" w:cs="Times New Roman"/>
        </w:rPr>
        <w:t>含量0.089-0.92%，平均0.31%；P</w:t>
      </w:r>
      <w:r>
        <w:rPr>
          <w:rFonts w:hint="default" w:ascii="Times New Roman" w:hAnsi="Times New Roman" w:cs="Times New Roman"/>
          <w:vertAlign w:val="subscript"/>
        </w:rPr>
        <w:t>2</w:t>
      </w:r>
      <w:r>
        <w:rPr>
          <w:rFonts w:hint="default" w:ascii="Times New Roman" w:hAnsi="Times New Roman" w:cs="Times New Roman"/>
        </w:rPr>
        <w:t>O</w:t>
      </w:r>
      <w:r>
        <w:rPr>
          <w:rFonts w:hint="default" w:ascii="Times New Roman" w:hAnsi="Times New Roman" w:cs="Times New Roman"/>
          <w:vertAlign w:val="subscript"/>
        </w:rPr>
        <w:t>5</w:t>
      </w:r>
      <w:r>
        <w:rPr>
          <w:rFonts w:hint="default" w:ascii="Times New Roman" w:hAnsi="Times New Roman" w:cs="Times New Roman"/>
        </w:rPr>
        <w:t>含量0.041%；Cl含量＜0.02%；TiO</w:t>
      </w:r>
      <w:r>
        <w:rPr>
          <w:rFonts w:hint="default" w:ascii="Times New Roman" w:hAnsi="Times New Roman" w:cs="Times New Roman"/>
          <w:vertAlign w:val="subscript"/>
        </w:rPr>
        <w:t>2</w:t>
      </w:r>
      <w:r>
        <w:rPr>
          <w:rFonts w:hint="default" w:ascii="Times New Roman" w:hAnsi="Times New Roman" w:cs="Times New Roman"/>
        </w:rPr>
        <w:t>含量0.33%</w:t>
      </w:r>
      <w:r>
        <w:rPr>
          <w:rFonts w:hint="default" w:ascii="Times New Roman" w:hAnsi="Times New Roman" w:eastAsia="宋体" w:cs="Times New Roman"/>
          <w:sz w:val="28"/>
          <w:szCs w:val="21"/>
        </w:rPr>
        <w:t>。</w:t>
      </w:r>
    </w:p>
    <w:p w14:paraId="36B27936">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2.3.3.4 矿石风（氧）化特征</w:t>
      </w:r>
    </w:p>
    <w:p w14:paraId="110408C3">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通过钻孔的揭露情况，矿区范围内出露的矿石表层呈强风化状，易碎，节理裂隙较发育。根据地表调查及工程揭露情况，推测本区矿石由地表向深部风化程度呈强风化-中等风化-弱风化-新鲜趋势，地表呈现全风化。</w:t>
      </w:r>
    </w:p>
    <w:p w14:paraId="57778137">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2.3.3.5 矿石类型和品级</w:t>
      </w:r>
    </w:p>
    <w:p w14:paraId="15A82AEF">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 w:val="28"/>
          <w:szCs w:val="21"/>
        </w:rPr>
        <w:t>矿区矿石自然类型为长石石英砂岩，矿石状态稳定，无放射性元素和有害组分。饱和抗压强度平均值为59.02Mpa，压碎指标平均值为7.6%，坚固指标平均值为11%，吸水率平均值为0.86%。基本符合《公路桥涵施工技术规范》（JTG/T 3650—2020）中I类粗集料技术要求。</w:t>
      </w:r>
    </w:p>
    <w:p w14:paraId="67E1D3C4">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2.3.3.6 矿体（层）围岩和夹石</w:t>
      </w:r>
    </w:p>
    <w:p w14:paraId="11ACE49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围岩：矿区矿床类型为沉积型砂岩矿，赋存于中生界白垩系上统马头山组（K2m）中，受区域构造影响，矿区地层发生了倒转，矿体顶板为中生界白垩系下统（K1p）紫红色中至厚层状泥岩；底板为中生界白垩系上统马江底河组下段（K2j1）紫红的泥岩。</w:t>
      </w:r>
    </w:p>
    <w:p w14:paraId="258AEADB">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夹石：矿体夹石为中生界白垩系上统马头山组（K2m）紫红色粉砂质泥岩。分布于矿区范围北部，经钻孔揭露，夹层厚约0-5.5m，敲击易碎，主要由碎屑颗粒及填隙物组成，碎屑矿物呈棱角状分布在粘土矿物之间。其中粘土矿物约60%、石英约20%，方解石约20%。</w:t>
      </w:r>
    </w:p>
    <w:p w14:paraId="0C7A50AE">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2.3.3.7 共（伴）生矿产</w:t>
      </w:r>
    </w:p>
    <w:p w14:paraId="45E46275">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根据现场勘查及相关工程，矿区范围内矿石主要为砂岩，无其它有用矿物，故该矿床无伴生矿产。</w:t>
      </w:r>
    </w:p>
    <w:p w14:paraId="2BBD09E4">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2.3.3.8 矿石加工技术性能</w:t>
      </w:r>
    </w:p>
    <w:p w14:paraId="34EDFD6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color w:val="auto"/>
          <w:sz w:val="28"/>
          <w:szCs w:val="28"/>
        </w:rPr>
        <w:t>矿区内矿石易于开采，加工工艺简单。采矿工艺流程为：生产工艺流程为：矿体顶部浮土杂草清理→工作面潜孔钻机钻孔→露天中深孔台阶爆破→挖掘机或装载机铲装→汽车运输→破碎→成品→装车外运销售。总体上本区矿石质量及加工性能均较好，易于破碎和加工成不同粒级的建筑用碎石料、混合料，可广泛用作建筑石料。</w:t>
      </w:r>
    </w:p>
    <w:p w14:paraId="735BE691">
      <w:pPr>
        <w:keepNext/>
        <w:keepLines/>
        <w:pageBreakBefore w:val="0"/>
        <w:widowControl w:val="0"/>
        <w:kinsoku/>
        <w:wordWrap/>
        <w:bidi w:val="0"/>
        <w:adjustRightInd w:val="0"/>
        <w:snapToGrid w:val="0"/>
        <w:spacing w:line="360" w:lineRule="auto"/>
        <w:ind w:firstLine="562" w:firstLineChars="200"/>
        <w:jc w:val="left"/>
        <w:outlineLvl w:val="2"/>
        <w:rPr>
          <w:rFonts w:hint="default" w:ascii="Times New Roman" w:hAnsi="Times New Roman" w:eastAsia="宋体" w:cs="Times New Roman"/>
          <w:b/>
          <w:bCs w:val="0"/>
          <w:color w:val="000000"/>
          <w:kern w:val="2"/>
          <w:sz w:val="28"/>
          <w:szCs w:val="32"/>
          <w:lang w:val="en-US" w:eastAsia="zh-CN" w:bidi="ar-SA"/>
        </w:rPr>
      </w:pPr>
      <w:r>
        <w:rPr>
          <w:rFonts w:hint="default" w:ascii="Times New Roman" w:hAnsi="Times New Roman" w:eastAsia="宋体" w:cs="Times New Roman"/>
          <w:b/>
          <w:bCs w:val="0"/>
          <w:color w:val="000000"/>
          <w:kern w:val="2"/>
          <w:sz w:val="28"/>
          <w:szCs w:val="32"/>
          <w:lang w:val="en-GB" w:eastAsia="zh-CN" w:bidi="ar-SA"/>
        </w:rPr>
        <w:t>2.3.</w:t>
      </w:r>
      <w:r>
        <w:rPr>
          <w:rFonts w:hint="default" w:ascii="Times New Roman" w:hAnsi="Times New Roman" w:eastAsia="宋体" w:cs="Times New Roman"/>
          <w:b/>
          <w:bCs w:val="0"/>
          <w:color w:val="000000"/>
          <w:kern w:val="2"/>
          <w:sz w:val="28"/>
          <w:szCs w:val="32"/>
          <w:lang w:val="en-US" w:eastAsia="zh-CN" w:bidi="ar-SA"/>
        </w:rPr>
        <w:t xml:space="preserve">4 </w:t>
      </w:r>
      <w:r>
        <w:rPr>
          <w:rFonts w:hint="default" w:ascii="Times New Roman" w:hAnsi="Times New Roman" w:eastAsia="宋体" w:cs="Times New Roman"/>
          <w:b/>
          <w:bCs w:val="0"/>
          <w:color w:val="000000"/>
          <w:kern w:val="2"/>
          <w:sz w:val="28"/>
          <w:szCs w:val="32"/>
          <w:lang w:val="en-GB" w:eastAsia="zh-CN" w:bidi="ar-SA"/>
        </w:rPr>
        <w:t>矿石加工技术性能</w:t>
      </w:r>
    </w:p>
    <w:p w14:paraId="24E3332C">
      <w:pPr>
        <w:pageBreakBefore w:val="0"/>
        <w:kinsoku/>
        <w:wordWrap/>
        <w:bidi w:val="0"/>
        <w:adjustRightInd w:val="0"/>
        <w:snapToGrid w:val="0"/>
        <w:spacing w:line="360" w:lineRule="auto"/>
        <w:ind w:firstLine="560"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rPr>
        <w:t>矿区内矿石易于开采，加工工艺简单。采矿工艺流程为：生产工艺流程为：矿体顶部浮土杂草清理→工作面潜孔钻机钻孔→露天中深孔台阶爆破→挖掘机或装载机铲装→汽车运输→破碎→成品→装车外运销售。总体上本区矿石质量及加工性能均较好，易于破碎和加工成不同粒级的建筑用碎石料、混合料，可广泛用作建筑石料</w:t>
      </w:r>
      <w:r>
        <w:rPr>
          <w:rFonts w:hint="default" w:ascii="Times New Roman" w:hAnsi="Times New Roman" w:eastAsia="宋体" w:cs="Times New Roman"/>
          <w:color w:val="auto"/>
          <w:sz w:val="28"/>
          <w:szCs w:val="28"/>
          <w:lang w:eastAsia="zh-CN"/>
        </w:rPr>
        <w:t>。</w:t>
      </w:r>
    </w:p>
    <w:p w14:paraId="6CD7724C">
      <w:pPr>
        <w:keepNext/>
        <w:keepLines/>
        <w:pageBreakBefore w:val="0"/>
        <w:widowControl w:val="0"/>
        <w:kinsoku/>
        <w:wordWrap/>
        <w:bidi w:val="0"/>
        <w:adjustRightInd w:val="0"/>
        <w:snapToGrid w:val="0"/>
        <w:spacing w:before="312" w:beforeLines="100" w:line="360" w:lineRule="auto"/>
        <w:ind w:firstLine="562" w:firstLineChars="200"/>
        <w:jc w:val="left"/>
        <w:outlineLvl w:val="2"/>
        <w:rPr>
          <w:rFonts w:hint="default" w:ascii="Times New Roman" w:hAnsi="Times New Roman" w:eastAsia="宋体" w:cs="Times New Roman"/>
          <w:b/>
          <w:bCs w:val="0"/>
          <w:kern w:val="2"/>
          <w:sz w:val="28"/>
          <w:szCs w:val="28"/>
          <w:lang w:val="en-US" w:eastAsia="zh-CN" w:bidi="ar-SA"/>
        </w:rPr>
      </w:pPr>
      <w:bookmarkStart w:id="269" w:name="_Toc100376794"/>
      <w:bookmarkStart w:id="270" w:name="_Toc21338"/>
      <w:r>
        <w:rPr>
          <w:rFonts w:hint="default" w:ascii="Times New Roman" w:hAnsi="Times New Roman" w:eastAsia="宋体" w:cs="Times New Roman"/>
          <w:b/>
          <w:bCs w:val="0"/>
          <w:kern w:val="2"/>
          <w:sz w:val="28"/>
          <w:szCs w:val="28"/>
          <w:lang w:val="en-US" w:eastAsia="zh-CN" w:bidi="ar-SA"/>
        </w:rPr>
        <w:t>2.3.5 矿床开采技术条件</w:t>
      </w:r>
      <w:bookmarkEnd w:id="269"/>
      <w:bookmarkEnd w:id="270"/>
    </w:p>
    <w:p w14:paraId="70CFAEDD">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2.3.5.1 水文地质条件</w:t>
      </w:r>
    </w:p>
    <w:p w14:paraId="20FD2521">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271" w:name="_Toc26282"/>
      <w:bookmarkStart w:id="272" w:name="_Toc119222539"/>
      <w:bookmarkStart w:id="273" w:name="_Toc149618556"/>
      <w:bookmarkStart w:id="274" w:name="_Toc247252327"/>
      <w:bookmarkStart w:id="275" w:name="_Toc190249482"/>
      <w:bookmarkStart w:id="276" w:name="_Toc108859747"/>
      <w:bookmarkStart w:id="277" w:name="_Toc105919073"/>
      <w:bookmarkStart w:id="278" w:name="_Toc190249646"/>
      <w:bookmarkStart w:id="279" w:name="_Toc249340183"/>
      <w:bookmarkStart w:id="280" w:name="_Toc105903757"/>
      <w:bookmarkStart w:id="281" w:name="_Toc245606272"/>
      <w:bookmarkStart w:id="282" w:name="_Toc108859861"/>
      <w:bookmarkStart w:id="283" w:name="_Toc105903264"/>
      <w:bookmarkStart w:id="284" w:name="_Toc351642884"/>
      <w:r>
        <w:rPr>
          <w:rFonts w:hint="default" w:ascii="Times New Roman" w:hAnsi="Times New Roman" w:eastAsia="宋体" w:cs="Times New Roman"/>
          <w:b/>
          <w:bCs/>
          <w:sz w:val="28"/>
          <w:szCs w:val="21"/>
        </w:rPr>
        <w:t>一、</w:t>
      </w:r>
      <w:bookmarkEnd w:id="271"/>
      <w:bookmarkEnd w:id="272"/>
      <w:bookmarkEnd w:id="273"/>
      <w:r>
        <w:rPr>
          <w:rFonts w:hint="default" w:ascii="Times New Roman" w:hAnsi="Times New Roman" w:eastAsia="宋体" w:cs="Times New Roman"/>
          <w:b/>
          <w:bCs/>
          <w:sz w:val="28"/>
          <w:szCs w:val="21"/>
        </w:rPr>
        <w:t>区域水文地质概况</w:t>
      </w:r>
    </w:p>
    <w:p w14:paraId="0B112533">
      <w:pPr>
        <w:ind w:firstLine="560"/>
        <w:rPr>
          <w:rFonts w:hint="default" w:ascii="Times New Roman" w:hAnsi="Times New Roman" w:eastAsia="宋体" w:cs="Times New Roman"/>
          <w:szCs w:val="21"/>
        </w:rPr>
      </w:pPr>
      <w:bookmarkStart w:id="285" w:name="_Toc119222540"/>
      <w:bookmarkStart w:id="286" w:name="_Toc149618557"/>
      <w:r>
        <w:rPr>
          <w:rFonts w:hint="default" w:ascii="Times New Roman" w:hAnsi="Times New Roman" w:eastAsia="宋体" w:cs="Times New Roman"/>
          <w:szCs w:val="21"/>
        </w:rPr>
        <w:t>1、自然地理概况</w:t>
      </w:r>
    </w:p>
    <w:p w14:paraId="0B197F09">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地形地貌：矿区属于构造剥蚀低中山地貌斜坡地形，总体地形南北两边高、中间低，最高点为矿权范围北东侧的山脊，海拔为2260.61m，最低点在矿区南西侧沟谷中，海拔标高为2039.5m（为当地最低侵蚀基准面），相对高差221.11m，地形起伏变化较大，地面自然坡度20～40°，山顶部位较平缓，山脊两侧较陡，中部发育一条北东-南西向主要冲沟。地表植被主要为低矮松树和阔叶乔木，有少量杂草及低矮灌木丛，植被较发育，部分基岩裸露。地形地貌复杂程度属中等类型。</w:t>
      </w:r>
    </w:p>
    <w:p w14:paraId="21D68658">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地表水：矿区内发育一条北东-南西向山箐，雨季冲箐内水量一般，旱季基本断流，属季节性冲沟，冲沟水流由北东向南西径流。矿权范围北西侧直线距离约1.6km低凹沟谷处为杨官庄水库，南西侧直线距离170m处低凹沟谷中有一个当地居民修建的水塘，高程均低于矿权最低开采标高。有利于地表水的自然排泄，地表水沿斜坡向下径流，汇入箐沟，向西流出，采区内地表水流自主排泄。除此之外未见其他地表水体。</w:t>
      </w:r>
    </w:p>
    <w:p w14:paraId="4FD25D16">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2、区域含、隔水层</w:t>
      </w:r>
    </w:p>
    <w:p w14:paraId="0D7346D5">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第四系松散堆积层孔隙含水层：由碎石粉土组成，在矿区斜坡表面、低凹处零星分布，厚度0～5米。该类地下水含水层以孔隙、颗粒之间为赋水空间，均匀性较好。含水层富水性受岩性控制明显，粘性土孔隙度较大，但连通性较差，不利于地下水的赋存和运移，易成为地下水的相对隔水层。富水性弱。主要接受大气降水补给，大气降水大部分顺坡流入低凹地带的沟谷中,少部分渗入地下补给地下水。</w:t>
      </w:r>
    </w:p>
    <w:p w14:paraId="1DA73E77">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碎屑岩裂隙水：赋存于中生界白垩系上统江底河组下段（K</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g）紫红色泥岩、细砂岩和白垩系上统马头山组（K</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m）灰白色、紫灰色中厚-厚层状细-中粒长石石英砂岩（局部含砾）中，根据1：20万大姚幅水文地质图，该砂岩地下水径流模数0.7-4.5L/S.km</w:t>
      </w:r>
      <w:r>
        <w:rPr>
          <w:rFonts w:hint="default" w:ascii="Times New Roman" w:hAnsi="Times New Roman" w:eastAsia="宋体" w:cs="Times New Roman"/>
          <w:szCs w:val="21"/>
          <w:vertAlign w:val="superscript"/>
        </w:rPr>
        <w:t>2</w:t>
      </w:r>
      <w:r>
        <w:rPr>
          <w:rFonts w:hint="default" w:ascii="Times New Roman" w:hAnsi="Times New Roman" w:eastAsia="宋体" w:cs="Times New Roman"/>
          <w:szCs w:val="21"/>
        </w:rPr>
        <w:t>，水量丰富，富水性强。泥岩为相对隔水层，富水性弱。岩体节理裂隙较发育，地下水主要赋存于岩石浅层风化裂隙中，地下水的赋存深度及水量大小与岩石发育裂隙的延深长度及裂隙发育程度相关。</w:t>
      </w:r>
    </w:p>
    <w:p w14:paraId="7188A857">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3、区域水文地质条件</w:t>
      </w:r>
    </w:p>
    <w:p w14:paraId="6E1EFF00">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区域内水文地质条件较简单，主要受岩性、地貌、气象等因素影响，其次构造对地下水的运移和富集有一定的制约或影响。</w:t>
      </w:r>
    </w:p>
    <w:p w14:paraId="3931EF92">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根据含水层岩性、地下水赋存条件、特征等分析，区域内含水地质单元主要为松散堆积层孔隙含水层和碎屑岩裂隙水，其中第四系全松散堆积层孔隙含水层结构松散，富水性弱，易于地势低洼处排泄，其余岩层多呈致密结构，裂隙闭合且填充性较好，富水性弱。</w:t>
      </w:r>
    </w:p>
    <w:p w14:paraId="63C83FE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zCs w:val="21"/>
        </w:rPr>
        <w:t>地貌主要控制了地表水的补给、径流及排泄条件，区内为大面积斜坡地形，坡度较陡，径流途径短、排泄快、动态变化大</w:t>
      </w:r>
      <w:r>
        <w:rPr>
          <w:rFonts w:hint="default" w:ascii="Times New Roman" w:hAnsi="Times New Roman" w:eastAsia="宋体" w:cs="Times New Roman"/>
          <w:sz w:val="28"/>
          <w:szCs w:val="21"/>
        </w:rPr>
        <w:t>。</w:t>
      </w:r>
    </w:p>
    <w:bookmarkEnd w:id="285"/>
    <w:bookmarkEnd w:id="286"/>
    <w:p w14:paraId="0F4DD20D">
      <w:pPr>
        <w:pageBreakBefore w:val="0"/>
        <w:kinsoku/>
        <w:wordWrap/>
        <w:bidi w:val="0"/>
        <w:adjustRightInd w:val="0"/>
        <w:snapToGrid w:val="0"/>
        <w:spacing w:line="360" w:lineRule="auto"/>
        <w:ind w:firstLine="562" w:firstLineChars="200"/>
        <w:rPr>
          <w:rFonts w:hint="default" w:ascii="Times New Roman" w:hAnsi="Times New Roman" w:eastAsia="宋体" w:cs="Times New Roman"/>
          <w:b/>
          <w:bCs/>
          <w:sz w:val="28"/>
          <w:szCs w:val="21"/>
        </w:rPr>
      </w:pPr>
      <w:bookmarkStart w:id="287" w:name="_Toc12534"/>
      <w:r>
        <w:rPr>
          <w:rFonts w:hint="default" w:ascii="Times New Roman" w:hAnsi="Times New Roman" w:eastAsia="宋体" w:cs="Times New Roman"/>
          <w:b/>
          <w:bCs/>
          <w:sz w:val="28"/>
          <w:szCs w:val="21"/>
        </w:rPr>
        <w:t>二、</w:t>
      </w:r>
      <w:bookmarkEnd w:id="287"/>
      <w:r>
        <w:rPr>
          <w:rFonts w:hint="default" w:ascii="Times New Roman" w:hAnsi="Times New Roman" w:eastAsia="宋体" w:cs="Times New Roman"/>
          <w:b/>
          <w:bCs/>
          <w:sz w:val="28"/>
          <w:szCs w:val="21"/>
        </w:rPr>
        <w:t>区域水文地质条件</w:t>
      </w:r>
    </w:p>
    <w:p w14:paraId="37007D53">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总体地形南北两边高、中间低，最高点为矿权范围北东侧的山脊，海拔为2260.61m，最低点在矿区南西侧沟谷中，海拔标高为2039.5m（为当地最低侵蚀基准面），相对高差221.11m，地形起伏变化较大，地面自然坡度20～40°，山顶部位较平缓，山脊两侧较陡，中部发育一条北东-南西向山箐。矿区开采标高为2251～2068m，查明资源量全在当地最低侵蚀基准面之上。</w:t>
      </w:r>
    </w:p>
    <w:p w14:paraId="68BE98A9">
      <w:pPr>
        <w:adjustRightInd/>
        <w:snapToGrid/>
        <w:spacing w:line="360" w:lineRule="auto"/>
        <w:ind w:firstLine="562"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b/>
          <w:bCs/>
          <w:snapToGrid w:val="0"/>
          <w:color w:val="auto"/>
          <w:sz w:val="28"/>
          <w:szCs w:val="28"/>
        </w:rPr>
        <w:t>三、岩（矿）层的富水性</w:t>
      </w:r>
    </w:p>
    <w:p w14:paraId="62B1F9C0">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地表第四系残坡积层松散，透水性强，地下水易向低处径流排泄，旱季一般不含潜水。箐沟主要接受降雨补给及斜坡区径流补给，透水性强，区内地下水水力坡度平缓，径流缓慢，水位稳定，动态变化不大。下伏富水性中等，透水性弱～中等，分布较均匀，地下水主要沿砂岩裂隙运动，连通性较好，地下水较为稳定。</w:t>
      </w:r>
    </w:p>
    <w:p w14:paraId="57DBF7C5">
      <w:pPr>
        <w:adjustRightInd/>
        <w:snapToGrid/>
        <w:spacing w:line="360" w:lineRule="auto"/>
        <w:ind w:firstLine="562" w:firstLineChars="200"/>
        <w:rPr>
          <w:rFonts w:hint="default" w:ascii="Times New Roman" w:hAnsi="Times New Roman" w:eastAsia="宋体" w:cs="Times New Roman"/>
          <w:b/>
          <w:bCs/>
          <w:snapToGrid w:val="0"/>
          <w:color w:val="auto"/>
          <w:sz w:val="28"/>
          <w:szCs w:val="28"/>
        </w:rPr>
      </w:pPr>
      <w:r>
        <w:rPr>
          <w:rFonts w:hint="default" w:ascii="Times New Roman" w:hAnsi="Times New Roman" w:eastAsia="宋体" w:cs="Times New Roman"/>
          <w:b/>
          <w:bCs/>
          <w:snapToGrid w:val="0"/>
          <w:color w:val="auto"/>
          <w:sz w:val="28"/>
          <w:szCs w:val="28"/>
        </w:rPr>
        <w:t>四、地表水特征</w:t>
      </w:r>
    </w:p>
    <w:p w14:paraId="680F41B2">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雨季标水箐内水量一般，旱季基本断流，属季节性冲沟，标水箐水流由北东向南西径流。矿权范围北西侧直线距离约1.6km低凹沟谷处为杨官庄水库，标水箐南西侧直线距离170m处有一个当地居民修建的水塘。高程均低于矿权最低开采标高，有利于地表水的自然排泄。除此之外未见其他地表水体，调查期间未见水流，雨季时方有雨水流经。地表水对采坑影响小。</w:t>
      </w:r>
    </w:p>
    <w:p w14:paraId="4648CA06">
      <w:pPr>
        <w:adjustRightInd/>
        <w:snapToGrid/>
        <w:spacing w:line="360" w:lineRule="auto"/>
        <w:ind w:firstLine="562"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b/>
          <w:bCs/>
          <w:snapToGrid w:val="0"/>
          <w:color w:val="auto"/>
          <w:sz w:val="28"/>
          <w:szCs w:val="28"/>
        </w:rPr>
        <w:t>五、地下水动态及其补给、径流与排泄</w:t>
      </w:r>
    </w:p>
    <w:p w14:paraId="7CD58F6C">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根据地下水赋存条件、水理性质和水力特征，区内各类型地下水均没有构成独立的水文地质单元，其补给、径流、排泄条件均与区外含水层（组）相连。矿区地下水可分为第四系松散堆积层孔隙含水层、碎屑岩裂隙水两种类型，其特征如下：</w:t>
      </w:r>
    </w:p>
    <w:p w14:paraId="2C896BC6">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第四系松散堆积层孔隙含水层：由碎石粉土组成，在矿区斜坡表面、低凹处零星分布，厚度0～5米。该类地下水含水层以孔隙、颗粒之间为赋水空间，均匀性较好。含水层富水性受岩性控制明显，粘性土孔隙度较大，但连通性较差，不利于地下水的赋存和运移，易成为地下水的相对隔水层。富水性弱。主要接受大气降水补给，大气降水大部分顺坡流入低凹地带的沟谷中,少部分渗入地下补给地下水。</w:t>
      </w:r>
    </w:p>
    <w:p w14:paraId="0DC9B01C">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碎屑岩裂隙水：赋存于中生界白垩系上统江底河组下段（K</w:t>
      </w:r>
      <w:r>
        <w:rPr>
          <w:rFonts w:hint="default" w:ascii="Times New Roman" w:hAnsi="Times New Roman" w:eastAsia="宋体" w:cs="Times New Roman"/>
          <w:snapToGrid w:val="0"/>
          <w:color w:val="auto"/>
          <w:sz w:val="28"/>
          <w:szCs w:val="28"/>
          <w:vertAlign w:val="subscript"/>
        </w:rPr>
        <w:t>1g</w:t>
      </w:r>
      <w:r>
        <w:rPr>
          <w:rFonts w:hint="default" w:ascii="Times New Roman" w:hAnsi="Times New Roman" w:eastAsia="宋体" w:cs="Times New Roman"/>
          <w:snapToGrid w:val="0"/>
          <w:color w:val="auto"/>
          <w:sz w:val="28"/>
          <w:szCs w:val="28"/>
        </w:rPr>
        <w:t>）紫红色泥岩、细砂岩和白垩系上统马头山组（K</w:t>
      </w:r>
      <w:r>
        <w:rPr>
          <w:rFonts w:hint="default" w:ascii="Times New Roman" w:hAnsi="Times New Roman" w:eastAsia="宋体" w:cs="Times New Roman"/>
          <w:snapToGrid w:val="0"/>
          <w:color w:val="auto"/>
          <w:sz w:val="28"/>
          <w:szCs w:val="28"/>
          <w:vertAlign w:val="subscript"/>
        </w:rPr>
        <w:t>2</w:t>
      </w:r>
      <w:r>
        <w:rPr>
          <w:rFonts w:hint="default" w:ascii="Times New Roman" w:hAnsi="Times New Roman" w:eastAsia="宋体" w:cs="Times New Roman"/>
          <w:snapToGrid w:val="0"/>
          <w:color w:val="auto"/>
          <w:sz w:val="28"/>
          <w:szCs w:val="28"/>
        </w:rPr>
        <w:t>m）灰白色、紫灰色中厚-厚层状细-中粒长石石英砂岩（局部含砾）中，根据1：20万大姚幅水文地质图，该砂岩地下水径流模数0.7-4.5L/S.km</w:t>
      </w:r>
      <w:r>
        <w:rPr>
          <w:rFonts w:hint="default" w:ascii="Times New Roman" w:hAnsi="Times New Roman" w:eastAsia="宋体" w:cs="Times New Roman"/>
          <w:snapToGrid w:val="0"/>
          <w:color w:val="auto"/>
          <w:sz w:val="28"/>
          <w:szCs w:val="28"/>
          <w:vertAlign w:val="superscript"/>
        </w:rPr>
        <w:t>2</w:t>
      </w:r>
      <w:r>
        <w:rPr>
          <w:rFonts w:hint="default" w:ascii="Times New Roman" w:hAnsi="Times New Roman" w:eastAsia="宋体" w:cs="Times New Roman"/>
          <w:snapToGrid w:val="0"/>
          <w:color w:val="auto"/>
          <w:sz w:val="28"/>
          <w:szCs w:val="28"/>
        </w:rPr>
        <w:t>，水量丰富，富水性强。泥岩为相对隔水层，富水性弱。岩体节理裂隙较发育，地下水主要赋存于岩石浅层风化裂隙中，地下水的赋存深度及水量大小与岩石发育裂隙的延深长度及裂隙发育程度相关。</w:t>
      </w:r>
    </w:p>
    <w:p w14:paraId="5A027F5F">
      <w:pPr>
        <w:adjustRightInd/>
        <w:snapToGrid/>
        <w:spacing w:line="360" w:lineRule="auto"/>
        <w:ind w:firstLine="562" w:firstLineChars="200"/>
        <w:rPr>
          <w:rFonts w:hint="default" w:ascii="Times New Roman" w:hAnsi="Times New Roman" w:eastAsia="宋体" w:cs="Times New Roman"/>
          <w:b/>
          <w:bCs/>
          <w:snapToGrid w:val="0"/>
          <w:color w:val="auto"/>
          <w:sz w:val="28"/>
          <w:szCs w:val="28"/>
        </w:rPr>
      </w:pPr>
      <w:r>
        <w:rPr>
          <w:rFonts w:hint="default" w:ascii="Times New Roman" w:hAnsi="Times New Roman" w:eastAsia="宋体" w:cs="Times New Roman"/>
          <w:b/>
          <w:bCs/>
          <w:snapToGrid w:val="0"/>
          <w:color w:val="auto"/>
          <w:sz w:val="28"/>
          <w:szCs w:val="28"/>
        </w:rPr>
        <w:t>六、充水因素分析</w:t>
      </w:r>
    </w:p>
    <w:p w14:paraId="104EF0C6">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矿区附近无大的地表水体，利于降雨自然排泄。周围未见地下水出露，地表水排泄通畅，采场位于相对高部位，地表水难以滞留储存。雨季时大气降水主要以片流形式沿地表向山箐排泄。开采范围位于最低侵蚀基准面以上，矿区采场布置由北向南呈斜坡状，采场边坡坡向与自然坡坡向一致，利于降雨自然排泄，矿区附近地形利于排水，开采方式为露天开采，矿山开采不会受地下水和地表水影响。</w:t>
      </w:r>
    </w:p>
    <w:p w14:paraId="5852229C">
      <w:pPr>
        <w:adjustRightInd/>
        <w:snapToGrid/>
        <w:spacing w:line="360" w:lineRule="auto"/>
        <w:ind w:firstLine="562"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b/>
          <w:bCs/>
          <w:snapToGrid w:val="0"/>
          <w:color w:val="auto"/>
          <w:sz w:val="28"/>
          <w:szCs w:val="28"/>
        </w:rPr>
        <w:t>七、构造对矿床充水的影响</w:t>
      </w:r>
    </w:p>
    <w:p w14:paraId="2A409A7E">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矿区处于</w:t>
      </w:r>
      <w:r>
        <w:rPr>
          <w:rFonts w:hint="default" w:ascii="Times New Roman" w:hAnsi="Times New Roman" w:eastAsia="宋体" w:cs="Times New Roman"/>
          <w:snapToGrid w:val="0"/>
          <w:color w:val="auto"/>
          <w:sz w:val="28"/>
          <w:szCs w:val="28"/>
          <w:lang w:eastAsia="zh-CN"/>
        </w:rPr>
        <w:t>弥兴镇</w:t>
      </w:r>
      <w:r>
        <w:rPr>
          <w:rFonts w:hint="default" w:ascii="Times New Roman" w:hAnsi="Times New Roman" w:eastAsia="宋体" w:cs="Times New Roman"/>
          <w:snapToGrid w:val="0"/>
          <w:color w:val="auto"/>
          <w:sz w:val="28"/>
          <w:szCs w:val="28"/>
        </w:rPr>
        <w:t>紧密褶皱束不知名向斜的东翼，地质构造简单，范围内无大的断裂通过，岩层呈南西倾的单斜层状产出。岩层节理、裂隙发育，为区内主要的构造形式。雨季时大气降水主要以片流形式沿地表向箐沟低凹地段排泄，仅少量地表水沿节理裂隙下渗补给深层地下水。区内地形有利于排水，雨水大部分顺坡流入箐沟，仅少部分沿节理裂隙下渗，补给深层地下水，但渗入量小，对矿床充水影响较小。</w:t>
      </w:r>
    </w:p>
    <w:p w14:paraId="13FC28A5">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根据现场调查，附近无泉点出露，保有资源量分布在最低侵蚀基准面以上，构造目前不会对矿床充水产生影响。</w:t>
      </w:r>
    </w:p>
    <w:p w14:paraId="17AB6F35">
      <w:pPr>
        <w:adjustRightInd/>
        <w:snapToGrid/>
        <w:spacing w:line="360" w:lineRule="auto"/>
        <w:ind w:firstLine="562" w:firstLineChars="200"/>
        <w:rPr>
          <w:rFonts w:hint="default" w:ascii="Times New Roman" w:hAnsi="Times New Roman" w:eastAsia="宋体" w:cs="Times New Roman"/>
          <w:b/>
          <w:bCs/>
          <w:snapToGrid w:val="0"/>
          <w:color w:val="auto"/>
          <w:sz w:val="28"/>
          <w:szCs w:val="28"/>
        </w:rPr>
      </w:pPr>
      <w:r>
        <w:rPr>
          <w:rFonts w:hint="default" w:ascii="Times New Roman" w:hAnsi="Times New Roman" w:eastAsia="宋体" w:cs="Times New Roman"/>
          <w:b/>
          <w:bCs/>
          <w:snapToGrid w:val="0"/>
          <w:color w:val="auto"/>
          <w:sz w:val="28"/>
          <w:szCs w:val="28"/>
        </w:rPr>
        <w:t>八、供水水源评价</w:t>
      </w:r>
    </w:p>
    <w:p w14:paraId="708258EC">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矿区内雨季标水箐内水量一般，旱季基本断流，属季节性冲沟，标水箐水流由东向西径流。矿权范围北西侧直线距离约1.6km低凹沟谷处为杨官庄水库，标水箐南西侧直线距离170m处有一个当地居民修建的水塘；东侧360m处平地原为当地居民租用养殖建有井自用。后期建设矿山用水可与当地居民商议取用。</w:t>
      </w:r>
    </w:p>
    <w:p w14:paraId="35A877F3">
      <w:pPr>
        <w:adjustRightInd/>
        <w:snapToGrid/>
        <w:spacing w:line="360" w:lineRule="auto"/>
        <w:ind w:firstLine="562" w:firstLineChars="200"/>
        <w:rPr>
          <w:rFonts w:hint="default" w:ascii="Times New Roman" w:hAnsi="Times New Roman" w:eastAsia="宋体" w:cs="Times New Roman"/>
          <w:b/>
          <w:bCs/>
          <w:snapToGrid w:val="0"/>
          <w:color w:val="auto"/>
          <w:sz w:val="28"/>
          <w:szCs w:val="28"/>
        </w:rPr>
      </w:pPr>
      <w:r>
        <w:rPr>
          <w:rFonts w:hint="default" w:ascii="Times New Roman" w:hAnsi="Times New Roman" w:eastAsia="宋体" w:cs="Times New Roman"/>
          <w:b/>
          <w:bCs/>
          <w:snapToGrid w:val="0"/>
          <w:color w:val="auto"/>
          <w:sz w:val="28"/>
          <w:szCs w:val="28"/>
        </w:rPr>
        <w:t>九、水文地质勘查类型</w:t>
      </w:r>
    </w:p>
    <w:p w14:paraId="130E1451">
      <w:pPr>
        <w:adjustRightInd/>
        <w:snapToGrid/>
        <w:spacing w:line="360" w:lineRule="auto"/>
        <w:ind w:firstLine="560"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snapToGrid w:val="0"/>
          <w:color w:val="auto"/>
          <w:sz w:val="28"/>
          <w:szCs w:val="28"/>
        </w:rPr>
        <w:t>矿山在开采过程中，地质环境和水文地质条件将发生变化，特别是矿区内箐沟，切割深度中等，在强降雨天气下，雨水沿箐沟汇入，对施工人员及设备造成危害，对矿山开采造成影响。后期开采形成的边坡、采空区等，若防治措施不当和管理不规范，排水系统不完善，遇强降雨时，易引发小型崩塌、滑坡等地质灾害。</w:t>
      </w:r>
    </w:p>
    <w:p w14:paraId="5303BA8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snapToGrid w:val="0"/>
          <w:color w:val="auto"/>
          <w:sz w:val="28"/>
          <w:szCs w:val="28"/>
        </w:rPr>
        <w:t>综上所述，矿区的开采对地下水环境影响小，会在一定程度上受地表水的影响，但加以合理引导排水，影响不大。未来矿山开采发生矿坑充水、涌水事故的可能性较小。矿区水文地质条件属简单类型</w:t>
      </w:r>
      <w:r>
        <w:rPr>
          <w:rFonts w:hint="default" w:ascii="Times New Roman" w:hAnsi="Times New Roman" w:eastAsia="宋体" w:cs="Times New Roman"/>
          <w:color w:val="000000"/>
          <w:sz w:val="28"/>
          <w:szCs w:val="28"/>
        </w:rPr>
        <w:t>。</w:t>
      </w:r>
    </w:p>
    <w:p w14:paraId="19BC9EB5">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2.3.5.2 工程地质</w:t>
      </w:r>
      <w:bookmarkEnd w:id="274"/>
      <w:bookmarkEnd w:id="275"/>
      <w:bookmarkEnd w:id="276"/>
      <w:bookmarkEnd w:id="277"/>
      <w:bookmarkEnd w:id="278"/>
      <w:bookmarkEnd w:id="279"/>
      <w:bookmarkEnd w:id="280"/>
      <w:bookmarkEnd w:id="281"/>
      <w:bookmarkEnd w:id="282"/>
      <w:bookmarkEnd w:id="283"/>
      <w:bookmarkEnd w:id="284"/>
      <w:bookmarkStart w:id="288" w:name="_Toc249340185"/>
      <w:bookmarkStart w:id="289" w:name="_Toc247252329"/>
      <w:bookmarkStart w:id="290" w:name="_Toc190249483"/>
      <w:bookmarkStart w:id="291" w:name="_Toc108859748"/>
      <w:bookmarkStart w:id="292" w:name="_Toc105919074"/>
      <w:bookmarkStart w:id="293" w:name="_Toc105903758"/>
      <w:bookmarkStart w:id="294" w:name="_Toc108859862"/>
      <w:bookmarkStart w:id="295" w:name="_Toc190249647"/>
      <w:bookmarkStart w:id="296" w:name="_Toc245606273"/>
      <w:bookmarkStart w:id="297" w:name="_Toc105903265"/>
      <w:r>
        <w:rPr>
          <w:rFonts w:hint="default" w:ascii="Times New Roman" w:hAnsi="Times New Roman" w:eastAsia="黑体" w:cs="Times New Roman"/>
          <w:bCs/>
          <w:kern w:val="2"/>
          <w:sz w:val="28"/>
          <w:szCs w:val="28"/>
          <w:lang w:val="en-US" w:eastAsia="zh-CN" w:bidi="ar-SA"/>
        </w:rPr>
        <w:t>条件</w:t>
      </w:r>
    </w:p>
    <w:bookmarkEnd w:id="288"/>
    <w:bookmarkEnd w:id="289"/>
    <w:p w14:paraId="54003062">
      <w:pPr>
        <w:adjustRightInd/>
        <w:snapToGrid/>
        <w:spacing w:line="360" w:lineRule="auto"/>
        <w:ind w:firstLine="562" w:firstLineChars="200"/>
        <w:rPr>
          <w:rFonts w:hint="default" w:ascii="Times New Roman" w:hAnsi="Times New Roman" w:eastAsia="宋体" w:cs="Times New Roman"/>
          <w:snapToGrid w:val="0"/>
          <w:color w:val="auto"/>
          <w:sz w:val="28"/>
          <w:szCs w:val="28"/>
        </w:rPr>
      </w:pPr>
      <w:bookmarkStart w:id="298" w:name="_Toc249340186"/>
      <w:bookmarkStart w:id="299" w:name="_Toc247252330"/>
      <w:bookmarkStart w:id="300" w:name="_Toc351642885"/>
      <w:r>
        <w:rPr>
          <w:rFonts w:hint="default" w:ascii="Times New Roman" w:hAnsi="Times New Roman" w:eastAsia="宋体" w:cs="Times New Roman"/>
          <w:b/>
          <w:bCs/>
          <w:color w:val="auto"/>
          <w:kern w:val="28"/>
          <w:sz w:val="28"/>
          <w:szCs w:val="28"/>
        </w:rPr>
        <w:t>一、</w:t>
      </w:r>
      <w:r>
        <w:rPr>
          <w:rFonts w:hint="default" w:ascii="Times New Roman" w:hAnsi="Times New Roman" w:eastAsia="宋体" w:cs="Times New Roman"/>
          <w:b/>
          <w:bCs/>
          <w:snapToGrid w:val="0"/>
          <w:color w:val="auto"/>
          <w:sz w:val="28"/>
          <w:szCs w:val="28"/>
        </w:rPr>
        <w:t>工程地质特征</w:t>
      </w:r>
    </w:p>
    <w:p w14:paraId="0D75813B">
      <w:pPr>
        <w:adjustRightInd w:val="0"/>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根据矿区分布地层的岩性组合、结构特征及物理力学性质，按岩石类型划分为四个主要工程地质岩组，各岩组岩土体工程地质特征见表2.3-1：</w:t>
      </w:r>
    </w:p>
    <w:p w14:paraId="009DE92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snapToGrid w:val="0"/>
          <w:color w:val="auto"/>
          <w:kern w:val="0"/>
          <w:sz w:val="24"/>
          <w:szCs w:val="24"/>
          <w:lang w:val="en-US" w:eastAsia="zh-CN" w:bidi="ar-SA"/>
        </w:rPr>
      </w:pPr>
      <w:r>
        <w:rPr>
          <w:rFonts w:hint="default" w:ascii="Times New Roman" w:hAnsi="Times New Roman" w:eastAsia="宋体" w:cs="Times New Roman"/>
          <w:b w:val="0"/>
          <w:bCs/>
          <w:snapToGrid w:val="0"/>
          <w:color w:val="auto"/>
          <w:kern w:val="0"/>
          <w:sz w:val="24"/>
          <w:szCs w:val="24"/>
          <w:lang w:val="en-US" w:eastAsia="zh-CN" w:bidi="ar-SA"/>
        </w:rPr>
        <w:t>表2.3-1岩土体工程地质特征</w:t>
      </w:r>
    </w:p>
    <w:tbl>
      <w:tblPr>
        <w:tblStyle w:val="44"/>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782"/>
        <w:gridCol w:w="1899"/>
        <w:gridCol w:w="1040"/>
        <w:gridCol w:w="1000"/>
        <w:gridCol w:w="3262"/>
      </w:tblGrid>
      <w:tr w14:paraId="6E3881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4" w:hRule="atLeast"/>
        </w:trPr>
        <w:tc>
          <w:tcPr>
            <w:tcW w:w="752" w:type="pct"/>
            <w:tcBorders>
              <w:top w:val="single" w:color="auto" w:sz="4" w:space="0"/>
              <w:left w:val="single" w:color="auto" w:sz="4" w:space="0"/>
              <w:bottom w:val="single" w:color="auto" w:sz="6" w:space="0"/>
              <w:right w:val="single" w:color="auto" w:sz="6" w:space="0"/>
            </w:tcBorders>
            <w:noWrap w:val="0"/>
            <w:vAlign w:val="center"/>
          </w:tcPr>
          <w:p w14:paraId="79B34F75">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岩组</w:t>
            </w:r>
          </w:p>
          <w:p w14:paraId="094A1E84">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类型</w:t>
            </w:r>
          </w:p>
        </w:tc>
        <w:tc>
          <w:tcPr>
            <w:tcW w:w="416" w:type="pct"/>
            <w:tcBorders>
              <w:top w:val="single" w:color="auto" w:sz="4" w:space="0"/>
              <w:left w:val="single" w:color="auto" w:sz="6" w:space="0"/>
              <w:bottom w:val="single" w:color="auto" w:sz="6" w:space="0"/>
              <w:right w:val="single" w:color="auto" w:sz="6" w:space="0"/>
            </w:tcBorders>
            <w:noWrap w:val="0"/>
            <w:vAlign w:val="center"/>
          </w:tcPr>
          <w:p w14:paraId="7D56DECF">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地层</w:t>
            </w:r>
          </w:p>
          <w:p w14:paraId="5C40C46B">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代号</w:t>
            </w:r>
          </w:p>
        </w:tc>
        <w:tc>
          <w:tcPr>
            <w:tcW w:w="1010" w:type="pct"/>
            <w:tcBorders>
              <w:top w:val="single" w:color="auto" w:sz="4" w:space="0"/>
              <w:left w:val="single" w:color="auto" w:sz="6" w:space="0"/>
              <w:bottom w:val="single" w:color="auto" w:sz="6" w:space="0"/>
              <w:right w:val="single" w:color="auto" w:sz="6" w:space="0"/>
            </w:tcBorders>
            <w:noWrap w:val="0"/>
            <w:vAlign w:val="center"/>
          </w:tcPr>
          <w:p w14:paraId="77F88104">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岩性</w:t>
            </w:r>
          </w:p>
        </w:tc>
        <w:tc>
          <w:tcPr>
            <w:tcW w:w="553" w:type="pct"/>
            <w:tcBorders>
              <w:top w:val="single" w:color="auto" w:sz="4" w:space="0"/>
              <w:left w:val="single" w:color="auto" w:sz="6" w:space="0"/>
              <w:bottom w:val="single" w:color="auto" w:sz="6" w:space="0"/>
              <w:right w:val="single" w:color="auto" w:sz="6" w:space="0"/>
            </w:tcBorders>
            <w:noWrap w:val="0"/>
            <w:vAlign w:val="center"/>
          </w:tcPr>
          <w:p w14:paraId="0E71876D">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结构面</w:t>
            </w:r>
          </w:p>
        </w:tc>
        <w:tc>
          <w:tcPr>
            <w:tcW w:w="532" w:type="pct"/>
            <w:tcBorders>
              <w:top w:val="single" w:color="auto" w:sz="4" w:space="0"/>
              <w:left w:val="single" w:color="auto" w:sz="6" w:space="0"/>
              <w:bottom w:val="single" w:color="auto" w:sz="6" w:space="0"/>
              <w:right w:val="single" w:color="auto" w:sz="6" w:space="0"/>
            </w:tcBorders>
            <w:noWrap w:val="0"/>
            <w:vAlign w:val="center"/>
          </w:tcPr>
          <w:p w14:paraId="69A82802">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结构</w:t>
            </w:r>
          </w:p>
          <w:p w14:paraId="70541AC4">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类型</w:t>
            </w:r>
          </w:p>
        </w:tc>
        <w:tc>
          <w:tcPr>
            <w:tcW w:w="1735" w:type="pct"/>
            <w:tcBorders>
              <w:top w:val="single" w:color="auto" w:sz="4" w:space="0"/>
              <w:left w:val="single" w:color="auto" w:sz="6" w:space="0"/>
              <w:bottom w:val="single" w:color="auto" w:sz="6" w:space="0"/>
              <w:right w:val="single" w:color="auto" w:sz="4" w:space="0"/>
            </w:tcBorders>
            <w:noWrap w:val="0"/>
            <w:vAlign w:val="center"/>
          </w:tcPr>
          <w:p w14:paraId="7A1A35B5">
            <w:pPr>
              <w:adjustRightInd/>
              <w:snapToGrid/>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工程地质特征</w:t>
            </w:r>
          </w:p>
        </w:tc>
      </w:tr>
      <w:tr w14:paraId="0C0523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54" w:hRule="atLeast"/>
        </w:trPr>
        <w:tc>
          <w:tcPr>
            <w:tcW w:w="752" w:type="pct"/>
            <w:tcBorders>
              <w:top w:val="single" w:color="auto" w:sz="6" w:space="0"/>
              <w:left w:val="single" w:color="auto" w:sz="4" w:space="0"/>
              <w:bottom w:val="single" w:color="auto" w:sz="6" w:space="0"/>
              <w:right w:val="single" w:color="auto" w:sz="6" w:space="0"/>
            </w:tcBorders>
            <w:noWrap w:val="0"/>
            <w:vAlign w:val="center"/>
          </w:tcPr>
          <w:p w14:paraId="08D7BFCD">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散体状结构</w:t>
            </w:r>
          </w:p>
          <w:p w14:paraId="541DF8FD">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松散岩组</w:t>
            </w:r>
          </w:p>
          <w:p w14:paraId="22CBAD42">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（Ⅰ）</w:t>
            </w:r>
          </w:p>
        </w:tc>
        <w:tc>
          <w:tcPr>
            <w:tcW w:w="416" w:type="pct"/>
            <w:tcBorders>
              <w:top w:val="single" w:color="auto" w:sz="6" w:space="0"/>
              <w:left w:val="single" w:color="auto" w:sz="6" w:space="0"/>
              <w:bottom w:val="single" w:color="auto" w:sz="6" w:space="0"/>
              <w:right w:val="single" w:color="auto" w:sz="6" w:space="0"/>
            </w:tcBorders>
            <w:noWrap w:val="0"/>
            <w:vAlign w:val="center"/>
          </w:tcPr>
          <w:p w14:paraId="2F08E682">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Q</w:t>
            </w:r>
            <w:r>
              <w:rPr>
                <w:rFonts w:hint="default" w:ascii="Times New Roman" w:hAnsi="Times New Roman" w:eastAsia="宋体" w:cs="Times New Roman"/>
                <w:color w:val="auto"/>
                <w:sz w:val="21"/>
                <w:szCs w:val="21"/>
                <w:vertAlign w:val="subscript"/>
              </w:rPr>
              <w:t>4</w:t>
            </w:r>
            <w:r>
              <w:rPr>
                <w:rFonts w:hint="default" w:ascii="Times New Roman" w:hAnsi="Times New Roman" w:eastAsia="宋体" w:cs="Times New Roman"/>
                <w:color w:val="auto"/>
                <w:sz w:val="21"/>
                <w:szCs w:val="21"/>
                <w:vertAlign w:val="superscript"/>
              </w:rPr>
              <w:t>el+dl</w:t>
            </w:r>
          </w:p>
        </w:tc>
        <w:tc>
          <w:tcPr>
            <w:tcW w:w="1010" w:type="pct"/>
            <w:tcBorders>
              <w:top w:val="single" w:color="auto" w:sz="6" w:space="0"/>
              <w:left w:val="single" w:color="auto" w:sz="6" w:space="0"/>
              <w:bottom w:val="single" w:color="auto" w:sz="6" w:space="0"/>
              <w:right w:val="single" w:color="auto" w:sz="6" w:space="0"/>
            </w:tcBorders>
            <w:noWrap w:val="0"/>
            <w:vAlign w:val="center"/>
          </w:tcPr>
          <w:p w14:paraId="265828EC">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残坡积层、碎石粉土</w:t>
            </w:r>
          </w:p>
        </w:tc>
        <w:tc>
          <w:tcPr>
            <w:tcW w:w="553" w:type="pct"/>
            <w:tcBorders>
              <w:top w:val="single" w:color="auto" w:sz="6" w:space="0"/>
              <w:left w:val="single" w:color="auto" w:sz="6" w:space="0"/>
              <w:bottom w:val="single" w:color="auto" w:sz="6" w:space="0"/>
              <w:right w:val="single" w:color="auto" w:sz="6" w:space="0"/>
            </w:tcBorders>
            <w:noWrap w:val="0"/>
            <w:vAlign w:val="center"/>
          </w:tcPr>
          <w:p w14:paraId="64DCC1CB">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土岩结构面</w:t>
            </w:r>
          </w:p>
        </w:tc>
        <w:tc>
          <w:tcPr>
            <w:tcW w:w="532" w:type="pct"/>
            <w:tcBorders>
              <w:top w:val="single" w:color="auto" w:sz="6" w:space="0"/>
              <w:left w:val="single" w:color="auto" w:sz="6" w:space="0"/>
              <w:bottom w:val="single" w:color="auto" w:sz="6" w:space="0"/>
              <w:right w:val="single" w:color="auto" w:sz="6" w:space="0"/>
            </w:tcBorders>
            <w:noWrap w:val="0"/>
            <w:vAlign w:val="center"/>
          </w:tcPr>
          <w:p w14:paraId="1959C660">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散体</w:t>
            </w:r>
          </w:p>
          <w:p w14:paraId="40579822">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结构</w:t>
            </w:r>
          </w:p>
        </w:tc>
        <w:tc>
          <w:tcPr>
            <w:tcW w:w="1735" w:type="pct"/>
            <w:tcBorders>
              <w:top w:val="single" w:color="auto" w:sz="6" w:space="0"/>
              <w:left w:val="single" w:color="auto" w:sz="6" w:space="0"/>
              <w:bottom w:val="single" w:color="auto" w:sz="6" w:space="0"/>
              <w:right w:val="single" w:color="auto" w:sz="4" w:space="0"/>
            </w:tcBorders>
            <w:noWrap w:val="0"/>
            <w:vAlign w:val="center"/>
          </w:tcPr>
          <w:p w14:paraId="5A95F193">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分布于地表，厚度0～5m，透水性弱～中等，雨季可沿土石结构面产生渗水，诱发小规模岩块坍塌、滑坡等地质灾害。</w:t>
            </w:r>
          </w:p>
        </w:tc>
      </w:tr>
      <w:tr w14:paraId="02F8BC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8" w:hRule="atLeast"/>
        </w:trPr>
        <w:tc>
          <w:tcPr>
            <w:tcW w:w="752" w:type="pct"/>
            <w:tcBorders>
              <w:top w:val="single" w:color="auto" w:sz="6" w:space="0"/>
              <w:left w:val="single" w:color="auto" w:sz="4" w:space="0"/>
              <w:bottom w:val="single" w:color="auto" w:sz="6" w:space="0"/>
              <w:right w:val="single" w:color="auto" w:sz="6" w:space="0"/>
            </w:tcBorders>
            <w:noWrap w:val="0"/>
            <w:vAlign w:val="center"/>
          </w:tcPr>
          <w:p w14:paraId="04CAA88B">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软弱砂岩岩组（Ⅱ）</w:t>
            </w:r>
          </w:p>
        </w:tc>
        <w:tc>
          <w:tcPr>
            <w:tcW w:w="416" w:type="pct"/>
            <w:tcBorders>
              <w:top w:val="single" w:color="auto" w:sz="6" w:space="0"/>
              <w:left w:val="single" w:color="auto" w:sz="6" w:space="0"/>
              <w:bottom w:val="single" w:color="auto" w:sz="6" w:space="0"/>
              <w:right w:val="single" w:color="auto" w:sz="6" w:space="0"/>
            </w:tcBorders>
            <w:noWrap w:val="0"/>
            <w:vAlign w:val="center"/>
          </w:tcPr>
          <w:p w14:paraId="1F1A0508">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w:t>
            </w:r>
            <w:r>
              <w:rPr>
                <w:rFonts w:hint="default" w:ascii="Times New Roman" w:hAnsi="Times New Roman" w:eastAsia="宋体" w:cs="Times New Roman"/>
                <w:color w:val="auto"/>
                <w:sz w:val="21"/>
                <w:szCs w:val="21"/>
                <w:vertAlign w:val="subscript"/>
              </w:rPr>
              <w:t>2</w:t>
            </w:r>
            <w:r>
              <w:rPr>
                <w:rFonts w:hint="default" w:ascii="Times New Roman" w:hAnsi="Times New Roman" w:eastAsia="宋体" w:cs="Times New Roman"/>
                <w:color w:val="auto"/>
                <w:sz w:val="21"/>
                <w:szCs w:val="21"/>
              </w:rPr>
              <w:t>m</w:t>
            </w:r>
          </w:p>
        </w:tc>
        <w:tc>
          <w:tcPr>
            <w:tcW w:w="1010" w:type="pct"/>
            <w:tcBorders>
              <w:top w:val="single" w:color="auto" w:sz="6" w:space="0"/>
              <w:left w:val="single" w:color="auto" w:sz="6" w:space="0"/>
              <w:bottom w:val="single" w:color="auto" w:sz="6" w:space="0"/>
              <w:right w:val="single" w:color="auto" w:sz="6" w:space="0"/>
            </w:tcBorders>
            <w:noWrap w:val="0"/>
            <w:vAlign w:val="center"/>
          </w:tcPr>
          <w:p w14:paraId="3C4A40D3">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全-强风化浅灰色砂岩</w:t>
            </w:r>
          </w:p>
        </w:tc>
        <w:tc>
          <w:tcPr>
            <w:tcW w:w="553" w:type="pct"/>
            <w:tcBorders>
              <w:top w:val="single" w:color="auto" w:sz="6" w:space="0"/>
              <w:left w:val="single" w:color="auto" w:sz="6" w:space="0"/>
              <w:bottom w:val="single" w:color="auto" w:sz="6" w:space="0"/>
              <w:right w:val="single" w:color="auto" w:sz="6" w:space="0"/>
            </w:tcBorders>
            <w:noWrap w:val="0"/>
            <w:vAlign w:val="center"/>
          </w:tcPr>
          <w:p w14:paraId="34465F57">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层面、节理裂隙面</w:t>
            </w:r>
          </w:p>
        </w:tc>
        <w:tc>
          <w:tcPr>
            <w:tcW w:w="532" w:type="pct"/>
            <w:tcBorders>
              <w:top w:val="single" w:color="auto" w:sz="6" w:space="0"/>
              <w:left w:val="single" w:color="auto" w:sz="6" w:space="0"/>
              <w:bottom w:val="single" w:color="auto" w:sz="6" w:space="0"/>
              <w:right w:val="single" w:color="auto" w:sz="6" w:space="0"/>
            </w:tcBorders>
            <w:noWrap w:val="0"/>
            <w:vAlign w:val="center"/>
          </w:tcPr>
          <w:p w14:paraId="42FAF9AF">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薄—中层状结构</w:t>
            </w:r>
          </w:p>
        </w:tc>
        <w:tc>
          <w:tcPr>
            <w:tcW w:w="1735" w:type="pct"/>
            <w:tcBorders>
              <w:top w:val="single" w:color="auto" w:sz="6" w:space="0"/>
              <w:left w:val="single" w:color="auto" w:sz="6" w:space="0"/>
              <w:bottom w:val="single" w:color="auto" w:sz="6" w:space="0"/>
              <w:right w:val="single" w:color="auto" w:sz="4" w:space="0"/>
            </w:tcBorders>
            <w:noWrap w:val="0"/>
            <w:vAlign w:val="center"/>
          </w:tcPr>
          <w:p w14:paraId="10438983">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为矿区开采矿体，全-强风化，节理裂隙发育，可能产生崩塌、滑坡等地质灾害。</w:t>
            </w:r>
          </w:p>
        </w:tc>
      </w:tr>
      <w:tr w14:paraId="0A31E2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55" w:hRule="atLeast"/>
        </w:trPr>
        <w:tc>
          <w:tcPr>
            <w:tcW w:w="752" w:type="pct"/>
            <w:tcBorders>
              <w:top w:val="single" w:color="auto" w:sz="6" w:space="0"/>
              <w:left w:val="single" w:color="auto" w:sz="4" w:space="0"/>
              <w:bottom w:val="single" w:color="auto" w:sz="6" w:space="0"/>
              <w:right w:val="single" w:color="auto" w:sz="6" w:space="0"/>
            </w:tcBorders>
            <w:noWrap w:val="0"/>
            <w:vAlign w:val="center"/>
          </w:tcPr>
          <w:p w14:paraId="02F2C9B1">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较硬中—厚层状砂岩岩组（Ⅲ）</w:t>
            </w:r>
          </w:p>
        </w:tc>
        <w:tc>
          <w:tcPr>
            <w:tcW w:w="416" w:type="pct"/>
            <w:tcBorders>
              <w:top w:val="single" w:color="auto" w:sz="6" w:space="0"/>
              <w:left w:val="single" w:color="auto" w:sz="6" w:space="0"/>
              <w:bottom w:val="single" w:color="auto" w:sz="6" w:space="0"/>
              <w:right w:val="single" w:color="auto" w:sz="6" w:space="0"/>
            </w:tcBorders>
            <w:noWrap w:val="0"/>
            <w:vAlign w:val="center"/>
          </w:tcPr>
          <w:p w14:paraId="30B62004">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kern w:val="28"/>
                <w:sz w:val="21"/>
                <w:szCs w:val="21"/>
              </w:rPr>
              <w:t>K</w:t>
            </w:r>
            <w:r>
              <w:rPr>
                <w:rFonts w:hint="default" w:ascii="Times New Roman" w:hAnsi="Times New Roman" w:eastAsia="宋体" w:cs="Times New Roman"/>
                <w:color w:val="auto"/>
                <w:spacing w:val="4"/>
                <w:kern w:val="28"/>
                <w:sz w:val="21"/>
                <w:szCs w:val="21"/>
                <w:vertAlign w:val="subscript"/>
              </w:rPr>
              <w:t>2</w:t>
            </w:r>
            <w:r>
              <w:rPr>
                <w:rFonts w:hint="default" w:ascii="Times New Roman" w:hAnsi="Times New Roman" w:eastAsia="宋体" w:cs="Times New Roman"/>
                <w:color w:val="auto"/>
                <w:spacing w:val="4"/>
                <w:kern w:val="28"/>
                <w:sz w:val="21"/>
                <w:szCs w:val="21"/>
              </w:rPr>
              <w:t>m</w:t>
            </w:r>
          </w:p>
        </w:tc>
        <w:tc>
          <w:tcPr>
            <w:tcW w:w="1010" w:type="pct"/>
            <w:tcBorders>
              <w:top w:val="single" w:color="auto" w:sz="6" w:space="0"/>
              <w:left w:val="single" w:color="auto" w:sz="6" w:space="0"/>
              <w:bottom w:val="single" w:color="auto" w:sz="6" w:space="0"/>
              <w:right w:val="single" w:color="auto" w:sz="6" w:space="0"/>
            </w:tcBorders>
            <w:noWrap w:val="0"/>
            <w:vAlign w:val="center"/>
          </w:tcPr>
          <w:p w14:paraId="147F3B75">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灰色、灰紫色中厚-厚层状细-中粗粒长石石英砂岩夹紫红色泥质粉砂岩</w:t>
            </w:r>
          </w:p>
        </w:tc>
        <w:tc>
          <w:tcPr>
            <w:tcW w:w="553" w:type="pct"/>
            <w:tcBorders>
              <w:top w:val="single" w:color="auto" w:sz="6" w:space="0"/>
              <w:left w:val="single" w:color="auto" w:sz="6" w:space="0"/>
              <w:bottom w:val="single" w:color="auto" w:sz="6" w:space="0"/>
              <w:right w:val="single" w:color="auto" w:sz="6" w:space="0"/>
            </w:tcBorders>
            <w:noWrap w:val="0"/>
            <w:vAlign w:val="center"/>
          </w:tcPr>
          <w:p w14:paraId="05F504A5">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层面、节理裂隙面</w:t>
            </w:r>
          </w:p>
        </w:tc>
        <w:tc>
          <w:tcPr>
            <w:tcW w:w="532" w:type="pct"/>
            <w:tcBorders>
              <w:top w:val="single" w:color="auto" w:sz="6" w:space="0"/>
              <w:left w:val="single" w:color="auto" w:sz="6" w:space="0"/>
              <w:bottom w:val="single" w:color="auto" w:sz="6" w:space="0"/>
              <w:right w:val="single" w:color="auto" w:sz="6" w:space="0"/>
            </w:tcBorders>
            <w:noWrap w:val="0"/>
            <w:vAlign w:val="center"/>
          </w:tcPr>
          <w:p w14:paraId="3E7BD36C">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层状</w:t>
            </w:r>
          </w:p>
          <w:p w14:paraId="09AFD3DC">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结构</w:t>
            </w:r>
          </w:p>
        </w:tc>
        <w:tc>
          <w:tcPr>
            <w:tcW w:w="1735" w:type="pct"/>
            <w:tcBorders>
              <w:top w:val="single" w:color="auto" w:sz="6" w:space="0"/>
              <w:left w:val="single" w:color="auto" w:sz="6" w:space="0"/>
              <w:bottom w:val="single" w:color="auto" w:sz="6" w:space="0"/>
              <w:right w:val="single" w:color="auto" w:sz="4" w:space="0"/>
            </w:tcBorders>
            <w:noWrap w:val="0"/>
            <w:vAlign w:val="center"/>
          </w:tcPr>
          <w:p w14:paraId="2D5577D0">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为矿区矿体，节理、裂隙发育，岩体较破碎～较完整，属较硬岩，采场边坡可能发生掉块、坍塌、崩塌的可能。</w:t>
            </w:r>
          </w:p>
        </w:tc>
      </w:tr>
      <w:tr w14:paraId="3F7B4F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25" w:hRule="atLeast"/>
        </w:trPr>
        <w:tc>
          <w:tcPr>
            <w:tcW w:w="752" w:type="pct"/>
            <w:tcBorders>
              <w:top w:val="single" w:color="auto" w:sz="6" w:space="0"/>
              <w:left w:val="single" w:color="auto" w:sz="4" w:space="0"/>
              <w:bottom w:val="single" w:color="auto" w:sz="4" w:space="0"/>
              <w:right w:val="single" w:color="auto" w:sz="6" w:space="0"/>
            </w:tcBorders>
            <w:noWrap w:val="0"/>
            <w:vAlign w:val="center"/>
          </w:tcPr>
          <w:p w14:paraId="795D0553">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较软弱中—厚层状泥岩岩组（IV）</w:t>
            </w:r>
          </w:p>
        </w:tc>
        <w:tc>
          <w:tcPr>
            <w:tcW w:w="416" w:type="pct"/>
            <w:tcBorders>
              <w:top w:val="single" w:color="auto" w:sz="6" w:space="0"/>
              <w:left w:val="single" w:color="auto" w:sz="6" w:space="0"/>
              <w:bottom w:val="single" w:color="auto" w:sz="4" w:space="0"/>
              <w:right w:val="single" w:color="auto" w:sz="6" w:space="0"/>
            </w:tcBorders>
            <w:noWrap w:val="0"/>
            <w:vAlign w:val="center"/>
          </w:tcPr>
          <w:p w14:paraId="48CAB134">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kern w:val="28"/>
                <w:sz w:val="21"/>
                <w:szCs w:val="21"/>
              </w:rPr>
              <w:t>K</w:t>
            </w:r>
            <w:r>
              <w:rPr>
                <w:rFonts w:hint="default" w:ascii="Times New Roman" w:hAnsi="Times New Roman" w:eastAsia="宋体" w:cs="Times New Roman"/>
                <w:color w:val="auto"/>
                <w:spacing w:val="4"/>
                <w:kern w:val="28"/>
                <w:sz w:val="21"/>
                <w:szCs w:val="21"/>
                <w:vertAlign w:val="subscript"/>
              </w:rPr>
              <w:t>2</w:t>
            </w:r>
            <w:r>
              <w:rPr>
                <w:rFonts w:hint="default" w:ascii="Times New Roman" w:hAnsi="Times New Roman" w:eastAsia="宋体" w:cs="Times New Roman"/>
                <w:color w:val="auto"/>
                <w:spacing w:val="4"/>
                <w:kern w:val="28"/>
                <w:sz w:val="21"/>
                <w:szCs w:val="21"/>
              </w:rPr>
              <w:t>j</w:t>
            </w:r>
            <w:r>
              <w:rPr>
                <w:rFonts w:hint="default" w:ascii="Times New Roman" w:hAnsi="Times New Roman" w:eastAsia="宋体" w:cs="Times New Roman"/>
                <w:color w:val="auto"/>
                <w:spacing w:val="4"/>
                <w:kern w:val="28"/>
                <w:sz w:val="21"/>
                <w:szCs w:val="21"/>
                <w:vertAlign w:val="superscript"/>
              </w:rPr>
              <w:t>1</w:t>
            </w:r>
          </w:p>
        </w:tc>
        <w:tc>
          <w:tcPr>
            <w:tcW w:w="1010" w:type="pct"/>
            <w:tcBorders>
              <w:top w:val="single" w:color="auto" w:sz="6" w:space="0"/>
              <w:left w:val="single" w:color="auto" w:sz="6" w:space="0"/>
              <w:bottom w:val="single" w:color="auto" w:sz="4" w:space="0"/>
              <w:right w:val="single" w:color="auto" w:sz="6" w:space="0"/>
            </w:tcBorders>
            <w:noWrap w:val="0"/>
            <w:vAlign w:val="center"/>
          </w:tcPr>
          <w:p w14:paraId="0A4E1C5B">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紫红色中至厚层状泥岩、粉砂质泥岩</w:t>
            </w:r>
          </w:p>
        </w:tc>
        <w:tc>
          <w:tcPr>
            <w:tcW w:w="553" w:type="pct"/>
            <w:tcBorders>
              <w:top w:val="single" w:color="auto" w:sz="6" w:space="0"/>
              <w:left w:val="single" w:color="auto" w:sz="6" w:space="0"/>
              <w:bottom w:val="single" w:color="auto" w:sz="4" w:space="0"/>
              <w:right w:val="single" w:color="auto" w:sz="6" w:space="0"/>
            </w:tcBorders>
            <w:noWrap w:val="0"/>
            <w:vAlign w:val="center"/>
          </w:tcPr>
          <w:p w14:paraId="4ECDA6FD">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层面、节理裂隙面</w:t>
            </w:r>
          </w:p>
        </w:tc>
        <w:tc>
          <w:tcPr>
            <w:tcW w:w="532" w:type="pct"/>
            <w:tcBorders>
              <w:top w:val="single" w:color="auto" w:sz="6" w:space="0"/>
              <w:left w:val="single" w:color="auto" w:sz="6" w:space="0"/>
              <w:bottom w:val="single" w:color="auto" w:sz="4" w:space="0"/>
              <w:right w:val="single" w:color="auto" w:sz="6" w:space="0"/>
            </w:tcBorders>
            <w:noWrap w:val="0"/>
            <w:vAlign w:val="center"/>
          </w:tcPr>
          <w:p w14:paraId="02473C5C">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层状</w:t>
            </w:r>
          </w:p>
          <w:p w14:paraId="6BEC6D9D">
            <w:pPr>
              <w:adjustRightInd/>
              <w:snapToGrid/>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结构</w:t>
            </w:r>
          </w:p>
        </w:tc>
        <w:tc>
          <w:tcPr>
            <w:tcW w:w="1735" w:type="pct"/>
            <w:tcBorders>
              <w:top w:val="single" w:color="auto" w:sz="6" w:space="0"/>
              <w:left w:val="single" w:color="auto" w:sz="6" w:space="0"/>
              <w:bottom w:val="single" w:color="auto" w:sz="4" w:space="0"/>
              <w:right w:val="single" w:color="auto" w:sz="4" w:space="0"/>
            </w:tcBorders>
            <w:noWrap w:val="0"/>
            <w:vAlign w:val="center"/>
          </w:tcPr>
          <w:p w14:paraId="0AB8648C">
            <w:pPr>
              <w:adjustRightInd/>
              <w:snapToGrid/>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为矿体围岩，节理裂隙发育，岩体较破碎，遇水强度降低，易产生崩塌、滑坡等地质灾害。</w:t>
            </w:r>
          </w:p>
        </w:tc>
      </w:tr>
    </w:tbl>
    <w:p w14:paraId="77EF3742">
      <w:pPr>
        <w:adjustRightInd/>
        <w:snapToGrid/>
        <w:spacing w:line="360" w:lineRule="auto"/>
        <w:ind w:firstLine="562"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b/>
          <w:bCs/>
          <w:snapToGrid w:val="0"/>
          <w:color w:val="auto"/>
          <w:sz w:val="28"/>
          <w:szCs w:val="28"/>
        </w:rPr>
        <w:t>二、岩体质量</w:t>
      </w:r>
    </w:p>
    <w:p w14:paraId="0C478579">
      <w:pPr>
        <w:adjustRightInd w:val="0"/>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（1）物理性质：矿石天然干密度实测值2.54-2.66kg/m</w:t>
      </w:r>
      <w:r>
        <w:rPr>
          <w:rFonts w:hint="default" w:ascii="Times New Roman" w:hAnsi="Times New Roman" w:eastAsia="宋体" w:cs="Times New Roman"/>
          <w:color w:val="auto"/>
          <w:sz w:val="28"/>
          <w:szCs w:val="28"/>
          <w:vertAlign w:val="superscript"/>
        </w:rPr>
        <w:t>3</w:t>
      </w:r>
      <w:r>
        <w:rPr>
          <w:rFonts w:hint="default" w:ascii="Times New Roman" w:hAnsi="Times New Roman" w:eastAsia="宋体" w:cs="Times New Roman"/>
          <w:color w:val="auto"/>
          <w:sz w:val="28"/>
          <w:szCs w:val="28"/>
        </w:rPr>
        <w:t>，平均值2.62kg/m</w:t>
      </w:r>
      <w:r>
        <w:rPr>
          <w:rFonts w:hint="default" w:ascii="Times New Roman" w:hAnsi="Times New Roman" w:eastAsia="宋体" w:cs="Times New Roman"/>
          <w:color w:val="auto"/>
          <w:sz w:val="28"/>
          <w:szCs w:val="28"/>
          <w:vertAlign w:val="superscript"/>
        </w:rPr>
        <w:t>3</w:t>
      </w:r>
      <w:r>
        <w:rPr>
          <w:rFonts w:hint="default" w:ascii="Times New Roman" w:hAnsi="Times New Roman" w:eastAsia="宋体" w:cs="Times New Roman"/>
          <w:color w:val="auto"/>
          <w:sz w:val="28"/>
          <w:szCs w:val="28"/>
        </w:rPr>
        <w:t>；</w:t>
      </w:r>
    </w:p>
    <w:p w14:paraId="5FCAFCED">
      <w:pPr>
        <w:adjustRightInd w:val="0"/>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（2）力学性质为：饱和抗压强度16.9-116.1Mpa，平均值59.02Mpa，无放射性元素和有害组分；矿石坚硬，质量较好，具有很好的开采价值。</w:t>
      </w:r>
    </w:p>
    <w:p w14:paraId="3714E079">
      <w:pPr>
        <w:adjustRightInd w:val="0"/>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根据《工程岩体分级标准》(GB/</w:t>
      </w:r>
      <w:r>
        <w:rPr>
          <w:rFonts w:hint="default" w:ascii="Times New Roman" w:hAnsi="Times New Roman" w:eastAsia="宋体" w:cs="Times New Roman"/>
          <w:color w:val="auto"/>
          <w:sz w:val="28"/>
          <w:szCs w:val="28"/>
          <w:lang w:val="en-US" w:eastAsia="zh-CN"/>
        </w:rPr>
        <w:t xml:space="preserve">T </w:t>
      </w:r>
      <w:r>
        <w:rPr>
          <w:rFonts w:hint="default" w:ascii="Times New Roman" w:hAnsi="Times New Roman" w:eastAsia="宋体" w:cs="Times New Roman"/>
          <w:color w:val="auto"/>
          <w:sz w:val="28"/>
          <w:szCs w:val="28"/>
        </w:rPr>
        <w:t>50218-2014)中岩石坚硬程度的定性划分和岩体完整程度的定性划分，本区砂岩矿属较硬岩，局部岩体较破碎，岩体基本质量等级分类为III类。</w:t>
      </w:r>
    </w:p>
    <w:p w14:paraId="78AA9017">
      <w:pPr>
        <w:widowControl w:val="0"/>
        <w:tabs>
          <w:tab w:val="left" w:pos="573"/>
        </w:tabs>
        <w:spacing w:after="0" w:line="360" w:lineRule="auto"/>
        <w:ind w:firstLine="562"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b/>
          <w:bCs/>
          <w:snapToGrid w:val="0"/>
          <w:color w:val="auto"/>
          <w:kern w:val="2"/>
          <w:sz w:val="28"/>
          <w:szCs w:val="28"/>
          <w:lang w:val="en-US" w:eastAsia="zh-CN" w:bidi="ar-SA"/>
        </w:rPr>
        <w:t>三、露天采场边坡稳定性预测分析</w:t>
      </w:r>
    </w:p>
    <w:p w14:paraId="43DCD4BF">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矿区开采矿体为长石石英砂岩，岩层产状260°∠61°，矿体开采方向与坡向斜交，矿体上覆第四系残坡积层，分布于矿区地表、低凹处及山箐中。为灰白色、褐黄色粘土、砂，含少量碎石、块石及植物根系，碎石、块石成分主要为全风化—强风化砂岩及泥岩，据钻孔揭露，全～强风化层厚度0～5m，地表和沟谷中风化强烈。碎石粒径1～10cm不等。第四系残坡积层稳定性较差，在箐沟中常会形成泥石流物质来源，在坡度较陡的地方修路切坡后易产生垮塌形成小垮塌体，须进行支护。</w:t>
      </w:r>
    </w:p>
    <w:p w14:paraId="443A34FE">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节理裂隙面：主要以浅层风化裂隙发育为主。节理裂隙面结构以碎块状或碎裂状结构为主，在降水、开挖、施工震动等外动力地质作用下易沿节理裂隙面引发滑坡、崩塌等地质灾害。矿山建成生产后应严格按照开发利用方案设计进行开采，建议在矿业活动中加强对采场边坡的监测，把对矿山生产构成影响的工程地质问题减少到最低，以利于矿业活动的正常开展。</w:t>
      </w:r>
    </w:p>
    <w:p w14:paraId="09379528">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土石分界面：矿区地貌类型以斜坡为主，存在第四系残坡积层与下伏基岩分界面（土石界面），孔隙水在接触带附近汇聚形成软弱结构面。工程开挖扰动破坏或降水下渗软化及斜坡加载等因素作用下，易沿这类不利结构面产生土层滑坡和崩塌灾害。</w:t>
      </w:r>
    </w:p>
    <w:p w14:paraId="719C620A">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软弱夹层：矿区北部发育紫红色粉砂质泥岩夹层，属软岩组，工程性质差，在强烈地震作用下，可能产生震陷。建议矿山加强对采场边坡的监测，发现问题及时解决，避免造成更大的损失。</w:t>
      </w:r>
    </w:p>
    <w:p w14:paraId="20035F94">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人工堆积层：人工堆积层主要为堆土场堆积的废渣、废石，结构松散，力学性质差，欠固结，易产生地面不均匀沉降，预计在地表水、地下水浸泡下，可能产生地面不均匀沉降、开裂等地质灾害，地形较陡地段可能发生填方地基滑移危害或堆土滑坡。建议矿山严格按照弃渣场设计进行分台阶堆积，分台阶压实，严格修建拦渣坝、截排水沟等水土保持设施，并积极维护，发现问题及时上报解决。</w:t>
      </w:r>
    </w:p>
    <w:p w14:paraId="7B5B7831">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北部采帮：矿山采用自上而下台阶式逐层开采，该开采方式合理的避免了高、陡边坡的形成，采用赤平投影法对矿山采场进行综合稳定性进行分析。采场最大边坡高度为180m，拟设最终边坡角42°，坡向180°，矿体呈层状产出，产状260°∠61°，开采形成边坡，主要见两组节理发育，J1产状为108°∠24°、J2产状为355°∠84°。</w:t>
      </w:r>
    </w:p>
    <w:p w14:paraId="733BA5AA">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层倾向与坡向交叉大致相反，边坡稳定性属基本稳定；两条节理交点位于边坡投影弧内侧，说明结构面组合交线的倾向于坡向相同，对边坡控制作用较强；由于边坡高度较大，边坡角较陡，总体上，采场北部最终边坡属基本稳定边坡，局部地段易发生小规模滑坡及崩塌，可能性中等，危害性及危险性中等。开采过程中要严格控制台阶高度，及时清理坡面危岩及坡顶堆积物。</w:t>
      </w:r>
    </w:p>
    <w:p w14:paraId="5577F535">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南部采帮：采场南部坡向0°，拟设最终边坡角42°，开采形成边坡，主要见两组节理发育，J1产状为108°∠24°、J2产状为355°∠84°。</w:t>
      </w:r>
    </w:p>
    <w:p w14:paraId="3F72B2A7">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0"/>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层倾向与坡向交叉大致相反，边坡稳定性属基本稳定；两条节理交点位于边坡投影弧内侧，说明结构面组合交线的倾向于坡向相同，对边坡控制作用较强；由于边坡高度较大，边坡角较陡，总体上，采场南部最终边坡属基本稳定边坡，局部地段易发生小规模滑坡及崩塌，可能性中等，危害性及危险性中等。开采过程中要严格控制台阶高度，及时清理坡面危岩及坡顶堆积物</w:t>
      </w:r>
      <w:r>
        <w:rPr>
          <w:rFonts w:hint="default" w:ascii="Times New Roman" w:hAnsi="Times New Roman" w:eastAsia="宋体" w:cs="Times New Roman"/>
          <w:snapToGrid w:val="0"/>
          <w:color w:val="auto"/>
          <w:kern w:val="0"/>
          <w:sz w:val="28"/>
          <w:szCs w:val="28"/>
          <w:lang w:val="en-US" w:eastAsia="zh-CN" w:bidi="ar-SA"/>
        </w:rPr>
        <w:t>。</w:t>
      </w:r>
    </w:p>
    <w:p w14:paraId="21D92D7D">
      <w:pPr>
        <w:widowControl w:val="0"/>
        <w:tabs>
          <w:tab w:val="left" w:pos="573"/>
        </w:tabs>
        <w:spacing w:after="0" w:line="360" w:lineRule="auto"/>
        <w:ind w:firstLine="562"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b/>
          <w:bCs/>
          <w:snapToGrid w:val="0"/>
          <w:color w:val="auto"/>
          <w:kern w:val="2"/>
          <w:sz w:val="28"/>
          <w:szCs w:val="28"/>
          <w:lang w:val="en-US" w:eastAsia="zh-CN" w:bidi="ar-SA"/>
        </w:rPr>
        <w:t>四、工程地质评价</w:t>
      </w:r>
    </w:p>
    <w:p w14:paraId="38132729">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矿区开采矿体砂岩，岩层产状260°∠61°，矿体开采方向与坡向斜交，矿体上覆第四系残坡积层。第四系残坡积层稳定性较差，在坡度较陡的地方修路切坡后易产生垮塌形成小垮塌体，须进行支护。</w:t>
      </w:r>
    </w:p>
    <w:p w14:paraId="3657958E">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矿区以浅层风化裂隙发育为主，地质构造发育带浅部同时发育风化裂隙和构造裂隙，深部发育构造裂隙。节理裂隙面结构以碎块状或碎裂状结构为主，在降水、开挖、施工震动等外动力地质作用下易沿节理裂隙面引发滑坡、崩塌等地质灾害。矿山建成生产后应严格按照开发利用方案设计进行开采，建议在矿业活动中加强对采场边坡的监测，把对矿山生产构成影响的工程地质问题减少到最低，以利于矿业活动的正常开展。</w:t>
      </w:r>
    </w:p>
    <w:p w14:paraId="72279F17">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矿区地貌类型以斜坡为主，存在第四系残坡积层。工程开挖扰动破坏或降水下渗软化及斜坡加载等因素作用下，易沿这类不利结构面产生土层滑坡和崩塌灾害。建议矿山严格按照开发利用方案设计进行导排水工程措施布设，积极巡查，发现截排水沟堵塞及时清理，防止地表径流冲刷采场。</w:t>
      </w:r>
    </w:p>
    <w:p w14:paraId="668A3BF6">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2"/>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矿区北部发育粉砂质泥岩夹层，属软岩组，工程性质差，在强烈地震作用下，可能产生软土震陷。建议矿山加强对采场边坡的监测，发现问题及时解决，避免造成更大的损失。</w:t>
      </w:r>
    </w:p>
    <w:p w14:paraId="5C5C6D91">
      <w:pPr>
        <w:widowControl w:val="0"/>
        <w:tabs>
          <w:tab w:val="left" w:pos="573"/>
        </w:tabs>
        <w:spacing w:after="0" w:line="360" w:lineRule="auto"/>
        <w:ind w:firstLine="560" w:firstLineChars="200"/>
        <w:jc w:val="both"/>
        <w:rPr>
          <w:rFonts w:hint="default" w:ascii="Times New Roman" w:hAnsi="Times New Roman" w:eastAsia="宋体" w:cs="Times New Roman"/>
          <w:snapToGrid w:val="0"/>
          <w:color w:val="auto"/>
          <w:kern w:val="0"/>
          <w:sz w:val="28"/>
          <w:szCs w:val="28"/>
          <w:lang w:val="en-US" w:eastAsia="zh-CN" w:bidi="ar-SA"/>
        </w:rPr>
      </w:pPr>
      <w:r>
        <w:rPr>
          <w:rFonts w:hint="default" w:ascii="Times New Roman" w:hAnsi="Times New Roman" w:eastAsia="宋体" w:cs="Times New Roman"/>
          <w:snapToGrid w:val="0"/>
          <w:color w:val="auto"/>
          <w:kern w:val="2"/>
          <w:sz w:val="28"/>
          <w:szCs w:val="28"/>
          <w:lang w:val="en-US" w:eastAsia="zh-CN" w:bidi="ar-SA"/>
        </w:rPr>
        <w:t>后期开采堆土场堆积的废渣、废石，结构松散，力学性质差，欠固结，易产生地面不均匀沉降，预计在地表水、地下水浸泡下，可能产生地面不均匀沉降、开裂等地质灾害，地形较陡地段可能发生填方地基滑移危害或堆土滑坡。建议矿山严格按照弃渣场设计进行分台阶堆积，分台阶压实，严格修建拦渣坝、截排水沟等水土保持设施，并积极维护，发现问题及时上报解决</w:t>
      </w:r>
      <w:r>
        <w:rPr>
          <w:rFonts w:hint="default" w:ascii="Times New Roman" w:hAnsi="Times New Roman" w:eastAsia="宋体" w:cs="Times New Roman"/>
          <w:snapToGrid w:val="0"/>
          <w:color w:val="auto"/>
          <w:kern w:val="0"/>
          <w:sz w:val="28"/>
          <w:szCs w:val="28"/>
          <w:lang w:val="en-US" w:eastAsia="zh-CN" w:bidi="ar-SA"/>
        </w:rPr>
        <w:t>。</w:t>
      </w:r>
    </w:p>
    <w:p w14:paraId="0FD5866F">
      <w:pPr>
        <w:adjustRightInd w:val="0"/>
        <w:snapToGrid/>
        <w:spacing w:line="360" w:lineRule="auto"/>
        <w:ind w:firstLine="562" w:firstLineChars="200"/>
        <w:rPr>
          <w:rFonts w:hint="default" w:ascii="Times New Roman" w:hAnsi="Times New Roman" w:eastAsia="宋体" w:cs="Times New Roman"/>
          <w:snapToGrid w:val="0"/>
          <w:color w:val="auto"/>
          <w:sz w:val="28"/>
          <w:szCs w:val="28"/>
        </w:rPr>
      </w:pPr>
      <w:r>
        <w:rPr>
          <w:rFonts w:hint="default" w:ascii="Times New Roman" w:hAnsi="Times New Roman" w:eastAsia="宋体" w:cs="Times New Roman"/>
          <w:b/>
          <w:bCs/>
          <w:snapToGrid w:val="0"/>
          <w:color w:val="auto"/>
          <w:sz w:val="28"/>
          <w:szCs w:val="28"/>
        </w:rPr>
        <w:t>五、工程地质勘查类型</w:t>
      </w:r>
    </w:p>
    <w:p w14:paraId="22A99CE7">
      <w:pPr>
        <w:pageBreakBefore w:val="0"/>
        <w:kinsoku/>
        <w:wordWrap/>
        <w:bidi w:val="0"/>
        <w:adjustRightInd w:val="0"/>
        <w:snapToGrid w:val="0"/>
        <w:spacing w:line="360" w:lineRule="auto"/>
        <w:ind w:firstLine="560" w:firstLineChars="200"/>
        <w:rPr>
          <w:rFonts w:hint="default" w:ascii="Times New Roman" w:hAnsi="Times New Roman" w:eastAsia="宋体" w:cs="Times New Roman"/>
          <w:snapToGrid w:val="0"/>
          <w:sz w:val="28"/>
          <w:szCs w:val="21"/>
        </w:rPr>
      </w:pPr>
      <w:r>
        <w:rPr>
          <w:rFonts w:hint="default" w:ascii="Times New Roman" w:hAnsi="Times New Roman" w:eastAsia="宋体" w:cs="Times New Roman"/>
          <w:snapToGrid w:val="0"/>
          <w:color w:val="auto"/>
          <w:sz w:val="28"/>
          <w:szCs w:val="28"/>
        </w:rPr>
        <w:t>矿体露采边坡主要组成岩性为砂岩岩体，岩体边坡稳定性较好。矿层岩体节理裂隙相对较发育。矿体最低开采标高位于当地最低侵蚀基准面以上，根据矿山开采方式及岩体工程地质特征，开采后将产生工作边坡，形成采空区，岩体内应力平衡将被打破，使采场边坡坡面和后缘等部位产生应力集中，易在节理裂隙发育的部位产生崩落、掉块等不良地质现象。综上所述，矿区工程地质条件中等</w:t>
      </w:r>
      <w:r>
        <w:rPr>
          <w:rFonts w:hint="default" w:ascii="Times New Roman" w:hAnsi="Times New Roman" w:eastAsia="宋体" w:cs="Times New Roman"/>
          <w:sz w:val="28"/>
          <w:szCs w:val="21"/>
        </w:rPr>
        <w:t>。</w:t>
      </w:r>
    </w:p>
    <w:p w14:paraId="7E60F1AF">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color w:val="000000"/>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2.3.5.3 环境地质</w:t>
      </w:r>
      <w:bookmarkEnd w:id="290"/>
      <w:bookmarkEnd w:id="291"/>
      <w:bookmarkEnd w:id="292"/>
      <w:bookmarkEnd w:id="293"/>
      <w:bookmarkEnd w:id="294"/>
      <w:bookmarkEnd w:id="295"/>
      <w:bookmarkEnd w:id="296"/>
      <w:bookmarkEnd w:id="297"/>
      <w:bookmarkEnd w:id="298"/>
      <w:bookmarkEnd w:id="299"/>
      <w:bookmarkEnd w:id="300"/>
      <w:r>
        <w:rPr>
          <w:rFonts w:hint="default" w:ascii="Times New Roman" w:hAnsi="Times New Roman" w:eastAsia="黑体" w:cs="Times New Roman"/>
          <w:bCs/>
          <w:kern w:val="2"/>
          <w:sz w:val="28"/>
          <w:szCs w:val="28"/>
          <w:lang w:val="en-US" w:eastAsia="zh-CN" w:bidi="ar-SA"/>
        </w:rPr>
        <w:t>条件</w:t>
      </w:r>
    </w:p>
    <w:p w14:paraId="18D41F24">
      <w:pPr>
        <w:adjustRightInd/>
        <w:snapToGrid/>
        <w:spacing w:line="360" w:lineRule="auto"/>
        <w:ind w:firstLine="562" w:firstLineChars="200"/>
        <w:rPr>
          <w:rFonts w:hint="default" w:ascii="Times New Roman" w:hAnsi="Times New Roman" w:eastAsia="宋体" w:cs="Times New Roman"/>
          <w:color w:val="auto"/>
          <w:sz w:val="28"/>
          <w:szCs w:val="28"/>
        </w:rPr>
      </w:pPr>
      <w:bookmarkStart w:id="301" w:name="_Toc249340189"/>
      <w:bookmarkStart w:id="302" w:name="_Toc245606274"/>
      <w:bookmarkStart w:id="303" w:name="_Toc190249648"/>
      <w:bookmarkStart w:id="304" w:name="_Toc108859863"/>
      <w:bookmarkStart w:id="305" w:name="_Toc247252333"/>
      <w:bookmarkStart w:id="306" w:name="_Toc108859749"/>
      <w:bookmarkStart w:id="307" w:name="_Toc190249484"/>
      <w:bookmarkStart w:id="308" w:name="_Toc351642886"/>
      <w:r>
        <w:rPr>
          <w:rFonts w:hint="default" w:ascii="Times New Roman" w:hAnsi="Times New Roman" w:eastAsia="宋体" w:cs="Times New Roman"/>
          <w:b/>
          <w:bCs/>
          <w:color w:val="auto"/>
          <w:sz w:val="28"/>
          <w:szCs w:val="28"/>
        </w:rPr>
        <w:t>一、区域稳定性</w:t>
      </w:r>
    </w:p>
    <w:p w14:paraId="7FE455C0">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处于扬子准地台康滇地轴姚安凹断褶束区，弥兴镇紧密褶皱束东侧，主要构造线方向呈北西向延伸。弥兴镇紧密褶皱束以陡倾斜、紧密长轴褶皱为主，局部有向西的倒转构造存在，褶皱一般不对称，西陡东缓，倾角40～65°，该褶皱组内已知的断层不多，规模不大，以北西向为主。区域新构造运动较为强烈，主要表现为间歇性、差异性升降运动，地震频繁发生，震级5-6.5级，由于矿区距震中较远，对矿区稳定性的影响不大。</w:t>
      </w:r>
    </w:p>
    <w:p w14:paraId="5E09056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中国地震动参数区划图》（GB18306-2015）及《建筑抗震设计规范》（GB50011-2010（2016局部修订版）），矿区所在位置属地震基本烈度7度区第三组，地震动峰值加速度0.15g，反应谱特征周期0.45s；根据1：100万《云南省区域地壳稳定性评价》资料，矿山处于区域次不稳定区。矿山建设应据此设防。</w:t>
      </w:r>
    </w:p>
    <w:p w14:paraId="3565348C">
      <w:pPr>
        <w:adjustRightInd/>
        <w:snapToGrid/>
        <w:spacing w:line="360" w:lineRule="auto"/>
        <w:ind w:firstLine="562"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b/>
          <w:bCs/>
          <w:color w:val="auto"/>
          <w:sz w:val="28"/>
          <w:szCs w:val="28"/>
        </w:rPr>
        <w:t>二、地质环境现状</w:t>
      </w:r>
    </w:p>
    <w:p w14:paraId="238D09AA">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（1）自然环境地理</w:t>
      </w:r>
    </w:p>
    <w:p w14:paraId="486DA8F6">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属于构造剥蚀低中山地貌，总体地形南北两边高、中间低，最高点为矿权范围北东侧的山脊，海拔为2260.61m，最低点在矿区南西侧沟谷中，海拔标高为2039.5m，相对高差221.11m，地形起伏变化较大，地面自然坡度20～40°，山顶部位较平缓，山脊两侧较陡，中部发育一条北东-南西向主要冲沟。地表植被主要为低矮松树和阔叶乔木，有少量杂草及低矮灌木丛，植被较发育，部分基岩裸露。</w:t>
      </w:r>
    </w:p>
    <w:p w14:paraId="1461E67D">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矿区属亚热带高原季风气候，冬干夏湿，气候温和，夏无酷暑，冬无严寒，四季如春，年平均气温14.2℃，全年日照时数2500小时，无霜期约285天, 年平均降雨量为813.5mm，一年之内，干湿二季界限分明，11月至次年4月为干季；5至10月为雨季。</w:t>
      </w:r>
    </w:p>
    <w:p w14:paraId="58F625BE">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（2）人文地理环境</w:t>
      </w:r>
    </w:p>
    <w:p w14:paraId="1EC2941F">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区内居民以彝族、汉族为主，杂居少数回族、苗族、白族、傈僳族等少数民族，多从事农业生产。矿区位于姚安县太平镇王家咀村东北方向约1km处，隶属姚安县太平镇陈家村委会管辖。</w:t>
      </w:r>
    </w:p>
    <w:p w14:paraId="510CE0CB">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矿区及其附近无自然保护区、文物保护区及旅游景点。</w:t>
      </w:r>
    </w:p>
    <w:p w14:paraId="4C78A83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（3）地质环境</w:t>
      </w:r>
    </w:p>
    <w:p w14:paraId="5536D4F2">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处于扬子准地台康滇地轴姚安凹断褶束区，弥兴镇紧密褶皱束东侧，主要构造线方向呈北西向延伸。弥兴镇紧密褶皱束以陡倾斜、紧密长轴褶皱为主，局部有向西的倒转构造存在，褶皱一般不对称，西陡东缓。出露地层主要为中生界白垩系上统马头山组（K</w:t>
      </w:r>
      <w:r>
        <w:rPr>
          <w:rFonts w:hint="default" w:ascii="Times New Roman" w:hAnsi="Times New Roman" w:eastAsia="宋体" w:cs="Times New Roman"/>
          <w:color w:val="auto"/>
          <w:sz w:val="28"/>
          <w:szCs w:val="28"/>
          <w:vertAlign w:val="subscript"/>
        </w:rPr>
        <w:t>2</w:t>
      </w:r>
      <w:r>
        <w:rPr>
          <w:rFonts w:hint="default" w:ascii="Times New Roman" w:hAnsi="Times New Roman" w:eastAsia="宋体" w:cs="Times New Roman"/>
          <w:color w:val="auto"/>
          <w:sz w:val="28"/>
          <w:szCs w:val="28"/>
        </w:rPr>
        <w:t>m）、江底河组下段（K</w:t>
      </w:r>
      <w:r>
        <w:rPr>
          <w:rFonts w:hint="default" w:ascii="Times New Roman" w:hAnsi="Times New Roman" w:eastAsia="宋体" w:cs="Times New Roman"/>
          <w:color w:val="auto"/>
          <w:sz w:val="28"/>
          <w:szCs w:val="28"/>
          <w:vertAlign w:val="subscript"/>
        </w:rPr>
        <w:t>2</w:t>
      </w:r>
      <w:r>
        <w:rPr>
          <w:rFonts w:hint="default" w:ascii="Times New Roman" w:hAnsi="Times New Roman" w:eastAsia="宋体" w:cs="Times New Roman"/>
          <w:color w:val="auto"/>
          <w:sz w:val="28"/>
          <w:szCs w:val="28"/>
        </w:rPr>
        <w:t>j</w:t>
      </w:r>
      <w:r>
        <w:rPr>
          <w:rFonts w:hint="default" w:ascii="Times New Roman" w:hAnsi="Times New Roman" w:eastAsia="宋体" w:cs="Times New Roman"/>
          <w:color w:val="auto"/>
          <w:sz w:val="28"/>
          <w:szCs w:val="28"/>
          <w:vertAlign w:val="superscript"/>
        </w:rPr>
        <w:t>1</w:t>
      </w:r>
      <w:r>
        <w:rPr>
          <w:rFonts w:hint="default" w:ascii="Times New Roman" w:hAnsi="Times New Roman" w:eastAsia="宋体" w:cs="Times New Roman"/>
          <w:color w:val="auto"/>
          <w:sz w:val="28"/>
          <w:szCs w:val="28"/>
        </w:rPr>
        <w:t>）和中生界白垩系下统普昌河组（K</w:t>
      </w:r>
      <w:r>
        <w:rPr>
          <w:rFonts w:hint="default" w:ascii="Times New Roman" w:hAnsi="Times New Roman" w:eastAsia="宋体" w:cs="Times New Roman"/>
          <w:color w:val="auto"/>
          <w:sz w:val="28"/>
          <w:szCs w:val="28"/>
          <w:vertAlign w:val="subscript"/>
        </w:rPr>
        <w:t>1</w:t>
      </w:r>
      <w:r>
        <w:rPr>
          <w:rFonts w:hint="default" w:ascii="Times New Roman" w:hAnsi="Times New Roman" w:eastAsia="宋体" w:cs="Times New Roman"/>
          <w:color w:val="auto"/>
          <w:sz w:val="28"/>
          <w:szCs w:val="28"/>
        </w:rPr>
        <w:t>p）。山顶及箐沟低凹处零星分布有少量新生界第四系残坡积层（Q</w:t>
      </w:r>
      <w:r>
        <w:rPr>
          <w:rFonts w:hint="default" w:ascii="Times New Roman" w:hAnsi="Times New Roman" w:eastAsia="宋体" w:cs="Times New Roman"/>
          <w:color w:val="auto"/>
          <w:sz w:val="28"/>
          <w:szCs w:val="28"/>
          <w:vertAlign w:val="subscript"/>
        </w:rPr>
        <w:t>4</w:t>
      </w:r>
      <w:r>
        <w:rPr>
          <w:rFonts w:hint="default" w:ascii="Times New Roman" w:hAnsi="Times New Roman" w:eastAsia="宋体" w:cs="Times New Roman"/>
          <w:color w:val="auto"/>
          <w:sz w:val="28"/>
          <w:szCs w:val="28"/>
          <w:vertAlign w:val="superscript"/>
        </w:rPr>
        <w:t>el+dl</w:t>
      </w:r>
      <w:r>
        <w:rPr>
          <w:rFonts w:hint="default" w:ascii="Times New Roman" w:hAnsi="Times New Roman" w:eastAsia="宋体" w:cs="Times New Roman"/>
          <w:color w:val="auto"/>
          <w:sz w:val="28"/>
          <w:szCs w:val="28"/>
        </w:rPr>
        <w:t>）。</w:t>
      </w:r>
    </w:p>
    <w:p w14:paraId="44986829">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（4）地表、地下水环境</w:t>
      </w:r>
    </w:p>
    <w:p w14:paraId="3E79EAD4">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区内无地表水体分布，南西侧标水箐有利于地表水的自然排泄。沿斜坡向下径流，汇入山箐，向西流出。区内矿体出露标高均高于沟谷。</w:t>
      </w:r>
    </w:p>
    <w:p w14:paraId="587ADFEB">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区内各类型地下水均没有构成独立的水文地质单元，其补给、径流、排泄条件均与区外含水层（组）相连。矿区大气降水岩地表径流排泄迅速。孔隙水含水层受厚度制约，由地表向下沿岩层露头风化带及节理裂隙进行补给，沿节理裂隙缓慢径流，径流及排泄受含水层裂隙及地形控制，降雨可直接补给含水层，径流途径短，无较有利的蓄水空间或构造，含水层间水力联系不密切。</w:t>
      </w:r>
    </w:p>
    <w:p w14:paraId="68102702">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（5）生态环境</w:t>
      </w:r>
    </w:p>
    <w:p w14:paraId="30C55400">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总体地形南北两边高、中间低，最高点为矿权范围北东侧的山脊，地形起伏变化较大，地面自然坡度20～40°，山顶部位较平缓，山脊两侧较陡，中部发育一条北东-南西向主要冲沟。地表植被主要为低矮松树和阔叶乔木，有少量杂草及低矮灌木丛，植被较发育，部分基岩裸露。</w:t>
      </w:r>
    </w:p>
    <w:p w14:paraId="2C4711A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矿区为新建矿山，未出现因矿山开发利用产生的废渣、废水、废气，占用、破坏的耕地，破坏的地表植被，地形地貌，矿区水土流失，诱发地质灾害，对环境造成污染、破坏等问题。现今自然生态环境良好。</w:t>
      </w:r>
    </w:p>
    <w:p w14:paraId="03CB6ED1">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（6）现状地质灾害</w:t>
      </w:r>
    </w:p>
    <w:p w14:paraId="357F1893">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实地调查，现状下矿区及附近地区未发现滑坡、崩塌、泥石流、地裂缝、塌陷等地质灾害。</w:t>
      </w:r>
    </w:p>
    <w:p w14:paraId="29FC3936">
      <w:pPr>
        <w:adjustRightInd/>
        <w:snapToGrid/>
        <w:spacing w:line="360" w:lineRule="auto"/>
        <w:ind w:firstLine="562"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b/>
          <w:bCs/>
          <w:color w:val="auto"/>
          <w:sz w:val="28"/>
          <w:szCs w:val="28"/>
        </w:rPr>
        <w:t>三、矿山开采地质环境影响预测</w:t>
      </w:r>
    </w:p>
    <w:p w14:paraId="475F6193">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（1）采矿工程对环境的影响</w:t>
      </w:r>
    </w:p>
    <w:p w14:paraId="26AFD67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矿床开采方式适宜露天开采。随着矿床的开发利用，将对地质环境造成不良影响或破坏，主要表现在以下几方面：</w:t>
      </w:r>
    </w:p>
    <w:p w14:paraId="151248A6">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①土地占用</w:t>
      </w:r>
    </w:p>
    <w:p w14:paraId="5D2DE9BC">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矿山开采后，将会产出废石、排土，堆存它们将占用地表面积。以上是对环境产生影响的主要方面，要求有一定的环境承载力。矿山采矿建设将不可避免地改变地形、自然景观和植被状况等。</w:t>
      </w:r>
    </w:p>
    <w:p w14:paraId="79A95AF1">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②水土流失</w:t>
      </w:r>
    </w:p>
    <w:p w14:paraId="74ED6B67">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目前矿区及其周边植被发育程度较好，覆盖面较广，空气清新，自然生态环境良好。随着露天开采、道路施工的进行，表层土壤将随矿体开采而不复存在，植被也随之被彻底铲除，这必定造成严重的水土流失。因此，在后期矿山生产过程中，要采用科学的开采方式，对遭受破坏的地点要及时重新植树、植草，恢复植被。</w:t>
      </w:r>
    </w:p>
    <w:p w14:paraId="5DC1C4A4">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③边坡失稳</w:t>
      </w:r>
    </w:p>
    <w:p w14:paraId="00011C2F">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露天边坡失稳会对露天采场造成破坏，人工塑造的边坡如果边坡角设计过陡，可能破坏边坡地应力的自然平衡，导致人工边坡的变形、破坏和滑移，影响环境和安全。矿山开采现今尚未进行，随着矿山建设的深入，边坡角的设计应根据实际开采情况进行调整，满足矿山开采的需要。</w:t>
      </w:r>
    </w:p>
    <w:p w14:paraId="00CAA33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（2）废土、石对环境的影响</w:t>
      </w:r>
    </w:p>
    <w:p w14:paraId="6DA03ADB">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矿石开采废土石剥离是对环境影响主要因素之一，需配套建设排土场。</w:t>
      </w:r>
    </w:p>
    <w:p w14:paraId="37EC821F">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（3）采场排水疏干及废水对环境的影响</w:t>
      </w:r>
    </w:p>
    <w:p w14:paraId="28752A3C">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露采将改变地下潜水位坡度，人工降低了疏排水标高，使地下水位下降，降低了表土的蓄水、保水能力，并影响植被及农作物生长。未来矿山开采可能引起水流量减小甚至疏干。</w:t>
      </w:r>
    </w:p>
    <w:p w14:paraId="7B2CA82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废水主要来源于开采过程中的生产废水，其次为生活废水。对于生产废水采用封闭式循环利用，以减小对环境的污染；生活区生活用水，机修用水等，其消耗量小，且这类废水亦不含有害物质，仅含少量悬浮物和有机物，因此，通过净化池沉淀处理后即可排放。</w:t>
      </w:r>
    </w:p>
    <w:p w14:paraId="665775D2">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（4）有害组份及对环境的影响</w:t>
      </w:r>
    </w:p>
    <w:p w14:paraId="10F451E9">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矿石不含放射性元素，通过矿区居住人群的调查，对人体不会产生危害。目前矿区及周边没有污染源。</w:t>
      </w:r>
    </w:p>
    <w:p w14:paraId="1A4B5206">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（5）道路运输、粉尘及噪音对环境的影响</w:t>
      </w:r>
    </w:p>
    <w:p w14:paraId="75C999A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粉尘主要产生于原矿的开采、装卸、运输及选矿厂的破碎和筛分。对人体危害最大的是10微米以下的浮游状颗粒物—飘尘。</w:t>
      </w:r>
    </w:p>
    <w:p w14:paraId="4CC265A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噪音主要有开采设备和加工设备噪声、运输噪声等。产生噪声的设备有破碎机、振动筛、运输车辆等。</w:t>
      </w:r>
    </w:p>
    <w:p w14:paraId="68F366FA">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（6）对耕地及沟谷的影响</w:t>
      </w:r>
    </w:p>
    <w:p w14:paraId="3B8531A8">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矿区西部直距约600m为王家咀村耕地，标水箐为重要的排泄区，在后期建设开采中可能造成堵塞，堵塞排水不畅将使构建筑或采场积水受淹，西部耕地用水受限。</w:t>
      </w:r>
    </w:p>
    <w:p w14:paraId="0384D530">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（7）配套工程对环境的影响</w:t>
      </w:r>
    </w:p>
    <w:p w14:paraId="3D7EE4E9">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矿区建设的配套工程主要有公路及生产车间、排土场等。</w:t>
      </w:r>
    </w:p>
    <w:p w14:paraId="7DB58420">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随着矿山建设的深入，其他房屋配套设施、生产车间、排土场及蓄水池等矿山基础设施将修建并投入使用，排土场对环境影响大，可能形成的影响较严重，应合理选址、充分论证、详细设计。</w:t>
      </w:r>
    </w:p>
    <w:p w14:paraId="3C3BADDA">
      <w:pPr>
        <w:adjustRightInd/>
        <w:snapToGrid/>
        <w:spacing w:line="360" w:lineRule="auto"/>
        <w:ind w:firstLine="562"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b/>
          <w:bCs/>
          <w:color w:val="auto"/>
          <w:sz w:val="28"/>
          <w:szCs w:val="28"/>
        </w:rPr>
        <w:t>四、地质环境类型</w:t>
      </w:r>
    </w:p>
    <w:p w14:paraId="3A8E020A">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矿区下步采矿为露天开采，对地质环境和自然地貌景观、植被会形成一定程度的破坏。随着矿山开采的深入，形成的高陡边坡可能产生后缘张裂、掉块、局部坍塌、崩塌等不良地质现象和地质灾害，可能对周围环境造成一定危害。在开采过程中，矿山必须严格控制采场台阶及边坡角。采矿生产过程中产生少量粉尘和噪声，对周围环境有轻微影响，为恢复植被景观，防止水土流失及地质灾害产生。</w:t>
      </w:r>
    </w:p>
    <w:p w14:paraId="39B5670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eastAsia="宋体" w:cs="Times New Roman"/>
          <w:color w:val="auto"/>
          <w:sz w:val="28"/>
          <w:szCs w:val="28"/>
        </w:rPr>
        <w:t>由于矿区内泥岩和粉砂岩质泥岩夹层无法进行利用，剥离产品数量较大，废土必须选择好合理的场地堆放，避免随意乱自排放对环境造成污染，有计划的将废土场平整后再敷表土、植草、植树，矿山在生产过程中应加强管理和环境保护，采矿结束后，矿山应做好废弃采场和达到最终开采境界的边坡进行回填、放坡、护坡、覆土复垦等治理工作，并接受相关部门监督检查验收，使地质环境的破坏程度降到最低，达到矿山生态平衡。矿区环境地质条件复杂程度为中等</w:t>
      </w:r>
      <w:r>
        <w:rPr>
          <w:rFonts w:hint="default" w:ascii="Times New Roman" w:hAnsi="Times New Roman" w:eastAsia="宋体" w:cs="Times New Roman"/>
          <w:sz w:val="28"/>
          <w:szCs w:val="21"/>
        </w:rPr>
        <w:t>。</w:t>
      </w:r>
    </w:p>
    <w:p w14:paraId="6C0C22A2">
      <w:pPr>
        <w:keepNext/>
        <w:keepLines/>
        <w:pageBreakBefore w:val="0"/>
        <w:widowControl w:val="0"/>
        <w:kinsoku/>
        <w:wordWrap/>
        <w:bidi w:val="0"/>
        <w:adjustRightInd w:val="0"/>
        <w:snapToGrid w:val="0"/>
        <w:spacing w:line="360" w:lineRule="auto"/>
        <w:ind w:firstLine="560" w:firstLineChars="200"/>
        <w:jc w:val="left"/>
        <w:outlineLvl w:val="3"/>
        <w:rPr>
          <w:rFonts w:hint="default" w:ascii="Times New Roman" w:hAnsi="Times New Roman" w:eastAsia="黑体" w:cs="Times New Roman"/>
          <w:bCs/>
          <w:kern w:val="2"/>
          <w:sz w:val="28"/>
          <w:szCs w:val="28"/>
          <w:lang w:val="en-US" w:eastAsia="zh-CN" w:bidi="ar-SA"/>
        </w:rPr>
      </w:pPr>
      <w:r>
        <w:rPr>
          <w:rFonts w:hint="default" w:ascii="Times New Roman" w:hAnsi="Times New Roman" w:eastAsia="黑体" w:cs="Times New Roman"/>
          <w:bCs/>
          <w:kern w:val="2"/>
          <w:sz w:val="28"/>
          <w:szCs w:val="28"/>
          <w:lang w:val="en-US" w:eastAsia="zh-CN" w:bidi="ar-SA"/>
        </w:rPr>
        <w:t>2.3.5.4 开采技术条件</w:t>
      </w:r>
      <w:bookmarkEnd w:id="301"/>
      <w:bookmarkEnd w:id="302"/>
      <w:bookmarkEnd w:id="303"/>
      <w:bookmarkEnd w:id="304"/>
      <w:bookmarkEnd w:id="305"/>
      <w:bookmarkEnd w:id="306"/>
      <w:bookmarkEnd w:id="307"/>
      <w:r>
        <w:rPr>
          <w:rFonts w:hint="default" w:ascii="Times New Roman" w:hAnsi="Times New Roman" w:eastAsia="黑体" w:cs="Times New Roman"/>
          <w:bCs/>
          <w:kern w:val="2"/>
          <w:sz w:val="28"/>
          <w:szCs w:val="28"/>
          <w:lang w:val="en-US" w:eastAsia="zh-CN" w:bidi="ar-SA"/>
        </w:rPr>
        <w:t>小结</w:t>
      </w:r>
      <w:bookmarkEnd w:id="308"/>
    </w:p>
    <w:p w14:paraId="00B9E968">
      <w:pPr>
        <w:spacing w:line="360" w:lineRule="auto"/>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矿区采场拟布置成斜坡台梯状，利于大气降雨的自然排泄，由于开采的矿体全在当地最低侵蚀基准面之上，矿山的开采活动对地表水体没有影响。矿区水文地质条件属简单类型；矿区岩体节理裂隙发育，开采高差较大，开采过程中有可能会造成坍塌及滑坡，工程地质条件中等；矿区属次不稳定区，抗震设防烈度为7度区第三组。小规模露天开采对地质环境和自然地貌景观有一定程度的破坏，环境地质条件中等。</w:t>
      </w:r>
    </w:p>
    <w:p w14:paraId="3E5D9534">
      <w:pPr>
        <w:widowControl/>
        <w:adjustRightInd/>
        <w:snapToGrid/>
        <w:ind w:firstLine="560"/>
        <w:jc w:val="left"/>
        <w:rPr>
          <w:rFonts w:hint="default" w:ascii="Times New Roman" w:hAnsi="Times New Roman" w:cs="Times New Roman"/>
          <w:szCs w:val="28"/>
        </w:rPr>
      </w:pPr>
      <w:r>
        <w:rPr>
          <w:rFonts w:hint="default" w:ascii="Times New Roman" w:hAnsi="Times New Roman" w:cs="Times New Roman"/>
          <w:color w:val="auto"/>
          <w:sz w:val="28"/>
          <w:szCs w:val="28"/>
        </w:rPr>
        <w:t>综上：矿区开采技术条件为以工程地质、环境地质复杂问题为主的中等类型（Ⅱ-4型）</w:t>
      </w:r>
      <w:r>
        <w:rPr>
          <w:rFonts w:hint="default" w:ascii="Times New Roman" w:hAnsi="Times New Roman" w:cs="Times New Roman"/>
          <w:szCs w:val="28"/>
        </w:rPr>
        <w:t>。</w:t>
      </w:r>
    </w:p>
    <w:p w14:paraId="529FD71A">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309" w:name="_Toc24669"/>
      <w:bookmarkStart w:id="310" w:name="_Toc5001"/>
      <w:bookmarkStart w:id="311" w:name="_Toc454614257"/>
      <w:bookmarkStart w:id="312" w:name="_Toc8847"/>
      <w:bookmarkStart w:id="313" w:name="_Toc31462"/>
      <w:bookmarkStart w:id="314" w:name="_Toc384121560"/>
      <w:bookmarkStart w:id="315" w:name="_Toc23682"/>
      <w:bookmarkStart w:id="316" w:name="_Toc3937"/>
      <w:bookmarkStart w:id="317" w:name="_Toc59420508"/>
      <w:bookmarkStart w:id="318" w:name="_Toc23936"/>
      <w:bookmarkStart w:id="319" w:name="_Toc8276"/>
      <w:r>
        <w:rPr>
          <w:rFonts w:hint="default" w:ascii="Times New Roman" w:hAnsi="Times New Roman" w:cs="Times New Roman"/>
          <w:b/>
          <w:bCs w:val="0"/>
        </w:rPr>
        <w:t>2.4建设概况</w:t>
      </w:r>
      <w:bookmarkEnd w:id="309"/>
      <w:bookmarkEnd w:id="310"/>
      <w:bookmarkEnd w:id="311"/>
      <w:bookmarkEnd w:id="312"/>
      <w:bookmarkEnd w:id="313"/>
      <w:bookmarkEnd w:id="314"/>
      <w:bookmarkEnd w:id="315"/>
      <w:bookmarkEnd w:id="316"/>
      <w:bookmarkEnd w:id="317"/>
      <w:bookmarkEnd w:id="318"/>
      <w:bookmarkEnd w:id="319"/>
    </w:p>
    <w:p w14:paraId="42C5A8C7">
      <w:pPr>
        <w:pStyle w:val="4"/>
        <w:ind w:firstLine="562"/>
        <w:rPr>
          <w:rFonts w:hint="default" w:ascii="Times New Roman" w:hAnsi="Times New Roman" w:eastAsia="宋体" w:cs="Times New Roman"/>
          <w:b/>
          <w:bCs w:val="0"/>
        </w:rPr>
      </w:pPr>
      <w:bookmarkStart w:id="320" w:name="_Toc59420509"/>
      <w:bookmarkStart w:id="321" w:name="_Toc16308"/>
      <w:bookmarkStart w:id="322" w:name="_Toc7624"/>
      <w:bookmarkStart w:id="323" w:name="_Toc476008035"/>
      <w:bookmarkStart w:id="324" w:name="_Toc16500"/>
      <w:r>
        <w:rPr>
          <w:rFonts w:hint="default" w:ascii="Times New Roman" w:hAnsi="Times New Roman" w:eastAsia="宋体" w:cs="Times New Roman"/>
          <w:b/>
          <w:bCs w:val="0"/>
        </w:rPr>
        <w:t>2.4.1矿山开采现状</w:t>
      </w:r>
      <w:bookmarkEnd w:id="320"/>
      <w:bookmarkEnd w:id="321"/>
      <w:bookmarkEnd w:id="322"/>
      <w:bookmarkEnd w:id="323"/>
      <w:bookmarkEnd w:id="324"/>
    </w:p>
    <w:p w14:paraId="4763B079">
      <w:pPr>
        <w:adjustRightInd/>
        <w:snapToGrid/>
        <w:spacing w:line="360" w:lineRule="auto"/>
        <w:ind w:firstLine="560" w:firstLineChars="200"/>
        <w:rPr>
          <w:rFonts w:hint="default" w:ascii="Times New Roman" w:hAnsi="Times New Roman" w:eastAsia="宋体" w:cs="Times New Roman"/>
          <w:color w:val="auto"/>
          <w:sz w:val="28"/>
          <w:szCs w:val="28"/>
        </w:rPr>
      </w:pPr>
      <w:bookmarkStart w:id="325" w:name="_Toc384121562"/>
      <w:bookmarkStart w:id="326" w:name="_Toc3866"/>
      <w:bookmarkStart w:id="327" w:name="_Toc12906"/>
      <w:bookmarkStart w:id="328" w:name="_Toc59420510"/>
      <w:bookmarkStart w:id="329" w:name="_Toc17698"/>
      <w:bookmarkStart w:id="330" w:name="_Toc454614259"/>
      <w:r>
        <w:rPr>
          <w:rFonts w:hint="default" w:ascii="Times New Roman" w:hAnsi="Times New Roman" w:eastAsia="宋体" w:cs="Times New Roman"/>
          <w:color w:val="auto"/>
          <w:sz w:val="28"/>
          <w:szCs w:val="28"/>
        </w:rPr>
        <w:t>姚安县城镇投资开发有限公司姚安县太平镇王家咀石料场为新建矿山，为了高速公路供料，已提前建设有办公生活区、机汽修车间、破碎站、道路等场地及辅助设施等。</w:t>
      </w:r>
    </w:p>
    <w:p w14:paraId="42446A63">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rPr>
        <w:t>1</w:t>
      </w: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rPr>
        <w:t>露天采场开采现状</w:t>
      </w:r>
    </w:p>
    <w:p w14:paraId="2738E03E">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姚安县城镇投资开发有限公司姚安县太平镇王家咀石料场地形横跨两山山脊，南北两侧地势较高，中部位于山谷。</w:t>
      </w:r>
    </w:p>
    <w:p w14:paraId="08087F89">
      <w:pPr>
        <w:adjustRightInd/>
        <w:snapToGrid/>
        <w:spacing w:line="360" w:lineRule="auto"/>
        <w:ind w:firstLine="560" w:firstLineChars="200"/>
        <w:rPr>
          <w:rFonts w:hint="default" w:ascii="Times New Roman" w:hAnsi="Times New Roman" w:eastAsia="宋体" w:cs="Times New Roman"/>
          <w:color w:val="auto"/>
          <w:sz w:val="28"/>
          <w:szCs w:val="28"/>
          <w:lang w:val="zh-CN"/>
        </w:rPr>
      </w:pPr>
      <w:bookmarkStart w:id="331" w:name="_Hlk155530804"/>
      <w:r>
        <w:rPr>
          <w:rFonts w:hint="default" w:ascii="Times New Roman" w:hAnsi="Times New Roman" w:eastAsia="宋体" w:cs="Times New Roman"/>
          <w:color w:val="auto"/>
          <w:sz w:val="28"/>
          <w:szCs w:val="28"/>
        </w:rPr>
        <w:t>矿山未进行过</w:t>
      </w:r>
      <w:r>
        <w:rPr>
          <w:rFonts w:hint="default" w:ascii="Times New Roman" w:hAnsi="Times New Roman" w:eastAsia="宋体" w:cs="Times New Roman"/>
          <w:color w:val="auto"/>
          <w:sz w:val="28"/>
          <w:szCs w:val="28"/>
          <w:lang w:val="en-US" w:eastAsia="zh-CN"/>
        </w:rPr>
        <w:t>正式</w:t>
      </w:r>
      <w:r>
        <w:rPr>
          <w:rFonts w:hint="default" w:ascii="Times New Roman" w:hAnsi="Times New Roman" w:eastAsia="宋体" w:cs="Times New Roman"/>
          <w:color w:val="auto"/>
          <w:sz w:val="28"/>
          <w:szCs w:val="28"/>
        </w:rPr>
        <w:t>开采，矿山现状北侧边坡系修筑道路所形成，矿区中部以北形成的边坡被道路分为三个平台，平台标高为2162m、2186m和2198m，平台边坡角35~52°，边坡高4~24m，平台宽4~6m，最终边坡角32°，2162m平台下部边坡实际为原始地表覆盖浅层表土形成，现状较稳定；矿区中部以南形成的边坡被道路分为两个平台，平台标高为2140m、2150m，平台边坡角35~55°，边坡高3~10m，平台宽4~20m，最大高差10m，上部存在不规则边坡，系业主前期化验取样所形成，边坡高度不超过10m，边坡角30~50°，最终边坡角21°</w:t>
      </w:r>
      <w:bookmarkEnd w:id="331"/>
      <w:r>
        <w:rPr>
          <w:rFonts w:hint="default" w:ascii="Times New Roman" w:hAnsi="Times New Roman" w:eastAsia="宋体" w:cs="Times New Roman"/>
          <w:color w:val="auto"/>
          <w:sz w:val="28"/>
          <w:szCs w:val="28"/>
          <w:lang w:val="zh-CN"/>
        </w:rPr>
        <w:t>。</w:t>
      </w:r>
    </w:p>
    <w:p w14:paraId="79D4D17A">
      <w:pPr>
        <w:adjustRightInd/>
        <w:snapToGrid/>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rPr>
        <w:t>破碎站</w:t>
      </w:r>
    </w:p>
    <w:p w14:paraId="3E3DA487">
      <w:pPr>
        <w:adjustRightInd/>
        <w:snapToGrid/>
        <w:spacing w:line="360" w:lineRule="auto"/>
        <w:ind w:firstLine="560" w:firstLineChars="200"/>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rPr>
        <w:t>根据业主提供的生产数据，</w:t>
      </w:r>
      <w:r>
        <w:rPr>
          <w:rFonts w:hint="default" w:ascii="Times New Roman" w:hAnsi="Times New Roman" w:eastAsia="宋体" w:cs="Times New Roman"/>
          <w:color w:val="auto"/>
          <w:sz w:val="28"/>
          <w:szCs w:val="28"/>
          <w:lang w:val="en-US" w:eastAsia="zh-CN"/>
        </w:rPr>
        <w:t>矿山破碎站</w:t>
      </w:r>
      <w:r>
        <w:rPr>
          <w:rFonts w:hint="default" w:ascii="Times New Roman" w:hAnsi="Times New Roman" w:eastAsia="宋体" w:cs="Times New Roman"/>
          <w:color w:val="auto"/>
          <w:sz w:val="28"/>
          <w:szCs w:val="28"/>
        </w:rPr>
        <w:t>位于露天采场东北侧</w:t>
      </w:r>
      <w:r>
        <w:rPr>
          <w:rFonts w:hint="default" w:ascii="Times New Roman" w:hAnsi="Times New Roman" w:eastAsia="宋体" w:cs="Times New Roman"/>
          <w:color w:val="auto"/>
          <w:sz w:val="28"/>
          <w:szCs w:val="28"/>
          <w:lang w:eastAsia="zh-CN"/>
        </w:rPr>
        <w:t>，卸料平台标高为</w:t>
      </w:r>
      <w:r>
        <w:rPr>
          <w:rFonts w:hint="default" w:ascii="Times New Roman" w:hAnsi="Times New Roman" w:eastAsia="宋体" w:cs="Times New Roman"/>
          <w:color w:val="auto"/>
          <w:sz w:val="28"/>
          <w:szCs w:val="28"/>
        </w:rPr>
        <w:t>217</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rPr>
        <w:t>m。</w:t>
      </w:r>
      <w:r>
        <w:rPr>
          <w:rFonts w:hint="default" w:ascii="Times New Roman" w:hAnsi="Times New Roman" w:eastAsia="宋体" w:cs="Times New Roman"/>
          <w:color w:val="auto"/>
          <w:sz w:val="28"/>
          <w:szCs w:val="28"/>
          <w:lang w:val="en-US" w:eastAsia="zh-CN"/>
        </w:rPr>
        <w:t>现有PE600×900破碎机生产能力为160t/h；PF-1214破碎机生产能力为240t/h；振动喂料机给料能力为400t/h</w:t>
      </w:r>
      <w:r>
        <w:rPr>
          <w:rFonts w:hint="default" w:ascii="Times New Roman" w:hAnsi="Times New Roman" w:eastAsia="宋体" w:cs="Times New Roman"/>
          <w:color w:val="auto"/>
          <w:sz w:val="28"/>
          <w:szCs w:val="28"/>
        </w:rPr>
        <w:t>，能满足年破碎30万t矿石的需求</w:t>
      </w:r>
      <w:r>
        <w:rPr>
          <w:rFonts w:hint="default" w:ascii="Times New Roman" w:hAnsi="Times New Roman" w:eastAsia="宋体" w:cs="Times New Roman"/>
          <w:color w:val="auto"/>
          <w:sz w:val="28"/>
          <w:szCs w:val="28"/>
          <w:lang w:val="en-US" w:eastAsia="zh-CN"/>
        </w:rPr>
        <w:t>。</w:t>
      </w:r>
    </w:p>
    <w:p w14:paraId="75B6EBEE">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lang w:val="zh-CN"/>
        </w:rPr>
        <w:t>）办公区、机修车间</w:t>
      </w:r>
    </w:p>
    <w:p w14:paraId="5780F6B4">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办公生活区位于矿区东北面317m处的道路旁，机修车间配置一般维修器具以及交流焊机等小型修理设备，主要负责矿山设备的小修、零部件的修理及日常维护工作。机修车间面积200m</w:t>
      </w:r>
      <w:r>
        <w:rPr>
          <w:rFonts w:hint="default" w:ascii="Times New Roman" w:hAnsi="Times New Roman" w:eastAsia="宋体" w:cs="Times New Roman"/>
          <w:color w:val="auto"/>
          <w:sz w:val="28"/>
          <w:szCs w:val="28"/>
          <w:vertAlign w:val="superscript"/>
          <w:lang w:val="zh-CN"/>
        </w:rPr>
        <w:t>2</w:t>
      </w:r>
      <w:r>
        <w:rPr>
          <w:rFonts w:hint="default" w:ascii="Times New Roman" w:hAnsi="Times New Roman" w:eastAsia="宋体" w:cs="Times New Roman"/>
          <w:color w:val="auto"/>
          <w:sz w:val="28"/>
          <w:szCs w:val="28"/>
          <w:lang w:val="zh-CN"/>
        </w:rPr>
        <w:t>，为钢架结构，位于工业场地内，能够满足矿山办公生活，机汽修能力要求。</w:t>
      </w:r>
    </w:p>
    <w:p w14:paraId="6DEF029C">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lang w:val="en-US" w:eastAsia="zh-CN"/>
        </w:rPr>
        <w:t>4</w:t>
      </w: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rPr>
        <w:t>供电</w:t>
      </w:r>
    </w:p>
    <w:p w14:paraId="7E8AC84E">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矿山电源引自矿权东侧南方电网10</w:t>
      </w:r>
      <w:r>
        <w:rPr>
          <w:rFonts w:hint="default" w:ascii="Times New Roman" w:hAnsi="Times New Roman" w:eastAsia="宋体" w:cs="Times New Roman"/>
          <w:color w:val="auto"/>
          <w:sz w:val="28"/>
          <w:szCs w:val="28"/>
        </w:rPr>
        <w:t>k</w:t>
      </w:r>
      <w:r>
        <w:rPr>
          <w:rFonts w:hint="default" w:ascii="Times New Roman" w:hAnsi="Times New Roman" w:eastAsia="宋体" w:cs="Times New Roman"/>
          <w:color w:val="auto"/>
          <w:sz w:val="28"/>
          <w:szCs w:val="28"/>
          <w:lang w:val="zh-CN"/>
        </w:rPr>
        <w:t>V高压线，矿山设置配电室，位于工业场地，供电电压为10kv。矿山用电范围主要为破碎系统、照明、矿山工业场地用电，供电能力可以满足设计的矿山建设项目用电需求。</w:t>
      </w:r>
    </w:p>
    <w:p w14:paraId="64F33725">
      <w:pPr>
        <w:adjustRightInd/>
        <w:snapToGrid/>
        <w:spacing w:line="360" w:lineRule="auto"/>
        <w:ind w:firstLine="560" w:firstLineChars="200"/>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lang w:val="en-US" w:eastAsia="zh-CN"/>
        </w:rPr>
        <w:t>5</w:t>
      </w: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lang w:val="en-US" w:eastAsia="zh-CN"/>
        </w:rPr>
        <w:t>排水系统</w:t>
      </w:r>
    </w:p>
    <w:p w14:paraId="1FF16C04">
      <w:pPr>
        <w:adjustRightInd/>
        <w:snapToGrid/>
        <w:spacing w:line="360" w:lineRule="auto"/>
        <w:ind w:firstLine="560" w:firstLineChars="200"/>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矿山现状已施工一条排水涵管，位于矿区中部道路一侧，经过矿3拐点至矿6拐点，连通至矿区西南侧沟箐，</w:t>
      </w:r>
      <w:bookmarkStart w:id="332" w:name="_Hlk163524335"/>
      <w:r>
        <w:rPr>
          <w:rFonts w:hint="default" w:ascii="Times New Roman" w:hAnsi="Times New Roman" w:eastAsia="宋体" w:cs="Times New Roman"/>
          <w:color w:val="auto"/>
          <w:sz w:val="28"/>
          <w:szCs w:val="28"/>
          <w:lang w:val="en-US" w:eastAsia="zh-CN"/>
        </w:rPr>
        <w:t>直径为1.5m，</w:t>
      </w:r>
      <w:bookmarkEnd w:id="332"/>
      <w:r>
        <w:rPr>
          <w:rFonts w:hint="default" w:ascii="Times New Roman" w:hAnsi="Times New Roman" w:eastAsia="宋体" w:cs="Times New Roman"/>
          <w:color w:val="auto"/>
          <w:sz w:val="28"/>
          <w:szCs w:val="28"/>
          <w:lang w:val="en-US" w:eastAsia="zh-CN"/>
        </w:rPr>
        <w:t>长275m。现状汇水经地表汇集至采场底部涵管向西南侧水塘排放，经现场调查，现状矿区内无积水，现状设施能满足排水需求。</w:t>
      </w:r>
    </w:p>
    <w:p w14:paraId="235433C6">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lang w:val="en-US" w:eastAsia="zh-CN"/>
        </w:rPr>
        <w:t>6</w:t>
      </w:r>
      <w:r>
        <w:rPr>
          <w:rFonts w:hint="default" w:ascii="Times New Roman" w:hAnsi="Times New Roman" w:eastAsia="宋体" w:cs="Times New Roman"/>
          <w:color w:val="auto"/>
          <w:sz w:val="28"/>
          <w:szCs w:val="28"/>
          <w:lang w:eastAsia="zh-CN"/>
        </w:rPr>
        <w:t>）</w:t>
      </w:r>
      <w:r>
        <w:rPr>
          <w:rFonts w:hint="default" w:ascii="Times New Roman" w:hAnsi="Times New Roman" w:eastAsia="宋体" w:cs="Times New Roman"/>
          <w:color w:val="auto"/>
          <w:sz w:val="28"/>
          <w:szCs w:val="28"/>
        </w:rPr>
        <w:t>供水</w:t>
      </w:r>
    </w:p>
    <w:p w14:paraId="066FC94C">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矿区生活用水、生产用水引自附近村庄自来水。供水水质符合国家标准《生活饮用水卫生标准》，可满足矿山生产生活用水。</w:t>
      </w:r>
    </w:p>
    <w:p w14:paraId="1D5762DB">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矿山现已有完善的供水系统，供水能力可满足设计的用水需求。</w:t>
      </w:r>
    </w:p>
    <w:p w14:paraId="0E6FEFA0">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lang w:val="en-US" w:eastAsia="zh-CN"/>
        </w:rPr>
        <w:t>7</w:t>
      </w: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rPr>
        <w:t>排土场</w:t>
      </w:r>
    </w:p>
    <w:p w14:paraId="7F231543">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rPr>
        <w:t>矿山未设置排土场</w:t>
      </w:r>
      <w:r>
        <w:rPr>
          <w:rFonts w:hint="default" w:ascii="Times New Roman" w:hAnsi="Times New Roman" w:eastAsia="宋体" w:cs="Times New Roman"/>
          <w:color w:val="auto"/>
          <w:sz w:val="28"/>
          <w:szCs w:val="28"/>
          <w:lang w:val="zh-CN"/>
        </w:rPr>
        <w:t>。</w:t>
      </w:r>
    </w:p>
    <w:p w14:paraId="6486C49E">
      <w:pPr>
        <w:adjustRightInd/>
        <w:snapToGrid/>
        <w:spacing w:line="360" w:lineRule="auto"/>
        <w:ind w:firstLine="560" w:firstLineChars="200"/>
        <w:rPr>
          <w:rFonts w:hint="default" w:ascii="Times New Roman" w:hAnsi="Times New Roman" w:eastAsia="宋体" w:cs="Times New Roman"/>
          <w:color w:val="auto"/>
          <w:sz w:val="28"/>
          <w:szCs w:val="28"/>
          <w:lang w:val="zh-CN"/>
        </w:rPr>
      </w:pPr>
      <w:r>
        <w:rPr>
          <w:rFonts w:hint="default" w:ascii="Times New Roman" w:hAnsi="Times New Roman" w:eastAsia="宋体" w:cs="Times New Roman"/>
          <w:color w:val="auto"/>
          <w:sz w:val="28"/>
          <w:szCs w:val="28"/>
          <w:lang w:val="zh-CN"/>
        </w:rPr>
        <w:t>（</w:t>
      </w:r>
      <w:r>
        <w:rPr>
          <w:rFonts w:hint="default" w:ascii="Times New Roman" w:hAnsi="Times New Roman" w:eastAsia="宋体" w:cs="Times New Roman"/>
          <w:color w:val="auto"/>
          <w:sz w:val="28"/>
          <w:szCs w:val="28"/>
          <w:lang w:val="en-US" w:eastAsia="zh-CN"/>
        </w:rPr>
        <w:t>8</w:t>
      </w:r>
      <w:r>
        <w:rPr>
          <w:rFonts w:hint="default" w:ascii="Times New Roman" w:hAnsi="Times New Roman" w:eastAsia="宋体" w:cs="Times New Roman"/>
          <w:color w:val="auto"/>
          <w:sz w:val="28"/>
          <w:szCs w:val="28"/>
          <w:lang w:val="zh-CN"/>
        </w:rPr>
        <w:t>）利旧工程</w:t>
      </w:r>
    </w:p>
    <w:p w14:paraId="6FF75FFA">
      <w:pPr>
        <w:adjustRightInd/>
        <w:snapToGrid/>
        <w:spacing w:line="360" w:lineRule="auto"/>
        <w:ind w:firstLine="560" w:firstLineChars="200"/>
        <w:rPr>
          <w:rFonts w:hint="default" w:ascii="Times New Roman" w:hAnsi="Times New Roman" w:eastAsia="宋体" w:cs="Times New Roman"/>
          <w:color w:val="auto"/>
          <w:sz w:val="28"/>
          <w:szCs w:val="28"/>
          <w:lang w:val="zh-CN"/>
        </w:rPr>
      </w:pPr>
      <w:bookmarkStart w:id="333" w:name="_Hlk120806255"/>
      <w:bookmarkStart w:id="334" w:name="_Hlk134104456"/>
      <w:r>
        <w:rPr>
          <w:rFonts w:hint="default" w:ascii="Times New Roman" w:hAnsi="Times New Roman" w:eastAsia="宋体" w:cs="Times New Roman"/>
          <w:color w:val="auto"/>
          <w:sz w:val="28"/>
          <w:szCs w:val="28"/>
          <w:lang w:val="zh-CN"/>
        </w:rPr>
        <w:t>矿山办公室已建成，位于矿区南西侧，设计利用其已有办公室、生活区、工业场地、运输道路等设施</w:t>
      </w:r>
      <w:bookmarkEnd w:id="333"/>
      <w:r>
        <w:rPr>
          <w:rFonts w:hint="default" w:ascii="Times New Roman" w:hAnsi="Times New Roman" w:eastAsia="宋体" w:cs="Times New Roman"/>
          <w:color w:val="auto"/>
          <w:sz w:val="28"/>
          <w:szCs w:val="28"/>
          <w:lang w:val="zh-CN"/>
        </w:rPr>
        <w:t>，</w:t>
      </w:r>
      <w:bookmarkStart w:id="335" w:name="_Hlk109808351"/>
      <w:r>
        <w:rPr>
          <w:rFonts w:hint="default" w:ascii="Times New Roman" w:hAnsi="Times New Roman" w:eastAsia="宋体" w:cs="Times New Roman"/>
          <w:color w:val="auto"/>
          <w:sz w:val="28"/>
          <w:szCs w:val="28"/>
          <w:lang w:val="zh-CN"/>
        </w:rPr>
        <w:t>矿山破碎站已建成，位于矿区</w:t>
      </w:r>
      <w:bookmarkEnd w:id="334"/>
      <w:bookmarkEnd w:id="335"/>
      <w:r>
        <w:rPr>
          <w:rFonts w:hint="default" w:ascii="Times New Roman" w:hAnsi="Times New Roman" w:eastAsia="宋体" w:cs="Times New Roman"/>
          <w:color w:val="auto"/>
          <w:sz w:val="28"/>
          <w:szCs w:val="28"/>
          <w:lang w:val="zh-CN"/>
        </w:rPr>
        <w:t>南西侧。</w:t>
      </w:r>
    </w:p>
    <w:p w14:paraId="597A1573">
      <w:pPr>
        <w:pStyle w:val="4"/>
        <w:ind w:firstLine="562"/>
        <w:rPr>
          <w:rFonts w:hint="default" w:ascii="Times New Roman" w:hAnsi="Times New Roman" w:eastAsia="宋体" w:cs="Times New Roman"/>
          <w:b/>
          <w:bCs w:val="0"/>
        </w:rPr>
      </w:pPr>
      <w:bookmarkStart w:id="336" w:name="_Toc28491"/>
      <w:bookmarkStart w:id="337" w:name="_Toc6969"/>
      <w:bookmarkStart w:id="338" w:name="_Toc13019"/>
      <w:r>
        <w:rPr>
          <w:rFonts w:hint="default" w:ascii="Times New Roman" w:hAnsi="Times New Roman" w:eastAsia="宋体" w:cs="Times New Roman"/>
          <w:b/>
          <w:bCs w:val="0"/>
        </w:rPr>
        <w:t>2.4.</w:t>
      </w:r>
      <w:bookmarkEnd w:id="325"/>
      <w:r>
        <w:rPr>
          <w:rFonts w:hint="default" w:ascii="Times New Roman" w:hAnsi="Times New Roman" w:eastAsia="宋体" w:cs="Times New Roman"/>
          <w:b/>
          <w:bCs w:val="0"/>
        </w:rPr>
        <w:t>2总平面布置</w:t>
      </w:r>
      <w:bookmarkEnd w:id="326"/>
      <w:bookmarkEnd w:id="327"/>
      <w:bookmarkEnd w:id="328"/>
      <w:bookmarkEnd w:id="329"/>
      <w:bookmarkEnd w:id="330"/>
      <w:bookmarkEnd w:id="336"/>
      <w:bookmarkEnd w:id="337"/>
      <w:bookmarkEnd w:id="338"/>
    </w:p>
    <w:p w14:paraId="0AB4822F">
      <w:pPr>
        <w:ind w:firstLine="562"/>
        <w:rPr>
          <w:rFonts w:hint="default" w:ascii="Times New Roman" w:hAnsi="Times New Roman" w:cs="Times New Roman"/>
          <w:b/>
        </w:rPr>
      </w:pPr>
      <w:bookmarkStart w:id="339" w:name="_Toc9850"/>
      <w:r>
        <w:rPr>
          <w:rFonts w:hint="default" w:ascii="Times New Roman" w:hAnsi="Times New Roman" w:cs="Times New Roman"/>
          <w:b/>
        </w:rPr>
        <w:t>一、设计情况</w:t>
      </w:r>
    </w:p>
    <w:bookmarkEnd w:id="339"/>
    <w:p w14:paraId="629F9658">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bookmarkStart w:id="340" w:name="_Toc384121567"/>
      <w:bookmarkStart w:id="341" w:name="_Toc59420511"/>
      <w:bookmarkStart w:id="342" w:name="_Toc9172"/>
      <w:bookmarkStart w:id="343" w:name="_Toc29660"/>
      <w:bookmarkStart w:id="344" w:name="_Toc31206"/>
      <w:bookmarkStart w:id="345" w:name="_Toc454614260"/>
      <w:bookmarkStart w:id="346" w:name="_Toc3524"/>
      <w:bookmarkStart w:id="347" w:name="_Toc1650"/>
      <w:bookmarkStart w:id="348" w:name="_Toc1563"/>
      <w:bookmarkStart w:id="349" w:name="_Toc454614261"/>
      <w:bookmarkStart w:id="350" w:name="_Toc384121568"/>
      <w:bookmarkStart w:id="351" w:name="_Toc111601646"/>
      <w:bookmarkStart w:id="352" w:name="_Toc90283490"/>
      <w:bookmarkStart w:id="353" w:name="_Toc163889986"/>
      <w:bookmarkStart w:id="354" w:name="_Toc90281966"/>
      <w:bookmarkStart w:id="355" w:name="_Toc136406264"/>
      <w:bookmarkStart w:id="356" w:name="_Toc103418732"/>
      <w:r>
        <w:rPr>
          <w:rFonts w:hint="default" w:ascii="Times New Roman" w:hAnsi="Times New Roman" w:eastAsia="宋体" w:cs="Times New Roman"/>
          <w:sz w:val="28"/>
          <w:szCs w:val="21"/>
        </w:rPr>
        <w:t>1、露天采</w:t>
      </w:r>
      <w:r>
        <w:rPr>
          <w:rFonts w:hint="default" w:ascii="Times New Roman" w:hAnsi="Times New Roman" w:eastAsia="宋体" w:cs="Times New Roman"/>
          <w:sz w:val="28"/>
          <w:szCs w:val="21"/>
          <w:lang w:val="en-US" w:eastAsia="zh-CN"/>
        </w:rPr>
        <w:t>矿</w:t>
      </w:r>
      <w:r>
        <w:rPr>
          <w:rFonts w:hint="default" w:ascii="Times New Roman" w:hAnsi="Times New Roman" w:eastAsia="宋体" w:cs="Times New Roman"/>
          <w:sz w:val="28"/>
          <w:szCs w:val="21"/>
        </w:rPr>
        <w:t>场</w:t>
      </w:r>
    </w:p>
    <w:p w14:paraId="181D582B">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rPr>
      </w:pPr>
      <w:r>
        <w:rPr>
          <w:rFonts w:hint="default" w:ascii="Times New Roman" w:hAnsi="Times New Roman" w:cs="Times New Roman"/>
        </w:rPr>
        <w:t>露天采场采用分台阶自上而下开采，按照10m的台阶高度自上而下的顺序一层一层开采，设计露天采场为山坡露天采场，设计范围2068m~2251m标高，开采深度为183m，设计推荐采用公路开拓汽车运输</w:t>
      </w:r>
      <w:r>
        <w:rPr>
          <w:rFonts w:hint="default" w:ascii="Times New Roman" w:hAnsi="Times New Roman" w:eastAsia="宋体" w:cs="Times New Roman"/>
          <w:sz w:val="28"/>
          <w:szCs w:val="21"/>
        </w:rPr>
        <w:t>。</w:t>
      </w:r>
    </w:p>
    <w:p w14:paraId="51D33AA1">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2、运输道路</w:t>
      </w:r>
    </w:p>
    <w:p w14:paraId="4D1CFE12">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cs="Times New Roman"/>
          <w:szCs w:val="28"/>
        </w:rPr>
        <w:t>矿区现有道路已通达矿山破碎站料仓</w:t>
      </w:r>
      <w:r>
        <w:rPr>
          <w:rFonts w:hint="default" w:ascii="Times New Roman" w:hAnsi="Times New Roman" w:cs="Times New Roman"/>
          <w:szCs w:val="28"/>
          <w:lang w:eastAsia="zh-CN"/>
        </w:rPr>
        <w:t>，</w:t>
      </w:r>
      <w:r>
        <w:rPr>
          <w:rFonts w:hint="default" w:ascii="Times New Roman" w:hAnsi="Times New Roman" w:cs="Times New Roman"/>
          <w:szCs w:val="28"/>
          <w:lang w:val="en-US" w:eastAsia="zh-CN"/>
        </w:rPr>
        <w:t>设计</w:t>
      </w:r>
      <w:r>
        <w:rPr>
          <w:rFonts w:hint="default" w:ascii="Times New Roman" w:hAnsi="Times New Roman" w:eastAsia="宋体" w:cs="Times New Roman"/>
          <w:sz w:val="28"/>
          <w:szCs w:val="21"/>
          <w:lang w:val="en-US" w:eastAsia="zh-CN"/>
        </w:rPr>
        <w:t>运输道路从矿区卸矿口2174m标高到达矿权北部的2238m标高，设计前半段修整利用北侧原有道路，利用路段里程为K0+000至K0+300，降坡路段里程为K0+300至K0+700，后半段道路为新建。</w:t>
      </w:r>
    </w:p>
    <w:p w14:paraId="08300BA6">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3、工业场地及办公区</w:t>
      </w:r>
    </w:p>
    <w:p w14:paraId="7CF25FA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该矿山为新建矿山，但办公区域、机修设施、值班区等构筑物已建成，能满足现有生产和生活需要，设计利用现有设施。</w:t>
      </w:r>
    </w:p>
    <w:p w14:paraId="57932925">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办公生活区位于矿区东北侧317m处的道路旁、机修车间位于工业场地内，能够满足矿山办公生活，机汽修能力要求。</w:t>
      </w:r>
    </w:p>
    <w:p w14:paraId="27F30947">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eastAsia="宋体" w:cs="Times New Roman"/>
          <w:sz w:val="28"/>
          <w:szCs w:val="21"/>
          <w:lang w:val="en-US" w:eastAsia="zh-CN"/>
        </w:rPr>
        <w:t>4、排土场</w:t>
      </w:r>
    </w:p>
    <w:p w14:paraId="53B1A90A">
      <w:pPr>
        <w:pageBreakBefore w:val="0"/>
        <w:kinsoku/>
        <w:wordWrap/>
        <w:bidi w:val="0"/>
        <w:adjustRightInd w:val="0"/>
        <w:snapToGrid w:val="0"/>
        <w:spacing w:line="360" w:lineRule="auto"/>
        <w:ind w:firstLine="560" w:firstLineChars="200"/>
        <w:rPr>
          <w:rFonts w:hint="default" w:ascii="Times New Roman" w:hAnsi="Times New Roman" w:eastAsia="宋体" w:cs="Times New Roman"/>
          <w:sz w:val="28"/>
          <w:szCs w:val="21"/>
          <w:lang w:val="en-US" w:eastAsia="zh-CN"/>
        </w:rPr>
      </w:pPr>
      <w:r>
        <w:rPr>
          <w:rFonts w:hint="default" w:ascii="Times New Roman" w:hAnsi="Times New Roman" w:cs="Times New Roman"/>
        </w:rPr>
        <w:t>根据储量核实报告及现状实测图，经过计算，矿山共剥离表土量为4.75万m</w:t>
      </w:r>
      <w:r>
        <w:rPr>
          <w:rFonts w:hint="default" w:ascii="Times New Roman" w:hAnsi="Times New Roman" w:cs="Times New Roman"/>
          <w:vertAlign w:val="superscript"/>
        </w:rPr>
        <w:t>3</w:t>
      </w:r>
      <w:r>
        <w:rPr>
          <w:rFonts w:hint="default" w:ascii="Times New Roman" w:hAnsi="Times New Roman" w:cs="Times New Roman"/>
        </w:rPr>
        <w:t>，剥离废石量12.27万m</w:t>
      </w:r>
      <w:r>
        <w:rPr>
          <w:rFonts w:hint="default" w:ascii="Times New Roman" w:hAnsi="Times New Roman" w:cs="Times New Roman"/>
          <w:vertAlign w:val="superscript"/>
        </w:rPr>
        <w:t>3</w:t>
      </w:r>
      <w:r>
        <w:rPr>
          <w:rFonts w:hint="default" w:ascii="Times New Roman" w:hAnsi="Times New Roman" w:cs="Times New Roman"/>
        </w:rPr>
        <w:t>，共17.02万m</w:t>
      </w:r>
      <w:r>
        <w:rPr>
          <w:rFonts w:hint="default" w:ascii="Times New Roman" w:hAnsi="Times New Roman" w:cs="Times New Roman"/>
          <w:vertAlign w:val="superscript"/>
        </w:rPr>
        <w:t>3</w:t>
      </w:r>
      <w:r>
        <w:rPr>
          <w:rFonts w:hint="default" w:ascii="Times New Roman" w:hAnsi="Times New Roman" w:cs="Times New Roman"/>
        </w:rPr>
        <w:t>，业主目前已同姚安盛源石料开采销售有限公司签订了废石处置协议，协议将剥离废石表土采出后转运至姚安县工业园区进行土石方回填，前期矿山表土剥离用作场地平整及修筑道路。因此，本次设计不设置排土场。设计将办公区西南侧2157m标高平整场地用于废石表土临时堆场，规划场地面积为1000m</w:t>
      </w:r>
      <w:r>
        <w:rPr>
          <w:rFonts w:hint="default" w:ascii="Times New Roman" w:hAnsi="Times New Roman" w:cs="Times New Roman"/>
          <w:vertAlign w:val="superscript"/>
        </w:rPr>
        <w:t>2</w:t>
      </w:r>
      <w:r>
        <w:rPr>
          <w:rFonts w:hint="default" w:ascii="Times New Roman" w:hAnsi="Times New Roman" w:cs="Times New Roman"/>
        </w:rPr>
        <w:t>，堆场外侧采用大块石堆筑，能够满足矿山废石表土临时转运需求</w:t>
      </w:r>
      <w:r>
        <w:rPr>
          <w:rFonts w:hint="default" w:ascii="Times New Roman" w:hAnsi="Times New Roman" w:cs="Times New Roman"/>
          <w:lang w:eastAsia="zh-CN"/>
        </w:rPr>
        <w:t>。</w:t>
      </w:r>
    </w:p>
    <w:p w14:paraId="1F481EFE">
      <w:pPr>
        <w:ind w:firstLine="562"/>
        <w:rPr>
          <w:rFonts w:hint="default" w:ascii="Times New Roman" w:hAnsi="Times New Roman" w:cs="Times New Roman"/>
          <w:b/>
        </w:rPr>
      </w:pPr>
      <w:r>
        <w:rPr>
          <w:rFonts w:hint="default" w:ascii="Times New Roman" w:hAnsi="Times New Roman" w:cs="Times New Roman"/>
          <w:b/>
        </w:rPr>
        <w:t>二、建设情况</w:t>
      </w:r>
    </w:p>
    <w:p w14:paraId="25639A72">
      <w:pPr>
        <w:ind w:firstLine="560"/>
        <w:rPr>
          <w:rFonts w:hint="default" w:ascii="Times New Roman" w:hAnsi="Times New Roman" w:cs="Times New Roman"/>
          <w:sz w:val="28"/>
          <w:szCs w:val="28"/>
        </w:rPr>
      </w:pPr>
      <w:r>
        <w:rPr>
          <w:rFonts w:hint="eastAsia" w:cs="Times New Roman"/>
          <w:sz w:val="28"/>
          <w:szCs w:val="28"/>
          <w:lang w:val="en-US" w:eastAsia="zh-CN"/>
        </w:rPr>
        <w:t>XX</w:t>
      </w:r>
      <w:r>
        <w:rPr>
          <w:rFonts w:hint="default" w:ascii="Times New Roman" w:hAnsi="Times New Roman" w:cs="Times New Roman"/>
          <w:sz w:val="28"/>
          <w:szCs w:val="28"/>
        </w:rPr>
        <w:t>。</w:t>
      </w:r>
    </w:p>
    <w:p w14:paraId="46F6506E">
      <w:pPr>
        <w:pStyle w:val="4"/>
        <w:ind w:firstLine="562"/>
        <w:rPr>
          <w:rFonts w:hint="default" w:ascii="Times New Roman" w:hAnsi="Times New Roman" w:eastAsia="宋体" w:cs="Times New Roman"/>
          <w:b/>
          <w:bCs w:val="0"/>
        </w:rPr>
      </w:pPr>
      <w:bookmarkStart w:id="357" w:name="_Toc28854"/>
      <w:bookmarkStart w:id="358" w:name="_Toc29999"/>
      <w:bookmarkStart w:id="359" w:name="_Toc16449"/>
      <w:r>
        <w:rPr>
          <w:rFonts w:hint="default" w:ascii="Times New Roman" w:hAnsi="Times New Roman" w:eastAsia="宋体" w:cs="Times New Roman"/>
          <w:b/>
          <w:bCs w:val="0"/>
        </w:rPr>
        <w:t>2.4.3开采范围</w:t>
      </w:r>
      <w:bookmarkEnd w:id="340"/>
      <w:bookmarkEnd w:id="341"/>
      <w:bookmarkEnd w:id="342"/>
      <w:bookmarkEnd w:id="343"/>
      <w:bookmarkEnd w:id="344"/>
      <w:bookmarkEnd w:id="345"/>
      <w:bookmarkEnd w:id="357"/>
      <w:bookmarkEnd w:id="358"/>
      <w:bookmarkEnd w:id="359"/>
    </w:p>
    <w:p w14:paraId="0D5C7680">
      <w:pPr>
        <w:ind w:firstLine="562"/>
        <w:rPr>
          <w:rFonts w:hint="default" w:ascii="Times New Roman" w:hAnsi="Times New Roman" w:cs="Times New Roman"/>
          <w:b/>
        </w:rPr>
      </w:pPr>
      <w:r>
        <w:rPr>
          <w:rFonts w:hint="default" w:ascii="Times New Roman" w:hAnsi="Times New Roman" w:cs="Times New Roman"/>
          <w:b/>
        </w:rPr>
        <w:t>一、设计情况</w:t>
      </w:r>
    </w:p>
    <w:p w14:paraId="71AE9D7F">
      <w:pPr>
        <w:ind w:firstLine="560"/>
        <w:rPr>
          <w:rFonts w:hint="default" w:ascii="Times New Roman" w:hAnsi="Times New Roman" w:cs="Times New Roman"/>
          <w:bCs/>
        </w:rPr>
      </w:pPr>
      <w:r>
        <w:rPr>
          <w:rFonts w:hint="default" w:ascii="Times New Roman" w:hAnsi="Times New Roman" w:cs="Times New Roman"/>
          <w:bCs/>
        </w:rPr>
        <w:t>（1）开采方式</w:t>
      </w:r>
    </w:p>
    <w:p w14:paraId="0F41DEB7">
      <w:pPr>
        <w:pStyle w:val="123"/>
        <w:snapToGrid w:val="0"/>
        <w:spacing w:line="360" w:lineRule="auto"/>
        <w:ind w:firstLine="560" w:firstLineChars="200"/>
        <w:jc w:val="both"/>
        <w:rPr>
          <w:rFonts w:hint="default" w:ascii="Times New Roman" w:hAnsi="Times New Roman" w:cs="Times New Roman"/>
          <w:bCs/>
          <w:color w:val="auto"/>
          <w:kern w:val="2"/>
          <w:sz w:val="28"/>
          <w:szCs w:val="28"/>
          <w:lang w:bidi="ar"/>
        </w:rPr>
      </w:pPr>
      <w:r>
        <w:rPr>
          <w:rFonts w:hint="default" w:ascii="Times New Roman" w:hAnsi="Times New Roman" w:cs="Times New Roman"/>
          <w:bCs/>
          <w:color w:val="auto"/>
          <w:kern w:val="2"/>
          <w:sz w:val="28"/>
          <w:szCs w:val="28"/>
          <w:lang w:bidi="ar"/>
        </w:rPr>
        <w:t>设计采用露天</w:t>
      </w:r>
      <w:r>
        <w:rPr>
          <w:rFonts w:hint="default" w:ascii="Times New Roman" w:hAnsi="Times New Roman" w:cs="Times New Roman"/>
          <w:bCs/>
          <w:color w:val="auto"/>
          <w:kern w:val="2"/>
          <w:sz w:val="28"/>
          <w:szCs w:val="28"/>
          <w:lang w:val="en-US" w:eastAsia="zh-CN" w:bidi="ar"/>
        </w:rPr>
        <w:t>开采</w:t>
      </w:r>
      <w:r>
        <w:rPr>
          <w:rFonts w:hint="default" w:ascii="Times New Roman" w:hAnsi="Times New Roman" w:cs="Times New Roman"/>
          <w:bCs/>
          <w:color w:val="auto"/>
          <w:kern w:val="2"/>
          <w:sz w:val="28"/>
          <w:szCs w:val="28"/>
          <w:lang w:bidi="ar"/>
        </w:rPr>
        <w:t>，自上而下分台阶式开采。</w:t>
      </w:r>
    </w:p>
    <w:p w14:paraId="6E8F5157">
      <w:pPr>
        <w:ind w:firstLine="560"/>
        <w:rPr>
          <w:rFonts w:hint="default" w:ascii="Times New Roman" w:hAnsi="Times New Roman" w:cs="Times New Roman"/>
          <w:bCs/>
          <w:lang w:bidi="ar"/>
        </w:rPr>
      </w:pPr>
      <w:r>
        <w:rPr>
          <w:rFonts w:hint="default" w:ascii="Times New Roman" w:hAnsi="Times New Roman" w:cs="Times New Roman"/>
          <w:bCs/>
          <w:lang w:bidi="ar"/>
        </w:rPr>
        <w:t>（2）开采对象</w:t>
      </w:r>
    </w:p>
    <w:p w14:paraId="78E28E02">
      <w:pPr>
        <w:tabs>
          <w:tab w:val="left" w:pos="5327"/>
          <w:tab w:val="left" w:pos="6326"/>
          <w:tab w:val="left" w:pos="7230"/>
          <w:tab w:val="left" w:pos="9301"/>
        </w:tabs>
        <w:ind w:firstLine="560"/>
        <w:rPr>
          <w:rFonts w:hint="default" w:ascii="Times New Roman" w:hAnsi="Times New Roman" w:cs="Times New Roman"/>
          <w:bCs/>
        </w:rPr>
      </w:pPr>
      <w:r>
        <w:rPr>
          <w:rFonts w:hint="default" w:ascii="Times New Roman" w:hAnsi="Times New Roman" w:cs="Times New Roman"/>
          <w:bCs/>
          <w:lang w:bidi="ar"/>
        </w:rPr>
        <w:t>设计开采对象为</w:t>
      </w:r>
      <w:r>
        <w:rPr>
          <w:rFonts w:hint="default" w:ascii="Times New Roman" w:hAnsi="Times New Roman" w:cs="Times New Roman"/>
          <w:bCs/>
          <w:lang w:eastAsia="zh-CN" w:bidi="ar"/>
        </w:rPr>
        <w:t>姚安县太平镇王家咀石料场30万t/a露天采矿工程</w:t>
      </w:r>
      <w:r>
        <w:rPr>
          <w:rFonts w:hint="default" w:ascii="Times New Roman" w:hAnsi="Times New Roman" w:cs="Times New Roman"/>
          <w:bCs/>
        </w:rPr>
        <w:t>。</w:t>
      </w:r>
    </w:p>
    <w:p w14:paraId="71614A67">
      <w:pPr>
        <w:ind w:firstLine="560"/>
        <w:rPr>
          <w:rFonts w:hint="default" w:ascii="Times New Roman" w:hAnsi="Times New Roman" w:cs="Times New Roman"/>
          <w:bCs/>
        </w:rPr>
      </w:pPr>
      <w:r>
        <w:rPr>
          <w:rFonts w:hint="default" w:ascii="Times New Roman" w:hAnsi="Times New Roman" w:cs="Times New Roman"/>
          <w:bCs/>
        </w:rPr>
        <w:t>（3）开采范围</w:t>
      </w:r>
    </w:p>
    <w:p w14:paraId="751DD9CA">
      <w:pPr>
        <w:pStyle w:val="18"/>
        <w:ind w:firstLine="560"/>
        <w:rPr>
          <w:rFonts w:hint="default" w:ascii="Times New Roman" w:hAnsi="Times New Roman" w:cs="Times New Roman"/>
          <w:snapToGrid w:val="0"/>
          <w:kern w:val="0"/>
          <w:szCs w:val="28"/>
          <w:lang w:val="en-US"/>
        </w:rPr>
      </w:pPr>
      <w:r>
        <w:rPr>
          <w:rFonts w:hint="default" w:ascii="Times New Roman" w:hAnsi="Times New Roman" w:eastAsia="宋体" w:cs="Times New Roman"/>
          <w:sz w:val="28"/>
          <w:szCs w:val="20"/>
          <w:lang w:val="zh-CN" w:eastAsia="zh-CN" w:bidi="ar"/>
        </w:rPr>
        <w:t>设计开采范围根据采矿许可证证载范围以及矿体赋存条件，矿区东北侧部分地层为不可利用的泥岩，因此设计矿山开采范围为除去东北侧不可利用泥岩外的范围，开采标高为采矿许可证证载标高，即2251~2068m。设计开采范围拐点坐标表见</w:t>
      </w:r>
      <w:r>
        <w:rPr>
          <w:rFonts w:hint="default" w:ascii="Times New Roman" w:hAnsi="Times New Roman" w:eastAsia="宋体" w:cs="Times New Roman"/>
          <w:sz w:val="28"/>
          <w:szCs w:val="20"/>
          <w:lang w:val="en-US" w:eastAsia="zh-CN" w:bidi="ar"/>
        </w:rPr>
        <w:t>表1.1-1。</w:t>
      </w:r>
    </w:p>
    <w:p w14:paraId="4D17AF05">
      <w:pPr>
        <w:ind w:firstLine="560"/>
        <w:rPr>
          <w:rFonts w:hint="default" w:ascii="Times New Roman" w:hAnsi="Times New Roman" w:cs="Times New Roman"/>
          <w:bCs/>
        </w:rPr>
      </w:pPr>
      <w:r>
        <w:rPr>
          <w:rFonts w:hint="default" w:ascii="Times New Roman" w:hAnsi="Times New Roman" w:cs="Times New Roman"/>
          <w:bCs/>
        </w:rPr>
        <w:t>（4）开采顺序</w:t>
      </w:r>
    </w:p>
    <w:p w14:paraId="2A0E7A65">
      <w:pPr>
        <w:pStyle w:val="18"/>
        <w:ind w:firstLine="560"/>
        <w:rPr>
          <w:rFonts w:hint="default" w:ascii="Times New Roman" w:hAnsi="Times New Roman" w:cs="Times New Roman"/>
          <w:snapToGrid w:val="0"/>
          <w:kern w:val="0"/>
          <w:szCs w:val="28"/>
        </w:rPr>
      </w:pPr>
      <w:r>
        <w:rPr>
          <w:rFonts w:hint="default" w:ascii="Times New Roman" w:hAnsi="Times New Roman" w:cs="Times New Roman"/>
          <w:snapToGrid w:val="0"/>
          <w:kern w:val="0"/>
          <w:szCs w:val="28"/>
        </w:rPr>
        <w:t>矿山采用露天开采，自上而下的开采顺序。</w:t>
      </w:r>
    </w:p>
    <w:p w14:paraId="57CAEA3B">
      <w:pPr>
        <w:ind w:firstLine="562"/>
        <w:rPr>
          <w:rFonts w:hint="default" w:ascii="Times New Roman" w:hAnsi="Times New Roman" w:cs="Times New Roman"/>
          <w:b/>
        </w:rPr>
      </w:pPr>
      <w:r>
        <w:rPr>
          <w:rFonts w:hint="default" w:ascii="Times New Roman" w:hAnsi="Times New Roman" w:cs="Times New Roman"/>
          <w:b/>
        </w:rPr>
        <w:t>二、建设情况</w:t>
      </w:r>
    </w:p>
    <w:p w14:paraId="65ED224D">
      <w:pPr>
        <w:ind w:firstLine="560"/>
        <w:rPr>
          <w:rFonts w:hint="default" w:ascii="Times New Roman" w:hAnsi="Times New Roman" w:cs="Times New Roman"/>
        </w:rPr>
      </w:pPr>
      <w:bookmarkStart w:id="360" w:name="_Hlk166696973"/>
      <w:r>
        <w:rPr>
          <w:rFonts w:hint="eastAsia" w:cs="Times New Roman"/>
          <w:sz w:val="28"/>
          <w:szCs w:val="28"/>
          <w:lang w:val="en-US" w:eastAsia="zh-CN"/>
        </w:rPr>
        <w:t>XX</w:t>
      </w:r>
      <w:r>
        <w:rPr>
          <w:rFonts w:hint="default" w:ascii="Times New Roman" w:hAnsi="Times New Roman" w:cs="Times New Roman"/>
          <w:b w:val="0"/>
          <w:bCs w:val="0"/>
          <w:color w:val="auto"/>
          <w:sz w:val="28"/>
          <w:szCs w:val="28"/>
          <w:lang w:val="en-US" w:eastAsia="zh-CN"/>
        </w:rPr>
        <w:t>。</w:t>
      </w:r>
    </w:p>
    <w:bookmarkEnd w:id="360"/>
    <w:p w14:paraId="72EF5BA4">
      <w:pPr>
        <w:pStyle w:val="4"/>
        <w:ind w:firstLine="562"/>
        <w:rPr>
          <w:rFonts w:hint="default" w:ascii="Times New Roman" w:hAnsi="Times New Roman" w:eastAsia="宋体" w:cs="Times New Roman"/>
          <w:b/>
          <w:bCs w:val="0"/>
        </w:rPr>
      </w:pPr>
      <w:bookmarkStart w:id="361" w:name="_Toc59420512"/>
      <w:bookmarkStart w:id="362" w:name="_Toc15025"/>
      <w:bookmarkStart w:id="363" w:name="_Toc11454"/>
      <w:bookmarkStart w:id="364" w:name="_Toc21174"/>
      <w:r>
        <w:rPr>
          <w:rFonts w:hint="default" w:ascii="Times New Roman" w:hAnsi="Times New Roman" w:eastAsia="宋体" w:cs="Times New Roman"/>
          <w:b/>
          <w:bCs w:val="0"/>
        </w:rPr>
        <w:t>2.4.4生产规模及工作制度</w:t>
      </w:r>
      <w:bookmarkEnd w:id="346"/>
      <w:bookmarkEnd w:id="347"/>
      <w:bookmarkEnd w:id="348"/>
      <w:bookmarkEnd w:id="349"/>
      <w:bookmarkEnd w:id="361"/>
      <w:bookmarkEnd w:id="362"/>
      <w:bookmarkEnd w:id="363"/>
      <w:bookmarkEnd w:id="364"/>
    </w:p>
    <w:p w14:paraId="26ADD917">
      <w:pPr>
        <w:ind w:firstLine="560"/>
        <w:rPr>
          <w:rFonts w:hint="default" w:ascii="Times New Roman" w:hAnsi="Times New Roman" w:cs="Times New Roman"/>
        </w:rPr>
      </w:pPr>
      <w:r>
        <w:rPr>
          <w:rFonts w:hint="default" w:ascii="Times New Roman" w:hAnsi="Times New Roman" w:cs="Times New Roman"/>
        </w:rPr>
        <w:t>1、生产规模</w:t>
      </w:r>
    </w:p>
    <w:p w14:paraId="65214961">
      <w:pPr>
        <w:ind w:firstLine="560"/>
        <w:rPr>
          <w:rFonts w:hint="default" w:ascii="Times New Roman" w:hAnsi="Times New Roman" w:cs="Times New Roman"/>
        </w:rPr>
      </w:pPr>
      <w:r>
        <w:rPr>
          <w:rFonts w:hint="default" w:ascii="Times New Roman" w:hAnsi="Times New Roman" w:cs="Times New Roman"/>
          <w:lang w:val="zh-TW" w:eastAsia="zh-TW"/>
        </w:rPr>
        <w:t>本</w:t>
      </w:r>
      <w:r>
        <w:rPr>
          <w:rFonts w:hint="default" w:ascii="Times New Roman" w:hAnsi="Times New Roman" w:cs="Times New Roman"/>
          <w:lang w:val="zh-TW"/>
        </w:rPr>
        <w:t>矿山</w:t>
      </w:r>
      <w:r>
        <w:rPr>
          <w:rFonts w:hint="default" w:ascii="Times New Roman" w:hAnsi="Times New Roman" w:cs="Times New Roman"/>
          <w:lang w:val="zh-TW" w:eastAsia="zh-TW"/>
        </w:rPr>
        <w:t>生产规模为</w:t>
      </w:r>
      <w:r>
        <w:rPr>
          <w:rFonts w:hint="default" w:ascii="Times New Roman" w:hAnsi="Times New Roman" w:cs="Times New Roman"/>
          <w:lang w:eastAsia="zh-CN"/>
        </w:rPr>
        <w:t>30万t/a</w:t>
      </w:r>
      <w:r>
        <w:rPr>
          <w:rFonts w:hint="default" w:ascii="Times New Roman" w:hAnsi="Times New Roman" w:cs="Times New Roman"/>
        </w:rPr>
        <w:t>。</w:t>
      </w:r>
    </w:p>
    <w:p w14:paraId="76933930">
      <w:pPr>
        <w:ind w:firstLine="560"/>
        <w:rPr>
          <w:rFonts w:hint="default" w:ascii="Times New Roman" w:hAnsi="Times New Roman" w:cs="Times New Roman"/>
        </w:rPr>
      </w:pPr>
      <w:r>
        <w:rPr>
          <w:rFonts w:hint="default" w:ascii="Times New Roman" w:hAnsi="Times New Roman" w:cs="Times New Roman"/>
        </w:rPr>
        <w:t>2、工作制度</w:t>
      </w:r>
    </w:p>
    <w:p w14:paraId="57C29B59">
      <w:pPr>
        <w:ind w:firstLine="560"/>
        <w:rPr>
          <w:rFonts w:hint="default" w:ascii="Times New Roman" w:hAnsi="Times New Roman" w:cs="Times New Roman"/>
          <w:kern w:val="0"/>
        </w:rPr>
      </w:pPr>
      <w:r>
        <w:rPr>
          <w:rFonts w:hint="default" w:ascii="Times New Roman" w:hAnsi="Times New Roman" w:cs="Times New Roman"/>
        </w:rPr>
        <w:t>矿山采用</w:t>
      </w:r>
      <w:r>
        <w:rPr>
          <w:rFonts w:hint="default" w:ascii="Times New Roman" w:hAnsi="Times New Roman" w:cs="Times New Roman"/>
          <w:lang w:val="en-US" w:eastAsia="zh-CN"/>
        </w:rPr>
        <w:t>间断</w:t>
      </w:r>
      <w:r>
        <w:rPr>
          <w:rFonts w:hint="default" w:ascii="Times New Roman" w:hAnsi="Times New Roman" w:cs="Times New Roman"/>
        </w:rPr>
        <w:t>工作制，矿山年工作天数为300天，每天工作1班，每班8小时</w:t>
      </w:r>
      <w:r>
        <w:rPr>
          <w:rFonts w:hint="default" w:ascii="Times New Roman" w:hAnsi="Times New Roman" w:cs="Times New Roman"/>
          <w:kern w:val="0"/>
        </w:rPr>
        <w:t>。矿山基建工程工作制度与设计一致。</w:t>
      </w:r>
    </w:p>
    <w:bookmarkEnd w:id="350"/>
    <w:p w14:paraId="354F2871">
      <w:pPr>
        <w:pStyle w:val="4"/>
        <w:ind w:firstLine="562"/>
        <w:rPr>
          <w:rFonts w:hint="default" w:ascii="Times New Roman" w:hAnsi="Times New Roman" w:eastAsia="宋体" w:cs="Times New Roman"/>
          <w:b/>
          <w:bCs w:val="0"/>
        </w:rPr>
      </w:pPr>
      <w:bookmarkStart w:id="365" w:name="_Toc384121570"/>
      <w:bookmarkStart w:id="366" w:name="_Toc28512"/>
      <w:bookmarkStart w:id="367" w:name="_Toc15457"/>
      <w:bookmarkStart w:id="368" w:name="_Toc10643"/>
      <w:bookmarkStart w:id="369" w:name="_Toc9463"/>
      <w:bookmarkStart w:id="370" w:name="_Toc12837"/>
      <w:bookmarkStart w:id="371" w:name="_Toc454614262"/>
      <w:bookmarkStart w:id="372" w:name="_Toc59420513"/>
      <w:bookmarkStart w:id="373" w:name="_Toc4444"/>
      <w:r>
        <w:rPr>
          <w:rFonts w:hint="default" w:ascii="Times New Roman" w:hAnsi="Times New Roman" w:eastAsia="宋体" w:cs="Times New Roman"/>
          <w:b/>
          <w:bCs w:val="0"/>
        </w:rPr>
        <w:t>2.4.</w:t>
      </w:r>
      <w:bookmarkEnd w:id="365"/>
      <w:r>
        <w:rPr>
          <w:rFonts w:hint="default" w:ascii="Times New Roman" w:hAnsi="Times New Roman" w:eastAsia="宋体" w:cs="Times New Roman"/>
          <w:b/>
          <w:bCs w:val="0"/>
        </w:rPr>
        <w:t>5采矿方法</w:t>
      </w:r>
      <w:bookmarkEnd w:id="366"/>
      <w:bookmarkEnd w:id="367"/>
      <w:bookmarkEnd w:id="368"/>
      <w:bookmarkEnd w:id="369"/>
      <w:bookmarkEnd w:id="370"/>
      <w:bookmarkEnd w:id="371"/>
      <w:bookmarkEnd w:id="372"/>
      <w:bookmarkEnd w:id="373"/>
    </w:p>
    <w:p w14:paraId="787BB13E">
      <w:pPr>
        <w:pStyle w:val="5"/>
        <w:ind w:firstLine="560"/>
        <w:rPr>
          <w:rFonts w:hint="default" w:ascii="Times New Roman" w:hAnsi="Times New Roman" w:cs="Times New Roman"/>
        </w:rPr>
      </w:pPr>
      <w:bookmarkStart w:id="374" w:name="_Toc16626"/>
      <w:r>
        <w:rPr>
          <w:rFonts w:hint="default" w:ascii="Times New Roman" w:hAnsi="Times New Roman" w:cs="Times New Roman"/>
        </w:rPr>
        <w:t>2.4.5.1露天开采境界</w:t>
      </w:r>
      <w:bookmarkEnd w:id="374"/>
    </w:p>
    <w:p w14:paraId="1F3A1956">
      <w:pPr>
        <w:ind w:firstLine="560"/>
        <w:rPr>
          <w:rFonts w:hint="default" w:ascii="Times New Roman" w:hAnsi="Times New Roman" w:cs="Times New Roman"/>
        </w:rPr>
      </w:pPr>
      <w:bookmarkStart w:id="375" w:name="_Toc10997"/>
      <w:r>
        <w:rPr>
          <w:rFonts w:hint="default" w:ascii="Times New Roman" w:hAnsi="Times New Roman" w:cs="Times New Roman"/>
        </w:rPr>
        <w:t>矿山根据确定的露天边坡参数及圈定原则，针对矿体圈定了露天开采境界。开采终了境界详见附图，露天境界圈定结果如表2.4-</w:t>
      </w:r>
      <w:r>
        <w:rPr>
          <w:rFonts w:hint="default" w:ascii="Times New Roman" w:hAnsi="Times New Roman" w:cs="Times New Roman"/>
          <w:lang w:val="en-US" w:eastAsia="zh-CN"/>
        </w:rPr>
        <w:t>1</w:t>
      </w:r>
      <w:r>
        <w:rPr>
          <w:rFonts w:hint="default" w:ascii="Times New Roman" w:hAnsi="Times New Roman" w:cs="Times New Roman"/>
        </w:rPr>
        <w:t>。</w:t>
      </w:r>
    </w:p>
    <w:p w14:paraId="1689F1B8">
      <w:pPr>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表2.4-</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 xml:space="preserve">  露天开采境界参数表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0"/>
        <w:gridCol w:w="3110"/>
        <w:gridCol w:w="1606"/>
        <w:gridCol w:w="2664"/>
      </w:tblGrid>
      <w:tr w14:paraId="1C9A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29" w:type="pct"/>
            <w:gridSpan w:val="2"/>
            <w:noWrap w:val="0"/>
            <w:vAlign w:val="center"/>
          </w:tcPr>
          <w:p w14:paraId="07A07A6F">
            <w:pPr>
              <w:pStyle w:val="193"/>
              <w:keepNext/>
              <w:keepLines/>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项目</w:t>
            </w:r>
          </w:p>
        </w:tc>
        <w:tc>
          <w:tcPr>
            <w:tcW w:w="854" w:type="pct"/>
            <w:noWrap w:val="0"/>
            <w:vAlign w:val="center"/>
          </w:tcPr>
          <w:p w14:paraId="6373F9B2">
            <w:pPr>
              <w:pStyle w:val="193"/>
              <w:keepNext/>
              <w:keepLines/>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参数</w:t>
            </w:r>
          </w:p>
        </w:tc>
        <w:tc>
          <w:tcPr>
            <w:tcW w:w="1417" w:type="pct"/>
            <w:noWrap w:val="0"/>
            <w:vAlign w:val="center"/>
          </w:tcPr>
          <w:p w14:paraId="26EA32D8">
            <w:pPr>
              <w:pStyle w:val="193"/>
              <w:keepNext/>
              <w:keepLines/>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备注</w:t>
            </w:r>
          </w:p>
        </w:tc>
      </w:tr>
      <w:tr w14:paraId="6373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restart"/>
            <w:noWrap w:val="0"/>
            <w:vAlign w:val="center"/>
          </w:tcPr>
          <w:p w14:paraId="7F2A51F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境界</w:t>
            </w:r>
          </w:p>
        </w:tc>
        <w:tc>
          <w:tcPr>
            <w:tcW w:w="1654" w:type="pct"/>
            <w:noWrap w:val="0"/>
            <w:vAlign w:val="center"/>
          </w:tcPr>
          <w:p w14:paraId="47D68D9F">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上口尺寸（长×宽）</w:t>
            </w:r>
          </w:p>
        </w:tc>
        <w:tc>
          <w:tcPr>
            <w:tcW w:w="854" w:type="pct"/>
            <w:noWrap w:val="0"/>
            <w:vAlign w:val="center"/>
          </w:tcPr>
          <w:p w14:paraId="03AFDB2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480×142m</w:t>
            </w:r>
          </w:p>
        </w:tc>
        <w:tc>
          <w:tcPr>
            <w:tcW w:w="1417" w:type="pct"/>
            <w:noWrap w:val="0"/>
            <w:vAlign w:val="center"/>
          </w:tcPr>
          <w:p w14:paraId="77EBDE6C">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04CA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0EDAB1D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0F62046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底部尺寸（长×宽）</w:t>
            </w:r>
          </w:p>
        </w:tc>
        <w:tc>
          <w:tcPr>
            <w:tcW w:w="854" w:type="pct"/>
            <w:noWrap w:val="0"/>
            <w:vAlign w:val="center"/>
          </w:tcPr>
          <w:p w14:paraId="53DDDA0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64×32m</w:t>
            </w:r>
          </w:p>
        </w:tc>
        <w:tc>
          <w:tcPr>
            <w:tcW w:w="1417" w:type="pct"/>
            <w:noWrap w:val="0"/>
            <w:vAlign w:val="center"/>
          </w:tcPr>
          <w:p w14:paraId="05E656E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5915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5B1260B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0E36474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最高标高</w:t>
            </w:r>
          </w:p>
        </w:tc>
        <w:tc>
          <w:tcPr>
            <w:tcW w:w="854" w:type="pct"/>
            <w:noWrap w:val="0"/>
            <w:vAlign w:val="center"/>
          </w:tcPr>
          <w:p w14:paraId="5372E91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2251m</w:t>
            </w:r>
          </w:p>
        </w:tc>
        <w:tc>
          <w:tcPr>
            <w:tcW w:w="1417" w:type="pct"/>
            <w:noWrap w:val="0"/>
            <w:vAlign w:val="center"/>
          </w:tcPr>
          <w:p w14:paraId="4D3FAC7A">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0B8C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7600FE2F">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30C41C6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最低标高</w:t>
            </w:r>
          </w:p>
        </w:tc>
        <w:tc>
          <w:tcPr>
            <w:tcW w:w="854" w:type="pct"/>
            <w:noWrap w:val="0"/>
            <w:vAlign w:val="center"/>
          </w:tcPr>
          <w:p w14:paraId="1083DAB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2068m</w:t>
            </w:r>
          </w:p>
        </w:tc>
        <w:tc>
          <w:tcPr>
            <w:tcW w:w="1417" w:type="pct"/>
            <w:noWrap w:val="0"/>
            <w:vAlign w:val="center"/>
          </w:tcPr>
          <w:p w14:paraId="23FD4FD3">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13B8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restart"/>
            <w:noWrap w:val="0"/>
            <w:vAlign w:val="center"/>
          </w:tcPr>
          <w:p w14:paraId="06ABA4B4">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台阶</w:t>
            </w:r>
          </w:p>
          <w:p w14:paraId="31929304">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（设计）</w:t>
            </w:r>
          </w:p>
        </w:tc>
        <w:tc>
          <w:tcPr>
            <w:tcW w:w="1654" w:type="pct"/>
            <w:noWrap w:val="0"/>
            <w:vAlign w:val="center"/>
          </w:tcPr>
          <w:p w14:paraId="1B1E309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台阶高度</w:t>
            </w:r>
          </w:p>
        </w:tc>
        <w:tc>
          <w:tcPr>
            <w:tcW w:w="854" w:type="pct"/>
            <w:noWrap w:val="0"/>
            <w:vAlign w:val="center"/>
          </w:tcPr>
          <w:p w14:paraId="53AE1EC7">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10m</w:t>
            </w:r>
          </w:p>
        </w:tc>
        <w:tc>
          <w:tcPr>
            <w:tcW w:w="1417" w:type="pct"/>
            <w:noWrap w:val="0"/>
            <w:vAlign w:val="center"/>
          </w:tcPr>
          <w:p w14:paraId="500327F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64D0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3A9E82BC">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6B0A7A9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最高台阶标高</w:t>
            </w:r>
          </w:p>
        </w:tc>
        <w:tc>
          <w:tcPr>
            <w:tcW w:w="854" w:type="pct"/>
            <w:noWrap w:val="0"/>
            <w:vAlign w:val="center"/>
          </w:tcPr>
          <w:p w14:paraId="07420F5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2238m</w:t>
            </w:r>
          </w:p>
        </w:tc>
        <w:tc>
          <w:tcPr>
            <w:tcW w:w="1417" w:type="pct"/>
            <w:noWrap w:val="0"/>
            <w:vAlign w:val="center"/>
          </w:tcPr>
          <w:p w14:paraId="5726A926">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最终境界</w:t>
            </w:r>
          </w:p>
        </w:tc>
      </w:tr>
      <w:tr w14:paraId="5483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63E6EF0C">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644121D3">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最低台阶标高</w:t>
            </w:r>
          </w:p>
        </w:tc>
        <w:tc>
          <w:tcPr>
            <w:tcW w:w="854" w:type="pct"/>
            <w:noWrap w:val="0"/>
            <w:vAlign w:val="center"/>
          </w:tcPr>
          <w:p w14:paraId="6E141F07">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2068m</w:t>
            </w:r>
          </w:p>
        </w:tc>
        <w:tc>
          <w:tcPr>
            <w:tcW w:w="1417" w:type="pct"/>
            <w:noWrap w:val="0"/>
            <w:vAlign w:val="center"/>
          </w:tcPr>
          <w:p w14:paraId="537999E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最终境界</w:t>
            </w:r>
          </w:p>
        </w:tc>
      </w:tr>
      <w:tr w14:paraId="6B4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5786028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5656CFA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台阶数</w:t>
            </w:r>
          </w:p>
        </w:tc>
        <w:tc>
          <w:tcPr>
            <w:tcW w:w="854" w:type="pct"/>
            <w:noWrap w:val="0"/>
            <w:vAlign w:val="center"/>
          </w:tcPr>
          <w:p w14:paraId="5D4324E2">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18个</w:t>
            </w:r>
          </w:p>
        </w:tc>
        <w:tc>
          <w:tcPr>
            <w:tcW w:w="1417" w:type="pct"/>
            <w:noWrap w:val="0"/>
            <w:vAlign w:val="center"/>
          </w:tcPr>
          <w:p w14:paraId="4F376B36">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1C94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restart"/>
            <w:noWrap w:val="0"/>
            <w:vAlign w:val="center"/>
          </w:tcPr>
          <w:p w14:paraId="25C14F23">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平台</w:t>
            </w:r>
          </w:p>
        </w:tc>
        <w:tc>
          <w:tcPr>
            <w:tcW w:w="1654" w:type="pct"/>
            <w:noWrap w:val="0"/>
            <w:vAlign w:val="center"/>
          </w:tcPr>
          <w:p w14:paraId="0F7FFF4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最小底部宽度</w:t>
            </w:r>
          </w:p>
        </w:tc>
        <w:tc>
          <w:tcPr>
            <w:tcW w:w="854" w:type="pct"/>
            <w:noWrap w:val="0"/>
            <w:vAlign w:val="center"/>
          </w:tcPr>
          <w:p w14:paraId="699E0774">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≥20m</w:t>
            </w:r>
          </w:p>
        </w:tc>
        <w:tc>
          <w:tcPr>
            <w:tcW w:w="1417" w:type="pct"/>
            <w:noWrap w:val="0"/>
            <w:vAlign w:val="center"/>
          </w:tcPr>
          <w:p w14:paraId="53F67AA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1CA9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42F3E53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5A3EF16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正常生产时最小工作平台宽度</w:t>
            </w:r>
          </w:p>
        </w:tc>
        <w:tc>
          <w:tcPr>
            <w:tcW w:w="854" w:type="pct"/>
            <w:noWrap w:val="0"/>
            <w:vAlign w:val="center"/>
          </w:tcPr>
          <w:p w14:paraId="588E3738">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25m</w:t>
            </w:r>
          </w:p>
        </w:tc>
        <w:tc>
          <w:tcPr>
            <w:tcW w:w="1417" w:type="pct"/>
            <w:noWrap w:val="0"/>
            <w:vAlign w:val="center"/>
          </w:tcPr>
          <w:p w14:paraId="321475F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4D6E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7B9F409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656025E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安全平台宽度</w:t>
            </w:r>
          </w:p>
        </w:tc>
        <w:tc>
          <w:tcPr>
            <w:tcW w:w="854" w:type="pct"/>
            <w:noWrap w:val="0"/>
            <w:vAlign w:val="center"/>
          </w:tcPr>
          <w:p w14:paraId="4A85BCE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4m</w:t>
            </w:r>
          </w:p>
        </w:tc>
        <w:tc>
          <w:tcPr>
            <w:tcW w:w="1417" w:type="pct"/>
            <w:vMerge w:val="restart"/>
            <w:noWrap w:val="0"/>
            <w:vAlign w:val="center"/>
          </w:tcPr>
          <w:p w14:paraId="67CCAC1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间隔2个安全平台</w:t>
            </w:r>
          </w:p>
          <w:p w14:paraId="09258967">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设置1个清扫平台</w:t>
            </w:r>
          </w:p>
        </w:tc>
      </w:tr>
      <w:tr w14:paraId="07CA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continue"/>
            <w:noWrap w:val="0"/>
            <w:vAlign w:val="center"/>
          </w:tcPr>
          <w:p w14:paraId="2BC2026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3082CC1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清扫平台宽度</w:t>
            </w:r>
          </w:p>
        </w:tc>
        <w:tc>
          <w:tcPr>
            <w:tcW w:w="854" w:type="pct"/>
            <w:noWrap w:val="0"/>
            <w:vAlign w:val="center"/>
          </w:tcPr>
          <w:p w14:paraId="03D264CC">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6m</w:t>
            </w:r>
          </w:p>
        </w:tc>
        <w:tc>
          <w:tcPr>
            <w:tcW w:w="1417" w:type="pct"/>
            <w:vMerge w:val="continue"/>
            <w:noWrap w:val="0"/>
            <w:vAlign w:val="center"/>
          </w:tcPr>
          <w:p w14:paraId="1D43C342">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2490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vMerge w:val="restart"/>
            <w:noWrap w:val="0"/>
            <w:vAlign w:val="center"/>
          </w:tcPr>
          <w:p w14:paraId="1D0A932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台阶</w:t>
            </w:r>
          </w:p>
          <w:p w14:paraId="6C858A38">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坡面角</w:t>
            </w:r>
          </w:p>
        </w:tc>
        <w:tc>
          <w:tcPr>
            <w:tcW w:w="1654" w:type="pct"/>
            <w:noWrap w:val="0"/>
            <w:vAlign w:val="center"/>
          </w:tcPr>
          <w:p w14:paraId="258B4FDF">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工作台阶坡面角</w:t>
            </w:r>
          </w:p>
        </w:tc>
        <w:tc>
          <w:tcPr>
            <w:tcW w:w="854" w:type="pct"/>
            <w:noWrap w:val="0"/>
            <w:vAlign w:val="center"/>
          </w:tcPr>
          <w:p w14:paraId="4B5D2922">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75°</w:t>
            </w:r>
          </w:p>
        </w:tc>
        <w:tc>
          <w:tcPr>
            <w:tcW w:w="1417" w:type="pct"/>
            <w:noWrap w:val="0"/>
            <w:vAlign w:val="center"/>
          </w:tcPr>
          <w:p w14:paraId="2EEC53FA">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2D15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075" w:type="pct"/>
            <w:vMerge w:val="continue"/>
            <w:noWrap w:val="0"/>
            <w:vAlign w:val="center"/>
          </w:tcPr>
          <w:p w14:paraId="76696037">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c>
          <w:tcPr>
            <w:tcW w:w="1654" w:type="pct"/>
            <w:noWrap w:val="0"/>
            <w:vAlign w:val="center"/>
          </w:tcPr>
          <w:p w14:paraId="0A9FF7C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最终边坡台阶坡面角</w:t>
            </w:r>
          </w:p>
        </w:tc>
        <w:tc>
          <w:tcPr>
            <w:tcW w:w="854" w:type="pct"/>
            <w:noWrap w:val="0"/>
            <w:vAlign w:val="center"/>
          </w:tcPr>
          <w:p w14:paraId="345D26CF">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60°</w:t>
            </w:r>
          </w:p>
        </w:tc>
        <w:tc>
          <w:tcPr>
            <w:tcW w:w="1417" w:type="pct"/>
            <w:noWrap w:val="0"/>
            <w:vAlign w:val="center"/>
          </w:tcPr>
          <w:p w14:paraId="547AEAD6">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000000"/>
                <w:sz w:val="21"/>
                <w:szCs w:val="21"/>
                <w:lang w:eastAsia="zh-CN"/>
              </w:rPr>
            </w:pPr>
          </w:p>
        </w:tc>
      </w:tr>
      <w:tr w14:paraId="5B32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75" w:type="pct"/>
            <w:noWrap w:val="0"/>
            <w:vAlign w:val="center"/>
          </w:tcPr>
          <w:p w14:paraId="5946BCE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最终边坡角</w:t>
            </w:r>
          </w:p>
        </w:tc>
        <w:tc>
          <w:tcPr>
            <w:tcW w:w="1654" w:type="pct"/>
            <w:noWrap w:val="0"/>
            <w:vAlign w:val="center"/>
          </w:tcPr>
          <w:p w14:paraId="6FFC216A">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最终边坡角</w:t>
            </w:r>
          </w:p>
        </w:tc>
        <w:tc>
          <w:tcPr>
            <w:tcW w:w="854" w:type="pct"/>
            <w:noWrap w:val="0"/>
            <w:vAlign w:val="center"/>
          </w:tcPr>
          <w:p w14:paraId="10B8CDDA">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≤42°</w:t>
            </w:r>
          </w:p>
        </w:tc>
        <w:tc>
          <w:tcPr>
            <w:tcW w:w="1417" w:type="pct"/>
            <w:noWrap w:val="0"/>
            <w:vAlign w:val="center"/>
          </w:tcPr>
          <w:p w14:paraId="2717852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边坡最高高度180m</w:t>
            </w:r>
          </w:p>
        </w:tc>
      </w:tr>
    </w:tbl>
    <w:p w14:paraId="62EE1735">
      <w:pPr>
        <w:pStyle w:val="5"/>
        <w:ind w:firstLine="560"/>
        <w:rPr>
          <w:rFonts w:hint="default" w:ascii="Times New Roman" w:hAnsi="Times New Roman" w:cs="Times New Roman"/>
        </w:rPr>
      </w:pPr>
      <w:r>
        <w:rPr>
          <w:rFonts w:hint="default" w:ascii="Times New Roman" w:hAnsi="Times New Roman" w:cs="Times New Roman"/>
        </w:rPr>
        <w:t>2.4.5.2台阶参数</w:t>
      </w:r>
      <w:bookmarkEnd w:id="375"/>
    </w:p>
    <w:p w14:paraId="54990391">
      <w:pPr>
        <w:topLinePunct/>
        <w:ind w:firstLine="562"/>
        <w:rPr>
          <w:rFonts w:hint="default" w:ascii="Times New Roman" w:hAnsi="Times New Roman" w:cs="Times New Roman"/>
          <w:b/>
        </w:rPr>
      </w:pPr>
      <w:r>
        <w:rPr>
          <w:rFonts w:hint="default" w:ascii="Times New Roman" w:hAnsi="Times New Roman" w:cs="Times New Roman"/>
          <w:b/>
        </w:rPr>
        <w:t>一、设计情况</w:t>
      </w:r>
    </w:p>
    <w:p w14:paraId="0D3C3A16">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开采标高：</w:t>
      </w:r>
      <w:r>
        <w:rPr>
          <w:rFonts w:hint="default" w:ascii="Times New Roman" w:hAnsi="Times New Roman" w:cs="Times New Roman"/>
          <w:color w:val="auto"/>
          <w:sz w:val="28"/>
          <w:lang w:val="en-GB"/>
        </w:rPr>
        <w:t>2</w:t>
      </w:r>
      <w:r>
        <w:rPr>
          <w:rFonts w:hint="default" w:ascii="Times New Roman" w:hAnsi="Times New Roman" w:cs="Times New Roman"/>
          <w:color w:val="auto"/>
          <w:sz w:val="28"/>
          <w:lang w:val="en-US" w:eastAsia="zh-CN"/>
        </w:rPr>
        <w:t>251</w:t>
      </w:r>
      <w:r>
        <w:rPr>
          <w:rFonts w:hint="default" w:ascii="Times New Roman" w:hAnsi="Times New Roman" w:cs="Times New Roman"/>
          <w:color w:val="auto"/>
          <w:sz w:val="28"/>
        </w:rPr>
        <w:t>m～</w:t>
      </w:r>
      <w:r>
        <w:rPr>
          <w:rFonts w:hint="default" w:ascii="Times New Roman" w:hAnsi="Times New Roman" w:cs="Times New Roman"/>
          <w:color w:val="auto"/>
          <w:sz w:val="28"/>
          <w:lang w:val="en-GB"/>
        </w:rPr>
        <w:t>2</w:t>
      </w:r>
      <w:r>
        <w:rPr>
          <w:rFonts w:hint="default" w:ascii="Times New Roman" w:hAnsi="Times New Roman" w:cs="Times New Roman"/>
          <w:color w:val="auto"/>
          <w:sz w:val="28"/>
          <w:lang w:val="en-US" w:eastAsia="zh-CN"/>
        </w:rPr>
        <w:t>068m</w:t>
      </w:r>
      <w:r>
        <w:rPr>
          <w:rFonts w:hint="default" w:ascii="Times New Roman" w:hAnsi="Times New Roman" w:cs="Times New Roman"/>
          <w:color w:val="auto"/>
          <w:sz w:val="28"/>
        </w:rPr>
        <w:t>；</w:t>
      </w:r>
    </w:p>
    <w:p w14:paraId="0B9C0F26">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开采深度：1</w:t>
      </w:r>
      <w:r>
        <w:rPr>
          <w:rFonts w:hint="default" w:ascii="Times New Roman" w:hAnsi="Times New Roman" w:cs="Times New Roman"/>
          <w:color w:val="auto"/>
          <w:sz w:val="28"/>
          <w:lang w:val="en-US" w:eastAsia="zh-CN"/>
        </w:rPr>
        <w:t>83</w:t>
      </w:r>
      <w:r>
        <w:rPr>
          <w:rFonts w:hint="default" w:ascii="Times New Roman" w:hAnsi="Times New Roman" w:cs="Times New Roman"/>
          <w:color w:val="auto"/>
          <w:sz w:val="28"/>
        </w:rPr>
        <w:t>m；</w:t>
      </w:r>
    </w:p>
    <w:p w14:paraId="59FC5739">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布置台阶：</w:t>
      </w:r>
      <w:r>
        <w:rPr>
          <w:rFonts w:hint="default" w:ascii="Times New Roman" w:hAnsi="Times New Roman" w:cs="Times New Roman"/>
          <w:color w:val="auto"/>
          <w:sz w:val="28"/>
          <w:lang w:val="en-US" w:eastAsia="zh-CN"/>
        </w:rPr>
        <w:t>18</w:t>
      </w:r>
      <w:r>
        <w:rPr>
          <w:rFonts w:hint="default" w:ascii="Times New Roman" w:hAnsi="Times New Roman" w:cs="Times New Roman"/>
          <w:color w:val="auto"/>
          <w:sz w:val="28"/>
        </w:rPr>
        <w:t>个；</w:t>
      </w:r>
    </w:p>
    <w:p w14:paraId="6F0987C0">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安全平台宽度：</w:t>
      </w:r>
      <w:r>
        <w:rPr>
          <w:rFonts w:hint="default" w:ascii="Times New Roman" w:hAnsi="Times New Roman" w:cs="Times New Roman"/>
          <w:color w:val="auto"/>
          <w:sz w:val="28"/>
          <w:lang w:val="en-US" w:eastAsia="zh-CN"/>
        </w:rPr>
        <w:t>4</w:t>
      </w:r>
      <w:r>
        <w:rPr>
          <w:rFonts w:hint="default" w:ascii="Times New Roman" w:hAnsi="Times New Roman" w:cs="Times New Roman"/>
          <w:color w:val="auto"/>
          <w:sz w:val="28"/>
        </w:rPr>
        <w:t>m；</w:t>
      </w:r>
    </w:p>
    <w:p w14:paraId="287F4962">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清扫平台宽度：</w:t>
      </w:r>
      <w:r>
        <w:rPr>
          <w:rFonts w:hint="default" w:ascii="Times New Roman" w:hAnsi="Times New Roman" w:cs="Times New Roman"/>
          <w:color w:val="auto"/>
          <w:sz w:val="28"/>
          <w:lang w:val="en-US" w:eastAsia="zh-CN"/>
        </w:rPr>
        <w:t>6</w:t>
      </w:r>
      <w:r>
        <w:rPr>
          <w:rFonts w:hint="default" w:ascii="Times New Roman" w:hAnsi="Times New Roman" w:cs="Times New Roman"/>
          <w:color w:val="auto"/>
          <w:sz w:val="28"/>
        </w:rPr>
        <w:t>m；</w:t>
      </w:r>
    </w:p>
    <w:p w14:paraId="541B9899">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台阶高度：1</w:t>
      </w:r>
      <w:r>
        <w:rPr>
          <w:rFonts w:hint="default" w:ascii="Times New Roman" w:hAnsi="Times New Roman" w:cs="Times New Roman"/>
          <w:color w:val="auto"/>
          <w:sz w:val="28"/>
          <w:lang w:val="en-US" w:eastAsia="zh-CN"/>
        </w:rPr>
        <w:t>0</w:t>
      </w:r>
      <w:r>
        <w:rPr>
          <w:rFonts w:hint="default" w:ascii="Times New Roman" w:hAnsi="Times New Roman" w:cs="Times New Roman"/>
          <w:color w:val="auto"/>
          <w:sz w:val="28"/>
        </w:rPr>
        <w:t>m；</w:t>
      </w:r>
    </w:p>
    <w:p w14:paraId="2CF0B68E">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lang w:val="en-US" w:eastAsia="zh-CN"/>
        </w:rPr>
        <w:t>工作</w:t>
      </w:r>
      <w:r>
        <w:rPr>
          <w:rFonts w:hint="default" w:ascii="Times New Roman" w:hAnsi="Times New Roman" w:cs="Times New Roman"/>
          <w:color w:val="auto"/>
          <w:sz w:val="28"/>
        </w:rPr>
        <w:t>台阶坡面角：</w:t>
      </w:r>
      <w:r>
        <w:rPr>
          <w:rFonts w:hint="default" w:ascii="Times New Roman" w:hAnsi="Times New Roman" w:cs="Times New Roman"/>
          <w:color w:val="auto"/>
          <w:sz w:val="28"/>
          <w:lang w:val="en-US" w:eastAsia="zh-CN"/>
        </w:rPr>
        <w:t>75</w:t>
      </w:r>
      <w:r>
        <w:rPr>
          <w:rFonts w:hint="default" w:ascii="Times New Roman" w:hAnsi="Times New Roman" w:cs="Times New Roman"/>
          <w:color w:val="auto"/>
          <w:sz w:val="28"/>
        </w:rPr>
        <w:t>°；</w:t>
      </w:r>
    </w:p>
    <w:p w14:paraId="1FBD951A">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最终边坡角：≤4</w:t>
      </w:r>
      <w:r>
        <w:rPr>
          <w:rFonts w:hint="default" w:ascii="Times New Roman" w:hAnsi="Times New Roman" w:cs="Times New Roman"/>
          <w:color w:val="auto"/>
          <w:sz w:val="28"/>
          <w:lang w:val="en-US" w:eastAsia="zh-CN"/>
        </w:rPr>
        <w:t>2</w:t>
      </w:r>
      <w:r>
        <w:rPr>
          <w:rFonts w:hint="default" w:ascii="Times New Roman" w:hAnsi="Times New Roman" w:cs="Times New Roman"/>
          <w:color w:val="auto"/>
          <w:sz w:val="28"/>
        </w:rPr>
        <w:t>°；</w:t>
      </w:r>
    </w:p>
    <w:p w14:paraId="7D6D8BBA">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最小工作平台宽度：2</w:t>
      </w:r>
      <w:r>
        <w:rPr>
          <w:rFonts w:hint="default" w:ascii="Times New Roman" w:hAnsi="Times New Roman" w:cs="Times New Roman"/>
          <w:color w:val="auto"/>
          <w:sz w:val="28"/>
          <w:lang w:val="en-US" w:eastAsia="zh-CN"/>
        </w:rPr>
        <w:t>5</w:t>
      </w:r>
      <w:r>
        <w:rPr>
          <w:rFonts w:hint="default" w:ascii="Times New Roman" w:hAnsi="Times New Roman" w:cs="Times New Roman"/>
          <w:color w:val="auto"/>
          <w:sz w:val="28"/>
        </w:rPr>
        <w:t>m。</w:t>
      </w:r>
    </w:p>
    <w:p w14:paraId="4E6E62E2">
      <w:pPr>
        <w:topLinePunct/>
        <w:ind w:firstLine="562"/>
        <w:rPr>
          <w:rFonts w:hint="default" w:ascii="Times New Roman" w:hAnsi="Times New Roman" w:cs="Times New Roman"/>
          <w:b/>
        </w:rPr>
      </w:pPr>
      <w:r>
        <w:rPr>
          <w:rFonts w:hint="default" w:ascii="Times New Roman" w:hAnsi="Times New Roman" w:cs="Times New Roman"/>
          <w:b/>
        </w:rPr>
        <w:t>二、建设情况（基建工程）</w:t>
      </w:r>
    </w:p>
    <w:p w14:paraId="6F22DAF3">
      <w:pPr>
        <w:topLinePunct/>
        <w:ind w:firstLine="562"/>
        <w:rPr>
          <w:rFonts w:hint="eastAsia" w:ascii="Times New Roman" w:hAnsi="Times New Roman" w:eastAsia="宋体" w:cs="Times New Roman"/>
          <w:b/>
          <w:lang w:val="en-US" w:eastAsia="zh-CN"/>
        </w:rPr>
      </w:pPr>
      <w:r>
        <w:rPr>
          <w:rFonts w:hint="eastAsia" w:cs="Times New Roman"/>
          <w:b/>
          <w:lang w:val="en-US" w:eastAsia="zh-CN"/>
        </w:rPr>
        <w:t>XX</w:t>
      </w:r>
    </w:p>
    <w:p w14:paraId="21175AD8">
      <w:pPr>
        <w:pStyle w:val="5"/>
        <w:keepNext/>
        <w:keepLines/>
        <w:pageBreakBefore w:val="0"/>
        <w:widowControl w:val="0"/>
        <w:kinsoku/>
        <w:wordWrap/>
        <w:overflowPunct/>
        <w:topLinePunct w:val="0"/>
        <w:autoSpaceDE/>
        <w:autoSpaceDN/>
        <w:bidi w:val="0"/>
        <w:adjustRightInd w:val="0"/>
        <w:snapToGrid w:val="0"/>
        <w:ind w:firstLine="560"/>
        <w:textAlignment w:val="auto"/>
        <w:rPr>
          <w:rFonts w:hint="default" w:ascii="Times New Roman" w:hAnsi="Times New Roman" w:cs="Times New Roman"/>
        </w:rPr>
      </w:pPr>
      <w:bookmarkStart w:id="376" w:name="_Toc19186"/>
      <w:r>
        <w:rPr>
          <w:rFonts w:hint="default" w:ascii="Times New Roman" w:hAnsi="Times New Roman" w:cs="Times New Roman"/>
        </w:rPr>
        <w:t>2.4.5.3采剥</w:t>
      </w:r>
      <w:bookmarkEnd w:id="376"/>
      <w:r>
        <w:rPr>
          <w:rFonts w:hint="default" w:ascii="Times New Roman" w:hAnsi="Times New Roman" w:cs="Times New Roman"/>
        </w:rPr>
        <w:t>工艺</w:t>
      </w:r>
    </w:p>
    <w:p w14:paraId="28CCC0B1">
      <w:pPr>
        <w:keepNext/>
        <w:keepLines/>
        <w:pageBreakBefore w:val="0"/>
        <w:widowControl w:val="0"/>
        <w:kinsoku/>
        <w:wordWrap/>
        <w:overflowPunct/>
        <w:topLinePunct w:val="0"/>
        <w:autoSpaceDE/>
        <w:autoSpaceDN/>
        <w:bidi w:val="0"/>
        <w:adjustRightInd w:val="0"/>
        <w:snapToGrid w:val="0"/>
        <w:ind w:firstLine="562"/>
        <w:textAlignment w:val="auto"/>
        <w:rPr>
          <w:rFonts w:hint="default" w:ascii="Times New Roman" w:hAnsi="Times New Roman" w:cs="Times New Roman"/>
          <w:b/>
          <w:bCs/>
          <w:kern w:val="28"/>
        </w:rPr>
      </w:pPr>
      <w:r>
        <w:rPr>
          <w:rFonts w:hint="default" w:ascii="Times New Roman" w:hAnsi="Times New Roman" w:cs="Times New Roman"/>
          <w:b/>
          <w:bCs/>
          <w:kern w:val="28"/>
        </w:rPr>
        <w:t>一、设计情况</w:t>
      </w:r>
    </w:p>
    <w:p w14:paraId="12ABA33E">
      <w:pPr>
        <w:ind w:firstLine="560"/>
        <w:rPr>
          <w:rFonts w:hint="default" w:ascii="Times New Roman" w:hAnsi="Times New Roman" w:cs="Times New Roman"/>
        </w:rPr>
      </w:pPr>
      <w:r>
        <w:rPr>
          <w:rFonts w:hint="default" w:ascii="Times New Roman" w:hAnsi="Times New Roman" w:cs="Times New Roman"/>
        </w:rPr>
        <w:t>（1）</w:t>
      </w:r>
      <w:bookmarkStart w:id="377" w:name="_Toc456080631"/>
      <w:r>
        <w:rPr>
          <w:rFonts w:hint="default" w:ascii="Times New Roman" w:hAnsi="Times New Roman" w:cs="Times New Roman"/>
        </w:rPr>
        <w:t>剥离</w:t>
      </w:r>
      <w:bookmarkEnd w:id="377"/>
    </w:p>
    <w:p w14:paraId="4C5AABDA">
      <w:pPr>
        <w:ind w:firstLine="560"/>
        <w:rPr>
          <w:rFonts w:hint="default" w:ascii="Times New Roman" w:hAnsi="Times New Roman" w:cs="Times New Roman"/>
          <w:bCs/>
          <w:szCs w:val="32"/>
        </w:rPr>
      </w:pPr>
      <w:r>
        <w:rPr>
          <w:rFonts w:hint="default" w:ascii="Times New Roman" w:hAnsi="Times New Roman" w:cs="Times New Roman"/>
          <w:sz w:val="28"/>
          <w:szCs w:val="28"/>
        </w:rPr>
        <w:t>根据储量核实报告及现状实测图，经过计算，矿山共剥离表土量为4.75万m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，剥离废石量12.27万m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，前期设计采用挖机剥离后经汽车运输用于平整场地及修筑道路使用，</w:t>
      </w:r>
      <w:r>
        <w:rPr>
          <w:rFonts w:hint="default" w:ascii="Times New Roman" w:hAnsi="Times New Roman" w:cs="Times New Roman"/>
          <w:sz w:val="28"/>
          <w:szCs w:val="28"/>
          <w:lang w:val="en-US" w:eastAsia="zh-CN"/>
        </w:rPr>
        <w:t>废土</w:t>
      </w:r>
      <w:r>
        <w:rPr>
          <w:rFonts w:hint="default" w:ascii="Times New Roman" w:hAnsi="Times New Roman" w:cs="Times New Roman"/>
          <w:sz w:val="28"/>
          <w:szCs w:val="28"/>
        </w:rPr>
        <w:t>不外排</w:t>
      </w:r>
      <w:r>
        <w:rPr>
          <w:rFonts w:hint="default" w:ascii="Times New Roman" w:hAnsi="Times New Roman" w:cs="Times New Roman"/>
          <w:bCs/>
          <w:szCs w:val="32"/>
        </w:rPr>
        <w:t>。</w:t>
      </w:r>
    </w:p>
    <w:p w14:paraId="5EF7CBA9">
      <w:pPr>
        <w:ind w:firstLine="560"/>
        <w:rPr>
          <w:rFonts w:hint="default" w:ascii="Times New Roman" w:hAnsi="Times New Roman" w:cs="Times New Roman"/>
        </w:rPr>
      </w:pPr>
      <w:bookmarkStart w:id="378" w:name="_Toc456080632"/>
      <w:r>
        <w:rPr>
          <w:rFonts w:hint="default" w:ascii="Times New Roman" w:hAnsi="Times New Roman" w:cs="Times New Roman"/>
        </w:rPr>
        <w:t>（2）</w:t>
      </w:r>
      <w:bookmarkEnd w:id="378"/>
      <w:r>
        <w:rPr>
          <w:rFonts w:hint="default" w:ascii="Times New Roman" w:hAnsi="Times New Roman" w:cs="Times New Roman"/>
        </w:rPr>
        <w:t>开段沟位置确定及推进方向</w:t>
      </w:r>
    </w:p>
    <w:p w14:paraId="288EA1AA">
      <w:pPr>
        <w:ind w:firstLine="560"/>
        <w:rPr>
          <w:rFonts w:hint="default" w:ascii="Times New Roman" w:hAnsi="Times New Roman" w:cs="Times New Roman"/>
        </w:rPr>
      </w:pPr>
      <w:bookmarkStart w:id="379" w:name="_Toc277600900"/>
      <w:bookmarkStart w:id="380" w:name="_Toc10586"/>
      <w:bookmarkStart w:id="381" w:name="_Toc230098546"/>
      <w:bookmarkStart w:id="382" w:name="_Toc277690500"/>
      <w:bookmarkStart w:id="383" w:name="_Toc2053"/>
      <w:bookmarkStart w:id="384" w:name="_Toc303848372"/>
      <w:r>
        <w:rPr>
          <w:rFonts w:hint="default" w:ascii="Times New Roman" w:hAnsi="Times New Roman" w:cs="Times New Roman"/>
        </w:rPr>
        <w:t>新水平准备时，由外部地形处开掘段沟，垂直矿体走向或沿矿体走向布置工作面，矿山开采顺序采用自上而下分台阶开采，采至2188m台阶时，矿区南北侧同一台阶标高由北向南开采，开采标高同时下降，采至2128m台阶时，南北采区合并为一个采区。</w:t>
      </w:r>
    </w:p>
    <w:bookmarkEnd w:id="379"/>
    <w:bookmarkEnd w:id="380"/>
    <w:bookmarkEnd w:id="381"/>
    <w:bookmarkEnd w:id="382"/>
    <w:bookmarkEnd w:id="383"/>
    <w:bookmarkEnd w:id="384"/>
    <w:p w14:paraId="1362039B">
      <w:pPr>
        <w:ind w:firstLine="560"/>
        <w:rPr>
          <w:rFonts w:hint="default" w:ascii="Times New Roman" w:hAnsi="Times New Roman" w:cs="Times New Roman"/>
        </w:rPr>
      </w:pPr>
      <w:bookmarkStart w:id="385" w:name="_Toc456080635"/>
      <w:r>
        <w:rPr>
          <w:rFonts w:hint="default" w:ascii="Times New Roman" w:hAnsi="Times New Roman" w:cs="Times New Roman"/>
        </w:rPr>
        <w:t>（</w:t>
      </w:r>
      <w:r>
        <w:rPr>
          <w:rFonts w:hint="default" w:ascii="Times New Roman" w:hAnsi="Times New Roman" w:cs="Times New Roman"/>
          <w:lang w:val="en-US" w:eastAsia="zh-CN"/>
        </w:rPr>
        <w:t>3</w:t>
      </w:r>
      <w:r>
        <w:rPr>
          <w:rFonts w:hint="default" w:ascii="Times New Roman" w:hAnsi="Times New Roman" w:cs="Times New Roman"/>
        </w:rPr>
        <w:t>）采矿工艺</w:t>
      </w:r>
      <w:bookmarkEnd w:id="385"/>
    </w:p>
    <w:p w14:paraId="16C8977B">
      <w:pPr>
        <w:ind w:firstLine="560"/>
        <w:rPr>
          <w:rFonts w:hint="default" w:ascii="Times New Roman" w:hAnsi="Times New Roman" w:cs="Times New Roman"/>
        </w:rPr>
      </w:pPr>
      <w:r>
        <w:rPr>
          <w:rFonts w:hint="default" w:ascii="Times New Roman" w:hAnsi="Times New Roman" w:cs="Times New Roman"/>
        </w:rPr>
        <w:t>矿山采用沿矿体走向布置工作面，自上而下、缓帮作业采矿工艺。</w:t>
      </w:r>
    </w:p>
    <w:p w14:paraId="7ED24752">
      <w:pPr>
        <w:ind w:firstLine="560"/>
        <w:rPr>
          <w:rFonts w:hint="default" w:ascii="Times New Roman" w:hAnsi="Times New Roman" w:cs="Times New Roman"/>
        </w:rPr>
      </w:pPr>
      <w:r>
        <w:rPr>
          <w:rFonts w:hint="default" w:ascii="Times New Roman" w:hAnsi="Times New Roman" w:cs="Times New Roman"/>
        </w:rPr>
        <w:t>根据矿岩物理机械性质、岩石的完整性特点，以及矿山的生产规模，设计采用中深孔微差爆破进行开采。凿岩采用KQD90潜孔钻机穿孔。穿孔直径1</w:t>
      </w:r>
      <w:r>
        <w:rPr>
          <w:rFonts w:hint="default" w:ascii="Times New Roman" w:hAnsi="Times New Roman" w:cs="Times New Roman"/>
          <w:lang w:val="en-US" w:eastAsia="zh-CN"/>
        </w:rPr>
        <w:t>0</w:t>
      </w:r>
      <w:r>
        <w:rPr>
          <w:rFonts w:hint="default" w:ascii="Times New Roman" w:hAnsi="Times New Roman" w:cs="Times New Roman"/>
        </w:rPr>
        <w:t>0mm；</w:t>
      </w:r>
      <w:r>
        <w:rPr>
          <w:rFonts w:hint="default" w:ascii="Times New Roman" w:hAnsi="Times New Roman" w:cs="Times New Roman"/>
          <w:lang w:val="en-US" w:eastAsia="zh-CN"/>
        </w:rPr>
        <w:t>设计采用</w:t>
      </w:r>
      <w:r>
        <w:rPr>
          <w:rFonts w:hint="default" w:ascii="Times New Roman" w:hAnsi="Times New Roman" w:cs="Times New Roman"/>
        </w:rPr>
        <w:t>粉状岩石膨化硝铵炸药</w:t>
      </w:r>
      <w:r>
        <w:rPr>
          <w:rFonts w:hint="default" w:ascii="Times New Roman" w:hAnsi="Times New Roman" w:cs="Times New Roman"/>
          <w:lang w:eastAsia="zh-CN"/>
        </w:rPr>
        <w:t>（</w:t>
      </w:r>
      <w:r>
        <w:rPr>
          <w:rFonts w:hint="default" w:ascii="Times New Roman" w:hAnsi="Times New Roman" w:cs="Times New Roman"/>
        </w:rPr>
        <w:t>根据实际情况</w:t>
      </w:r>
      <w:r>
        <w:rPr>
          <w:rFonts w:hint="default" w:ascii="Times New Roman" w:hAnsi="Times New Roman" w:cs="Times New Roman"/>
          <w:lang w:val="en-US" w:eastAsia="zh-CN"/>
        </w:rPr>
        <w:t>可选用</w:t>
      </w:r>
      <w:r>
        <w:rPr>
          <w:rFonts w:hint="default" w:ascii="Times New Roman" w:hAnsi="Times New Roman" w:cs="Times New Roman"/>
        </w:rPr>
        <w:t>2#岩石乳化炸药</w:t>
      </w:r>
      <w:r>
        <w:rPr>
          <w:rFonts w:hint="default" w:ascii="Times New Roman" w:hAnsi="Times New Roman" w:cs="Times New Roman"/>
          <w:lang w:eastAsia="zh-CN"/>
        </w:rPr>
        <w:t>）</w:t>
      </w:r>
      <w:r>
        <w:rPr>
          <w:rFonts w:hint="default" w:ascii="Times New Roman" w:hAnsi="Times New Roman" w:cs="Times New Roman"/>
        </w:rPr>
        <w:t>、数码电子雷管、中深孔多排孔微差爆破。矿石采用挖掘机铲装至汽车，后运输至加工区</w:t>
      </w:r>
      <w:r>
        <w:rPr>
          <w:rFonts w:hint="default" w:ascii="Times New Roman" w:hAnsi="Times New Roman" w:cs="Times New Roman"/>
          <w:lang w:val="en-US" w:eastAsia="zh-CN"/>
        </w:rPr>
        <w:t>进行加工</w:t>
      </w:r>
      <w:r>
        <w:rPr>
          <w:rFonts w:hint="default" w:ascii="Times New Roman" w:hAnsi="Times New Roman" w:cs="Times New Roman"/>
        </w:rPr>
        <w:t>破碎。</w:t>
      </w:r>
    </w:p>
    <w:p w14:paraId="49E575E0">
      <w:pPr>
        <w:ind w:firstLine="560"/>
        <w:rPr>
          <w:rFonts w:hint="default" w:ascii="Times New Roman" w:hAnsi="Times New Roman" w:cs="Times New Roman"/>
        </w:rPr>
      </w:pPr>
      <w:r>
        <w:rPr>
          <w:rFonts w:hint="default" w:ascii="Times New Roman" w:hAnsi="Times New Roman" w:cs="Times New Roman"/>
        </w:rPr>
        <w:t>当深孔爆破产生大块的矿石</w:t>
      </w:r>
      <w:r>
        <w:rPr>
          <w:rFonts w:hint="default" w:ascii="Times New Roman" w:hAnsi="Times New Roman" w:cs="Times New Roman"/>
          <w:lang w:val="en-US" w:eastAsia="zh-CN"/>
        </w:rPr>
        <w:t>时</w:t>
      </w:r>
      <w:r>
        <w:rPr>
          <w:rFonts w:hint="default" w:ascii="Times New Roman" w:hAnsi="Times New Roman" w:cs="Times New Roman"/>
        </w:rPr>
        <w:t>，对此类大块矿石采用液压碎石锤进行机械破碎，严禁采用二次爆破进行破碎。</w:t>
      </w:r>
    </w:p>
    <w:p w14:paraId="36293EEA">
      <w:pPr>
        <w:keepNext/>
        <w:keepLines/>
        <w:pageBreakBefore w:val="0"/>
        <w:widowControl w:val="0"/>
        <w:kinsoku/>
        <w:wordWrap/>
        <w:overflowPunct/>
        <w:topLinePunct/>
        <w:autoSpaceDE/>
        <w:autoSpaceDN/>
        <w:bidi w:val="0"/>
        <w:adjustRightInd w:val="0"/>
        <w:snapToGrid w:val="0"/>
        <w:ind w:firstLine="562"/>
        <w:textAlignment w:val="auto"/>
        <w:rPr>
          <w:rFonts w:hint="default" w:ascii="Times New Roman" w:hAnsi="Times New Roman" w:cs="Times New Roman"/>
          <w:b/>
          <w:bCs/>
        </w:rPr>
      </w:pPr>
      <w:r>
        <w:rPr>
          <w:rFonts w:hint="default" w:ascii="Times New Roman" w:hAnsi="Times New Roman" w:cs="Times New Roman"/>
          <w:b/>
          <w:bCs/>
        </w:rPr>
        <w:t>二、建设情况</w:t>
      </w:r>
    </w:p>
    <w:p w14:paraId="176036D0">
      <w:pPr>
        <w:ind w:firstLine="560"/>
        <w:rPr>
          <w:rFonts w:hint="default" w:ascii="Times New Roman" w:hAnsi="Times New Roman" w:cs="Times New Roman"/>
          <w:color w:val="auto"/>
          <w:szCs w:val="32"/>
        </w:rPr>
      </w:pPr>
      <w:r>
        <w:rPr>
          <w:rFonts w:hint="eastAsia" w:cs="Times New Roman"/>
          <w:color w:val="auto"/>
          <w:lang w:val="en-US" w:eastAsia="zh-CN"/>
        </w:rPr>
        <w:t>XX</w:t>
      </w:r>
      <w:r>
        <w:rPr>
          <w:rFonts w:hint="default" w:ascii="Times New Roman" w:hAnsi="Times New Roman" w:cs="Times New Roman"/>
          <w:color w:val="auto"/>
          <w:szCs w:val="32"/>
        </w:rPr>
        <w:t>。</w:t>
      </w:r>
    </w:p>
    <w:p w14:paraId="01B77E42">
      <w:pPr>
        <w:pStyle w:val="5"/>
        <w:ind w:firstLine="560"/>
        <w:rPr>
          <w:rFonts w:hint="default" w:ascii="Times New Roman" w:hAnsi="Times New Roman" w:cs="Times New Roman"/>
        </w:rPr>
      </w:pPr>
      <w:bookmarkStart w:id="386" w:name="_Toc8796"/>
      <w:r>
        <w:rPr>
          <w:rFonts w:hint="default" w:ascii="Times New Roman" w:hAnsi="Times New Roman" w:cs="Times New Roman"/>
        </w:rPr>
        <w:t>2.4.5.4穿孔爆破</w:t>
      </w:r>
      <w:bookmarkEnd w:id="386"/>
    </w:p>
    <w:p w14:paraId="48C13515">
      <w:pPr>
        <w:topLinePunct/>
        <w:ind w:firstLine="562"/>
        <w:rPr>
          <w:rFonts w:hint="default" w:ascii="Times New Roman" w:hAnsi="Times New Roman" w:cs="Times New Roman"/>
          <w:b/>
        </w:rPr>
      </w:pPr>
      <w:r>
        <w:rPr>
          <w:rFonts w:hint="default" w:ascii="Times New Roman" w:hAnsi="Times New Roman" w:cs="Times New Roman"/>
          <w:b/>
        </w:rPr>
        <w:t>一、设计情况</w:t>
      </w:r>
    </w:p>
    <w:p w14:paraId="74B1FA81">
      <w:pPr>
        <w:ind w:firstLine="560"/>
        <w:rPr>
          <w:rFonts w:hint="default" w:ascii="Times New Roman" w:hAnsi="Times New Roman" w:cs="Times New Roman"/>
        </w:rPr>
      </w:pPr>
      <w:bookmarkStart w:id="387" w:name="_Hlk178194332"/>
      <w:r>
        <w:rPr>
          <w:rFonts w:hint="default" w:ascii="Times New Roman" w:hAnsi="Times New Roman" w:cs="Times New Roman"/>
        </w:rPr>
        <w:t>设计使用矿山</w:t>
      </w:r>
      <w:r>
        <w:rPr>
          <w:rFonts w:hint="default" w:ascii="Times New Roman" w:hAnsi="Times New Roman" w:cs="Times New Roman"/>
          <w:szCs w:val="28"/>
        </w:rPr>
        <w:t>1台LG-10.5/8G型空压机、1台</w:t>
      </w:r>
      <w:bookmarkEnd w:id="387"/>
      <w:r>
        <w:rPr>
          <w:rFonts w:hint="default" w:ascii="Times New Roman" w:hAnsi="Times New Roman" w:cs="Times New Roman"/>
        </w:rPr>
        <w:t>KQD90</w:t>
      </w:r>
      <w:r>
        <w:rPr>
          <w:rFonts w:hint="default" w:ascii="Times New Roman" w:hAnsi="Times New Roman" w:cs="Times New Roman"/>
          <w:lang w:val="en-US" w:eastAsia="zh-CN"/>
        </w:rPr>
        <w:t>型</w:t>
      </w:r>
      <w:r>
        <w:rPr>
          <w:rFonts w:hint="default" w:ascii="Times New Roman" w:hAnsi="Times New Roman" w:cs="Times New Roman"/>
        </w:rPr>
        <w:t>潜孔钻机。</w:t>
      </w:r>
    </w:p>
    <w:p w14:paraId="4D17517D">
      <w:pPr>
        <w:ind w:firstLine="560"/>
        <w:rPr>
          <w:rFonts w:hint="default" w:ascii="Times New Roman" w:hAnsi="Times New Roman" w:cs="Times New Roman"/>
        </w:rPr>
      </w:pPr>
      <w:bookmarkStart w:id="388" w:name="_Toc271640758"/>
      <w:r>
        <w:rPr>
          <w:rFonts w:hint="default" w:ascii="Times New Roman" w:hAnsi="Times New Roman" w:cs="Times New Roman"/>
        </w:rPr>
        <w:t>1</w:t>
      </w:r>
      <w:r>
        <w:rPr>
          <w:rFonts w:hint="default" w:ascii="Times New Roman" w:hAnsi="Times New Roman" w:cs="Times New Roman"/>
          <w:lang w:eastAsia="zh-TW"/>
        </w:rPr>
        <w:t>、</w:t>
      </w:r>
      <w:bookmarkEnd w:id="388"/>
      <w:bookmarkStart w:id="389" w:name="_Toc302142024"/>
      <w:r>
        <w:rPr>
          <w:rFonts w:hint="default" w:ascii="Times New Roman" w:hAnsi="Times New Roman" w:cs="Times New Roman"/>
          <w:lang w:eastAsia="zh-TW"/>
        </w:rPr>
        <w:t>爆破炮孔布置</w:t>
      </w:r>
      <w:bookmarkStart w:id="390" w:name="_Hlk89293504"/>
      <w:r>
        <w:rPr>
          <w:rFonts w:hint="default" w:ascii="Times New Roman" w:hAnsi="Times New Roman" w:cs="Times New Roman"/>
        </w:rPr>
        <w:t>：</w:t>
      </w:r>
      <w:bookmarkEnd w:id="390"/>
      <w:r>
        <w:rPr>
          <w:rFonts w:hint="default" w:ascii="Times New Roman" w:hAnsi="Times New Roman" w:eastAsia="宋体" w:cs="Times New Roman"/>
          <w:b w:val="0"/>
          <w:bCs w:val="0"/>
          <w:color w:val="000000"/>
          <w:sz w:val="28"/>
          <w:szCs w:val="28"/>
        </w:rPr>
        <w:t>台阶爆破采用垂直孔，孔深</w:t>
      </w:r>
      <w:r>
        <w:rPr>
          <w:rFonts w:hint="default" w:ascii="Times New Roman" w:hAnsi="Times New Roman" w:eastAsia="宋体" w:cs="Times New Roman"/>
          <w:b w:val="0"/>
          <w:bCs w:val="0"/>
          <w:color w:val="000000"/>
          <w:sz w:val="28"/>
          <w:szCs w:val="28"/>
          <w:lang w:val="en-US" w:eastAsia="zh-CN"/>
        </w:rPr>
        <w:t>11</w:t>
      </w:r>
      <w:r>
        <w:rPr>
          <w:rFonts w:hint="default" w:ascii="Times New Roman" w:hAnsi="Times New Roman" w:eastAsia="宋体" w:cs="Times New Roman"/>
          <w:b w:val="0"/>
          <w:bCs w:val="0"/>
          <w:color w:val="000000"/>
          <w:sz w:val="28"/>
          <w:szCs w:val="28"/>
        </w:rPr>
        <w:t>m（包括超深1m），采用</w:t>
      </w:r>
      <w:r>
        <w:rPr>
          <w:rFonts w:hint="default" w:ascii="Times New Roman" w:hAnsi="Times New Roman" w:eastAsia="宋体" w:cs="Times New Roman"/>
          <w:b w:val="0"/>
          <w:bCs w:val="0"/>
          <w:color w:val="000000"/>
          <w:sz w:val="28"/>
          <w:szCs w:val="28"/>
          <w:lang w:val="en-US" w:eastAsia="zh-CN"/>
        </w:rPr>
        <w:t>三角形</w:t>
      </w:r>
      <w:r>
        <w:rPr>
          <w:rFonts w:hint="default" w:ascii="Times New Roman" w:hAnsi="Times New Roman" w:eastAsia="宋体" w:cs="Times New Roman"/>
          <w:b w:val="0"/>
          <w:bCs w:val="0"/>
          <w:color w:val="000000"/>
          <w:sz w:val="28"/>
          <w:szCs w:val="28"/>
        </w:rPr>
        <w:t>布孔；孔网参数4m×</w:t>
      </w:r>
      <w:r>
        <w:rPr>
          <w:rFonts w:hint="default" w:ascii="Times New Roman" w:hAnsi="Times New Roman" w:eastAsia="宋体" w:cs="Times New Roman"/>
          <w:b w:val="0"/>
          <w:bCs w:val="0"/>
          <w:color w:val="000000"/>
          <w:sz w:val="28"/>
          <w:szCs w:val="28"/>
          <w:lang w:val="en-US" w:eastAsia="zh-CN"/>
        </w:rPr>
        <w:t>3</w:t>
      </w:r>
      <w:r>
        <w:rPr>
          <w:rFonts w:hint="default" w:ascii="Times New Roman" w:hAnsi="Times New Roman" w:eastAsia="宋体" w:cs="Times New Roman"/>
          <w:b w:val="0"/>
          <w:bCs w:val="0"/>
          <w:color w:val="000000"/>
          <w:sz w:val="28"/>
          <w:szCs w:val="28"/>
        </w:rPr>
        <w:t>m（孔距×排距），</w:t>
      </w:r>
      <w:r>
        <w:rPr>
          <w:rFonts w:hint="default" w:ascii="Times New Roman" w:hAnsi="Times New Roman" w:cs="Times New Roman"/>
        </w:rPr>
        <w:t>设计采用数码电子雷管，逐孔微差起爆。</w:t>
      </w:r>
    </w:p>
    <w:bookmarkEnd w:id="389"/>
    <w:p w14:paraId="13AAB94D">
      <w:pPr>
        <w:ind w:firstLine="560"/>
        <w:rPr>
          <w:rFonts w:hint="default" w:ascii="Times New Roman" w:hAnsi="Times New Roman" w:cs="Times New Roman"/>
        </w:rPr>
      </w:pPr>
      <w:bookmarkStart w:id="391" w:name="_Hlk89293595"/>
      <w:r>
        <w:rPr>
          <w:rFonts w:hint="default" w:ascii="Times New Roman" w:hAnsi="Times New Roman" w:cs="Times New Roman"/>
        </w:rPr>
        <w:t>2、爆破材料选择</w:t>
      </w:r>
    </w:p>
    <w:p w14:paraId="6B6BADD6">
      <w:pPr>
        <w:ind w:firstLine="560"/>
        <w:rPr>
          <w:rFonts w:hint="default" w:ascii="Times New Roman" w:hAnsi="Times New Roman" w:cs="Times New Roman"/>
        </w:rPr>
      </w:pPr>
      <w:r>
        <w:rPr>
          <w:rFonts w:hint="default" w:ascii="Times New Roman" w:hAnsi="Times New Roman" w:cs="Times New Roman"/>
        </w:rPr>
        <w:t>该矿山为露天岩土爆破，选择爆破材料为乳化炸药、数码电子雷管</w:t>
      </w:r>
      <w:r>
        <w:rPr>
          <w:rFonts w:hint="default" w:ascii="Times New Roman" w:hAnsi="Times New Roman" w:cs="Times New Roman"/>
          <w:szCs w:val="28"/>
        </w:rPr>
        <w:t>。</w:t>
      </w:r>
    </w:p>
    <w:p w14:paraId="096D10BA">
      <w:pPr>
        <w:ind w:firstLine="560"/>
        <w:rPr>
          <w:rFonts w:hint="default" w:ascii="Times New Roman" w:hAnsi="Times New Roman" w:cs="Times New Roman"/>
        </w:rPr>
      </w:pPr>
      <w:r>
        <w:rPr>
          <w:rFonts w:hint="default" w:ascii="Times New Roman" w:hAnsi="Times New Roman" w:cs="Times New Roman"/>
        </w:rPr>
        <w:t>3、爆破作业参数汇总见下表</w:t>
      </w:r>
      <w:bookmarkEnd w:id="391"/>
    </w:p>
    <w:p w14:paraId="78ABCDD0">
      <w:pPr>
        <w:pStyle w:val="124"/>
        <w:keepNext/>
        <w:keepLines/>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表2.4-</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 xml:space="preserve">  爆破作业参数表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4521"/>
        <w:gridCol w:w="1882"/>
        <w:gridCol w:w="1882"/>
      </w:tblGrid>
      <w:tr w14:paraId="51CC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93" w:type="pct"/>
            <w:noWrap w:val="0"/>
            <w:vAlign w:val="center"/>
          </w:tcPr>
          <w:p w14:paraId="7128765D">
            <w:pPr>
              <w:pStyle w:val="193"/>
              <w:keepNext/>
              <w:keepLines/>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color w:val="000000"/>
                <w:sz w:val="21"/>
                <w:szCs w:val="21"/>
              </w:rPr>
            </w:pPr>
            <w:bookmarkStart w:id="392" w:name="_Hlk150793585"/>
            <w:r>
              <w:rPr>
                <w:rFonts w:hint="default" w:ascii="Times New Roman" w:hAnsi="Times New Roman" w:cs="Times New Roman"/>
                <w:b/>
                <w:bCs/>
                <w:color w:val="000000"/>
                <w:sz w:val="21"/>
                <w:szCs w:val="21"/>
              </w:rPr>
              <w:t>序号</w:t>
            </w:r>
          </w:p>
        </w:tc>
        <w:tc>
          <w:tcPr>
            <w:tcW w:w="2405" w:type="pct"/>
            <w:noWrap w:val="0"/>
            <w:vAlign w:val="center"/>
          </w:tcPr>
          <w:p w14:paraId="3DA1C058">
            <w:pPr>
              <w:pStyle w:val="193"/>
              <w:keepNext/>
              <w:keepLines/>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名称及符号</w:t>
            </w:r>
          </w:p>
        </w:tc>
        <w:tc>
          <w:tcPr>
            <w:tcW w:w="1001" w:type="pct"/>
            <w:noWrap w:val="0"/>
            <w:vAlign w:val="center"/>
          </w:tcPr>
          <w:p w14:paraId="39FC1BA7">
            <w:pPr>
              <w:pStyle w:val="193"/>
              <w:keepNext/>
              <w:keepLines/>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设计参数</w:t>
            </w:r>
          </w:p>
        </w:tc>
        <w:tc>
          <w:tcPr>
            <w:tcW w:w="1001" w:type="pct"/>
            <w:noWrap w:val="0"/>
            <w:vAlign w:val="center"/>
          </w:tcPr>
          <w:p w14:paraId="3FDD4169">
            <w:pPr>
              <w:pStyle w:val="193"/>
              <w:keepNext/>
              <w:keepLines/>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备注</w:t>
            </w:r>
          </w:p>
        </w:tc>
      </w:tr>
      <w:tr w14:paraId="7C4F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3EF4C57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2405" w:type="pct"/>
            <w:noWrap w:val="0"/>
            <w:vAlign w:val="center"/>
          </w:tcPr>
          <w:p w14:paraId="5586F42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炮孔直径（d）</w:t>
            </w:r>
          </w:p>
        </w:tc>
        <w:tc>
          <w:tcPr>
            <w:tcW w:w="1001" w:type="pct"/>
            <w:noWrap w:val="0"/>
            <w:vAlign w:val="center"/>
          </w:tcPr>
          <w:p w14:paraId="60AED24F">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100mm</w:t>
            </w:r>
          </w:p>
        </w:tc>
        <w:tc>
          <w:tcPr>
            <w:tcW w:w="1001" w:type="pct"/>
            <w:noWrap w:val="0"/>
            <w:vAlign w:val="center"/>
          </w:tcPr>
          <w:p w14:paraId="4690698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3F4D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2FAF414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w:t>
            </w:r>
          </w:p>
        </w:tc>
        <w:tc>
          <w:tcPr>
            <w:tcW w:w="2405" w:type="pct"/>
            <w:noWrap w:val="0"/>
            <w:vAlign w:val="center"/>
          </w:tcPr>
          <w:p w14:paraId="7DF402E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台阶高度（H）</w:t>
            </w:r>
          </w:p>
        </w:tc>
        <w:tc>
          <w:tcPr>
            <w:tcW w:w="1001" w:type="pct"/>
            <w:noWrap w:val="0"/>
            <w:vAlign w:val="center"/>
          </w:tcPr>
          <w:p w14:paraId="4EEE4AC7">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10m</w:t>
            </w:r>
          </w:p>
        </w:tc>
        <w:tc>
          <w:tcPr>
            <w:tcW w:w="1001" w:type="pct"/>
            <w:noWrap w:val="0"/>
            <w:vAlign w:val="center"/>
          </w:tcPr>
          <w:p w14:paraId="7D225B4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17F2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40EF9E32">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c>
          <w:tcPr>
            <w:tcW w:w="2405" w:type="pct"/>
            <w:noWrap w:val="0"/>
            <w:vAlign w:val="center"/>
          </w:tcPr>
          <w:p w14:paraId="3314A53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孔距（a）</w:t>
            </w:r>
          </w:p>
        </w:tc>
        <w:tc>
          <w:tcPr>
            <w:tcW w:w="1001" w:type="pct"/>
            <w:noWrap w:val="0"/>
            <w:vAlign w:val="center"/>
          </w:tcPr>
          <w:p w14:paraId="44E6935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4m</w:t>
            </w:r>
          </w:p>
        </w:tc>
        <w:tc>
          <w:tcPr>
            <w:tcW w:w="1001" w:type="pct"/>
            <w:noWrap w:val="0"/>
            <w:vAlign w:val="center"/>
          </w:tcPr>
          <w:p w14:paraId="2BFAEF2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6738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237A2778">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c>
          <w:tcPr>
            <w:tcW w:w="2405" w:type="pct"/>
            <w:noWrap w:val="0"/>
            <w:vAlign w:val="center"/>
          </w:tcPr>
          <w:p w14:paraId="314DA8C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排距（b）</w:t>
            </w:r>
          </w:p>
        </w:tc>
        <w:tc>
          <w:tcPr>
            <w:tcW w:w="1001" w:type="pct"/>
            <w:noWrap w:val="0"/>
            <w:vAlign w:val="center"/>
          </w:tcPr>
          <w:p w14:paraId="6071055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3m</w:t>
            </w:r>
          </w:p>
        </w:tc>
        <w:tc>
          <w:tcPr>
            <w:tcW w:w="1001" w:type="pct"/>
            <w:noWrap w:val="0"/>
            <w:vAlign w:val="center"/>
          </w:tcPr>
          <w:p w14:paraId="74746CA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20F2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1779EA3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w:t>
            </w:r>
          </w:p>
        </w:tc>
        <w:tc>
          <w:tcPr>
            <w:tcW w:w="2405" w:type="pct"/>
            <w:noWrap w:val="0"/>
            <w:vAlign w:val="center"/>
          </w:tcPr>
          <w:p w14:paraId="62FAF04A">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底盘抵抗线（W</w:t>
            </w:r>
            <w:r>
              <w:rPr>
                <w:rFonts w:hint="default" w:ascii="Times New Roman" w:hAnsi="Times New Roman" w:cs="Times New Roman"/>
                <w:color w:val="000000"/>
                <w:sz w:val="21"/>
                <w:szCs w:val="21"/>
                <w:vertAlign w:val="subscript"/>
              </w:rPr>
              <w:t>d</w:t>
            </w:r>
            <w:r>
              <w:rPr>
                <w:rFonts w:hint="default" w:ascii="Times New Roman" w:hAnsi="Times New Roman" w:cs="Times New Roman"/>
                <w:color w:val="000000"/>
                <w:sz w:val="21"/>
                <w:szCs w:val="21"/>
              </w:rPr>
              <w:t>）</w:t>
            </w:r>
          </w:p>
        </w:tc>
        <w:tc>
          <w:tcPr>
            <w:tcW w:w="1001" w:type="pct"/>
            <w:noWrap w:val="0"/>
            <w:vAlign w:val="center"/>
          </w:tcPr>
          <w:p w14:paraId="21B8A4C8">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6m</w:t>
            </w:r>
          </w:p>
        </w:tc>
        <w:tc>
          <w:tcPr>
            <w:tcW w:w="1001" w:type="pct"/>
            <w:noWrap w:val="0"/>
            <w:vAlign w:val="center"/>
          </w:tcPr>
          <w:p w14:paraId="6F88579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40C2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70AEC9B2">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w:t>
            </w:r>
          </w:p>
        </w:tc>
        <w:tc>
          <w:tcPr>
            <w:tcW w:w="2405" w:type="pct"/>
            <w:noWrap w:val="0"/>
            <w:vAlign w:val="center"/>
          </w:tcPr>
          <w:p w14:paraId="178ED59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钻孔倾角（θ）</w:t>
            </w:r>
          </w:p>
        </w:tc>
        <w:tc>
          <w:tcPr>
            <w:tcW w:w="1001" w:type="pct"/>
            <w:noWrap w:val="0"/>
            <w:vAlign w:val="center"/>
          </w:tcPr>
          <w:p w14:paraId="26F0BF8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90°</w:t>
            </w:r>
          </w:p>
        </w:tc>
        <w:tc>
          <w:tcPr>
            <w:tcW w:w="1001" w:type="pct"/>
            <w:noWrap w:val="0"/>
            <w:vAlign w:val="center"/>
          </w:tcPr>
          <w:p w14:paraId="1E47FBD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2AA2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01532C08">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7</w:t>
            </w:r>
          </w:p>
        </w:tc>
        <w:tc>
          <w:tcPr>
            <w:tcW w:w="2405" w:type="pct"/>
            <w:noWrap w:val="0"/>
            <w:vAlign w:val="center"/>
          </w:tcPr>
          <w:p w14:paraId="57A6EB3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超深（h）</w:t>
            </w:r>
          </w:p>
        </w:tc>
        <w:tc>
          <w:tcPr>
            <w:tcW w:w="1001" w:type="pct"/>
            <w:noWrap w:val="0"/>
            <w:vAlign w:val="center"/>
          </w:tcPr>
          <w:p w14:paraId="7AAA2783">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1m</w:t>
            </w:r>
          </w:p>
        </w:tc>
        <w:tc>
          <w:tcPr>
            <w:tcW w:w="1001" w:type="pct"/>
            <w:noWrap w:val="0"/>
            <w:vAlign w:val="center"/>
          </w:tcPr>
          <w:p w14:paraId="526E02C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1960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05EF76E4">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8</w:t>
            </w:r>
          </w:p>
        </w:tc>
        <w:tc>
          <w:tcPr>
            <w:tcW w:w="2405" w:type="pct"/>
            <w:noWrap w:val="0"/>
            <w:vAlign w:val="center"/>
          </w:tcPr>
          <w:p w14:paraId="06B6D7B9">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填塞（L</w:t>
            </w:r>
            <w:r>
              <w:rPr>
                <w:rFonts w:hint="default" w:ascii="Times New Roman" w:hAnsi="Times New Roman" w:cs="Times New Roman"/>
                <w:color w:val="000000"/>
                <w:sz w:val="21"/>
                <w:szCs w:val="21"/>
                <w:vertAlign w:val="subscript"/>
              </w:rPr>
              <w:t>1</w:t>
            </w:r>
            <w:r>
              <w:rPr>
                <w:rFonts w:hint="default" w:ascii="Times New Roman" w:hAnsi="Times New Roman" w:cs="Times New Roman"/>
                <w:color w:val="000000"/>
                <w:sz w:val="21"/>
                <w:szCs w:val="21"/>
              </w:rPr>
              <w:t>）</w:t>
            </w:r>
          </w:p>
        </w:tc>
        <w:tc>
          <w:tcPr>
            <w:tcW w:w="1001" w:type="pct"/>
            <w:noWrap w:val="0"/>
            <w:vAlign w:val="center"/>
          </w:tcPr>
          <w:p w14:paraId="52ED2F66">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3m</w:t>
            </w:r>
          </w:p>
        </w:tc>
        <w:tc>
          <w:tcPr>
            <w:tcW w:w="1001" w:type="pct"/>
            <w:noWrap w:val="0"/>
            <w:vAlign w:val="center"/>
          </w:tcPr>
          <w:p w14:paraId="47C2B4D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6720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19BA3CB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9</w:t>
            </w:r>
          </w:p>
        </w:tc>
        <w:tc>
          <w:tcPr>
            <w:tcW w:w="2405" w:type="pct"/>
            <w:noWrap w:val="0"/>
            <w:vAlign w:val="center"/>
          </w:tcPr>
          <w:p w14:paraId="198ED84A">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钻孔长度（L）</w:t>
            </w:r>
          </w:p>
        </w:tc>
        <w:tc>
          <w:tcPr>
            <w:tcW w:w="1001" w:type="pct"/>
            <w:noWrap w:val="0"/>
            <w:vAlign w:val="center"/>
          </w:tcPr>
          <w:p w14:paraId="283AE14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11m</w:t>
            </w:r>
          </w:p>
        </w:tc>
        <w:tc>
          <w:tcPr>
            <w:tcW w:w="1001" w:type="pct"/>
            <w:noWrap w:val="0"/>
            <w:vAlign w:val="center"/>
          </w:tcPr>
          <w:p w14:paraId="4517156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50DD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2D26817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w:t>
            </w:r>
          </w:p>
        </w:tc>
        <w:tc>
          <w:tcPr>
            <w:tcW w:w="2405" w:type="pct"/>
            <w:noWrap w:val="0"/>
            <w:vAlign w:val="center"/>
          </w:tcPr>
          <w:p w14:paraId="1597C546">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装药长度（L</w:t>
            </w:r>
            <w:r>
              <w:rPr>
                <w:rFonts w:hint="default" w:ascii="Times New Roman" w:hAnsi="Times New Roman" w:cs="Times New Roman"/>
                <w:color w:val="000000"/>
                <w:sz w:val="21"/>
                <w:szCs w:val="21"/>
                <w:vertAlign w:val="subscript"/>
              </w:rPr>
              <w:t>2</w:t>
            </w:r>
            <w:r>
              <w:rPr>
                <w:rFonts w:hint="default" w:ascii="Times New Roman" w:hAnsi="Times New Roman" w:cs="Times New Roman"/>
                <w:color w:val="000000"/>
                <w:sz w:val="21"/>
                <w:szCs w:val="21"/>
              </w:rPr>
              <w:t>）</w:t>
            </w:r>
          </w:p>
        </w:tc>
        <w:tc>
          <w:tcPr>
            <w:tcW w:w="1001" w:type="pct"/>
            <w:noWrap w:val="0"/>
            <w:vAlign w:val="center"/>
          </w:tcPr>
          <w:p w14:paraId="0D9B310C">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8m</w:t>
            </w:r>
          </w:p>
        </w:tc>
        <w:tc>
          <w:tcPr>
            <w:tcW w:w="1001" w:type="pct"/>
            <w:noWrap w:val="0"/>
            <w:vAlign w:val="center"/>
          </w:tcPr>
          <w:p w14:paraId="75CC44E7">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71FA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593" w:type="pct"/>
            <w:noWrap w:val="0"/>
            <w:vAlign w:val="center"/>
          </w:tcPr>
          <w:p w14:paraId="3766710F">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11</w:t>
            </w:r>
          </w:p>
        </w:tc>
        <w:tc>
          <w:tcPr>
            <w:tcW w:w="2405" w:type="pct"/>
            <w:noWrap w:val="0"/>
            <w:vAlign w:val="center"/>
          </w:tcPr>
          <w:p w14:paraId="43A14688">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单孔装药量（Q）</w:t>
            </w:r>
          </w:p>
        </w:tc>
        <w:tc>
          <w:tcPr>
            <w:tcW w:w="1001" w:type="pct"/>
            <w:noWrap w:val="0"/>
            <w:vAlign w:val="center"/>
          </w:tcPr>
          <w:p w14:paraId="5E6CAC75">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50.4kg</w:t>
            </w:r>
          </w:p>
        </w:tc>
        <w:tc>
          <w:tcPr>
            <w:tcW w:w="1001" w:type="pct"/>
            <w:noWrap w:val="0"/>
            <w:vAlign w:val="center"/>
          </w:tcPr>
          <w:p w14:paraId="0895D084">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tr w14:paraId="6E28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430DF75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12</w:t>
            </w:r>
          </w:p>
        </w:tc>
        <w:tc>
          <w:tcPr>
            <w:tcW w:w="2405" w:type="pct"/>
            <w:noWrap w:val="0"/>
            <w:vAlign w:val="center"/>
          </w:tcPr>
          <w:p w14:paraId="2A71775E">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最大一段装药量（Q</w:t>
            </w:r>
            <w:r>
              <w:rPr>
                <w:rFonts w:hint="default" w:ascii="Times New Roman" w:hAnsi="Times New Roman" w:cs="Times New Roman"/>
                <w:color w:val="000000"/>
                <w:sz w:val="21"/>
                <w:szCs w:val="21"/>
                <w:vertAlign w:val="subscript"/>
              </w:rPr>
              <w:t>max</w:t>
            </w:r>
            <w:r>
              <w:rPr>
                <w:rFonts w:hint="default" w:ascii="Times New Roman" w:hAnsi="Times New Roman" w:cs="Times New Roman"/>
                <w:color w:val="000000"/>
                <w:sz w:val="21"/>
                <w:szCs w:val="21"/>
              </w:rPr>
              <w:t>）</w:t>
            </w:r>
          </w:p>
        </w:tc>
        <w:tc>
          <w:tcPr>
            <w:tcW w:w="1001" w:type="pct"/>
            <w:noWrap w:val="0"/>
            <w:vAlign w:val="center"/>
          </w:tcPr>
          <w:p w14:paraId="5BA37B1B">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50.4kg</w:t>
            </w:r>
          </w:p>
        </w:tc>
        <w:tc>
          <w:tcPr>
            <w:tcW w:w="1001" w:type="pct"/>
            <w:noWrap w:val="0"/>
            <w:vAlign w:val="center"/>
          </w:tcPr>
          <w:p w14:paraId="5710CCF2">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逐孔爆破</w:t>
            </w:r>
          </w:p>
        </w:tc>
      </w:tr>
      <w:tr w14:paraId="08F9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56CBD8E8">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13</w:t>
            </w:r>
          </w:p>
        </w:tc>
        <w:tc>
          <w:tcPr>
            <w:tcW w:w="2405" w:type="pct"/>
            <w:noWrap w:val="0"/>
            <w:vAlign w:val="center"/>
          </w:tcPr>
          <w:p w14:paraId="09E58366">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炸药单耗（q）</w:t>
            </w:r>
          </w:p>
        </w:tc>
        <w:tc>
          <w:tcPr>
            <w:tcW w:w="1001" w:type="pct"/>
            <w:noWrap w:val="0"/>
            <w:vAlign w:val="center"/>
          </w:tcPr>
          <w:p w14:paraId="4BFEBA27">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0.16kg/t</w:t>
            </w:r>
          </w:p>
        </w:tc>
        <w:tc>
          <w:tcPr>
            <w:tcW w:w="1001" w:type="pct"/>
            <w:noWrap w:val="0"/>
            <w:vAlign w:val="center"/>
          </w:tcPr>
          <w:p w14:paraId="72EA9F10">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0.42kg/m</w:t>
            </w:r>
            <w:r>
              <w:rPr>
                <w:rFonts w:hint="default" w:ascii="Times New Roman" w:hAnsi="Times New Roman" w:cs="Times New Roman"/>
                <w:color w:val="000000"/>
                <w:sz w:val="21"/>
                <w:szCs w:val="21"/>
                <w:vertAlign w:val="superscript"/>
              </w:rPr>
              <w:t>3</w:t>
            </w:r>
          </w:p>
        </w:tc>
      </w:tr>
      <w:tr w14:paraId="34C9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noWrap w:val="0"/>
            <w:vAlign w:val="center"/>
          </w:tcPr>
          <w:p w14:paraId="02E76B93">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14</w:t>
            </w:r>
          </w:p>
        </w:tc>
        <w:tc>
          <w:tcPr>
            <w:tcW w:w="2405" w:type="pct"/>
            <w:noWrap w:val="0"/>
            <w:vAlign w:val="center"/>
          </w:tcPr>
          <w:p w14:paraId="05078F6D">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布孔方式</w:t>
            </w:r>
          </w:p>
        </w:tc>
        <w:tc>
          <w:tcPr>
            <w:tcW w:w="1001" w:type="pct"/>
            <w:noWrap w:val="0"/>
            <w:vAlign w:val="center"/>
          </w:tcPr>
          <w:p w14:paraId="3DBD89F4">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三角形</w:t>
            </w:r>
          </w:p>
        </w:tc>
        <w:tc>
          <w:tcPr>
            <w:tcW w:w="1001" w:type="pct"/>
            <w:noWrap w:val="0"/>
            <w:vAlign w:val="center"/>
          </w:tcPr>
          <w:p w14:paraId="5C1A4E71">
            <w:pPr>
              <w:pStyle w:val="193"/>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color w:val="000000"/>
                <w:sz w:val="21"/>
                <w:szCs w:val="21"/>
              </w:rPr>
            </w:pPr>
          </w:p>
        </w:tc>
      </w:tr>
      <w:bookmarkEnd w:id="392"/>
    </w:tbl>
    <w:p w14:paraId="52E7588C">
      <w:pPr>
        <w:pStyle w:val="157"/>
        <w:widowControl/>
        <w:autoSpaceDE/>
        <w:autoSpaceDN/>
        <w:snapToGrid w:val="0"/>
        <w:spacing w:before="193" w:beforeLines="50" w:line="360" w:lineRule="auto"/>
        <w:ind w:firstLine="562" w:firstLineChars="200"/>
        <w:jc w:val="both"/>
        <w:rPr>
          <w:rFonts w:hint="default" w:ascii="Times New Roman" w:hAnsi="Times New Roman" w:cs="Times New Roman"/>
          <w:b/>
          <w:bCs/>
          <w:color w:val="auto"/>
          <w:sz w:val="28"/>
        </w:rPr>
      </w:pPr>
      <w:r>
        <w:rPr>
          <w:rFonts w:hint="default" w:ascii="Times New Roman" w:hAnsi="Times New Roman" w:cs="Times New Roman"/>
          <w:b/>
          <w:bCs/>
          <w:color w:val="auto"/>
          <w:sz w:val="28"/>
        </w:rPr>
        <w:t>二、建设情况</w:t>
      </w:r>
    </w:p>
    <w:p w14:paraId="37E7A425">
      <w:pPr>
        <w:ind w:firstLine="560"/>
        <w:rPr>
          <w:rFonts w:hint="eastAsia" w:ascii="Times New Roman" w:hAnsi="Times New Roman" w:cs="Times New Roman"/>
          <w:lang w:val="en-US" w:eastAsia="zh-CN"/>
        </w:rPr>
      </w:pPr>
      <w:r>
        <w:rPr>
          <w:rFonts w:hint="eastAsia" w:ascii="Times New Roman" w:hAnsi="Times New Roman" w:cs="Times New Roman"/>
          <w:lang w:val="en-US" w:eastAsia="zh-CN"/>
        </w:rPr>
        <w:t>XX</w:t>
      </w:r>
      <w:r>
        <w:rPr>
          <w:rFonts w:hint="eastAsia" w:cs="Times New Roman"/>
          <w:lang w:val="en-US" w:eastAsia="zh-CN"/>
        </w:rPr>
        <w:t>。</w:t>
      </w:r>
    </w:p>
    <w:p w14:paraId="5F32EF7C">
      <w:pPr>
        <w:pStyle w:val="5"/>
        <w:ind w:firstLine="560"/>
        <w:rPr>
          <w:rFonts w:hint="default" w:ascii="Times New Roman" w:hAnsi="Times New Roman" w:cs="Times New Roman"/>
        </w:rPr>
      </w:pPr>
      <w:bookmarkStart w:id="393" w:name="_Toc16814"/>
      <w:r>
        <w:rPr>
          <w:rFonts w:hint="default" w:ascii="Times New Roman" w:hAnsi="Times New Roman" w:cs="Times New Roman"/>
        </w:rPr>
        <w:t>2.4.5.5铲装作业</w:t>
      </w:r>
      <w:bookmarkEnd w:id="393"/>
    </w:p>
    <w:p w14:paraId="231293AC">
      <w:pPr>
        <w:topLinePunct/>
        <w:ind w:firstLine="562"/>
        <w:rPr>
          <w:rFonts w:hint="default" w:ascii="Times New Roman" w:hAnsi="Times New Roman" w:cs="Times New Roman"/>
          <w:b/>
        </w:rPr>
      </w:pPr>
      <w:r>
        <w:rPr>
          <w:rFonts w:hint="default" w:ascii="Times New Roman" w:hAnsi="Times New Roman" w:cs="Times New Roman"/>
          <w:b/>
        </w:rPr>
        <w:t>一、设计情况</w:t>
      </w:r>
    </w:p>
    <w:p w14:paraId="13D632F8">
      <w:pPr>
        <w:ind w:firstLine="560"/>
        <w:rPr>
          <w:rFonts w:hint="default" w:ascii="Times New Roman" w:hAnsi="Times New Roman" w:cs="Times New Roman"/>
        </w:rPr>
      </w:pPr>
      <w:r>
        <w:rPr>
          <w:rFonts w:hint="default" w:ascii="Times New Roman" w:hAnsi="Times New Roman" w:cs="Times New Roman"/>
        </w:rPr>
        <w:t>矿山采装设备主要为挖掘机，挖掘机主要用于矿石采装环节</w:t>
      </w:r>
      <w:r>
        <w:rPr>
          <w:rFonts w:hint="default" w:ascii="Times New Roman" w:hAnsi="Times New Roman" w:cs="Times New Roman"/>
          <w:lang w:eastAsia="zh-CN"/>
        </w:rPr>
        <w:t>。</w:t>
      </w:r>
      <w:r>
        <w:rPr>
          <w:rFonts w:hint="default" w:ascii="Times New Roman" w:hAnsi="Times New Roman" w:cs="Times New Roman"/>
        </w:rPr>
        <w:t>设计采用1台2m³挖掘机进行铲装进行剥离铲装，需</w:t>
      </w:r>
      <w:r>
        <w:rPr>
          <w:rFonts w:hint="default" w:ascii="Times New Roman" w:hAnsi="Times New Roman" w:cs="Times New Roman"/>
          <w:lang w:val="en-US" w:eastAsia="zh-CN"/>
        </w:rPr>
        <w:t>2</w:t>
      </w:r>
      <w:r>
        <w:rPr>
          <w:rFonts w:hint="default" w:ascii="Times New Roman" w:hAnsi="Times New Roman" w:cs="Times New Roman"/>
        </w:rPr>
        <w:t>0t矿用自卸汽车</w:t>
      </w:r>
      <w:r>
        <w:rPr>
          <w:rFonts w:hint="default" w:ascii="Times New Roman" w:hAnsi="Times New Roman" w:cs="Times New Roman"/>
          <w:lang w:val="en-US" w:eastAsia="zh-CN"/>
        </w:rPr>
        <w:t>4</w:t>
      </w:r>
      <w:r>
        <w:rPr>
          <w:rFonts w:hint="default" w:ascii="Times New Roman" w:hAnsi="Times New Roman" w:cs="Times New Roman"/>
        </w:rPr>
        <w:t>辆进行转运及辅助工作。</w:t>
      </w:r>
    </w:p>
    <w:p w14:paraId="22B9C125">
      <w:pPr>
        <w:topLinePunct/>
        <w:ind w:firstLine="562"/>
        <w:rPr>
          <w:rFonts w:hint="default" w:ascii="Times New Roman" w:hAnsi="Times New Roman" w:cs="Times New Roman"/>
          <w:b/>
        </w:rPr>
      </w:pPr>
      <w:r>
        <w:rPr>
          <w:rFonts w:hint="default" w:ascii="Times New Roman" w:hAnsi="Times New Roman" w:cs="Times New Roman"/>
          <w:b/>
        </w:rPr>
        <w:t>二、建设情况</w:t>
      </w:r>
    </w:p>
    <w:p w14:paraId="7636BF2A">
      <w:pPr>
        <w:ind w:firstLine="560"/>
        <w:rPr>
          <w:rFonts w:hint="default" w:ascii="Times New Roman" w:hAnsi="Times New Roman" w:cs="Times New Roman"/>
        </w:rPr>
      </w:pPr>
      <w:r>
        <w:rPr>
          <w:rFonts w:hint="eastAsia" w:cs="Times New Roman"/>
          <w:bCs/>
          <w:lang w:val="en-US" w:eastAsia="zh-CN"/>
        </w:rPr>
        <w:t>XX</w:t>
      </w:r>
      <w:r>
        <w:rPr>
          <w:rFonts w:hint="default" w:ascii="Times New Roman" w:hAnsi="Times New Roman" w:cs="Times New Roman"/>
        </w:rPr>
        <w:t>。</w:t>
      </w:r>
    </w:p>
    <w:p w14:paraId="79752EE4">
      <w:pPr>
        <w:pStyle w:val="4"/>
        <w:ind w:firstLine="562"/>
        <w:rPr>
          <w:rFonts w:hint="default" w:ascii="Times New Roman" w:hAnsi="Times New Roman" w:eastAsia="宋体" w:cs="Times New Roman"/>
          <w:b/>
          <w:bCs w:val="0"/>
        </w:rPr>
      </w:pPr>
      <w:bookmarkStart w:id="394" w:name="_Toc28366"/>
      <w:bookmarkStart w:id="395" w:name="_Toc454614263"/>
      <w:bookmarkStart w:id="396" w:name="_Toc27500"/>
      <w:bookmarkStart w:id="397" w:name="_Toc20466"/>
      <w:bookmarkStart w:id="398" w:name="_Toc1123"/>
      <w:bookmarkStart w:id="399" w:name="_Toc59420514"/>
      <w:bookmarkStart w:id="400" w:name="_Toc1740"/>
      <w:bookmarkStart w:id="401" w:name="_Toc18933"/>
      <w:r>
        <w:rPr>
          <w:rFonts w:hint="default" w:ascii="Times New Roman" w:hAnsi="Times New Roman" w:eastAsia="宋体" w:cs="Times New Roman"/>
          <w:b/>
          <w:bCs w:val="0"/>
        </w:rPr>
        <w:t>2.4.6开拓运输</w:t>
      </w:r>
      <w:bookmarkEnd w:id="394"/>
      <w:bookmarkEnd w:id="395"/>
      <w:bookmarkEnd w:id="396"/>
      <w:bookmarkEnd w:id="397"/>
      <w:bookmarkEnd w:id="398"/>
      <w:bookmarkEnd w:id="399"/>
      <w:bookmarkEnd w:id="400"/>
      <w:bookmarkEnd w:id="401"/>
    </w:p>
    <w:p w14:paraId="30245DD0">
      <w:pPr>
        <w:pStyle w:val="180"/>
        <w:snapToGrid w:val="0"/>
        <w:spacing w:line="360" w:lineRule="auto"/>
        <w:ind w:firstLine="562" w:firstLineChars="200"/>
        <w:jc w:val="both"/>
        <w:rPr>
          <w:rFonts w:hint="default" w:ascii="Times New Roman" w:hAnsi="Times New Roman" w:cs="Times New Roman"/>
          <w:b/>
          <w:bCs/>
          <w:color w:val="auto"/>
          <w:sz w:val="28"/>
        </w:rPr>
      </w:pPr>
      <w:r>
        <w:rPr>
          <w:rFonts w:hint="default" w:ascii="Times New Roman" w:hAnsi="Times New Roman" w:cs="Times New Roman"/>
          <w:b/>
          <w:bCs/>
          <w:color w:val="auto"/>
          <w:sz w:val="28"/>
        </w:rPr>
        <w:t>一、设计要求</w:t>
      </w:r>
    </w:p>
    <w:p w14:paraId="16C741A8">
      <w:pPr>
        <w:ind w:firstLine="560"/>
        <w:rPr>
          <w:rFonts w:hint="default" w:ascii="Times New Roman" w:hAnsi="Times New Roman" w:cs="Times New Roman"/>
        </w:rPr>
      </w:pPr>
      <w:r>
        <w:rPr>
          <w:rFonts w:hint="default" w:ascii="Times New Roman" w:hAnsi="Times New Roman" w:cs="Times New Roman"/>
          <w:szCs w:val="28"/>
        </w:rPr>
        <w:t>1.</w:t>
      </w:r>
      <w:r>
        <w:rPr>
          <w:rFonts w:hint="default" w:ascii="Times New Roman" w:hAnsi="Times New Roman" w:cs="Times New Roman"/>
          <w:kern w:val="10"/>
        </w:rPr>
        <w:t>运输道路</w:t>
      </w:r>
    </w:p>
    <w:p w14:paraId="2E1A46A3">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根据采出矿石量分区及分布，结合矿区现状地形条件、过磅房位置等，本工程拟定道路采用单车道。设计主要规划三条主要运输道路。</w:t>
      </w:r>
    </w:p>
    <w:p w14:paraId="395EAA97">
      <w:pPr>
        <w:pStyle w:val="123"/>
        <w:snapToGrid w:val="0"/>
        <w:spacing w:line="360" w:lineRule="auto"/>
        <w:ind w:firstLine="560" w:firstLineChars="200"/>
        <w:jc w:val="both"/>
        <w:rPr>
          <w:rFonts w:hint="default" w:ascii="Times New Roman" w:hAnsi="Times New Roman" w:cs="Times New Roman"/>
          <w:color w:val="auto"/>
          <w:sz w:val="28"/>
        </w:rPr>
      </w:pPr>
      <w:bookmarkStart w:id="402" w:name="_Hlk156787936"/>
      <w:r>
        <w:rPr>
          <w:rFonts w:hint="default" w:ascii="Times New Roman" w:hAnsi="Times New Roman" w:cs="Times New Roman"/>
          <w:color w:val="auto"/>
          <w:sz w:val="28"/>
        </w:rPr>
        <w:t>1#运输道路从矿区卸矿口2174m标高到达矿权北部的2238m标高，设计前半段修整利用北侧原有道路，利用路段里程为K0+000至K0+300，降坡路段里程为K0+300至K0+700，后半段道路为新建，1#运输道路总长1421m，路面宽4m，路基宽6m，运输道路平均坡度为</w:t>
      </w:r>
      <w:r>
        <w:rPr>
          <w:rFonts w:hint="default" w:ascii="Times New Roman" w:hAnsi="Times New Roman" w:cs="Times New Roman"/>
          <w:color w:val="auto"/>
          <w:sz w:val="28"/>
          <w:lang w:val="en-US" w:eastAsia="zh-CN"/>
        </w:rPr>
        <w:t>4.5</w:t>
      </w:r>
      <w:r>
        <w:rPr>
          <w:rFonts w:hint="default" w:ascii="Times New Roman" w:hAnsi="Times New Roman" w:cs="Times New Roman"/>
          <w:color w:val="auto"/>
          <w:sz w:val="28"/>
        </w:rPr>
        <w:t>%，最大纵坡9%。1#运输道路连通至2238m后新建挖掘机便道连通至2248m标高用于顶部剥离平台作业，设计挖掘机便道宽4m，长度为80m。由1#运输道路修建支路可采至2188m平台。</w:t>
      </w:r>
      <w:bookmarkEnd w:id="402"/>
    </w:p>
    <w:p w14:paraId="21085192">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2#运输道路从矿区卸矿口2174m标高到达矿权中部的2178m标高，其中，修整并利用原有道路里程为K0+000至K0+550，2#运输道路总长726m，</w:t>
      </w:r>
      <w:bookmarkStart w:id="403" w:name="_Hlk156788730"/>
      <w:r>
        <w:rPr>
          <w:rFonts w:hint="default" w:ascii="Times New Roman" w:hAnsi="Times New Roman" w:cs="Times New Roman"/>
          <w:color w:val="auto"/>
          <w:sz w:val="28"/>
        </w:rPr>
        <w:t>路面宽4m，路基宽6m，</w:t>
      </w:r>
      <w:bookmarkEnd w:id="403"/>
      <w:r>
        <w:rPr>
          <w:rFonts w:hint="default" w:ascii="Times New Roman" w:hAnsi="Times New Roman" w:cs="Times New Roman"/>
          <w:color w:val="auto"/>
          <w:sz w:val="28"/>
        </w:rPr>
        <w:t>运输道路平均坡度为7.8%，最大纵坡9%。由2#运输道路修建支路可采至北部2138m平台。</w:t>
      </w:r>
    </w:p>
    <w:p w14:paraId="2472748E">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3#运输道路从2#运输道路中部到达矿权南部的2148m标高，3#道路为修整并利用原有道路，运输道路总长316m，路面宽4m，路基宽6m，运输道路平均坡度为</w:t>
      </w:r>
      <w:r>
        <w:rPr>
          <w:rFonts w:hint="default" w:ascii="Times New Roman" w:hAnsi="Times New Roman" w:cs="Times New Roman"/>
          <w:color w:val="auto"/>
          <w:sz w:val="28"/>
          <w:lang w:val="en-US" w:eastAsia="zh-CN"/>
        </w:rPr>
        <w:t>1.9</w:t>
      </w:r>
      <w:r>
        <w:rPr>
          <w:rFonts w:hint="default" w:ascii="Times New Roman" w:hAnsi="Times New Roman" w:cs="Times New Roman"/>
          <w:color w:val="auto"/>
          <w:sz w:val="28"/>
        </w:rPr>
        <w:t>%，最大纵坡9%。南部采区2158m以上平台由于矿量较少，设计自3#运输道路末端修建挖掘机便道连通至2188m标高自上而下进行剥离，设计挖掘机便道宽4m，长度为200m。由3#运输道路修建支路可采至中部2128m平台，并将南北区边坡平台连通。</w:t>
      </w:r>
    </w:p>
    <w:p w14:paraId="32917CD4">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矿区中部由于地形限制，当采至2128m平台后，设计采用折返式场内运输道路连通至2068m底部平台，道路沿边坡进行修建，共修建6条，平均长度为126m，路面宽4m，路基宽6m，道路纵坡为8%。</w:t>
      </w:r>
    </w:p>
    <w:p w14:paraId="7C8D240C">
      <w:pPr>
        <w:pStyle w:val="123"/>
        <w:snapToGrid w:val="0"/>
        <w:spacing w:line="360" w:lineRule="auto"/>
        <w:ind w:firstLine="560" w:firstLineChars="200"/>
        <w:jc w:val="both"/>
        <w:rPr>
          <w:rFonts w:hint="default" w:ascii="Times New Roman" w:hAnsi="Times New Roman" w:cs="Times New Roman"/>
          <w:color w:val="auto"/>
          <w:sz w:val="28"/>
        </w:rPr>
      </w:pPr>
      <w:r>
        <w:rPr>
          <w:rFonts w:hint="default" w:ascii="Times New Roman" w:hAnsi="Times New Roman" w:cs="Times New Roman"/>
          <w:color w:val="auto"/>
          <w:sz w:val="28"/>
        </w:rPr>
        <w:t>2.道路安全设施</w:t>
      </w:r>
    </w:p>
    <w:p w14:paraId="4B506D58">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①安全车挡：道路邻边坡一侧，设置土质安全车挡，车挡设置为倒梯形，高度为1.0m。主要设置在远离山体的公路一侧。</w:t>
      </w:r>
    </w:p>
    <w:p w14:paraId="1E5715E5">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②错车道：在运输道路距离较长段设置错车道，</w:t>
      </w:r>
      <w:r>
        <w:rPr>
          <w:rFonts w:hint="default" w:ascii="Times New Roman" w:hAnsi="Times New Roman" w:cs="Times New Roman"/>
        </w:rPr>
        <w:t>错车道每200m设置一个</w:t>
      </w:r>
      <w:r>
        <w:rPr>
          <w:rFonts w:hint="default" w:ascii="Times New Roman" w:hAnsi="Times New Roman" w:eastAsia="宋体" w:cs="Times New Roman"/>
          <w:szCs w:val="21"/>
        </w:rPr>
        <w:t>。</w:t>
      </w:r>
    </w:p>
    <w:p w14:paraId="65FE506E">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③矿、岩卸载点挡车设施：公路的挡车设施主要设置于矿、岩卸载点，主要设置于破碎站装卸点平台，车辆卸载处高于堆料平台，则在卸载处利用废旧钢材焊接设置车挡，或采用土堆设置车挡，设计矿岩运输设备主要为红岩金刚矿用自卸汽车，车轮直径为1100mm，按照规定车挡的高度不小于轮胎直径的1/2，车挡顶宽和底宽分别不小于轮胎直径的1/4和3/4，所以车挡高0.6m，车挡顶宽为0.3m，底宽为0.85m。。</w:t>
      </w:r>
    </w:p>
    <w:p w14:paraId="5019758D">
      <w:pPr>
        <w:pStyle w:val="129"/>
        <w:keepNext w:val="0"/>
        <w:keepLines w:val="0"/>
        <w:pageBreakBefore w:val="0"/>
        <w:widowControl w:val="0"/>
        <w:kinsoku/>
        <w:wordWrap/>
        <w:overflowPunct/>
        <w:topLinePunct w:val="0"/>
        <w:bidi w:val="0"/>
        <w:adjustRightInd w:val="0"/>
        <w:snapToGrid w:val="0"/>
        <w:spacing w:line="360" w:lineRule="auto"/>
        <w:ind w:firstLine="562" w:firstLineChars="200"/>
        <w:jc w:val="both"/>
        <w:textAlignment w:val="auto"/>
        <w:rPr>
          <w:rFonts w:hint="default" w:ascii="Times New Roman" w:hAnsi="Times New Roman" w:cs="Times New Roman"/>
          <w:b/>
          <w:bCs/>
          <w:color w:val="auto"/>
          <w:sz w:val="28"/>
        </w:rPr>
      </w:pPr>
      <w:r>
        <w:rPr>
          <w:rFonts w:hint="default" w:ascii="Times New Roman" w:hAnsi="Times New Roman" w:cs="Times New Roman"/>
          <w:b/>
          <w:bCs/>
          <w:color w:val="auto"/>
          <w:sz w:val="28"/>
        </w:rPr>
        <w:t>二、建设情况</w:t>
      </w:r>
    </w:p>
    <w:p w14:paraId="2E931A88">
      <w:pPr>
        <w:pStyle w:val="38"/>
        <w:widowControl w:val="0"/>
        <w:tabs>
          <w:tab w:val="left" w:pos="5327"/>
          <w:tab w:val="left" w:pos="6326"/>
          <w:tab w:val="left" w:pos="7230"/>
          <w:tab w:val="left" w:pos="9301"/>
        </w:tabs>
        <w:autoSpaceDE w:val="0"/>
        <w:autoSpaceDN w:val="0"/>
        <w:ind w:firstLine="560"/>
        <w:jc w:val="both"/>
        <w:rPr>
          <w:rFonts w:hint="default" w:ascii="Times New Roman" w:hAnsi="Times New Roman" w:cs="Times New Roman"/>
          <w:color w:val="auto"/>
          <w:sz w:val="28"/>
          <w:szCs w:val="28"/>
        </w:rPr>
      </w:pPr>
      <w:bookmarkStart w:id="404" w:name="_Hlk156552448"/>
      <w:r>
        <w:rPr>
          <w:rFonts w:hint="eastAsia" w:ascii="Times New Roman" w:hAnsi="Times New Roman" w:cs="Times New Roman"/>
          <w:color w:val="auto"/>
          <w:sz w:val="28"/>
          <w:lang w:val="en-US" w:eastAsia="zh-CN"/>
        </w:rPr>
        <w:t>XX</w:t>
      </w:r>
      <w:r>
        <w:rPr>
          <w:rFonts w:hint="default" w:ascii="Times New Roman" w:hAnsi="Times New Roman" w:cs="Times New Roman"/>
          <w:color w:val="auto"/>
          <w:sz w:val="28"/>
          <w:szCs w:val="28"/>
        </w:rPr>
        <w:t>。</w:t>
      </w:r>
    </w:p>
    <w:bookmarkEnd w:id="404"/>
    <w:p w14:paraId="12871DE7">
      <w:pPr>
        <w:pStyle w:val="4"/>
        <w:ind w:firstLine="562"/>
        <w:rPr>
          <w:rFonts w:hint="default" w:ascii="Times New Roman" w:hAnsi="Times New Roman" w:eastAsia="宋体" w:cs="Times New Roman"/>
          <w:b/>
          <w:bCs w:val="0"/>
        </w:rPr>
      </w:pPr>
      <w:bookmarkStart w:id="405" w:name="_Toc9736"/>
      <w:bookmarkStart w:id="406" w:name="_Toc59420515"/>
      <w:bookmarkStart w:id="407" w:name="_Toc454614264"/>
      <w:bookmarkStart w:id="408" w:name="_Toc24453"/>
      <w:bookmarkStart w:id="409" w:name="_Toc15410"/>
      <w:bookmarkStart w:id="410" w:name="_Toc9437"/>
      <w:bookmarkStart w:id="411" w:name="_Toc29765"/>
      <w:bookmarkStart w:id="412" w:name="_Toc29526"/>
      <w:r>
        <w:rPr>
          <w:rFonts w:hint="default" w:ascii="Times New Roman" w:hAnsi="Times New Roman" w:eastAsia="宋体" w:cs="Times New Roman"/>
          <w:b/>
          <w:bCs w:val="0"/>
        </w:rPr>
        <w:t>2.4.7采场防排水</w:t>
      </w:r>
      <w:bookmarkEnd w:id="405"/>
      <w:bookmarkEnd w:id="406"/>
      <w:bookmarkEnd w:id="407"/>
      <w:bookmarkEnd w:id="408"/>
      <w:bookmarkEnd w:id="409"/>
      <w:bookmarkEnd w:id="410"/>
      <w:bookmarkEnd w:id="411"/>
      <w:bookmarkEnd w:id="412"/>
    </w:p>
    <w:p w14:paraId="64BD0EF7">
      <w:pPr>
        <w:autoSpaceDE w:val="0"/>
        <w:autoSpaceDN w:val="0"/>
        <w:ind w:firstLine="562"/>
        <w:rPr>
          <w:rFonts w:hint="default" w:ascii="Times New Roman" w:hAnsi="Times New Roman" w:cs="Times New Roman"/>
          <w:b/>
          <w:bCs/>
        </w:rPr>
      </w:pPr>
      <w:r>
        <w:rPr>
          <w:rFonts w:hint="default" w:ascii="Times New Roman" w:hAnsi="Times New Roman" w:cs="Times New Roman"/>
          <w:b/>
          <w:bCs/>
        </w:rPr>
        <w:t>一、设计情况</w:t>
      </w:r>
    </w:p>
    <w:p w14:paraId="012B9CDA">
      <w:pPr>
        <w:autoSpaceDE w:val="0"/>
        <w:autoSpaceDN w:val="0"/>
        <w:ind w:firstLine="560"/>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、场外截水沟：</w:t>
      </w:r>
      <w:r>
        <w:rPr>
          <w:rFonts w:hint="default" w:ascii="Times New Roman" w:hAnsi="Times New Roman" w:cs="Times New Roman"/>
          <w:lang w:val="en-US" w:eastAsia="zh-CN"/>
        </w:rPr>
        <w:t>根据矿山地形地貌，</w:t>
      </w:r>
      <w:r>
        <w:rPr>
          <w:rFonts w:hint="default" w:ascii="Times New Roman" w:hAnsi="Times New Roman" w:cs="Times New Roman"/>
          <w:szCs w:val="28"/>
        </w:rPr>
        <w:t>采场北端顶部即为山顶，南北两端均位于山脊部位，场外汇水均能依靠原始地形向山脊外排出</w:t>
      </w:r>
      <w:r>
        <w:rPr>
          <w:rFonts w:hint="default" w:ascii="Times New Roman" w:hAnsi="Times New Roman" w:cs="Times New Roman"/>
          <w:szCs w:val="28"/>
          <w:lang w:eastAsia="zh-CN"/>
        </w:rPr>
        <w:t>，</w:t>
      </w:r>
      <w:r>
        <w:rPr>
          <w:rFonts w:hint="default" w:ascii="Times New Roman" w:hAnsi="Times New Roman" w:cs="Times New Roman"/>
        </w:rPr>
        <w:t>未设计场外截</w:t>
      </w:r>
      <w:r>
        <w:rPr>
          <w:rFonts w:hint="default" w:ascii="Times New Roman" w:hAnsi="Times New Roman" w:cs="Times New Roman"/>
          <w:lang w:val="en-US" w:eastAsia="zh-CN"/>
        </w:rPr>
        <w:t>洪</w:t>
      </w:r>
      <w:r>
        <w:rPr>
          <w:rFonts w:hint="default" w:ascii="Times New Roman" w:hAnsi="Times New Roman" w:cs="Times New Roman"/>
        </w:rPr>
        <w:t>沟。</w:t>
      </w:r>
    </w:p>
    <w:p w14:paraId="46B695BF">
      <w:pPr>
        <w:autoSpaceDE w:val="0"/>
        <w:autoSpaceDN w:val="0"/>
        <w:ind w:firstLine="560"/>
        <w:rPr>
          <w:rFonts w:hint="default" w:ascii="Times New Roman" w:hAnsi="Times New Roman" w:cs="Times New Roman"/>
        </w:rPr>
      </w:pPr>
      <w:r>
        <w:rPr>
          <w:rFonts w:hint="default" w:ascii="Times New Roman" w:hAnsi="Times New Roman" w:cs="Times New Roman"/>
          <w:lang w:val="en-US" w:eastAsia="zh-CN"/>
        </w:rPr>
        <w:t>2、场内</w:t>
      </w:r>
      <w:r>
        <w:rPr>
          <w:rFonts w:hint="default" w:ascii="Times New Roman" w:hAnsi="Times New Roman" w:cs="Times New Roman"/>
        </w:rPr>
        <w:t>排水沟：采场为山坡露天采场，山坡露天排水采用自流排水方式</w:t>
      </w:r>
      <w:r>
        <w:rPr>
          <w:rFonts w:hint="default" w:ascii="Times New Roman" w:hAnsi="Times New Roman" w:cs="Times New Roman"/>
          <w:lang w:eastAsia="zh-CN"/>
        </w:rPr>
        <w:t>。设计在2218m清扫平台、2188m清扫平台、2158m清扫平台、2128m清扫平台、2098m清扫平台及2068m底部平台设计排水沟，采用0.4×0.5m矩形断面，壁面情况普通，坡度3‰，长度2370m。</w:t>
      </w:r>
    </w:p>
    <w:p w14:paraId="2DC01354">
      <w:pPr>
        <w:widowControl/>
        <w:ind w:firstLine="56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、公路内侧排水沟：为保证公路路面不受</w:t>
      </w:r>
      <w:r>
        <w:rPr>
          <w:rFonts w:hint="default" w:ascii="Times New Roman" w:hAnsi="Times New Roman" w:cs="Times New Roman"/>
          <w:lang w:eastAsia="zh-CN"/>
        </w:rPr>
        <w:t>地表径流</w:t>
      </w:r>
      <w:r>
        <w:rPr>
          <w:rFonts w:hint="default" w:ascii="Times New Roman" w:hAnsi="Times New Roman" w:cs="Times New Roman"/>
        </w:rPr>
        <w:t>影响，应在公路内侧修筑排水沟，道路排水沟为梯形断面：上底0.6m，下底0.4m，深0.4m。</w:t>
      </w:r>
    </w:p>
    <w:p w14:paraId="1831A260">
      <w:pPr>
        <w:autoSpaceDE w:val="0"/>
        <w:autoSpaceDN w:val="0"/>
        <w:ind w:firstLine="562"/>
        <w:rPr>
          <w:rFonts w:hint="default" w:ascii="Times New Roman" w:hAnsi="Times New Roman" w:cs="Times New Roman"/>
          <w:b/>
          <w:bCs/>
          <w:color w:val="auto"/>
        </w:rPr>
      </w:pPr>
      <w:r>
        <w:rPr>
          <w:rFonts w:hint="default" w:ascii="Times New Roman" w:hAnsi="Times New Roman" w:cs="Times New Roman"/>
          <w:b/>
          <w:bCs/>
          <w:color w:val="auto"/>
        </w:rPr>
        <w:t>二、建设情况</w:t>
      </w:r>
    </w:p>
    <w:p w14:paraId="69BAB103">
      <w:pPr>
        <w:widowControl/>
        <w:ind w:firstLine="560"/>
        <w:rPr>
          <w:rFonts w:hint="default" w:ascii="Times New Roman" w:hAnsi="Times New Roman" w:cs="Times New Roman"/>
          <w:color w:val="auto"/>
        </w:rPr>
      </w:pPr>
      <w:bookmarkStart w:id="413" w:name="_Hlk156552473"/>
      <w:r>
        <w:rPr>
          <w:rFonts w:hint="eastAsia" w:cs="Times New Roman"/>
          <w:color w:val="auto"/>
          <w:lang w:val="en-US" w:eastAsia="zh-CN"/>
        </w:rPr>
        <w:t>XX</w:t>
      </w:r>
      <w:r>
        <w:rPr>
          <w:rFonts w:hint="default" w:ascii="Times New Roman" w:hAnsi="Times New Roman" w:cs="Times New Roman"/>
          <w:color w:val="auto"/>
        </w:rPr>
        <w:t>。</w:t>
      </w:r>
    </w:p>
    <w:bookmarkEnd w:id="413"/>
    <w:p w14:paraId="1A8E06C4">
      <w:pPr>
        <w:pStyle w:val="4"/>
        <w:keepNext/>
        <w:keepLines/>
        <w:pageBreakBefore w:val="0"/>
        <w:widowControl w:val="0"/>
        <w:kinsoku/>
        <w:wordWrap/>
        <w:overflowPunct/>
        <w:autoSpaceDE/>
        <w:autoSpaceDN/>
        <w:bidi w:val="0"/>
        <w:adjustRightInd w:val="0"/>
        <w:snapToGrid w:val="0"/>
        <w:ind w:firstLine="562"/>
        <w:textAlignment w:val="auto"/>
        <w:rPr>
          <w:rFonts w:hint="default" w:ascii="Times New Roman" w:hAnsi="Times New Roman" w:eastAsia="宋体" w:cs="Times New Roman"/>
          <w:b/>
          <w:bCs w:val="0"/>
        </w:rPr>
      </w:pPr>
      <w:bookmarkStart w:id="414" w:name="_Toc16188"/>
      <w:bookmarkStart w:id="415" w:name="_Toc32195"/>
      <w:bookmarkStart w:id="416" w:name="_Toc454614265"/>
      <w:bookmarkStart w:id="417" w:name="_Toc15400"/>
      <w:bookmarkStart w:id="418" w:name="_Toc22849"/>
      <w:bookmarkStart w:id="419" w:name="_Toc59420516"/>
      <w:bookmarkStart w:id="420" w:name="_Toc2926"/>
      <w:bookmarkStart w:id="421" w:name="_Toc14926"/>
      <w:r>
        <w:rPr>
          <w:rFonts w:hint="default" w:ascii="Times New Roman" w:hAnsi="Times New Roman" w:eastAsia="宋体" w:cs="Times New Roman"/>
          <w:b/>
          <w:bCs w:val="0"/>
        </w:rPr>
        <w:t>2.4.8供配电</w:t>
      </w:r>
      <w:bookmarkEnd w:id="414"/>
      <w:bookmarkEnd w:id="415"/>
      <w:bookmarkEnd w:id="416"/>
      <w:bookmarkEnd w:id="417"/>
      <w:bookmarkEnd w:id="418"/>
      <w:bookmarkEnd w:id="419"/>
      <w:bookmarkEnd w:id="420"/>
      <w:bookmarkEnd w:id="421"/>
    </w:p>
    <w:p w14:paraId="12CDC60F">
      <w:pPr>
        <w:keepNext/>
        <w:keepLines/>
        <w:pageBreakBefore w:val="0"/>
        <w:widowControl w:val="0"/>
        <w:kinsoku/>
        <w:wordWrap/>
        <w:overflowPunct/>
        <w:topLinePunct/>
        <w:autoSpaceDE/>
        <w:autoSpaceDN/>
        <w:bidi w:val="0"/>
        <w:adjustRightInd w:val="0"/>
        <w:snapToGrid w:val="0"/>
        <w:ind w:firstLine="562"/>
        <w:textAlignment w:val="auto"/>
        <w:rPr>
          <w:rFonts w:hint="default" w:ascii="Times New Roman" w:hAnsi="Times New Roman" w:cs="Times New Roman"/>
          <w:b/>
        </w:rPr>
      </w:pPr>
      <w:r>
        <w:rPr>
          <w:rFonts w:hint="default" w:ascii="Times New Roman" w:hAnsi="Times New Roman" w:cs="Times New Roman"/>
          <w:b/>
        </w:rPr>
        <w:t>一、设计情况</w:t>
      </w:r>
    </w:p>
    <w:p w14:paraId="69E0E6F9">
      <w:pPr>
        <w:ind w:firstLine="560"/>
        <w:rPr>
          <w:rFonts w:hint="default" w:ascii="Times New Roman" w:hAnsi="Times New Roman" w:eastAsia="宋体" w:cs="Times New Roman"/>
          <w:lang w:val="zh-TW" w:eastAsia="zh-CN"/>
        </w:rPr>
      </w:pPr>
      <w:r>
        <w:rPr>
          <w:rFonts w:hint="default" w:ascii="Times New Roman" w:hAnsi="Times New Roman" w:cs="Times New Roman"/>
          <w:lang w:val="zh-TW"/>
        </w:rPr>
        <w:t>矿山开采方式为露天开采，矿山用电主要是生活区、破碎站、空压机</w:t>
      </w:r>
      <w:r>
        <w:rPr>
          <w:rFonts w:hint="default" w:ascii="Times New Roman" w:hAnsi="Times New Roman" w:cs="Times New Roman"/>
          <w:lang w:val="en-US" w:eastAsia="zh-CN"/>
        </w:rPr>
        <w:t>等设施</w:t>
      </w:r>
      <w:r>
        <w:rPr>
          <w:rFonts w:hint="default" w:ascii="Times New Roman" w:hAnsi="Times New Roman" w:cs="Times New Roman"/>
          <w:lang w:val="zh-TW"/>
        </w:rPr>
        <w:t>，矿山电力、通讯设施条件已经形成</w:t>
      </w:r>
      <w:r>
        <w:rPr>
          <w:rFonts w:hint="default" w:ascii="Times New Roman" w:hAnsi="Times New Roman" w:cs="Times New Roman"/>
          <w:lang w:val="zh-TW" w:eastAsia="zh-CN"/>
        </w:rPr>
        <w:t>。</w:t>
      </w:r>
      <w:r>
        <w:rPr>
          <w:rFonts w:hint="default" w:ascii="Times New Roman" w:hAnsi="Times New Roman" w:cs="Times New Roman"/>
        </w:rPr>
        <w:t>矿山用电由南方电网引出的10kV高压线“T”接而来，矿山现已架设S11-500/10型变压器一台。矿山用电范围主要为破碎系统、照明、矿山工业场地用电，供电能力可以满足设计的矿山建设项目用电需求</w:t>
      </w:r>
      <w:r>
        <w:rPr>
          <w:rFonts w:hint="default" w:ascii="Times New Roman" w:hAnsi="Times New Roman" w:cs="Times New Roman"/>
          <w:lang w:eastAsia="zh-CN"/>
        </w:rPr>
        <w:t>。</w:t>
      </w:r>
    </w:p>
    <w:p w14:paraId="74C1042C">
      <w:pPr>
        <w:topLinePunct/>
        <w:ind w:firstLine="562"/>
        <w:rPr>
          <w:rFonts w:hint="default" w:ascii="Times New Roman" w:hAnsi="Times New Roman" w:cs="Times New Roman"/>
          <w:b/>
          <w:szCs w:val="28"/>
        </w:rPr>
      </w:pPr>
      <w:r>
        <w:rPr>
          <w:rFonts w:hint="default" w:ascii="Times New Roman" w:hAnsi="Times New Roman" w:cs="Times New Roman"/>
          <w:b/>
        </w:rPr>
        <w:t>二、建设情况</w:t>
      </w:r>
    </w:p>
    <w:p w14:paraId="31B0DDBE">
      <w:pPr>
        <w:keepNext w:val="0"/>
        <w:keepLines w:val="0"/>
        <w:pageBreakBefore w:val="0"/>
        <w:widowControl w:val="0"/>
        <w:kinsoku/>
        <w:wordWrap/>
        <w:overflowPunct/>
        <w:topLinePunct w:val="0"/>
        <w:autoSpaceDE/>
        <w:autoSpaceDN/>
        <w:bidi w:val="0"/>
        <w:adjustRightInd w:val="0"/>
        <w:snapToGrid w:val="0"/>
        <w:ind w:left="0" w:leftChars="0" w:firstLine="560"/>
        <w:textAlignment w:val="auto"/>
        <w:rPr>
          <w:rFonts w:hint="default" w:ascii="Times New Roman" w:hAnsi="Times New Roman" w:cs="Times New Roman"/>
          <w:bCs/>
        </w:rPr>
      </w:pPr>
      <w:r>
        <w:rPr>
          <w:rFonts w:hint="eastAsia" w:cs="Times New Roman"/>
          <w:lang w:val="en-US" w:eastAsia="zh-CN"/>
        </w:rPr>
        <w:t>XX</w:t>
      </w:r>
      <w:r>
        <w:rPr>
          <w:rFonts w:hint="default" w:ascii="Times New Roman" w:hAnsi="Times New Roman" w:cs="Times New Roman"/>
          <w:bCs/>
        </w:rPr>
        <w:t>。</w:t>
      </w:r>
    </w:p>
    <w:p w14:paraId="7993751E">
      <w:pPr>
        <w:keepNext/>
        <w:keepLines/>
        <w:widowControl w:val="0"/>
        <w:adjustRightInd w:val="0"/>
        <w:snapToGrid w:val="0"/>
        <w:spacing w:line="360" w:lineRule="auto"/>
        <w:ind w:firstLine="562" w:firstLineChars="200"/>
        <w:jc w:val="both"/>
        <w:outlineLvl w:val="2"/>
        <w:rPr>
          <w:rFonts w:ascii="Times New Roman" w:hAnsi="Times New Roman" w:eastAsia="黑体" w:cs="Times New Roman"/>
          <w:bCs/>
          <w:kern w:val="2"/>
          <w:sz w:val="28"/>
          <w:szCs w:val="32"/>
          <w:lang w:val="en-US" w:eastAsia="zh-CN" w:bidi="ar-SA"/>
        </w:rPr>
      </w:pPr>
      <w:r>
        <w:rPr>
          <w:rFonts w:hint="default" w:ascii="Times New Roman" w:hAnsi="Times New Roman" w:eastAsia="宋体" w:cs="Times New Roman"/>
          <w:b/>
          <w:bCs w:val="0"/>
          <w:kern w:val="2"/>
          <w:sz w:val="28"/>
          <w:szCs w:val="32"/>
          <w:lang w:val="en-US" w:eastAsia="zh-CN" w:bidi="ar-SA"/>
        </w:rPr>
        <w:t>2.4.9</w:t>
      </w:r>
      <w:r>
        <w:rPr>
          <w:rFonts w:hint="eastAsia" w:ascii="Times New Roman" w:hAnsi="Times New Roman" w:eastAsia="宋体" w:cs="Times New Roman"/>
          <w:b/>
          <w:bCs w:val="0"/>
          <w:kern w:val="2"/>
          <w:sz w:val="28"/>
          <w:szCs w:val="32"/>
          <w:lang w:val="en-US" w:eastAsia="zh-CN" w:bidi="ar-SA"/>
        </w:rPr>
        <w:t>边坡监测系统</w:t>
      </w:r>
    </w:p>
    <w:p w14:paraId="00C17A54">
      <w:pPr>
        <w:topLinePunct/>
        <w:ind w:firstLine="562"/>
        <w:rPr>
          <w:rFonts w:hint="eastAsia" w:ascii="Times New Roman" w:hAnsi="Times New Roman" w:eastAsia="宋体" w:cs="Times New Roman"/>
          <w:b/>
          <w:lang w:val="en-US" w:eastAsia="zh-CN"/>
        </w:rPr>
      </w:pPr>
      <w:r>
        <w:rPr>
          <w:rFonts w:hint="eastAsia" w:ascii="Times New Roman" w:hAnsi="Times New Roman" w:eastAsia="宋体" w:cs="Times New Roman"/>
          <w:b/>
          <w:lang w:val="en-US" w:eastAsia="zh-CN"/>
        </w:rPr>
        <w:t>一、设计情况</w:t>
      </w:r>
    </w:p>
    <w:p w14:paraId="7359A52E">
      <w:pPr>
        <w:ind w:firstLine="560"/>
        <w:rPr>
          <w:rFonts w:hint="default"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1、</w:t>
      </w:r>
      <w:r>
        <w:rPr>
          <w:rFonts w:hint="default" w:ascii="Times New Roman" w:hAnsi="Times New Roman" w:eastAsia="宋体" w:cs="Times New Roman"/>
          <w:szCs w:val="28"/>
          <w:lang w:val="en-US" w:eastAsia="zh-CN"/>
        </w:rPr>
        <w:t>监测方法</w:t>
      </w:r>
    </w:p>
    <w:p w14:paraId="65DE6011">
      <w:pPr>
        <w:ind w:firstLine="560"/>
        <w:rPr>
          <w:rFonts w:ascii="Times New Roman" w:hAnsi="Times New Roman" w:eastAsia="宋体" w:cs="Times New Roman"/>
          <w:szCs w:val="21"/>
        </w:rPr>
      </w:pPr>
      <w:r>
        <w:rPr>
          <w:rFonts w:ascii="Times New Roman" w:hAnsi="Times New Roman" w:eastAsia="宋体" w:cs="Times New Roman"/>
          <w:szCs w:val="21"/>
        </w:rPr>
        <w:t>（1）表面位移：采用GNSS。</w:t>
      </w:r>
    </w:p>
    <w:p w14:paraId="4B100E44">
      <w:pPr>
        <w:ind w:firstLine="560"/>
        <w:rPr>
          <w:rFonts w:ascii="Times New Roman" w:hAnsi="Times New Roman" w:eastAsia="宋体" w:cs="Times New Roman"/>
          <w:szCs w:val="21"/>
        </w:rPr>
      </w:pPr>
      <w:r>
        <w:rPr>
          <w:rFonts w:ascii="Times New Roman" w:hAnsi="Times New Roman" w:eastAsia="宋体" w:cs="Times New Roman"/>
          <w:szCs w:val="21"/>
        </w:rPr>
        <w:t>（2）降雨量：采用降雨量监测仪。</w:t>
      </w:r>
    </w:p>
    <w:p w14:paraId="01290E6B">
      <w:pPr>
        <w:ind w:firstLine="560"/>
        <w:rPr>
          <w:rFonts w:ascii="Times New Roman" w:hAnsi="Times New Roman" w:eastAsia="宋体" w:cs="Times New Roman"/>
          <w:szCs w:val="21"/>
        </w:rPr>
      </w:pPr>
      <w:r>
        <w:rPr>
          <w:rFonts w:ascii="Times New Roman" w:hAnsi="Times New Roman" w:eastAsia="宋体" w:cs="Times New Roman"/>
          <w:szCs w:val="21"/>
        </w:rPr>
        <w:t>（3）视频监控：由前端摄像头、视频监控平台组成。</w:t>
      </w:r>
    </w:p>
    <w:p w14:paraId="6B099DF7">
      <w:pPr>
        <w:ind w:firstLine="560"/>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2、表面位移监测系统设计</w:t>
      </w:r>
    </w:p>
    <w:p w14:paraId="49D58547">
      <w:pPr>
        <w:ind w:firstLine="560"/>
        <w:rPr>
          <w:rFonts w:ascii="Times New Roman" w:hAnsi="Times New Roman" w:eastAsia="宋体" w:cs="Times New Roman"/>
          <w:szCs w:val="21"/>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1</w:t>
      </w:r>
      <w:r>
        <w:rPr>
          <w:rFonts w:hint="eastAsia" w:ascii="Times New Roman" w:hAnsi="Times New Roman" w:eastAsia="宋体" w:cs="Times New Roman"/>
          <w:szCs w:val="21"/>
          <w:lang w:eastAsia="zh-CN"/>
        </w:rPr>
        <w:t>）</w:t>
      </w:r>
      <w:r>
        <w:rPr>
          <w:rFonts w:ascii="Times New Roman" w:hAnsi="Times New Roman" w:eastAsia="宋体" w:cs="Times New Roman"/>
          <w:szCs w:val="21"/>
        </w:rPr>
        <w:t>GNSS监测站布置</w:t>
      </w:r>
    </w:p>
    <w:p w14:paraId="140CBC3C">
      <w:pPr>
        <w:ind w:firstLine="560"/>
        <w:rPr>
          <w:rFonts w:ascii="Times New Roman" w:hAnsi="Times New Roman" w:eastAsia="宋体" w:cs="Times New Roman"/>
          <w:szCs w:val="21"/>
        </w:rPr>
      </w:pPr>
      <w:r>
        <w:rPr>
          <w:rFonts w:ascii="Times New Roman" w:hAnsi="Times New Roman" w:eastAsia="宋体" w:cs="Times New Roman"/>
          <w:szCs w:val="21"/>
        </w:rPr>
        <w:t>1）站点布设要求</w:t>
      </w:r>
    </w:p>
    <w:p w14:paraId="701898D1">
      <w:pPr>
        <w:ind w:firstLine="560"/>
        <w:rPr>
          <w:rFonts w:ascii="Times New Roman" w:hAnsi="Times New Roman" w:eastAsia="宋体" w:cs="Times New Roman"/>
          <w:szCs w:val="21"/>
        </w:rPr>
      </w:pPr>
      <w:r>
        <w:rPr>
          <w:rFonts w:hint="eastAsia" w:ascii="宋体" w:hAnsi="宋体" w:eastAsia="宋体" w:cs="宋体"/>
          <w:szCs w:val="21"/>
        </w:rPr>
        <w:t>①</w:t>
      </w:r>
      <w:r>
        <w:rPr>
          <w:rFonts w:ascii="Times New Roman" w:hAnsi="Times New Roman" w:eastAsia="宋体" w:cs="Times New Roman"/>
          <w:szCs w:val="21"/>
        </w:rPr>
        <w:t>测点应与边坡牢固结合；</w:t>
      </w:r>
    </w:p>
    <w:p w14:paraId="6DB42A63">
      <w:pPr>
        <w:ind w:firstLine="560"/>
        <w:rPr>
          <w:rFonts w:ascii="Times New Roman" w:hAnsi="Times New Roman" w:eastAsia="宋体" w:cs="Times New Roman"/>
          <w:szCs w:val="21"/>
        </w:rPr>
      </w:pPr>
      <w:r>
        <w:rPr>
          <w:rFonts w:hint="eastAsia" w:ascii="宋体" w:hAnsi="宋体" w:eastAsia="宋体" w:cs="宋体"/>
          <w:szCs w:val="21"/>
        </w:rPr>
        <w:t>②</w:t>
      </w:r>
      <w:r>
        <w:rPr>
          <w:rFonts w:ascii="Times New Roman" w:hAnsi="Times New Roman" w:eastAsia="宋体" w:cs="Times New Roman"/>
          <w:szCs w:val="21"/>
        </w:rPr>
        <w:t>表面水平位移及垂直位移监测，应共用一个测点；</w:t>
      </w:r>
    </w:p>
    <w:p w14:paraId="1AC35003">
      <w:pPr>
        <w:ind w:firstLine="560"/>
        <w:rPr>
          <w:rFonts w:ascii="Times New Roman" w:hAnsi="Times New Roman" w:eastAsia="宋体" w:cs="Times New Roman"/>
          <w:szCs w:val="21"/>
        </w:rPr>
      </w:pPr>
      <w:r>
        <w:rPr>
          <w:rFonts w:hint="eastAsia" w:ascii="宋体" w:hAnsi="宋体" w:eastAsia="宋体" w:cs="宋体"/>
          <w:szCs w:val="21"/>
        </w:rPr>
        <w:t>③</w:t>
      </w:r>
      <w:r>
        <w:rPr>
          <w:rFonts w:ascii="Times New Roman" w:hAnsi="Times New Roman" w:eastAsia="宋体" w:cs="Times New Roman"/>
          <w:szCs w:val="21"/>
        </w:rPr>
        <w:t>沿主滑动方向及滑动面范围选取典型断面布置测线，再按测线布置相应监测点；</w:t>
      </w:r>
    </w:p>
    <w:p w14:paraId="764FAA61">
      <w:pPr>
        <w:ind w:firstLine="560"/>
        <w:rPr>
          <w:rFonts w:ascii="Times New Roman" w:hAnsi="Times New Roman" w:eastAsia="宋体" w:cs="Times New Roman"/>
          <w:szCs w:val="21"/>
        </w:rPr>
      </w:pPr>
      <w:r>
        <w:rPr>
          <w:rFonts w:hint="eastAsia" w:ascii="宋体" w:hAnsi="宋体" w:eastAsia="宋体" w:cs="宋体"/>
          <w:szCs w:val="21"/>
        </w:rPr>
        <w:t>④</w:t>
      </w:r>
      <w:r>
        <w:rPr>
          <w:rFonts w:ascii="Times New Roman" w:hAnsi="Times New Roman" w:eastAsia="宋体" w:cs="Times New Roman"/>
          <w:szCs w:val="21"/>
        </w:rPr>
        <w:t>测线水平间距不大于100m，测点垂直间距不大于50m；</w:t>
      </w:r>
    </w:p>
    <w:p w14:paraId="7B7A7901">
      <w:pPr>
        <w:ind w:firstLine="560"/>
        <w:rPr>
          <w:rFonts w:ascii="Times New Roman" w:hAnsi="Times New Roman" w:eastAsia="宋体" w:cs="Times New Roman"/>
          <w:szCs w:val="21"/>
        </w:rPr>
      </w:pPr>
      <w:r>
        <w:rPr>
          <w:rFonts w:hint="eastAsia" w:ascii="宋体" w:hAnsi="宋体" w:eastAsia="宋体" w:cs="宋体"/>
          <w:szCs w:val="21"/>
        </w:rPr>
        <w:t>⑤</w:t>
      </w:r>
      <w:r>
        <w:rPr>
          <w:rFonts w:ascii="Times New Roman" w:hAnsi="Times New Roman" w:eastAsia="宋体" w:cs="Times New Roman"/>
          <w:szCs w:val="21"/>
        </w:rPr>
        <w:t>未开采至最终边坡时，应在采场边坡上设置临时监测点；</w:t>
      </w:r>
    </w:p>
    <w:p w14:paraId="513FD95F">
      <w:pPr>
        <w:ind w:firstLine="560"/>
        <w:rPr>
          <w:rFonts w:ascii="Times New Roman" w:hAnsi="Times New Roman" w:eastAsia="宋体" w:cs="Times New Roman"/>
          <w:szCs w:val="21"/>
        </w:rPr>
      </w:pPr>
      <w:r>
        <w:rPr>
          <w:rFonts w:hint="eastAsia" w:ascii="宋体" w:hAnsi="宋体" w:eastAsia="宋体" w:cs="宋体"/>
          <w:szCs w:val="21"/>
        </w:rPr>
        <w:t>⑥</w:t>
      </w:r>
      <w:r>
        <w:rPr>
          <w:rFonts w:ascii="Times New Roman" w:hAnsi="Times New Roman" w:eastAsia="宋体" w:cs="Times New Roman"/>
          <w:szCs w:val="21"/>
        </w:rPr>
        <w:t>对于土质边坡，水平位移监测相邻点位中误差不大于12mm，垂直位移监测高程中误差不大10mm。</w:t>
      </w:r>
    </w:p>
    <w:p w14:paraId="161CB6D0">
      <w:pPr>
        <w:ind w:firstLine="560"/>
        <w:rPr>
          <w:rFonts w:ascii="Times New Roman" w:hAnsi="Times New Roman" w:eastAsia="宋体" w:cs="Times New Roman"/>
          <w:szCs w:val="21"/>
        </w:rPr>
      </w:pPr>
      <w:r>
        <w:rPr>
          <w:rFonts w:ascii="Times New Roman" w:hAnsi="Times New Roman" w:eastAsia="宋体" w:cs="Times New Roman"/>
          <w:szCs w:val="21"/>
        </w:rPr>
        <w:t>2）监测站布置</w:t>
      </w:r>
    </w:p>
    <w:p w14:paraId="765B693A">
      <w:pPr>
        <w:ind w:firstLine="560"/>
        <w:rPr>
          <w:rFonts w:ascii="Times New Roman" w:hAnsi="Times New Roman" w:eastAsia="宋体" w:cs="Times New Roman"/>
          <w:szCs w:val="21"/>
        </w:rPr>
      </w:pPr>
      <w:r>
        <w:rPr>
          <w:rFonts w:ascii="Times New Roman" w:hAnsi="Times New Roman" w:eastAsia="宋体" w:cs="Times New Roman"/>
          <w:szCs w:val="21"/>
        </w:rPr>
        <w:t>各测线按照水平间距100m，垂直间距不大于50m布置位移监测站。开采终了采场边坡布置2条测线，共布置7个监测站，基准站布置3个。</w:t>
      </w:r>
    </w:p>
    <w:p w14:paraId="182B1584">
      <w:pPr>
        <w:topLinePunct/>
        <w:ind w:firstLine="562"/>
        <w:rPr>
          <w:rFonts w:hint="eastAsia" w:ascii="Times New Roman" w:hAnsi="Times New Roman" w:eastAsia="宋体" w:cs="Times New Roman"/>
          <w:b/>
          <w:lang w:val="en-US" w:eastAsia="zh-CN"/>
        </w:rPr>
      </w:pPr>
      <w:r>
        <w:rPr>
          <w:rFonts w:hint="eastAsia" w:ascii="Times New Roman" w:hAnsi="Times New Roman" w:eastAsia="宋体" w:cs="Times New Roman"/>
          <w:b/>
          <w:lang w:val="en-US" w:eastAsia="zh-CN"/>
        </w:rPr>
        <w:t>二、建设情况</w:t>
      </w:r>
    </w:p>
    <w:p w14:paraId="654E1572">
      <w:pPr>
        <w:topLinePunct/>
        <w:ind w:firstLine="562"/>
        <w:rPr>
          <w:rFonts w:hint="default" w:ascii="Times New Roman" w:hAnsi="Times New Roman" w:eastAsia="宋体" w:cs="Times New Roman"/>
          <w:b/>
          <w:lang w:val="en-US" w:eastAsia="zh-CN"/>
        </w:rPr>
      </w:pPr>
      <w:r>
        <w:rPr>
          <w:rFonts w:hint="eastAsia" w:cs="Times New Roman"/>
          <w:lang w:val="en-US" w:eastAsia="zh-CN"/>
        </w:rPr>
        <w:t>XX</w:t>
      </w:r>
      <w:r>
        <w:rPr>
          <w:rFonts w:hint="eastAsia" w:ascii="Times New Roman" w:hAnsi="Times New Roman" w:eastAsia="宋体" w:cs="Times New Roman"/>
          <w:lang w:val="en-US" w:eastAsia="zh-CN"/>
        </w:rPr>
        <w:t>。</w:t>
      </w:r>
    </w:p>
    <w:p w14:paraId="6F6B5813">
      <w:pPr>
        <w:pStyle w:val="4"/>
        <w:ind w:firstLine="562"/>
        <w:rPr>
          <w:rFonts w:hint="default" w:ascii="Times New Roman" w:hAnsi="Times New Roman" w:eastAsia="宋体" w:cs="Times New Roman"/>
          <w:b/>
          <w:bCs w:val="0"/>
        </w:rPr>
      </w:pPr>
      <w:bookmarkStart w:id="422" w:name="_Toc3192"/>
      <w:bookmarkStart w:id="423" w:name="_Toc59420517"/>
      <w:bookmarkStart w:id="424" w:name="_Toc7997"/>
      <w:bookmarkStart w:id="425" w:name="_Toc454614266"/>
      <w:bookmarkStart w:id="426" w:name="_Toc4384"/>
      <w:bookmarkStart w:id="427" w:name="_Toc10067"/>
      <w:bookmarkStart w:id="428" w:name="_Toc2613"/>
      <w:bookmarkStart w:id="429" w:name="_Toc7406"/>
      <w:r>
        <w:rPr>
          <w:rFonts w:hint="default" w:ascii="Times New Roman" w:hAnsi="Times New Roman" w:eastAsia="宋体" w:cs="Times New Roman"/>
          <w:b/>
          <w:bCs w:val="0"/>
        </w:rPr>
        <w:t>2.4.</w:t>
      </w:r>
      <w:r>
        <w:rPr>
          <w:rFonts w:hint="eastAsia" w:eastAsia="宋体" w:cs="Times New Roman"/>
          <w:b/>
          <w:bCs w:val="0"/>
          <w:lang w:val="en-US" w:eastAsia="zh-CN"/>
        </w:rPr>
        <w:t>10</w:t>
      </w:r>
      <w:r>
        <w:rPr>
          <w:rFonts w:hint="default" w:ascii="Times New Roman" w:hAnsi="Times New Roman" w:eastAsia="宋体" w:cs="Times New Roman"/>
          <w:b/>
          <w:bCs w:val="0"/>
        </w:rPr>
        <w:t>通信系统</w:t>
      </w:r>
      <w:bookmarkEnd w:id="422"/>
      <w:bookmarkEnd w:id="423"/>
      <w:bookmarkEnd w:id="424"/>
      <w:bookmarkEnd w:id="425"/>
      <w:bookmarkEnd w:id="426"/>
      <w:bookmarkEnd w:id="427"/>
      <w:bookmarkEnd w:id="428"/>
      <w:bookmarkEnd w:id="429"/>
    </w:p>
    <w:p w14:paraId="332BCEB4">
      <w:pPr>
        <w:topLinePunct/>
        <w:ind w:firstLine="562"/>
        <w:rPr>
          <w:rFonts w:hint="default" w:ascii="Times New Roman" w:hAnsi="Times New Roman" w:cs="Times New Roman"/>
          <w:b/>
        </w:rPr>
      </w:pPr>
      <w:r>
        <w:rPr>
          <w:rFonts w:hint="default" w:ascii="Times New Roman" w:hAnsi="Times New Roman" w:cs="Times New Roman"/>
          <w:b/>
        </w:rPr>
        <w:t>一、设计情况</w:t>
      </w:r>
    </w:p>
    <w:p w14:paraId="75220708">
      <w:pPr>
        <w:ind w:firstLine="560"/>
        <w:rPr>
          <w:rFonts w:hint="default" w:ascii="Times New Roman" w:hAnsi="Times New Roman" w:cs="Times New Roman"/>
          <w:kern w:val="0"/>
        </w:rPr>
      </w:pPr>
      <w:r>
        <w:rPr>
          <w:rFonts w:hint="default" w:ascii="Times New Roman" w:hAnsi="Times New Roman" w:cs="Times New Roman"/>
          <w:kern w:val="0"/>
        </w:rPr>
        <w:t>矿区为中国移动、联通和电信网络覆盖区，对外通讯融入本地的通讯系统。采区通讯采用对讲机及公共无线通讯系统。</w:t>
      </w:r>
    </w:p>
    <w:p w14:paraId="198CC0A6">
      <w:pPr>
        <w:topLinePunct/>
        <w:ind w:firstLine="562"/>
        <w:rPr>
          <w:rFonts w:hint="default" w:ascii="Times New Roman" w:hAnsi="Times New Roman" w:cs="Times New Roman"/>
          <w:b/>
          <w:kern w:val="0"/>
        </w:rPr>
      </w:pPr>
      <w:r>
        <w:rPr>
          <w:rFonts w:hint="default" w:ascii="Times New Roman" w:hAnsi="Times New Roman" w:cs="Times New Roman"/>
          <w:b/>
        </w:rPr>
        <w:t>二、建设情况</w:t>
      </w:r>
    </w:p>
    <w:p w14:paraId="1E5E3372">
      <w:pPr>
        <w:ind w:firstLine="560"/>
        <w:rPr>
          <w:rFonts w:hint="default" w:ascii="Times New Roman" w:hAnsi="Times New Roman" w:cs="Times New Roman"/>
        </w:rPr>
      </w:pPr>
      <w:r>
        <w:rPr>
          <w:rFonts w:hint="eastAsia" w:cs="Times New Roman"/>
          <w:lang w:val="en-US" w:eastAsia="zh-CN"/>
        </w:rPr>
        <w:t>XX</w:t>
      </w:r>
      <w:r>
        <w:rPr>
          <w:rFonts w:hint="default" w:ascii="Times New Roman" w:hAnsi="Times New Roman" w:cs="Times New Roman"/>
          <w:kern w:val="0"/>
        </w:rPr>
        <w:t>。</w:t>
      </w:r>
    </w:p>
    <w:p w14:paraId="3B978627">
      <w:pPr>
        <w:pStyle w:val="4"/>
        <w:ind w:firstLine="562"/>
        <w:rPr>
          <w:rFonts w:hint="default" w:ascii="Times New Roman" w:hAnsi="Times New Roman" w:eastAsia="宋体" w:cs="Times New Roman"/>
          <w:b/>
          <w:bCs w:val="0"/>
        </w:rPr>
      </w:pPr>
      <w:bookmarkStart w:id="430" w:name="_Toc59420518"/>
      <w:bookmarkStart w:id="431" w:name="_Toc24267"/>
      <w:bookmarkStart w:id="432" w:name="_Toc15925"/>
      <w:bookmarkStart w:id="433" w:name="_Toc25628"/>
      <w:bookmarkStart w:id="434" w:name="_Toc454614267"/>
      <w:bookmarkStart w:id="435" w:name="_Toc11208"/>
      <w:bookmarkStart w:id="436" w:name="_Toc10669"/>
      <w:bookmarkStart w:id="437" w:name="_Toc20644"/>
      <w:r>
        <w:rPr>
          <w:rFonts w:hint="default" w:ascii="Times New Roman" w:hAnsi="Times New Roman" w:eastAsia="宋体" w:cs="Times New Roman"/>
          <w:b/>
          <w:bCs w:val="0"/>
        </w:rPr>
        <w:t>2.4.1</w:t>
      </w:r>
      <w:r>
        <w:rPr>
          <w:rFonts w:hint="eastAsia" w:eastAsia="宋体" w:cs="Times New Roman"/>
          <w:b/>
          <w:bCs w:val="0"/>
          <w:lang w:val="en-US" w:eastAsia="zh-CN"/>
        </w:rPr>
        <w:t>1</w:t>
      </w:r>
      <w:r>
        <w:rPr>
          <w:rFonts w:hint="default" w:ascii="Times New Roman" w:hAnsi="Times New Roman" w:eastAsia="宋体" w:cs="Times New Roman"/>
          <w:b/>
          <w:bCs w:val="0"/>
        </w:rPr>
        <w:t>个人安全防护</w:t>
      </w:r>
      <w:bookmarkEnd w:id="430"/>
      <w:bookmarkEnd w:id="431"/>
      <w:bookmarkEnd w:id="432"/>
      <w:bookmarkEnd w:id="433"/>
      <w:bookmarkEnd w:id="434"/>
      <w:bookmarkEnd w:id="435"/>
      <w:bookmarkEnd w:id="436"/>
      <w:bookmarkEnd w:id="437"/>
    </w:p>
    <w:p w14:paraId="31B1CE50">
      <w:pPr>
        <w:topLinePunct/>
        <w:ind w:firstLine="562"/>
        <w:rPr>
          <w:rFonts w:hint="default" w:ascii="Times New Roman" w:hAnsi="Times New Roman" w:cs="Times New Roman"/>
          <w:b/>
          <w:kern w:val="0"/>
        </w:rPr>
      </w:pPr>
      <w:r>
        <w:rPr>
          <w:rFonts w:hint="default" w:ascii="Times New Roman" w:hAnsi="Times New Roman" w:cs="Times New Roman"/>
          <w:b/>
        </w:rPr>
        <w:t>一、设计情况</w:t>
      </w:r>
    </w:p>
    <w:p w14:paraId="75EADE52">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（1）在产生粉尘的场所，操作工人配发防尘口罩、护目镜等；</w:t>
      </w:r>
    </w:p>
    <w:p w14:paraId="089B1355">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（2）电气设备的岗位操作工人配发绝缘鞋、绝缘手套等；</w:t>
      </w:r>
    </w:p>
    <w:p w14:paraId="432F0CD4">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（3）配发隔声耳罩、耳塞、防声棉等，以消除噪声危害；</w:t>
      </w:r>
    </w:p>
    <w:p w14:paraId="27AA1D7B">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（4）焊接作业人员配发防护眼镜、面罩、口罩、手套、白色防护服、绝缘鞋；</w:t>
      </w:r>
    </w:p>
    <w:p w14:paraId="1C5BFC0D">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（5）接触噪声作业要配备耳罩或耳塞；</w:t>
      </w:r>
    </w:p>
    <w:p w14:paraId="30C8D735">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（6）夏季露天作业人员配备遮阳帽等。</w:t>
      </w:r>
    </w:p>
    <w:p w14:paraId="2A499CF3">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（7）各工段配齐安全检修用的低压照明用具，配足登高作业用的安全带、安全绳等，电工作业所还配备绝缘垫、绝缘棒、短接放电器具等。</w:t>
      </w:r>
    </w:p>
    <w:p w14:paraId="3F980A74">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（8）在操作人员区域内设置应急救援箱，箱内放置事故应急救援设备及医疗救护药品。</w:t>
      </w:r>
    </w:p>
    <w:p w14:paraId="0B3A09BD">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（9）进入作业场所的人员必须正确佩戴安全帽、穿好工作服、防护靴。</w:t>
      </w:r>
    </w:p>
    <w:p w14:paraId="61FA7631">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（10）安全帽必须规范GB2811的要求，并适用于矿山企业，头部可能会受到伤害的作业人员必须戴安全帽。以免作业人员的头部受到冲击和小块飞溅物或落渣的打击。</w:t>
      </w:r>
    </w:p>
    <w:p w14:paraId="78F267A3">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（11）海绵耳塞：适用于听觉可能会受到伤害的作业人员佩戴。</w:t>
      </w:r>
    </w:p>
    <w:p w14:paraId="5A486E1B">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（12）车辆在行驶过程中，司机必须</w:t>
      </w:r>
      <w:r>
        <w:rPr>
          <w:rFonts w:hint="default" w:ascii="Times New Roman" w:hAnsi="Times New Roman" w:eastAsia="宋体" w:cs="Times New Roman"/>
          <w:szCs w:val="21"/>
          <w:lang w:eastAsia="zh-CN"/>
        </w:rPr>
        <w:t>佩戴</w:t>
      </w:r>
      <w:r>
        <w:rPr>
          <w:rFonts w:hint="default" w:ascii="Times New Roman" w:hAnsi="Times New Roman" w:eastAsia="宋体" w:cs="Times New Roman"/>
          <w:szCs w:val="21"/>
        </w:rPr>
        <w:t>座椅式安全带。</w:t>
      </w:r>
    </w:p>
    <w:p w14:paraId="7C36B4CF">
      <w:pPr>
        <w:ind w:firstLine="560"/>
        <w:rPr>
          <w:rFonts w:hint="default" w:ascii="Times New Roman" w:hAnsi="Times New Roman" w:eastAsia="宋体" w:cs="Times New Roman"/>
          <w:szCs w:val="21"/>
        </w:rPr>
      </w:pPr>
      <w:r>
        <w:rPr>
          <w:rFonts w:hint="default" w:ascii="Times New Roman" w:hAnsi="Times New Roman" w:eastAsia="宋体" w:cs="Times New Roman"/>
          <w:szCs w:val="21"/>
        </w:rPr>
        <w:t>所使用的个人防护用品应是由有生产个人防护用品资质的厂家生产的符合国家或行业标准的产品。</w:t>
      </w:r>
    </w:p>
    <w:p w14:paraId="09CEDE55">
      <w:pPr>
        <w:ind w:firstLine="560"/>
        <w:rPr>
          <w:rFonts w:hint="default" w:ascii="Times New Roman" w:hAnsi="Times New Roman" w:cs="Times New Roman"/>
        </w:rPr>
      </w:pPr>
      <w:r>
        <w:rPr>
          <w:rFonts w:hint="default" w:ascii="Times New Roman" w:hAnsi="Times New Roman" w:eastAsia="宋体" w:cs="Times New Roman"/>
          <w:szCs w:val="21"/>
        </w:rPr>
        <w:t>建立个人防护用品管理制度，在发放个人防护用品时应做相应的记录，包括发放时间，工种，个人职业病防护用品名称、数量，领用人或代领人签字等内容。制定个人防护用品配备计划，明确经费来源、防护用品的技术指标、更换周期等</w:t>
      </w:r>
      <w:r>
        <w:rPr>
          <w:rFonts w:hint="default" w:ascii="Times New Roman" w:hAnsi="Times New Roman" w:cs="Times New Roman"/>
        </w:rPr>
        <w:t>。</w:t>
      </w:r>
    </w:p>
    <w:p w14:paraId="14C2822F">
      <w:pPr>
        <w:pStyle w:val="4"/>
        <w:ind w:firstLine="562"/>
        <w:rPr>
          <w:rFonts w:hint="default" w:ascii="Times New Roman" w:hAnsi="Times New Roman" w:eastAsia="宋体" w:cs="Times New Roman"/>
          <w:b/>
          <w:bCs w:val="0"/>
        </w:rPr>
      </w:pPr>
      <w:bookmarkStart w:id="438" w:name="_Toc12577"/>
      <w:bookmarkStart w:id="439" w:name="_Toc27142"/>
      <w:bookmarkStart w:id="440" w:name="_Toc6159"/>
      <w:bookmarkStart w:id="441" w:name="_Toc59420519"/>
      <w:bookmarkStart w:id="442" w:name="_Toc28589"/>
      <w:bookmarkStart w:id="443" w:name="_Toc6706"/>
      <w:bookmarkStart w:id="444" w:name="_Toc454614268"/>
      <w:bookmarkStart w:id="445" w:name="_Toc19237"/>
      <w:r>
        <w:rPr>
          <w:rFonts w:hint="default" w:ascii="Times New Roman" w:hAnsi="Times New Roman" w:eastAsia="宋体" w:cs="Times New Roman"/>
          <w:b/>
          <w:bCs w:val="0"/>
        </w:rPr>
        <w:t>2.4.1</w:t>
      </w:r>
      <w:r>
        <w:rPr>
          <w:rFonts w:hint="eastAsia" w:eastAsia="宋体" w:cs="Times New Roman"/>
          <w:b/>
          <w:bCs w:val="0"/>
          <w:lang w:val="en-US" w:eastAsia="zh-CN"/>
        </w:rPr>
        <w:t>2</w:t>
      </w:r>
      <w:r>
        <w:rPr>
          <w:rFonts w:hint="default" w:ascii="Times New Roman" w:hAnsi="Times New Roman" w:eastAsia="宋体" w:cs="Times New Roman"/>
          <w:b/>
          <w:bCs w:val="0"/>
        </w:rPr>
        <w:t>安全标志</w:t>
      </w:r>
      <w:bookmarkEnd w:id="438"/>
      <w:bookmarkEnd w:id="439"/>
      <w:bookmarkEnd w:id="440"/>
      <w:bookmarkEnd w:id="441"/>
      <w:bookmarkEnd w:id="442"/>
      <w:bookmarkEnd w:id="443"/>
      <w:bookmarkEnd w:id="444"/>
      <w:bookmarkEnd w:id="445"/>
    </w:p>
    <w:p w14:paraId="1512F95E">
      <w:pPr>
        <w:topLinePunct/>
        <w:ind w:firstLine="562"/>
        <w:rPr>
          <w:rFonts w:hint="default" w:ascii="Times New Roman" w:hAnsi="Times New Roman" w:cs="Times New Roman"/>
          <w:b/>
        </w:rPr>
      </w:pPr>
      <w:r>
        <w:rPr>
          <w:rFonts w:hint="default" w:ascii="Times New Roman" w:hAnsi="Times New Roman" w:cs="Times New Roman"/>
          <w:b/>
        </w:rPr>
        <w:t>一、设计情况</w:t>
      </w:r>
    </w:p>
    <w:p w14:paraId="2CA954EE">
      <w:pPr>
        <w:ind w:firstLine="560"/>
        <w:rPr>
          <w:rFonts w:hint="default" w:ascii="Times New Roman" w:hAnsi="Times New Roman" w:cs="Times New Roman"/>
          <w:bCs/>
        </w:rPr>
      </w:pPr>
      <w:r>
        <w:rPr>
          <w:rFonts w:hint="default" w:ascii="Times New Roman" w:hAnsi="Times New Roman" w:cs="Times New Roman"/>
          <w:bCs/>
        </w:rPr>
        <w:t>安全采场的要害岗位、重要设备和设施及危险区域，应根据其可能出现的事故模式，设置相应的、符合《矿山安全标志》（</w:t>
      </w:r>
      <w:r>
        <w:rPr>
          <w:rFonts w:hint="default" w:ascii="Times New Roman" w:hAnsi="Times New Roman" w:cs="Times New Roman"/>
          <w:bCs/>
          <w:lang w:eastAsia="zh-CN"/>
        </w:rPr>
        <w:t>GB/T 14161-2008</w:t>
      </w:r>
      <w:r>
        <w:rPr>
          <w:rFonts w:hint="default" w:ascii="Times New Roman" w:hAnsi="Times New Roman" w:cs="Times New Roman"/>
          <w:bCs/>
        </w:rPr>
        <w:t>）要求的安全警示标志。未经主管部门许可，不应任意拆除或移动安全警示标志。设备的裸露转动部分，应设防护罩或栅栏。</w:t>
      </w:r>
    </w:p>
    <w:p w14:paraId="2AA8D3C7">
      <w:pPr>
        <w:spacing w:line="240" w:lineRule="auto"/>
        <w:ind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表2.4-</w:t>
      </w:r>
      <w:r>
        <w:rPr>
          <w:rFonts w:hint="eastAsia" w:ascii="Times New Roman" w:hAnsi="Times New Roman" w:cs="Times New Roman"/>
          <w:kern w:val="0"/>
          <w:sz w:val="24"/>
          <w:szCs w:val="24"/>
          <w:lang w:val="en-US" w:eastAsia="zh-CN"/>
        </w:rPr>
        <w:t>7</w:t>
      </w:r>
      <w:r>
        <w:rPr>
          <w:rFonts w:hint="default" w:ascii="Times New Roman" w:hAnsi="Times New Roman" w:cs="Times New Roman"/>
          <w:kern w:val="0"/>
          <w:sz w:val="24"/>
          <w:szCs w:val="24"/>
        </w:rPr>
        <w:t xml:space="preserve">  安全标志牌设置</w:t>
      </w:r>
    </w:p>
    <w:tbl>
      <w:tblPr>
        <w:tblStyle w:val="44"/>
        <w:tblW w:w="500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25"/>
        <w:gridCol w:w="1894"/>
        <w:gridCol w:w="5982"/>
      </w:tblGrid>
      <w:tr w14:paraId="4443C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tblHeader/>
          <w:jc w:val="center"/>
        </w:trPr>
        <w:tc>
          <w:tcPr>
            <w:tcW w:w="720" w:type="pct"/>
            <w:noWrap w:val="0"/>
            <w:vAlign w:val="center"/>
          </w:tcPr>
          <w:p w14:paraId="53DCFC38">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序号</w:t>
            </w:r>
          </w:p>
        </w:tc>
        <w:tc>
          <w:tcPr>
            <w:tcW w:w="1029" w:type="pct"/>
            <w:noWrap w:val="0"/>
            <w:vAlign w:val="center"/>
          </w:tcPr>
          <w:p w14:paraId="34ABFBEB">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设置位置</w:t>
            </w:r>
          </w:p>
        </w:tc>
        <w:tc>
          <w:tcPr>
            <w:tcW w:w="3250" w:type="pct"/>
            <w:noWrap w:val="0"/>
            <w:vAlign w:val="center"/>
          </w:tcPr>
          <w:p w14:paraId="6726B671">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安全警示牌名称</w:t>
            </w:r>
          </w:p>
        </w:tc>
      </w:tr>
      <w:tr w14:paraId="54C0F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200E31B5">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1029" w:type="pct"/>
            <w:noWrap w:val="0"/>
            <w:vAlign w:val="center"/>
          </w:tcPr>
          <w:p w14:paraId="3F00719F">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采场边界、采空区边界</w:t>
            </w:r>
          </w:p>
        </w:tc>
        <w:tc>
          <w:tcPr>
            <w:tcW w:w="3250" w:type="pct"/>
            <w:noWrap w:val="0"/>
            <w:vAlign w:val="center"/>
          </w:tcPr>
          <w:p w14:paraId="02B39D31">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非工作人员，禁止进入采场，危险、请勿靠近，当心坍塌、当心坠落等</w:t>
            </w:r>
          </w:p>
        </w:tc>
      </w:tr>
      <w:tr w14:paraId="7BF95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1775C475">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2</w:t>
            </w:r>
          </w:p>
        </w:tc>
        <w:tc>
          <w:tcPr>
            <w:tcW w:w="1029" w:type="pct"/>
            <w:noWrap w:val="0"/>
            <w:vAlign w:val="center"/>
          </w:tcPr>
          <w:p w14:paraId="368D9B40">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采场底部</w:t>
            </w:r>
          </w:p>
        </w:tc>
        <w:tc>
          <w:tcPr>
            <w:tcW w:w="3250" w:type="pct"/>
            <w:noWrap w:val="0"/>
            <w:vAlign w:val="center"/>
          </w:tcPr>
          <w:p w14:paraId="3ABFFDDC">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当心落石、当心坍塌、当心滑坡等</w:t>
            </w:r>
          </w:p>
        </w:tc>
      </w:tr>
      <w:tr w14:paraId="113C2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71ABC62F">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3</w:t>
            </w:r>
          </w:p>
        </w:tc>
        <w:tc>
          <w:tcPr>
            <w:tcW w:w="1029" w:type="pct"/>
            <w:noWrap w:val="0"/>
            <w:vAlign w:val="center"/>
          </w:tcPr>
          <w:p w14:paraId="335A94D1">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爆破警戒范围</w:t>
            </w:r>
          </w:p>
        </w:tc>
        <w:tc>
          <w:tcPr>
            <w:tcW w:w="3250" w:type="pct"/>
            <w:noWrap w:val="0"/>
            <w:vAlign w:val="center"/>
          </w:tcPr>
          <w:p w14:paraId="241A1D70">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爆破警戒区域，严禁进入</w:t>
            </w:r>
          </w:p>
        </w:tc>
      </w:tr>
      <w:tr w14:paraId="7C1E3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461CC3BC">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1029" w:type="pct"/>
            <w:noWrap w:val="0"/>
            <w:vAlign w:val="center"/>
          </w:tcPr>
          <w:p w14:paraId="7C639D0B">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运输道路</w:t>
            </w:r>
          </w:p>
        </w:tc>
        <w:tc>
          <w:tcPr>
            <w:tcW w:w="3250" w:type="pct"/>
            <w:noWrap w:val="0"/>
            <w:vAlign w:val="center"/>
          </w:tcPr>
          <w:p w14:paraId="59552739">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减速慢行、严禁超载、严禁超速、限速标识，当心塌方等</w:t>
            </w:r>
          </w:p>
        </w:tc>
      </w:tr>
      <w:tr w14:paraId="3F623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10138C5D">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5</w:t>
            </w:r>
          </w:p>
        </w:tc>
        <w:tc>
          <w:tcPr>
            <w:tcW w:w="1029" w:type="pct"/>
            <w:noWrap w:val="0"/>
            <w:vAlign w:val="center"/>
          </w:tcPr>
          <w:p w14:paraId="0B6411CF">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采场边坡</w:t>
            </w:r>
          </w:p>
        </w:tc>
        <w:tc>
          <w:tcPr>
            <w:tcW w:w="3250" w:type="pct"/>
            <w:noWrap w:val="0"/>
            <w:vAlign w:val="center"/>
          </w:tcPr>
          <w:p w14:paraId="0E164381">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当心滚石、当心滑坡、当心坍塌、当心高处坠落、严禁靠近、注意安全</w:t>
            </w:r>
          </w:p>
        </w:tc>
      </w:tr>
      <w:tr w14:paraId="0659B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420589E1">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6</w:t>
            </w:r>
          </w:p>
        </w:tc>
        <w:tc>
          <w:tcPr>
            <w:tcW w:w="1029" w:type="pct"/>
            <w:noWrap w:val="0"/>
            <w:vAlign w:val="center"/>
          </w:tcPr>
          <w:p w14:paraId="6D41F556">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破碎站</w:t>
            </w:r>
          </w:p>
        </w:tc>
        <w:tc>
          <w:tcPr>
            <w:tcW w:w="3250" w:type="pct"/>
            <w:noWrap w:val="0"/>
            <w:vAlign w:val="center"/>
          </w:tcPr>
          <w:p w14:paraId="32F6498E">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当心触电、当心坠落、严禁靠近、当心机械伤害、必须佩戴劳动防护用品</w:t>
            </w:r>
          </w:p>
        </w:tc>
      </w:tr>
      <w:tr w14:paraId="1367C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13F79C38">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7</w:t>
            </w:r>
          </w:p>
        </w:tc>
        <w:tc>
          <w:tcPr>
            <w:tcW w:w="1029" w:type="pct"/>
            <w:noWrap w:val="0"/>
            <w:vAlign w:val="center"/>
          </w:tcPr>
          <w:p w14:paraId="64BE9E5D">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变压器、变电室</w:t>
            </w:r>
          </w:p>
        </w:tc>
        <w:tc>
          <w:tcPr>
            <w:tcW w:w="3250" w:type="pct"/>
            <w:noWrap w:val="0"/>
            <w:vAlign w:val="center"/>
          </w:tcPr>
          <w:p w14:paraId="25717B02">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高压危险、小心触电、必须佩戴劳动防护用品、注意安全、正在检修，严禁合闸</w:t>
            </w:r>
          </w:p>
        </w:tc>
      </w:tr>
      <w:tr w14:paraId="4F473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1E843F75">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8</w:t>
            </w:r>
          </w:p>
        </w:tc>
        <w:tc>
          <w:tcPr>
            <w:tcW w:w="1029" w:type="pct"/>
            <w:noWrap w:val="0"/>
            <w:vAlign w:val="center"/>
          </w:tcPr>
          <w:p w14:paraId="797B58B8">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道路交叉路口、急弯处</w:t>
            </w:r>
          </w:p>
        </w:tc>
        <w:tc>
          <w:tcPr>
            <w:tcW w:w="3250" w:type="pct"/>
            <w:noWrap w:val="0"/>
            <w:vAlign w:val="center"/>
          </w:tcPr>
          <w:p w14:paraId="174C92F2">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减速慢行</w:t>
            </w:r>
          </w:p>
        </w:tc>
      </w:tr>
      <w:tr w14:paraId="0FCD6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20" w:type="pct"/>
            <w:noWrap w:val="0"/>
            <w:vAlign w:val="center"/>
          </w:tcPr>
          <w:p w14:paraId="2B25475E">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9</w:t>
            </w:r>
          </w:p>
        </w:tc>
        <w:tc>
          <w:tcPr>
            <w:tcW w:w="1029" w:type="pct"/>
            <w:noWrap w:val="0"/>
            <w:vAlign w:val="center"/>
          </w:tcPr>
          <w:p w14:paraId="1EA017A7">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厂区道路入口处</w:t>
            </w:r>
          </w:p>
        </w:tc>
        <w:tc>
          <w:tcPr>
            <w:tcW w:w="3250" w:type="pct"/>
            <w:noWrap w:val="0"/>
            <w:vAlign w:val="center"/>
          </w:tcPr>
          <w:p w14:paraId="06909125">
            <w:pPr>
              <w:pStyle w:val="18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sz w:val="21"/>
                <w:szCs w:val="21"/>
              </w:rPr>
              <w:t>内有车辆出入减速慢行</w:t>
            </w:r>
          </w:p>
        </w:tc>
      </w:tr>
      <w:tr w14:paraId="2614C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25" w:type="dxa"/>
            <w:noWrap w:val="0"/>
            <w:vAlign w:val="center"/>
          </w:tcPr>
          <w:p w14:paraId="16621516">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kern w:val="0"/>
                <w:sz w:val="21"/>
                <w:szCs w:val="21"/>
              </w:rPr>
              <w:t>合计</w:t>
            </w:r>
          </w:p>
        </w:tc>
        <w:tc>
          <w:tcPr>
            <w:tcW w:w="7876" w:type="dxa"/>
            <w:gridSpan w:val="2"/>
            <w:noWrap w:val="0"/>
            <w:vAlign w:val="center"/>
          </w:tcPr>
          <w:p w14:paraId="1F35A809">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kern w:val="0"/>
                <w:sz w:val="21"/>
                <w:szCs w:val="21"/>
              </w:rPr>
              <w:t>注：以上警示标志、标牌大约需要0.4万元</w:t>
            </w:r>
          </w:p>
        </w:tc>
      </w:tr>
    </w:tbl>
    <w:p w14:paraId="4B79163C">
      <w:pPr>
        <w:topLinePunct/>
        <w:ind w:firstLine="562"/>
        <w:rPr>
          <w:rFonts w:hint="default" w:ascii="Times New Roman" w:hAnsi="Times New Roman" w:cs="Times New Roman"/>
          <w:b/>
        </w:rPr>
      </w:pPr>
      <w:r>
        <w:rPr>
          <w:rFonts w:hint="default" w:ascii="Times New Roman" w:hAnsi="Times New Roman" w:cs="Times New Roman"/>
          <w:b/>
        </w:rPr>
        <w:t>二、建设情况</w:t>
      </w:r>
    </w:p>
    <w:p w14:paraId="662C6858">
      <w:pPr>
        <w:pStyle w:val="166"/>
        <w:widowControl w:val="0"/>
        <w:adjustRightInd w:val="0"/>
        <w:snapToGrid w:val="0"/>
        <w:ind w:firstLine="560"/>
        <w:rPr>
          <w:rFonts w:hint="default" w:ascii="Times New Roman" w:hAnsi="Times New Roman" w:cs="Times New Roman"/>
          <w:kern w:val="28"/>
        </w:rPr>
      </w:pPr>
      <w:bookmarkStart w:id="446" w:name="_Hlk145763291"/>
      <w:r>
        <w:rPr>
          <w:rFonts w:hint="eastAsia" w:cs="Times New Roman"/>
          <w:color w:val="auto"/>
          <w:sz w:val="28"/>
          <w:lang w:val="en-US" w:eastAsia="zh-CN"/>
        </w:rPr>
        <w:t>XX</w:t>
      </w:r>
      <w:r>
        <w:rPr>
          <w:rFonts w:hint="default" w:ascii="Times New Roman" w:hAnsi="Times New Roman" w:cs="Times New Roman"/>
          <w:kern w:val="28"/>
        </w:rPr>
        <w:t>。</w:t>
      </w:r>
    </w:p>
    <w:bookmarkEnd w:id="446"/>
    <w:p w14:paraId="2E5A564C">
      <w:pPr>
        <w:pStyle w:val="4"/>
        <w:ind w:firstLine="562"/>
        <w:rPr>
          <w:rFonts w:hint="default" w:ascii="Times New Roman" w:hAnsi="Times New Roman" w:eastAsia="宋体" w:cs="Times New Roman"/>
          <w:b/>
          <w:bCs w:val="0"/>
        </w:rPr>
      </w:pPr>
      <w:bookmarkStart w:id="447" w:name="_Toc59420520"/>
      <w:bookmarkStart w:id="448" w:name="_Toc3047"/>
      <w:bookmarkStart w:id="449" w:name="_Toc21757"/>
      <w:bookmarkStart w:id="450" w:name="_Toc7298"/>
      <w:bookmarkStart w:id="451" w:name="_Toc454614269"/>
      <w:bookmarkStart w:id="452" w:name="_Toc24288"/>
      <w:bookmarkStart w:id="453" w:name="_Toc32266"/>
      <w:bookmarkStart w:id="454" w:name="_Toc11764"/>
      <w:r>
        <w:rPr>
          <w:rFonts w:hint="default" w:ascii="Times New Roman" w:hAnsi="Times New Roman" w:eastAsia="宋体" w:cs="Times New Roman"/>
          <w:b/>
          <w:bCs w:val="0"/>
        </w:rPr>
        <w:t>2.4.1</w:t>
      </w:r>
      <w:r>
        <w:rPr>
          <w:rFonts w:hint="eastAsia" w:eastAsia="宋体" w:cs="Times New Roman"/>
          <w:b/>
          <w:bCs w:val="0"/>
          <w:lang w:val="en-US" w:eastAsia="zh-CN"/>
        </w:rPr>
        <w:t>3</w:t>
      </w:r>
      <w:r>
        <w:rPr>
          <w:rFonts w:hint="default" w:ascii="Times New Roman" w:hAnsi="Times New Roman" w:eastAsia="宋体" w:cs="Times New Roman"/>
          <w:b/>
          <w:bCs w:val="0"/>
        </w:rPr>
        <w:t>安全管理</w:t>
      </w:r>
      <w:bookmarkEnd w:id="447"/>
      <w:bookmarkEnd w:id="448"/>
      <w:bookmarkEnd w:id="449"/>
      <w:bookmarkEnd w:id="450"/>
      <w:bookmarkEnd w:id="451"/>
      <w:bookmarkEnd w:id="452"/>
      <w:bookmarkEnd w:id="453"/>
      <w:bookmarkEnd w:id="454"/>
    </w:p>
    <w:p w14:paraId="4D98FB4C">
      <w:pPr>
        <w:pStyle w:val="5"/>
        <w:ind w:firstLine="560"/>
        <w:rPr>
          <w:rFonts w:hint="default" w:ascii="Times New Roman" w:hAnsi="Times New Roman" w:cs="Times New Roman"/>
        </w:rPr>
      </w:pPr>
      <w:bookmarkStart w:id="455" w:name="_Toc11480"/>
      <w:r>
        <w:rPr>
          <w:rFonts w:hint="default" w:ascii="Times New Roman" w:hAnsi="Times New Roman" w:cs="Times New Roman"/>
        </w:rPr>
        <w:t>2.4.1</w:t>
      </w:r>
      <w:r>
        <w:rPr>
          <w:rFonts w:hint="eastAsia" w:cs="Times New Roman"/>
          <w:lang w:val="en-US" w:eastAsia="zh-CN"/>
        </w:rPr>
        <w:t>3</w:t>
      </w:r>
      <w:r>
        <w:rPr>
          <w:rFonts w:hint="default" w:ascii="Times New Roman" w:hAnsi="Times New Roman" w:cs="Times New Roman"/>
        </w:rPr>
        <w:t>.1安全组织机构设置</w:t>
      </w:r>
      <w:bookmarkEnd w:id="455"/>
      <w:r>
        <w:rPr>
          <w:rFonts w:hint="default" w:ascii="Times New Roman" w:hAnsi="Times New Roman" w:cs="Times New Roman"/>
        </w:rPr>
        <w:tab/>
      </w:r>
    </w:p>
    <w:p w14:paraId="1C8896DF">
      <w:pPr>
        <w:ind w:firstLine="560"/>
        <w:jc w:val="left"/>
        <w:rPr>
          <w:rFonts w:hint="eastAsia" w:ascii="Times New Roman" w:hAnsi="Times New Roman" w:eastAsia="宋体" w:cs="Times New Roman"/>
          <w:lang w:eastAsia="zh-CN"/>
        </w:rPr>
      </w:pPr>
      <w:bookmarkStart w:id="456" w:name="_Toc10121"/>
      <w:bookmarkStart w:id="457" w:name="_Toc12403"/>
      <w:r>
        <w:rPr>
          <w:rFonts w:hint="default" w:ascii="Times New Roman" w:hAnsi="Times New Roman" w:cs="Times New Roman"/>
        </w:rPr>
        <w:t>企业根据《安全生产法》及相关法律法规，目前已成立了矿山安环科</w:t>
      </w:r>
      <w:r>
        <w:rPr>
          <w:rFonts w:hint="eastAsia" w:ascii="Times New Roman" w:hAnsi="Times New Roman" w:cs="Times New Roman"/>
          <w:lang w:eastAsia="zh-CN"/>
        </w:rPr>
        <w:t>（</w:t>
      </w:r>
      <w:r>
        <w:rPr>
          <w:rFonts w:hint="eastAsia" w:ascii="Times New Roman" w:hAnsi="Times New Roman" w:cs="Times New Roman"/>
          <w:lang w:val="en-US" w:eastAsia="zh-CN"/>
        </w:rPr>
        <w:t>详见附件5安全管理机构成立文件</w:t>
      </w:r>
      <w:r>
        <w:rPr>
          <w:rFonts w:hint="eastAsia" w:ascii="Times New Roman" w:hAnsi="Times New Roman" w:cs="Times New Roman"/>
          <w:lang w:eastAsia="zh-CN"/>
        </w:rPr>
        <w:t>）</w:t>
      </w:r>
      <w:r>
        <w:rPr>
          <w:rFonts w:hint="default" w:ascii="Times New Roman" w:hAnsi="Times New Roman" w:cs="Times New Roman"/>
        </w:rPr>
        <w:t>，全面负责矿山的各项安全管理工作，其组织机构由安全管理人员组成。其中已经任命</w:t>
      </w:r>
      <w:r>
        <w:rPr>
          <w:rFonts w:hint="eastAsia" w:ascii="Times New Roman" w:hAnsi="Times New Roman" w:cs="Times New Roman"/>
          <w:lang w:val="en-US" w:eastAsia="zh-CN"/>
        </w:rPr>
        <w:t>冯云</w:t>
      </w:r>
      <w:r>
        <w:rPr>
          <w:rFonts w:hint="default" w:ascii="Times New Roman" w:hAnsi="Times New Roman" w:cs="Times New Roman"/>
        </w:rPr>
        <w:t>为专职安全管理人员</w:t>
      </w:r>
      <w:r>
        <w:rPr>
          <w:rFonts w:hint="eastAsia"/>
          <w:lang w:eastAsia="zh-CN"/>
        </w:rPr>
        <w:t>。</w:t>
      </w:r>
    </w:p>
    <w:p w14:paraId="1872B817">
      <w:pPr>
        <w:ind w:firstLine="560"/>
        <w:jc w:val="left"/>
        <w:rPr>
          <w:rFonts w:hint="default" w:ascii="Times New Roman" w:hAnsi="Times New Roman" w:cs="Times New Roman"/>
        </w:rPr>
      </w:pPr>
      <w:r>
        <w:rPr>
          <w:rFonts w:hint="default" w:ascii="Times New Roman" w:hAnsi="Times New Roman" w:cs="Times New Roman"/>
        </w:rPr>
        <w:t>管理机构主要职责是对矿山安全工作进行研究、决策、监督、处理。督促班、组安全生产管理；严格执行矿山安全生产管理规章制度，明确领导和有关人员的安全生产职责，签订安全生产目标管理责任书，将矿山生产系统安全监管工作列入年终考评进行考核。成立矿山安全生产领导小组，加强矿山安全监管，及时排查治理矿山事故隐患。</w:t>
      </w:r>
    </w:p>
    <w:p w14:paraId="3EAA0C12">
      <w:pPr>
        <w:pStyle w:val="5"/>
        <w:ind w:firstLine="560"/>
        <w:rPr>
          <w:rFonts w:hint="default" w:ascii="Times New Roman" w:hAnsi="Times New Roman" w:cs="Times New Roman"/>
        </w:rPr>
      </w:pPr>
      <w:bookmarkStart w:id="458" w:name="_Toc6826"/>
      <w:r>
        <w:rPr>
          <w:rFonts w:hint="default" w:ascii="Times New Roman" w:hAnsi="Times New Roman" w:cs="Times New Roman"/>
        </w:rPr>
        <w:t>2.4.1</w:t>
      </w:r>
      <w:r>
        <w:rPr>
          <w:rFonts w:hint="eastAsia" w:cs="Times New Roman"/>
          <w:lang w:val="en-US" w:eastAsia="zh-CN"/>
        </w:rPr>
        <w:t>3</w:t>
      </w:r>
      <w:r>
        <w:rPr>
          <w:rFonts w:hint="default" w:ascii="Times New Roman" w:hAnsi="Times New Roman" w:cs="Times New Roman"/>
        </w:rPr>
        <w:t>.2安全教育培训及人员持证情况</w:t>
      </w:r>
      <w:bookmarkEnd w:id="458"/>
    </w:p>
    <w:p w14:paraId="7D8DF7BE">
      <w:pPr>
        <w:rPr>
          <w:rFonts w:hint="eastAsia" w:eastAsia="宋体"/>
          <w:lang w:val="en-US" w:eastAsia="zh-CN"/>
        </w:rPr>
      </w:pPr>
      <w:r>
        <w:rPr>
          <w:rFonts w:hint="eastAsia" w:cs="Times New Roman"/>
          <w:lang w:val="en-US" w:eastAsia="zh-CN"/>
        </w:rPr>
        <w:t>XX。</w:t>
      </w:r>
    </w:p>
    <w:p w14:paraId="526660AB">
      <w:pPr>
        <w:pStyle w:val="5"/>
        <w:spacing w:before="193" w:beforeLines="50"/>
        <w:ind w:firstLine="560"/>
        <w:rPr>
          <w:rFonts w:hint="default" w:ascii="Times New Roman" w:hAnsi="Times New Roman" w:cs="Times New Roman"/>
        </w:rPr>
      </w:pPr>
      <w:r>
        <w:rPr>
          <w:rFonts w:hint="default" w:ascii="Times New Roman" w:hAnsi="Times New Roman" w:cs="Times New Roman"/>
        </w:rPr>
        <w:t>2.4.1</w:t>
      </w:r>
      <w:r>
        <w:rPr>
          <w:rFonts w:hint="eastAsia" w:cs="Times New Roman"/>
          <w:lang w:val="en-US" w:eastAsia="zh-CN"/>
        </w:rPr>
        <w:t>3</w:t>
      </w:r>
      <w:r>
        <w:rPr>
          <w:rFonts w:hint="default" w:ascii="Times New Roman" w:hAnsi="Times New Roman" w:cs="Times New Roman"/>
        </w:rPr>
        <w:t>.3安全管理规章制度</w:t>
      </w:r>
    </w:p>
    <w:p w14:paraId="1B93C02C">
      <w:pPr>
        <w:ind w:firstLine="560"/>
        <w:rPr>
          <w:rFonts w:hint="default" w:ascii="Times New Roman" w:hAnsi="Times New Roman" w:cs="Times New Roman"/>
          <w:kern w:val="0"/>
        </w:rPr>
      </w:pPr>
      <w:r>
        <w:rPr>
          <w:rFonts w:hint="default" w:ascii="Times New Roman" w:hAnsi="Times New Roman" w:cs="Times New Roman"/>
          <w:kern w:val="0"/>
        </w:rPr>
        <w:t>矿山为了贯彻“安全</w:t>
      </w:r>
      <w:r>
        <w:rPr>
          <w:rFonts w:hint="default" w:ascii="Times New Roman" w:hAnsi="Times New Roman" w:cs="Times New Roman"/>
          <w:kern w:val="0"/>
          <w:lang w:eastAsia="zh-CN"/>
        </w:rPr>
        <w:t>第一，</w:t>
      </w:r>
      <w:r>
        <w:rPr>
          <w:rFonts w:hint="default" w:ascii="Times New Roman" w:hAnsi="Times New Roman" w:cs="Times New Roman"/>
          <w:kern w:val="0"/>
        </w:rPr>
        <w:t>预防为主、综合治理”的方针，保护职工的安全与健康，矿山的安全工作由</w:t>
      </w:r>
      <w:r>
        <w:rPr>
          <w:rFonts w:hint="eastAsia" w:ascii="Times New Roman" w:hAnsi="Times New Roman" w:cs="Times New Roman"/>
          <w:kern w:val="0"/>
          <w:lang w:val="en-US" w:eastAsia="zh-CN"/>
        </w:rPr>
        <w:t>安环科</w:t>
      </w:r>
      <w:r>
        <w:rPr>
          <w:rFonts w:hint="default" w:ascii="Times New Roman" w:hAnsi="Times New Roman" w:cs="Times New Roman"/>
          <w:kern w:val="0"/>
        </w:rPr>
        <w:t>统一管理，负责组织、落实矿区的安全工作；负责监督矿山劳动安全卫生设施的维护，发现问题及时解决；负责职工的劳动保护和安全教育；负责给职工定期发放劳保防护用品，确保职工生产安全卫生。</w:t>
      </w:r>
    </w:p>
    <w:p w14:paraId="55D46610">
      <w:pPr>
        <w:ind w:firstLine="560"/>
        <w:rPr>
          <w:rFonts w:hint="default" w:ascii="Times New Roman" w:hAnsi="Times New Roman" w:eastAsia="宋体" w:cs="Times New Roman"/>
          <w:kern w:val="0"/>
        </w:rPr>
      </w:pPr>
      <w:r>
        <w:rPr>
          <w:rFonts w:hint="default" w:ascii="Times New Roman" w:hAnsi="Times New Roman" w:eastAsia="宋体" w:cs="Times New Roman"/>
          <w:kern w:val="0"/>
        </w:rPr>
        <w:t>根据《</w:t>
      </w:r>
      <w:r>
        <w:rPr>
          <w:rFonts w:hint="eastAsia" w:ascii="Times New Roman" w:hAnsi="Times New Roman" w:eastAsia="宋体" w:cs="Times New Roman"/>
          <w:kern w:val="0"/>
        </w:rPr>
        <w:t>中华人民共和国</w:t>
      </w:r>
      <w:r>
        <w:rPr>
          <w:rFonts w:hint="default" w:ascii="Times New Roman" w:hAnsi="Times New Roman" w:eastAsia="宋体" w:cs="Times New Roman"/>
          <w:kern w:val="0"/>
        </w:rPr>
        <w:t>安全生产法》，矿山建立了</w:t>
      </w:r>
      <w:r>
        <w:rPr>
          <w:rFonts w:hint="eastAsia" w:ascii="Times New Roman" w:hAnsi="Times New Roman" w:eastAsia="宋体" w:cs="Times New Roman"/>
          <w:kern w:val="0"/>
        </w:rPr>
        <w:t>安全生产责任制、安全生产管理制度、安全操作、维护规程</w:t>
      </w:r>
      <w:r>
        <w:rPr>
          <w:rFonts w:hint="eastAsia" w:ascii="Times New Roman" w:hAnsi="Times New Roman" w:eastAsia="宋体" w:cs="Times New Roman"/>
          <w:kern w:val="0"/>
          <w:lang w:eastAsia="zh-CN"/>
        </w:rPr>
        <w:t>，</w:t>
      </w:r>
      <w:r>
        <w:rPr>
          <w:rFonts w:hint="default" w:ascii="Times New Roman" w:hAnsi="Times New Roman" w:eastAsia="宋体" w:cs="Times New Roman"/>
          <w:kern w:val="0"/>
        </w:rPr>
        <w:t>相关文件封面及目录情况见附件</w:t>
      </w:r>
      <w:r>
        <w:rPr>
          <w:rFonts w:hint="eastAsia" w:ascii="Times New Roman" w:hAnsi="Times New Roman" w:eastAsia="宋体" w:cs="Times New Roman"/>
          <w:kern w:val="0"/>
          <w:lang w:eastAsia="zh-CN"/>
        </w:rPr>
        <w:t>。</w:t>
      </w:r>
    </w:p>
    <w:p w14:paraId="0C60E2B5">
      <w:pPr>
        <w:ind w:firstLine="560"/>
        <w:rPr>
          <w:rFonts w:hint="default" w:ascii="Times New Roman" w:hAnsi="Times New Roman" w:eastAsia="宋体" w:cs="Times New Roman"/>
          <w:kern w:val="0"/>
        </w:rPr>
      </w:pPr>
      <w:r>
        <w:rPr>
          <w:rFonts w:hint="default" w:ascii="Times New Roman" w:hAnsi="Times New Roman" w:eastAsia="宋体" w:cs="Times New Roman"/>
          <w:kern w:val="0"/>
        </w:rPr>
        <w:t>由主要负责人全面负责矿山的安全生产工作，安全员负责该矿山的日常安全管理工作，安全员每班均对现场进行巡查，发现安全隐患及时安全人员进行整改，建立了安全生产会议台账、安全教育培训台账、边坡检查台账、现场安全检查台账、劳动用品发放台账、安全生产费用提取和使用台账等。</w:t>
      </w:r>
    </w:p>
    <w:p w14:paraId="7C930FE6">
      <w:pPr>
        <w:pStyle w:val="5"/>
        <w:ind w:firstLine="560"/>
        <w:rPr>
          <w:rFonts w:hint="default" w:ascii="Times New Roman" w:hAnsi="Times New Roman" w:cs="Times New Roman"/>
        </w:rPr>
      </w:pPr>
      <w:r>
        <w:rPr>
          <w:rFonts w:hint="default" w:ascii="Times New Roman" w:hAnsi="Times New Roman" w:cs="Times New Roman"/>
        </w:rPr>
        <w:t>2.4.1</w:t>
      </w:r>
      <w:r>
        <w:rPr>
          <w:rFonts w:hint="eastAsia" w:cs="Times New Roman"/>
          <w:lang w:val="en-US" w:eastAsia="zh-CN"/>
        </w:rPr>
        <w:t>3</w:t>
      </w:r>
      <w:r>
        <w:rPr>
          <w:rFonts w:hint="default" w:ascii="Times New Roman" w:hAnsi="Times New Roman" w:cs="Times New Roman"/>
        </w:rPr>
        <w:t>.4应急预案</w:t>
      </w:r>
      <w:bookmarkEnd w:id="456"/>
    </w:p>
    <w:p w14:paraId="48E89EB5">
      <w:pPr>
        <w:widowControl/>
        <w:ind w:firstLine="560"/>
        <w:rPr>
          <w:rFonts w:hint="default" w:ascii="Times New Roman" w:hAnsi="Times New Roman" w:cs="Times New Roman"/>
          <w:color w:val="auto"/>
        </w:rPr>
      </w:pPr>
      <w:bookmarkStart w:id="459" w:name="_Hlk156552906"/>
      <w:r>
        <w:rPr>
          <w:rFonts w:hint="eastAsia" w:cs="Times New Roman"/>
          <w:lang w:val="en-US" w:eastAsia="zh-CN"/>
        </w:rPr>
        <w:t>XX</w:t>
      </w:r>
      <w:r>
        <w:rPr>
          <w:rFonts w:hint="default" w:ascii="Times New Roman" w:hAnsi="Times New Roman" w:cs="Times New Roman"/>
          <w:color w:val="auto"/>
        </w:rPr>
        <w:t>。</w:t>
      </w:r>
    </w:p>
    <w:bookmarkEnd w:id="457"/>
    <w:bookmarkEnd w:id="459"/>
    <w:p w14:paraId="5557C3FA">
      <w:pPr>
        <w:pStyle w:val="5"/>
        <w:ind w:firstLine="560"/>
        <w:rPr>
          <w:rFonts w:hint="default" w:ascii="Times New Roman" w:hAnsi="Times New Roman" w:cs="Times New Roman"/>
        </w:rPr>
      </w:pPr>
      <w:bookmarkStart w:id="460" w:name="_Toc22117"/>
      <w:r>
        <w:rPr>
          <w:rFonts w:hint="default" w:ascii="Times New Roman" w:hAnsi="Times New Roman" w:cs="Times New Roman"/>
        </w:rPr>
        <w:t>2.4.1</w:t>
      </w:r>
      <w:r>
        <w:rPr>
          <w:rFonts w:hint="eastAsia" w:cs="Times New Roman"/>
          <w:lang w:val="en-US" w:eastAsia="zh-CN"/>
        </w:rPr>
        <w:t>3</w:t>
      </w:r>
      <w:r>
        <w:rPr>
          <w:rFonts w:hint="default" w:ascii="Times New Roman" w:hAnsi="Times New Roman" w:cs="Times New Roman"/>
        </w:rPr>
        <w:t>.5工伤保险</w:t>
      </w:r>
      <w:bookmarkEnd w:id="460"/>
      <w:r>
        <w:rPr>
          <w:rFonts w:hint="default" w:ascii="Times New Roman" w:hAnsi="Times New Roman" w:cs="Times New Roman"/>
        </w:rPr>
        <w:t>及安全生产责任险</w:t>
      </w:r>
    </w:p>
    <w:p w14:paraId="48E612A0">
      <w:pPr>
        <w:widowControl/>
        <w:ind w:firstLine="560"/>
        <w:rPr>
          <w:rFonts w:hint="default" w:ascii="Times New Roman" w:hAnsi="Times New Roman" w:cs="Times New Roman"/>
        </w:rPr>
      </w:pPr>
      <w:r>
        <w:rPr>
          <w:rFonts w:hint="eastAsia" w:cs="Times New Roman"/>
          <w:lang w:val="en-US" w:eastAsia="zh-CN"/>
        </w:rPr>
        <w:t>XX</w:t>
      </w:r>
      <w:r>
        <w:rPr>
          <w:rFonts w:hint="default" w:ascii="Times New Roman" w:hAnsi="Times New Roman" w:cs="Times New Roman"/>
        </w:rPr>
        <w:t>。</w:t>
      </w:r>
    </w:p>
    <w:p w14:paraId="355743E5">
      <w:pPr>
        <w:pStyle w:val="4"/>
        <w:ind w:firstLine="562"/>
        <w:rPr>
          <w:rFonts w:hint="default" w:ascii="Times New Roman" w:hAnsi="Times New Roman" w:eastAsia="宋体" w:cs="Times New Roman"/>
          <w:b/>
          <w:bCs w:val="0"/>
        </w:rPr>
      </w:pPr>
      <w:bookmarkStart w:id="461" w:name="_Toc454614270"/>
      <w:bookmarkStart w:id="462" w:name="_Toc14911"/>
      <w:bookmarkStart w:id="463" w:name="_Toc1527"/>
      <w:bookmarkStart w:id="464" w:name="_Toc28732"/>
      <w:bookmarkStart w:id="465" w:name="_Toc13781"/>
      <w:bookmarkStart w:id="466" w:name="_Toc59420521"/>
      <w:bookmarkStart w:id="467" w:name="_Toc15657"/>
      <w:bookmarkStart w:id="468" w:name="_Toc31394"/>
      <w:r>
        <w:rPr>
          <w:rFonts w:hint="default" w:ascii="Times New Roman" w:hAnsi="Times New Roman" w:eastAsia="宋体" w:cs="Times New Roman"/>
          <w:b/>
          <w:bCs w:val="0"/>
        </w:rPr>
        <w:t>2.4.1</w:t>
      </w:r>
      <w:bookmarkEnd w:id="461"/>
      <w:bookmarkEnd w:id="462"/>
      <w:bookmarkEnd w:id="463"/>
      <w:bookmarkEnd w:id="464"/>
      <w:r>
        <w:rPr>
          <w:rFonts w:hint="eastAsia" w:eastAsia="宋体" w:cs="Times New Roman"/>
          <w:b/>
          <w:bCs w:val="0"/>
          <w:lang w:val="en-US" w:eastAsia="zh-CN"/>
        </w:rPr>
        <w:t>4</w:t>
      </w:r>
      <w:r>
        <w:rPr>
          <w:rFonts w:hint="default" w:ascii="Times New Roman" w:hAnsi="Times New Roman" w:eastAsia="宋体" w:cs="Times New Roman"/>
          <w:b/>
          <w:bCs w:val="0"/>
        </w:rPr>
        <w:t>设计安全设施投入</w:t>
      </w:r>
      <w:bookmarkEnd w:id="465"/>
      <w:bookmarkEnd w:id="466"/>
      <w:bookmarkEnd w:id="467"/>
      <w:bookmarkEnd w:id="468"/>
      <w:r>
        <w:rPr>
          <w:rFonts w:hint="default" w:ascii="Times New Roman" w:hAnsi="Times New Roman" w:eastAsia="宋体" w:cs="Times New Roman"/>
          <w:b/>
          <w:bCs w:val="0"/>
        </w:rPr>
        <w:t>明细</w:t>
      </w:r>
    </w:p>
    <w:p w14:paraId="6638A89A">
      <w:pPr>
        <w:ind w:firstLine="560"/>
        <w:rPr>
          <w:rFonts w:hint="default" w:ascii="Times New Roman" w:hAnsi="Times New Roman" w:cs="Times New Roman"/>
        </w:rPr>
      </w:pPr>
      <w:r>
        <w:rPr>
          <w:rFonts w:hint="default" w:ascii="Times New Roman" w:hAnsi="Times New Roman" w:cs="Times New Roman"/>
        </w:rPr>
        <w:t>企业按安全设施设计要求完成了露天采场、运输道路工程、排水工程、安全防护设施等主体工程和辅助工程安全设施的建设。矿山专用安全设施投入明细如下表所示。</w:t>
      </w:r>
    </w:p>
    <w:p w14:paraId="610901DE">
      <w:pPr>
        <w:ind w:firstLine="560"/>
        <w:rPr>
          <w:rFonts w:hint="default" w:ascii="Times New Roman" w:hAnsi="Times New Roman" w:eastAsia="宋体" w:cs="Times New Roman"/>
          <w:lang w:val="en-US" w:eastAsia="zh-CN"/>
        </w:rPr>
      </w:pPr>
      <w:r>
        <w:rPr>
          <w:rFonts w:hint="default" w:ascii="Times New Roman" w:hAnsi="Times New Roman" w:cs="Times New Roman"/>
          <w:sz w:val="28"/>
          <w:szCs w:val="28"/>
          <w:highlight w:val="none"/>
          <w:lang w:val="en-US" w:eastAsia="zh-CN"/>
        </w:rPr>
        <w:t>安全设施设计</w:t>
      </w:r>
      <w:r>
        <w:rPr>
          <w:rFonts w:hint="default" w:ascii="Times New Roman" w:hAnsi="Times New Roman" w:cs="Times New Roman"/>
          <w:sz w:val="28"/>
          <w:szCs w:val="28"/>
          <w:highlight w:val="none"/>
        </w:rPr>
        <w:t>中该矿山的专项安全投资概算为</w:t>
      </w:r>
      <w:r>
        <w:rPr>
          <w:rFonts w:hint="default" w:ascii="Times New Roman" w:hAnsi="Times New Roman" w:cs="Times New Roman"/>
        </w:rPr>
        <w:t>47.18</w:t>
      </w:r>
      <w:r>
        <w:rPr>
          <w:rFonts w:hint="default" w:ascii="Times New Roman" w:hAnsi="Times New Roman" w:cs="Times New Roman"/>
          <w:sz w:val="28"/>
          <w:szCs w:val="28"/>
          <w:highlight w:val="none"/>
        </w:rPr>
        <w:t>万元，占项目建设总投资</w:t>
      </w:r>
      <w:r>
        <w:rPr>
          <w:rFonts w:hint="default" w:ascii="Times New Roman" w:hAnsi="Times New Roman" w:cs="Times New Roman"/>
        </w:rPr>
        <w:t>598.39</w:t>
      </w:r>
      <w:r>
        <w:rPr>
          <w:rFonts w:hint="default" w:ascii="Times New Roman" w:hAnsi="Times New Roman" w:cs="Times New Roman"/>
          <w:sz w:val="28"/>
          <w:szCs w:val="28"/>
          <w:highlight w:val="none"/>
        </w:rPr>
        <w:t>万元的7.89%，见表2.4-</w:t>
      </w:r>
      <w:r>
        <w:rPr>
          <w:rFonts w:hint="eastAsia" w:ascii="Times New Roman" w:hAnsi="Times New Roman" w:cs="Times New Roman"/>
          <w:sz w:val="28"/>
          <w:szCs w:val="28"/>
          <w:highlight w:val="none"/>
          <w:lang w:val="en-US" w:eastAsia="zh-CN"/>
        </w:rPr>
        <w:t>9。</w:t>
      </w:r>
    </w:p>
    <w:p w14:paraId="6979D48C">
      <w:pPr>
        <w:spacing w:line="240" w:lineRule="auto"/>
        <w:ind w:firstLine="420"/>
        <w:jc w:val="center"/>
        <w:rPr>
          <w:rFonts w:hint="default" w:ascii="Times New Roman" w:hAnsi="Times New Roman" w:cs="Times New Roman"/>
          <w:sz w:val="24"/>
          <w:szCs w:val="24"/>
        </w:rPr>
      </w:pPr>
      <w:r>
        <w:rPr>
          <w:rFonts w:hint="default" w:ascii="Times New Roman" w:hAnsi="Times New Roman" w:cs="Times New Roman"/>
          <w:sz w:val="24"/>
          <w:szCs w:val="24"/>
        </w:rPr>
        <w:t>表2.4-</w:t>
      </w:r>
      <w:r>
        <w:rPr>
          <w:rFonts w:hint="eastAsia" w:ascii="Times New Roman" w:hAnsi="Times New Roman" w:cs="Times New Roman"/>
          <w:sz w:val="24"/>
          <w:szCs w:val="24"/>
          <w:lang w:val="en-US" w:eastAsia="zh-CN"/>
        </w:rPr>
        <w:t>9</w:t>
      </w:r>
      <w:r>
        <w:rPr>
          <w:rFonts w:hint="default" w:ascii="Times New Roman" w:hAnsi="Times New Roman" w:cs="Times New Roman"/>
          <w:sz w:val="24"/>
          <w:szCs w:val="24"/>
        </w:rPr>
        <w:t xml:space="preserve">  专用安全设施投入明细表</w:t>
      </w:r>
    </w:p>
    <w:tbl>
      <w:tblPr>
        <w:tblStyle w:val="4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795"/>
        <w:gridCol w:w="1925"/>
        <w:gridCol w:w="962"/>
        <w:gridCol w:w="748"/>
        <w:gridCol w:w="1338"/>
        <w:gridCol w:w="3145"/>
      </w:tblGrid>
      <w:tr w14:paraId="7938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blHeader/>
        </w:trPr>
        <w:tc>
          <w:tcPr>
            <w:tcW w:w="256" w:type="pct"/>
            <w:vMerge w:val="restart"/>
            <w:noWrap w:val="0"/>
            <w:vAlign w:val="center"/>
          </w:tcPr>
          <w:p w14:paraId="631455B9">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bookmarkStart w:id="469" w:name="_Hlk157546268"/>
            <w:r>
              <w:rPr>
                <w:rFonts w:hint="default" w:ascii="Times New Roman" w:hAnsi="Times New Roman" w:eastAsia="宋体" w:cs="Times New Roman"/>
                <w:b/>
                <w:bCs/>
                <w:kern w:val="2"/>
                <w:sz w:val="21"/>
                <w:szCs w:val="21"/>
                <w:lang w:val="en-US" w:eastAsia="zh-CN" w:bidi="ar-SA"/>
              </w:rPr>
              <w:t>序号</w:t>
            </w:r>
          </w:p>
        </w:tc>
        <w:tc>
          <w:tcPr>
            <w:tcW w:w="423" w:type="pct"/>
            <w:vMerge w:val="restart"/>
            <w:noWrap w:val="0"/>
            <w:vAlign w:val="center"/>
          </w:tcPr>
          <w:p w14:paraId="46B460AF">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名称</w:t>
            </w:r>
          </w:p>
        </w:tc>
        <w:tc>
          <w:tcPr>
            <w:tcW w:w="1024" w:type="pct"/>
            <w:vMerge w:val="restart"/>
            <w:noWrap w:val="0"/>
            <w:vAlign w:val="center"/>
          </w:tcPr>
          <w:p w14:paraId="615BBB39">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描述</w:t>
            </w:r>
          </w:p>
        </w:tc>
        <w:tc>
          <w:tcPr>
            <w:tcW w:w="512" w:type="pct"/>
            <w:vMerge w:val="restart"/>
            <w:noWrap w:val="0"/>
            <w:vAlign w:val="center"/>
          </w:tcPr>
          <w:p w14:paraId="0859694D">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单位</w:t>
            </w:r>
          </w:p>
        </w:tc>
        <w:tc>
          <w:tcPr>
            <w:tcW w:w="398" w:type="pct"/>
            <w:vMerge w:val="restart"/>
            <w:noWrap w:val="0"/>
            <w:vAlign w:val="center"/>
          </w:tcPr>
          <w:p w14:paraId="6D8A4D4F">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数量</w:t>
            </w:r>
          </w:p>
        </w:tc>
        <w:tc>
          <w:tcPr>
            <w:tcW w:w="712" w:type="pct"/>
            <w:vMerge w:val="restart"/>
            <w:noWrap w:val="0"/>
            <w:vAlign w:val="center"/>
          </w:tcPr>
          <w:p w14:paraId="0D581981">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投资</w:t>
            </w:r>
          </w:p>
          <w:p w14:paraId="205F3117">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（万元）</w:t>
            </w:r>
          </w:p>
        </w:tc>
        <w:tc>
          <w:tcPr>
            <w:tcW w:w="1673" w:type="pct"/>
            <w:noWrap w:val="0"/>
            <w:vAlign w:val="center"/>
          </w:tcPr>
          <w:p w14:paraId="5FC514BB">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设置位置</w:t>
            </w:r>
          </w:p>
        </w:tc>
      </w:tr>
      <w:tr w14:paraId="648C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trPr>
        <w:tc>
          <w:tcPr>
            <w:tcW w:w="256" w:type="pct"/>
            <w:vMerge w:val="continue"/>
            <w:noWrap w:val="0"/>
            <w:vAlign w:val="center"/>
          </w:tcPr>
          <w:p w14:paraId="0A4DDBFC">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p>
        </w:tc>
        <w:tc>
          <w:tcPr>
            <w:tcW w:w="423" w:type="pct"/>
            <w:vMerge w:val="continue"/>
            <w:noWrap w:val="0"/>
            <w:vAlign w:val="center"/>
          </w:tcPr>
          <w:p w14:paraId="4CC87361">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p>
        </w:tc>
        <w:tc>
          <w:tcPr>
            <w:tcW w:w="1024" w:type="pct"/>
            <w:vMerge w:val="continue"/>
            <w:noWrap w:val="0"/>
            <w:vAlign w:val="center"/>
          </w:tcPr>
          <w:p w14:paraId="79CCE331">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p>
        </w:tc>
        <w:tc>
          <w:tcPr>
            <w:tcW w:w="512" w:type="pct"/>
            <w:vMerge w:val="continue"/>
            <w:noWrap w:val="0"/>
            <w:vAlign w:val="center"/>
          </w:tcPr>
          <w:p w14:paraId="45EBAADA">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p>
        </w:tc>
        <w:tc>
          <w:tcPr>
            <w:tcW w:w="398" w:type="pct"/>
            <w:vMerge w:val="continue"/>
            <w:noWrap w:val="0"/>
            <w:vAlign w:val="center"/>
          </w:tcPr>
          <w:p w14:paraId="00521477">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p>
        </w:tc>
        <w:tc>
          <w:tcPr>
            <w:tcW w:w="712" w:type="pct"/>
            <w:vMerge w:val="continue"/>
            <w:noWrap w:val="0"/>
            <w:vAlign w:val="center"/>
          </w:tcPr>
          <w:p w14:paraId="7BCBA3C1">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p>
        </w:tc>
        <w:tc>
          <w:tcPr>
            <w:tcW w:w="1673" w:type="pct"/>
            <w:noWrap w:val="0"/>
            <w:vAlign w:val="center"/>
          </w:tcPr>
          <w:p w14:paraId="56BC344C">
            <w:pPr>
              <w:widowControl w:val="0"/>
              <w:adjustRightInd w:val="0"/>
              <w:snapToGrid w:val="0"/>
              <w:spacing w:line="240" w:lineRule="auto"/>
              <w:ind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（备注）</w:t>
            </w:r>
          </w:p>
        </w:tc>
      </w:tr>
      <w:tr w14:paraId="721F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restart"/>
            <w:noWrap w:val="0"/>
            <w:vAlign w:val="center"/>
          </w:tcPr>
          <w:p w14:paraId="6EE1A0E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w:t>
            </w:r>
          </w:p>
        </w:tc>
        <w:tc>
          <w:tcPr>
            <w:tcW w:w="423" w:type="pct"/>
            <w:vMerge w:val="restart"/>
            <w:noWrap w:val="0"/>
            <w:vAlign w:val="center"/>
          </w:tcPr>
          <w:p w14:paraId="0EE2C0B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露天采场</w:t>
            </w:r>
          </w:p>
        </w:tc>
        <w:tc>
          <w:tcPr>
            <w:tcW w:w="1024" w:type="pct"/>
            <w:noWrap w:val="0"/>
            <w:vAlign w:val="center"/>
          </w:tcPr>
          <w:p w14:paraId="0A8A16D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边界安全护栏</w:t>
            </w:r>
          </w:p>
        </w:tc>
        <w:tc>
          <w:tcPr>
            <w:tcW w:w="512" w:type="pct"/>
            <w:noWrap w:val="0"/>
            <w:vAlign w:val="center"/>
          </w:tcPr>
          <w:p w14:paraId="63676EC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398" w:type="pct"/>
            <w:noWrap w:val="0"/>
            <w:vAlign w:val="center"/>
          </w:tcPr>
          <w:p w14:paraId="57DFA5E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1206</w:t>
            </w:r>
          </w:p>
        </w:tc>
        <w:tc>
          <w:tcPr>
            <w:tcW w:w="712" w:type="pct"/>
            <w:noWrap w:val="0"/>
            <w:vAlign w:val="center"/>
          </w:tcPr>
          <w:p w14:paraId="221BCB7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1673" w:type="pct"/>
            <w:noWrap w:val="0"/>
            <w:vAlign w:val="center"/>
          </w:tcPr>
          <w:p w14:paraId="7C069F3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开采终了境界外侧</w:t>
            </w:r>
          </w:p>
        </w:tc>
      </w:tr>
      <w:tr w14:paraId="2D27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64A58A8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7C9472E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784A6E0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安全警示标志、标语、警示旗</w:t>
            </w:r>
          </w:p>
        </w:tc>
        <w:tc>
          <w:tcPr>
            <w:tcW w:w="512" w:type="pct"/>
            <w:noWrap w:val="0"/>
            <w:vAlign w:val="center"/>
          </w:tcPr>
          <w:p w14:paraId="351E365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块</w:t>
            </w:r>
          </w:p>
        </w:tc>
        <w:tc>
          <w:tcPr>
            <w:tcW w:w="398" w:type="pct"/>
            <w:noWrap w:val="0"/>
            <w:vAlign w:val="center"/>
          </w:tcPr>
          <w:p w14:paraId="457DA81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55</w:t>
            </w:r>
          </w:p>
        </w:tc>
        <w:tc>
          <w:tcPr>
            <w:tcW w:w="712" w:type="pct"/>
            <w:noWrap w:val="0"/>
            <w:vAlign w:val="center"/>
          </w:tcPr>
          <w:p w14:paraId="1AC1600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w:t>
            </w:r>
          </w:p>
        </w:tc>
        <w:tc>
          <w:tcPr>
            <w:tcW w:w="1673" w:type="pct"/>
            <w:noWrap w:val="0"/>
            <w:vAlign w:val="center"/>
          </w:tcPr>
          <w:p w14:paraId="4A76D22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采场边缘，采场台阶边缘、坡脚，台阶公路入口、边缘，爆破岗位</w:t>
            </w:r>
          </w:p>
        </w:tc>
      </w:tr>
      <w:tr w14:paraId="7E79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1287127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0E6DBF7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4B34C6E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警戒带</w:t>
            </w:r>
          </w:p>
        </w:tc>
        <w:tc>
          <w:tcPr>
            <w:tcW w:w="512" w:type="pct"/>
            <w:noWrap w:val="0"/>
            <w:vAlign w:val="center"/>
          </w:tcPr>
          <w:p w14:paraId="3A770B2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398" w:type="pct"/>
            <w:noWrap w:val="0"/>
            <w:vAlign w:val="center"/>
          </w:tcPr>
          <w:p w14:paraId="49FDA1C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2500</w:t>
            </w:r>
          </w:p>
        </w:tc>
        <w:tc>
          <w:tcPr>
            <w:tcW w:w="712" w:type="pct"/>
            <w:noWrap w:val="0"/>
            <w:vAlign w:val="center"/>
          </w:tcPr>
          <w:p w14:paraId="4BB8D71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1.25</w:t>
            </w:r>
          </w:p>
        </w:tc>
        <w:tc>
          <w:tcPr>
            <w:tcW w:w="1673" w:type="pct"/>
            <w:noWrap w:val="0"/>
            <w:vAlign w:val="center"/>
          </w:tcPr>
          <w:p w14:paraId="6947C2B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报警境界范围边界</w:t>
            </w:r>
          </w:p>
        </w:tc>
      </w:tr>
      <w:tr w14:paraId="2DF8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3421C23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3B75537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7DAFF27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报警器</w:t>
            </w:r>
          </w:p>
        </w:tc>
        <w:tc>
          <w:tcPr>
            <w:tcW w:w="512" w:type="pct"/>
            <w:noWrap w:val="0"/>
            <w:vAlign w:val="center"/>
          </w:tcPr>
          <w:p w14:paraId="44F58DF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个</w:t>
            </w:r>
          </w:p>
        </w:tc>
        <w:tc>
          <w:tcPr>
            <w:tcW w:w="398" w:type="pct"/>
            <w:noWrap w:val="0"/>
            <w:vAlign w:val="center"/>
          </w:tcPr>
          <w:p w14:paraId="18497B2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712" w:type="pct"/>
            <w:noWrap w:val="0"/>
            <w:vAlign w:val="center"/>
          </w:tcPr>
          <w:p w14:paraId="2362857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0.5</w:t>
            </w:r>
          </w:p>
        </w:tc>
        <w:tc>
          <w:tcPr>
            <w:tcW w:w="1673" w:type="pct"/>
            <w:noWrap w:val="0"/>
            <w:vAlign w:val="center"/>
          </w:tcPr>
          <w:p w14:paraId="52F910A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挂杆式喇叭</w:t>
            </w:r>
          </w:p>
        </w:tc>
      </w:tr>
      <w:tr w14:paraId="275B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restart"/>
            <w:noWrap w:val="0"/>
            <w:vAlign w:val="center"/>
          </w:tcPr>
          <w:p w14:paraId="5627412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423" w:type="pct"/>
            <w:vMerge w:val="restart"/>
            <w:noWrap w:val="0"/>
            <w:vAlign w:val="center"/>
          </w:tcPr>
          <w:p w14:paraId="5BE9FAF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汽车运输</w:t>
            </w:r>
          </w:p>
        </w:tc>
        <w:tc>
          <w:tcPr>
            <w:tcW w:w="1024" w:type="pct"/>
            <w:noWrap w:val="0"/>
            <w:vAlign w:val="center"/>
          </w:tcPr>
          <w:p w14:paraId="3AC5B10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安全警示牌</w:t>
            </w:r>
          </w:p>
        </w:tc>
        <w:tc>
          <w:tcPr>
            <w:tcW w:w="512" w:type="pct"/>
            <w:noWrap w:val="0"/>
            <w:vAlign w:val="center"/>
          </w:tcPr>
          <w:p w14:paraId="16BD3B1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块</w:t>
            </w:r>
          </w:p>
        </w:tc>
        <w:tc>
          <w:tcPr>
            <w:tcW w:w="398" w:type="pct"/>
            <w:noWrap w:val="0"/>
            <w:vAlign w:val="center"/>
          </w:tcPr>
          <w:p w14:paraId="56F9A77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712" w:type="pct"/>
            <w:noWrap w:val="0"/>
            <w:vAlign w:val="center"/>
          </w:tcPr>
          <w:p w14:paraId="7C5AA13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0.3</w:t>
            </w:r>
          </w:p>
        </w:tc>
        <w:tc>
          <w:tcPr>
            <w:tcW w:w="1673" w:type="pct"/>
            <w:noWrap w:val="0"/>
            <w:vAlign w:val="center"/>
          </w:tcPr>
          <w:p w14:paraId="34A3274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道路边缘、入口、弯道处</w:t>
            </w:r>
          </w:p>
        </w:tc>
      </w:tr>
      <w:tr w14:paraId="46F2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41FB7FC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4BF95F0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1744365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限速标准</w:t>
            </w:r>
          </w:p>
        </w:tc>
        <w:tc>
          <w:tcPr>
            <w:tcW w:w="512" w:type="pct"/>
            <w:noWrap w:val="0"/>
            <w:vAlign w:val="center"/>
          </w:tcPr>
          <w:p w14:paraId="7A91B5B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块</w:t>
            </w:r>
          </w:p>
        </w:tc>
        <w:tc>
          <w:tcPr>
            <w:tcW w:w="398" w:type="pct"/>
            <w:noWrap w:val="0"/>
            <w:vAlign w:val="center"/>
          </w:tcPr>
          <w:p w14:paraId="392AD56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712" w:type="pct"/>
            <w:noWrap w:val="0"/>
            <w:vAlign w:val="center"/>
          </w:tcPr>
          <w:p w14:paraId="3CC5D94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0.18</w:t>
            </w:r>
          </w:p>
        </w:tc>
        <w:tc>
          <w:tcPr>
            <w:tcW w:w="1673" w:type="pct"/>
            <w:noWrap w:val="0"/>
            <w:vAlign w:val="center"/>
          </w:tcPr>
          <w:p w14:paraId="3267906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公路弯道、靠近边坡地段</w:t>
            </w:r>
          </w:p>
        </w:tc>
      </w:tr>
      <w:tr w14:paraId="1AF2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4D768D8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621D4AB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284DB49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安全护栏及防护堤</w:t>
            </w:r>
          </w:p>
        </w:tc>
        <w:tc>
          <w:tcPr>
            <w:tcW w:w="512" w:type="pct"/>
            <w:noWrap w:val="0"/>
            <w:vAlign w:val="center"/>
          </w:tcPr>
          <w:p w14:paraId="4741F96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398" w:type="pct"/>
            <w:noWrap w:val="0"/>
            <w:vAlign w:val="center"/>
          </w:tcPr>
          <w:p w14:paraId="5461EBD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1100</w:t>
            </w:r>
          </w:p>
        </w:tc>
        <w:tc>
          <w:tcPr>
            <w:tcW w:w="712" w:type="pct"/>
            <w:noWrap w:val="0"/>
            <w:vAlign w:val="center"/>
          </w:tcPr>
          <w:p w14:paraId="02C54BE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3.25</w:t>
            </w:r>
          </w:p>
        </w:tc>
        <w:tc>
          <w:tcPr>
            <w:tcW w:w="1673" w:type="pct"/>
            <w:noWrap w:val="0"/>
            <w:vAlign w:val="center"/>
          </w:tcPr>
          <w:p w14:paraId="057CDD1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弯道、坡度大路段、高路基外侧内侧</w:t>
            </w:r>
          </w:p>
        </w:tc>
      </w:tr>
      <w:tr w14:paraId="1923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76014CC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294B72B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70B0FA1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安全车挡</w:t>
            </w:r>
          </w:p>
        </w:tc>
        <w:tc>
          <w:tcPr>
            <w:tcW w:w="512" w:type="pct"/>
            <w:noWrap w:val="0"/>
            <w:vAlign w:val="center"/>
          </w:tcPr>
          <w:p w14:paraId="3AA2C3C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398" w:type="pct"/>
            <w:noWrap w:val="0"/>
            <w:vAlign w:val="center"/>
          </w:tcPr>
          <w:p w14:paraId="031E01D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500</w:t>
            </w:r>
          </w:p>
        </w:tc>
        <w:tc>
          <w:tcPr>
            <w:tcW w:w="712" w:type="pct"/>
            <w:noWrap w:val="0"/>
            <w:vAlign w:val="center"/>
          </w:tcPr>
          <w:p w14:paraId="019FECD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w:t>
            </w:r>
          </w:p>
        </w:tc>
        <w:tc>
          <w:tcPr>
            <w:tcW w:w="1673" w:type="pct"/>
            <w:noWrap w:val="0"/>
            <w:vAlign w:val="center"/>
          </w:tcPr>
          <w:p w14:paraId="5F5E6F8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装卸载点</w:t>
            </w:r>
          </w:p>
        </w:tc>
      </w:tr>
      <w:tr w14:paraId="0445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2FA1F11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46201F7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287035D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凸镜</w:t>
            </w:r>
          </w:p>
        </w:tc>
        <w:tc>
          <w:tcPr>
            <w:tcW w:w="512" w:type="pct"/>
            <w:noWrap w:val="0"/>
            <w:vAlign w:val="center"/>
          </w:tcPr>
          <w:p w14:paraId="2C8CA1E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个</w:t>
            </w:r>
          </w:p>
        </w:tc>
        <w:tc>
          <w:tcPr>
            <w:tcW w:w="398" w:type="pct"/>
            <w:noWrap w:val="0"/>
            <w:vAlign w:val="center"/>
          </w:tcPr>
          <w:p w14:paraId="2E3466D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712" w:type="pct"/>
            <w:noWrap w:val="0"/>
            <w:vAlign w:val="center"/>
          </w:tcPr>
          <w:p w14:paraId="6A41EF6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0.2</w:t>
            </w:r>
          </w:p>
        </w:tc>
        <w:tc>
          <w:tcPr>
            <w:tcW w:w="1673" w:type="pct"/>
            <w:noWrap w:val="0"/>
            <w:vAlign w:val="center"/>
          </w:tcPr>
          <w:p w14:paraId="70F66AC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公路的转弯处</w:t>
            </w:r>
          </w:p>
        </w:tc>
      </w:tr>
      <w:tr w14:paraId="6D56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restart"/>
            <w:noWrap w:val="0"/>
            <w:vAlign w:val="center"/>
          </w:tcPr>
          <w:p w14:paraId="388C366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423" w:type="pct"/>
            <w:vMerge w:val="restart"/>
            <w:noWrap w:val="0"/>
            <w:vAlign w:val="center"/>
          </w:tcPr>
          <w:p w14:paraId="4F83CC6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供、配电</w:t>
            </w:r>
          </w:p>
          <w:p w14:paraId="78C0067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设施</w:t>
            </w:r>
          </w:p>
        </w:tc>
        <w:tc>
          <w:tcPr>
            <w:tcW w:w="1024" w:type="pct"/>
            <w:noWrap w:val="0"/>
            <w:vAlign w:val="center"/>
          </w:tcPr>
          <w:p w14:paraId="7574ECE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采矿场供电线路</w:t>
            </w:r>
          </w:p>
          <w:p w14:paraId="380E3B5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保护及避雷设施</w:t>
            </w:r>
          </w:p>
        </w:tc>
        <w:tc>
          <w:tcPr>
            <w:tcW w:w="512" w:type="pct"/>
            <w:noWrap w:val="0"/>
            <w:vAlign w:val="center"/>
          </w:tcPr>
          <w:p w14:paraId="3B6C5EA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398" w:type="pct"/>
            <w:noWrap w:val="0"/>
            <w:vAlign w:val="center"/>
          </w:tcPr>
          <w:p w14:paraId="6C35DA1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12" w:type="pct"/>
            <w:noWrap w:val="0"/>
            <w:vAlign w:val="center"/>
          </w:tcPr>
          <w:p w14:paraId="3A6DFB9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1673" w:type="pct"/>
            <w:noWrap w:val="0"/>
            <w:vAlign w:val="center"/>
          </w:tcPr>
          <w:p w14:paraId="4D745EE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按专项设计设置</w:t>
            </w:r>
          </w:p>
        </w:tc>
      </w:tr>
      <w:tr w14:paraId="4E20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664E110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4643DCB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340EDE3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保护接地设施</w:t>
            </w:r>
          </w:p>
        </w:tc>
        <w:tc>
          <w:tcPr>
            <w:tcW w:w="512" w:type="pct"/>
            <w:noWrap w:val="0"/>
            <w:vAlign w:val="center"/>
          </w:tcPr>
          <w:p w14:paraId="6C235BD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398" w:type="pct"/>
            <w:noWrap w:val="0"/>
            <w:vAlign w:val="center"/>
          </w:tcPr>
          <w:p w14:paraId="426AFB9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12" w:type="pct"/>
            <w:noWrap w:val="0"/>
            <w:vAlign w:val="center"/>
          </w:tcPr>
          <w:p w14:paraId="2A59098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1673" w:type="pct"/>
            <w:noWrap w:val="0"/>
            <w:vAlign w:val="center"/>
          </w:tcPr>
          <w:p w14:paraId="164B41A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按专项设计设置</w:t>
            </w:r>
          </w:p>
        </w:tc>
      </w:tr>
      <w:tr w14:paraId="44CD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noWrap w:val="0"/>
            <w:vAlign w:val="center"/>
          </w:tcPr>
          <w:p w14:paraId="6BCFC50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423" w:type="pct"/>
            <w:noWrap w:val="0"/>
            <w:vAlign w:val="center"/>
          </w:tcPr>
          <w:p w14:paraId="06A0562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监测设施</w:t>
            </w:r>
          </w:p>
        </w:tc>
        <w:tc>
          <w:tcPr>
            <w:tcW w:w="1024" w:type="pct"/>
            <w:noWrap w:val="0"/>
            <w:vAlign w:val="center"/>
          </w:tcPr>
          <w:p w14:paraId="205ECCA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采场边坡位</w:t>
            </w:r>
          </w:p>
          <w:p w14:paraId="3504A45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移观测设备</w:t>
            </w:r>
          </w:p>
        </w:tc>
        <w:tc>
          <w:tcPr>
            <w:tcW w:w="512" w:type="pct"/>
            <w:noWrap w:val="0"/>
            <w:vAlign w:val="center"/>
          </w:tcPr>
          <w:p w14:paraId="0C50E09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个</w:t>
            </w:r>
          </w:p>
        </w:tc>
        <w:tc>
          <w:tcPr>
            <w:tcW w:w="398" w:type="pct"/>
            <w:noWrap w:val="0"/>
            <w:vAlign w:val="center"/>
          </w:tcPr>
          <w:p w14:paraId="3EAB73F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w:t>
            </w:r>
          </w:p>
        </w:tc>
        <w:tc>
          <w:tcPr>
            <w:tcW w:w="712" w:type="pct"/>
            <w:noWrap w:val="0"/>
            <w:vAlign w:val="center"/>
          </w:tcPr>
          <w:p w14:paraId="61A11FB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12.6</w:t>
            </w:r>
          </w:p>
        </w:tc>
        <w:tc>
          <w:tcPr>
            <w:tcW w:w="1673" w:type="pct"/>
            <w:noWrap w:val="0"/>
            <w:vAlign w:val="center"/>
          </w:tcPr>
          <w:p w14:paraId="33DC718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位移监测桩</w:t>
            </w:r>
          </w:p>
        </w:tc>
      </w:tr>
      <w:tr w14:paraId="45A7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restart"/>
            <w:noWrap w:val="0"/>
            <w:vAlign w:val="center"/>
          </w:tcPr>
          <w:p w14:paraId="0EFCB08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423" w:type="pct"/>
            <w:vMerge w:val="restart"/>
            <w:noWrap w:val="0"/>
            <w:vAlign w:val="center"/>
          </w:tcPr>
          <w:p w14:paraId="47FEA76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矿山应急</w:t>
            </w:r>
          </w:p>
          <w:p w14:paraId="306F89C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救援器材</w:t>
            </w:r>
          </w:p>
          <w:p w14:paraId="67ABB44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及设备</w:t>
            </w:r>
          </w:p>
        </w:tc>
        <w:tc>
          <w:tcPr>
            <w:tcW w:w="1024" w:type="pct"/>
            <w:noWrap w:val="0"/>
            <w:vAlign w:val="center"/>
          </w:tcPr>
          <w:p w14:paraId="6966A53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对讲机</w:t>
            </w:r>
          </w:p>
        </w:tc>
        <w:tc>
          <w:tcPr>
            <w:tcW w:w="512" w:type="pct"/>
            <w:noWrap w:val="0"/>
            <w:vAlign w:val="center"/>
          </w:tcPr>
          <w:p w14:paraId="50C9374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8" w:type="pct"/>
            <w:noWrap w:val="0"/>
            <w:vAlign w:val="center"/>
          </w:tcPr>
          <w:p w14:paraId="2009F31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712" w:type="pct"/>
            <w:noWrap w:val="0"/>
            <w:vAlign w:val="center"/>
          </w:tcPr>
          <w:p w14:paraId="4C375A5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0.7</w:t>
            </w:r>
          </w:p>
        </w:tc>
        <w:tc>
          <w:tcPr>
            <w:tcW w:w="1673" w:type="pct"/>
            <w:noWrap w:val="0"/>
            <w:vAlign w:val="center"/>
          </w:tcPr>
          <w:p w14:paraId="5878F55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47B8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61DC28E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1302F6C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22CF7D1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液压起重器</w:t>
            </w:r>
          </w:p>
        </w:tc>
        <w:tc>
          <w:tcPr>
            <w:tcW w:w="512" w:type="pct"/>
            <w:noWrap w:val="0"/>
            <w:vAlign w:val="center"/>
          </w:tcPr>
          <w:p w14:paraId="4806053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8" w:type="pct"/>
            <w:noWrap w:val="0"/>
            <w:vAlign w:val="center"/>
          </w:tcPr>
          <w:p w14:paraId="549185F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712" w:type="pct"/>
            <w:noWrap w:val="0"/>
            <w:vAlign w:val="center"/>
          </w:tcPr>
          <w:p w14:paraId="7A6B5D3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3.5</w:t>
            </w:r>
          </w:p>
        </w:tc>
        <w:tc>
          <w:tcPr>
            <w:tcW w:w="1673" w:type="pct"/>
            <w:noWrap w:val="0"/>
            <w:vAlign w:val="center"/>
          </w:tcPr>
          <w:p w14:paraId="1A5E3FD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49E3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7516EBF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73E463D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380E923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千斤顶</w:t>
            </w:r>
          </w:p>
        </w:tc>
        <w:tc>
          <w:tcPr>
            <w:tcW w:w="512" w:type="pct"/>
            <w:noWrap w:val="0"/>
            <w:vAlign w:val="center"/>
          </w:tcPr>
          <w:p w14:paraId="29BAA77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8" w:type="pct"/>
            <w:noWrap w:val="0"/>
            <w:vAlign w:val="center"/>
          </w:tcPr>
          <w:p w14:paraId="602A7C3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712" w:type="pct"/>
            <w:noWrap w:val="0"/>
            <w:vAlign w:val="center"/>
          </w:tcPr>
          <w:p w14:paraId="1207750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1.3</w:t>
            </w:r>
          </w:p>
        </w:tc>
        <w:tc>
          <w:tcPr>
            <w:tcW w:w="1673" w:type="pct"/>
            <w:noWrap w:val="0"/>
            <w:vAlign w:val="center"/>
          </w:tcPr>
          <w:p w14:paraId="6F4A4A0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65FE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06AB5F1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4C7B74F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0E2E2AB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工具组</w:t>
            </w:r>
          </w:p>
        </w:tc>
        <w:tc>
          <w:tcPr>
            <w:tcW w:w="512" w:type="pct"/>
            <w:noWrap w:val="0"/>
            <w:vAlign w:val="center"/>
          </w:tcPr>
          <w:p w14:paraId="7D7A5DE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套</w:t>
            </w:r>
          </w:p>
        </w:tc>
        <w:tc>
          <w:tcPr>
            <w:tcW w:w="398" w:type="pct"/>
            <w:noWrap w:val="0"/>
            <w:vAlign w:val="center"/>
          </w:tcPr>
          <w:p w14:paraId="6F9D4E5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712" w:type="pct"/>
            <w:noWrap w:val="0"/>
            <w:vAlign w:val="center"/>
          </w:tcPr>
          <w:p w14:paraId="4F4DDB5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0.6</w:t>
            </w:r>
          </w:p>
        </w:tc>
        <w:tc>
          <w:tcPr>
            <w:tcW w:w="1673" w:type="pct"/>
            <w:noWrap w:val="0"/>
            <w:vAlign w:val="center"/>
          </w:tcPr>
          <w:p w14:paraId="1A9FB95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6B3C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30BD191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036C65A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0E04E15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安全帽</w:t>
            </w:r>
          </w:p>
        </w:tc>
        <w:tc>
          <w:tcPr>
            <w:tcW w:w="512" w:type="pct"/>
            <w:noWrap w:val="0"/>
            <w:vAlign w:val="center"/>
          </w:tcPr>
          <w:p w14:paraId="2376308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顶</w:t>
            </w:r>
          </w:p>
        </w:tc>
        <w:tc>
          <w:tcPr>
            <w:tcW w:w="398" w:type="pct"/>
            <w:noWrap w:val="0"/>
            <w:vAlign w:val="center"/>
          </w:tcPr>
          <w:p w14:paraId="19BB954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20</w:t>
            </w:r>
          </w:p>
        </w:tc>
        <w:tc>
          <w:tcPr>
            <w:tcW w:w="712" w:type="pct"/>
            <w:noWrap w:val="0"/>
            <w:vAlign w:val="center"/>
          </w:tcPr>
          <w:p w14:paraId="37A710B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0.1</w:t>
            </w:r>
          </w:p>
        </w:tc>
        <w:tc>
          <w:tcPr>
            <w:tcW w:w="1673" w:type="pct"/>
            <w:noWrap w:val="0"/>
            <w:vAlign w:val="center"/>
          </w:tcPr>
          <w:p w14:paraId="0F5A813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0322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597766C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7D521A2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4B8A938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水鞋</w:t>
            </w:r>
          </w:p>
        </w:tc>
        <w:tc>
          <w:tcPr>
            <w:tcW w:w="512" w:type="pct"/>
            <w:noWrap w:val="0"/>
            <w:vAlign w:val="center"/>
          </w:tcPr>
          <w:p w14:paraId="04829E5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双</w:t>
            </w:r>
          </w:p>
        </w:tc>
        <w:tc>
          <w:tcPr>
            <w:tcW w:w="398" w:type="pct"/>
            <w:noWrap w:val="0"/>
            <w:vAlign w:val="center"/>
          </w:tcPr>
          <w:p w14:paraId="4A109B5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20</w:t>
            </w:r>
          </w:p>
        </w:tc>
        <w:tc>
          <w:tcPr>
            <w:tcW w:w="712" w:type="pct"/>
            <w:noWrap w:val="0"/>
            <w:vAlign w:val="center"/>
          </w:tcPr>
          <w:p w14:paraId="2368E40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0.1</w:t>
            </w:r>
          </w:p>
        </w:tc>
        <w:tc>
          <w:tcPr>
            <w:tcW w:w="1673" w:type="pct"/>
            <w:noWrap w:val="0"/>
            <w:vAlign w:val="center"/>
          </w:tcPr>
          <w:p w14:paraId="6179D10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197C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631DD11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3DAFE8D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0B328DB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担架</w:t>
            </w:r>
          </w:p>
        </w:tc>
        <w:tc>
          <w:tcPr>
            <w:tcW w:w="512" w:type="pct"/>
            <w:noWrap w:val="0"/>
            <w:vAlign w:val="center"/>
          </w:tcPr>
          <w:p w14:paraId="7D20388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副</w:t>
            </w:r>
          </w:p>
        </w:tc>
        <w:tc>
          <w:tcPr>
            <w:tcW w:w="398" w:type="pct"/>
            <w:noWrap w:val="0"/>
            <w:vAlign w:val="center"/>
          </w:tcPr>
          <w:p w14:paraId="23E3A4B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712" w:type="pct"/>
            <w:noWrap w:val="0"/>
            <w:vAlign w:val="center"/>
          </w:tcPr>
          <w:p w14:paraId="3C699AA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0.1</w:t>
            </w:r>
          </w:p>
        </w:tc>
        <w:tc>
          <w:tcPr>
            <w:tcW w:w="1673" w:type="pct"/>
            <w:noWrap w:val="0"/>
            <w:vAlign w:val="center"/>
          </w:tcPr>
          <w:p w14:paraId="47F4C69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62B2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556929D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4E4B0EB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3A52C27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急救箱</w:t>
            </w:r>
          </w:p>
        </w:tc>
        <w:tc>
          <w:tcPr>
            <w:tcW w:w="512" w:type="pct"/>
            <w:noWrap w:val="0"/>
            <w:vAlign w:val="center"/>
          </w:tcPr>
          <w:p w14:paraId="4134FED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个</w:t>
            </w:r>
          </w:p>
        </w:tc>
        <w:tc>
          <w:tcPr>
            <w:tcW w:w="398" w:type="pct"/>
            <w:noWrap w:val="0"/>
            <w:vAlign w:val="center"/>
          </w:tcPr>
          <w:p w14:paraId="2B6347F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712" w:type="pct"/>
            <w:noWrap w:val="0"/>
            <w:vAlign w:val="center"/>
          </w:tcPr>
          <w:p w14:paraId="6CB8467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0.3</w:t>
            </w:r>
          </w:p>
        </w:tc>
        <w:tc>
          <w:tcPr>
            <w:tcW w:w="1673" w:type="pct"/>
            <w:noWrap w:val="0"/>
            <w:vAlign w:val="center"/>
          </w:tcPr>
          <w:p w14:paraId="1CD52A7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3D98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4FA5289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3153643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69EDB9D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安全带</w:t>
            </w:r>
          </w:p>
        </w:tc>
        <w:tc>
          <w:tcPr>
            <w:tcW w:w="512" w:type="pct"/>
            <w:noWrap w:val="0"/>
            <w:vAlign w:val="center"/>
          </w:tcPr>
          <w:p w14:paraId="13DBFCF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套</w:t>
            </w:r>
          </w:p>
        </w:tc>
        <w:tc>
          <w:tcPr>
            <w:tcW w:w="398" w:type="pct"/>
            <w:noWrap w:val="0"/>
            <w:vAlign w:val="center"/>
          </w:tcPr>
          <w:p w14:paraId="0A10CF2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712" w:type="pct"/>
            <w:noWrap w:val="0"/>
            <w:vAlign w:val="center"/>
          </w:tcPr>
          <w:p w14:paraId="5BFD6AA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0.1</w:t>
            </w:r>
          </w:p>
        </w:tc>
        <w:tc>
          <w:tcPr>
            <w:tcW w:w="1673" w:type="pct"/>
            <w:noWrap w:val="0"/>
            <w:vAlign w:val="center"/>
          </w:tcPr>
          <w:p w14:paraId="6DC5E75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64A9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5FE6860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79FEC9D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5F2BF64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安全绳</w:t>
            </w:r>
          </w:p>
        </w:tc>
        <w:tc>
          <w:tcPr>
            <w:tcW w:w="512" w:type="pct"/>
            <w:noWrap w:val="0"/>
            <w:vAlign w:val="center"/>
          </w:tcPr>
          <w:p w14:paraId="7507D8A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m</w:t>
            </w:r>
          </w:p>
        </w:tc>
        <w:tc>
          <w:tcPr>
            <w:tcW w:w="398" w:type="pct"/>
            <w:noWrap w:val="0"/>
            <w:vAlign w:val="center"/>
          </w:tcPr>
          <w:p w14:paraId="662548B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500</w:t>
            </w:r>
          </w:p>
        </w:tc>
        <w:tc>
          <w:tcPr>
            <w:tcW w:w="712" w:type="pct"/>
            <w:noWrap w:val="0"/>
            <w:vAlign w:val="center"/>
          </w:tcPr>
          <w:p w14:paraId="211011F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0.1</w:t>
            </w:r>
          </w:p>
        </w:tc>
        <w:tc>
          <w:tcPr>
            <w:tcW w:w="1673" w:type="pct"/>
            <w:noWrap w:val="0"/>
            <w:vAlign w:val="center"/>
          </w:tcPr>
          <w:p w14:paraId="072F7EE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5B57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11E878D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7FB14AE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12F10EE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应急灯</w:t>
            </w:r>
          </w:p>
        </w:tc>
        <w:tc>
          <w:tcPr>
            <w:tcW w:w="512" w:type="pct"/>
            <w:noWrap w:val="0"/>
            <w:vAlign w:val="center"/>
          </w:tcPr>
          <w:p w14:paraId="2EEF5FA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盏</w:t>
            </w:r>
          </w:p>
        </w:tc>
        <w:tc>
          <w:tcPr>
            <w:tcW w:w="398" w:type="pct"/>
            <w:noWrap w:val="0"/>
            <w:vAlign w:val="center"/>
          </w:tcPr>
          <w:p w14:paraId="076399E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712" w:type="pct"/>
            <w:noWrap w:val="0"/>
            <w:vAlign w:val="center"/>
          </w:tcPr>
          <w:p w14:paraId="501F1DB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0.5</w:t>
            </w:r>
          </w:p>
        </w:tc>
        <w:tc>
          <w:tcPr>
            <w:tcW w:w="1673" w:type="pct"/>
            <w:noWrap w:val="0"/>
            <w:vAlign w:val="center"/>
          </w:tcPr>
          <w:p w14:paraId="5FED74A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24AC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6E707AC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53AECD0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03BDE09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帐蓬</w:t>
            </w:r>
          </w:p>
        </w:tc>
        <w:tc>
          <w:tcPr>
            <w:tcW w:w="512" w:type="pct"/>
            <w:noWrap w:val="0"/>
            <w:vAlign w:val="center"/>
          </w:tcPr>
          <w:p w14:paraId="5D1A442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套</w:t>
            </w:r>
          </w:p>
        </w:tc>
        <w:tc>
          <w:tcPr>
            <w:tcW w:w="398" w:type="pct"/>
            <w:noWrap w:val="0"/>
            <w:vAlign w:val="center"/>
          </w:tcPr>
          <w:p w14:paraId="2928575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712" w:type="pct"/>
            <w:noWrap w:val="0"/>
            <w:vAlign w:val="center"/>
          </w:tcPr>
          <w:p w14:paraId="51309F9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2.0</w:t>
            </w:r>
          </w:p>
        </w:tc>
        <w:tc>
          <w:tcPr>
            <w:tcW w:w="1673" w:type="pct"/>
            <w:noWrap w:val="0"/>
            <w:vAlign w:val="center"/>
          </w:tcPr>
          <w:p w14:paraId="7F8AE73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1851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673DE7F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7FC0222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5F0BDA0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切割锯</w:t>
            </w:r>
          </w:p>
        </w:tc>
        <w:tc>
          <w:tcPr>
            <w:tcW w:w="512" w:type="pct"/>
            <w:noWrap w:val="0"/>
            <w:vAlign w:val="center"/>
          </w:tcPr>
          <w:p w14:paraId="1C0C63B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把</w:t>
            </w:r>
          </w:p>
        </w:tc>
        <w:tc>
          <w:tcPr>
            <w:tcW w:w="398" w:type="pct"/>
            <w:noWrap w:val="0"/>
            <w:vAlign w:val="center"/>
          </w:tcPr>
          <w:p w14:paraId="7A73542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w:t>
            </w:r>
          </w:p>
        </w:tc>
        <w:tc>
          <w:tcPr>
            <w:tcW w:w="712" w:type="pct"/>
            <w:noWrap w:val="0"/>
            <w:vAlign w:val="center"/>
          </w:tcPr>
          <w:p w14:paraId="03BEFB2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2.8</w:t>
            </w:r>
          </w:p>
        </w:tc>
        <w:tc>
          <w:tcPr>
            <w:tcW w:w="1673" w:type="pct"/>
            <w:noWrap w:val="0"/>
            <w:vAlign w:val="center"/>
          </w:tcPr>
          <w:p w14:paraId="5B443A8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2398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18F7F86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2FB823F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26A1A18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灭火器</w:t>
            </w:r>
          </w:p>
        </w:tc>
        <w:tc>
          <w:tcPr>
            <w:tcW w:w="512" w:type="pct"/>
            <w:noWrap w:val="0"/>
            <w:vAlign w:val="center"/>
          </w:tcPr>
          <w:p w14:paraId="37D9561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只</w:t>
            </w:r>
          </w:p>
        </w:tc>
        <w:tc>
          <w:tcPr>
            <w:tcW w:w="398" w:type="pct"/>
            <w:noWrap w:val="0"/>
            <w:vAlign w:val="center"/>
          </w:tcPr>
          <w:p w14:paraId="3E1F016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712" w:type="pct"/>
            <w:noWrap w:val="0"/>
            <w:vAlign w:val="center"/>
          </w:tcPr>
          <w:p w14:paraId="178C74C6">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0.6</w:t>
            </w:r>
          </w:p>
        </w:tc>
        <w:tc>
          <w:tcPr>
            <w:tcW w:w="1673" w:type="pct"/>
            <w:noWrap w:val="0"/>
            <w:vAlign w:val="center"/>
          </w:tcPr>
          <w:p w14:paraId="1E93E74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矿山仓库</w:t>
            </w:r>
          </w:p>
        </w:tc>
      </w:tr>
      <w:tr w14:paraId="0172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3A4141D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17D5DEC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6C10AF2A">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运输车辆</w:t>
            </w:r>
          </w:p>
        </w:tc>
        <w:tc>
          <w:tcPr>
            <w:tcW w:w="512" w:type="pct"/>
            <w:noWrap w:val="0"/>
            <w:vAlign w:val="center"/>
          </w:tcPr>
          <w:p w14:paraId="0F10B03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辆</w:t>
            </w:r>
          </w:p>
        </w:tc>
        <w:tc>
          <w:tcPr>
            <w:tcW w:w="398" w:type="pct"/>
            <w:noWrap w:val="0"/>
            <w:vAlign w:val="center"/>
          </w:tcPr>
          <w:p w14:paraId="4ECF709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712" w:type="pct"/>
            <w:noWrap w:val="0"/>
            <w:vAlign w:val="center"/>
          </w:tcPr>
          <w:p w14:paraId="1A12C6F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673" w:type="pct"/>
            <w:noWrap w:val="0"/>
            <w:vAlign w:val="center"/>
          </w:tcPr>
          <w:p w14:paraId="3972697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利用生产设备</w:t>
            </w:r>
          </w:p>
        </w:tc>
      </w:tr>
      <w:tr w14:paraId="4455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noWrap w:val="0"/>
            <w:vAlign w:val="center"/>
          </w:tcPr>
          <w:p w14:paraId="1126F8C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7</w:t>
            </w:r>
          </w:p>
        </w:tc>
        <w:tc>
          <w:tcPr>
            <w:tcW w:w="423" w:type="pct"/>
            <w:noWrap w:val="0"/>
            <w:vAlign w:val="center"/>
          </w:tcPr>
          <w:p w14:paraId="66824D9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通信联络系统</w:t>
            </w:r>
          </w:p>
        </w:tc>
        <w:tc>
          <w:tcPr>
            <w:tcW w:w="1024" w:type="pct"/>
            <w:noWrap w:val="0"/>
            <w:vAlign w:val="center"/>
          </w:tcPr>
          <w:p w14:paraId="1B626FE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固定电话、手机、无线对讲机</w:t>
            </w:r>
          </w:p>
        </w:tc>
        <w:tc>
          <w:tcPr>
            <w:tcW w:w="512" w:type="pct"/>
            <w:noWrap w:val="0"/>
            <w:vAlign w:val="center"/>
          </w:tcPr>
          <w:p w14:paraId="2485397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台</w:t>
            </w:r>
          </w:p>
        </w:tc>
        <w:tc>
          <w:tcPr>
            <w:tcW w:w="398" w:type="pct"/>
            <w:noWrap w:val="0"/>
            <w:vAlign w:val="center"/>
          </w:tcPr>
          <w:p w14:paraId="412A4FE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712" w:type="pct"/>
            <w:noWrap w:val="0"/>
            <w:vAlign w:val="center"/>
          </w:tcPr>
          <w:p w14:paraId="31F8DAD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2</w:t>
            </w:r>
          </w:p>
        </w:tc>
        <w:tc>
          <w:tcPr>
            <w:tcW w:w="1673" w:type="pct"/>
            <w:noWrap w:val="0"/>
            <w:vAlign w:val="center"/>
          </w:tcPr>
          <w:p w14:paraId="648E2C9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值班室、单班班长、</w:t>
            </w:r>
          </w:p>
          <w:p w14:paraId="05EEB23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专职安全员</w:t>
            </w:r>
          </w:p>
        </w:tc>
      </w:tr>
      <w:tr w14:paraId="576C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restart"/>
            <w:noWrap w:val="0"/>
            <w:vAlign w:val="center"/>
          </w:tcPr>
          <w:p w14:paraId="722A20C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8</w:t>
            </w:r>
          </w:p>
        </w:tc>
        <w:tc>
          <w:tcPr>
            <w:tcW w:w="423" w:type="pct"/>
            <w:vMerge w:val="restart"/>
            <w:noWrap w:val="0"/>
            <w:vAlign w:val="center"/>
          </w:tcPr>
          <w:p w14:paraId="21362A3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个人安全</w:t>
            </w:r>
          </w:p>
          <w:p w14:paraId="6ABB89D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防护用品</w:t>
            </w:r>
          </w:p>
        </w:tc>
        <w:tc>
          <w:tcPr>
            <w:tcW w:w="1024" w:type="pct"/>
            <w:noWrap w:val="0"/>
            <w:vAlign w:val="center"/>
          </w:tcPr>
          <w:p w14:paraId="5EB1D36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安全帽</w:t>
            </w:r>
          </w:p>
        </w:tc>
        <w:tc>
          <w:tcPr>
            <w:tcW w:w="512" w:type="pct"/>
            <w:noWrap w:val="0"/>
            <w:vAlign w:val="center"/>
          </w:tcPr>
          <w:p w14:paraId="6019390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顶</w:t>
            </w:r>
          </w:p>
        </w:tc>
        <w:tc>
          <w:tcPr>
            <w:tcW w:w="398" w:type="pct"/>
            <w:noWrap w:val="0"/>
            <w:vAlign w:val="center"/>
          </w:tcPr>
          <w:p w14:paraId="2BA7DE0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40</w:t>
            </w:r>
          </w:p>
        </w:tc>
        <w:tc>
          <w:tcPr>
            <w:tcW w:w="712" w:type="pct"/>
            <w:noWrap w:val="0"/>
            <w:vAlign w:val="center"/>
          </w:tcPr>
          <w:p w14:paraId="6B82E1F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0.6</w:t>
            </w:r>
          </w:p>
        </w:tc>
        <w:tc>
          <w:tcPr>
            <w:tcW w:w="1673" w:type="pct"/>
            <w:noWrap w:val="0"/>
            <w:vAlign w:val="center"/>
          </w:tcPr>
          <w:p w14:paraId="736C70F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tr w14:paraId="51FF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227D352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302F916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228CBDA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安全带</w:t>
            </w:r>
          </w:p>
        </w:tc>
        <w:tc>
          <w:tcPr>
            <w:tcW w:w="512" w:type="pct"/>
            <w:noWrap w:val="0"/>
            <w:vAlign w:val="center"/>
          </w:tcPr>
          <w:p w14:paraId="374ABE1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套</w:t>
            </w:r>
          </w:p>
        </w:tc>
        <w:tc>
          <w:tcPr>
            <w:tcW w:w="398" w:type="pct"/>
            <w:noWrap w:val="0"/>
            <w:vAlign w:val="center"/>
          </w:tcPr>
          <w:p w14:paraId="4415639D">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w:t>
            </w:r>
          </w:p>
        </w:tc>
        <w:tc>
          <w:tcPr>
            <w:tcW w:w="712" w:type="pct"/>
            <w:noWrap w:val="0"/>
            <w:vAlign w:val="center"/>
          </w:tcPr>
          <w:p w14:paraId="32CB16A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0.3</w:t>
            </w:r>
          </w:p>
        </w:tc>
        <w:tc>
          <w:tcPr>
            <w:tcW w:w="1673" w:type="pct"/>
            <w:noWrap w:val="0"/>
            <w:vAlign w:val="center"/>
          </w:tcPr>
          <w:p w14:paraId="2A203149">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涉及高处作业人员</w:t>
            </w:r>
          </w:p>
        </w:tc>
      </w:tr>
      <w:tr w14:paraId="07BB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vMerge w:val="continue"/>
            <w:noWrap w:val="0"/>
            <w:vAlign w:val="center"/>
          </w:tcPr>
          <w:p w14:paraId="6C98EDA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423" w:type="pct"/>
            <w:vMerge w:val="continue"/>
            <w:noWrap w:val="0"/>
            <w:vAlign w:val="center"/>
          </w:tcPr>
          <w:p w14:paraId="376C27F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1024" w:type="pct"/>
            <w:noWrap w:val="0"/>
            <w:vAlign w:val="center"/>
          </w:tcPr>
          <w:p w14:paraId="5DA7763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其它</w:t>
            </w:r>
          </w:p>
        </w:tc>
        <w:tc>
          <w:tcPr>
            <w:tcW w:w="512" w:type="pct"/>
            <w:noWrap w:val="0"/>
            <w:vAlign w:val="center"/>
          </w:tcPr>
          <w:p w14:paraId="0AC8F60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398" w:type="pct"/>
            <w:noWrap w:val="0"/>
            <w:vAlign w:val="center"/>
          </w:tcPr>
          <w:p w14:paraId="1776BC74">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12" w:type="pct"/>
            <w:noWrap w:val="0"/>
            <w:vAlign w:val="center"/>
          </w:tcPr>
          <w:p w14:paraId="73B23053">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5.7</w:t>
            </w:r>
          </w:p>
        </w:tc>
        <w:tc>
          <w:tcPr>
            <w:tcW w:w="1673" w:type="pct"/>
            <w:noWrap w:val="0"/>
            <w:vAlign w:val="center"/>
          </w:tcPr>
          <w:p w14:paraId="609E924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全矿工作人员</w:t>
            </w:r>
          </w:p>
        </w:tc>
      </w:tr>
      <w:tr w14:paraId="7F1F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noWrap w:val="0"/>
            <w:vAlign w:val="center"/>
          </w:tcPr>
          <w:p w14:paraId="57D8E86B">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9</w:t>
            </w:r>
          </w:p>
        </w:tc>
        <w:tc>
          <w:tcPr>
            <w:tcW w:w="423" w:type="pct"/>
            <w:noWrap w:val="0"/>
            <w:vAlign w:val="center"/>
          </w:tcPr>
          <w:p w14:paraId="0040C39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安全标志</w:t>
            </w:r>
          </w:p>
        </w:tc>
        <w:tc>
          <w:tcPr>
            <w:tcW w:w="1024" w:type="pct"/>
            <w:noWrap w:val="0"/>
            <w:vAlign w:val="center"/>
          </w:tcPr>
          <w:p w14:paraId="61DA1D55">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12" w:type="pct"/>
            <w:noWrap w:val="0"/>
            <w:vAlign w:val="center"/>
          </w:tcPr>
          <w:p w14:paraId="7B76B43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398" w:type="pct"/>
            <w:noWrap w:val="0"/>
            <w:vAlign w:val="center"/>
          </w:tcPr>
          <w:p w14:paraId="4E43250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12" w:type="pct"/>
            <w:noWrap w:val="0"/>
            <w:vAlign w:val="center"/>
          </w:tcPr>
          <w:p w14:paraId="7C79B11F">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6</w:t>
            </w:r>
          </w:p>
        </w:tc>
        <w:tc>
          <w:tcPr>
            <w:tcW w:w="1673" w:type="pct"/>
            <w:noWrap w:val="0"/>
            <w:vAlign w:val="center"/>
          </w:tcPr>
          <w:p w14:paraId="2FC188E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矿区存在危险源的地方</w:t>
            </w:r>
          </w:p>
        </w:tc>
      </w:tr>
      <w:tr w14:paraId="5DB6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6" w:type="pct"/>
            <w:noWrap w:val="0"/>
            <w:vAlign w:val="center"/>
          </w:tcPr>
          <w:p w14:paraId="260B9B30">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10</w:t>
            </w:r>
          </w:p>
        </w:tc>
        <w:tc>
          <w:tcPr>
            <w:tcW w:w="423" w:type="pct"/>
            <w:noWrap w:val="0"/>
            <w:vAlign w:val="center"/>
          </w:tcPr>
          <w:p w14:paraId="451CE881">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合计</w:t>
            </w:r>
          </w:p>
        </w:tc>
        <w:tc>
          <w:tcPr>
            <w:tcW w:w="1024" w:type="pct"/>
            <w:noWrap w:val="0"/>
            <w:vAlign w:val="center"/>
          </w:tcPr>
          <w:p w14:paraId="12FC53FC">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512" w:type="pct"/>
            <w:noWrap w:val="0"/>
            <w:vAlign w:val="center"/>
          </w:tcPr>
          <w:p w14:paraId="30F89FEE">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398" w:type="pct"/>
            <w:noWrap w:val="0"/>
            <w:vAlign w:val="center"/>
          </w:tcPr>
          <w:p w14:paraId="3AEA6848">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c>
          <w:tcPr>
            <w:tcW w:w="712" w:type="pct"/>
            <w:noWrap w:val="0"/>
            <w:vAlign w:val="center"/>
          </w:tcPr>
          <w:p w14:paraId="652105F2">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r>
              <w:rPr>
                <w:rFonts w:hint="default" w:ascii="Times New Roman" w:hAnsi="Times New Roman" w:eastAsia="宋体" w:cs="Times New Roman"/>
                <w:b w:val="0"/>
                <w:kern w:val="2"/>
                <w:sz w:val="21"/>
                <w:szCs w:val="21"/>
                <w:lang w:val="en-US" w:eastAsia="zh-CN" w:bidi="ar-SA"/>
              </w:rPr>
              <w:t>47.18</w:t>
            </w:r>
          </w:p>
        </w:tc>
        <w:tc>
          <w:tcPr>
            <w:tcW w:w="1673" w:type="pct"/>
            <w:noWrap w:val="0"/>
            <w:vAlign w:val="center"/>
          </w:tcPr>
          <w:p w14:paraId="3DE08267">
            <w:pPr>
              <w:widowControl w:val="0"/>
              <w:adjustRightInd w:val="0"/>
              <w:snapToGrid w:val="0"/>
              <w:spacing w:line="240" w:lineRule="auto"/>
              <w:ind w:firstLine="0" w:firstLineChars="0"/>
              <w:jc w:val="center"/>
              <w:rPr>
                <w:rFonts w:hint="default" w:ascii="Times New Roman" w:hAnsi="Times New Roman" w:eastAsia="宋体" w:cs="Times New Roman"/>
                <w:b w:val="0"/>
                <w:kern w:val="2"/>
                <w:sz w:val="21"/>
                <w:szCs w:val="21"/>
                <w:lang w:val="en-US" w:eastAsia="zh-CN" w:bidi="ar-SA"/>
              </w:rPr>
            </w:pPr>
          </w:p>
        </w:tc>
      </w:tr>
      <w:bookmarkEnd w:id="469"/>
    </w:tbl>
    <w:p w14:paraId="5DFD3913">
      <w:pPr>
        <w:pStyle w:val="4"/>
        <w:ind w:firstLine="562"/>
        <w:rPr>
          <w:rFonts w:hint="default" w:ascii="Times New Roman" w:hAnsi="Times New Roman" w:eastAsia="宋体" w:cs="Times New Roman"/>
          <w:b/>
          <w:bCs/>
          <w:color w:val="auto"/>
          <w:lang w:val="en-US" w:eastAsia="zh-CN"/>
        </w:rPr>
      </w:pPr>
      <w:bookmarkStart w:id="470" w:name="_Toc20777"/>
      <w:bookmarkStart w:id="471" w:name="_Toc7743"/>
      <w:bookmarkStart w:id="472" w:name="_Toc21635"/>
      <w:bookmarkStart w:id="473" w:name="_Toc454614271"/>
      <w:bookmarkStart w:id="474" w:name="_Toc4475"/>
      <w:bookmarkStart w:id="475" w:name="_Toc4116"/>
      <w:bookmarkStart w:id="476" w:name="_Toc59420522"/>
      <w:bookmarkStart w:id="477" w:name="_Toc22102"/>
      <w:r>
        <w:rPr>
          <w:rFonts w:hint="default" w:ascii="Times New Roman" w:hAnsi="Times New Roman" w:eastAsia="宋体" w:cs="Times New Roman"/>
          <w:b/>
          <w:bCs/>
          <w:color w:val="auto"/>
        </w:rPr>
        <w:t>2.4.1</w:t>
      </w:r>
      <w:r>
        <w:rPr>
          <w:rFonts w:hint="eastAsia" w:eastAsia="宋体" w:cs="Times New Roman"/>
          <w:b/>
          <w:bCs/>
          <w:color w:val="auto"/>
          <w:lang w:val="en-US" w:eastAsia="zh-CN"/>
        </w:rPr>
        <w:t>5</w:t>
      </w:r>
      <w:r>
        <w:rPr>
          <w:rFonts w:hint="default" w:ascii="Times New Roman" w:hAnsi="Times New Roman" w:eastAsia="宋体" w:cs="Times New Roman"/>
          <w:b/>
          <w:bCs/>
          <w:color w:val="auto"/>
          <w:lang w:val="en-US" w:eastAsia="zh-CN"/>
        </w:rPr>
        <w:t>工程量对照</w:t>
      </w:r>
    </w:p>
    <w:p w14:paraId="3D57C3BD">
      <w:pPr>
        <w:rPr>
          <w:rFonts w:hint="default" w:ascii="Times New Roman" w:hAnsi="Times New Roman" w:cs="Times New Roman"/>
          <w:color w:val="auto"/>
          <w:lang w:eastAsia="zh-CN"/>
        </w:rPr>
      </w:pPr>
      <w:r>
        <w:rPr>
          <w:rFonts w:hint="default" w:ascii="Times New Roman" w:hAnsi="Times New Roman" w:cs="Times New Roman"/>
          <w:color w:val="auto"/>
          <w:lang w:eastAsia="zh-CN"/>
        </w:rPr>
        <w:t>。</w:t>
      </w:r>
    </w:p>
    <w:p w14:paraId="2D362A2F">
      <w:pPr>
        <w:rPr>
          <w:rFonts w:hint="default" w:ascii="Times New Roman" w:hAnsi="Times New Roman" w:eastAsia="宋体" w:cs="Times New Roman"/>
          <w:color w:val="auto"/>
          <w:lang w:val="en-US" w:eastAsia="zh-CN"/>
        </w:rPr>
      </w:pPr>
      <w:r>
        <w:rPr>
          <w:rFonts w:hint="eastAsia" w:cs="Times New Roman"/>
          <w:color w:val="auto"/>
          <w:lang w:val="en-US" w:eastAsia="zh-CN"/>
        </w:rPr>
        <w:t>XX</w:t>
      </w:r>
      <w:r>
        <w:rPr>
          <w:rFonts w:hint="default" w:ascii="Times New Roman" w:hAnsi="Times New Roman" w:eastAsia="宋体" w:cs="Times New Roman"/>
          <w:color w:val="auto"/>
          <w:lang w:val="en-US" w:eastAsia="zh-CN"/>
        </w:rPr>
        <w:t>。</w:t>
      </w:r>
    </w:p>
    <w:p w14:paraId="45A9859F">
      <w:pPr>
        <w:pStyle w:val="4"/>
        <w:ind w:firstLine="56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2.4.1</w:t>
      </w:r>
      <w:r>
        <w:rPr>
          <w:rFonts w:hint="eastAsia" w:eastAsia="宋体" w:cs="Times New Roman"/>
          <w:b/>
          <w:bCs/>
          <w:color w:val="auto"/>
          <w:lang w:val="en-US" w:eastAsia="zh-CN"/>
        </w:rPr>
        <w:t>6</w:t>
      </w:r>
      <w:r>
        <w:rPr>
          <w:rFonts w:hint="default" w:ascii="Times New Roman" w:hAnsi="Times New Roman" w:eastAsia="宋体" w:cs="Times New Roman"/>
          <w:b/>
          <w:bCs/>
          <w:color w:val="auto"/>
        </w:rPr>
        <w:t>设计变更</w:t>
      </w:r>
      <w:bookmarkEnd w:id="470"/>
      <w:bookmarkEnd w:id="471"/>
      <w:bookmarkEnd w:id="472"/>
      <w:bookmarkEnd w:id="473"/>
      <w:bookmarkEnd w:id="474"/>
      <w:bookmarkEnd w:id="475"/>
      <w:bookmarkEnd w:id="476"/>
      <w:bookmarkEnd w:id="477"/>
    </w:p>
    <w:p w14:paraId="790E8AFF">
      <w:pPr>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color w:val="auto"/>
          <w:szCs w:val="28"/>
          <w:lang w:eastAsia="zh-CN"/>
        </w:rPr>
      </w:pPr>
      <w:r>
        <w:rPr>
          <w:rFonts w:hint="default" w:ascii="Times New Roman" w:hAnsi="Times New Roman" w:cs="Times New Roman"/>
          <w:color w:val="auto"/>
          <w:sz w:val="28"/>
          <w:szCs w:val="28"/>
        </w:rPr>
        <w:t>矿山</w:t>
      </w:r>
      <w:r>
        <w:rPr>
          <w:rFonts w:hint="default" w:ascii="Times New Roman" w:hAnsi="Times New Roman" w:cs="Times New Roman"/>
          <w:color w:val="auto"/>
          <w:sz w:val="28"/>
          <w:szCs w:val="28"/>
          <w:lang w:val="en-US" w:eastAsia="zh-CN"/>
        </w:rPr>
        <w:t>不存在设计变更情况</w:t>
      </w:r>
      <w:r>
        <w:rPr>
          <w:rFonts w:hint="default" w:ascii="Times New Roman" w:hAnsi="Times New Roman" w:cs="Times New Roman"/>
          <w:color w:val="auto"/>
          <w:szCs w:val="28"/>
          <w:lang w:val="en-US" w:eastAsia="zh-CN"/>
        </w:rPr>
        <w:t>。</w:t>
      </w:r>
    </w:p>
    <w:p w14:paraId="6B0B34F2">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478" w:name="_Toc8424"/>
      <w:bookmarkStart w:id="479" w:name="_Toc454614272"/>
      <w:bookmarkStart w:id="480" w:name="_Toc21059"/>
      <w:bookmarkStart w:id="481" w:name="_Toc30810"/>
      <w:bookmarkStart w:id="482" w:name="_Toc59420523"/>
      <w:bookmarkStart w:id="483" w:name="_Toc24722"/>
      <w:bookmarkStart w:id="484" w:name="_Toc30599"/>
      <w:bookmarkStart w:id="485" w:name="_Toc17373"/>
      <w:bookmarkStart w:id="486" w:name="_Toc6620"/>
      <w:bookmarkStart w:id="487" w:name="_Toc29653"/>
      <w:r>
        <w:rPr>
          <w:rFonts w:hint="default" w:ascii="Times New Roman" w:hAnsi="Times New Roman" w:cs="Times New Roman"/>
          <w:b/>
          <w:bCs w:val="0"/>
        </w:rPr>
        <w:t>2.5施工及监理概况</w:t>
      </w:r>
      <w:bookmarkEnd w:id="478"/>
      <w:bookmarkEnd w:id="479"/>
      <w:bookmarkEnd w:id="480"/>
      <w:bookmarkEnd w:id="481"/>
      <w:bookmarkEnd w:id="482"/>
      <w:bookmarkEnd w:id="483"/>
      <w:bookmarkEnd w:id="484"/>
      <w:bookmarkEnd w:id="485"/>
      <w:bookmarkEnd w:id="486"/>
      <w:bookmarkEnd w:id="487"/>
    </w:p>
    <w:p w14:paraId="6CFB6276">
      <w:pPr>
        <w:pStyle w:val="4"/>
        <w:ind w:firstLine="562"/>
        <w:rPr>
          <w:rFonts w:hint="default" w:ascii="Times New Roman" w:hAnsi="Times New Roman" w:eastAsia="宋体" w:cs="Times New Roman"/>
          <w:b/>
          <w:bCs w:val="0"/>
        </w:rPr>
      </w:pPr>
      <w:bookmarkStart w:id="488" w:name="_Toc17977"/>
      <w:bookmarkStart w:id="489" w:name="_Toc59420524"/>
      <w:bookmarkStart w:id="490" w:name="_Toc22686"/>
      <w:bookmarkStart w:id="491" w:name="_Toc14382"/>
      <w:bookmarkStart w:id="492" w:name="_Toc26746"/>
      <w:r>
        <w:rPr>
          <w:rFonts w:hint="default" w:ascii="Times New Roman" w:hAnsi="Times New Roman" w:eastAsia="宋体" w:cs="Times New Roman"/>
          <w:b/>
          <w:bCs w:val="0"/>
        </w:rPr>
        <w:t>2.5.1施工</w:t>
      </w:r>
      <w:bookmarkEnd w:id="488"/>
      <w:bookmarkEnd w:id="489"/>
      <w:r>
        <w:rPr>
          <w:rFonts w:hint="default" w:ascii="Times New Roman" w:hAnsi="Times New Roman" w:eastAsia="宋体" w:cs="Times New Roman"/>
          <w:b/>
          <w:bCs w:val="0"/>
        </w:rPr>
        <w:t>概况</w:t>
      </w:r>
      <w:bookmarkEnd w:id="490"/>
      <w:bookmarkEnd w:id="491"/>
      <w:bookmarkEnd w:id="492"/>
    </w:p>
    <w:p w14:paraId="5953E8EF">
      <w:pPr>
        <w:pStyle w:val="28"/>
        <w:ind w:right="360" w:firstLine="560"/>
        <w:jc w:val="both"/>
        <w:rPr>
          <w:rFonts w:hint="default" w:ascii="Times New Roman" w:hAnsi="Times New Roman" w:cs="Times New Roman"/>
          <w:szCs w:val="28"/>
        </w:rPr>
      </w:pPr>
      <w:r>
        <w:rPr>
          <w:rFonts w:hint="eastAsia" w:cs="Times New Roman"/>
          <w:sz w:val="28"/>
          <w:szCs w:val="28"/>
          <w:lang w:val="en-US" w:eastAsia="zh-CN"/>
        </w:rPr>
        <w:t>XX</w:t>
      </w:r>
      <w:r>
        <w:rPr>
          <w:rFonts w:hint="default" w:ascii="Times New Roman" w:hAnsi="Times New Roman" w:cs="Times New Roman"/>
          <w:sz w:val="28"/>
          <w:szCs w:val="28"/>
        </w:rPr>
        <w:t>。</w:t>
      </w:r>
    </w:p>
    <w:p w14:paraId="76A5AEFC">
      <w:pPr>
        <w:pStyle w:val="4"/>
        <w:ind w:firstLine="562"/>
        <w:rPr>
          <w:rFonts w:hint="default" w:ascii="Times New Roman" w:hAnsi="Times New Roman" w:eastAsia="宋体" w:cs="Times New Roman"/>
          <w:b/>
          <w:bCs w:val="0"/>
        </w:rPr>
      </w:pPr>
      <w:bookmarkStart w:id="493" w:name="_Toc31484"/>
      <w:bookmarkStart w:id="494" w:name="_Toc59420525"/>
      <w:bookmarkStart w:id="495" w:name="_Toc7706"/>
      <w:bookmarkStart w:id="496" w:name="_Toc23177"/>
      <w:bookmarkStart w:id="497" w:name="_Toc955"/>
      <w:r>
        <w:rPr>
          <w:rFonts w:hint="default" w:ascii="Times New Roman" w:hAnsi="Times New Roman" w:eastAsia="宋体" w:cs="Times New Roman"/>
          <w:b/>
          <w:bCs w:val="0"/>
        </w:rPr>
        <w:t>2.5.2监理</w:t>
      </w:r>
      <w:bookmarkEnd w:id="493"/>
      <w:bookmarkEnd w:id="494"/>
      <w:r>
        <w:rPr>
          <w:rFonts w:hint="default" w:ascii="Times New Roman" w:hAnsi="Times New Roman" w:eastAsia="宋体" w:cs="Times New Roman"/>
          <w:b/>
          <w:bCs w:val="0"/>
        </w:rPr>
        <w:t>概况</w:t>
      </w:r>
      <w:bookmarkEnd w:id="495"/>
      <w:bookmarkEnd w:id="496"/>
      <w:bookmarkEnd w:id="497"/>
    </w:p>
    <w:p w14:paraId="4E94FB9B">
      <w:pPr>
        <w:ind w:firstLine="560"/>
        <w:rPr>
          <w:rFonts w:hint="default" w:ascii="Times New Roman" w:hAnsi="Times New Roman" w:cs="Times New Roman"/>
        </w:rPr>
      </w:pPr>
      <w:r>
        <w:rPr>
          <w:rFonts w:hint="eastAsia" w:cs="Times New Roman"/>
          <w:sz w:val="28"/>
          <w:szCs w:val="28"/>
          <w:lang w:val="en-US" w:eastAsia="zh-CN"/>
        </w:rPr>
        <w:t>XX</w:t>
      </w:r>
      <w:r>
        <w:rPr>
          <w:rFonts w:hint="default" w:ascii="Times New Roman" w:hAnsi="Times New Roman" w:cs="Times New Roman"/>
          <w:szCs w:val="28"/>
        </w:rPr>
        <w:t>。</w:t>
      </w:r>
    </w:p>
    <w:p w14:paraId="62CF5D03">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498" w:name="_Toc21273"/>
      <w:bookmarkStart w:id="499" w:name="_Toc13999"/>
      <w:bookmarkStart w:id="500" w:name="_Toc20598"/>
      <w:bookmarkStart w:id="501" w:name="_Toc454614273"/>
      <w:bookmarkStart w:id="502" w:name="_Toc17982"/>
      <w:bookmarkStart w:id="503" w:name="_Toc25754"/>
      <w:bookmarkStart w:id="504" w:name="_Toc59420526"/>
      <w:bookmarkStart w:id="505" w:name="_Toc15544"/>
      <w:bookmarkStart w:id="506" w:name="_Toc27151"/>
      <w:bookmarkStart w:id="507" w:name="_Toc2290"/>
      <w:r>
        <w:rPr>
          <w:rFonts w:hint="default" w:ascii="Times New Roman" w:hAnsi="Times New Roman" w:cs="Times New Roman"/>
          <w:b/>
          <w:bCs w:val="0"/>
        </w:rPr>
        <w:t>2.6试运行概况</w:t>
      </w:r>
      <w:bookmarkEnd w:id="498"/>
      <w:bookmarkEnd w:id="499"/>
      <w:bookmarkEnd w:id="500"/>
      <w:bookmarkEnd w:id="501"/>
      <w:bookmarkEnd w:id="502"/>
      <w:bookmarkEnd w:id="503"/>
      <w:bookmarkEnd w:id="504"/>
      <w:bookmarkEnd w:id="505"/>
      <w:bookmarkEnd w:id="506"/>
      <w:bookmarkEnd w:id="507"/>
    </w:p>
    <w:p w14:paraId="420601D1">
      <w:pPr>
        <w:ind w:firstLine="560"/>
        <w:rPr>
          <w:rFonts w:hint="default" w:ascii="Times New Roman" w:hAnsi="Times New Roman" w:cs="Times New Roman"/>
        </w:rPr>
      </w:pPr>
      <w:r>
        <w:rPr>
          <w:rFonts w:hint="default" w:ascii="Times New Roman" w:hAnsi="Times New Roman" w:cs="Times New Roman"/>
        </w:rPr>
        <w:t>矿山试运行时间为30日，为</w:t>
      </w:r>
      <w:r>
        <w:rPr>
          <w:rFonts w:hint="default" w:ascii="Times New Roman" w:hAnsi="Times New Roman" w:cs="Times New Roman"/>
          <w:szCs w:val="28"/>
        </w:rPr>
        <w:t>2024年</w:t>
      </w:r>
      <w:r>
        <w:rPr>
          <w:rFonts w:hint="default" w:ascii="Times New Roman" w:hAnsi="Times New Roman" w:cs="Times New Roman"/>
          <w:szCs w:val="28"/>
          <w:lang w:val="en-US" w:eastAsia="zh-CN"/>
        </w:rPr>
        <w:t>10</w:t>
      </w:r>
      <w:r>
        <w:rPr>
          <w:rFonts w:hint="default" w:ascii="Times New Roman" w:hAnsi="Times New Roman" w:cs="Times New Roman"/>
          <w:szCs w:val="28"/>
        </w:rPr>
        <w:t>月</w:t>
      </w:r>
      <w:r>
        <w:rPr>
          <w:rFonts w:hint="default" w:ascii="Times New Roman" w:hAnsi="Times New Roman" w:cs="Times New Roman"/>
          <w:szCs w:val="28"/>
          <w:lang w:val="en-US" w:eastAsia="zh-CN"/>
        </w:rPr>
        <w:t>16</w:t>
      </w:r>
      <w:r>
        <w:rPr>
          <w:rFonts w:hint="default" w:ascii="Times New Roman" w:hAnsi="Times New Roman" w:cs="Times New Roman"/>
          <w:szCs w:val="28"/>
        </w:rPr>
        <w:t>日至2024年</w:t>
      </w:r>
      <w:r>
        <w:rPr>
          <w:rFonts w:hint="default" w:ascii="Times New Roman" w:hAnsi="Times New Roman" w:cs="Times New Roman"/>
          <w:szCs w:val="28"/>
          <w:lang w:val="en-US" w:eastAsia="zh-CN"/>
        </w:rPr>
        <w:t>11</w:t>
      </w:r>
      <w:r>
        <w:rPr>
          <w:rFonts w:hint="default" w:ascii="Times New Roman" w:hAnsi="Times New Roman" w:cs="Times New Roman"/>
          <w:szCs w:val="28"/>
        </w:rPr>
        <w:t>月</w:t>
      </w:r>
      <w:r>
        <w:rPr>
          <w:rFonts w:hint="default" w:ascii="Times New Roman" w:hAnsi="Times New Roman" w:cs="Times New Roman"/>
          <w:szCs w:val="28"/>
          <w:lang w:val="en-US" w:eastAsia="zh-CN"/>
        </w:rPr>
        <w:t>16</w:t>
      </w:r>
      <w:r>
        <w:rPr>
          <w:rFonts w:hint="default" w:ascii="Times New Roman" w:hAnsi="Times New Roman" w:cs="Times New Roman"/>
          <w:szCs w:val="28"/>
        </w:rPr>
        <w:t>日</w:t>
      </w:r>
      <w:r>
        <w:rPr>
          <w:rFonts w:hint="default" w:ascii="Times New Roman" w:hAnsi="Times New Roman" w:cs="Times New Roman"/>
        </w:rPr>
        <w:t>，目前已编制了试运行总结报告。</w:t>
      </w:r>
    </w:p>
    <w:p w14:paraId="716FE076">
      <w:pPr>
        <w:ind w:firstLine="560"/>
        <w:rPr>
          <w:rFonts w:hint="default" w:ascii="Times New Roman" w:hAnsi="Times New Roman" w:cs="Times New Roman"/>
        </w:rPr>
      </w:pPr>
      <w:r>
        <w:rPr>
          <w:rFonts w:hint="default" w:ascii="Times New Roman" w:hAnsi="Times New Roman" w:cs="Times New Roman"/>
        </w:rPr>
        <w:t>自试运行以来，所投入的设备运行良好，设备除了常规检修维护外，没有出现因设备问题而影响开采的情况，矿山露天采场生产正常，安全管理到位，安全技术措施落实到位，安全设施运行满足矿山安全生产要求。</w:t>
      </w:r>
    </w:p>
    <w:p w14:paraId="5CD99959">
      <w:pPr>
        <w:ind w:firstLine="560"/>
        <w:rPr>
          <w:rFonts w:hint="default" w:ascii="Times New Roman" w:hAnsi="Times New Roman" w:cs="Times New Roman"/>
        </w:rPr>
      </w:pPr>
      <w:r>
        <w:rPr>
          <w:rFonts w:hint="default" w:ascii="Times New Roman" w:hAnsi="Times New Roman" w:cs="Times New Roman"/>
        </w:rPr>
        <w:t>经过试生产运行，矿山各系统运行正常，未发生重大安全生产事故。各项工作按照计划稳步进行，现在露天开采系统工程已总体满足安全设施设计的要求，基建期建设已达到设计要求，可满足国家安全生产法律法规以及安全生产的各项条件。</w:t>
      </w:r>
    </w:p>
    <w:p w14:paraId="21680BE7">
      <w:pPr>
        <w:pStyle w:val="3"/>
        <w:keepNext/>
        <w:keepLines/>
        <w:pageBreakBefore w:val="0"/>
        <w:widowControl w:val="0"/>
        <w:kinsoku/>
        <w:wordWrap/>
        <w:overflowPunct/>
        <w:topLinePunct w:val="0"/>
        <w:autoSpaceDE/>
        <w:autoSpaceDN/>
        <w:bidi w:val="0"/>
        <w:adjustRightInd w:val="0"/>
        <w:snapToGrid w:val="0"/>
        <w:spacing w:before="387" w:beforeLines="100"/>
        <w:textAlignment w:val="auto"/>
        <w:rPr>
          <w:rFonts w:hint="default" w:ascii="Times New Roman" w:hAnsi="Times New Roman" w:cs="Times New Roman"/>
          <w:b/>
          <w:bCs w:val="0"/>
        </w:rPr>
      </w:pPr>
      <w:bookmarkStart w:id="508" w:name="_Toc454614274"/>
      <w:bookmarkStart w:id="509" w:name="_Toc8022"/>
      <w:bookmarkStart w:id="510" w:name="_Toc29842"/>
      <w:bookmarkStart w:id="511" w:name="_Toc7044"/>
      <w:bookmarkStart w:id="512" w:name="_Toc22386"/>
      <w:bookmarkStart w:id="513" w:name="_Toc24361"/>
      <w:bookmarkStart w:id="514" w:name="_Toc59420527"/>
      <w:bookmarkStart w:id="515" w:name="_Toc26807"/>
      <w:bookmarkStart w:id="516" w:name="_Toc6371"/>
      <w:bookmarkStart w:id="517" w:name="_Toc29513"/>
      <w:r>
        <w:rPr>
          <w:rFonts w:hint="default" w:ascii="Times New Roman" w:hAnsi="Times New Roman" w:cs="Times New Roman"/>
          <w:b/>
          <w:bCs w:val="0"/>
        </w:rPr>
        <w:t>2.7安全设施概况</w:t>
      </w:r>
      <w:bookmarkEnd w:id="508"/>
      <w:bookmarkEnd w:id="509"/>
      <w:bookmarkEnd w:id="510"/>
      <w:bookmarkEnd w:id="511"/>
      <w:bookmarkEnd w:id="512"/>
      <w:bookmarkEnd w:id="513"/>
      <w:bookmarkEnd w:id="514"/>
      <w:bookmarkEnd w:id="515"/>
      <w:bookmarkEnd w:id="516"/>
      <w:bookmarkEnd w:id="517"/>
    </w:p>
    <w:p w14:paraId="528FED7C">
      <w:pPr>
        <w:ind w:firstLine="560"/>
        <w:rPr>
          <w:rFonts w:hint="eastAsia" w:ascii="Times New Roman" w:hAnsi="Times New Roman" w:cs="Times New Roman"/>
          <w:lang w:eastAsia="zh-CN"/>
        </w:rPr>
      </w:pPr>
      <w:r>
        <w:rPr>
          <w:rFonts w:hint="eastAsia" w:ascii="Times New Roman" w:hAnsi="Times New Roman" w:cs="Times New Roman"/>
          <w:lang w:val="en-US" w:eastAsia="zh-CN"/>
        </w:rPr>
        <w:t>XX。</w:t>
      </w:r>
    </w:p>
    <w:p w14:paraId="0BB96600">
      <w:pPr>
        <w:pStyle w:val="3"/>
        <w:keepNext/>
        <w:keepLines/>
        <w:pageBreakBefore w:val="0"/>
        <w:widowControl w:val="0"/>
        <w:kinsoku/>
        <w:wordWrap/>
        <w:overflowPunct/>
        <w:topLinePunct w:val="0"/>
        <w:autoSpaceDE/>
        <w:autoSpaceDN/>
        <w:bidi w:val="0"/>
        <w:adjustRightInd w:val="0"/>
        <w:snapToGrid w:val="0"/>
        <w:spacing w:before="387" w:beforeLines="100"/>
        <w:textAlignment w:val="auto"/>
        <w:rPr>
          <w:rFonts w:hint="default" w:ascii="Times New Roman" w:hAnsi="Times New Roman" w:cs="Times New Roman"/>
          <w:b/>
          <w:bCs w:val="0"/>
        </w:rPr>
      </w:pPr>
      <w:bookmarkStart w:id="518" w:name="_Toc1187"/>
      <w:bookmarkStart w:id="519" w:name="_Toc59420528"/>
      <w:bookmarkStart w:id="520" w:name="_Toc25233"/>
      <w:bookmarkStart w:id="521" w:name="_Toc15726"/>
      <w:bookmarkStart w:id="522" w:name="_Toc467"/>
      <w:bookmarkStart w:id="523" w:name="_Toc6082"/>
      <w:bookmarkStart w:id="524" w:name="_Toc6338"/>
      <w:bookmarkStart w:id="525" w:name="_Toc30374"/>
      <w:bookmarkStart w:id="526" w:name="_Toc454614310"/>
      <w:bookmarkStart w:id="527" w:name="_Toc25663"/>
      <w:r>
        <w:rPr>
          <w:rFonts w:hint="default" w:ascii="Times New Roman" w:hAnsi="Times New Roman" w:cs="Times New Roman"/>
          <w:b/>
          <w:bCs w:val="0"/>
        </w:rPr>
        <w:t>2.8矿山建设情况图片</w:t>
      </w:r>
      <w:bookmarkEnd w:id="518"/>
      <w:bookmarkEnd w:id="519"/>
      <w:bookmarkEnd w:id="520"/>
      <w:bookmarkEnd w:id="521"/>
      <w:bookmarkEnd w:id="522"/>
      <w:bookmarkEnd w:id="523"/>
      <w:bookmarkEnd w:id="524"/>
    </w:p>
    <w:p w14:paraId="3D7E3804">
      <w:pPr>
        <w:pStyle w:val="2"/>
        <w:rPr>
          <w:rFonts w:hint="default" w:ascii="Times New Roman" w:hAnsi="Times New Roman" w:cs="Times New Roman"/>
          <w:b/>
          <w:bCs w:val="0"/>
        </w:rPr>
        <w:sectPr>
          <w:headerReference r:id="rId16" w:type="default"/>
          <w:footerReference r:id="rId17" w:type="default"/>
          <w:pgSz w:w="11906" w:h="16838"/>
          <w:pgMar w:top="1417" w:right="1134" w:bottom="1134" w:left="1588" w:header="851" w:footer="992" w:gutter="0"/>
          <w:pgBorders w:offsetFrom="page">
            <w:top w:val="none" w:sz="0" w:space="0"/>
            <w:left w:val="none" w:sz="0" w:space="0"/>
            <w:bottom w:val="none" w:sz="0" w:space="0"/>
            <w:right w:val="none" w:sz="0" w:space="0"/>
          </w:pgBorders>
          <w:pgNumType w:fmt="decimal"/>
          <w:cols w:space="720" w:num="1"/>
          <w:docGrid w:type="lines" w:linePitch="381" w:charSpace="0"/>
        </w:sectPr>
      </w:pPr>
      <w:bookmarkStart w:id="528" w:name="_Toc59420529"/>
      <w:bookmarkStart w:id="529" w:name="_Toc31589"/>
      <w:bookmarkStart w:id="530" w:name="_Toc31371"/>
      <w:bookmarkStart w:id="531" w:name="_Toc8455"/>
      <w:bookmarkStart w:id="532" w:name="_Toc19320"/>
      <w:bookmarkStart w:id="533" w:name="_Toc27246"/>
    </w:p>
    <w:p w14:paraId="45E5C809">
      <w:pPr>
        <w:pStyle w:val="2"/>
        <w:rPr>
          <w:rFonts w:hint="default" w:ascii="Times New Roman" w:hAnsi="Times New Roman" w:cs="Times New Roman"/>
          <w:b/>
          <w:bCs w:val="0"/>
          <w:szCs w:val="36"/>
        </w:rPr>
      </w:pPr>
      <w:r>
        <w:rPr>
          <w:rFonts w:hint="default" w:ascii="Times New Roman" w:hAnsi="Times New Roman" w:cs="Times New Roman"/>
          <w:b/>
          <w:bCs w:val="0"/>
        </w:rPr>
        <w:t>3 安全设施符合性评价</w:t>
      </w:r>
      <w:bookmarkEnd w:id="525"/>
      <w:bookmarkEnd w:id="526"/>
      <w:bookmarkEnd w:id="527"/>
      <w:bookmarkEnd w:id="528"/>
      <w:bookmarkEnd w:id="529"/>
      <w:bookmarkEnd w:id="530"/>
      <w:bookmarkEnd w:id="531"/>
      <w:bookmarkEnd w:id="532"/>
      <w:bookmarkEnd w:id="533"/>
    </w:p>
    <w:p w14:paraId="034240CF">
      <w:pPr>
        <w:pStyle w:val="18"/>
        <w:ind w:firstLine="560"/>
        <w:rPr>
          <w:rFonts w:hint="default" w:ascii="Times New Roman" w:hAnsi="Times New Roman" w:cs="Times New Roman"/>
          <w:snapToGrid w:val="0"/>
          <w:kern w:val="0"/>
          <w:szCs w:val="28"/>
        </w:rPr>
      </w:pPr>
      <w:bookmarkStart w:id="534" w:name="_Toc136406301"/>
      <w:bookmarkStart w:id="535" w:name="_Toc297117686"/>
      <w:bookmarkStart w:id="536" w:name="_Toc236544890"/>
      <w:bookmarkStart w:id="537" w:name="_Toc176924406"/>
      <w:bookmarkStart w:id="538" w:name="_Toc152573993"/>
      <w:bookmarkStart w:id="539" w:name="_Toc9022"/>
      <w:bookmarkStart w:id="540" w:name="_Toc454614311"/>
      <w:bookmarkStart w:id="541" w:name="_Toc13693"/>
      <w:bookmarkStart w:id="542" w:name="_Toc4575"/>
      <w:bookmarkStart w:id="543" w:name="_Toc236050037"/>
      <w:r>
        <w:rPr>
          <w:rFonts w:hint="eastAsia" w:cs="Times New Roman"/>
          <w:bCs/>
          <w:lang w:val="en-US" w:eastAsia="zh-CN"/>
        </w:rPr>
        <w:t>XX。</w:t>
      </w:r>
    </w:p>
    <w:bookmarkEnd w:id="534"/>
    <w:bookmarkEnd w:id="535"/>
    <w:bookmarkEnd w:id="536"/>
    <w:bookmarkEnd w:id="537"/>
    <w:bookmarkEnd w:id="538"/>
    <w:bookmarkEnd w:id="539"/>
    <w:bookmarkEnd w:id="540"/>
    <w:bookmarkEnd w:id="541"/>
    <w:bookmarkEnd w:id="542"/>
    <w:p w14:paraId="47C88210">
      <w:pPr>
        <w:pStyle w:val="20"/>
        <w:rPr>
          <w:rFonts w:hint="default" w:ascii="Times New Roman" w:hAnsi="Times New Roman" w:cs="Times New Roman"/>
          <w:szCs w:val="22"/>
        </w:rPr>
      </w:pPr>
    </w:p>
    <w:p w14:paraId="5BE49478">
      <w:pPr>
        <w:pStyle w:val="20"/>
        <w:rPr>
          <w:rFonts w:hint="default" w:ascii="Times New Roman" w:hAnsi="Times New Roman" w:cs="Times New Roman"/>
          <w:szCs w:val="22"/>
        </w:rPr>
        <w:sectPr>
          <w:pgSz w:w="11906" w:h="16838"/>
          <w:pgMar w:top="1417" w:right="1134" w:bottom="1134" w:left="1588" w:header="851" w:footer="992" w:gutter="0"/>
          <w:pgBorders w:offsetFrom="page">
            <w:top w:val="none" w:sz="0" w:space="0"/>
            <w:left w:val="none" w:sz="0" w:space="0"/>
            <w:bottom w:val="none" w:sz="0" w:space="0"/>
            <w:right w:val="none" w:sz="0" w:space="0"/>
          </w:pgBorders>
          <w:pgNumType w:fmt="decimal"/>
          <w:cols w:space="720" w:num="1"/>
          <w:docGrid w:type="lines" w:linePitch="381" w:charSpace="0"/>
        </w:sectPr>
      </w:pPr>
    </w:p>
    <w:bookmarkEnd w:id="351"/>
    <w:bookmarkEnd w:id="352"/>
    <w:bookmarkEnd w:id="353"/>
    <w:bookmarkEnd w:id="354"/>
    <w:bookmarkEnd w:id="355"/>
    <w:bookmarkEnd w:id="356"/>
    <w:bookmarkEnd w:id="543"/>
    <w:p w14:paraId="039B04E6">
      <w:pPr>
        <w:pStyle w:val="2"/>
        <w:rPr>
          <w:rFonts w:hint="default" w:ascii="Times New Roman" w:hAnsi="Times New Roman" w:cs="Times New Roman"/>
          <w:b/>
          <w:bCs w:val="0"/>
        </w:rPr>
      </w:pPr>
      <w:bookmarkStart w:id="544" w:name="_Toc28006"/>
      <w:bookmarkStart w:id="545" w:name="_Toc59420561"/>
      <w:bookmarkStart w:id="546" w:name="_Toc2717"/>
      <w:bookmarkStart w:id="547" w:name="_Toc11806"/>
      <w:bookmarkStart w:id="548" w:name="_Toc454614345"/>
      <w:bookmarkStart w:id="549" w:name="_Toc21236"/>
      <w:bookmarkStart w:id="550" w:name="_Toc28038"/>
      <w:bookmarkStart w:id="551" w:name="_Toc37"/>
      <w:bookmarkStart w:id="552" w:name="_Toc2671"/>
      <w:bookmarkStart w:id="553" w:name="_Toc384121719"/>
      <w:bookmarkStart w:id="554" w:name="_Toc297117755"/>
      <w:bookmarkStart w:id="555" w:name="_Toc236128204"/>
      <w:r>
        <w:rPr>
          <w:rFonts w:hint="default" w:ascii="Times New Roman" w:hAnsi="Times New Roman" w:cs="Times New Roman"/>
          <w:b/>
          <w:bCs w:val="0"/>
        </w:rPr>
        <w:t>4 安全对策措施建议</w:t>
      </w:r>
      <w:bookmarkEnd w:id="544"/>
      <w:bookmarkEnd w:id="545"/>
      <w:bookmarkEnd w:id="546"/>
      <w:bookmarkEnd w:id="547"/>
      <w:bookmarkEnd w:id="548"/>
      <w:bookmarkEnd w:id="549"/>
      <w:bookmarkEnd w:id="550"/>
      <w:bookmarkEnd w:id="551"/>
      <w:bookmarkEnd w:id="552"/>
    </w:p>
    <w:bookmarkEnd w:id="553"/>
    <w:bookmarkEnd w:id="554"/>
    <w:bookmarkEnd w:id="555"/>
    <w:p w14:paraId="4F9BD60F">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556" w:name="_Toc27724"/>
      <w:bookmarkStart w:id="557" w:name="_Toc14784"/>
      <w:bookmarkStart w:id="558" w:name="_Toc59420562"/>
      <w:bookmarkStart w:id="559" w:name="_Toc32144"/>
      <w:bookmarkStart w:id="560" w:name="_Toc9443"/>
      <w:bookmarkStart w:id="561" w:name="_Toc30023"/>
      <w:bookmarkStart w:id="562" w:name="_Toc384121724"/>
      <w:bookmarkStart w:id="563" w:name="_Toc7152"/>
      <w:bookmarkStart w:id="564" w:name="_Toc31588"/>
      <w:bookmarkStart w:id="565" w:name="_Toc454614347"/>
      <w:bookmarkStart w:id="566" w:name="_Toc4247"/>
      <w:bookmarkStart w:id="567" w:name="_Toc236128207"/>
      <w:r>
        <w:rPr>
          <w:rFonts w:hint="default" w:ascii="Times New Roman" w:hAnsi="Times New Roman" w:cs="Times New Roman"/>
          <w:b/>
          <w:bCs w:val="0"/>
        </w:rPr>
        <w:t>4.1企业整改完成落实情况</w:t>
      </w:r>
      <w:bookmarkEnd w:id="556"/>
      <w:bookmarkEnd w:id="557"/>
      <w:bookmarkEnd w:id="558"/>
      <w:bookmarkEnd w:id="559"/>
      <w:bookmarkEnd w:id="560"/>
      <w:bookmarkEnd w:id="561"/>
    </w:p>
    <w:p w14:paraId="059B0403">
      <w:pPr>
        <w:pStyle w:val="4"/>
        <w:ind w:firstLine="562"/>
        <w:rPr>
          <w:rFonts w:hint="default" w:ascii="Times New Roman" w:hAnsi="Times New Roman" w:eastAsia="宋体" w:cs="Times New Roman"/>
          <w:b/>
          <w:bCs/>
        </w:rPr>
      </w:pPr>
      <w:bookmarkStart w:id="568" w:name="_Toc24491"/>
      <w:bookmarkStart w:id="569" w:name="_Toc29548"/>
      <w:bookmarkStart w:id="570" w:name="_Toc15012"/>
      <w:bookmarkStart w:id="571" w:name="_Toc16836"/>
      <w:bookmarkStart w:id="572" w:name="_Toc16905"/>
      <w:r>
        <w:rPr>
          <w:rFonts w:hint="default" w:ascii="Times New Roman" w:hAnsi="Times New Roman" w:eastAsia="宋体" w:cs="Times New Roman"/>
          <w:b/>
          <w:bCs/>
        </w:rPr>
        <w:t>4.1.1主要存在问题及整改建议</w:t>
      </w:r>
      <w:bookmarkEnd w:id="568"/>
      <w:bookmarkEnd w:id="569"/>
      <w:bookmarkEnd w:id="570"/>
      <w:bookmarkEnd w:id="571"/>
      <w:bookmarkEnd w:id="572"/>
    </w:p>
    <w:p w14:paraId="2D0E58CB">
      <w:pPr>
        <w:pStyle w:val="18"/>
        <w:ind w:firstLine="560"/>
        <w:rPr>
          <w:rFonts w:hint="default" w:ascii="Times New Roman" w:hAnsi="Times New Roman" w:cs="Times New Roman"/>
          <w:snapToGrid w:val="0"/>
          <w:kern w:val="0"/>
          <w:szCs w:val="28"/>
        </w:rPr>
      </w:pPr>
      <w:r>
        <w:rPr>
          <w:rFonts w:hint="eastAsia" w:cs="Times New Roman"/>
          <w:snapToGrid w:val="0"/>
          <w:kern w:val="0"/>
          <w:szCs w:val="28"/>
          <w:lang w:val="en-US" w:eastAsia="zh-CN"/>
        </w:rPr>
        <w:t>XX</w:t>
      </w:r>
      <w:r>
        <w:rPr>
          <w:rFonts w:hint="default" w:ascii="Times New Roman" w:hAnsi="Times New Roman" w:cs="Times New Roman"/>
          <w:szCs w:val="28"/>
        </w:rPr>
        <w:t>。</w:t>
      </w:r>
    </w:p>
    <w:p w14:paraId="5CE00E10">
      <w:pPr>
        <w:pStyle w:val="4"/>
        <w:ind w:firstLine="562"/>
        <w:rPr>
          <w:rFonts w:hint="default" w:ascii="Times New Roman" w:hAnsi="Times New Roman" w:eastAsia="宋体" w:cs="Times New Roman"/>
          <w:b/>
          <w:bCs/>
          <w:lang w:val="en-US" w:eastAsia="zh-CN"/>
        </w:rPr>
      </w:pPr>
      <w:bookmarkStart w:id="573" w:name="_Toc21444"/>
      <w:bookmarkStart w:id="574" w:name="_Toc18615"/>
      <w:bookmarkStart w:id="575" w:name="_Toc448"/>
      <w:bookmarkStart w:id="576" w:name="_Toc18248"/>
      <w:r>
        <w:rPr>
          <w:rFonts w:hint="default" w:ascii="Times New Roman" w:hAnsi="Times New Roman" w:eastAsia="宋体" w:cs="Times New Roman"/>
          <w:b/>
          <w:bCs/>
          <w:lang w:val="en-US" w:eastAsia="zh-CN"/>
        </w:rPr>
        <w:t>4.1.2整改</w:t>
      </w:r>
      <w:bookmarkEnd w:id="573"/>
      <w:bookmarkEnd w:id="574"/>
      <w:bookmarkEnd w:id="575"/>
      <w:bookmarkEnd w:id="576"/>
      <w:r>
        <w:rPr>
          <w:rFonts w:hint="default" w:ascii="Times New Roman" w:hAnsi="Times New Roman" w:eastAsia="宋体" w:cs="Times New Roman"/>
          <w:b/>
          <w:bCs/>
          <w:lang w:val="en-US" w:eastAsia="zh-CN"/>
        </w:rPr>
        <w:t>及确认</w:t>
      </w:r>
    </w:p>
    <w:p w14:paraId="0B5EDE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rPr>
      </w:pPr>
      <w:r>
        <w:rPr>
          <w:rFonts w:hint="eastAsia" w:cs="Times New Roman"/>
          <w:sz w:val="28"/>
          <w:szCs w:val="28"/>
          <w:lang w:val="en-US" w:eastAsia="zh-CN"/>
        </w:rPr>
        <w:t>XX</w:t>
      </w:r>
      <w:r>
        <w:rPr>
          <w:rFonts w:hint="default" w:ascii="Times New Roman" w:hAnsi="Times New Roman" w:eastAsia="宋体" w:cs="Times New Roman"/>
          <w:sz w:val="28"/>
          <w:szCs w:val="28"/>
        </w:rPr>
        <w:t>。</w:t>
      </w:r>
    </w:p>
    <w:p w14:paraId="3BF7BB3E">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577" w:name="_Toc23848"/>
      <w:bookmarkStart w:id="578" w:name="_Toc8850"/>
      <w:bookmarkStart w:id="579" w:name="_Toc59420563"/>
      <w:bookmarkStart w:id="580" w:name="_Toc12903"/>
      <w:bookmarkStart w:id="581" w:name="_Toc26959"/>
      <w:bookmarkStart w:id="582" w:name="_Toc25270"/>
      <w:r>
        <w:rPr>
          <w:rFonts w:hint="default" w:ascii="Times New Roman" w:hAnsi="Times New Roman" w:cs="Times New Roman"/>
          <w:b/>
          <w:bCs w:val="0"/>
        </w:rPr>
        <w:t>4.2安全对策措施建议</w:t>
      </w:r>
      <w:bookmarkEnd w:id="577"/>
      <w:bookmarkEnd w:id="578"/>
      <w:bookmarkEnd w:id="579"/>
      <w:bookmarkEnd w:id="580"/>
      <w:bookmarkEnd w:id="581"/>
      <w:bookmarkEnd w:id="582"/>
    </w:p>
    <w:p w14:paraId="3422F616">
      <w:pPr>
        <w:pStyle w:val="4"/>
        <w:ind w:firstLine="562"/>
        <w:rPr>
          <w:rFonts w:hint="default" w:ascii="Times New Roman" w:hAnsi="Times New Roman" w:eastAsia="宋体" w:cs="Times New Roman"/>
          <w:b/>
          <w:bCs w:val="0"/>
        </w:rPr>
      </w:pPr>
      <w:bookmarkStart w:id="583" w:name="_Toc11438"/>
      <w:bookmarkStart w:id="584" w:name="_Toc59420564"/>
      <w:bookmarkStart w:id="585" w:name="_Toc3608"/>
      <w:bookmarkStart w:id="586" w:name="_Toc21123"/>
      <w:r>
        <w:rPr>
          <w:rFonts w:hint="default" w:ascii="Times New Roman" w:hAnsi="Times New Roman" w:eastAsia="宋体" w:cs="Times New Roman"/>
          <w:b/>
          <w:bCs w:val="0"/>
        </w:rPr>
        <w:t>4.</w:t>
      </w:r>
      <w:bookmarkEnd w:id="562"/>
      <w:r>
        <w:rPr>
          <w:rFonts w:hint="default" w:ascii="Times New Roman" w:hAnsi="Times New Roman" w:eastAsia="宋体" w:cs="Times New Roman"/>
          <w:b/>
          <w:bCs w:val="0"/>
        </w:rPr>
        <w:t>2.1露天采场</w:t>
      </w:r>
      <w:bookmarkEnd w:id="563"/>
      <w:bookmarkEnd w:id="564"/>
      <w:bookmarkEnd w:id="565"/>
      <w:bookmarkEnd w:id="566"/>
      <w:bookmarkEnd w:id="583"/>
      <w:bookmarkEnd w:id="584"/>
      <w:bookmarkEnd w:id="585"/>
      <w:bookmarkEnd w:id="586"/>
    </w:p>
    <w:p w14:paraId="79F77996">
      <w:pPr>
        <w:keepNext w:val="0"/>
        <w:keepLines w:val="0"/>
        <w:pageBreakBefore w:val="0"/>
        <w:widowControl w:val="0"/>
        <w:kinsoku/>
        <w:wordWrap/>
        <w:overflowPunct/>
        <w:topLinePunct w:val="0"/>
        <w:bidi w:val="0"/>
        <w:adjustRightInd w:val="0"/>
        <w:snapToGrid w:val="0"/>
        <w:ind w:firstLine="560" w:firstLineChars="200"/>
        <w:textAlignment w:val="auto"/>
        <w:rPr>
          <w:rFonts w:hint="default" w:ascii="Times New Roman" w:hAnsi="Times New Roman" w:cs="Times New Roman"/>
        </w:rPr>
      </w:pPr>
      <w:r>
        <w:rPr>
          <w:rFonts w:hint="default" w:ascii="Times New Roman" w:hAnsi="Times New Roman" w:cs="Times New Roman"/>
        </w:rPr>
        <w:t>1.严格按照安全设施设计的要求进行开采作业，严格执行自上而下分台阶开采，生产过程中的工作平台、安全平台、清扫平台、台阶高度及边坡角应满足设计要求。</w:t>
      </w:r>
    </w:p>
    <w:p w14:paraId="6A32F0F6">
      <w:pPr>
        <w:keepNext w:val="0"/>
        <w:keepLines w:val="0"/>
        <w:pageBreakBefore w:val="0"/>
        <w:widowControl w:val="0"/>
        <w:kinsoku/>
        <w:wordWrap/>
        <w:overflowPunct/>
        <w:topLinePunct w:val="0"/>
        <w:bidi w:val="0"/>
        <w:adjustRightInd w:val="0"/>
        <w:snapToGrid w:val="0"/>
        <w:ind w:firstLine="560" w:firstLineChars="200"/>
        <w:textAlignment w:val="auto"/>
        <w:rPr>
          <w:rFonts w:hint="default" w:ascii="Times New Roman" w:hAnsi="Times New Roman" w:cs="Times New Roman"/>
        </w:rPr>
      </w:pPr>
      <w:r>
        <w:rPr>
          <w:rFonts w:hint="default" w:ascii="Times New Roman" w:hAnsi="Times New Roman" w:cs="Times New Roman"/>
        </w:rPr>
        <w:t>2.</w:t>
      </w:r>
      <w:r>
        <w:rPr>
          <w:rFonts w:hint="eastAsia"/>
          <w:sz w:val="28"/>
        </w:rPr>
        <w:t>在生产过程中应严格按设计规定的范围开采，生产平台、安全平台、台阶高度及边坡角应满足安全设施设计的要求。严禁采用“高陡边坡一面墙”、“掏挖式”开采，严禁在高陡边帮下作业</w:t>
      </w:r>
      <w:r>
        <w:rPr>
          <w:rFonts w:hint="default" w:ascii="Times New Roman" w:hAnsi="Times New Roman" w:cs="Times New Roman"/>
        </w:rPr>
        <w:t>。</w:t>
      </w:r>
    </w:p>
    <w:p w14:paraId="2E21BB8C">
      <w:pPr>
        <w:keepNext w:val="0"/>
        <w:keepLines w:val="0"/>
        <w:pageBreakBefore w:val="0"/>
        <w:widowControl w:val="0"/>
        <w:kinsoku/>
        <w:wordWrap/>
        <w:overflowPunct/>
        <w:topLinePunct w:val="0"/>
        <w:bidi w:val="0"/>
        <w:adjustRightInd w:val="0"/>
        <w:snapToGrid w:val="0"/>
        <w:ind w:firstLine="560" w:firstLineChars="200"/>
        <w:textAlignment w:val="auto"/>
        <w:rPr>
          <w:rFonts w:hint="default" w:ascii="Times New Roman" w:hAnsi="Times New Roman" w:cs="Times New Roman"/>
        </w:rPr>
      </w:pPr>
      <w:r>
        <w:rPr>
          <w:rFonts w:hint="default" w:ascii="Times New Roman" w:hAnsi="Times New Roman" w:cs="Times New Roman"/>
        </w:rPr>
        <w:t>3.加强采场现场安全生产管理，采场边坡上下严禁同时作业，无关人员禁止进入采场；雨季做好采场防洪排水工作，防止采场边坡失稳。</w:t>
      </w:r>
    </w:p>
    <w:p w14:paraId="520946DE">
      <w:pPr>
        <w:keepNext w:val="0"/>
        <w:keepLines w:val="0"/>
        <w:pageBreakBefore w:val="0"/>
        <w:widowControl w:val="0"/>
        <w:kinsoku/>
        <w:wordWrap/>
        <w:overflowPunct/>
        <w:topLinePunct w:val="0"/>
        <w:bidi w:val="0"/>
        <w:adjustRightInd w:val="0"/>
        <w:snapToGrid w:val="0"/>
        <w:ind w:firstLine="560" w:firstLineChars="200"/>
        <w:textAlignment w:val="auto"/>
        <w:rPr>
          <w:rFonts w:hint="eastAsia" w:ascii="Times New Roman" w:hAnsi="Times New Roman" w:eastAsia="宋体" w:cs="Times New Roman"/>
          <w:lang w:eastAsia="zh-CN"/>
        </w:rPr>
      </w:pPr>
      <w:r>
        <w:rPr>
          <w:rFonts w:hint="default" w:ascii="Times New Roman" w:hAnsi="Times New Roman" w:cs="Times New Roman"/>
        </w:rPr>
        <w:t>4.矿山露天采场后期终了高度较高，应建立边坡安全管理和检查制度，</w:t>
      </w:r>
      <w:r>
        <w:rPr>
          <w:sz w:val="28"/>
          <w:szCs w:val="28"/>
        </w:rPr>
        <w:t>对边坡进行稳定性观测及边坡稳定性分析辨识，建立边坡稳定性分析报告，日常加强管理</w:t>
      </w:r>
      <w:r>
        <w:rPr>
          <w:rFonts w:hint="default" w:ascii="Times New Roman" w:hAnsi="Times New Roman" w:cs="Times New Roman"/>
        </w:rPr>
        <w:t>定期进行边坡检查；特别是暴雨后应加强巡视检查，发现隐患立即处理；发现边坡不稳定征兆，应及时停工，撤出设备，采取护坡、削坡等处理措施</w:t>
      </w:r>
      <w:r>
        <w:rPr>
          <w:rFonts w:hint="eastAsia" w:ascii="Times New Roman" w:hAnsi="Times New Roman" w:cs="Times New Roman"/>
          <w:lang w:eastAsia="zh-CN"/>
        </w:rPr>
        <w:t>。</w:t>
      </w:r>
    </w:p>
    <w:p w14:paraId="5A552B70">
      <w:pPr>
        <w:keepNext w:val="0"/>
        <w:keepLines w:val="0"/>
        <w:pageBreakBefore w:val="0"/>
        <w:widowControl w:val="0"/>
        <w:kinsoku/>
        <w:wordWrap/>
        <w:overflowPunct/>
        <w:topLinePunct w:val="0"/>
        <w:bidi w:val="0"/>
        <w:adjustRightInd w:val="0"/>
        <w:snapToGrid w:val="0"/>
        <w:ind w:firstLine="560" w:firstLineChars="200"/>
        <w:textAlignment w:val="auto"/>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eastAsia="宋体" w:cs="Times New Roman"/>
          <w:sz w:val="28"/>
          <w:szCs w:val="28"/>
          <w:lang w:val="en-US" w:eastAsia="zh-CN"/>
        </w:rPr>
        <w:t>矿山应建立健全边坡安全管理和检查制度。</w:t>
      </w:r>
      <w:r>
        <w:rPr>
          <w:rFonts w:hint="default" w:ascii="Times New Roman" w:hAnsi="Times New Roman" w:cs="Times New Roman"/>
          <w:lang w:val="en-US" w:eastAsia="zh-CN"/>
        </w:rPr>
        <w:t>现状边坡超100m后应当逐年做边坡稳定性分析</w:t>
      </w:r>
      <w:r>
        <w:rPr>
          <w:rFonts w:hint="eastAsia" w:ascii="Times New Roman" w:hAnsi="Times New Roman" w:cs="Times New Roman"/>
          <w:lang w:val="en-US" w:eastAsia="zh-CN"/>
        </w:rPr>
        <w:t>。</w:t>
      </w:r>
    </w:p>
    <w:p w14:paraId="4FB1486F">
      <w:pPr>
        <w:keepNext w:val="0"/>
        <w:keepLines w:val="0"/>
        <w:pageBreakBefore w:val="0"/>
        <w:widowControl w:val="0"/>
        <w:kinsoku/>
        <w:wordWrap/>
        <w:overflowPunct/>
        <w:topLinePunct w:val="0"/>
        <w:bidi w:val="0"/>
        <w:adjustRightInd w:val="0"/>
        <w:snapToGrid w:val="0"/>
        <w:ind w:firstLine="560" w:firstLineChars="200"/>
        <w:textAlignment w:val="auto"/>
        <w:rPr>
          <w:rFonts w:hint="default" w:ascii="Times New Roman" w:hAnsi="Times New Roman" w:cs="Times New Roman"/>
        </w:rPr>
      </w:pPr>
      <w:r>
        <w:rPr>
          <w:rFonts w:hint="default" w:ascii="Times New Roman" w:hAnsi="Times New Roman" w:cs="Times New Roman"/>
        </w:rPr>
        <w:t>6.矿山在采剥作业过程中，对采剥下来的废石、废土的临时堆放，应进行有序管理，设置相应防排水设施，防止发生滑坡、坍塌、泥石流，造成生产安全事故。</w:t>
      </w:r>
    </w:p>
    <w:p w14:paraId="5621BA28">
      <w:pPr>
        <w:keepNext w:val="0"/>
        <w:keepLines w:val="0"/>
        <w:pageBreakBefore w:val="0"/>
        <w:widowControl w:val="0"/>
        <w:kinsoku/>
        <w:wordWrap/>
        <w:overflowPunct/>
        <w:topLinePunct w:val="0"/>
        <w:bidi w:val="0"/>
        <w:adjustRightInd w:val="0"/>
        <w:snapToGrid w:val="0"/>
        <w:ind w:firstLine="560" w:firstLineChars="200"/>
        <w:textAlignment w:val="auto"/>
        <w:rPr>
          <w:rFonts w:hint="eastAsia" w:ascii="Times New Roman" w:hAnsi="Times New Roman" w:eastAsia="宋体" w:cs="Times New Roman"/>
          <w:lang w:eastAsia="zh-CN"/>
        </w:rPr>
      </w:pPr>
      <w:r>
        <w:rPr>
          <w:rFonts w:hint="default" w:ascii="Times New Roman" w:hAnsi="Times New Roman" w:cs="Times New Roman"/>
        </w:rPr>
        <w:t>7.</w:t>
      </w:r>
      <w:r>
        <w:rPr>
          <w:rFonts w:ascii="Times New Roman" w:hAnsi="Times New Roman"/>
          <w:sz w:val="28"/>
          <w:szCs w:val="28"/>
        </w:rPr>
        <w:t>矿山在爆破过程中应严格按照设计要求圈定300m爆破警戒范围，所有无关人员撤出300m外安全地点，并在路口设置岗警戒</w:t>
      </w:r>
      <w:r>
        <w:rPr>
          <w:rFonts w:hint="eastAsia" w:ascii="Times New Roman" w:hAnsi="Times New Roman"/>
          <w:sz w:val="28"/>
          <w:szCs w:val="28"/>
          <w:lang w:eastAsia="zh-CN"/>
        </w:rPr>
        <w:t>。</w:t>
      </w:r>
    </w:p>
    <w:p w14:paraId="75C44955">
      <w:pPr>
        <w:keepNext w:val="0"/>
        <w:keepLines w:val="0"/>
        <w:pageBreakBefore w:val="0"/>
        <w:widowControl w:val="0"/>
        <w:kinsoku/>
        <w:wordWrap/>
        <w:overflowPunct/>
        <w:topLinePunct w:val="0"/>
        <w:bidi w:val="0"/>
        <w:adjustRightInd w:val="0"/>
        <w:snapToGrid w:val="0"/>
        <w:ind w:firstLine="560" w:firstLineChars="200"/>
        <w:textAlignment w:val="auto"/>
        <w:rPr>
          <w:rFonts w:hint="default" w:ascii="Times New Roman" w:hAnsi="Times New Roman" w:cs="Times New Roman"/>
        </w:rPr>
      </w:pPr>
      <w:r>
        <w:rPr>
          <w:rFonts w:hint="eastAsia" w:ascii="Times New Roman" w:hAnsi="Times New Roman" w:cs="Times New Roman"/>
          <w:lang w:val="en-US" w:eastAsia="zh-CN"/>
        </w:rPr>
        <w:t>8.</w:t>
      </w:r>
      <w:r>
        <w:rPr>
          <w:rFonts w:hint="default" w:ascii="Times New Roman" w:hAnsi="Times New Roman" w:cs="Times New Roman"/>
        </w:rPr>
        <w:t>爆破采用定时爆破，让职工有规律地避炮。加强职工和附近村民</w:t>
      </w:r>
      <w:r>
        <w:rPr>
          <w:rFonts w:hint="eastAsia" w:ascii="Times New Roman" w:hAnsi="Times New Roman" w:cs="Times New Roman"/>
          <w:lang w:val="en-US" w:eastAsia="zh-CN"/>
        </w:rPr>
        <w:t>的</w:t>
      </w:r>
      <w:r>
        <w:rPr>
          <w:rFonts w:hint="default" w:ascii="Times New Roman" w:hAnsi="Times New Roman" w:cs="Times New Roman"/>
        </w:rPr>
        <w:t>安全教育，让职工和村民事先知道警戒范围、警戒标志、声响信号的意义。爆破前同时发出音响和视觉信号，使危险区内的人员能清楚地听到和看到。爆破时派专人负责警戒，严禁任何人员进入爆破警戒线范围以内。</w:t>
      </w:r>
    </w:p>
    <w:p w14:paraId="509C181E">
      <w:pPr>
        <w:keepNext w:val="0"/>
        <w:keepLines w:val="0"/>
        <w:pageBreakBefore w:val="0"/>
        <w:widowControl w:val="0"/>
        <w:kinsoku/>
        <w:wordWrap/>
        <w:overflowPunct/>
        <w:topLinePunct w:val="0"/>
        <w:bidi w:val="0"/>
        <w:adjustRightInd w:val="0"/>
        <w:snapToGrid w:val="0"/>
        <w:ind w:firstLine="560" w:firstLineChars="200"/>
        <w:textAlignment w:val="auto"/>
        <w:rPr>
          <w:rFonts w:hint="default" w:ascii="Times New Roman" w:hAnsi="Times New Roman" w:cs="Times New Roman"/>
        </w:rPr>
      </w:pPr>
      <w:r>
        <w:rPr>
          <w:rFonts w:hint="eastAsia" w:ascii="Times New Roman" w:hAnsi="Times New Roman" w:cs="Times New Roman"/>
          <w:lang w:val="en-US" w:eastAsia="zh-CN"/>
        </w:rPr>
        <w:t>9</w:t>
      </w:r>
      <w:r>
        <w:rPr>
          <w:rFonts w:hint="default" w:ascii="Times New Roman" w:hAnsi="Times New Roman" w:cs="Times New Roman"/>
        </w:rPr>
        <w:t>.在露天境界边界设可靠围栏和醒目的警示标志，防止无关人员及牲畜误入采区。</w:t>
      </w:r>
    </w:p>
    <w:p w14:paraId="1ACFDF0A">
      <w:pPr>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default" w:ascii="Times New Roman" w:hAnsi="Times New Roman" w:eastAsia="宋体" w:cs="Times New Roman"/>
          <w:sz w:val="28"/>
          <w:szCs w:val="28"/>
        </w:rPr>
      </w:pPr>
      <w:bookmarkStart w:id="587" w:name="_Toc454614348"/>
      <w:bookmarkStart w:id="588" w:name="_Toc6221"/>
      <w:bookmarkStart w:id="589" w:name="_Toc15286"/>
      <w:bookmarkStart w:id="590" w:name="_Toc29902"/>
      <w:bookmarkStart w:id="591" w:name="_Toc3998"/>
      <w:bookmarkStart w:id="592" w:name="_Toc1961"/>
      <w:bookmarkStart w:id="593" w:name="_Toc2768"/>
      <w:bookmarkStart w:id="594" w:name="_Toc59420565"/>
      <w:r>
        <w:rPr>
          <w:rFonts w:hint="eastAsia" w:ascii="Times New Roman" w:hAnsi="Times New Roman" w:eastAsia="宋体" w:cs="Times New Roman"/>
          <w:sz w:val="28"/>
          <w:szCs w:val="28"/>
          <w:lang w:val="en-US" w:eastAsia="zh-CN"/>
        </w:rPr>
        <w:t>10</w:t>
      </w:r>
      <w:r>
        <w:rPr>
          <w:rFonts w:hint="default" w:ascii="Times New Roman" w:hAnsi="Times New Roman" w:eastAsia="宋体" w:cs="Times New Roman"/>
          <w:sz w:val="28"/>
          <w:szCs w:val="28"/>
          <w:lang w:val="en-US" w:eastAsia="zh-CN"/>
        </w:rPr>
        <w:t>.</w:t>
      </w:r>
      <w:r>
        <w:rPr>
          <w:rFonts w:hint="default" w:ascii="Times New Roman" w:hAnsi="Times New Roman" w:eastAsia="宋体" w:cs="Times New Roman"/>
          <w:sz w:val="28"/>
          <w:szCs w:val="28"/>
        </w:rPr>
        <w:t>矿山须在露天境界边坡外围及高处边缘设置安全护栏，防止人员误入及发生高处坠落。</w:t>
      </w:r>
    </w:p>
    <w:p w14:paraId="726E09F3">
      <w:pPr>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default" w:ascii="Times New Roman" w:hAnsi="Times New Roman" w:cs="Times New Roman"/>
          <w:lang w:val="en-US" w:eastAsia="zh-CN"/>
        </w:rPr>
      </w:pPr>
      <w:r>
        <w:rPr>
          <w:rFonts w:hint="default"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lang w:val="en-US" w:eastAsia="zh-CN"/>
        </w:rPr>
        <w:t>.加强边坡的监测和分析，在出现滑坡征兆时，根据具体条件，选择合理的治理措施，例如挡土墙。</w:t>
      </w:r>
    </w:p>
    <w:p w14:paraId="33D9E95C">
      <w:pPr>
        <w:pStyle w:val="4"/>
        <w:ind w:firstLine="562"/>
        <w:rPr>
          <w:rFonts w:hint="default" w:ascii="Times New Roman" w:hAnsi="Times New Roman" w:eastAsia="宋体" w:cs="Times New Roman"/>
          <w:b/>
          <w:bCs w:val="0"/>
        </w:rPr>
      </w:pPr>
      <w:r>
        <w:rPr>
          <w:rFonts w:hint="default" w:ascii="Times New Roman" w:hAnsi="Times New Roman" w:eastAsia="宋体" w:cs="Times New Roman"/>
          <w:b/>
          <w:bCs w:val="0"/>
        </w:rPr>
        <w:t>4.2.2采场防排水系统</w:t>
      </w:r>
      <w:bookmarkEnd w:id="587"/>
      <w:bookmarkEnd w:id="588"/>
      <w:bookmarkEnd w:id="589"/>
      <w:bookmarkEnd w:id="590"/>
      <w:bookmarkEnd w:id="591"/>
      <w:bookmarkEnd w:id="592"/>
      <w:bookmarkEnd w:id="593"/>
      <w:bookmarkEnd w:id="594"/>
    </w:p>
    <w:p w14:paraId="0DC781CA">
      <w:pPr>
        <w:ind w:firstLine="560"/>
        <w:rPr>
          <w:rFonts w:hint="default" w:ascii="Times New Roman" w:hAnsi="Times New Roman" w:cs="Times New Roman"/>
        </w:rPr>
      </w:pPr>
      <w:bookmarkStart w:id="595" w:name="_Toc454614349"/>
      <w:bookmarkStart w:id="596" w:name="_Toc13098"/>
      <w:bookmarkStart w:id="597" w:name="_Toc352"/>
      <w:bookmarkStart w:id="598" w:name="_Toc28302"/>
      <w:bookmarkStart w:id="599" w:name="_Toc25038"/>
      <w:bookmarkStart w:id="600" w:name="_Toc59420566"/>
      <w:bookmarkStart w:id="601" w:name="_Toc26089"/>
      <w:bookmarkStart w:id="602" w:name="_Toc10554"/>
      <w:r>
        <w:rPr>
          <w:rFonts w:hint="default" w:ascii="Times New Roman" w:hAnsi="Times New Roman" w:cs="Times New Roman"/>
        </w:rPr>
        <w:t>1.矿山今后形成新的运输道路和台阶过程中，应逐步按照设计要求修建公路内侧排水沟</w:t>
      </w:r>
      <w:r>
        <w:rPr>
          <w:rFonts w:hint="default" w:ascii="Times New Roman" w:hAnsi="Times New Roman" w:cs="Times New Roman"/>
          <w:lang w:eastAsia="zh-CN"/>
        </w:rPr>
        <w:t>和</w:t>
      </w:r>
      <w:r>
        <w:rPr>
          <w:rFonts w:hint="default" w:ascii="Times New Roman" w:hAnsi="Times New Roman" w:cs="Times New Roman"/>
        </w:rPr>
        <w:t>台阶排水沟，定期对台阶排水沟和排水沟进行检查</w:t>
      </w:r>
      <w:r>
        <w:rPr>
          <w:rFonts w:hint="eastAsia" w:ascii="Times New Roman" w:hAnsi="Times New Roman" w:cs="Times New Roman"/>
          <w:lang w:eastAsia="zh-CN"/>
        </w:rPr>
        <w:t>，</w:t>
      </w:r>
      <w:r>
        <w:rPr>
          <w:rFonts w:hint="default" w:ascii="Times New Roman" w:hAnsi="Times New Roman" w:cs="Times New Roman"/>
        </w:rPr>
        <w:t>并加强日常清理维护工作。</w:t>
      </w:r>
    </w:p>
    <w:p w14:paraId="7CC32A69">
      <w:pPr>
        <w:ind w:firstLine="560"/>
        <w:rPr>
          <w:rFonts w:hint="default" w:ascii="Times New Roman" w:hAnsi="Times New Roman" w:eastAsia="宋体" w:cs="Times New Roman"/>
        </w:rPr>
      </w:pPr>
      <w:r>
        <w:rPr>
          <w:rFonts w:hint="eastAsia" w:ascii="Times New Roman" w:hAnsi="Times New Roman" w:cs="Times New Roman"/>
          <w:lang w:val="en-US" w:eastAsia="zh-CN"/>
        </w:rPr>
        <w:t>2</w:t>
      </w:r>
      <w:r>
        <w:rPr>
          <w:rFonts w:hint="default" w:ascii="Times New Roman" w:hAnsi="Times New Roman" w:cs="Times New Roman"/>
        </w:rPr>
        <w:t>.雨季来临前，应对所有防排水系统进行安全大检查，并将影响生产、生活的隐患及时</w:t>
      </w:r>
      <w:r>
        <w:rPr>
          <w:rFonts w:hint="default" w:ascii="Times New Roman" w:hAnsi="Times New Roman" w:cs="Times New Roman"/>
          <w:lang w:eastAsia="zh-CN"/>
        </w:rPr>
        <w:t>排除</w:t>
      </w:r>
      <w:r>
        <w:rPr>
          <w:rFonts w:hint="default" w:ascii="Times New Roman" w:hAnsi="Times New Roman" w:cs="Times New Roman"/>
        </w:rPr>
        <w:t>，同时加大对汛期的安全检查力度，及时处理汛期中发</w:t>
      </w:r>
      <w:r>
        <w:rPr>
          <w:rFonts w:hint="default" w:ascii="Times New Roman" w:hAnsi="Times New Roman" w:eastAsia="宋体" w:cs="Times New Roman"/>
        </w:rPr>
        <w:t>生的问题，确保排水系统的有效性。</w:t>
      </w:r>
    </w:p>
    <w:p w14:paraId="5E8119C1">
      <w:pPr>
        <w:ind w:firstLine="560"/>
        <w:rPr>
          <w:rFonts w:hint="default" w:ascii="Times New Roman" w:hAnsi="Times New Roman" w:eastAsia="宋体" w:cs="Times New Roman"/>
          <w:lang w:eastAsia="zh-CN"/>
        </w:rPr>
      </w:pPr>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w:t>
      </w:r>
      <w:r>
        <w:rPr>
          <w:rFonts w:hint="default" w:ascii="Times New Roman" w:hAnsi="Times New Roman" w:eastAsia="宋体" w:cs="Times New Roman"/>
        </w:rPr>
        <w:t>每年应制定防排水措施，并定期检查措施执行情况。</w:t>
      </w:r>
    </w:p>
    <w:p w14:paraId="2EC21ACA">
      <w:pPr>
        <w:ind w:firstLine="56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4.定期对采场现有排水涵管进行检查，定期疏通，保证排水有效性。</w:t>
      </w:r>
    </w:p>
    <w:p w14:paraId="71998E6E">
      <w:pPr>
        <w:ind w:firstLine="56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w:t>
      </w:r>
      <w:r>
        <w:rPr>
          <w:rFonts w:cs="Times New Roman"/>
        </w:rPr>
        <w:t>汛期时应做好矿区的防汛工作，包括明确防汛安全生产责任制，建立紧急预案，疏通矿区内外的截水沟，详细检查排洪系统的安全状况，配备足够物资，确保通讯、照明、道路、供电可靠和畅通等</w:t>
      </w:r>
      <w:r>
        <w:rPr>
          <w:rFonts w:hint="eastAsia" w:cs="Times New Roman"/>
          <w:lang w:eastAsia="zh-CN"/>
        </w:rPr>
        <w:t>。</w:t>
      </w:r>
    </w:p>
    <w:p w14:paraId="745694A3">
      <w:pPr>
        <w:pStyle w:val="4"/>
        <w:ind w:firstLine="562"/>
        <w:rPr>
          <w:rFonts w:hint="default" w:ascii="Times New Roman" w:hAnsi="Times New Roman" w:eastAsia="宋体" w:cs="Times New Roman"/>
          <w:b/>
          <w:bCs w:val="0"/>
        </w:rPr>
      </w:pPr>
      <w:r>
        <w:rPr>
          <w:rFonts w:hint="default" w:ascii="Times New Roman" w:hAnsi="Times New Roman" w:eastAsia="宋体" w:cs="Times New Roman"/>
          <w:b/>
          <w:bCs w:val="0"/>
        </w:rPr>
        <w:t>4.2.3矿岩运输系统</w:t>
      </w:r>
      <w:bookmarkEnd w:id="595"/>
      <w:bookmarkEnd w:id="596"/>
      <w:bookmarkEnd w:id="597"/>
      <w:bookmarkEnd w:id="598"/>
      <w:bookmarkEnd w:id="599"/>
      <w:bookmarkEnd w:id="600"/>
      <w:bookmarkEnd w:id="601"/>
      <w:bookmarkEnd w:id="602"/>
    </w:p>
    <w:p w14:paraId="506AAD33">
      <w:pPr>
        <w:ind w:firstLine="560"/>
        <w:rPr>
          <w:rFonts w:hint="default" w:ascii="Times New Roman" w:hAnsi="Times New Roman" w:cs="Times New Roman"/>
        </w:rPr>
      </w:pPr>
      <w:bookmarkStart w:id="603" w:name="_Toc2611"/>
      <w:bookmarkStart w:id="604" w:name="_Toc14649"/>
      <w:bookmarkStart w:id="605" w:name="_Toc10045"/>
      <w:bookmarkStart w:id="606" w:name="_Toc454614350"/>
      <w:r>
        <w:rPr>
          <w:rFonts w:hint="default" w:ascii="Times New Roman" w:hAnsi="Times New Roman" w:cs="Times New Roman"/>
        </w:rPr>
        <w:t>1.矿用自卸汽车的常规定期检验周期为每年一次，矿用自卸汽车初次投入使用前或大修后交付使用前须进行检验。</w:t>
      </w:r>
    </w:p>
    <w:p w14:paraId="6FE6DC48">
      <w:pPr>
        <w:ind w:firstLine="560"/>
        <w:rPr>
          <w:rFonts w:hint="default" w:ascii="Times New Roman" w:hAnsi="Times New Roman" w:cs="Times New Roman"/>
        </w:rPr>
      </w:pPr>
      <w:r>
        <w:rPr>
          <w:rFonts w:hint="default" w:ascii="Times New Roman" w:hAnsi="Times New Roman" w:cs="Times New Roman"/>
        </w:rPr>
        <w:t>2.每次作业前对路面、台阶边缘、上下边坡、运行范围进行检查，清理边坡浮石，防止车辆压塌路面或边坡而发生翻车事故，防止滑坡、滚石砸坏车辆。</w:t>
      </w:r>
    </w:p>
    <w:p w14:paraId="5AF83B90">
      <w:pPr>
        <w:ind w:firstLine="560"/>
        <w:rPr>
          <w:rFonts w:hint="default" w:ascii="Times New Roman" w:hAnsi="Times New Roman" w:cs="Times New Roman"/>
        </w:rPr>
      </w:pPr>
      <w:r>
        <w:rPr>
          <w:rFonts w:hint="default" w:ascii="Times New Roman" w:hAnsi="Times New Roman" w:cs="Times New Roman"/>
        </w:rPr>
        <w:t>3.禁止人员、设备上下同时作业。设置相应的警示标志，加强人员安全教育培训保证矿山安全生产。</w:t>
      </w:r>
    </w:p>
    <w:p w14:paraId="4A9837FE">
      <w:pPr>
        <w:ind w:firstLine="560"/>
        <w:rPr>
          <w:rFonts w:hint="default" w:ascii="Times New Roman" w:hAnsi="Times New Roman" w:cs="Times New Roman"/>
        </w:rPr>
      </w:pPr>
      <w:r>
        <w:rPr>
          <w:rFonts w:hint="default" w:ascii="Times New Roman" w:hAnsi="Times New Roman" w:cs="Times New Roman"/>
        </w:rPr>
        <w:t>4.雾天或烟尘弥漫影响能见度时，应开亮车前黄灯与标志灯，并靠右侧减速行驶，前后车间距应不小于30m。视距不足30m时，应靠右暂停行驶，并不应熄灭车前、车后的警示灯。</w:t>
      </w:r>
    </w:p>
    <w:p w14:paraId="06CD2352">
      <w:pPr>
        <w:ind w:firstLine="560"/>
        <w:rPr>
          <w:rFonts w:hint="default" w:ascii="Times New Roman" w:hAnsi="Times New Roman" w:cs="Times New Roman"/>
        </w:rPr>
      </w:pPr>
      <w:r>
        <w:rPr>
          <w:rFonts w:hint="default" w:ascii="Times New Roman" w:hAnsi="Times New Roman" w:cs="Times New Roman"/>
        </w:rPr>
        <w:t>5.运输过程中应加强对道路的维护、监测以及汽车的检修。</w:t>
      </w:r>
    </w:p>
    <w:p w14:paraId="52B4ECE2">
      <w:pPr>
        <w:ind w:firstLine="560"/>
        <w:rPr>
          <w:rFonts w:hint="default" w:ascii="Times New Roman" w:hAnsi="Times New Roman" w:cs="Times New Roman"/>
        </w:rPr>
      </w:pPr>
      <w:r>
        <w:rPr>
          <w:rFonts w:hint="default" w:ascii="Times New Roman" w:hAnsi="Times New Roman" w:cs="Times New Roman"/>
        </w:rPr>
        <w:t>6.待进入装车位置的汽车必须停在挖掘机最大回转半径范围之外，正在装车的汽车必须停在挖掘机尾部回转半径之外。</w:t>
      </w:r>
    </w:p>
    <w:p w14:paraId="0DB144D7">
      <w:pPr>
        <w:ind w:firstLine="560"/>
        <w:rPr>
          <w:rFonts w:hint="default" w:ascii="Times New Roman" w:hAnsi="Times New Roman" w:cs="Times New Roman"/>
        </w:rPr>
      </w:pPr>
      <w:r>
        <w:rPr>
          <w:rFonts w:hint="default" w:ascii="Times New Roman" w:hAnsi="Times New Roman" w:cs="Times New Roman"/>
        </w:rPr>
        <w:t>7.矿山应加强运输道路及边缘的日常检查，及时清理道路边缘的浮石，补充完善急弯等危险路段的反光镜、安全标志、限速标志等。</w:t>
      </w:r>
    </w:p>
    <w:p w14:paraId="0D260855">
      <w:pPr>
        <w:ind w:firstLine="560"/>
        <w:rPr>
          <w:rFonts w:hint="default" w:ascii="Times New Roman" w:hAnsi="Times New Roman" w:cs="Times New Roman"/>
        </w:rPr>
      </w:pPr>
      <w:r>
        <w:rPr>
          <w:rFonts w:hint="default" w:ascii="Times New Roman" w:hAnsi="Times New Roman" w:cs="Times New Roman"/>
        </w:rPr>
        <w:t>8.后期应严格按照相关规范要求逐步对非矿用运输车辆进行淘汰更换。</w:t>
      </w:r>
    </w:p>
    <w:p w14:paraId="39716B5E">
      <w:pPr>
        <w:ind w:firstLine="560"/>
        <w:rPr>
          <w:rFonts w:hint="default" w:ascii="Times New Roman" w:hAnsi="Times New Roman" w:cs="Times New Roman"/>
        </w:rPr>
      </w:pPr>
      <w:r>
        <w:rPr>
          <w:rFonts w:hint="default" w:ascii="Times New Roman" w:hAnsi="Times New Roman" w:cs="Times New Roman"/>
        </w:rPr>
        <w:t>9.按照设计对错车道进行布置，满足错车要求。</w:t>
      </w:r>
    </w:p>
    <w:p w14:paraId="75193511">
      <w:pPr>
        <w:ind w:firstLine="560"/>
        <w:rPr>
          <w:rFonts w:hint="default" w:ascii="Times New Roman" w:hAnsi="Times New Roman" w:eastAsia="宋体" w:cs="Times New Roman"/>
        </w:rPr>
      </w:pPr>
      <w:r>
        <w:rPr>
          <w:rFonts w:hint="default" w:ascii="Times New Roman" w:hAnsi="Times New Roman" w:eastAsia="宋体" w:cs="Times New Roman"/>
          <w:lang w:val="en-US" w:eastAsia="zh-CN"/>
        </w:rPr>
        <w:t>10.</w:t>
      </w:r>
      <w:r>
        <w:rPr>
          <w:rFonts w:hint="default" w:ascii="Times New Roman" w:hAnsi="Times New Roman" w:eastAsia="宋体" w:cs="Times New Roman"/>
        </w:rPr>
        <w:t>矿山运输道路已修至</w:t>
      </w:r>
      <w:r>
        <w:rPr>
          <w:rFonts w:hint="default" w:ascii="Times New Roman" w:hAnsi="Times New Roman" w:eastAsia="宋体" w:cs="Times New Roman"/>
          <w:lang w:val="en-US" w:eastAsia="zh-CN"/>
        </w:rPr>
        <w:t>2238</w:t>
      </w:r>
      <w:r>
        <w:rPr>
          <w:rFonts w:hint="default" w:ascii="Times New Roman" w:hAnsi="Times New Roman" w:eastAsia="宋体" w:cs="Times New Roman"/>
        </w:rPr>
        <w:t>m基建平台，企业应按照设计要求对运输道路进行修建并完善，同时在道路外侧边坡一侧设置安全</w:t>
      </w:r>
      <w:r>
        <w:rPr>
          <w:rFonts w:hint="default" w:ascii="Times New Roman" w:hAnsi="Times New Roman" w:eastAsia="宋体" w:cs="Times New Roman"/>
          <w:lang w:eastAsia="zh-CN"/>
        </w:rPr>
        <w:t>车挡</w:t>
      </w:r>
      <w:r>
        <w:rPr>
          <w:rFonts w:hint="default" w:ascii="Times New Roman" w:hAnsi="Times New Roman" w:eastAsia="宋体" w:cs="Times New Roman"/>
        </w:rPr>
        <w:t>，确保设备运输的安全。</w:t>
      </w:r>
    </w:p>
    <w:p w14:paraId="4B6A50B4">
      <w:pPr>
        <w:ind w:firstLine="56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11.</w:t>
      </w:r>
      <w:r>
        <w:rPr>
          <w:rFonts w:hint="eastAsia" w:eastAsia="宋体" w:cs="Times New Roman"/>
          <w:lang w:val="en-US" w:eastAsia="zh-CN"/>
        </w:rPr>
        <w:t>定期进行</w:t>
      </w:r>
      <w:r>
        <w:rPr>
          <w:rFonts w:cs="Times New Roman"/>
        </w:rPr>
        <w:t>道路维护，及时清除运输道路上任何物质，保持运输道路平整</w:t>
      </w:r>
      <w:r>
        <w:rPr>
          <w:rFonts w:hint="eastAsia" w:cs="Times New Roman"/>
          <w:lang w:eastAsia="zh-CN"/>
        </w:rPr>
        <w:t>。</w:t>
      </w:r>
    </w:p>
    <w:p w14:paraId="16ABF95D">
      <w:pPr>
        <w:pStyle w:val="4"/>
        <w:ind w:firstLine="562"/>
        <w:rPr>
          <w:rFonts w:hint="default" w:ascii="Times New Roman" w:hAnsi="Times New Roman" w:eastAsia="宋体" w:cs="Times New Roman"/>
          <w:b/>
          <w:bCs w:val="0"/>
        </w:rPr>
      </w:pPr>
      <w:bookmarkStart w:id="607" w:name="_Toc22782"/>
      <w:bookmarkStart w:id="608" w:name="_Toc17299"/>
      <w:bookmarkStart w:id="609" w:name="_Toc32604"/>
      <w:bookmarkStart w:id="610" w:name="_Toc2957"/>
      <w:bookmarkStart w:id="611" w:name="_Toc59420567"/>
      <w:r>
        <w:rPr>
          <w:rFonts w:hint="default" w:ascii="Times New Roman" w:hAnsi="Times New Roman" w:eastAsia="宋体" w:cs="Times New Roman"/>
          <w:b/>
          <w:bCs w:val="0"/>
        </w:rPr>
        <w:t>4.2.4供配电</w:t>
      </w:r>
      <w:bookmarkEnd w:id="607"/>
      <w:bookmarkEnd w:id="608"/>
      <w:bookmarkEnd w:id="609"/>
      <w:bookmarkEnd w:id="610"/>
      <w:bookmarkEnd w:id="611"/>
    </w:p>
    <w:p w14:paraId="329837A0">
      <w:pPr>
        <w:pStyle w:val="160"/>
        <w:numPr>
          <w:ilvl w:val="0"/>
          <w:numId w:val="0"/>
        </w:numPr>
        <w:adjustRightInd w:val="0"/>
        <w:snapToGrid w:val="0"/>
        <w:ind w:firstLine="560" w:firstLineChars="200"/>
        <w:rPr>
          <w:rFonts w:hint="default" w:ascii="Times New Roman" w:hAnsi="Times New Roman" w:cs="Times New Roman"/>
        </w:rPr>
      </w:pPr>
      <w:r>
        <w:rPr>
          <w:rFonts w:hint="default" w:ascii="Times New Roman" w:hAnsi="Times New Roman" w:cs="Times New Roman"/>
        </w:rPr>
        <w:t>1.矿山电气设备可能被人触及的裸露带电部分，应设置安全防护罩或防护栏及安全警示标志。</w:t>
      </w:r>
    </w:p>
    <w:p w14:paraId="0B7060F1">
      <w:pPr>
        <w:pStyle w:val="160"/>
        <w:numPr>
          <w:ilvl w:val="0"/>
          <w:numId w:val="0"/>
        </w:numPr>
        <w:adjustRightInd w:val="0"/>
        <w:snapToGrid w:val="0"/>
        <w:ind w:firstLine="560" w:firstLineChars="200"/>
        <w:rPr>
          <w:rFonts w:hint="default" w:ascii="Times New Roman" w:hAnsi="Times New Roman" w:cs="Times New Roman"/>
        </w:rPr>
      </w:pPr>
      <w:r>
        <w:rPr>
          <w:rFonts w:hint="default" w:ascii="Times New Roman" w:hAnsi="Times New Roman" w:cs="Times New Roman"/>
        </w:rPr>
        <w:t>2.建议按要求配备绝缘工器具，并定期对绝缘工器具进行检测检验。</w:t>
      </w:r>
    </w:p>
    <w:p w14:paraId="182BD193">
      <w:pPr>
        <w:pStyle w:val="160"/>
        <w:numPr>
          <w:ilvl w:val="0"/>
          <w:numId w:val="0"/>
        </w:numPr>
        <w:adjustRightInd w:val="0"/>
        <w:snapToGrid w:val="0"/>
        <w:ind w:firstLine="560" w:firstLineChars="200"/>
        <w:rPr>
          <w:rFonts w:hint="default" w:ascii="Times New Roman" w:hAnsi="Times New Roman" w:cs="Times New Roman"/>
        </w:rPr>
      </w:pPr>
      <w:r>
        <w:rPr>
          <w:rFonts w:hint="default" w:ascii="Times New Roman" w:hAnsi="Times New Roman" w:cs="Times New Roman"/>
        </w:rPr>
        <w:t>3.建议规范敷设矿山电线、电缆，禁止沿地敷设。</w:t>
      </w:r>
    </w:p>
    <w:p w14:paraId="2B3EAFD5">
      <w:pPr>
        <w:pStyle w:val="160"/>
        <w:numPr>
          <w:ilvl w:val="0"/>
          <w:numId w:val="0"/>
        </w:numPr>
        <w:adjustRightInd w:val="0"/>
        <w:snapToGrid w:val="0"/>
        <w:ind w:firstLine="560" w:firstLineChars="200"/>
        <w:rPr>
          <w:rFonts w:hint="default" w:ascii="Times New Roman" w:hAnsi="Times New Roman" w:eastAsia="宋体" w:cs="Times New Roman"/>
        </w:rPr>
      </w:pPr>
      <w:r>
        <w:rPr>
          <w:rFonts w:hint="default" w:ascii="Times New Roman" w:hAnsi="Times New Roman" w:eastAsia="宋体" w:cs="Times New Roman"/>
        </w:rPr>
        <w:t>4</w:t>
      </w:r>
      <w:r>
        <w:rPr>
          <w:rFonts w:hint="default" w:ascii="Times New Roman" w:hAnsi="Times New Roman" w:eastAsia="宋体" w:cs="Times New Roman"/>
          <w:lang w:val="en-US" w:eastAsia="zh-CN"/>
        </w:rPr>
        <w:t>.</w:t>
      </w:r>
      <w:r>
        <w:rPr>
          <w:rFonts w:hint="default" w:ascii="Times New Roman" w:hAnsi="Times New Roman" w:eastAsia="宋体" w:cs="Times New Roman"/>
        </w:rPr>
        <w:t>在进行电气检修作业应有人员监督、并设置“有人作业，禁止合闸”等标志。</w:t>
      </w:r>
    </w:p>
    <w:p w14:paraId="1E8D873B">
      <w:pPr>
        <w:pStyle w:val="160"/>
        <w:numPr>
          <w:ilvl w:val="0"/>
          <w:numId w:val="0"/>
        </w:numPr>
        <w:adjustRightInd w:val="0"/>
        <w:snapToGrid w:val="0"/>
        <w:ind w:firstLine="560" w:firstLineChars="200"/>
        <w:rPr>
          <w:rFonts w:hint="default" w:ascii="Times New Roman" w:hAnsi="Times New Roman" w:cs="Times New Roman"/>
        </w:rPr>
      </w:pPr>
      <w:r>
        <w:rPr>
          <w:rFonts w:hint="default" w:ascii="Times New Roman" w:hAnsi="Times New Roman" w:cs="Times New Roman"/>
        </w:rPr>
        <w:t>5.电气设备的接地、过流、漏电保护装置应保持完好、有效。</w:t>
      </w:r>
    </w:p>
    <w:bookmarkEnd w:id="603"/>
    <w:bookmarkEnd w:id="604"/>
    <w:bookmarkEnd w:id="605"/>
    <w:bookmarkEnd w:id="606"/>
    <w:p w14:paraId="2EAF5C2E">
      <w:pPr>
        <w:pStyle w:val="4"/>
        <w:ind w:firstLine="562"/>
        <w:rPr>
          <w:rFonts w:hint="default" w:ascii="Times New Roman" w:hAnsi="Times New Roman" w:eastAsia="宋体" w:cs="Times New Roman"/>
          <w:b/>
          <w:bCs w:val="0"/>
        </w:rPr>
      </w:pPr>
      <w:bookmarkStart w:id="612" w:name="_Toc18224"/>
      <w:bookmarkStart w:id="613" w:name="_Toc25995"/>
      <w:bookmarkStart w:id="614" w:name="_Toc454614351"/>
      <w:bookmarkStart w:id="615" w:name="_Toc59420568"/>
      <w:bookmarkStart w:id="616" w:name="_Toc13042"/>
      <w:bookmarkStart w:id="617" w:name="_Toc22838"/>
      <w:bookmarkStart w:id="618" w:name="_Toc18518"/>
      <w:bookmarkStart w:id="619" w:name="_Toc15908"/>
      <w:r>
        <w:rPr>
          <w:rFonts w:hint="default" w:ascii="Times New Roman" w:hAnsi="Times New Roman" w:eastAsia="宋体" w:cs="Times New Roman"/>
          <w:b/>
          <w:bCs w:val="0"/>
        </w:rPr>
        <w:t>4.2.5总平面布置</w:t>
      </w:r>
      <w:bookmarkEnd w:id="612"/>
      <w:bookmarkEnd w:id="613"/>
      <w:bookmarkEnd w:id="614"/>
      <w:bookmarkEnd w:id="615"/>
      <w:bookmarkEnd w:id="616"/>
      <w:bookmarkEnd w:id="617"/>
      <w:bookmarkEnd w:id="618"/>
      <w:bookmarkEnd w:id="619"/>
    </w:p>
    <w:p w14:paraId="1990145C">
      <w:pPr>
        <w:pStyle w:val="15"/>
        <w:numPr>
          <w:ilvl w:val="0"/>
          <w:numId w:val="11"/>
        </w:numPr>
        <w:ind w:firstLine="560"/>
        <w:rPr>
          <w:rFonts w:hint="default" w:ascii="Times New Roman" w:hAnsi="Times New Roman" w:cs="Times New Roman"/>
        </w:rPr>
      </w:pPr>
      <w:r>
        <w:rPr>
          <w:rFonts w:hint="default" w:ascii="Times New Roman" w:hAnsi="Times New Roman" w:cs="Times New Roman"/>
        </w:rPr>
        <w:t>建议矿山在</w:t>
      </w:r>
      <w:r>
        <w:rPr>
          <w:rFonts w:hint="default" w:ascii="Times New Roman" w:hAnsi="Times New Roman" w:cs="Times New Roman"/>
          <w:lang w:val="en-US" w:eastAsia="zh-CN"/>
        </w:rPr>
        <w:t>值班室</w:t>
      </w:r>
      <w:r>
        <w:rPr>
          <w:rFonts w:hint="default" w:ascii="Times New Roman" w:hAnsi="Times New Roman" w:cs="Times New Roman"/>
        </w:rPr>
        <w:t>等场所补充相应的消防器材，并建档登记，定期检查。</w:t>
      </w:r>
    </w:p>
    <w:p w14:paraId="2B80B2B7">
      <w:pPr>
        <w:pStyle w:val="15"/>
        <w:numPr>
          <w:ilvl w:val="0"/>
          <w:numId w:val="11"/>
        </w:numPr>
        <w:ind w:firstLine="560"/>
        <w:rPr>
          <w:rFonts w:hint="default" w:ascii="Times New Roman" w:hAnsi="Times New Roman" w:cs="Times New Roman"/>
        </w:rPr>
      </w:pPr>
      <w:r>
        <w:rPr>
          <w:rFonts w:hint="default" w:ascii="Times New Roman" w:hAnsi="Times New Roman" w:cs="Times New Roman"/>
        </w:rPr>
        <w:t>各类场地、道路边坡采取加固措施，确保边坡稳固。</w:t>
      </w:r>
    </w:p>
    <w:p w14:paraId="21EF4116">
      <w:pPr>
        <w:pStyle w:val="15"/>
        <w:numPr>
          <w:ilvl w:val="0"/>
          <w:numId w:val="11"/>
        </w:numPr>
        <w:ind w:firstLine="560"/>
        <w:rPr>
          <w:rFonts w:hint="default" w:ascii="Times New Roman" w:hAnsi="Times New Roman" w:cs="Times New Roman"/>
        </w:rPr>
      </w:pPr>
      <w:r>
        <w:rPr>
          <w:rFonts w:hint="default" w:ascii="Times New Roman" w:hAnsi="Times New Roman" w:cs="Times New Roman"/>
        </w:rPr>
        <w:t>加强破碎站的安全管理及设施设备的安全检查，发现问题时及时处理。</w:t>
      </w:r>
    </w:p>
    <w:p w14:paraId="0F099CFD">
      <w:pPr>
        <w:pStyle w:val="15"/>
        <w:numPr>
          <w:ilvl w:val="0"/>
          <w:numId w:val="11"/>
        </w:numPr>
        <w:ind w:firstLine="560"/>
        <w:rPr>
          <w:rFonts w:hint="default" w:ascii="Times New Roman" w:hAnsi="Times New Roman" w:cs="Times New Roman"/>
        </w:rPr>
      </w:pPr>
      <w:r>
        <w:rPr>
          <w:rFonts w:hint="default" w:ascii="Times New Roman" w:hAnsi="Times New Roman" w:cs="Times New Roman"/>
        </w:rPr>
        <w:t>开采过程中应防止越界开采，严格遵守设计要求进行开采，在矿界设置围栏。</w:t>
      </w:r>
    </w:p>
    <w:p w14:paraId="4401237B">
      <w:pPr>
        <w:pStyle w:val="15"/>
        <w:numPr>
          <w:ilvl w:val="0"/>
          <w:numId w:val="11"/>
        </w:numPr>
        <w:ind w:firstLine="560"/>
        <w:rPr>
          <w:rFonts w:hint="default" w:ascii="Times New Roman" w:hAnsi="Times New Roman" w:cs="Times New Roman"/>
        </w:rPr>
      </w:pPr>
      <w:r>
        <w:rPr>
          <w:rFonts w:hint="default" w:ascii="Times New Roman" w:hAnsi="Times New Roman" w:cs="Times New Roman"/>
        </w:rPr>
        <w:t>电气设备的接地、过流、漏电保护装置应保持完好、有效。</w:t>
      </w:r>
    </w:p>
    <w:p w14:paraId="7D72DFC5">
      <w:pPr>
        <w:pStyle w:val="4"/>
        <w:ind w:firstLine="562"/>
        <w:rPr>
          <w:rFonts w:hint="default" w:ascii="Times New Roman" w:hAnsi="Times New Roman" w:eastAsia="宋体" w:cs="Times New Roman"/>
          <w:b/>
          <w:bCs w:val="0"/>
        </w:rPr>
      </w:pPr>
      <w:bookmarkStart w:id="620" w:name="_Toc2127"/>
      <w:bookmarkStart w:id="621" w:name="_Toc24405"/>
      <w:bookmarkStart w:id="622" w:name="_Toc17444"/>
      <w:bookmarkStart w:id="623" w:name="_Toc59420569"/>
      <w:bookmarkStart w:id="624" w:name="_Toc8258"/>
      <w:bookmarkStart w:id="625" w:name="_Toc28287"/>
      <w:bookmarkStart w:id="626" w:name="_Toc454614352"/>
      <w:bookmarkStart w:id="627" w:name="_Toc2789"/>
      <w:r>
        <w:rPr>
          <w:rFonts w:hint="default" w:ascii="Times New Roman" w:hAnsi="Times New Roman" w:eastAsia="宋体" w:cs="Times New Roman"/>
          <w:b/>
          <w:bCs w:val="0"/>
        </w:rPr>
        <w:t>4.2.6安全标志</w:t>
      </w:r>
      <w:bookmarkEnd w:id="620"/>
      <w:bookmarkEnd w:id="621"/>
      <w:bookmarkEnd w:id="622"/>
      <w:bookmarkEnd w:id="623"/>
    </w:p>
    <w:p w14:paraId="33B95192">
      <w:pPr>
        <w:ind w:firstLine="560"/>
        <w:rPr>
          <w:rFonts w:hint="default" w:ascii="Times New Roman" w:hAnsi="Times New Roman" w:cs="Times New Roman"/>
        </w:rPr>
      </w:pPr>
      <w:r>
        <w:rPr>
          <w:rFonts w:hint="default" w:ascii="Times New Roman" w:hAnsi="Times New Roman" w:cs="Times New Roman"/>
        </w:rPr>
        <w:t>1.矿山应使用经具有专业资质的检测、检验机构检测、检验合格，取得安全使用证或者安全标志的设备设施。</w:t>
      </w:r>
    </w:p>
    <w:p w14:paraId="0D8596C3">
      <w:pPr>
        <w:ind w:firstLine="560"/>
        <w:rPr>
          <w:rFonts w:hint="default" w:ascii="Times New Roman" w:hAnsi="Times New Roman" w:cs="Times New Roman"/>
        </w:rPr>
      </w:pPr>
      <w:r>
        <w:rPr>
          <w:rFonts w:hint="default" w:ascii="Times New Roman" w:hAnsi="Times New Roman" w:cs="Times New Roman"/>
        </w:rPr>
        <w:t>2.建议矿山结合开采进度情况，完善露天采场界境安全护栏和安全警示标志，完善运输道路、边坡等危险区域安全警示标志，并定期维护更新矿山安全警示标志。</w:t>
      </w:r>
    </w:p>
    <w:p w14:paraId="7F557FBE">
      <w:pPr>
        <w:ind w:firstLine="560"/>
        <w:rPr>
          <w:rFonts w:hint="default" w:ascii="Times New Roman" w:hAnsi="Times New Roman" w:cs="Times New Roman"/>
        </w:rPr>
      </w:pPr>
      <w:r>
        <w:rPr>
          <w:rFonts w:hint="default" w:ascii="Times New Roman" w:hAnsi="Times New Roman" w:cs="Times New Roman"/>
        </w:rPr>
        <w:t>3.作业前应认真检查作业地点的安全情况，发现严重危及人身安全的征兆时，应迅速撤出危险区，同时设置警戒和警示标志，禁止人员和车辆通行，并报告矿山有关部门及时处理，处理结果应记录存档。</w:t>
      </w:r>
    </w:p>
    <w:p w14:paraId="638EA4DB">
      <w:pPr>
        <w:pStyle w:val="26"/>
        <w:spacing w:after="0" w:line="360" w:lineRule="auto"/>
        <w:ind w:leftChars="0" w:firstLine="560"/>
        <w:rPr>
          <w:rFonts w:hint="default" w:ascii="Times New Roman" w:hAnsi="Times New Roman" w:cs="Times New Roman"/>
        </w:rPr>
      </w:pPr>
      <w:r>
        <w:rPr>
          <w:rFonts w:hint="default" w:ascii="Times New Roman" w:hAnsi="Times New Roman" w:cs="Times New Roman"/>
        </w:rPr>
        <w:t>4.定期对矿山内安全警示标志进行检查和维护，保证安全警示标志标牌的完好和有效。</w:t>
      </w:r>
    </w:p>
    <w:p w14:paraId="5D768DE0">
      <w:pPr>
        <w:pStyle w:val="4"/>
        <w:ind w:firstLine="562"/>
        <w:rPr>
          <w:rFonts w:hint="default" w:ascii="Times New Roman" w:hAnsi="Times New Roman" w:eastAsia="宋体" w:cs="Times New Roman"/>
          <w:b/>
          <w:bCs w:val="0"/>
        </w:rPr>
      </w:pPr>
      <w:bookmarkStart w:id="628" w:name="_Toc24975"/>
      <w:bookmarkStart w:id="629" w:name="_Toc16478"/>
      <w:bookmarkStart w:id="630" w:name="_Toc13026"/>
      <w:bookmarkStart w:id="631" w:name="_Toc5618"/>
      <w:bookmarkStart w:id="632" w:name="_Toc2167"/>
      <w:r>
        <w:rPr>
          <w:rFonts w:hint="default" w:ascii="Times New Roman" w:hAnsi="Times New Roman" w:eastAsia="宋体" w:cs="Times New Roman"/>
          <w:b/>
          <w:bCs w:val="0"/>
        </w:rPr>
        <w:t>4.2.7个人安全防护单元</w:t>
      </w:r>
      <w:bookmarkEnd w:id="628"/>
      <w:bookmarkEnd w:id="629"/>
      <w:bookmarkEnd w:id="630"/>
      <w:bookmarkEnd w:id="631"/>
      <w:bookmarkEnd w:id="632"/>
    </w:p>
    <w:p w14:paraId="2E9A434F">
      <w:pPr>
        <w:ind w:firstLine="560"/>
        <w:rPr>
          <w:rFonts w:hint="default" w:ascii="Times New Roman" w:hAnsi="Times New Roman" w:cs="Times New Roman"/>
        </w:rPr>
      </w:pPr>
      <w:r>
        <w:rPr>
          <w:rFonts w:hint="default" w:ascii="Times New Roman" w:hAnsi="Times New Roman" w:cs="Times New Roman"/>
        </w:rPr>
        <w:t>1.企业应按要求为从业人员提供合格的个人安全防护用品，如防护耳塞、防尘口罩</w:t>
      </w:r>
      <w:r>
        <w:rPr>
          <w:rFonts w:hint="default" w:ascii="Times New Roman" w:hAnsi="Times New Roman" w:cs="Times New Roman"/>
          <w:lang w:eastAsia="zh-CN"/>
        </w:rPr>
        <w:t>、</w:t>
      </w:r>
      <w:r>
        <w:rPr>
          <w:rFonts w:hint="default" w:ascii="Times New Roman" w:hAnsi="Times New Roman" w:cs="Times New Roman"/>
          <w:lang w:val="en-US" w:eastAsia="zh-CN"/>
        </w:rPr>
        <w:t>安全帽</w:t>
      </w:r>
      <w:r>
        <w:rPr>
          <w:rFonts w:hint="default" w:ascii="Times New Roman" w:hAnsi="Times New Roman" w:cs="Times New Roman"/>
        </w:rPr>
        <w:t>等，并监督其正确使用。</w:t>
      </w:r>
    </w:p>
    <w:p w14:paraId="6F4E0E2B">
      <w:pPr>
        <w:ind w:firstLine="560"/>
        <w:rPr>
          <w:rFonts w:hint="default" w:ascii="Times New Roman" w:hAnsi="Times New Roman" w:cs="Times New Roman"/>
        </w:rPr>
      </w:pPr>
      <w:r>
        <w:rPr>
          <w:rFonts w:hint="default" w:ascii="Times New Roman" w:hAnsi="Times New Roman" w:cs="Times New Roman"/>
        </w:rPr>
        <w:t>2.完善个人安全防护用品发放和领用记录。</w:t>
      </w:r>
    </w:p>
    <w:p w14:paraId="64A81C5A">
      <w:pPr>
        <w:ind w:firstLine="560"/>
        <w:rPr>
          <w:rFonts w:hint="default" w:ascii="Times New Roman" w:hAnsi="Times New Roman" w:cs="Times New Roman"/>
        </w:rPr>
      </w:pPr>
      <w:r>
        <w:rPr>
          <w:rFonts w:hint="default" w:ascii="Times New Roman" w:hAnsi="Times New Roman" w:cs="Times New Roman"/>
        </w:rPr>
        <w:t>3.企业应当安排专项经费用于矿山配备劳动防护用品，不得以货币或者其他物品替代，该项经费计入生产成本，据实列支。</w:t>
      </w:r>
    </w:p>
    <w:p w14:paraId="54EEF38F">
      <w:pPr>
        <w:ind w:firstLine="560"/>
        <w:rPr>
          <w:rFonts w:hint="default" w:ascii="Times New Roman" w:hAnsi="Times New Roman" w:cs="Times New Roman"/>
        </w:rPr>
      </w:pPr>
      <w:r>
        <w:rPr>
          <w:rFonts w:hint="default" w:ascii="Times New Roman" w:hAnsi="Times New Roman" w:cs="Times New Roman"/>
        </w:rPr>
        <w:t>4.企业从业人员在作业过程中，应当严格遵守本单位的安全生产规章制度和操作规程，服从管理，正确佩戴和使用劳动防护用品。</w:t>
      </w:r>
    </w:p>
    <w:p w14:paraId="370EB13C">
      <w:pPr>
        <w:ind w:firstLine="560"/>
        <w:rPr>
          <w:rFonts w:hint="default" w:ascii="Times New Roman" w:hAnsi="Times New Roman" w:cs="Times New Roman"/>
        </w:rPr>
      </w:pPr>
      <w:r>
        <w:rPr>
          <w:rFonts w:hint="default" w:ascii="Times New Roman" w:hAnsi="Times New Roman" w:cs="Times New Roman"/>
        </w:rPr>
        <w:t>5.企业应加强对外来人员的个体防护安全管理，要求与进行作业的劳动者相同的标准，正确佩戴和使用劳动防护用品。</w:t>
      </w:r>
    </w:p>
    <w:p w14:paraId="2FB35EAC">
      <w:pPr>
        <w:pStyle w:val="4"/>
        <w:ind w:firstLine="562"/>
        <w:rPr>
          <w:rFonts w:hint="default" w:ascii="Times New Roman" w:hAnsi="Times New Roman" w:eastAsia="宋体" w:cs="Times New Roman"/>
          <w:b/>
          <w:bCs w:val="0"/>
        </w:rPr>
      </w:pPr>
      <w:bookmarkStart w:id="633" w:name="_Toc59420570"/>
      <w:bookmarkStart w:id="634" w:name="_Toc11041"/>
      <w:bookmarkStart w:id="635" w:name="_Toc21991"/>
      <w:bookmarkStart w:id="636" w:name="_Toc19736"/>
      <w:r>
        <w:rPr>
          <w:rFonts w:hint="default" w:ascii="Times New Roman" w:hAnsi="Times New Roman" w:eastAsia="宋体" w:cs="Times New Roman"/>
          <w:b/>
          <w:bCs w:val="0"/>
        </w:rPr>
        <w:t>4.2.8安全管理</w:t>
      </w:r>
      <w:bookmarkEnd w:id="624"/>
      <w:bookmarkEnd w:id="625"/>
      <w:bookmarkEnd w:id="626"/>
      <w:bookmarkEnd w:id="627"/>
      <w:bookmarkEnd w:id="633"/>
      <w:bookmarkEnd w:id="634"/>
      <w:bookmarkEnd w:id="635"/>
      <w:bookmarkEnd w:id="636"/>
    </w:p>
    <w:p w14:paraId="525E3B9A">
      <w:pPr>
        <w:ind w:firstLine="560"/>
        <w:rPr>
          <w:rFonts w:hint="default" w:ascii="Times New Roman" w:hAnsi="Times New Roman" w:cs="Times New Roman"/>
        </w:rPr>
      </w:pPr>
      <w:r>
        <w:rPr>
          <w:rFonts w:hint="default" w:ascii="Times New Roman" w:hAnsi="Times New Roman" w:cs="Times New Roman"/>
        </w:rPr>
        <w:t>1.矿山应定期组织全体从业人员学习培训安全知识和技能，熟悉有关安全生产规章制度和安全操作规程，掌握本岗位的安全操作技能，提高职工安全生产与危险防范的能力。</w:t>
      </w:r>
    </w:p>
    <w:p w14:paraId="0D450067">
      <w:pPr>
        <w:ind w:firstLine="560"/>
        <w:rPr>
          <w:rFonts w:hint="default" w:ascii="Times New Roman" w:hAnsi="Times New Roman" w:cs="Times New Roman"/>
        </w:rPr>
      </w:pPr>
      <w:r>
        <w:rPr>
          <w:rFonts w:hint="default" w:ascii="Times New Roman" w:hAnsi="Times New Roman" w:cs="Times New Roman"/>
        </w:rPr>
        <w:t>2.企业应及时取得主要负责人、安全管理人员合格证并持证上岗。</w:t>
      </w:r>
    </w:p>
    <w:p w14:paraId="048A5451">
      <w:pPr>
        <w:ind w:firstLine="560"/>
        <w:rPr>
          <w:rFonts w:hint="default" w:ascii="Times New Roman" w:hAnsi="Times New Roman" w:cs="Times New Roman"/>
        </w:rPr>
      </w:pPr>
      <w:r>
        <w:rPr>
          <w:rFonts w:hint="default" w:ascii="Times New Roman" w:hAnsi="Times New Roman" w:cs="Times New Roman"/>
        </w:rPr>
        <w:t>3.加强监督检查作业人员佩戴劳保用品用具，认真做好劳动防护用品的发放、检查、使用、报废记录，未佩戴安全保护用品用具的人员不得上岗作业。</w:t>
      </w:r>
    </w:p>
    <w:p w14:paraId="5C65251E">
      <w:pPr>
        <w:ind w:firstLine="560"/>
        <w:rPr>
          <w:rFonts w:hint="default" w:ascii="Times New Roman" w:hAnsi="Times New Roman" w:cs="Times New Roman"/>
        </w:rPr>
      </w:pPr>
      <w:r>
        <w:rPr>
          <w:rFonts w:hint="default" w:ascii="Times New Roman" w:hAnsi="Times New Roman" w:cs="Times New Roman"/>
        </w:rPr>
        <w:t>4.建立完善各级安全生产会议记录档案、各类从业人员安全教育培训、考核、持证情况档案、现场安全检查、事故隐患及其整改情况档案、职工违章处罚情况档案、职工劳动防护用品发放管理档案、伤亡事故统计档案、安全生产责任制签订、考核情况档案。</w:t>
      </w:r>
    </w:p>
    <w:p w14:paraId="4A8135B0">
      <w:pPr>
        <w:ind w:firstLine="560"/>
        <w:rPr>
          <w:rFonts w:hint="default" w:ascii="Times New Roman" w:hAnsi="Times New Roman" w:cs="Times New Roman"/>
        </w:rPr>
      </w:pPr>
      <w:r>
        <w:rPr>
          <w:rFonts w:hint="default" w:ascii="Times New Roman" w:hAnsi="Times New Roman" w:cs="Times New Roman"/>
        </w:rPr>
        <w:t>5.企业应建立健全安全生产责任制、安全管理制度、安全操作规程，并认真落实，加强安全生产管理，不断</w:t>
      </w:r>
      <w:r>
        <w:rPr>
          <w:rFonts w:hint="default" w:ascii="Times New Roman" w:hAnsi="Times New Roman" w:cs="Times New Roman"/>
          <w:kern w:val="0"/>
        </w:rPr>
        <w:t>改善安全生产条件，确保安全生产</w:t>
      </w:r>
      <w:r>
        <w:rPr>
          <w:rFonts w:hint="default" w:ascii="Times New Roman" w:hAnsi="Times New Roman" w:cs="Times New Roman"/>
        </w:rPr>
        <w:t>。</w:t>
      </w:r>
    </w:p>
    <w:p w14:paraId="26AA6383">
      <w:pPr>
        <w:ind w:firstLine="560"/>
        <w:rPr>
          <w:rFonts w:hint="default" w:ascii="Times New Roman" w:hAnsi="Times New Roman" w:cs="Times New Roman"/>
        </w:rPr>
      </w:pPr>
      <w:r>
        <w:rPr>
          <w:rFonts w:hint="default" w:ascii="Times New Roman" w:hAnsi="Times New Roman" w:cs="Times New Roman"/>
        </w:rPr>
        <w:t>6.建议企业定期组织矿山</w:t>
      </w:r>
      <w:r>
        <w:rPr>
          <w:rFonts w:hint="default" w:ascii="Times New Roman" w:hAnsi="Times New Roman" w:cs="Times New Roman"/>
          <w:bCs/>
        </w:rPr>
        <w:t>生产安全事故</w:t>
      </w:r>
      <w:r>
        <w:rPr>
          <w:rFonts w:hint="default" w:ascii="Times New Roman" w:hAnsi="Times New Roman" w:cs="Times New Roman"/>
        </w:rPr>
        <w:t>应急演练，</w:t>
      </w:r>
      <w:r>
        <w:rPr>
          <w:rFonts w:hint="default" w:ascii="Times New Roman" w:hAnsi="Times New Roman" w:cs="Times New Roman"/>
          <w:bCs/>
        </w:rPr>
        <w:t>保存演练记录，对应急预案演练效果进行评估，对预案内容的针对性和实用性进行分析，并对应急预案是否需要修订作出结论</w:t>
      </w:r>
      <w:r>
        <w:rPr>
          <w:rFonts w:hint="default" w:ascii="Times New Roman" w:hAnsi="Times New Roman" w:cs="Times New Roman"/>
        </w:rPr>
        <w:t>。</w:t>
      </w:r>
    </w:p>
    <w:p w14:paraId="516AC9FC">
      <w:pPr>
        <w:ind w:firstLine="560"/>
        <w:rPr>
          <w:rFonts w:hint="default" w:ascii="Times New Roman" w:hAnsi="Times New Roman" w:cs="Times New Roman"/>
        </w:rPr>
      </w:pPr>
      <w:r>
        <w:rPr>
          <w:rFonts w:hint="default" w:ascii="Times New Roman" w:hAnsi="Times New Roman" w:cs="Times New Roman"/>
        </w:rPr>
        <w:t>7.企业应定期对从业人员进行应急教育和培训，保证从业人员具备必要的应急知识。</w:t>
      </w:r>
    </w:p>
    <w:p w14:paraId="0C1262D7">
      <w:pPr>
        <w:ind w:firstLine="560"/>
        <w:rPr>
          <w:rFonts w:hint="default" w:ascii="Times New Roman" w:hAnsi="Times New Roman" w:cs="Times New Roman"/>
        </w:rPr>
      </w:pPr>
      <w:r>
        <w:rPr>
          <w:rFonts w:hint="default" w:ascii="Times New Roman" w:hAnsi="Times New Roman" w:cs="Times New Roman"/>
          <w:snapToGrid w:val="0"/>
          <w:kern w:val="0"/>
        </w:rPr>
        <w:t>8.</w:t>
      </w:r>
      <w:r>
        <w:rPr>
          <w:rFonts w:hint="default" w:ascii="Times New Roman" w:hAnsi="Times New Roman" w:cs="Times New Roman"/>
        </w:rPr>
        <w:t>企业应建立应急值班制度，配备应急值班人员，并根据本单位可能发生的生产安全事故的特点和危害，配备必要的应急救援器材、设备和物资，并进行经常性维护、保养，保证正常运转。</w:t>
      </w:r>
    </w:p>
    <w:p w14:paraId="16F2D157">
      <w:pPr>
        <w:ind w:firstLine="560"/>
        <w:rPr>
          <w:rFonts w:hint="default" w:ascii="Times New Roman" w:hAnsi="Times New Roman" w:cs="Times New Roman"/>
        </w:rPr>
      </w:pPr>
      <w:r>
        <w:rPr>
          <w:rFonts w:hint="default" w:ascii="Times New Roman" w:hAnsi="Times New Roman" w:cs="Times New Roman"/>
        </w:rPr>
        <w:t>9.企业应当配备</w:t>
      </w:r>
      <w:r>
        <w:rPr>
          <w:rFonts w:hint="eastAsia"/>
          <w:lang w:val="en-US" w:eastAsia="zh-CN"/>
        </w:rPr>
        <w:t>相应专业的</w:t>
      </w:r>
      <w:r>
        <w:rPr>
          <w:rFonts w:hint="default" w:ascii="Times New Roman" w:hAnsi="Times New Roman" w:cs="Times New Roman"/>
        </w:rPr>
        <w:t>注册安全工程师，应当有注册安全工程师从事安全生产管理工作</w:t>
      </w:r>
      <w:r>
        <w:rPr>
          <w:rFonts w:hint="eastAsia" w:ascii="Times New Roman" w:hAnsi="Times New Roman" w:cs="Times New Roman"/>
          <w:lang w:eastAsia="zh-CN"/>
        </w:rPr>
        <w:t>，应当配备具有采矿、地质、机电等矿山相关专业中专及以上学历或者中级及以上技术职称的专职技术人员，每个专业至少配备1人</w:t>
      </w:r>
      <w:r>
        <w:rPr>
          <w:rFonts w:hint="default" w:ascii="Times New Roman" w:hAnsi="Times New Roman" w:cs="Times New Roman"/>
        </w:rPr>
        <w:t>。</w:t>
      </w:r>
    </w:p>
    <w:p w14:paraId="2B44D623">
      <w:pPr>
        <w:ind w:firstLine="560"/>
        <w:rPr>
          <w:rFonts w:hint="default" w:ascii="Times New Roman" w:hAnsi="Times New Roman" w:cs="Times New Roman"/>
        </w:rPr>
      </w:pPr>
      <w:r>
        <w:rPr>
          <w:rFonts w:hint="default" w:ascii="Times New Roman" w:hAnsi="Times New Roman" w:cs="Times New Roman"/>
        </w:rPr>
        <w:t>10.矿山主要负责人应当每月对照金属非金属矿山重大生产安全事故隐患判定标准，组织开展全面排查，形成重大事故隐患排查治理报告签字备查。</w:t>
      </w:r>
    </w:p>
    <w:p w14:paraId="51DAEEAC">
      <w:pPr>
        <w:ind w:firstLine="56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11.矿山应与附近企业签订安全应急救援互助协议，</w:t>
      </w:r>
      <w:r>
        <w:rPr>
          <w:rFonts w:hint="default" w:ascii="Times New Roman" w:hAnsi="Times New Roman" w:eastAsia="宋体" w:cs="Times New Roman"/>
          <w:color w:val="000000"/>
          <w:sz w:val="28"/>
          <w:szCs w:val="28"/>
        </w:rPr>
        <w:t>减少生产安全事故所造成的人员伤亡和财产损失</w:t>
      </w:r>
      <w:r>
        <w:rPr>
          <w:rFonts w:hint="default" w:ascii="Times New Roman" w:hAnsi="Times New Roman" w:eastAsia="宋体" w:cs="Times New Roman"/>
          <w:color w:val="000000"/>
          <w:sz w:val="28"/>
          <w:szCs w:val="28"/>
          <w:lang w:eastAsia="zh-CN"/>
        </w:rPr>
        <w:t>。</w:t>
      </w:r>
    </w:p>
    <w:p w14:paraId="7BAD9B83">
      <w:pPr>
        <w:ind w:firstLine="56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12.矿山取得安全生产许可证后，应按相关要求开展安全生产标准化创建工作。</w:t>
      </w:r>
    </w:p>
    <w:p w14:paraId="46B910E2">
      <w:pPr>
        <w:ind w:firstLine="560" w:firstLineChars="200"/>
        <w:rPr>
          <w:rFonts w:hint="default" w:ascii="Times New Roman" w:hAnsi="Times New Roman" w:cs="Times New Roman"/>
          <w:sz w:val="28"/>
        </w:rPr>
      </w:pPr>
      <w:r>
        <w:rPr>
          <w:rFonts w:hint="default" w:ascii="Times New Roman" w:hAnsi="Times New Roman" w:eastAsia="宋体" w:cs="Times New Roman"/>
          <w:lang w:val="en-US" w:eastAsia="zh-CN"/>
        </w:rPr>
        <w:t>13.</w:t>
      </w:r>
      <w:r>
        <w:rPr>
          <w:rFonts w:hint="default" w:ascii="Times New Roman" w:hAnsi="Times New Roman" w:cs="Times New Roman"/>
          <w:sz w:val="28"/>
        </w:rPr>
        <w:t>露天矿山应保存下列图纸，并根据实际情况的变化</w:t>
      </w:r>
      <w:r>
        <w:rPr>
          <w:rFonts w:hint="default" w:ascii="Times New Roman" w:hAnsi="Times New Roman" w:cs="Times New Roman"/>
          <w:sz w:val="28"/>
          <w:lang w:val="en-US" w:eastAsia="zh-CN"/>
        </w:rPr>
        <w:t>第3个月更新一次</w:t>
      </w:r>
      <w:r>
        <w:rPr>
          <w:rFonts w:hint="default" w:ascii="Times New Roman" w:hAnsi="Times New Roman" w:cs="Times New Roman"/>
          <w:sz w:val="28"/>
        </w:rPr>
        <w:t>：</w:t>
      </w:r>
    </w:p>
    <w:p w14:paraId="2FC2966A">
      <w:pPr>
        <w:ind w:firstLine="560" w:firstLineChars="200"/>
        <w:rPr>
          <w:rFonts w:hint="default" w:ascii="Times New Roman" w:hAnsi="Times New Roman" w:cs="Times New Roman"/>
          <w:sz w:val="28"/>
        </w:rPr>
      </w:pPr>
      <w:r>
        <w:rPr>
          <w:rFonts w:hint="default" w:ascii="Times New Roman" w:hAnsi="Times New Roman" w:cs="Times New Roman"/>
          <w:sz w:val="28"/>
        </w:rPr>
        <w:t>——地形地质图；</w:t>
      </w:r>
    </w:p>
    <w:p w14:paraId="5D500749">
      <w:pPr>
        <w:ind w:firstLine="560" w:firstLineChars="200"/>
        <w:rPr>
          <w:rFonts w:hint="default" w:ascii="Times New Roman" w:hAnsi="Times New Roman" w:cs="Times New Roman"/>
          <w:sz w:val="28"/>
        </w:rPr>
      </w:pPr>
      <w:r>
        <w:rPr>
          <w:rFonts w:hint="default" w:ascii="Times New Roman" w:hAnsi="Times New Roman" w:cs="Times New Roman"/>
          <w:sz w:val="28"/>
        </w:rPr>
        <w:t>——采剥工程年末图；</w:t>
      </w:r>
    </w:p>
    <w:p w14:paraId="21F5B6D5">
      <w:pPr>
        <w:ind w:firstLine="560" w:firstLineChars="200"/>
        <w:rPr>
          <w:rFonts w:hint="default" w:ascii="Times New Roman" w:hAnsi="Times New Roman" w:cs="Times New Roman"/>
          <w:sz w:val="28"/>
        </w:rPr>
      </w:pPr>
      <w:r>
        <w:rPr>
          <w:rFonts w:hint="default" w:ascii="Times New Roman" w:hAnsi="Times New Roman" w:cs="Times New Roman"/>
          <w:sz w:val="28"/>
        </w:rPr>
        <w:t>——采场边坡工程平面及剖面图；</w:t>
      </w:r>
    </w:p>
    <w:p w14:paraId="3CEB7B85">
      <w:pPr>
        <w:ind w:firstLine="560" w:firstLineChars="200"/>
        <w:rPr>
          <w:rFonts w:hint="default" w:ascii="Times New Roman" w:hAnsi="Times New Roman" w:cs="Times New Roman"/>
          <w:sz w:val="28"/>
        </w:rPr>
      </w:pPr>
      <w:r>
        <w:rPr>
          <w:rFonts w:hint="default" w:ascii="Times New Roman" w:hAnsi="Times New Roman" w:cs="Times New Roman"/>
          <w:sz w:val="28"/>
        </w:rPr>
        <w:t>——采场最终境界图；</w:t>
      </w:r>
    </w:p>
    <w:p w14:paraId="21C275E2">
      <w:pPr>
        <w:ind w:firstLine="560" w:firstLineChars="200"/>
        <w:rPr>
          <w:rFonts w:hint="default" w:ascii="Times New Roman" w:hAnsi="Times New Roman" w:cs="Times New Roman"/>
          <w:sz w:val="28"/>
        </w:rPr>
      </w:pPr>
      <w:r>
        <w:rPr>
          <w:rFonts w:hint="default" w:ascii="Times New Roman" w:hAnsi="Times New Roman" w:cs="Times New Roman"/>
          <w:sz w:val="28"/>
        </w:rPr>
        <w:t>——排土场年末图；</w:t>
      </w:r>
    </w:p>
    <w:p w14:paraId="208AE2CF">
      <w:pPr>
        <w:ind w:firstLine="560" w:firstLineChars="200"/>
        <w:rPr>
          <w:rFonts w:hint="default" w:ascii="Times New Roman" w:hAnsi="Times New Roman" w:cs="Times New Roman"/>
          <w:sz w:val="28"/>
        </w:rPr>
      </w:pPr>
      <w:r>
        <w:rPr>
          <w:rFonts w:hint="default" w:ascii="Times New Roman" w:hAnsi="Times New Roman" w:cs="Times New Roman"/>
          <w:sz w:val="28"/>
        </w:rPr>
        <w:t>——排土场工程平面及剖面图；</w:t>
      </w:r>
    </w:p>
    <w:p w14:paraId="0857D607">
      <w:pPr>
        <w:ind w:firstLine="560" w:firstLineChars="200"/>
        <w:rPr>
          <w:rFonts w:hint="default" w:ascii="Times New Roman" w:hAnsi="Times New Roman" w:cs="Times New Roman"/>
          <w:sz w:val="28"/>
        </w:rPr>
      </w:pPr>
      <w:r>
        <w:rPr>
          <w:rFonts w:hint="default" w:ascii="Times New Roman" w:hAnsi="Times New Roman" w:cs="Times New Roman"/>
          <w:sz w:val="28"/>
        </w:rPr>
        <w:t>——供配电系统图；</w:t>
      </w:r>
    </w:p>
    <w:p w14:paraId="3567AE45">
      <w:pPr>
        <w:ind w:firstLine="560" w:firstLineChars="200"/>
        <w:rPr>
          <w:rFonts w:hint="default" w:ascii="Times New Roman" w:hAnsi="Times New Roman" w:cs="Times New Roman"/>
          <w:sz w:val="28"/>
        </w:rPr>
      </w:pPr>
      <w:r>
        <w:rPr>
          <w:rFonts w:hint="default" w:ascii="Times New Roman" w:hAnsi="Times New Roman" w:cs="Times New Roman"/>
          <w:sz w:val="28"/>
        </w:rPr>
        <w:t>——防排水系统图。</w:t>
      </w:r>
    </w:p>
    <w:p w14:paraId="79190FCD">
      <w:pPr>
        <w:numPr>
          <w:ilvl w:val="0"/>
          <w:numId w:val="12"/>
        </w:numPr>
        <w:ind w:firstLine="560" w:firstLine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建立健全安全风险分级管控和事故隐患排查治理双重预防机制，强化安全风险辨识管控，确定管控重点，落实管控责任，加强隐患排查治理，分析隐患成因，制定落实消除措施。</w:t>
      </w:r>
    </w:p>
    <w:p w14:paraId="264B747F">
      <w:pPr>
        <w:numPr>
          <w:ilvl w:val="0"/>
          <w:numId w:val="12"/>
        </w:numPr>
        <w:ind w:firstLine="560" w:firstLineChars="20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矿山正常生产后会形成采场边坡，矿山应当</w:t>
      </w:r>
      <w:r>
        <w:rPr>
          <w:rFonts w:hint="default" w:ascii="Times New Roman" w:hAnsi="Times New Roman" w:eastAsia="宋体" w:cs="Times New Roman"/>
          <w:lang w:val="en-US" w:eastAsia="zh-CN"/>
        </w:rPr>
        <w:t>健全边坡日常管理制度，对露天矿边坡进行实时动态监测，同时配置专职安全员对边坡安全进行巡视检查</w:t>
      </w:r>
      <w:r>
        <w:rPr>
          <w:rFonts w:hint="eastAsia" w:ascii="Times New Roman" w:hAnsi="Times New Roman" w:eastAsia="宋体" w:cs="Times New Roman"/>
          <w:lang w:val="en-US" w:eastAsia="zh-CN"/>
        </w:rPr>
        <w:t>。</w:t>
      </w:r>
    </w:p>
    <w:p w14:paraId="0DDCB3E0">
      <w:pPr>
        <w:pStyle w:val="2"/>
        <w:rPr>
          <w:rFonts w:hint="default" w:ascii="Times New Roman" w:hAnsi="Times New Roman" w:cs="Times New Roman"/>
          <w:b/>
          <w:bCs w:val="0"/>
          <w:szCs w:val="36"/>
        </w:rPr>
      </w:pPr>
      <w:bookmarkStart w:id="637" w:name="_Toc297117769"/>
      <w:bookmarkStart w:id="638" w:name="_Toc15777"/>
      <w:bookmarkStart w:id="639" w:name="_Toc12603"/>
      <w:bookmarkStart w:id="640" w:name="_Toc384121737"/>
      <w:bookmarkStart w:id="641" w:name="_Toc454614357"/>
      <w:bookmarkStart w:id="642" w:name="_Toc4869"/>
      <w:bookmarkStart w:id="643" w:name="_Toc59420572"/>
      <w:bookmarkStart w:id="644" w:name="_Toc28881"/>
      <w:r>
        <w:rPr>
          <w:rFonts w:hint="default" w:ascii="Times New Roman" w:hAnsi="Times New Roman" w:cs="Times New Roman"/>
        </w:rPr>
        <w:br w:type="page"/>
      </w:r>
      <w:bookmarkStart w:id="645" w:name="_Toc423"/>
      <w:bookmarkStart w:id="646" w:name="_Toc18602"/>
      <w:bookmarkStart w:id="647" w:name="_Toc14019"/>
      <w:bookmarkStart w:id="648" w:name="_Toc8912"/>
      <w:r>
        <w:rPr>
          <w:rFonts w:hint="default" w:ascii="Times New Roman" w:hAnsi="Times New Roman" w:cs="Times New Roman"/>
          <w:b/>
          <w:bCs w:val="0"/>
        </w:rPr>
        <w:t>5 安全验收评价结论</w:t>
      </w:r>
      <w:bookmarkEnd w:id="567"/>
      <w:bookmarkEnd w:id="637"/>
      <w:bookmarkEnd w:id="638"/>
      <w:bookmarkEnd w:id="639"/>
      <w:bookmarkEnd w:id="640"/>
      <w:bookmarkEnd w:id="641"/>
      <w:bookmarkEnd w:id="642"/>
      <w:bookmarkEnd w:id="643"/>
      <w:bookmarkEnd w:id="644"/>
      <w:bookmarkEnd w:id="645"/>
      <w:bookmarkEnd w:id="646"/>
      <w:bookmarkEnd w:id="647"/>
      <w:bookmarkEnd w:id="648"/>
    </w:p>
    <w:p w14:paraId="5904FD6E">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649" w:name="_Toc20552"/>
      <w:bookmarkStart w:id="650" w:name="_Toc1584"/>
      <w:bookmarkStart w:id="651" w:name="_Toc28045"/>
      <w:bookmarkStart w:id="652" w:name="_Toc24567"/>
      <w:bookmarkStart w:id="653" w:name="_Toc6197"/>
      <w:bookmarkStart w:id="654" w:name="_Toc4403"/>
      <w:bookmarkStart w:id="655" w:name="_Toc14842"/>
      <w:bookmarkStart w:id="656" w:name="_Toc21257"/>
      <w:bookmarkStart w:id="657" w:name="_Toc26436"/>
      <w:bookmarkStart w:id="658" w:name="_Toc11918"/>
      <w:r>
        <w:rPr>
          <w:rFonts w:hint="default" w:ascii="Times New Roman" w:hAnsi="Times New Roman" w:cs="Times New Roman"/>
          <w:b/>
          <w:bCs w:val="0"/>
        </w:rPr>
        <w:t>5.1验收检查项总结</w:t>
      </w:r>
      <w:bookmarkEnd w:id="649"/>
      <w:bookmarkEnd w:id="650"/>
      <w:bookmarkEnd w:id="651"/>
      <w:bookmarkEnd w:id="652"/>
      <w:bookmarkEnd w:id="653"/>
      <w:bookmarkEnd w:id="654"/>
      <w:bookmarkEnd w:id="655"/>
      <w:bookmarkEnd w:id="656"/>
    </w:p>
    <w:p w14:paraId="08D2E3AC">
      <w:pPr>
        <w:ind w:firstLine="560"/>
        <w:rPr>
          <w:rFonts w:hint="default" w:ascii="Times New Roman" w:hAnsi="Times New Roman" w:cs="Times New Roman"/>
        </w:rPr>
      </w:pPr>
      <w:r>
        <w:rPr>
          <w:rFonts w:hint="default" w:ascii="Times New Roman" w:hAnsi="Times New Roman" w:cs="Times New Roman"/>
          <w:snapToGrid w:val="0"/>
          <w:kern w:val="0"/>
        </w:rPr>
        <w:t>通过对安全设施“三同时”程序、</w:t>
      </w:r>
      <w:r>
        <w:rPr>
          <w:rFonts w:hint="default" w:ascii="Times New Roman" w:hAnsi="Times New Roman" w:cs="Times New Roman"/>
        </w:rPr>
        <w:t>露天采场、采场防排水系统、矿岩运输系统、供配电、总平面布置、通信系统、个人安全防护、安全标志、安全管理、重大事故隐患判定</w:t>
      </w:r>
      <w:r>
        <w:rPr>
          <w:rFonts w:hint="default" w:ascii="Times New Roman" w:hAnsi="Times New Roman" w:cs="Times New Roman"/>
          <w:snapToGrid w:val="0"/>
          <w:kern w:val="0"/>
        </w:rPr>
        <w:t>11个单元的安全检查。</w:t>
      </w:r>
      <w:r>
        <w:rPr>
          <w:rFonts w:hint="default" w:ascii="Times New Roman" w:hAnsi="Times New Roman" w:cs="Times New Roman"/>
        </w:rPr>
        <w:t>本次验收检查项总数为</w:t>
      </w:r>
      <w:r>
        <w:rPr>
          <w:rFonts w:hint="default" w:ascii="Times New Roman" w:hAnsi="Times New Roman" w:cs="Times New Roman"/>
          <w:lang w:val="en-US" w:eastAsia="zh-CN"/>
        </w:rPr>
        <w:t>95</w:t>
      </w:r>
      <w:r>
        <w:rPr>
          <w:rFonts w:hint="default" w:ascii="Times New Roman" w:hAnsi="Times New Roman" w:cs="Times New Roman"/>
        </w:rPr>
        <w:t>项，其中否决项检查结果为“不符合”的0项，一般项检查结果为“不符合”的</w:t>
      </w:r>
      <w:r>
        <w:rPr>
          <w:rFonts w:hint="default" w:ascii="Times New Roman" w:hAnsi="Times New Roman" w:cs="Times New Roman"/>
          <w:lang w:val="en-US" w:eastAsia="zh-CN"/>
        </w:rPr>
        <w:t>3</w:t>
      </w:r>
      <w:r>
        <w:rPr>
          <w:rFonts w:hint="default" w:ascii="Times New Roman" w:hAnsi="Times New Roman" w:cs="Times New Roman"/>
        </w:rPr>
        <w:t>项。</w:t>
      </w:r>
    </w:p>
    <w:p w14:paraId="26D12C41">
      <w:pPr>
        <w:spacing w:line="240" w:lineRule="auto"/>
        <w:ind w:firstLine="420"/>
        <w:jc w:val="center"/>
        <w:rPr>
          <w:rFonts w:hint="default" w:ascii="Times New Roman" w:hAnsi="Times New Roman" w:cs="Times New Roman"/>
          <w:sz w:val="24"/>
          <w:szCs w:val="24"/>
        </w:rPr>
      </w:pPr>
      <w:r>
        <w:rPr>
          <w:rFonts w:hint="default" w:ascii="Times New Roman" w:hAnsi="Times New Roman" w:cs="Times New Roman"/>
          <w:sz w:val="24"/>
          <w:szCs w:val="24"/>
        </w:rPr>
        <w:t>表5</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-1  验收检查项总结</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2803"/>
        <w:gridCol w:w="750"/>
        <w:gridCol w:w="1613"/>
        <w:gridCol w:w="1162"/>
        <w:gridCol w:w="863"/>
        <w:gridCol w:w="1083"/>
      </w:tblGrid>
      <w:tr w14:paraId="217B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restart"/>
            <w:noWrap w:val="0"/>
            <w:vAlign w:val="center"/>
          </w:tcPr>
          <w:p w14:paraId="3ECA28C8">
            <w:pPr>
              <w:spacing w:line="240" w:lineRule="auto"/>
              <w:ind w:firstLine="0" w:firstLineChars="0"/>
              <w:jc w:val="center"/>
              <w:rPr>
                <w:rFonts w:hint="default" w:ascii="Times New Roman" w:hAnsi="Times New Roman" w:cs="Times New Roman"/>
                <w:b/>
                <w:bCs/>
                <w:sz w:val="21"/>
                <w:szCs w:val="21"/>
              </w:rPr>
            </w:pPr>
            <w:bookmarkStart w:id="659" w:name="_Toc12467"/>
            <w:bookmarkStart w:id="660" w:name="_Toc26111"/>
            <w:bookmarkStart w:id="661" w:name="_Toc1762"/>
            <w:bookmarkStart w:id="662" w:name="_Toc16092"/>
            <w:bookmarkStart w:id="663" w:name="_Toc32521"/>
            <w:r>
              <w:rPr>
                <w:rFonts w:hint="default" w:ascii="Times New Roman" w:hAnsi="Times New Roman" w:cs="Times New Roman"/>
                <w:b/>
                <w:bCs/>
                <w:sz w:val="21"/>
                <w:szCs w:val="21"/>
              </w:rPr>
              <w:t>序号</w:t>
            </w:r>
          </w:p>
        </w:tc>
        <w:tc>
          <w:tcPr>
            <w:tcW w:w="2803" w:type="dxa"/>
            <w:vMerge w:val="restart"/>
            <w:noWrap w:val="0"/>
            <w:vAlign w:val="center"/>
          </w:tcPr>
          <w:p w14:paraId="417BB4BC">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评价单元</w:t>
            </w:r>
          </w:p>
        </w:tc>
        <w:tc>
          <w:tcPr>
            <w:tcW w:w="750" w:type="dxa"/>
            <w:vMerge w:val="restart"/>
            <w:noWrap w:val="0"/>
            <w:vAlign w:val="center"/>
          </w:tcPr>
          <w:p w14:paraId="3C48F725">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检查项数</w:t>
            </w:r>
          </w:p>
        </w:tc>
        <w:tc>
          <w:tcPr>
            <w:tcW w:w="2775" w:type="dxa"/>
            <w:gridSpan w:val="2"/>
            <w:noWrap w:val="0"/>
            <w:vAlign w:val="center"/>
          </w:tcPr>
          <w:p w14:paraId="09A9F62B">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否决项</w:t>
            </w:r>
          </w:p>
        </w:tc>
        <w:tc>
          <w:tcPr>
            <w:tcW w:w="1946" w:type="dxa"/>
            <w:gridSpan w:val="2"/>
            <w:noWrap w:val="0"/>
            <w:vAlign w:val="center"/>
          </w:tcPr>
          <w:p w14:paraId="6A661CF5">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一般项</w:t>
            </w:r>
          </w:p>
        </w:tc>
      </w:tr>
      <w:tr w14:paraId="12BC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noWrap w:val="0"/>
            <w:vAlign w:val="center"/>
          </w:tcPr>
          <w:p w14:paraId="4A15D2ED">
            <w:pPr>
              <w:spacing w:line="240" w:lineRule="auto"/>
              <w:ind w:firstLine="0" w:firstLineChars="0"/>
              <w:jc w:val="center"/>
              <w:rPr>
                <w:rFonts w:hint="default" w:ascii="Times New Roman" w:hAnsi="Times New Roman" w:cs="Times New Roman"/>
                <w:b/>
                <w:bCs/>
                <w:sz w:val="21"/>
                <w:szCs w:val="21"/>
              </w:rPr>
            </w:pPr>
          </w:p>
        </w:tc>
        <w:tc>
          <w:tcPr>
            <w:tcW w:w="2803" w:type="dxa"/>
            <w:vMerge w:val="continue"/>
            <w:noWrap w:val="0"/>
            <w:vAlign w:val="center"/>
          </w:tcPr>
          <w:p w14:paraId="4AFB82AD">
            <w:pPr>
              <w:spacing w:line="240" w:lineRule="auto"/>
              <w:ind w:firstLine="0" w:firstLineChars="0"/>
              <w:jc w:val="center"/>
              <w:rPr>
                <w:rFonts w:hint="default" w:ascii="Times New Roman" w:hAnsi="Times New Roman" w:cs="Times New Roman"/>
                <w:b/>
                <w:bCs/>
                <w:sz w:val="21"/>
                <w:szCs w:val="21"/>
              </w:rPr>
            </w:pPr>
          </w:p>
        </w:tc>
        <w:tc>
          <w:tcPr>
            <w:tcW w:w="750" w:type="dxa"/>
            <w:vMerge w:val="continue"/>
            <w:noWrap w:val="0"/>
            <w:vAlign w:val="center"/>
          </w:tcPr>
          <w:p w14:paraId="4649BB73">
            <w:pPr>
              <w:spacing w:line="240" w:lineRule="auto"/>
              <w:ind w:firstLine="0" w:firstLineChars="0"/>
              <w:jc w:val="center"/>
              <w:rPr>
                <w:rFonts w:hint="default" w:ascii="Times New Roman" w:hAnsi="Times New Roman" w:cs="Times New Roman"/>
                <w:b/>
                <w:bCs/>
                <w:sz w:val="21"/>
                <w:szCs w:val="21"/>
              </w:rPr>
            </w:pPr>
          </w:p>
        </w:tc>
        <w:tc>
          <w:tcPr>
            <w:tcW w:w="1613" w:type="dxa"/>
            <w:noWrap w:val="0"/>
            <w:vAlign w:val="center"/>
          </w:tcPr>
          <w:p w14:paraId="2034EC1F">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符合项</w:t>
            </w:r>
          </w:p>
        </w:tc>
        <w:tc>
          <w:tcPr>
            <w:tcW w:w="1162" w:type="dxa"/>
            <w:noWrap w:val="0"/>
            <w:vAlign w:val="center"/>
          </w:tcPr>
          <w:p w14:paraId="40D1C2C8">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不符合项</w:t>
            </w:r>
          </w:p>
        </w:tc>
        <w:tc>
          <w:tcPr>
            <w:tcW w:w="863" w:type="dxa"/>
            <w:noWrap w:val="0"/>
            <w:vAlign w:val="center"/>
          </w:tcPr>
          <w:p w14:paraId="72EA66EF">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符合项</w:t>
            </w:r>
          </w:p>
        </w:tc>
        <w:tc>
          <w:tcPr>
            <w:tcW w:w="1083" w:type="dxa"/>
            <w:noWrap w:val="0"/>
            <w:vAlign w:val="center"/>
          </w:tcPr>
          <w:p w14:paraId="60902F59">
            <w:pPr>
              <w:spacing w:line="240" w:lineRule="auto"/>
              <w:ind w:firstLine="0" w:firstLineChars="0"/>
              <w:jc w:val="center"/>
              <w:rPr>
                <w:rFonts w:hint="default" w:ascii="Times New Roman" w:hAnsi="Times New Roman" w:cs="Times New Roman"/>
                <w:b/>
                <w:bCs/>
                <w:sz w:val="21"/>
                <w:szCs w:val="21"/>
              </w:rPr>
            </w:pPr>
            <w:r>
              <w:rPr>
                <w:rFonts w:hint="default" w:ascii="Times New Roman" w:hAnsi="Times New Roman" w:cs="Times New Roman"/>
                <w:b/>
                <w:bCs/>
                <w:sz w:val="21"/>
                <w:szCs w:val="21"/>
              </w:rPr>
              <w:t>不符合项</w:t>
            </w:r>
          </w:p>
        </w:tc>
      </w:tr>
      <w:tr w14:paraId="0880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6E025B3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803" w:type="dxa"/>
            <w:noWrap w:val="0"/>
            <w:vAlign w:val="center"/>
          </w:tcPr>
          <w:p w14:paraId="1F697FF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安全设施“三同时”程序单元</w:t>
            </w:r>
          </w:p>
        </w:tc>
        <w:tc>
          <w:tcPr>
            <w:tcW w:w="750" w:type="dxa"/>
            <w:noWrap w:val="0"/>
            <w:vAlign w:val="center"/>
          </w:tcPr>
          <w:p w14:paraId="18D70580">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1613" w:type="dxa"/>
            <w:noWrap w:val="0"/>
            <w:vAlign w:val="center"/>
          </w:tcPr>
          <w:p w14:paraId="69D27B8A">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1162" w:type="dxa"/>
            <w:noWrap w:val="0"/>
            <w:vAlign w:val="center"/>
          </w:tcPr>
          <w:p w14:paraId="49EB917C">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7DA4F3BD">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083" w:type="dxa"/>
            <w:noWrap w:val="0"/>
            <w:vAlign w:val="center"/>
          </w:tcPr>
          <w:p w14:paraId="634049DA">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5F19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7277C6E7">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803" w:type="dxa"/>
            <w:noWrap w:val="0"/>
            <w:vAlign w:val="center"/>
          </w:tcPr>
          <w:p w14:paraId="0E8D2487">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露天采场单元</w:t>
            </w:r>
          </w:p>
        </w:tc>
        <w:tc>
          <w:tcPr>
            <w:tcW w:w="750" w:type="dxa"/>
            <w:noWrap w:val="0"/>
            <w:vAlign w:val="center"/>
          </w:tcPr>
          <w:p w14:paraId="572C4627">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r>
              <w:rPr>
                <w:rFonts w:hint="eastAsia" w:ascii="Times New Roman" w:hAnsi="Times New Roman" w:cs="Times New Roman"/>
                <w:sz w:val="21"/>
                <w:szCs w:val="21"/>
                <w:lang w:val="en-US" w:eastAsia="zh-CN"/>
              </w:rPr>
              <w:t>3</w:t>
            </w:r>
          </w:p>
        </w:tc>
        <w:tc>
          <w:tcPr>
            <w:tcW w:w="1613" w:type="dxa"/>
            <w:noWrap w:val="0"/>
            <w:vAlign w:val="center"/>
          </w:tcPr>
          <w:p w14:paraId="528F82A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77F4F2F8">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169F56C9">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r>
              <w:rPr>
                <w:rFonts w:hint="eastAsia" w:ascii="Times New Roman" w:hAnsi="Times New Roman" w:cs="Times New Roman"/>
                <w:sz w:val="21"/>
                <w:szCs w:val="21"/>
                <w:lang w:val="en-US" w:eastAsia="zh-CN"/>
              </w:rPr>
              <w:t>3</w:t>
            </w:r>
          </w:p>
        </w:tc>
        <w:tc>
          <w:tcPr>
            <w:tcW w:w="1083" w:type="dxa"/>
            <w:noWrap w:val="0"/>
            <w:vAlign w:val="center"/>
          </w:tcPr>
          <w:p w14:paraId="53EE2B9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0470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4F89985D">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803" w:type="dxa"/>
            <w:noWrap w:val="0"/>
            <w:vAlign w:val="center"/>
          </w:tcPr>
          <w:p w14:paraId="4B546AA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采场防排水系统单元</w:t>
            </w:r>
          </w:p>
        </w:tc>
        <w:tc>
          <w:tcPr>
            <w:tcW w:w="750" w:type="dxa"/>
            <w:noWrap w:val="0"/>
            <w:vAlign w:val="center"/>
          </w:tcPr>
          <w:p w14:paraId="0E4AA53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613" w:type="dxa"/>
            <w:noWrap w:val="0"/>
            <w:vAlign w:val="center"/>
          </w:tcPr>
          <w:p w14:paraId="7E65EF3B">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12E46E27">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44ACE23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083" w:type="dxa"/>
            <w:noWrap w:val="0"/>
            <w:vAlign w:val="center"/>
          </w:tcPr>
          <w:p w14:paraId="5E09D261">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1912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jc w:val="center"/>
        </w:trPr>
        <w:tc>
          <w:tcPr>
            <w:tcW w:w="674" w:type="dxa"/>
            <w:noWrap w:val="0"/>
            <w:vAlign w:val="center"/>
          </w:tcPr>
          <w:p w14:paraId="52784D51">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803" w:type="dxa"/>
            <w:noWrap w:val="0"/>
            <w:vAlign w:val="center"/>
          </w:tcPr>
          <w:p w14:paraId="06CA46B5">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矿岩运输系统单元</w:t>
            </w:r>
          </w:p>
        </w:tc>
        <w:tc>
          <w:tcPr>
            <w:tcW w:w="750" w:type="dxa"/>
            <w:noWrap w:val="0"/>
            <w:vAlign w:val="center"/>
          </w:tcPr>
          <w:p w14:paraId="78C32DCC">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1613" w:type="dxa"/>
            <w:noWrap w:val="0"/>
            <w:vAlign w:val="center"/>
          </w:tcPr>
          <w:p w14:paraId="2E46B840">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1C82EC1E">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7F747865">
            <w:pPr>
              <w:spacing w:line="240" w:lineRule="auto"/>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6</w:t>
            </w:r>
          </w:p>
        </w:tc>
        <w:tc>
          <w:tcPr>
            <w:tcW w:w="1083" w:type="dxa"/>
            <w:noWrap w:val="0"/>
            <w:vAlign w:val="center"/>
          </w:tcPr>
          <w:p w14:paraId="789B18E3">
            <w:pPr>
              <w:spacing w:line="240" w:lineRule="auto"/>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r>
      <w:tr w14:paraId="24F9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16EE0621">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803" w:type="dxa"/>
            <w:noWrap w:val="0"/>
            <w:vAlign w:val="center"/>
          </w:tcPr>
          <w:p w14:paraId="78BCD61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供配电系统单元</w:t>
            </w:r>
          </w:p>
        </w:tc>
        <w:tc>
          <w:tcPr>
            <w:tcW w:w="750" w:type="dxa"/>
            <w:noWrap w:val="0"/>
            <w:vAlign w:val="center"/>
          </w:tcPr>
          <w:p w14:paraId="4426EEC9">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1613" w:type="dxa"/>
            <w:noWrap w:val="0"/>
            <w:vAlign w:val="center"/>
          </w:tcPr>
          <w:p w14:paraId="44DD92F9">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0371BECE">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1226145A">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1083" w:type="dxa"/>
            <w:noWrap w:val="0"/>
            <w:vAlign w:val="center"/>
          </w:tcPr>
          <w:p w14:paraId="30AC317E">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1C01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2A541AFE">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803" w:type="dxa"/>
            <w:noWrap w:val="0"/>
            <w:vAlign w:val="center"/>
          </w:tcPr>
          <w:p w14:paraId="1EB4B7B9">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总平面布置单元</w:t>
            </w:r>
          </w:p>
        </w:tc>
        <w:tc>
          <w:tcPr>
            <w:tcW w:w="750" w:type="dxa"/>
            <w:noWrap w:val="0"/>
            <w:vAlign w:val="center"/>
          </w:tcPr>
          <w:p w14:paraId="3AA9E595">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12</w:t>
            </w:r>
          </w:p>
        </w:tc>
        <w:tc>
          <w:tcPr>
            <w:tcW w:w="1613" w:type="dxa"/>
            <w:noWrap w:val="0"/>
            <w:vAlign w:val="center"/>
          </w:tcPr>
          <w:p w14:paraId="4932E368">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148B599F">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3D537C3B">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12</w:t>
            </w:r>
          </w:p>
        </w:tc>
        <w:tc>
          <w:tcPr>
            <w:tcW w:w="1083" w:type="dxa"/>
            <w:noWrap w:val="0"/>
            <w:vAlign w:val="center"/>
          </w:tcPr>
          <w:p w14:paraId="6871076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7F72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029D4973">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803" w:type="dxa"/>
            <w:noWrap w:val="0"/>
            <w:vAlign w:val="center"/>
          </w:tcPr>
          <w:p w14:paraId="5288431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通信系统单元</w:t>
            </w:r>
          </w:p>
        </w:tc>
        <w:tc>
          <w:tcPr>
            <w:tcW w:w="750" w:type="dxa"/>
            <w:noWrap w:val="0"/>
            <w:vAlign w:val="center"/>
          </w:tcPr>
          <w:p w14:paraId="726C83F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613" w:type="dxa"/>
            <w:noWrap w:val="0"/>
            <w:vAlign w:val="center"/>
          </w:tcPr>
          <w:p w14:paraId="706FE2E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6DF8030B">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76E42B65">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083" w:type="dxa"/>
            <w:noWrap w:val="0"/>
            <w:vAlign w:val="center"/>
          </w:tcPr>
          <w:p w14:paraId="114FA40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61F4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179A6A83">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2803" w:type="dxa"/>
            <w:noWrap w:val="0"/>
            <w:vAlign w:val="center"/>
          </w:tcPr>
          <w:p w14:paraId="1E94F7D7">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个人安全防护单元</w:t>
            </w:r>
          </w:p>
        </w:tc>
        <w:tc>
          <w:tcPr>
            <w:tcW w:w="750" w:type="dxa"/>
            <w:noWrap w:val="0"/>
            <w:vAlign w:val="center"/>
          </w:tcPr>
          <w:p w14:paraId="68ED94FA">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613" w:type="dxa"/>
            <w:noWrap w:val="0"/>
            <w:vAlign w:val="center"/>
          </w:tcPr>
          <w:p w14:paraId="793B4529">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0F4F45B4">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7D81F276">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1083" w:type="dxa"/>
            <w:noWrap w:val="0"/>
            <w:vAlign w:val="center"/>
          </w:tcPr>
          <w:p w14:paraId="643E08D3">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1978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0354CA3A">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2803" w:type="dxa"/>
            <w:noWrap w:val="0"/>
            <w:vAlign w:val="center"/>
          </w:tcPr>
          <w:p w14:paraId="11F00E28">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安全标志单元</w:t>
            </w:r>
          </w:p>
        </w:tc>
        <w:tc>
          <w:tcPr>
            <w:tcW w:w="750" w:type="dxa"/>
            <w:noWrap w:val="0"/>
            <w:vAlign w:val="center"/>
          </w:tcPr>
          <w:p w14:paraId="5156500F">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1613" w:type="dxa"/>
            <w:noWrap w:val="0"/>
            <w:vAlign w:val="center"/>
          </w:tcPr>
          <w:p w14:paraId="509B2819">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162" w:type="dxa"/>
            <w:noWrap w:val="0"/>
            <w:vAlign w:val="center"/>
          </w:tcPr>
          <w:p w14:paraId="0019DACD">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1BABC31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1083" w:type="dxa"/>
            <w:noWrap w:val="0"/>
            <w:vAlign w:val="center"/>
          </w:tcPr>
          <w:p w14:paraId="75A8DF90">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561C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77B9F59E">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2803" w:type="dxa"/>
            <w:noWrap w:val="0"/>
            <w:vAlign w:val="center"/>
          </w:tcPr>
          <w:p w14:paraId="2EE48C4A">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安全管理单元</w:t>
            </w:r>
          </w:p>
        </w:tc>
        <w:tc>
          <w:tcPr>
            <w:tcW w:w="750" w:type="dxa"/>
            <w:noWrap w:val="0"/>
            <w:vAlign w:val="center"/>
          </w:tcPr>
          <w:p w14:paraId="020834BB">
            <w:pPr>
              <w:spacing w:line="240" w:lineRule="auto"/>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w:t>
            </w:r>
            <w:r>
              <w:rPr>
                <w:rFonts w:hint="default" w:ascii="Times New Roman" w:hAnsi="Times New Roman" w:cs="Times New Roman"/>
                <w:sz w:val="21"/>
                <w:szCs w:val="21"/>
                <w:lang w:val="en-US" w:eastAsia="zh-CN"/>
              </w:rPr>
              <w:t>4</w:t>
            </w:r>
          </w:p>
        </w:tc>
        <w:tc>
          <w:tcPr>
            <w:tcW w:w="1613" w:type="dxa"/>
            <w:noWrap w:val="0"/>
            <w:vAlign w:val="center"/>
          </w:tcPr>
          <w:p w14:paraId="46D81CF0">
            <w:pPr>
              <w:spacing w:line="240" w:lineRule="auto"/>
              <w:ind w:firstLine="0" w:firstLine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1</w:t>
            </w:r>
          </w:p>
        </w:tc>
        <w:tc>
          <w:tcPr>
            <w:tcW w:w="1162" w:type="dxa"/>
            <w:noWrap w:val="0"/>
            <w:vAlign w:val="center"/>
          </w:tcPr>
          <w:p w14:paraId="649D463B">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047A5796">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w:t>
            </w:r>
          </w:p>
        </w:tc>
        <w:tc>
          <w:tcPr>
            <w:tcW w:w="1083" w:type="dxa"/>
            <w:noWrap w:val="0"/>
            <w:vAlign w:val="center"/>
          </w:tcPr>
          <w:p w14:paraId="5BEDC16A">
            <w:pPr>
              <w:spacing w:line="240" w:lineRule="auto"/>
              <w:ind w:firstLine="0" w:firstLineChars="0"/>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2</w:t>
            </w:r>
          </w:p>
        </w:tc>
      </w:tr>
      <w:tr w14:paraId="5CE7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4" w:type="dxa"/>
            <w:noWrap w:val="0"/>
            <w:vAlign w:val="center"/>
          </w:tcPr>
          <w:p w14:paraId="357C562D">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2803" w:type="dxa"/>
            <w:noWrap w:val="0"/>
            <w:vAlign w:val="center"/>
          </w:tcPr>
          <w:p w14:paraId="10A12F29">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重大事故隐患判定</w:t>
            </w:r>
          </w:p>
        </w:tc>
        <w:tc>
          <w:tcPr>
            <w:tcW w:w="750" w:type="dxa"/>
            <w:noWrap w:val="0"/>
            <w:vAlign w:val="center"/>
          </w:tcPr>
          <w:p w14:paraId="2A63547A">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15</w:t>
            </w:r>
          </w:p>
        </w:tc>
        <w:tc>
          <w:tcPr>
            <w:tcW w:w="1613" w:type="dxa"/>
            <w:noWrap w:val="0"/>
            <w:vAlign w:val="center"/>
          </w:tcPr>
          <w:p w14:paraId="5481B9AE">
            <w:pPr>
              <w:spacing w:line="240" w:lineRule="auto"/>
              <w:ind w:firstLine="0" w:firstLine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15</w:t>
            </w:r>
          </w:p>
          <w:p w14:paraId="70E30571">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lang w:val="en-US" w:eastAsia="zh-CN"/>
              </w:rPr>
              <w:t>项不涉及）</w:t>
            </w:r>
          </w:p>
        </w:tc>
        <w:tc>
          <w:tcPr>
            <w:tcW w:w="1162" w:type="dxa"/>
            <w:noWrap w:val="0"/>
            <w:vAlign w:val="center"/>
          </w:tcPr>
          <w:p w14:paraId="18DCE9A6">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23C28947">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083" w:type="dxa"/>
            <w:noWrap w:val="0"/>
            <w:vAlign w:val="center"/>
          </w:tcPr>
          <w:p w14:paraId="3649102C">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r>
      <w:tr w14:paraId="3CA1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4" w:type="dxa"/>
            <w:noWrap w:val="0"/>
            <w:vAlign w:val="center"/>
          </w:tcPr>
          <w:p w14:paraId="417AD151">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803" w:type="dxa"/>
            <w:noWrap w:val="0"/>
            <w:vAlign w:val="center"/>
          </w:tcPr>
          <w:p w14:paraId="47C67AF2">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合计</w:t>
            </w:r>
          </w:p>
        </w:tc>
        <w:tc>
          <w:tcPr>
            <w:tcW w:w="750" w:type="dxa"/>
            <w:noWrap w:val="0"/>
            <w:vAlign w:val="center"/>
          </w:tcPr>
          <w:p w14:paraId="38924594">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w:t>
            </w:r>
            <w:r>
              <w:rPr>
                <w:rFonts w:hint="eastAsia" w:ascii="Times New Roman" w:hAnsi="Times New Roman" w:cs="Times New Roman"/>
                <w:sz w:val="21"/>
                <w:szCs w:val="21"/>
                <w:lang w:val="en-US" w:eastAsia="zh-CN"/>
              </w:rPr>
              <w:t>6</w:t>
            </w:r>
          </w:p>
        </w:tc>
        <w:tc>
          <w:tcPr>
            <w:tcW w:w="1613" w:type="dxa"/>
            <w:noWrap w:val="0"/>
            <w:vAlign w:val="center"/>
          </w:tcPr>
          <w:p w14:paraId="20F379A3">
            <w:pPr>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21</w:t>
            </w:r>
          </w:p>
        </w:tc>
        <w:tc>
          <w:tcPr>
            <w:tcW w:w="1162" w:type="dxa"/>
            <w:noWrap w:val="0"/>
            <w:vAlign w:val="center"/>
          </w:tcPr>
          <w:p w14:paraId="22BF9503">
            <w:pPr>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863" w:type="dxa"/>
            <w:noWrap w:val="0"/>
            <w:vAlign w:val="center"/>
          </w:tcPr>
          <w:p w14:paraId="6D07B759">
            <w:pPr>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73</w:t>
            </w:r>
          </w:p>
        </w:tc>
        <w:tc>
          <w:tcPr>
            <w:tcW w:w="1083" w:type="dxa"/>
            <w:noWrap w:val="0"/>
            <w:vAlign w:val="center"/>
          </w:tcPr>
          <w:p w14:paraId="3381DAC5">
            <w:pPr>
              <w:spacing w:line="240" w:lineRule="auto"/>
              <w:ind w:firstLine="0" w:firstLineChars="0"/>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2</w:t>
            </w:r>
          </w:p>
        </w:tc>
      </w:tr>
    </w:tbl>
    <w:p w14:paraId="3BF0EA57">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664" w:name="_Toc21492"/>
      <w:r>
        <w:rPr>
          <w:rFonts w:hint="default" w:ascii="Times New Roman" w:hAnsi="Times New Roman" w:cs="Times New Roman"/>
          <w:b/>
          <w:bCs w:val="0"/>
        </w:rPr>
        <w:t>5.2验收评价结论</w:t>
      </w:r>
      <w:bookmarkEnd w:id="657"/>
      <w:bookmarkEnd w:id="658"/>
      <w:bookmarkEnd w:id="659"/>
      <w:bookmarkEnd w:id="660"/>
      <w:bookmarkEnd w:id="661"/>
      <w:bookmarkEnd w:id="662"/>
      <w:bookmarkEnd w:id="663"/>
      <w:bookmarkEnd w:id="664"/>
    </w:p>
    <w:p w14:paraId="71437F96">
      <w:pPr>
        <w:ind w:firstLine="560"/>
        <w:rPr>
          <w:rFonts w:hint="default" w:ascii="Times New Roman" w:hAnsi="Times New Roman" w:cs="Times New Roman"/>
        </w:rPr>
      </w:pPr>
      <w:bookmarkStart w:id="665" w:name="_Toc3257"/>
      <w:bookmarkStart w:id="666" w:name="_Toc323133181"/>
      <w:bookmarkStart w:id="667" w:name="_Toc27400"/>
      <w:bookmarkStart w:id="668" w:name="_Toc59420575"/>
      <w:bookmarkStart w:id="669" w:name="_Toc8289"/>
      <w:bookmarkStart w:id="670" w:name="_Toc454614362"/>
      <w:bookmarkStart w:id="671" w:name="_Toc9546"/>
      <w:r>
        <w:rPr>
          <w:rFonts w:hint="default" w:ascii="Times New Roman" w:hAnsi="Times New Roman" w:cs="Times New Roman"/>
        </w:rPr>
        <w:t>评价小组通过对</w:t>
      </w:r>
      <w:r>
        <w:rPr>
          <w:rFonts w:hint="default" w:ascii="Times New Roman" w:hAnsi="Times New Roman" w:cs="Times New Roman"/>
          <w:lang w:eastAsia="zh-CN"/>
        </w:rPr>
        <w:t>姚安县太平镇王家咀石料场</w:t>
      </w:r>
      <w:r>
        <w:rPr>
          <w:rFonts w:hint="default" w:ascii="Times New Roman" w:hAnsi="Times New Roman" w:cs="Times New Roman"/>
        </w:rPr>
        <w:t>的现场开采生产现状调查，对各项安全管理资料、各单项工程竣工验收文件的查阅和分析，根据该项目的特点，对照《安全设施设计》进行安全设施符合性评价，根据《国家安全监管总局关于规范金属非金属矿山建设项目安全设施竣工验收工作的通知》（安监总管一﹝2016﹞14号）附表《金属非金属露天矿山建设项目安全设施竣工验收表》的验收要求，依据国家相关法律、法规及标准规范，评价小组作出评价结论如下：</w:t>
      </w:r>
    </w:p>
    <w:p w14:paraId="602335C6">
      <w:pPr>
        <w:ind w:firstLine="560"/>
        <w:rPr>
          <w:rFonts w:hint="default" w:ascii="Times New Roman" w:hAnsi="Times New Roman" w:cs="Times New Roman"/>
        </w:rPr>
      </w:pPr>
      <w:r>
        <w:rPr>
          <w:rFonts w:hint="default" w:ascii="Times New Roman" w:hAnsi="Times New Roman" w:cs="Times New Roman"/>
          <w:lang w:eastAsia="zh-CN"/>
        </w:rPr>
        <w:t>姚安县太平镇王家咀石料场</w:t>
      </w:r>
      <w:r>
        <w:rPr>
          <w:rFonts w:hint="default" w:ascii="Times New Roman" w:hAnsi="Times New Roman" w:cs="Times New Roman"/>
        </w:rPr>
        <w:t>证照齐全、有效，企业委托有效资质单位编制了《</w:t>
      </w:r>
      <w:r>
        <w:rPr>
          <w:rFonts w:hint="default" w:ascii="Times New Roman" w:hAnsi="Times New Roman" w:cs="Times New Roman"/>
          <w:lang w:eastAsia="zh-CN"/>
        </w:rPr>
        <w:t>姚安县太平镇王家咀石料场30万t/a露天采矿工程</w:t>
      </w:r>
      <w:r>
        <w:rPr>
          <w:rFonts w:hint="default" w:ascii="Times New Roman" w:hAnsi="Times New Roman" w:cs="Times New Roman"/>
        </w:rPr>
        <w:t>安全预评价》、《</w:t>
      </w:r>
      <w:r>
        <w:rPr>
          <w:rFonts w:hint="default" w:ascii="Times New Roman" w:hAnsi="Times New Roman" w:cs="Times New Roman"/>
          <w:lang w:eastAsia="zh-CN"/>
        </w:rPr>
        <w:t>姚安县太平镇王家咀石料场30万t/a露天采矿工程</w:t>
      </w:r>
      <w:r>
        <w:rPr>
          <w:rFonts w:hint="default" w:ascii="Times New Roman" w:hAnsi="Times New Roman" w:cs="Times New Roman"/>
        </w:rPr>
        <w:t>安全设施设计》，安全设施设计通过专家审查。已委托辽宁诺诚安全科技有限公司进行安全设施验收评价，建设项目“三同时”手续完善，符合国家有关法律、法规规定和标准规范要求。</w:t>
      </w:r>
    </w:p>
    <w:p w14:paraId="7EAB5561">
      <w:pPr>
        <w:ind w:firstLine="560"/>
        <w:rPr>
          <w:rFonts w:hint="default" w:ascii="Times New Roman" w:hAnsi="Times New Roman" w:cs="Times New Roman"/>
        </w:rPr>
      </w:pPr>
      <w:r>
        <w:rPr>
          <w:rFonts w:hint="default" w:ascii="Times New Roman" w:hAnsi="Times New Roman" w:cs="Times New Roman"/>
        </w:rPr>
        <w:t>经评价，各单元符合相关规程、规范、标准要求，无否决项，建设项目按设计要求完成了基本建设，建设程序符合“三同时”要求，设备设施可靠有效。按《</w:t>
      </w:r>
      <w:r>
        <w:rPr>
          <w:rFonts w:hint="default" w:ascii="Times New Roman" w:hAnsi="Times New Roman" w:cs="Times New Roman"/>
          <w:lang w:eastAsia="zh-CN"/>
        </w:rPr>
        <w:t>姚安县太平镇王家咀石料场30万t/a露天采矿工程</w:t>
      </w:r>
      <w:r>
        <w:rPr>
          <w:rFonts w:hint="default" w:ascii="Times New Roman" w:hAnsi="Times New Roman" w:cs="Times New Roman"/>
        </w:rPr>
        <w:t>安全设施设计》及《金属非金属露天矿山建设项目安全设施竣工验收表》进行对照检查，共检查项目</w:t>
      </w:r>
      <w:r>
        <w:rPr>
          <w:rFonts w:hint="default" w:ascii="Times New Roman" w:hAnsi="Times New Roman" w:cs="Times New Roman"/>
          <w:u w:val="none"/>
          <w:lang w:val="en-US" w:eastAsia="zh-CN"/>
        </w:rPr>
        <w:t>9</w:t>
      </w:r>
      <w:r>
        <w:rPr>
          <w:rFonts w:hint="eastAsia" w:ascii="Times New Roman" w:hAnsi="Times New Roman" w:cs="Times New Roman"/>
          <w:u w:val="none"/>
          <w:lang w:val="en-US" w:eastAsia="zh-CN"/>
        </w:rPr>
        <w:t>6</w:t>
      </w:r>
      <w:r>
        <w:rPr>
          <w:rFonts w:hint="default" w:ascii="Times New Roman" w:hAnsi="Times New Roman" w:cs="Times New Roman"/>
        </w:rPr>
        <w:t>项，有</w:t>
      </w:r>
      <w:r>
        <w:rPr>
          <w:rFonts w:hint="eastAsia" w:ascii="Times New Roman" w:hAnsi="Times New Roman" w:cs="Times New Roman"/>
          <w:lang w:val="en-US" w:eastAsia="zh-CN"/>
        </w:rPr>
        <w:t>89</w:t>
      </w:r>
      <w:r>
        <w:rPr>
          <w:rFonts w:hint="default" w:ascii="Times New Roman" w:hAnsi="Times New Roman" w:cs="Times New Roman"/>
        </w:rPr>
        <w:t>项合格，</w:t>
      </w:r>
      <w:r>
        <w:rPr>
          <w:rFonts w:hint="eastAsia" w:ascii="Times New Roman" w:hAnsi="Times New Roman" w:cs="Times New Roman"/>
          <w:lang w:val="en-US" w:eastAsia="zh-CN"/>
        </w:rPr>
        <w:t>5</w:t>
      </w:r>
      <w:r>
        <w:rPr>
          <w:rFonts w:hint="default" w:ascii="Times New Roman" w:hAnsi="Times New Roman" w:cs="Times New Roman"/>
        </w:rPr>
        <w:t>项不涉及，有</w:t>
      </w:r>
      <w:r>
        <w:rPr>
          <w:rFonts w:hint="default" w:ascii="Times New Roman" w:hAnsi="Times New Roman" w:cs="Times New Roman"/>
          <w:lang w:val="en-US" w:eastAsia="zh-CN"/>
        </w:rPr>
        <w:t>2</w:t>
      </w:r>
      <w:r>
        <w:rPr>
          <w:rFonts w:hint="default" w:ascii="Times New Roman" w:hAnsi="Times New Roman" w:cs="Times New Roman"/>
        </w:rPr>
        <w:t>项不合格，检查项目不合格项比例为</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cs="Times New Roman"/>
          <w:lang w:val="en-US" w:eastAsia="zh-CN"/>
        </w:rPr>
        <w:t>91</w:t>
      </w:r>
      <w:r>
        <w:rPr>
          <w:rFonts w:hint="default" w:ascii="Times New Roman" w:hAnsi="Times New Roman" w:cs="Times New Roman"/>
        </w:rPr>
        <w:t>×100%≈</w:t>
      </w:r>
      <w:r>
        <w:rPr>
          <w:rFonts w:hint="default" w:ascii="Times New Roman" w:hAnsi="Times New Roman" w:cs="Times New Roman"/>
          <w:lang w:val="en-US" w:eastAsia="zh-CN"/>
        </w:rPr>
        <w:t>2.2</w:t>
      </w:r>
      <w:r>
        <w:rPr>
          <w:rFonts w:hint="default" w:ascii="Times New Roman" w:hAnsi="Times New Roman" w:cs="Times New Roman"/>
        </w:rPr>
        <w:t>%，未超过5%，不合格项中没有否决项。</w:t>
      </w:r>
    </w:p>
    <w:p w14:paraId="5C2E6B7D">
      <w:pPr>
        <w:ind w:firstLine="562"/>
        <w:rPr>
          <w:rFonts w:hint="default" w:ascii="Times New Roman" w:hAnsi="Times New Roman" w:cs="Times New Roman"/>
          <w:b/>
          <w:bCs/>
        </w:rPr>
      </w:pPr>
      <w:r>
        <w:rPr>
          <w:rFonts w:hint="default" w:ascii="Times New Roman" w:hAnsi="Times New Roman" w:cs="Times New Roman"/>
          <w:b/>
          <w:bCs/>
        </w:rPr>
        <w:t>安全验收评价结论：</w:t>
      </w:r>
      <w:r>
        <w:rPr>
          <w:rFonts w:hint="default" w:ascii="Times New Roman" w:hAnsi="Times New Roman" w:cs="Times New Roman"/>
          <w:b/>
          <w:bCs/>
          <w:lang w:eastAsia="zh-CN"/>
        </w:rPr>
        <w:t>姚安县太平镇王家咀石料场30万t/a露天采矿工程</w:t>
      </w:r>
      <w:r>
        <w:rPr>
          <w:rFonts w:hint="default" w:ascii="Times New Roman" w:hAnsi="Times New Roman" w:cs="Times New Roman"/>
          <w:b/>
          <w:bCs/>
        </w:rPr>
        <w:t>安全设施符合国家及云南省安全相关法律、法规、标准及规范的要求，具备安全验收条件。</w:t>
      </w:r>
    </w:p>
    <w:p w14:paraId="797C17D5">
      <w:pPr>
        <w:ind w:firstLine="560"/>
        <w:rPr>
          <w:rFonts w:hint="default" w:ascii="Times New Roman" w:hAnsi="Times New Roman" w:cs="Times New Roman"/>
        </w:rPr>
      </w:pPr>
      <w:r>
        <w:rPr>
          <w:rFonts w:hint="default" w:ascii="Times New Roman" w:hAnsi="Times New Roman" w:cs="Times New Roman"/>
        </w:rPr>
        <w:t>总之，安全生产是一个不断完善的动态过程，企业应按照本报告提出的对策措施建议进行整改完善。在今后的安全生产过程中，应根据安全生产条件的变化和国家法规的进一步要求，不断完善安全技术措施和管理措施，提升安全技术水平，预防生产安全事故的发生，切实保障人民生命和企业财产的安全。</w:t>
      </w:r>
    </w:p>
    <w:p w14:paraId="7FF02998">
      <w:pPr>
        <w:pStyle w:val="2"/>
        <w:rPr>
          <w:rFonts w:hint="default" w:ascii="Times New Roman" w:hAnsi="Times New Roman" w:cs="Times New Roman"/>
          <w:b/>
          <w:bCs w:val="0"/>
          <w:szCs w:val="36"/>
        </w:rPr>
      </w:pPr>
      <w:r>
        <w:rPr>
          <w:rFonts w:hint="default" w:ascii="Times New Roman" w:hAnsi="Times New Roman" w:cs="Times New Roman"/>
        </w:rPr>
        <w:br w:type="page"/>
      </w:r>
      <w:bookmarkStart w:id="672" w:name="_Toc30286"/>
      <w:bookmarkStart w:id="673" w:name="_Toc14029"/>
      <w:bookmarkStart w:id="674" w:name="_Toc7659"/>
      <w:bookmarkStart w:id="675" w:name="_Toc2665"/>
      <w:r>
        <w:rPr>
          <w:rFonts w:hint="default" w:ascii="Times New Roman" w:hAnsi="Times New Roman" w:cs="Times New Roman"/>
          <w:b/>
          <w:bCs w:val="0"/>
        </w:rPr>
        <w:t>6 附件</w:t>
      </w:r>
      <w:bookmarkEnd w:id="665"/>
      <w:bookmarkEnd w:id="666"/>
      <w:bookmarkEnd w:id="667"/>
      <w:bookmarkEnd w:id="668"/>
      <w:bookmarkEnd w:id="669"/>
      <w:bookmarkEnd w:id="670"/>
      <w:r>
        <w:rPr>
          <w:rFonts w:hint="default" w:ascii="Times New Roman" w:hAnsi="Times New Roman" w:cs="Times New Roman"/>
          <w:b/>
          <w:bCs w:val="0"/>
        </w:rPr>
        <w:t>及附图</w:t>
      </w:r>
      <w:bookmarkEnd w:id="671"/>
      <w:bookmarkEnd w:id="672"/>
      <w:bookmarkEnd w:id="673"/>
      <w:bookmarkEnd w:id="674"/>
      <w:bookmarkEnd w:id="675"/>
    </w:p>
    <w:p w14:paraId="3D6F8127">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676" w:name="_Toc21779"/>
      <w:bookmarkStart w:id="677" w:name="_Toc3055"/>
      <w:bookmarkStart w:id="678" w:name="_Toc18107"/>
      <w:bookmarkStart w:id="679" w:name="_Toc18955"/>
      <w:bookmarkStart w:id="680" w:name="_Toc24798"/>
      <w:r>
        <w:rPr>
          <w:rFonts w:hint="default" w:ascii="Times New Roman" w:hAnsi="Times New Roman" w:cs="Times New Roman"/>
          <w:b/>
          <w:bCs w:val="0"/>
        </w:rPr>
        <w:t>6.1 附件</w:t>
      </w:r>
      <w:bookmarkEnd w:id="676"/>
      <w:bookmarkEnd w:id="677"/>
      <w:bookmarkEnd w:id="678"/>
      <w:bookmarkEnd w:id="679"/>
      <w:bookmarkEnd w:id="680"/>
    </w:p>
    <w:p w14:paraId="00F6390F">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rPr>
        <w:t>附件1：安全评价委托书</w:t>
      </w:r>
      <w:r>
        <w:rPr>
          <w:rFonts w:hint="default" w:ascii="Times New Roman" w:hAnsi="Times New Roman" w:eastAsia="宋体" w:cs="Times New Roman"/>
        </w:rPr>
        <w:tab/>
      </w:r>
    </w:p>
    <w:p w14:paraId="6A91C040">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rPr>
        <w:t>附件2：材料真实性承诺书</w:t>
      </w:r>
    </w:p>
    <w:p w14:paraId="6C4DADFA">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rPr>
        <w:t>附件3：营业执照</w:t>
      </w:r>
    </w:p>
    <w:p w14:paraId="3840354C">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rPr>
        <w:t>附件4：采矿许可证</w:t>
      </w:r>
      <w:r>
        <w:rPr>
          <w:rFonts w:hint="default" w:ascii="Times New Roman" w:hAnsi="Times New Roman" w:eastAsia="宋体" w:cs="Times New Roman"/>
        </w:rPr>
        <w:tab/>
      </w:r>
    </w:p>
    <w:p w14:paraId="28473E69">
      <w:pPr>
        <w:spacing w:line="500" w:lineRule="exact"/>
        <w:ind w:firstLine="560"/>
        <w:rPr>
          <w:rFonts w:hint="default" w:ascii="Times New Roman" w:hAnsi="Times New Roman" w:eastAsia="宋体" w:cs="Times New Roman"/>
          <w:lang w:val="en-US" w:eastAsia="zh-CN"/>
        </w:rPr>
      </w:pPr>
      <w:r>
        <w:rPr>
          <w:rFonts w:hint="default" w:ascii="Times New Roman" w:hAnsi="Times New Roman" w:eastAsia="宋体" w:cs="Times New Roman"/>
        </w:rPr>
        <w:t>附件5：安全管理机构成立文件及主要负责人、安全管理人员任命</w:t>
      </w:r>
      <w:r>
        <w:rPr>
          <w:rFonts w:hint="default" w:ascii="Times New Roman" w:hAnsi="Times New Roman" w:cs="Times New Roman"/>
          <w:lang w:val="en-US" w:eastAsia="zh-CN"/>
        </w:rPr>
        <w:t>文件</w:t>
      </w:r>
    </w:p>
    <w:p w14:paraId="2F0E2989">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rPr>
        <w:t>附件6：</w:t>
      </w:r>
      <w:r>
        <w:rPr>
          <w:rFonts w:hint="default" w:ascii="Times New Roman" w:hAnsi="Times New Roman" w:cs="Times New Roman"/>
          <w:color w:val="auto"/>
          <w:sz w:val="28"/>
          <w:szCs w:val="28"/>
        </w:rPr>
        <w:t>主要负责人、安全管理人员考核合格证及特种作业人员操作证</w:t>
      </w:r>
    </w:p>
    <w:p w14:paraId="72544A94">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rPr>
        <w:t>附件7：安全生产责任制、管理制度、操作规程封面及目录</w:t>
      </w:r>
    </w:p>
    <w:p w14:paraId="10CF08BD">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rPr>
        <w:t>附件8</w:t>
      </w:r>
      <w:r>
        <w:rPr>
          <w:rFonts w:hint="default" w:ascii="Times New Roman" w:hAnsi="Times New Roman" w:eastAsia="宋体" w:cs="Times New Roman"/>
          <w:lang w:eastAsia="zh-CN"/>
        </w:rPr>
        <w:t>：</w:t>
      </w:r>
      <w:r>
        <w:rPr>
          <w:rFonts w:hint="default" w:ascii="Times New Roman" w:hAnsi="Times New Roman" w:eastAsia="宋体" w:cs="Times New Roman"/>
        </w:rPr>
        <w:t>保险缴费凭证</w:t>
      </w:r>
    </w:p>
    <w:p w14:paraId="2E181172">
      <w:pPr>
        <w:spacing w:line="500" w:lineRule="exact"/>
        <w:ind w:firstLine="560"/>
        <w:rPr>
          <w:rFonts w:hint="default" w:ascii="Times New Roman" w:hAnsi="Times New Roman" w:eastAsia="宋体" w:cs="Times New Roman"/>
          <w:lang w:val="en-US" w:eastAsia="zh-CN"/>
        </w:rPr>
      </w:pPr>
      <w:r>
        <w:rPr>
          <w:rFonts w:hint="default" w:ascii="Times New Roman" w:hAnsi="Times New Roman" w:eastAsia="宋体" w:cs="Times New Roman"/>
        </w:rPr>
        <w:t>附件9</w:t>
      </w:r>
      <w:r>
        <w:rPr>
          <w:rFonts w:hint="default" w:ascii="Times New Roman" w:hAnsi="Times New Roman" w:eastAsia="宋体" w:cs="Times New Roman"/>
          <w:lang w:eastAsia="zh-CN"/>
        </w:rPr>
        <w:t>：</w:t>
      </w:r>
      <w:r>
        <w:rPr>
          <w:rFonts w:hint="default" w:ascii="Times New Roman" w:hAnsi="Times New Roman" w:eastAsia="宋体" w:cs="Times New Roman"/>
        </w:rPr>
        <w:t>应急预案备案登记表</w:t>
      </w:r>
      <w:r>
        <w:rPr>
          <w:rFonts w:hint="default" w:ascii="Times New Roman" w:hAnsi="Times New Roman" w:eastAsia="宋体" w:cs="Times New Roman"/>
          <w:lang w:val="en-US" w:eastAsia="zh-CN"/>
        </w:rPr>
        <w:t>及应急演练记录</w:t>
      </w:r>
    </w:p>
    <w:p w14:paraId="3049DEAB">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lang w:val="en-US" w:eastAsia="zh-CN"/>
        </w:rPr>
        <w:t>附件10：</w:t>
      </w:r>
      <w:r>
        <w:rPr>
          <w:rFonts w:hint="default" w:ascii="Times New Roman" w:hAnsi="Times New Roman" w:eastAsia="宋体" w:cs="Times New Roman"/>
        </w:rPr>
        <w:t>部分安全生产台账记录</w:t>
      </w:r>
    </w:p>
    <w:p w14:paraId="454686D5">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lang w:val="en-US" w:eastAsia="zh-CN"/>
        </w:rPr>
        <w:t>附件11：弃土协议</w:t>
      </w:r>
    </w:p>
    <w:p w14:paraId="6A167158">
      <w:pPr>
        <w:spacing w:line="500" w:lineRule="exact"/>
        <w:ind w:firstLine="56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附件12：</w:t>
      </w:r>
      <w:r>
        <w:rPr>
          <w:rFonts w:hint="default" w:ascii="Times New Roman" w:hAnsi="Times New Roman" w:eastAsia="宋体" w:cs="Times New Roman"/>
        </w:rPr>
        <w:t>关于成立矿山应急小组的通知</w:t>
      </w:r>
    </w:p>
    <w:p w14:paraId="679060B2">
      <w:pPr>
        <w:spacing w:line="500" w:lineRule="exact"/>
        <w:ind w:firstLine="56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附件13：应急救援医疗救护协议</w:t>
      </w:r>
    </w:p>
    <w:p w14:paraId="48C6DEF1">
      <w:pPr>
        <w:spacing w:line="500" w:lineRule="exact"/>
        <w:ind w:firstLine="56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附件14：</w:t>
      </w:r>
      <w:r>
        <w:rPr>
          <w:rFonts w:hint="default" w:ascii="Times New Roman" w:hAnsi="Times New Roman" w:eastAsia="宋体" w:cs="Times New Roman"/>
        </w:rPr>
        <w:t>安全预评价报告资质、扉页</w:t>
      </w:r>
    </w:p>
    <w:p w14:paraId="00CBFF7D">
      <w:pPr>
        <w:spacing w:line="500" w:lineRule="exact"/>
        <w:ind w:firstLine="560"/>
        <w:rPr>
          <w:rFonts w:hint="default" w:ascii="Times New Roman" w:hAnsi="Times New Roman" w:eastAsia="宋体" w:cs="Times New Roman"/>
        </w:rPr>
      </w:pPr>
      <w:r>
        <w:rPr>
          <w:rFonts w:hint="default" w:ascii="Times New Roman" w:hAnsi="Times New Roman" w:eastAsia="宋体" w:cs="Times New Roman"/>
          <w:lang w:val="en-US" w:eastAsia="zh-CN"/>
        </w:rPr>
        <w:t>附件15：安全设施</w:t>
      </w:r>
      <w:r>
        <w:rPr>
          <w:rFonts w:hint="default" w:ascii="Times New Roman" w:hAnsi="Times New Roman" w:eastAsia="宋体" w:cs="Times New Roman"/>
        </w:rPr>
        <w:t>设计</w:t>
      </w:r>
      <w:r>
        <w:rPr>
          <w:rFonts w:hint="default" w:ascii="Times New Roman" w:hAnsi="Times New Roman" w:eastAsia="宋体" w:cs="Times New Roman"/>
          <w:lang w:val="en-US" w:eastAsia="zh-CN"/>
        </w:rPr>
        <w:t>封面、扉页、</w:t>
      </w:r>
      <w:r>
        <w:rPr>
          <w:rFonts w:hint="default" w:ascii="Times New Roman" w:hAnsi="Times New Roman" w:eastAsia="宋体" w:cs="Times New Roman"/>
        </w:rPr>
        <w:t>资质</w:t>
      </w:r>
    </w:p>
    <w:p w14:paraId="4EF67E74">
      <w:pPr>
        <w:spacing w:line="500" w:lineRule="exact"/>
        <w:ind w:firstLine="560"/>
        <w:rPr>
          <w:rFonts w:hint="default" w:ascii="Times New Roman" w:hAnsi="Times New Roman" w:cs="Times New Roman"/>
        </w:rPr>
      </w:pPr>
      <w:r>
        <w:rPr>
          <w:rFonts w:hint="default" w:ascii="Times New Roman" w:hAnsi="Times New Roman" w:eastAsia="宋体" w:cs="Times New Roman"/>
          <w:lang w:val="en-US" w:eastAsia="zh-CN"/>
        </w:rPr>
        <w:t>附件16：</w:t>
      </w:r>
      <w:r>
        <w:rPr>
          <w:rFonts w:hint="default" w:ascii="Times New Roman" w:hAnsi="Times New Roman" w:cs="Times New Roman"/>
        </w:rPr>
        <w:t>安全设施设计审批书</w:t>
      </w:r>
    </w:p>
    <w:p w14:paraId="63B02D01">
      <w:pPr>
        <w:spacing w:line="500" w:lineRule="exact"/>
        <w:ind w:firstLine="56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附件17：</w:t>
      </w:r>
      <w:r>
        <w:rPr>
          <w:rFonts w:hint="default" w:ascii="Times New Roman" w:hAnsi="Times New Roman" w:cs="Times New Roman"/>
        </w:rPr>
        <w:t>爆破单位证照</w:t>
      </w:r>
      <w:r>
        <w:rPr>
          <w:rFonts w:hint="default" w:ascii="Times New Roman" w:hAnsi="Times New Roman" w:cs="Times New Roman"/>
          <w:lang w:eastAsia="zh-CN"/>
        </w:rPr>
        <w:t>、</w:t>
      </w:r>
      <w:r>
        <w:rPr>
          <w:rFonts w:hint="default" w:ascii="Times New Roman" w:hAnsi="Times New Roman" w:cs="Times New Roman"/>
        </w:rPr>
        <w:t>爆破合同及安全管理协议</w:t>
      </w:r>
    </w:p>
    <w:p w14:paraId="4F5C3BFA">
      <w:pPr>
        <w:spacing w:line="500" w:lineRule="exact"/>
        <w:ind w:firstLine="560"/>
        <w:rPr>
          <w:rFonts w:hint="default" w:ascii="Times New Roman" w:hAnsi="Times New Roman" w:cs="Times New Roman"/>
        </w:rPr>
      </w:pPr>
      <w:r>
        <w:rPr>
          <w:rFonts w:hint="default" w:ascii="Times New Roman" w:hAnsi="Times New Roman" w:cs="Times New Roman"/>
        </w:rPr>
        <w:t>附件1</w:t>
      </w:r>
      <w:r>
        <w:rPr>
          <w:rFonts w:hint="default" w:ascii="Times New Roman" w:hAnsi="Times New Roman" w:cs="Times New Roman"/>
          <w:lang w:val="en-US" w:eastAsia="zh-CN"/>
        </w:rPr>
        <w:t>8</w:t>
      </w:r>
      <w:r>
        <w:rPr>
          <w:rFonts w:hint="default" w:ascii="Times New Roman" w:hAnsi="Times New Roman" w:cs="Times New Roman"/>
        </w:rPr>
        <w:t>：施工总结报告</w:t>
      </w:r>
      <w:r>
        <w:rPr>
          <w:rFonts w:hint="default" w:ascii="Times New Roman" w:hAnsi="Times New Roman" w:cs="Times New Roman"/>
          <w:lang w:val="en-US" w:eastAsia="zh-CN"/>
        </w:rPr>
        <w:t>扉页</w:t>
      </w:r>
      <w:r>
        <w:rPr>
          <w:rFonts w:hint="default" w:ascii="Times New Roman" w:hAnsi="Times New Roman" w:cs="Times New Roman"/>
        </w:rPr>
        <w:t>、资质</w:t>
      </w:r>
      <w:r>
        <w:rPr>
          <w:rFonts w:hint="default" w:ascii="Times New Roman" w:hAnsi="Times New Roman" w:cs="Times New Roman"/>
          <w:lang w:eastAsia="zh-CN"/>
        </w:rPr>
        <w:t>、</w:t>
      </w:r>
      <w:r>
        <w:rPr>
          <w:rFonts w:hint="default" w:ascii="Times New Roman" w:hAnsi="Times New Roman" w:cs="Times New Roman"/>
          <w:lang w:val="en-US" w:eastAsia="zh-CN"/>
        </w:rPr>
        <w:t>结论页</w:t>
      </w:r>
    </w:p>
    <w:p w14:paraId="381394C4">
      <w:pPr>
        <w:spacing w:line="500" w:lineRule="exact"/>
        <w:ind w:firstLine="560"/>
        <w:rPr>
          <w:rFonts w:hint="default" w:ascii="Times New Roman" w:hAnsi="Times New Roman" w:eastAsia="宋体" w:cs="Times New Roman"/>
          <w:lang w:val="en-US" w:eastAsia="zh-CN"/>
        </w:rPr>
      </w:pPr>
      <w:r>
        <w:rPr>
          <w:rFonts w:hint="default" w:ascii="Times New Roman" w:hAnsi="Times New Roman" w:cs="Times New Roman"/>
        </w:rPr>
        <w:t>附件1</w:t>
      </w:r>
      <w:r>
        <w:rPr>
          <w:rFonts w:hint="default" w:ascii="Times New Roman" w:hAnsi="Times New Roman" w:cs="Times New Roman"/>
          <w:lang w:val="en-US" w:eastAsia="zh-CN"/>
        </w:rPr>
        <w:t>9</w:t>
      </w:r>
      <w:r>
        <w:rPr>
          <w:rFonts w:hint="default" w:ascii="Times New Roman" w:hAnsi="Times New Roman" w:cs="Times New Roman"/>
        </w:rPr>
        <w:t>：施工项目部成立文件</w:t>
      </w:r>
      <w:r>
        <w:rPr>
          <w:rFonts w:hint="default" w:ascii="Times New Roman" w:hAnsi="Times New Roman" w:cs="Times New Roman"/>
          <w:lang w:val="en-US" w:eastAsia="zh-CN"/>
        </w:rPr>
        <w:t>及部分相关施工资料</w:t>
      </w:r>
    </w:p>
    <w:p w14:paraId="3C42849E">
      <w:pPr>
        <w:spacing w:line="500" w:lineRule="exact"/>
        <w:ind w:firstLine="560"/>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lang w:val="en-US" w:eastAsia="zh-CN"/>
        </w:rPr>
        <w:t>20</w:t>
      </w:r>
      <w:r>
        <w:rPr>
          <w:rFonts w:hint="default" w:ascii="Times New Roman" w:hAnsi="Times New Roman" w:cs="Times New Roman"/>
        </w:rPr>
        <w:t>：监理总结报告</w:t>
      </w:r>
      <w:r>
        <w:rPr>
          <w:rFonts w:hint="default" w:ascii="Times New Roman" w:hAnsi="Times New Roman" w:cs="Times New Roman"/>
        </w:rPr>
        <w:tab/>
      </w:r>
      <w:r>
        <w:rPr>
          <w:rFonts w:hint="default" w:ascii="Times New Roman" w:hAnsi="Times New Roman" w:cs="Times New Roman"/>
          <w:lang w:val="en-US" w:eastAsia="zh-CN"/>
        </w:rPr>
        <w:t>扉页</w:t>
      </w:r>
      <w:r>
        <w:rPr>
          <w:rFonts w:hint="default" w:ascii="Times New Roman" w:hAnsi="Times New Roman" w:cs="Times New Roman"/>
        </w:rPr>
        <w:t>、资质</w:t>
      </w:r>
      <w:r>
        <w:rPr>
          <w:rFonts w:hint="default" w:ascii="Times New Roman" w:hAnsi="Times New Roman" w:cs="Times New Roman"/>
          <w:lang w:eastAsia="zh-CN"/>
        </w:rPr>
        <w:t>、</w:t>
      </w:r>
      <w:r>
        <w:rPr>
          <w:rFonts w:hint="default" w:ascii="Times New Roman" w:hAnsi="Times New Roman" w:cs="Times New Roman"/>
          <w:lang w:val="en-US" w:eastAsia="zh-CN"/>
        </w:rPr>
        <w:t>结论页</w:t>
      </w:r>
    </w:p>
    <w:p w14:paraId="1DEB3441">
      <w:pPr>
        <w:spacing w:line="500" w:lineRule="exact"/>
        <w:ind w:firstLine="560"/>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lang w:val="en-US" w:eastAsia="zh-CN"/>
        </w:rPr>
        <w:t>21</w:t>
      </w:r>
      <w:r>
        <w:rPr>
          <w:rFonts w:hint="default" w:ascii="Times New Roman" w:hAnsi="Times New Roman" w:cs="Times New Roman"/>
        </w:rPr>
        <w:t>：监理项目部成立文件</w:t>
      </w:r>
    </w:p>
    <w:p w14:paraId="0541054C">
      <w:pPr>
        <w:spacing w:line="500" w:lineRule="exact"/>
        <w:ind w:firstLine="560"/>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lang w:val="en-US" w:eastAsia="zh-CN"/>
        </w:rPr>
        <w:t>22</w:t>
      </w:r>
      <w:r>
        <w:rPr>
          <w:rFonts w:hint="default" w:ascii="Times New Roman" w:hAnsi="Times New Roman" w:cs="Times New Roman"/>
        </w:rPr>
        <w:t>：试运行总结报告</w:t>
      </w:r>
    </w:p>
    <w:p w14:paraId="39838F3D">
      <w:pPr>
        <w:spacing w:line="500" w:lineRule="exact"/>
        <w:ind w:firstLine="560"/>
        <w:rPr>
          <w:rFonts w:hint="default" w:ascii="Times New Roman" w:hAnsi="Times New Roman" w:cs="Times New Roman"/>
        </w:rPr>
      </w:pPr>
      <w:r>
        <w:rPr>
          <w:rFonts w:hint="default" w:ascii="Times New Roman" w:hAnsi="Times New Roman" w:cs="Times New Roman"/>
        </w:rPr>
        <w:t>附件2</w:t>
      </w:r>
      <w:r>
        <w:rPr>
          <w:rFonts w:hint="default" w:ascii="Times New Roman" w:hAnsi="Times New Roman" w:cs="Times New Roman"/>
          <w:lang w:val="en-US" w:eastAsia="zh-CN"/>
        </w:rPr>
        <w:t>3</w:t>
      </w:r>
      <w:r>
        <w:rPr>
          <w:rFonts w:hint="default" w:ascii="Times New Roman" w:hAnsi="Times New Roman" w:cs="Times New Roman"/>
        </w:rPr>
        <w:t>：安全设施自查</w:t>
      </w:r>
    </w:p>
    <w:p w14:paraId="750B64D5">
      <w:pPr>
        <w:spacing w:line="500" w:lineRule="exact"/>
        <w:ind w:firstLine="560"/>
        <w:rPr>
          <w:rFonts w:hint="default" w:ascii="Times New Roman" w:hAnsi="Times New Roman" w:eastAsia="宋体" w:cs="Times New Roman"/>
          <w:lang w:val="en-US" w:eastAsia="zh-CN"/>
        </w:rPr>
      </w:pPr>
      <w:r>
        <w:rPr>
          <w:rFonts w:hint="default" w:ascii="Times New Roman" w:hAnsi="Times New Roman" w:cs="Times New Roman"/>
        </w:rPr>
        <w:t>附件2</w:t>
      </w:r>
      <w:r>
        <w:rPr>
          <w:rFonts w:hint="default" w:ascii="Times New Roman" w:hAnsi="Times New Roman" w:cs="Times New Roman"/>
          <w:lang w:val="en-US" w:eastAsia="zh-CN"/>
        </w:rPr>
        <w:t>4</w:t>
      </w:r>
      <w:r>
        <w:rPr>
          <w:rFonts w:hint="default" w:ascii="Times New Roman" w:hAnsi="Times New Roman" w:cs="Times New Roman"/>
        </w:rPr>
        <w:t>：整改意见回复</w:t>
      </w:r>
    </w:p>
    <w:p w14:paraId="19672DD3">
      <w:pPr>
        <w:spacing w:line="500" w:lineRule="exact"/>
        <w:ind w:firstLine="560"/>
        <w:rPr>
          <w:rFonts w:hint="default" w:ascii="Times New Roman" w:hAnsi="Times New Roman" w:cs="Times New Roman"/>
          <w:lang w:val="en-US" w:eastAsia="zh-CN"/>
        </w:rPr>
      </w:pPr>
      <w:r>
        <w:rPr>
          <w:rFonts w:hint="default" w:ascii="Times New Roman" w:hAnsi="Times New Roman" w:cs="Times New Roman"/>
          <w:lang w:val="en-US" w:eastAsia="zh-CN"/>
        </w:rPr>
        <w:t>附件25：安全评价检测检验机构从业告知书</w:t>
      </w:r>
    </w:p>
    <w:p w14:paraId="01055387">
      <w:pPr>
        <w:spacing w:line="500" w:lineRule="exact"/>
        <w:ind w:firstLine="560"/>
        <w:rPr>
          <w:rFonts w:hint="default" w:ascii="Times New Roman" w:hAnsi="Times New Roman" w:cs="Times New Roman"/>
          <w:lang w:val="en-US" w:eastAsia="zh-CN"/>
        </w:rPr>
        <w:sectPr>
          <w:pgSz w:w="11905" w:h="16838"/>
          <w:pgMar w:top="1417" w:right="1134" w:bottom="1134" w:left="1587" w:header="850" w:footer="794" w:gutter="0"/>
          <w:pgNumType w:fmt="decimal"/>
          <w:cols w:space="720" w:num="1"/>
          <w:docGrid w:type="lines" w:linePitch="386" w:charSpace="0"/>
        </w:sectPr>
      </w:pPr>
    </w:p>
    <w:p w14:paraId="22F872DF">
      <w:pPr>
        <w:pStyle w:val="3"/>
        <w:keepNext/>
        <w:keepLines/>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val="0"/>
        </w:rPr>
      </w:pPr>
      <w:bookmarkStart w:id="681" w:name="_Toc10629"/>
      <w:bookmarkStart w:id="682" w:name="_Toc28122"/>
      <w:bookmarkStart w:id="683" w:name="_Toc16328"/>
      <w:bookmarkStart w:id="684" w:name="_Toc8976"/>
      <w:bookmarkStart w:id="685" w:name="_Toc27928"/>
      <w:r>
        <w:rPr>
          <w:rFonts w:hint="default" w:ascii="Times New Roman" w:hAnsi="Times New Roman" w:cs="Times New Roman"/>
          <w:b/>
          <w:bCs w:val="0"/>
        </w:rPr>
        <w:t>6.2 附图</w:t>
      </w:r>
      <w:bookmarkEnd w:id="681"/>
      <w:bookmarkEnd w:id="682"/>
      <w:bookmarkEnd w:id="683"/>
      <w:bookmarkEnd w:id="684"/>
      <w:bookmarkEnd w:id="685"/>
    </w:p>
    <w:p w14:paraId="60F93580">
      <w:pPr>
        <w:adjustRightInd/>
        <w:ind w:firstLine="560"/>
        <w:rPr>
          <w:rFonts w:hint="default" w:ascii="Times New Roman" w:hAnsi="Times New Roman" w:cs="Times New Roman"/>
          <w:szCs w:val="28"/>
        </w:rPr>
      </w:pPr>
      <w:r>
        <w:rPr>
          <w:rFonts w:hint="default" w:ascii="Times New Roman" w:hAnsi="Times New Roman" w:cs="Times New Roman"/>
          <w:szCs w:val="28"/>
        </w:rPr>
        <w:t>附图1：设计总平面布置图</w:t>
      </w:r>
    </w:p>
    <w:p w14:paraId="35C937EE">
      <w:pPr>
        <w:adjustRightInd/>
        <w:ind w:firstLine="560"/>
        <w:rPr>
          <w:rFonts w:hint="default" w:ascii="Times New Roman" w:hAnsi="Times New Roman" w:cs="Times New Roman"/>
          <w:szCs w:val="28"/>
        </w:rPr>
      </w:pPr>
      <w:r>
        <w:rPr>
          <w:rFonts w:hint="default" w:ascii="Times New Roman" w:hAnsi="Times New Roman" w:cs="Times New Roman"/>
          <w:szCs w:val="28"/>
        </w:rPr>
        <w:t>附图2：设计基建终了平面图</w:t>
      </w:r>
    </w:p>
    <w:p w14:paraId="4FD9D571">
      <w:pPr>
        <w:adjustRightInd/>
        <w:ind w:firstLine="560"/>
        <w:rPr>
          <w:rFonts w:hint="default" w:ascii="Times New Roman" w:hAnsi="Times New Roman" w:cs="Times New Roman"/>
          <w:szCs w:val="28"/>
        </w:rPr>
      </w:pPr>
      <w:r>
        <w:rPr>
          <w:rFonts w:hint="default" w:ascii="Times New Roman" w:hAnsi="Times New Roman" w:cs="Times New Roman"/>
          <w:szCs w:val="28"/>
        </w:rPr>
        <w:t>附图3</w:t>
      </w:r>
      <w:r>
        <w:rPr>
          <w:rFonts w:hint="default" w:ascii="Times New Roman" w:hAnsi="Times New Roman" w:cs="Times New Roman"/>
          <w:szCs w:val="28"/>
          <w:lang w:eastAsia="zh-CN"/>
        </w:rPr>
        <w:t>：</w:t>
      </w:r>
      <w:r>
        <w:rPr>
          <w:rFonts w:hint="default" w:ascii="Times New Roman" w:hAnsi="Times New Roman" w:cs="Times New Roman"/>
          <w:szCs w:val="28"/>
        </w:rPr>
        <w:t>现状实测图</w:t>
      </w:r>
    </w:p>
    <w:p w14:paraId="1B745272">
      <w:pPr>
        <w:adjustRightInd/>
        <w:ind w:firstLine="560"/>
        <w:rPr>
          <w:rFonts w:hint="default" w:ascii="Times New Roman" w:hAnsi="Times New Roman" w:cs="Times New Roman"/>
          <w:szCs w:val="28"/>
        </w:rPr>
      </w:pPr>
      <w:r>
        <w:rPr>
          <w:rFonts w:hint="default" w:ascii="Times New Roman" w:hAnsi="Times New Roman" w:cs="Times New Roman"/>
          <w:szCs w:val="28"/>
        </w:rPr>
        <w:t>附图</w:t>
      </w:r>
      <w:r>
        <w:rPr>
          <w:rFonts w:hint="default" w:ascii="Times New Roman" w:hAnsi="Times New Roman" w:cs="Times New Roman"/>
          <w:szCs w:val="28"/>
          <w:lang w:val="en-US" w:eastAsia="zh-CN"/>
        </w:rPr>
        <w:t>4</w:t>
      </w:r>
      <w:r>
        <w:rPr>
          <w:rFonts w:hint="default" w:ascii="Times New Roman" w:hAnsi="Times New Roman" w:cs="Times New Roman"/>
          <w:szCs w:val="28"/>
        </w:rPr>
        <w:t>：</w:t>
      </w:r>
      <w:r>
        <w:rPr>
          <w:rFonts w:hint="default" w:ascii="Times New Roman" w:hAnsi="Times New Roman" w:cs="Times New Roman"/>
          <w:sz w:val="28"/>
          <w:szCs w:val="28"/>
        </w:rPr>
        <w:t>总平面布置竣工图</w:t>
      </w:r>
    </w:p>
    <w:p w14:paraId="767303D3">
      <w:pPr>
        <w:adjustRightInd/>
        <w:ind w:firstLine="560"/>
        <w:rPr>
          <w:rFonts w:hint="default" w:ascii="Times New Roman" w:hAnsi="Times New Roman" w:cs="Times New Roman"/>
          <w:szCs w:val="28"/>
        </w:rPr>
      </w:pPr>
      <w:r>
        <w:rPr>
          <w:rFonts w:hint="default" w:ascii="Times New Roman" w:hAnsi="Times New Roman" w:cs="Times New Roman"/>
          <w:szCs w:val="28"/>
        </w:rPr>
        <w:t>附图5：开拓运输系统基建竣工图</w:t>
      </w:r>
    </w:p>
    <w:p w14:paraId="73886209">
      <w:pPr>
        <w:adjustRightInd/>
        <w:ind w:firstLine="560"/>
        <w:rPr>
          <w:rFonts w:hint="default" w:ascii="Times New Roman" w:hAnsi="Times New Roman" w:cs="Times New Roman"/>
          <w:szCs w:val="28"/>
        </w:rPr>
      </w:pPr>
      <w:r>
        <w:rPr>
          <w:rFonts w:hint="default" w:ascii="Times New Roman" w:hAnsi="Times New Roman" w:cs="Times New Roman"/>
          <w:szCs w:val="28"/>
        </w:rPr>
        <w:t>附图6：开拓运输道路纵剖面图</w:t>
      </w:r>
    </w:p>
    <w:p w14:paraId="007647F4">
      <w:pPr>
        <w:adjustRightInd/>
        <w:ind w:firstLine="560"/>
        <w:rPr>
          <w:rFonts w:hint="default" w:ascii="Times New Roman" w:hAnsi="Times New Roman" w:eastAsia="宋体" w:cs="Times New Roman"/>
          <w:szCs w:val="28"/>
          <w:lang w:val="en-US" w:eastAsia="zh-CN"/>
        </w:rPr>
      </w:pPr>
      <w:r>
        <w:rPr>
          <w:rFonts w:hint="eastAsia" w:ascii="Times New Roman" w:hAnsi="Times New Roman" w:cs="Times New Roman"/>
          <w:szCs w:val="28"/>
          <w:lang w:val="en-US" w:eastAsia="zh-CN"/>
        </w:rPr>
        <w:t>附图7：开拓运输道路横断面图</w:t>
      </w:r>
    </w:p>
    <w:p w14:paraId="22DEA16A">
      <w:pPr>
        <w:adjustRightInd/>
        <w:ind w:firstLine="560"/>
        <w:rPr>
          <w:rFonts w:hint="default" w:ascii="Times New Roman" w:hAnsi="Times New Roman" w:cs="Times New Roman"/>
          <w:szCs w:val="28"/>
        </w:rPr>
      </w:pPr>
      <w:r>
        <w:rPr>
          <w:rFonts w:hint="eastAsia" w:ascii="Times New Roman" w:hAnsi="Times New Roman" w:cs="Times New Roman"/>
          <w:szCs w:val="28"/>
          <w:lang w:val="en-US" w:eastAsia="zh-CN"/>
        </w:rPr>
        <w:t>附图8：</w:t>
      </w:r>
      <w:r>
        <w:rPr>
          <w:rFonts w:hint="default" w:ascii="Times New Roman" w:hAnsi="Times New Roman" w:cs="Times New Roman"/>
          <w:szCs w:val="28"/>
        </w:rPr>
        <w:t>防排</w:t>
      </w:r>
      <w:bookmarkStart w:id="686" w:name="_GoBack"/>
      <w:bookmarkEnd w:id="686"/>
      <w:r>
        <w:rPr>
          <w:rFonts w:hint="default" w:ascii="Times New Roman" w:hAnsi="Times New Roman" w:cs="Times New Roman"/>
          <w:szCs w:val="28"/>
        </w:rPr>
        <w:t>水系统基建竣工图</w:t>
      </w:r>
    </w:p>
    <w:p w14:paraId="7EDC84B9">
      <w:pPr>
        <w:adjustRightInd/>
        <w:ind w:firstLine="560"/>
        <w:rPr>
          <w:rFonts w:hint="default" w:ascii="Times New Roman" w:hAnsi="Times New Roman" w:cs="Times New Roman"/>
          <w:szCs w:val="28"/>
          <w:lang w:val="en-US" w:eastAsia="zh-CN"/>
        </w:rPr>
      </w:pPr>
      <w:r>
        <w:rPr>
          <w:rFonts w:hint="default" w:ascii="Times New Roman" w:hAnsi="Times New Roman" w:cs="Times New Roman"/>
          <w:szCs w:val="28"/>
          <w:lang w:val="en-US" w:eastAsia="zh-CN"/>
        </w:rPr>
        <w:t>附图</w:t>
      </w:r>
      <w:r>
        <w:rPr>
          <w:rFonts w:hint="eastAsia" w:ascii="Times New Roman" w:hAnsi="Times New Roman" w:cs="Times New Roman"/>
          <w:szCs w:val="28"/>
          <w:lang w:val="en-US" w:eastAsia="zh-CN"/>
        </w:rPr>
        <w:t>9</w:t>
      </w:r>
      <w:r>
        <w:rPr>
          <w:rFonts w:hint="default" w:ascii="Times New Roman" w:hAnsi="Times New Roman" w:cs="Times New Roman"/>
          <w:szCs w:val="28"/>
          <w:lang w:val="en-US" w:eastAsia="zh-CN"/>
        </w:rPr>
        <w:t>：排水设施结构图</w:t>
      </w:r>
    </w:p>
    <w:p w14:paraId="6782027B">
      <w:pPr>
        <w:adjustRightInd/>
        <w:ind w:firstLine="560"/>
        <w:rPr>
          <w:rFonts w:hint="default" w:ascii="Times New Roman" w:hAnsi="Times New Roman" w:cs="Times New Roman"/>
          <w:szCs w:val="28"/>
          <w:lang w:val="en-US" w:eastAsia="zh-CN"/>
        </w:rPr>
      </w:pPr>
      <w:r>
        <w:rPr>
          <w:rFonts w:hint="eastAsia" w:ascii="Times New Roman" w:hAnsi="Times New Roman" w:cs="Times New Roman"/>
          <w:szCs w:val="28"/>
          <w:lang w:val="en-US" w:eastAsia="zh-CN"/>
        </w:rPr>
        <w:t>附图10：</w:t>
      </w:r>
      <w:r>
        <w:rPr>
          <w:rFonts w:hint="default" w:ascii="Times New Roman" w:hAnsi="Times New Roman" w:cs="Times New Roman"/>
          <w:szCs w:val="28"/>
          <w:lang w:val="en-US" w:eastAsia="zh-CN"/>
        </w:rPr>
        <w:t>供配电系统竣工图</w:t>
      </w:r>
    </w:p>
    <w:sectPr>
      <w:pgSz w:w="11905" w:h="16838"/>
      <w:pgMar w:top="1417" w:right="1134" w:bottom="1134" w:left="1587" w:header="850" w:footer="794" w:gutter="0"/>
      <w:pgNumType w:fmt="decimal"/>
      <w:cols w:space="720" w:num="1"/>
      <w:docGrid w:type="lines" w:linePitch="3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auto"/>
    <w:pitch w:val="default"/>
    <w:sig w:usb0="00000000" w:usb1="00000000" w:usb2="00000010" w:usb3="00000000" w:csb0="00040000" w:csb1="00000000"/>
  </w:font>
  <w:font w:name="Arail">
    <w:altName w:val="宋体"/>
    <w:panose1 w:val="00000000000000000000"/>
    <w:charset w:val="00"/>
    <w:family w:val="auto"/>
    <w:pitch w:val="default"/>
    <w:sig w:usb0="00000000" w:usb1="00000000" w:usb2="00000000" w:usb3="00000000" w:csb0="00040001"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7F" w:usb3="00000000" w:csb0="203F01FF" w:csb1="DFFF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0464F">
    <w:pPr>
      <w:pStyle w:val="2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07EB0">
    <w:pPr>
      <w:pStyle w:val="2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647AA">
    <w:pPr>
      <w:pStyle w:val="28"/>
      <w:tabs>
        <w:tab w:val="right" w:pos="9184"/>
        <w:tab w:val="clear" w:pos="4153"/>
        <w:tab w:val="clear" w:pos="8306"/>
      </w:tabs>
      <w:ind w:firstLine="0" w:firstLineChars="0"/>
      <w:rPr>
        <w:rFonts w:hint="eastAsia"/>
      </w:rPr>
    </w:pPr>
    <w:r>
      <w:rPr>
        <w:rFonts w:ascii="楷体" w:hAnsi="楷体" w:eastAsia="楷体"/>
        <w:sz w:val="21"/>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749DE">
    <w:pPr>
      <w:pStyle w:val="28"/>
      <w:ind w:firstLine="560"/>
      <w:rPr>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CA130">
    <w:pPr>
      <w:spacing w:line="240" w:lineRule="auto"/>
      <w:ind w:firstLine="0" w:firstLineChars="0"/>
      <w:jc w:val="left"/>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8A984">
                          <w:pPr>
                            <w:pStyle w:val="2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zfPZ3gEAAMADAAAOAAAAAAAA&#10;AAEAIAAAAB4BAABkcnMvZTJvRG9jLnhtbFBLBQYAAAAABgAGAFkBAABuBQAAAAA=&#10;">
              <v:fill on="f" focussize="0,0"/>
              <v:stroke on="f"/>
              <v:imagedata o:title=""/>
              <o:lock v:ext="edit" aspectratio="f"/>
              <v:textbox inset="0mm,0mm,0mm,0mm" style="mso-fit-shape-to-text:t;">
                <w:txbxContent>
                  <w:p w14:paraId="00E8A984">
                    <w:pPr>
                      <w:pStyle w:val="2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ascii="宋体" w:hAnsi="宋体" w:cs="宋体"/>
        <w:sz w:val="21"/>
        <w:szCs w:val="21"/>
      </w:rPr>
      <w:drawing>
        <wp:inline distT="0" distB="0" distL="114300" distR="114300">
          <wp:extent cx="360045" cy="133985"/>
          <wp:effectExtent l="0" t="0" r="0" b="5080"/>
          <wp:docPr id="34" name="图片 24" descr="1"/>
          <wp:cNvGraphicFramePr/>
          <a:graphic xmlns:a="http://schemas.openxmlformats.org/drawingml/2006/main">
            <a:graphicData uri="http://schemas.openxmlformats.org/drawingml/2006/picture">
              <pic:pic xmlns:pic="http://schemas.openxmlformats.org/drawingml/2006/picture">
                <pic:nvPicPr>
                  <pic:cNvPr id="34" name="图片 24" descr="1"/>
                  <pic:cNvPicPr/>
                </pic:nvPicPr>
                <pic:blipFill>
                  <a:blip r:embed="rId1"/>
                  <a:stretch>
                    <a:fillRect/>
                  </a:stretch>
                </pic:blipFill>
                <pic:spPr>
                  <a:xfrm>
                    <a:off x="0" y="0"/>
                    <a:ext cx="360045" cy="133985"/>
                  </a:xfrm>
                  <a:prstGeom prst="rect">
                    <a:avLst/>
                  </a:prstGeom>
                  <a:noFill/>
                  <a:ln>
                    <a:noFill/>
                  </a:ln>
                </pic:spPr>
              </pic:pic>
            </a:graphicData>
          </a:graphic>
        </wp:inline>
      </w:drawing>
    </w:r>
    <w:r>
      <w:rPr>
        <w:rFonts w:ascii="楷体" w:hAnsi="楷体" w:eastAsia="楷体"/>
        <w:sz w:val="21"/>
        <w:szCs w:val="21"/>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-635</wp:posOffset>
              </wp:positionV>
              <wp:extent cx="5835015" cy="635"/>
              <wp:effectExtent l="0" t="0" r="0" b="0"/>
              <wp:wrapNone/>
              <wp:docPr id="30" name="直线 3"/>
              <wp:cNvGraphicFramePr/>
              <a:graphic xmlns:a="http://schemas.openxmlformats.org/drawingml/2006/main">
                <a:graphicData uri="http://schemas.microsoft.com/office/word/2010/wordprocessingShape">
                  <wps:wsp>
                    <wps:cNvCnPr/>
                    <wps:spPr>
                      <a:xfrm>
                        <a:off x="0" y="0"/>
                        <a:ext cx="5835015" cy="635"/>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1pt;margin-top:-0.05pt;height:0.05pt;width:459.45pt;z-index:251659264;mso-width-relative:page;mso-height-relative:page;" filled="f" stroked="t" coordsize="21600,21600" o:gfxdata="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sO3eHSAAAABAEA&#10;AA8AAAAAAAAAAQAgAAAAIgAAAGRycy9kb3ducmV2LnhtbFBLAQIUABQAAAAIAIdO4kAYPEgr5wEA&#10;AN4DAAAOAAAAAAAAAAEAIAAAACEBAABkcnMvZTJvRG9jLnhtbFBLBQYAAAAABgAGAFkBAAB6BQAA&#10;AAA=&#10;">
              <v:fill on="f" focussize="0,0"/>
              <v:stroke weight="0.5pt" color="#000000" joinstyle="round"/>
              <v:imagedata o:title=""/>
              <o:lock v:ext="edit" aspectratio="f"/>
            </v:line>
          </w:pict>
        </mc:Fallback>
      </mc:AlternateContent>
    </w:r>
    <w:r>
      <w:rPr>
        <w:rFonts w:hint="eastAsia" w:ascii="楷体" w:hAnsi="楷体" w:eastAsia="楷体"/>
        <w:sz w:val="21"/>
        <w:szCs w:val="21"/>
      </w:rPr>
      <w:t>辽宁诺诚安全科技有限公司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CEFFB">
    <w:pPr>
      <w:pStyle w:val="28"/>
      <w:pBdr>
        <w:top w:val="single" w:color="auto" w:sz="4" w:space="0"/>
      </w:pBdr>
      <w:ind w:firstLine="210" w:firstLineChars="100"/>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9C27B1">
                          <w:pPr>
                            <w:pStyle w:val="2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gdGc98BAADA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9fceaEpYlfvn+7/Ph1+fmV&#10;LZdJoD5ARXl3gTJxeOUHWpvZD+RMvIc22vQnRoziJO/5Kq8akMl0ab1ar0sKSYrNB8Iv7q+HCPhG&#10;ecuSUfNI88uyitM7wDF1TknVnL/VxuQZGveXgzCTp0i9jz0mC4f9MBHa++ZMfOghUJ3Oxy+c9bQG&#10;NXe09ZyZt45UThszG3E29rMhnKSLNUfORvM1jpt1DFEfurxrqSkIL49InWYCqY2x9tQdDTZLMC1h&#10;2pw/zznr/uFt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dgdGc98BAADAAwAADgAAAAAA&#10;AAABACAAAAAeAQAAZHJzL2Uyb0RvYy54bWxQSwUGAAAAAAYABgBZAQAAbwUAAAAA&#10;">
              <v:fill on="f" focussize="0,0"/>
              <v:stroke on="f"/>
              <v:imagedata o:title=""/>
              <o:lock v:ext="edit" aspectratio="f"/>
              <v:textbox inset="0mm,0mm,0mm,0mm" style="mso-fit-shape-to-text:t;">
                <w:txbxContent>
                  <w:p w14:paraId="169C27B1">
                    <w:pPr>
                      <w:pStyle w:val="2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ascii="宋体" w:hAnsi="宋体" w:cs="宋体"/>
        <w:sz w:val="21"/>
        <w:szCs w:val="21"/>
      </w:rPr>
      <w:drawing>
        <wp:inline distT="0" distB="0" distL="114300" distR="114300">
          <wp:extent cx="360045" cy="133985"/>
          <wp:effectExtent l="0" t="0" r="0" b="5080"/>
          <wp:docPr id="35" name="图片 25" descr="1"/>
          <wp:cNvGraphicFramePr/>
          <a:graphic xmlns:a="http://schemas.openxmlformats.org/drawingml/2006/main">
            <a:graphicData uri="http://schemas.openxmlformats.org/drawingml/2006/picture">
              <pic:pic xmlns:pic="http://schemas.openxmlformats.org/drawingml/2006/picture">
                <pic:nvPicPr>
                  <pic:cNvPr id="35" name="图片 25" descr="1"/>
                  <pic:cNvPicPr/>
                </pic:nvPicPr>
                <pic:blipFill>
                  <a:blip r:embed="rId1"/>
                  <a:stretch>
                    <a:fillRect/>
                  </a:stretch>
                </pic:blipFill>
                <pic:spPr>
                  <a:xfrm>
                    <a:off x="0" y="0"/>
                    <a:ext cx="360045" cy="133985"/>
                  </a:xfrm>
                  <a:prstGeom prst="rect">
                    <a:avLst/>
                  </a:prstGeom>
                  <a:noFill/>
                  <a:ln>
                    <a:noFill/>
                  </a:ln>
                </pic:spPr>
              </pic:pic>
            </a:graphicData>
          </a:graphic>
        </wp:inline>
      </w:drawing>
    </w:r>
    <w:r>
      <w:rPr>
        <w:rFonts w:hint="eastAsia" w:ascii="楷体" w:hAnsi="楷体" w:eastAsia="楷体"/>
        <w:sz w:val="21"/>
      </w:rPr>
      <w:t>辽宁诺诚安全科技有限公司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C1FF9">
    <w:pPr>
      <w:pStyle w:val="28"/>
      <w:pBdr>
        <w:top w:val="single" w:color="auto" w:sz="4" w:space="0"/>
      </w:pBdr>
      <w:ind w:firstLine="210" w:firstLineChars="100"/>
    </w:pPr>
    <w:r>
      <w:rPr>
        <w:sz w:val="21"/>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F842DB">
                          <w:pPr>
                            <w:pStyle w:val="28"/>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MBzR5rgAQAAwAMAAA4AAAAA&#10;AAAAAQAgAAAAHgEAAGRycy9lMm9Eb2MueG1sUEsFBgAAAAAGAAYAWQEAAHAFAAAAAA==&#10;">
              <v:fill on="f" focussize="0,0"/>
              <v:stroke on="f"/>
              <v:imagedata o:title=""/>
              <o:lock v:ext="edit" aspectratio="f"/>
              <v:textbox inset="0mm,0mm,0mm,0mm" style="mso-fit-shape-to-text:t;">
                <w:txbxContent>
                  <w:p w14:paraId="4CF842DB">
                    <w:pPr>
                      <w:pStyle w:val="28"/>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ascii="宋体" w:hAnsi="宋体" w:cs="宋体"/>
        <w:sz w:val="21"/>
        <w:szCs w:val="21"/>
      </w:rPr>
      <w:drawing>
        <wp:inline distT="0" distB="0" distL="114300" distR="114300">
          <wp:extent cx="360045" cy="133985"/>
          <wp:effectExtent l="0" t="0" r="0" b="5080"/>
          <wp:docPr id="36" name="图片 20" descr="1"/>
          <wp:cNvGraphicFramePr/>
          <a:graphic xmlns:a="http://schemas.openxmlformats.org/drawingml/2006/main">
            <a:graphicData uri="http://schemas.openxmlformats.org/drawingml/2006/picture">
              <pic:pic xmlns:pic="http://schemas.openxmlformats.org/drawingml/2006/picture">
                <pic:nvPicPr>
                  <pic:cNvPr id="36" name="图片 20" descr="1"/>
                  <pic:cNvPicPr/>
                </pic:nvPicPr>
                <pic:blipFill>
                  <a:blip r:embed="rId1"/>
                  <a:stretch>
                    <a:fillRect/>
                  </a:stretch>
                </pic:blipFill>
                <pic:spPr>
                  <a:xfrm>
                    <a:off x="0" y="0"/>
                    <a:ext cx="360045" cy="133985"/>
                  </a:xfrm>
                  <a:prstGeom prst="rect">
                    <a:avLst/>
                  </a:prstGeom>
                  <a:noFill/>
                  <a:ln>
                    <a:noFill/>
                  </a:ln>
                </pic:spPr>
              </pic:pic>
            </a:graphicData>
          </a:graphic>
        </wp:inline>
      </w:drawing>
    </w:r>
    <w:r>
      <w:rPr>
        <w:rFonts w:hint="eastAsia" w:ascii="楷体" w:hAnsi="楷体" w:eastAsia="楷体"/>
        <w:sz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B3665">
    <w:pPr>
      <w:ind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7CD7">
    <w:pPr>
      <w:pStyle w:val="2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EE2AF">
    <w:pPr>
      <w:pStyle w:val="2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B3383">
    <w:pPr>
      <w:ind w:firstLine="5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4B0FC">
    <w:pPr>
      <w:pStyle w:val="29"/>
      <w:spacing w:line="240" w:lineRule="auto"/>
      <w:ind w:firstLine="0" w:firstLineChars="0"/>
      <w:rPr>
        <w:rFonts w:hint="eastAsia" w:ascii="楷体" w:hAnsi="楷体" w:eastAsia="楷体"/>
      </w:rPr>
    </w:pPr>
    <w:r>
      <w:rPr>
        <w:rFonts w:hint="eastAsia" w:ascii="楷体" w:hAnsi="楷体" w:eastAsia="楷体"/>
        <w:kern w:val="0"/>
        <w:sz w:val="21"/>
        <w:szCs w:val="21"/>
        <w:lang w:eastAsia="zh-CN"/>
      </w:rPr>
      <w:t>姚安县太平镇王家咀石料场30万t/a露天采矿工程</w:t>
    </w:r>
    <w:r>
      <w:rPr>
        <w:rFonts w:hint="eastAsia" w:ascii="楷体" w:hAnsi="楷体" w:eastAsia="楷体"/>
        <w:kern w:val="0"/>
        <w:sz w:val="21"/>
        <w:szCs w:val="21"/>
      </w:rPr>
      <w:t>安全设施验收评价报告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BA30F">
    <w:pPr>
      <w:pStyle w:val="29"/>
      <w:spacing w:line="240" w:lineRule="auto"/>
      <w:ind w:firstLine="0" w:firstLineChars="0"/>
      <w:rPr>
        <w:rFonts w:hint="eastAsia" w:ascii="楷体" w:hAnsi="楷体" w:eastAsia="楷体"/>
      </w:rPr>
    </w:pPr>
    <w:r>
      <w:rPr>
        <w:rFonts w:hint="eastAsia" w:ascii="楷体" w:hAnsi="楷体" w:eastAsia="楷体"/>
        <w:kern w:val="0"/>
        <w:sz w:val="21"/>
        <w:szCs w:val="21"/>
        <w:lang w:eastAsia="zh-CN"/>
      </w:rPr>
      <w:t>姚安县太平镇王家咀石料场30万t/a露天采矿工程</w:t>
    </w:r>
    <w:r>
      <w:rPr>
        <w:rFonts w:hint="eastAsia" w:ascii="楷体" w:hAnsi="楷体" w:eastAsia="楷体"/>
        <w:kern w:val="0"/>
        <w:sz w:val="21"/>
        <w:szCs w:val="21"/>
      </w:rPr>
      <w:t>安全设施验收评价报告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pStyle w:val="14"/>
      <w:lvlText w:val="%1."/>
      <w:lvlJc w:val="left"/>
      <w:pPr>
        <w:tabs>
          <w:tab w:val="left" w:pos="360"/>
        </w:tabs>
        <w:ind w:left="360" w:hanging="360"/>
      </w:pPr>
    </w:lvl>
  </w:abstractNum>
  <w:abstractNum w:abstractNumId="1">
    <w:nsid w:val="00000004"/>
    <w:multiLevelType w:val="singleLevel"/>
    <w:tmpl w:val="00000004"/>
    <w:lvl w:ilvl="0" w:tentative="0">
      <w:start w:val="1"/>
      <w:numFmt w:val="decimal"/>
      <w:pStyle w:val="12"/>
      <w:lvlText w:val="%1."/>
      <w:lvlJc w:val="left"/>
      <w:pPr>
        <w:tabs>
          <w:tab w:val="left" w:pos="780"/>
        </w:tabs>
        <w:ind w:left="780" w:hanging="360"/>
      </w:pPr>
    </w:lvl>
  </w:abstractNum>
  <w:abstractNum w:abstractNumId="2">
    <w:nsid w:val="00000006"/>
    <w:multiLevelType w:val="multilevel"/>
    <w:tmpl w:val="00000006"/>
    <w:lvl w:ilvl="0" w:tentative="0">
      <w:start w:val="1"/>
      <w:numFmt w:val="chineseCountingThousand"/>
      <w:isLgl/>
      <w:suff w:val="nothing"/>
      <w:lvlText w:val="第%1章"/>
      <w:lvlJc w:val="left"/>
      <w:pPr>
        <w:ind w:left="0" w:firstLine="0"/>
      </w:pPr>
      <w:rPr>
        <w:rFonts w:hint="default" w:ascii="Times New Roman" w:hAnsi="Times New Roman" w:eastAsia="宋体"/>
        <w:b/>
        <w:bCs w:val="0"/>
        <w:i w:val="0"/>
        <w:iCs w:val="0"/>
        <w:caps w:val="0"/>
        <w:smallCaps w:val="0"/>
        <w:strike w:val="0"/>
        <w:dstrike w:val="0"/>
        <w:vanish w:val="0"/>
        <w:color w:val="000000"/>
        <w:spacing w:val="0"/>
        <w:kern w:val="0"/>
        <w:position w:val="0"/>
        <w:sz w:val="44"/>
        <w:u w:val="none"/>
        <w:vertAlign w:val="baseline"/>
      </w:rPr>
    </w:lvl>
    <w:lvl w:ilvl="1" w:tentative="0">
      <w:start w:val="1"/>
      <w:numFmt w:val="decimal"/>
      <w:pStyle w:val="151"/>
      <w:isLgl/>
      <w:suff w:val="nothing"/>
      <w:lvlText w:val="%1.%2"/>
      <w:lvlJc w:val="left"/>
      <w:pPr>
        <w:ind w:left="0" w:firstLine="0"/>
      </w:pPr>
      <w:rPr>
        <w:rFonts w:hint="default" w:ascii="Times New Roman" w:hAnsi="Times New Roman" w:eastAsia="宋体"/>
        <w:b/>
        <w:bCs w:val="0"/>
        <w:i w:val="0"/>
        <w:iCs w:val="0"/>
        <w:caps w:val="0"/>
        <w:smallCaps w:val="0"/>
        <w:strike w:val="0"/>
        <w:dstrike w:val="0"/>
        <w:vanish w:val="0"/>
        <w:color w:val="000000"/>
        <w:spacing w:val="0"/>
        <w:kern w:val="0"/>
        <w:position w:val="0"/>
        <w:sz w:val="32"/>
        <w:u w:val="none"/>
        <w:vertAlign w:val="baseline"/>
      </w:rPr>
    </w:lvl>
    <w:lvl w:ilvl="2" w:tentative="0">
      <w:start w:val="1"/>
      <w:numFmt w:val="decimal"/>
      <w:isLgl/>
      <w:suff w:val="nothing"/>
      <w:lvlText w:val="%1.%2.%3"/>
      <w:lvlJc w:val="left"/>
      <w:pPr>
        <w:ind w:left="0" w:firstLine="0"/>
      </w:pPr>
      <w:rPr>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isLgl/>
      <w:suff w:val="nothing"/>
      <w:lvlText w:val="%1.%2.%3.%4"/>
      <w:lvlJc w:val="left"/>
      <w:pPr>
        <w:ind w:left="0" w:firstLine="0"/>
      </w:pPr>
      <w:rPr>
        <w:rFonts w:hint="default" w:ascii="Times New Roman" w:hAnsi="Times New Roman" w:eastAsia="宋体"/>
        <w:b/>
        <w:bCs w:val="0"/>
        <w:i w:val="0"/>
        <w:iCs w:val="0"/>
        <w:caps w:val="0"/>
        <w:smallCaps w:val="0"/>
        <w:strike w:val="0"/>
        <w:dstrike w:val="0"/>
        <w:vanish w:val="0"/>
        <w:color w:val="000000"/>
        <w:spacing w:val="0"/>
        <w:kern w:val="0"/>
        <w:position w:val="0"/>
        <w:sz w:val="28"/>
        <w:u w:val="none"/>
        <w:vertAlign w:val="baseline"/>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0000008"/>
    <w:multiLevelType w:val="singleLevel"/>
    <w:tmpl w:val="00000008"/>
    <w:lvl w:ilvl="0" w:tentative="0">
      <w:start w:val="1"/>
      <w:numFmt w:val="decimal"/>
      <w:suff w:val="nothing"/>
      <w:lvlText w:val="（%1）"/>
      <w:lvlJc w:val="left"/>
    </w:lvl>
  </w:abstractNum>
  <w:abstractNum w:abstractNumId="4">
    <w:nsid w:val="00000009"/>
    <w:multiLevelType w:val="singleLevel"/>
    <w:tmpl w:val="00000009"/>
    <w:lvl w:ilvl="0" w:tentative="0">
      <w:start w:val="1"/>
      <w:numFmt w:val="decimal"/>
      <w:suff w:val="nothing"/>
      <w:lvlText w:val="（%1）"/>
      <w:lvlJc w:val="left"/>
    </w:lvl>
  </w:abstractNum>
  <w:abstractNum w:abstractNumId="5">
    <w:nsid w:val="0000000B"/>
    <w:multiLevelType w:val="multilevel"/>
    <w:tmpl w:val="0000000B"/>
    <w:lvl w:ilvl="0" w:tentative="0">
      <w:start w:val="1"/>
      <w:numFmt w:val="decimal"/>
      <w:pStyle w:val="160"/>
      <w:suff w:val="nothing"/>
      <w:lvlText w:val="%1、"/>
      <w:lvlJc w:val="left"/>
      <w:pPr>
        <w:ind w:left="0" w:firstLine="561"/>
      </w:pPr>
      <w:rPr>
        <w:b w:val="0"/>
        <w:bCs w:val="0"/>
        <w:i w:val="0"/>
        <w:iCs w:val="0"/>
        <w:caps w:val="0"/>
        <w:smallCaps w:val="0"/>
        <w:strike w:val="0"/>
        <w:dstrike w:val="0"/>
        <w:outline w:val="0"/>
        <w:shadow w:val="0"/>
        <w:emboss w:val="0"/>
        <w:imprint w:val="0"/>
        <w:vanish w:val="0"/>
        <w:color w:val="auto"/>
        <w:spacing w:val="0"/>
        <w:position w:val="0"/>
        <w:u w:val="none"/>
        <w:vertAlign w:val="baseli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0000000C"/>
    <w:multiLevelType w:val="singleLevel"/>
    <w:tmpl w:val="0000000C"/>
    <w:lvl w:ilvl="0" w:tentative="0">
      <w:start w:val="1"/>
      <w:numFmt w:val="decimal"/>
      <w:suff w:val="nothing"/>
      <w:lvlText w:val="（%1）"/>
      <w:lvlJc w:val="left"/>
    </w:lvl>
  </w:abstractNum>
  <w:abstractNum w:abstractNumId="7">
    <w:nsid w:val="0000000E"/>
    <w:multiLevelType w:val="singleLevel"/>
    <w:tmpl w:val="0000000E"/>
    <w:lvl w:ilvl="0" w:tentative="0">
      <w:start w:val="1"/>
      <w:numFmt w:val="decimal"/>
      <w:suff w:val="nothing"/>
      <w:lvlText w:val="%1."/>
      <w:lvlJc w:val="left"/>
    </w:lvl>
  </w:abstractNum>
  <w:abstractNum w:abstractNumId="8">
    <w:nsid w:val="00000011"/>
    <w:multiLevelType w:val="singleLevel"/>
    <w:tmpl w:val="00000011"/>
    <w:lvl w:ilvl="0" w:tentative="0">
      <w:start w:val="1"/>
      <w:numFmt w:val="decimal"/>
      <w:suff w:val="nothing"/>
      <w:lvlText w:val="（%1）"/>
      <w:lvlJc w:val="left"/>
    </w:lvl>
  </w:abstractNum>
  <w:abstractNum w:abstractNumId="9">
    <w:nsid w:val="00000012"/>
    <w:multiLevelType w:val="singleLevel"/>
    <w:tmpl w:val="00000012"/>
    <w:lvl w:ilvl="0" w:tentative="0">
      <w:start w:val="1"/>
      <w:numFmt w:val="decimal"/>
      <w:suff w:val="nothing"/>
      <w:lvlText w:val="（%1）"/>
      <w:lvlJc w:val="left"/>
    </w:lvl>
  </w:abstractNum>
  <w:abstractNum w:abstractNumId="10">
    <w:nsid w:val="00000015"/>
    <w:multiLevelType w:val="singleLevel"/>
    <w:tmpl w:val="00000015"/>
    <w:lvl w:ilvl="0" w:tentative="0">
      <w:start w:val="1"/>
      <w:numFmt w:val="decimal"/>
      <w:suff w:val="nothing"/>
      <w:lvlText w:val="（%1）"/>
      <w:lvlJc w:val="left"/>
    </w:lvl>
  </w:abstractNum>
  <w:abstractNum w:abstractNumId="11">
    <w:nsid w:val="03760DC4"/>
    <w:multiLevelType w:val="singleLevel"/>
    <w:tmpl w:val="03760DC4"/>
    <w:lvl w:ilvl="0" w:tentative="0">
      <w:start w:val="14"/>
      <w:numFmt w:val="decimal"/>
      <w:lvlText w:val="%1."/>
      <w:lvlJc w:val="left"/>
      <w:pPr>
        <w:tabs>
          <w:tab w:val="left" w:pos="312"/>
        </w:tabs>
      </w:pPr>
    </w:lvl>
  </w:abstractNum>
  <w:num w:numId="1">
    <w:abstractNumId w:val="1"/>
  </w:num>
  <w:num w:numId="2">
    <w:abstractNumId w:val="0"/>
  </w:num>
  <w:num w:numId="3">
    <w:abstractNumId w:val="2"/>
  </w:num>
  <w:num w:numId="4">
    <w:abstractNumId w:val="5"/>
  </w:num>
  <w:num w:numId="5">
    <w:abstractNumId w:val="4"/>
  </w:num>
  <w:num w:numId="6">
    <w:abstractNumId w:val="10"/>
  </w:num>
  <w:num w:numId="7">
    <w:abstractNumId w:val="6"/>
  </w:num>
  <w:num w:numId="8">
    <w:abstractNumId w:val="8"/>
  </w:num>
  <w:num w:numId="9">
    <w:abstractNumId w:val="3"/>
  </w:num>
  <w:num w:numId="10">
    <w:abstractNumId w:val="9"/>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WQwMTQ1NjNmOTA1MTM1YjQ1ZTY3ZTU0NjRkNzcifQ=="/>
  </w:docVars>
  <w:rsids>
    <w:rsidRoot w:val="00172A27"/>
    <w:rsid w:val="00010DB9"/>
    <w:rsid w:val="000113EB"/>
    <w:rsid w:val="00011753"/>
    <w:rsid w:val="00015FED"/>
    <w:rsid w:val="00022AE8"/>
    <w:rsid w:val="0002779B"/>
    <w:rsid w:val="00032842"/>
    <w:rsid w:val="000337A0"/>
    <w:rsid w:val="00033DDD"/>
    <w:rsid w:val="00033E5B"/>
    <w:rsid w:val="00045528"/>
    <w:rsid w:val="00045705"/>
    <w:rsid w:val="0004658E"/>
    <w:rsid w:val="00052D60"/>
    <w:rsid w:val="00067E4B"/>
    <w:rsid w:val="00070CC9"/>
    <w:rsid w:val="000815EF"/>
    <w:rsid w:val="00081E86"/>
    <w:rsid w:val="000853B7"/>
    <w:rsid w:val="000871C3"/>
    <w:rsid w:val="00096E91"/>
    <w:rsid w:val="00097B05"/>
    <w:rsid w:val="000A1801"/>
    <w:rsid w:val="000A4854"/>
    <w:rsid w:val="000A4C82"/>
    <w:rsid w:val="000B27BB"/>
    <w:rsid w:val="000B27BF"/>
    <w:rsid w:val="000B3B97"/>
    <w:rsid w:val="000B40EC"/>
    <w:rsid w:val="000B5624"/>
    <w:rsid w:val="000C3657"/>
    <w:rsid w:val="000C6BAA"/>
    <w:rsid w:val="000C7F91"/>
    <w:rsid w:val="000D2EF3"/>
    <w:rsid w:val="000E2DA2"/>
    <w:rsid w:val="000F76D3"/>
    <w:rsid w:val="001045A6"/>
    <w:rsid w:val="00111969"/>
    <w:rsid w:val="00111FE0"/>
    <w:rsid w:val="001122BA"/>
    <w:rsid w:val="00113CA3"/>
    <w:rsid w:val="0011755F"/>
    <w:rsid w:val="0012772D"/>
    <w:rsid w:val="0012792E"/>
    <w:rsid w:val="00127B66"/>
    <w:rsid w:val="001546F4"/>
    <w:rsid w:val="00156D35"/>
    <w:rsid w:val="00162C01"/>
    <w:rsid w:val="00166843"/>
    <w:rsid w:val="00173866"/>
    <w:rsid w:val="00175892"/>
    <w:rsid w:val="001814AA"/>
    <w:rsid w:val="001A0C31"/>
    <w:rsid w:val="001B0839"/>
    <w:rsid w:val="001B3C50"/>
    <w:rsid w:val="001B4D11"/>
    <w:rsid w:val="001B51DB"/>
    <w:rsid w:val="001B65DF"/>
    <w:rsid w:val="001B6862"/>
    <w:rsid w:val="001C440C"/>
    <w:rsid w:val="001E216B"/>
    <w:rsid w:val="001F0088"/>
    <w:rsid w:val="001F7A89"/>
    <w:rsid w:val="0021255D"/>
    <w:rsid w:val="00217D0F"/>
    <w:rsid w:val="00222A52"/>
    <w:rsid w:val="0022725E"/>
    <w:rsid w:val="002276BC"/>
    <w:rsid w:val="00227BA4"/>
    <w:rsid w:val="00235D9D"/>
    <w:rsid w:val="002362FB"/>
    <w:rsid w:val="00242C22"/>
    <w:rsid w:val="0024721A"/>
    <w:rsid w:val="00251DFB"/>
    <w:rsid w:val="00251F8E"/>
    <w:rsid w:val="002645FA"/>
    <w:rsid w:val="00267084"/>
    <w:rsid w:val="00267266"/>
    <w:rsid w:val="00272088"/>
    <w:rsid w:val="00297DEB"/>
    <w:rsid w:val="002A1F23"/>
    <w:rsid w:val="002B0344"/>
    <w:rsid w:val="002B05B1"/>
    <w:rsid w:val="002B3A1E"/>
    <w:rsid w:val="002C0CA0"/>
    <w:rsid w:val="002D3870"/>
    <w:rsid w:val="002F1063"/>
    <w:rsid w:val="002F5CF1"/>
    <w:rsid w:val="003014FC"/>
    <w:rsid w:val="003065F6"/>
    <w:rsid w:val="00307945"/>
    <w:rsid w:val="00314227"/>
    <w:rsid w:val="0031671C"/>
    <w:rsid w:val="00316A23"/>
    <w:rsid w:val="00322995"/>
    <w:rsid w:val="00327AE6"/>
    <w:rsid w:val="00330EDA"/>
    <w:rsid w:val="00334900"/>
    <w:rsid w:val="00334FE9"/>
    <w:rsid w:val="00340BDB"/>
    <w:rsid w:val="00344761"/>
    <w:rsid w:val="00347104"/>
    <w:rsid w:val="00353A92"/>
    <w:rsid w:val="00356B23"/>
    <w:rsid w:val="003605F8"/>
    <w:rsid w:val="003624C1"/>
    <w:rsid w:val="003656FA"/>
    <w:rsid w:val="00370AFA"/>
    <w:rsid w:val="00387C85"/>
    <w:rsid w:val="003A684D"/>
    <w:rsid w:val="003B174C"/>
    <w:rsid w:val="003B3723"/>
    <w:rsid w:val="003B4DED"/>
    <w:rsid w:val="003C3766"/>
    <w:rsid w:val="003D2D79"/>
    <w:rsid w:val="003D659C"/>
    <w:rsid w:val="003D779B"/>
    <w:rsid w:val="003D7CDD"/>
    <w:rsid w:val="003E0F9E"/>
    <w:rsid w:val="003E1741"/>
    <w:rsid w:val="003E5052"/>
    <w:rsid w:val="003E56AB"/>
    <w:rsid w:val="003F3056"/>
    <w:rsid w:val="003F7914"/>
    <w:rsid w:val="0040459F"/>
    <w:rsid w:val="0040699D"/>
    <w:rsid w:val="0041070D"/>
    <w:rsid w:val="0041484F"/>
    <w:rsid w:val="0042527A"/>
    <w:rsid w:val="0042713B"/>
    <w:rsid w:val="004327F4"/>
    <w:rsid w:val="00434CE4"/>
    <w:rsid w:val="00436C15"/>
    <w:rsid w:val="00437040"/>
    <w:rsid w:val="00442A2B"/>
    <w:rsid w:val="00447DF5"/>
    <w:rsid w:val="00452D45"/>
    <w:rsid w:val="00453D01"/>
    <w:rsid w:val="0045407B"/>
    <w:rsid w:val="00455847"/>
    <w:rsid w:val="00464653"/>
    <w:rsid w:val="00464B28"/>
    <w:rsid w:val="0046570E"/>
    <w:rsid w:val="00465C51"/>
    <w:rsid w:val="00467723"/>
    <w:rsid w:val="004740C6"/>
    <w:rsid w:val="0047496E"/>
    <w:rsid w:val="00480FEE"/>
    <w:rsid w:val="004815A3"/>
    <w:rsid w:val="00483760"/>
    <w:rsid w:val="00483968"/>
    <w:rsid w:val="0048542C"/>
    <w:rsid w:val="004B2CC1"/>
    <w:rsid w:val="004B478F"/>
    <w:rsid w:val="004C0982"/>
    <w:rsid w:val="004C1731"/>
    <w:rsid w:val="004C622A"/>
    <w:rsid w:val="004C6A2E"/>
    <w:rsid w:val="004C6EE1"/>
    <w:rsid w:val="004D6055"/>
    <w:rsid w:val="004F04CC"/>
    <w:rsid w:val="004F1F0A"/>
    <w:rsid w:val="004F35DA"/>
    <w:rsid w:val="004F4A58"/>
    <w:rsid w:val="004F6774"/>
    <w:rsid w:val="00512FC5"/>
    <w:rsid w:val="0051446D"/>
    <w:rsid w:val="00516575"/>
    <w:rsid w:val="00521010"/>
    <w:rsid w:val="00523167"/>
    <w:rsid w:val="00523E82"/>
    <w:rsid w:val="00523FBC"/>
    <w:rsid w:val="00524628"/>
    <w:rsid w:val="005251A0"/>
    <w:rsid w:val="00526550"/>
    <w:rsid w:val="0053594C"/>
    <w:rsid w:val="00537623"/>
    <w:rsid w:val="00543340"/>
    <w:rsid w:val="00544BE5"/>
    <w:rsid w:val="00546E46"/>
    <w:rsid w:val="005565FF"/>
    <w:rsid w:val="00562BA6"/>
    <w:rsid w:val="0057169B"/>
    <w:rsid w:val="00574692"/>
    <w:rsid w:val="00577179"/>
    <w:rsid w:val="00592861"/>
    <w:rsid w:val="005A5468"/>
    <w:rsid w:val="005A75AC"/>
    <w:rsid w:val="005B1B8D"/>
    <w:rsid w:val="005B247A"/>
    <w:rsid w:val="005B399D"/>
    <w:rsid w:val="005B790A"/>
    <w:rsid w:val="005C6968"/>
    <w:rsid w:val="005C761D"/>
    <w:rsid w:val="005D4410"/>
    <w:rsid w:val="005D484D"/>
    <w:rsid w:val="005E7DFD"/>
    <w:rsid w:val="00601B82"/>
    <w:rsid w:val="0061047D"/>
    <w:rsid w:val="0061078E"/>
    <w:rsid w:val="00611D4C"/>
    <w:rsid w:val="00615DA5"/>
    <w:rsid w:val="006257F0"/>
    <w:rsid w:val="006263C6"/>
    <w:rsid w:val="0062724C"/>
    <w:rsid w:val="006304C0"/>
    <w:rsid w:val="00630C03"/>
    <w:rsid w:val="00633AC4"/>
    <w:rsid w:val="006365AE"/>
    <w:rsid w:val="00641CDD"/>
    <w:rsid w:val="006443A7"/>
    <w:rsid w:val="00652F45"/>
    <w:rsid w:val="00653C3D"/>
    <w:rsid w:val="00653CBE"/>
    <w:rsid w:val="00657A72"/>
    <w:rsid w:val="006607AC"/>
    <w:rsid w:val="00665C55"/>
    <w:rsid w:val="00671FD5"/>
    <w:rsid w:val="00682BC4"/>
    <w:rsid w:val="00691010"/>
    <w:rsid w:val="00694034"/>
    <w:rsid w:val="00694FCC"/>
    <w:rsid w:val="006B0AA5"/>
    <w:rsid w:val="006B3A40"/>
    <w:rsid w:val="006C5D7D"/>
    <w:rsid w:val="006C6BD8"/>
    <w:rsid w:val="006D1323"/>
    <w:rsid w:val="006D188D"/>
    <w:rsid w:val="006E080E"/>
    <w:rsid w:val="006E1E9D"/>
    <w:rsid w:val="006E7793"/>
    <w:rsid w:val="006F0B58"/>
    <w:rsid w:val="006F0FF1"/>
    <w:rsid w:val="007057F0"/>
    <w:rsid w:val="00723DE2"/>
    <w:rsid w:val="00724884"/>
    <w:rsid w:val="007412C9"/>
    <w:rsid w:val="00744CCF"/>
    <w:rsid w:val="00745A55"/>
    <w:rsid w:val="00745D5E"/>
    <w:rsid w:val="00746D1A"/>
    <w:rsid w:val="0075086F"/>
    <w:rsid w:val="00756394"/>
    <w:rsid w:val="00771894"/>
    <w:rsid w:val="00773214"/>
    <w:rsid w:val="00773F9F"/>
    <w:rsid w:val="007753A1"/>
    <w:rsid w:val="00790FF4"/>
    <w:rsid w:val="00792AD8"/>
    <w:rsid w:val="00795ACB"/>
    <w:rsid w:val="00797518"/>
    <w:rsid w:val="007A0223"/>
    <w:rsid w:val="007A1B5E"/>
    <w:rsid w:val="007A442B"/>
    <w:rsid w:val="007A7476"/>
    <w:rsid w:val="007B4473"/>
    <w:rsid w:val="007B594F"/>
    <w:rsid w:val="007C49DA"/>
    <w:rsid w:val="007D2692"/>
    <w:rsid w:val="007D6B3E"/>
    <w:rsid w:val="007E20F6"/>
    <w:rsid w:val="007E2EBD"/>
    <w:rsid w:val="007F3B18"/>
    <w:rsid w:val="007F5979"/>
    <w:rsid w:val="0080667B"/>
    <w:rsid w:val="00815C8B"/>
    <w:rsid w:val="008165A6"/>
    <w:rsid w:val="0082058F"/>
    <w:rsid w:val="00824941"/>
    <w:rsid w:val="00827006"/>
    <w:rsid w:val="008274F4"/>
    <w:rsid w:val="0082798A"/>
    <w:rsid w:val="00830F1E"/>
    <w:rsid w:val="00833A92"/>
    <w:rsid w:val="0084144B"/>
    <w:rsid w:val="0084324A"/>
    <w:rsid w:val="00843287"/>
    <w:rsid w:val="00846428"/>
    <w:rsid w:val="008607CF"/>
    <w:rsid w:val="008621ED"/>
    <w:rsid w:val="008628B4"/>
    <w:rsid w:val="00864C60"/>
    <w:rsid w:val="00870854"/>
    <w:rsid w:val="00872C0E"/>
    <w:rsid w:val="00873478"/>
    <w:rsid w:val="0087355D"/>
    <w:rsid w:val="00883AAA"/>
    <w:rsid w:val="008902C9"/>
    <w:rsid w:val="00891AD6"/>
    <w:rsid w:val="0089536E"/>
    <w:rsid w:val="00897BC1"/>
    <w:rsid w:val="008A2A10"/>
    <w:rsid w:val="008B3FC3"/>
    <w:rsid w:val="008B50E1"/>
    <w:rsid w:val="008C4223"/>
    <w:rsid w:val="008D37B4"/>
    <w:rsid w:val="008D5F2A"/>
    <w:rsid w:val="008E1B15"/>
    <w:rsid w:val="008E21BF"/>
    <w:rsid w:val="008E488C"/>
    <w:rsid w:val="008E5A52"/>
    <w:rsid w:val="008E745A"/>
    <w:rsid w:val="008F4E86"/>
    <w:rsid w:val="009068DA"/>
    <w:rsid w:val="00912B98"/>
    <w:rsid w:val="00916552"/>
    <w:rsid w:val="00922983"/>
    <w:rsid w:val="0092348E"/>
    <w:rsid w:val="00924032"/>
    <w:rsid w:val="00924548"/>
    <w:rsid w:val="00924B7E"/>
    <w:rsid w:val="00927A3E"/>
    <w:rsid w:val="00931562"/>
    <w:rsid w:val="00935691"/>
    <w:rsid w:val="00940F7A"/>
    <w:rsid w:val="0094273B"/>
    <w:rsid w:val="009461D6"/>
    <w:rsid w:val="00955785"/>
    <w:rsid w:val="009575CF"/>
    <w:rsid w:val="0096506F"/>
    <w:rsid w:val="00966D02"/>
    <w:rsid w:val="00973EFC"/>
    <w:rsid w:val="00980F14"/>
    <w:rsid w:val="009817BB"/>
    <w:rsid w:val="00984A5A"/>
    <w:rsid w:val="009859CD"/>
    <w:rsid w:val="009932BE"/>
    <w:rsid w:val="00997695"/>
    <w:rsid w:val="00997773"/>
    <w:rsid w:val="009A1EA6"/>
    <w:rsid w:val="009B44C8"/>
    <w:rsid w:val="009B5BFD"/>
    <w:rsid w:val="009B757F"/>
    <w:rsid w:val="009B7D03"/>
    <w:rsid w:val="009C053B"/>
    <w:rsid w:val="009C0D62"/>
    <w:rsid w:val="009C3A34"/>
    <w:rsid w:val="009D12FF"/>
    <w:rsid w:val="009D1B3B"/>
    <w:rsid w:val="009D5954"/>
    <w:rsid w:val="009E1FB7"/>
    <w:rsid w:val="009E2E7C"/>
    <w:rsid w:val="009E5594"/>
    <w:rsid w:val="009F2502"/>
    <w:rsid w:val="009F55B0"/>
    <w:rsid w:val="009F70B0"/>
    <w:rsid w:val="00A078DB"/>
    <w:rsid w:val="00A135F8"/>
    <w:rsid w:val="00A17D5F"/>
    <w:rsid w:val="00A33E34"/>
    <w:rsid w:val="00A418D4"/>
    <w:rsid w:val="00A42C73"/>
    <w:rsid w:val="00A439C5"/>
    <w:rsid w:val="00A45173"/>
    <w:rsid w:val="00A46129"/>
    <w:rsid w:val="00A50687"/>
    <w:rsid w:val="00A54F30"/>
    <w:rsid w:val="00A56856"/>
    <w:rsid w:val="00A60345"/>
    <w:rsid w:val="00A61403"/>
    <w:rsid w:val="00A661EF"/>
    <w:rsid w:val="00A6776D"/>
    <w:rsid w:val="00A6798A"/>
    <w:rsid w:val="00A7055D"/>
    <w:rsid w:val="00A77FEF"/>
    <w:rsid w:val="00A8273D"/>
    <w:rsid w:val="00A85886"/>
    <w:rsid w:val="00A85A17"/>
    <w:rsid w:val="00A9329B"/>
    <w:rsid w:val="00A93E3D"/>
    <w:rsid w:val="00A949BE"/>
    <w:rsid w:val="00A9556B"/>
    <w:rsid w:val="00AA5AB6"/>
    <w:rsid w:val="00AA5AFD"/>
    <w:rsid w:val="00AA67A3"/>
    <w:rsid w:val="00AB2175"/>
    <w:rsid w:val="00AB41C0"/>
    <w:rsid w:val="00AC33B1"/>
    <w:rsid w:val="00AC4E2D"/>
    <w:rsid w:val="00AD45B3"/>
    <w:rsid w:val="00AD6CF9"/>
    <w:rsid w:val="00AE5A05"/>
    <w:rsid w:val="00AE7379"/>
    <w:rsid w:val="00AF0301"/>
    <w:rsid w:val="00AF7A2D"/>
    <w:rsid w:val="00B11F7A"/>
    <w:rsid w:val="00B1793B"/>
    <w:rsid w:val="00B21ED4"/>
    <w:rsid w:val="00B25897"/>
    <w:rsid w:val="00B30F44"/>
    <w:rsid w:val="00B43CAC"/>
    <w:rsid w:val="00B45C20"/>
    <w:rsid w:val="00B5023D"/>
    <w:rsid w:val="00B52AFF"/>
    <w:rsid w:val="00B532DD"/>
    <w:rsid w:val="00B53965"/>
    <w:rsid w:val="00B5628A"/>
    <w:rsid w:val="00B56B78"/>
    <w:rsid w:val="00B57025"/>
    <w:rsid w:val="00B57EC7"/>
    <w:rsid w:val="00B60C5F"/>
    <w:rsid w:val="00B616DD"/>
    <w:rsid w:val="00B646C9"/>
    <w:rsid w:val="00B658E4"/>
    <w:rsid w:val="00B71538"/>
    <w:rsid w:val="00B72A1B"/>
    <w:rsid w:val="00B7521C"/>
    <w:rsid w:val="00B7571C"/>
    <w:rsid w:val="00B77AF9"/>
    <w:rsid w:val="00B81DA7"/>
    <w:rsid w:val="00B84CB6"/>
    <w:rsid w:val="00B85EF7"/>
    <w:rsid w:val="00B91BF3"/>
    <w:rsid w:val="00B91C18"/>
    <w:rsid w:val="00BA4F29"/>
    <w:rsid w:val="00BB68ED"/>
    <w:rsid w:val="00BC3751"/>
    <w:rsid w:val="00BC4AD6"/>
    <w:rsid w:val="00BC5D91"/>
    <w:rsid w:val="00BC759E"/>
    <w:rsid w:val="00BD0795"/>
    <w:rsid w:val="00BD701F"/>
    <w:rsid w:val="00BE7AEC"/>
    <w:rsid w:val="00BE7E66"/>
    <w:rsid w:val="00C0394B"/>
    <w:rsid w:val="00C10234"/>
    <w:rsid w:val="00C110A0"/>
    <w:rsid w:val="00C13329"/>
    <w:rsid w:val="00C13BC0"/>
    <w:rsid w:val="00C220C7"/>
    <w:rsid w:val="00C239C1"/>
    <w:rsid w:val="00C33EE0"/>
    <w:rsid w:val="00C36FD5"/>
    <w:rsid w:val="00C37EDB"/>
    <w:rsid w:val="00C44D3F"/>
    <w:rsid w:val="00C571B4"/>
    <w:rsid w:val="00C600AD"/>
    <w:rsid w:val="00C72B23"/>
    <w:rsid w:val="00C8107F"/>
    <w:rsid w:val="00C8454B"/>
    <w:rsid w:val="00C86D26"/>
    <w:rsid w:val="00C931CD"/>
    <w:rsid w:val="00C9714A"/>
    <w:rsid w:val="00CA55F8"/>
    <w:rsid w:val="00CA5C86"/>
    <w:rsid w:val="00CA6054"/>
    <w:rsid w:val="00CB5048"/>
    <w:rsid w:val="00CB5EBD"/>
    <w:rsid w:val="00CB6AC6"/>
    <w:rsid w:val="00CC065F"/>
    <w:rsid w:val="00CC2105"/>
    <w:rsid w:val="00CC6132"/>
    <w:rsid w:val="00CC6EE1"/>
    <w:rsid w:val="00CD2258"/>
    <w:rsid w:val="00CE15B5"/>
    <w:rsid w:val="00CE1B33"/>
    <w:rsid w:val="00CF29CE"/>
    <w:rsid w:val="00CF6126"/>
    <w:rsid w:val="00D00856"/>
    <w:rsid w:val="00D01A26"/>
    <w:rsid w:val="00D044B7"/>
    <w:rsid w:val="00D14792"/>
    <w:rsid w:val="00D15621"/>
    <w:rsid w:val="00D17F8C"/>
    <w:rsid w:val="00D202E6"/>
    <w:rsid w:val="00D226B7"/>
    <w:rsid w:val="00D226F8"/>
    <w:rsid w:val="00D26C7F"/>
    <w:rsid w:val="00D27F67"/>
    <w:rsid w:val="00D40783"/>
    <w:rsid w:val="00D43820"/>
    <w:rsid w:val="00D43EF0"/>
    <w:rsid w:val="00D51C99"/>
    <w:rsid w:val="00D53A71"/>
    <w:rsid w:val="00D6482D"/>
    <w:rsid w:val="00D70792"/>
    <w:rsid w:val="00D72532"/>
    <w:rsid w:val="00D734AB"/>
    <w:rsid w:val="00D77AD8"/>
    <w:rsid w:val="00D82F77"/>
    <w:rsid w:val="00D8475F"/>
    <w:rsid w:val="00D84BAE"/>
    <w:rsid w:val="00D85B33"/>
    <w:rsid w:val="00DA2697"/>
    <w:rsid w:val="00DA4551"/>
    <w:rsid w:val="00DA6248"/>
    <w:rsid w:val="00DA76BE"/>
    <w:rsid w:val="00DC157B"/>
    <w:rsid w:val="00DC22EB"/>
    <w:rsid w:val="00DD0985"/>
    <w:rsid w:val="00DD1F8D"/>
    <w:rsid w:val="00DD7556"/>
    <w:rsid w:val="00DD7EE1"/>
    <w:rsid w:val="00DE2CC6"/>
    <w:rsid w:val="00DE45F1"/>
    <w:rsid w:val="00DE561F"/>
    <w:rsid w:val="00DF2DD3"/>
    <w:rsid w:val="00DF5075"/>
    <w:rsid w:val="00E00E62"/>
    <w:rsid w:val="00E038A0"/>
    <w:rsid w:val="00E04E2F"/>
    <w:rsid w:val="00E10CDF"/>
    <w:rsid w:val="00E12348"/>
    <w:rsid w:val="00E13FBA"/>
    <w:rsid w:val="00E213CA"/>
    <w:rsid w:val="00E26D73"/>
    <w:rsid w:val="00E32233"/>
    <w:rsid w:val="00E33DA4"/>
    <w:rsid w:val="00E34942"/>
    <w:rsid w:val="00E36229"/>
    <w:rsid w:val="00E36614"/>
    <w:rsid w:val="00E37AB5"/>
    <w:rsid w:val="00E51F6C"/>
    <w:rsid w:val="00E53AAA"/>
    <w:rsid w:val="00E55074"/>
    <w:rsid w:val="00E6525F"/>
    <w:rsid w:val="00E667D7"/>
    <w:rsid w:val="00E66FC4"/>
    <w:rsid w:val="00E82C93"/>
    <w:rsid w:val="00E937D6"/>
    <w:rsid w:val="00E942BB"/>
    <w:rsid w:val="00E9490D"/>
    <w:rsid w:val="00EA5AB4"/>
    <w:rsid w:val="00EB3682"/>
    <w:rsid w:val="00EB798B"/>
    <w:rsid w:val="00EC4804"/>
    <w:rsid w:val="00ED7067"/>
    <w:rsid w:val="00EE7B15"/>
    <w:rsid w:val="00EF216E"/>
    <w:rsid w:val="00EF67AF"/>
    <w:rsid w:val="00F01B8B"/>
    <w:rsid w:val="00F077D6"/>
    <w:rsid w:val="00F133E9"/>
    <w:rsid w:val="00F279B1"/>
    <w:rsid w:val="00F361BE"/>
    <w:rsid w:val="00F37E09"/>
    <w:rsid w:val="00F4076D"/>
    <w:rsid w:val="00F40D7A"/>
    <w:rsid w:val="00F571D1"/>
    <w:rsid w:val="00F57780"/>
    <w:rsid w:val="00F57A9B"/>
    <w:rsid w:val="00F63CC2"/>
    <w:rsid w:val="00F70146"/>
    <w:rsid w:val="00F73B62"/>
    <w:rsid w:val="00F75967"/>
    <w:rsid w:val="00F82B7C"/>
    <w:rsid w:val="00F87CE4"/>
    <w:rsid w:val="00F91989"/>
    <w:rsid w:val="00F97104"/>
    <w:rsid w:val="00FA1EBD"/>
    <w:rsid w:val="00FA7C7F"/>
    <w:rsid w:val="00FA7F7E"/>
    <w:rsid w:val="00FB58D0"/>
    <w:rsid w:val="00FC0E25"/>
    <w:rsid w:val="00FC2487"/>
    <w:rsid w:val="00FC71B8"/>
    <w:rsid w:val="00FC7E0D"/>
    <w:rsid w:val="00FD038C"/>
    <w:rsid w:val="00FD3B0F"/>
    <w:rsid w:val="00FE0479"/>
    <w:rsid w:val="00FE258F"/>
    <w:rsid w:val="00FE2EB6"/>
    <w:rsid w:val="00FE4B16"/>
    <w:rsid w:val="00FE6349"/>
    <w:rsid w:val="00FE6CEA"/>
    <w:rsid w:val="00FF083B"/>
    <w:rsid w:val="00FF2955"/>
    <w:rsid w:val="00FF52AE"/>
    <w:rsid w:val="01D32DCE"/>
    <w:rsid w:val="02606269"/>
    <w:rsid w:val="03190CB5"/>
    <w:rsid w:val="032E3D7E"/>
    <w:rsid w:val="03914CEF"/>
    <w:rsid w:val="03990700"/>
    <w:rsid w:val="03B8000B"/>
    <w:rsid w:val="040A4E99"/>
    <w:rsid w:val="04482F65"/>
    <w:rsid w:val="058C2611"/>
    <w:rsid w:val="07F43A9E"/>
    <w:rsid w:val="08030185"/>
    <w:rsid w:val="0A621EFE"/>
    <w:rsid w:val="0B8B62CA"/>
    <w:rsid w:val="0E616AE8"/>
    <w:rsid w:val="0EE04D7C"/>
    <w:rsid w:val="0F126F86"/>
    <w:rsid w:val="0F621C35"/>
    <w:rsid w:val="0FBD67DF"/>
    <w:rsid w:val="10960816"/>
    <w:rsid w:val="12A92424"/>
    <w:rsid w:val="12CD7B1B"/>
    <w:rsid w:val="135C0F52"/>
    <w:rsid w:val="135F403C"/>
    <w:rsid w:val="14293EC2"/>
    <w:rsid w:val="15270864"/>
    <w:rsid w:val="18762204"/>
    <w:rsid w:val="1B2F535B"/>
    <w:rsid w:val="1B773A61"/>
    <w:rsid w:val="1D2039E9"/>
    <w:rsid w:val="1DE653AC"/>
    <w:rsid w:val="1E5D2470"/>
    <w:rsid w:val="1F2710FE"/>
    <w:rsid w:val="1FA15E62"/>
    <w:rsid w:val="1FA271A7"/>
    <w:rsid w:val="210B598F"/>
    <w:rsid w:val="2337440A"/>
    <w:rsid w:val="23645B24"/>
    <w:rsid w:val="238E494F"/>
    <w:rsid w:val="244B2840"/>
    <w:rsid w:val="268B16B8"/>
    <w:rsid w:val="26C27E20"/>
    <w:rsid w:val="28A33FFB"/>
    <w:rsid w:val="28C22244"/>
    <w:rsid w:val="29FB3C7C"/>
    <w:rsid w:val="2A1C713C"/>
    <w:rsid w:val="2BAB4636"/>
    <w:rsid w:val="2BCC070B"/>
    <w:rsid w:val="2CB1684E"/>
    <w:rsid w:val="2D300825"/>
    <w:rsid w:val="2D7447AC"/>
    <w:rsid w:val="2DA328A9"/>
    <w:rsid w:val="2EEF195A"/>
    <w:rsid w:val="2F1806F8"/>
    <w:rsid w:val="2F233D96"/>
    <w:rsid w:val="2F2A170E"/>
    <w:rsid w:val="303A2619"/>
    <w:rsid w:val="310857FE"/>
    <w:rsid w:val="31BE699F"/>
    <w:rsid w:val="31E7736D"/>
    <w:rsid w:val="329D695D"/>
    <w:rsid w:val="32CC15F8"/>
    <w:rsid w:val="33A855B9"/>
    <w:rsid w:val="33DE1D0A"/>
    <w:rsid w:val="35AB052E"/>
    <w:rsid w:val="36104B70"/>
    <w:rsid w:val="37973414"/>
    <w:rsid w:val="379C1C92"/>
    <w:rsid w:val="38AB68CF"/>
    <w:rsid w:val="39651072"/>
    <w:rsid w:val="3A302FC3"/>
    <w:rsid w:val="3B1D0681"/>
    <w:rsid w:val="3BCA7EFB"/>
    <w:rsid w:val="3BFC6E29"/>
    <w:rsid w:val="3E2F1ADA"/>
    <w:rsid w:val="3EAC648D"/>
    <w:rsid w:val="3F370D16"/>
    <w:rsid w:val="407D392A"/>
    <w:rsid w:val="42CF0FDA"/>
    <w:rsid w:val="42E346E6"/>
    <w:rsid w:val="433F136A"/>
    <w:rsid w:val="43481BC2"/>
    <w:rsid w:val="438356FB"/>
    <w:rsid w:val="441B65CB"/>
    <w:rsid w:val="44275948"/>
    <w:rsid w:val="44EB79FC"/>
    <w:rsid w:val="45163349"/>
    <w:rsid w:val="453273D9"/>
    <w:rsid w:val="47BE4BDB"/>
    <w:rsid w:val="482C6361"/>
    <w:rsid w:val="48E44E8E"/>
    <w:rsid w:val="492A1C6F"/>
    <w:rsid w:val="497C731C"/>
    <w:rsid w:val="4A81411A"/>
    <w:rsid w:val="4AC54177"/>
    <w:rsid w:val="4B660CA4"/>
    <w:rsid w:val="4C045E77"/>
    <w:rsid w:val="4CC8211F"/>
    <w:rsid w:val="4D460673"/>
    <w:rsid w:val="4DDB0E73"/>
    <w:rsid w:val="4E7035E8"/>
    <w:rsid w:val="5074270E"/>
    <w:rsid w:val="50AA0669"/>
    <w:rsid w:val="53F25E92"/>
    <w:rsid w:val="543C4095"/>
    <w:rsid w:val="54B72464"/>
    <w:rsid w:val="55086699"/>
    <w:rsid w:val="554A79C4"/>
    <w:rsid w:val="56AC6A8E"/>
    <w:rsid w:val="59FF3688"/>
    <w:rsid w:val="5B7F63EC"/>
    <w:rsid w:val="5BBA50DF"/>
    <w:rsid w:val="5C7E07AE"/>
    <w:rsid w:val="5E1D0669"/>
    <w:rsid w:val="5E644849"/>
    <w:rsid w:val="5EAD2C70"/>
    <w:rsid w:val="5EB8400E"/>
    <w:rsid w:val="5EE0391C"/>
    <w:rsid w:val="5F9B4A66"/>
    <w:rsid w:val="601822DF"/>
    <w:rsid w:val="60FD0443"/>
    <w:rsid w:val="61A134C4"/>
    <w:rsid w:val="62061579"/>
    <w:rsid w:val="6339737F"/>
    <w:rsid w:val="66C263AD"/>
    <w:rsid w:val="66CC44DA"/>
    <w:rsid w:val="66EF3CC4"/>
    <w:rsid w:val="67845130"/>
    <w:rsid w:val="69DF56C6"/>
    <w:rsid w:val="6C300DB3"/>
    <w:rsid w:val="6CAC4EEF"/>
    <w:rsid w:val="70871AD7"/>
    <w:rsid w:val="71082014"/>
    <w:rsid w:val="71A212BE"/>
    <w:rsid w:val="72406FD7"/>
    <w:rsid w:val="76743012"/>
    <w:rsid w:val="76F854DD"/>
    <w:rsid w:val="783A4B51"/>
    <w:rsid w:val="792E168A"/>
    <w:rsid w:val="79954710"/>
    <w:rsid w:val="79EC0D2C"/>
    <w:rsid w:val="7B102112"/>
    <w:rsid w:val="7B8D51B9"/>
    <w:rsid w:val="7CEC1640"/>
    <w:rsid w:val="7D62492B"/>
    <w:rsid w:val="7EE60CF5"/>
    <w:rsid w:val="7EF75FC5"/>
    <w:rsid w:val="7FF4744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640" w:firstLineChars="200"/>
      <w:jc w:val="both"/>
    </w:pPr>
    <w:rPr>
      <w:rFonts w:ascii="Times New Roman" w:hAnsi="Times New Roman" w:eastAsia="宋体" w:cs="Times New Roman"/>
      <w:kern w:val="2"/>
      <w:sz w:val="28"/>
      <w:lang w:val="en-US" w:eastAsia="zh-CN" w:bidi="ar-SA"/>
    </w:rPr>
  </w:style>
  <w:style w:type="paragraph" w:styleId="2">
    <w:name w:val="heading 1"/>
    <w:basedOn w:val="1"/>
    <w:next w:val="1"/>
    <w:link w:val="59"/>
    <w:qFormat/>
    <w:uiPriority w:val="0"/>
    <w:pPr>
      <w:keepNext/>
      <w:keepLines/>
      <w:spacing w:line="360" w:lineRule="auto"/>
      <w:ind w:firstLine="0" w:firstLineChars="0"/>
      <w:jc w:val="center"/>
      <w:outlineLvl w:val="0"/>
    </w:pPr>
    <w:rPr>
      <w:rFonts w:ascii="Times New Roman" w:hAnsi="Times New Roman" w:eastAsia="黑体"/>
      <w:bCs/>
      <w:kern w:val="44"/>
      <w:sz w:val="32"/>
      <w:szCs w:val="44"/>
      <w:lang w:val="en-US" w:eastAsia="zh-CN" w:bidi="ar-SA"/>
    </w:rPr>
  </w:style>
  <w:style w:type="paragraph" w:styleId="3">
    <w:name w:val="heading 2"/>
    <w:basedOn w:val="1"/>
    <w:next w:val="1"/>
    <w:link w:val="60"/>
    <w:qFormat/>
    <w:uiPriority w:val="0"/>
    <w:pPr>
      <w:keepNext/>
      <w:keepLines/>
      <w:spacing w:before="156" w:beforeLines="50" w:line="360" w:lineRule="auto"/>
      <w:ind w:firstLine="0" w:firstLineChars="0"/>
      <w:jc w:val="center"/>
      <w:outlineLvl w:val="1"/>
    </w:pPr>
    <w:rPr>
      <w:rFonts w:ascii="Times New Roman" w:hAnsi="Times New Roman" w:eastAsia="黑体"/>
      <w:bCs/>
      <w:sz w:val="30"/>
      <w:szCs w:val="32"/>
    </w:rPr>
  </w:style>
  <w:style w:type="paragraph" w:styleId="4">
    <w:name w:val="heading 3"/>
    <w:basedOn w:val="1"/>
    <w:next w:val="1"/>
    <w:link w:val="61"/>
    <w:qFormat/>
    <w:uiPriority w:val="0"/>
    <w:pPr>
      <w:keepNext/>
      <w:keepLines/>
      <w:spacing w:line="360" w:lineRule="auto"/>
      <w:ind w:firstLine="880" w:firstLineChars="200"/>
      <w:outlineLvl w:val="2"/>
    </w:pPr>
    <w:rPr>
      <w:rFonts w:ascii="Times New Roman" w:hAnsi="Times New Roman" w:eastAsia="黑体"/>
      <w:bCs/>
      <w:kern w:val="2"/>
      <w:sz w:val="28"/>
      <w:szCs w:val="32"/>
      <w:lang w:val="en-US" w:eastAsia="zh-CN" w:bidi="ar-SA"/>
    </w:rPr>
  </w:style>
  <w:style w:type="paragraph" w:styleId="5">
    <w:name w:val="heading 4"/>
    <w:basedOn w:val="1"/>
    <w:next w:val="1"/>
    <w:link w:val="62"/>
    <w:qFormat/>
    <w:uiPriority w:val="0"/>
    <w:pPr>
      <w:keepNext/>
      <w:keepLines/>
      <w:spacing w:line="360" w:lineRule="auto"/>
      <w:ind w:firstLine="880" w:firstLineChars="200"/>
      <w:outlineLvl w:val="3"/>
    </w:pPr>
    <w:rPr>
      <w:rFonts w:ascii="Times New Roman" w:hAnsi="Times New Roman" w:eastAsia="黑体"/>
      <w:bCs/>
      <w:kern w:val="2"/>
      <w:sz w:val="28"/>
      <w:szCs w:val="28"/>
      <w:lang w:val="en-US" w:eastAsia="zh-CN" w:bidi="ar-SA"/>
    </w:rPr>
  </w:style>
  <w:style w:type="paragraph" w:styleId="6">
    <w:name w:val="heading 5"/>
    <w:basedOn w:val="1"/>
    <w:next w:val="1"/>
    <w:qFormat/>
    <w:uiPriority w:val="0"/>
    <w:pPr>
      <w:keepNext/>
      <w:keepLines/>
      <w:spacing w:before="280" w:beforeLines="0" w:after="290" w:afterLines="0" w:line="374" w:lineRule="auto"/>
      <w:outlineLvl w:val="4"/>
    </w:pPr>
    <w:rPr>
      <w:b/>
      <w:bCs/>
      <w:sz w:val="28"/>
      <w:szCs w:val="28"/>
    </w:rPr>
  </w:style>
  <w:style w:type="paragraph" w:styleId="7">
    <w:name w:val="heading 6"/>
    <w:basedOn w:val="1"/>
    <w:next w:val="1"/>
    <w:qFormat/>
    <w:uiPriority w:val="0"/>
    <w:pPr>
      <w:keepNext/>
      <w:keepLines/>
      <w:spacing w:before="240" w:beforeLines="0" w:after="64" w:afterLines="0" w:line="319" w:lineRule="auto"/>
      <w:outlineLvl w:val="5"/>
    </w:pPr>
    <w:rPr>
      <w:rFonts w:ascii="Arial" w:hAnsi="Arial" w:eastAsia="黑体"/>
      <w:b/>
      <w:bCs/>
      <w:sz w:val="24"/>
    </w:rPr>
  </w:style>
  <w:style w:type="paragraph" w:styleId="8">
    <w:name w:val="heading 7"/>
    <w:basedOn w:val="1"/>
    <w:next w:val="1"/>
    <w:qFormat/>
    <w:uiPriority w:val="0"/>
    <w:pPr>
      <w:keepNext/>
      <w:keepLines/>
      <w:spacing w:before="240" w:beforeLines="0" w:after="64" w:afterLines="0" w:line="319" w:lineRule="auto"/>
      <w:outlineLvl w:val="6"/>
    </w:pPr>
    <w:rPr>
      <w:b/>
      <w:bCs/>
      <w:sz w:val="24"/>
    </w:rPr>
  </w:style>
  <w:style w:type="paragraph" w:styleId="9">
    <w:name w:val="heading 8"/>
    <w:basedOn w:val="1"/>
    <w:next w:val="1"/>
    <w:link w:val="63"/>
    <w:qFormat/>
    <w:uiPriority w:val="0"/>
    <w:pPr>
      <w:keepNext/>
      <w:keepLines/>
      <w:spacing w:before="240" w:beforeLines="0" w:after="64" w:afterLines="0" w:line="319" w:lineRule="auto"/>
      <w:outlineLvl w:val="7"/>
    </w:pPr>
    <w:rPr>
      <w:rFonts w:ascii="Arial" w:hAnsi="Arial" w:eastAsia="黑体"/>
      <w:sz w:val="24"/>
    </w:rPr>
  </w:style>
  <w:style w:type="paragraph" w:styleId="10">
    <w:name w:val="heading 9"/>
    <w:basedOn w:val="1"/>
    <w:next w:val="1"/>
    <w:qFormat/>
    <w:uiPriority w:val="0"/>
    <w:pPr>
      <w:keepNext/>
      <w:keepLines/>
      <w:spacing w:before="240" w:beforeLines="0" w:after="64" w:afterLines="0" w:line="319" w:lineRule="auto"/>
      <w:outlineLvl w:val="8"/>
    </w:pPr>
    <w:rPr>
      <w:rFonts w:ascii="Arial" w:hAnsi="Arial" w:eastAsia="黑体"/>
      <w:szCs w:val="21"/>
    </w:rPr>
  </w:style>
  <w:style w:type="character" w:default="1" w:styleId="46">
    <w:name w:val="Default Paragraph Font"/>
    <w:qFormat/>
    <w:uiPriority w:val="0"/>
    <w:rPr>
      <w:rFonts w:ascii="Tahoma" w:hAnsi="Tahoma"/>
      <w:szCs w:val="21"/>
    </w:rPr>
  </w:style>
  <w:style w:type="table" w:default="1" w:styleId="44">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List Number 2"/>
    <w:basedOn w:val="1"/>
    <w:qFormat/>
    <w:uiPriority w:val="0"/>
    <w:pPr>
      <w:numPr>
        <w:ilvl w:val="0"/>
        <w:numId w:val="1"/>
      </w:numPr>
      <w:contextualSpacing/>
    </w:pPr>
  </w:style>
  <w:style w:type="paragraph" w:styleId="13">
    <w:name w:val="table of authorities"/>
    <w:basedOn w:val="1"/>
    <w:next w:val="1"/>
    <w:qFormat/>
    <w:uiPriority w:val="0"/>
    <w:pPr>
      <w:ind w:left="280" w:hanging="280"/>
      <w:jc w:val="left"/>
    </w:pPr>
    <w:rPr>
      <w:rFonts w:ascii="Calibri" w:hAnsi="Calibri"/>
      <w:sz w:val="20"/>
      <w:szCs w:val="20"/>
    </w:rPr>
  </w:style>
  <w:style w:type="paragraph" w:styleId="14">
    <w:name w:val="List Number"/>
    <w:basedOn w:val="1"/>
    <w:qFormat/>
    <w:uiPriority w:val="0"/>
    <w:pPr>
      <w:numPr>
        <w:ilvl w:val="0"/>
        <w:numId w:val="2"/>
      </w:numPr>
    </w:pPr>
  </w:style>
  <w:style w:type="paragraph" w:styleId="15">
    <w:name w:val="Normal Indent"/>
    <w:basedOn w:val="1"/>
    <w:qFormat/>
    <w:uiPriority w:val="0"/>
    <w:pPr>
      <w:ind w:firstLine="420"/>
    </w:pPr>
  </w:style>
  <w:style w:type="paragraph" w:styleId="16">
    <w:name w:val="Document Map"/>
    <w:basedOn w:val="1"/>
    <w:qFormat/>
    <w:uiPriority w:val="0"/>
    <w:pPr>
      <w:shd w:val="clear" w:color="auto" w:fill="000080"/>
    </w:pPr>
  </w:style>
  <w:style w:type="paragraph" w:styleId="17">
    <w:name w:val="toa heading"/>
    <w:basedOn w:val="1"/>
    <w:next w:val="1"/>
    <w:qFormat/>
    <w:uiPriority w:val="0"/>
    <w:pPr>
      <w:spacing w:before="240" w:beforeLines="0" w:after="120" w:afterLines="0"/>
      <w:jc w:val="center"/>
    </w:pPr>
    <w:rPr>
      <w:rFonts w:ascii="Calibri" w:hAnsi="Calibri" w:cs="Arial"/>
      <w:smallCaps/>
      <w:sz w:val="22"/>
      <w:szCs w:val="22"/>
      <w:u w:val="single"/>
    </w:rPr>
  </w:style>
  <w:style w:type="paragraph" w:styleId="18">
    <w:name w:val="annotation text"/>
    <w:basedOn w:val="1"/>
    <w:link w:val="64"/>
    <w:qFormat/>
    <w:uiPriority w:val="0"/>
    <w:pPr>
      <w:adjustRightInd w:val="0"/>
      <w:snapToGrid w:val="0"/>
      <w:spacing w:line="360" w:lineRule="auto"/>
      <w:ind w:firstLine="640" w:firstLineChars="200"/>
      <w:jc w:val="both"/>
    </w:pPr>
    <w:rPr>
      <w:rFonts w:eastAsia="宋体"/>
      <w:kern w:val="2"/>
      <w:sz w:val="28"/>
      <w:szCs w:val="24"/>
    </w:rPr>
  </w:style>
  <w:style w:type="paragraph" w:styleId="19">
    <w:name w:val="Body Text"/>
    <w:basedOn w:val="1"/>
    <w:link w:val="65"/>
    <w:qFormat/>
    <w:uiPriority w:val="0"/>
    <w:pPr>
      <w:spacing w:after="120" w:afterLines="0"/>
    </w:pPr>
    <w:rPr>
      <w:kern w:val="2"/>
      <w:sz w:val="21"/>
      <w:szCs w:val="24"/>
    </w:rPr>
  </w:style>
  <w:style w:type="paragraph" w:styleId="20">
    <w:name w:val="Body Text Indent"/>
    <w:basedOn w:val="1"/>
    <w:link w:val="66"/>
    <w:qFormat/>
    <w:uiPriority w:val="0"/>
    <w:pPr>
      <w:spacing w:after="120" w:afterLines="0"/>
      <w:ind w:left="420" w:leftChars="200"/>
    </w:pPr>
    <w:rPr>
      <w:rFonts w:ascii="Tahoma" w:hAnsi="Tahoma"/>
      <w:kern w:val="2"/>
      <w:sz w:val="28"/>
      <w:szCs w:val="24"/>
    </w:rPr>
  </w:style>
  <w:style w:type="paragraph" w:styleId="21">
    <w:name w:val="index 4"/>
    <w:basedOn w:val="1"/>
    <w:next w:val="1"/>
    <w:qFormat/>
    <w:uiPriority w:val="0"/>
    <w:pPr>
      <w:adjustRightInd w:val="0"/>
      <w:snapToGrid w:val="0"/>
      <w:spacing w:line="480" w:lineRule="exact"/>
      <w:ind w:left="600" w:leftChars="600" w:firstLine="200" w:firstLineChars="200"/>
    </w:pPr>
    <w:rPr>
      <w:rFonts w:ascii="Times New Roman" w:hAnsi="Times New Roman" w:eastAsia="仿宋_GB2312" w:cs="Times New Roman"/>
      <w:kern w:val="0"/>
      <w:sz w:val="28"/>
      <w:szCs w:val="28"/>
    </w:rPr>
  </w:style>
  <w:style w:type="paragraph" w:styleId="22">
    <w:name w:val="toc 5"/>
    <w:basedOn w:val="1"/>
    <w:next w:val="1"/>
    <w:qFormat/>
    <w:uiPriority w:val="39"/>
    <w:pPr>
      <w:ind w:left="1680" w:leftChars="800"/>
    </w:pPr>
  </w:style>
  <w:style w:type="paragraph" w:styleId="23">
    <w:name w:val="toc 3"/>
    <w:basedOn w:val="1"/>
    <w:next w:val="1"/>
    <w:qFormat/>
    <w:uiPriority w:val="39"/>
    <w:pPr>
      <w:ind w:left="840" w:leftChars="400"/>
    </w:pPr>
    <w:rPr>
      <w:rFonts w:ascii="Times New Roman" w:hAnsi="Times New Roman" w:eastAsia="宋体"/>
      <w:sz w:val="28"/>
    </w:rPr>
  </w:style>
  <w:style w:type="paragraph" w:styleId="24">
    <w:name w:val="Plain Text"/>
    <w:basedOn w:val="1"/>
    <w:qFormat/>
    <w:uiPriority w:val="0"/>
    <w:pPr>
      <w:adjustRightInd/>
      <w:snapToGrid/>
      <w:spacing w:line="240" w:lineRule="auto"/>
      <w:ind w:firstLine="0" w:firstLineChars="0"/>
    </w:pPr>
    <w:rPr>
      <w:rFonts w:ascii="宋体" w:hAnsi="Courier New" w:eastAsia="宋体"/>
      <w:kern w:val="2"/>
      <w:sz w:val="21"/>
      <w:szCs w:val="21"/>
    </w:rPr>
  </w:style>
  <w:style w:type="paragraph" w:styleId="25">
    <w:name w:val="toc 8"/>
    <w:basedOn w:val="1"/>
    <w:next w:val="1"/>
    <w:qFormat/>
    <w:uiPriority w:val="39"/>
    <w:pPr>
      <w:ind w:left="2940" w:leftChars="1400"/>
    </w:pPr>
  </w:style>
  <w:style w:type="paragraph" w:styleId="26">
    <w:name w:val="Body Text Indent 2"/>
    <w:basedOn w:val="1"/>
    <w:qFormat/>
    <w:uiPriority w:val="0"/>
    <w:pPr>
      <w:spacing w:after="120" w:afterLines="0" w:line="480" w:lineRule="auto"/>
      <w:ind w:leftChars="200"/>
    </w:pPr>
  </w:style>
  <w:style w:type="paragraph" w:styleId="27">
    <w:name w:val="Balloon Text"/>
    <w:basedOn w:val="1"/>
    <w:qFormat/>
    <w:uiPriority w:val="0"/>
    <w:rPr>
      <w:sz w:val="18"/>
      <w:szCs w:val="18"/>
    </w:rPr>
  </w:style>
  <w:style w:type="paragraph" w:styleId="28">
    <w:name w:val="footer"/>
    <w:basedOn w:val="1"/>
    <w:next w:val="24"/>
    <w:qFormat/>
    <w:uiPriority w:val="99"/>
    <w:pPr>
      <w:tabs>
        <w:tab w:val="center" w:pos="4153"/>
        <w:tab w:val="right" w:pos="8306"/>
      </w:tabs>
      <w:snapToGrid w:val="0"/>
      <w:jc w:val="left"/>
    </w:pPr>
    <w:rPr>
      <w:kern w:val="2"/>
      <w:sz w:val="18"/>
      <w:szCs w:val="18"/>
    </w:rPr>
  </w:style>
  <w:style w:type="paragraph" w:styleId="2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30">
    <w:name w:val="toc 1"/>
    <w:basedOn w:val="1"/>
    <w:next w:val="1"/>
    <w:qFormat/>
    <w:uiPriority w:val="39"/>
    <w:rPr>
      <w:rFonts w:ascii="Times New Roman" w:hAnsi="Times New Roman" w:eastAsia="宋体"/>
      <w:b/>
      <w:sz w:val="28"/>
    </w:rPr>
  </w:style>
  <w:style w:type="paragraph" w:styleId="31">
    <w:name w:val="toc 4"/>
    <w:basedOn w:val="1"/>
    <w:next w:val="1"/>
    <w:qFormat/>
    <w:uiPriority w:val="39"/>
    <w:pPr>
      <w:ind w:left="1260" w:leftChars="600"/>
    </w:pPr>
  </w:style>
  <w:style w:type="paragraph" w:styleId="32">
    <w:name w:val="List"/>
    <w:basedOn w:val="1"/>
    <w:qFormat/>
    <w:uiPriority w:val="0"/>
    <w:pPr>
      <w:ind w:left="200" w:hanging="200" w:hangingChars="200"/>
      <w:contextualSpacing/>
    </w:pPr>
  </w:style>
  <w:style w:type="paragraph" w:styleId="33">
    <w:name w:val="toc 6"/>
    <w:basedOn w:val="1"/>
    <w:next w:val="1"/>
    <w:qFormat/>
    <w:uiPriority w:val="39"/>
    <w:pPr>
      <w:ind w:left="2100" w:leftChars="1000"/>
    </w:pPr>
  </w:style>
  <w:style w:type="paragraph" w:styleId="34">
    <w:name w:val="Body Text Indent 3"/>
    <w:basedOn w:val="1"/>
    <w:link w:val="67"/>
    <w:qFormat/>
    <w:uiPriority w:val="0"/>
    <w:pPr>
      <w:widowControl/>
      <w:suppressAutoHyphens/>
      <w:adjustRightInd w:val="0"/>
      <w:snapToGrid w:val="0"/>
      <w:spacing w:line="500" w:lineRule="atLeast"/>
      <w:ind w:firstLine="456" w:firstLineChars="200"/>
    </w:pPr>
    <w:rPr>
      <w:kern w:val="0"/>
      <w:sz w:val="24"/>
      <w:szCs w:val="20"/>
    </w:rPr>
  </w:style>
  <w:style w:type="paragraph" w:styleId="35">
    <w:name w:val="toc 2"/>
    <w:basedOn w:val="1"/>
    <w:next w:val="1"/>
    <w:qFormat/>
    <w:uiPriority w:val="39"/>
    <w:pPr>
      <w:ind w:left="420" w:leftChars="200"/>
    </w:pPr>
    <w:rPr>
      <w:rFonts w:ascii="Times New Roman" w:hAnsi="Times New Roman" w:eastAsia="宋体"/>
      <w:sz w:val="28"/>
    </w:rPr>
  </w:style>
  <w:style w:type="paragraph" w:styleId="36">
    <w:name w:val="toc 9"/>
    <w:basedOn w:val="1"/>
    <w:next w:val="1"/>
    <w:qFormat/>
    <w:uiPriority w:val="39"/>
    <w:pPr>
      <w:ind w:left="3360" w:leftChars="1600"/>
    </w:pPr>
  </w:style>
  <w:style w:type="paragraph" w:styleId="3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8">
    <w:name w:val="Normal (Web)"/>
    <w:basedOn w:val="1"/>
    <w:qFormat/>
    <w:uiPriority w:val="0"/>
    <w:pPr>
      <w:widowControl/>
      <w:jc w:val="left"/>
    </w:pPr>
    <w:rPr>
      <w:rFonts w:ascii="宋体" w:hAnsi="宋体" w:cs="宋体"/>
      <w:kern w:val="0"/>
      <w:sz w:val="24"/>
    </w:rPr>
  </w:style>
  <w:style w:type="paragraph" w:styleId="39">
    <w:name w:val="Title"/>
    <w:basedOn w:val="1"/>
    <w:qFormat/>
    <w:uiPriority w:val="0"/>
    <w:pPr>
      <w:spacing w:before="240" w:beforeLines="0" w:after="60" w:afterLines="0"/>
      <w:jc w:val="center"/>
      <w:outlineLvl w:val="0"/>
    </w:pPr>
    <w:rPr>
      <w:rFonts w:ascii="Arial" w:hAnsi="Arial" w:eastAsia="方正小标宋简体" w:cs="Arial"/>
      <w:bCs/>
      <w:sz w:val="36"/>
      <w:szCs w:val="32"/>
    </w:rPr>
  </w:style>
  <w:style w:type="paragraph" w:styleId="40">
    <w:name w:val="annotation subject"/>
    <w:basedOn w:val="18"/>
    <w:next w:val="18"/>
    <w:qFormat/>
    <w:uiPriority w:val="0"/>
    <w:rPr>
      <w:b/>
      <w:bCs/>
    </w:rPr>
  </w:style>
  <w:style w:type="paragraph" w:styleId="41">
    <w:name w:val="Body Text First Indent"/>
    <w:basedOn w:val="19"/>
    <w:link w:val="68"/>
    <w:qFormat/>
    <w:uiPriority w:val="0"/>
    <w:pPr>
      <w:ind w:firstLine="420" w:firstLineChars="100"/>
    </w:pPr>
  </w:style>
  <w:style w:type="paragraph" w:styleId="42">
    <w:name w:val="Body Text First Indent 2"/>
    <w:basedOn w:val="20"/>
    <w:next w:val="43"/>
    <w:link w:val="69"/>
    <w:qFormat/>
    <w:uiPriority w:val="0"/>
    <w:pPr>
      <w:ind w:firstLine="420" w:firstLineChars="200"/>
    </w:pPr>
  </w:style>
  <w:style w:type="paragraph" w:customStyle="1" w:styleId="43">
    <w:name w:val="样式 正文首行缩进 2 + (符号) 仿宋_GB2312 小三 行距: 单倍行距"/>
    <w:basedOn w:val="42"/>
    <w:next w:val="1"/>
    <w:qFormat/>
    <w:uiPriority w:val="0"/>
    <w:pPr>
      <w:tabs>
        <w:tab w:val="left" w:pos="5327"/>
        <w:tab w:val="left" w:pos="6326"/>
        <w:tab w:val="left" w:pos="7230"/>
        <w:tab w:val="left" w:pos="9301"/>
      </w:tabs>
      <w:spacing w:line="360" w:lineRule="auto"/>
      <w:ind w:left="0" w:firstLine="600"/>
    </w:pPr>
    <w:rPr>
      <w:rFonts w:ascii="仿宋_GB2312" w:hAnsi="仿宋_GB2312" w:cs="仿宋_GB2312"/>
      <w:color w:val="000000"/>
      <w:kern w:val="28"/>
      <w:sz w:val="28"/>
    </w:rPr>
  </w:style>
  <w:style w:type="table" w:styleId="45">
    <w:name w:val="Table Grid"/>
    <w:basedOn w:val="4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0"/>
    <w:rPr>
      <w:rFonts w:ascii="Tahoma" w:hAnsi="Tahoma"/>
      <w:b/>
      <w:szCs w:val="21"/>
    </w:rPr>
  </w:style>
  <w:style w:type="character" w:styleId="48">
    <w:name w:val="page number"/>
    <w:qFormat/>
    <w:uiPriority w:val="0"/>
  </w:style>
  <w:style w:type="character" w:styleId="49">
    <w:name w:val="FollowedHyperlink"/>
    <w:qFormat/>
    <w:uiPriority w:val="0"/>
    <w:rPr>
      <w:color w:val="136EC2"/>
      <w:u w:val="single"/>
    </w:rPr>
  </w:style>
  <w:style w:type="character" w:styleId="50">
    <w:name w:val="Emphasis"/>
    <w:qFormat/>
    <w:uiPriority w:val="0"/>
  </w:style>
  <w:style w:type="character" w:styleId="51">
    <w:name w:val="HTML Definition"/>
    <w:qFormat/>
    <w:uiPriority w:val="0"/>
  </w:style>
  <w:style w:type="character" w:styleId="52">
    <w:name w:val="HTML Variable"/>
    <w:qFormat/>
    <w:uiPriority w:val="0"/>
  </w:style>
  <w:style w:type="character" w:styleId="53">
    <w:name w:val="Hyperlink"/>
    <w:qFormat/>
    <w:uiPriority w:val="99"/>
    <w:rPr>
      <w:color w:val="136EC2"/>
      <w:u w:val="single"/>
    </w:rPr>
  </w:style>
  <w:style w:type="character" w:styleId="54">
    <w:name w:val="HTML Code"/>
    <w:qFormat/>
    <w:uiPriority w:val="0"/>
    <w:rPr>
      <w:rFonts w:ascii="Courier New" w:hAnsi="Courier New" w:eastAsia="Courier New" w:cs="Courier New"/>
      <w:sz w:val="20"/>
    </w:rPr>
  </w:style>
  <w:style w:type="character" w:styleId="55">
    <w:name w:val="annotation reference"/>
    <w:qFormat/>
    <w:uiPriority w:val="0"/>
    <w:rPr>
      <w:sz w:val="21"/>
      <w:szCs w:val="21"/>
    </w:rPr>
  </w:style>
  <w:style w:type="character" w:styleId="56">
    <w:name w:val="HTML Cite"/>
    <w:qFormat/>
    <w:uiPriority w:val="0"/>
  </w:style>
  <w:style w:type="character" w:styleId="57">
    <w:name w:val="HTML Keyboard"/>
    <w:qFormat/>
    <w:uiPriority w:val="0"/>
    <w:rPr>
      <w:rFonts w:ascii="Courier New" w:hAnsi="Courier New" w:eastAsia="Courier New" w:cs="Courier New"/>
      <w:sz w:val="20"/>
    </w:rPr>
  </w:style>
  <w:style w:type="character" w:styleId="58">
    <w:name w:val="HTML Sample"/>
    <w:qFormat/>
    <w:uiPriority w:val="0"/>
    <w:rPr>
      <w:rFonts w:ascii="Courier New" w:hAnsi="Courier New" w:eastAsia="Courier New" w:cs="Courier New"/>
    </w:rPr>
  </w:style>
  <w:style w:type="character" w:customStyle="1" w:styleId="59">
    <w:name w:val="标题 1 字符"/>
    <w:link w:val="2"/>
    <w:qFormat/>
    <w:uiPriority w:val="0"/>
    <w:rPr>
      <w:rFonts w:ascii="Times New Roman" w:hAnsi="Times New Roman" w:eastAsia="黑体"/>
      <w:bCs/>
      <w:kern w:val="44"/>
      <w:sz w:val="32"/>
      <w:szCs w:val="44"/>
      <w:lang w:val="en-US" w:eastAsia="zh-CN" w:bidi="ar-SA"/>
    </w:rPr>
  </w:style>
  <w:style w:type="character" w:customStyle="1" w:styleId="60">
    <w:name w:val="标题 2 字符"/>
    <w:link w:val="3"/>
    <w:qFormat/>
    <w:uiPriority w:val="0"/>
    <w:rPr>
      <w:rFonts w:ascii="Times New Roman" w:hAnsi="Times New Roman" w:eastAsia="黑体"/>
      <w:bCs/>
      <w:sz w:val="30"/>
      <w:szCs w:val="32"/>
    </w:rPr>
  </w:style>
  <w:style w:type="character" w:customStyle="1" w:styleId="61">
    <w:name w:val="标题 3 字符"/>
    <w:link w:val="4"/>
    <w:qFormat/>
    <w:uiPriority w:val="0"/>
    <w:rPr>
      <w:rFonts w:ascii="Times New Roman" w:hAnsi="Times New Roman" w:eastAsia="黑体"/>
      <w:bCs/>
      <w:kern w:val="2"/>
      <w:sz w:val="28"/>
      <w:szCs w:val="32"/>
      <w:lang w:val="en-US" w:eastAsia="zh-CN" w:bidi="ar-SA"/>
    </w:rPr>
  </w:style>
  <w:style w:type="character" w:customStyle="1" w:styleId="62">
    <w:name w:val="标题 4 字符"/>
    <w:link w:val="5"/>
    <w:qFormat/>
    <w:uiPriority w:val="0"/>
    <w:rPr>
      <w:rFonts w:ascii="Times New Roman" w:hAnsi="Times New Roman" w:eastAsia="黑体"/>
      <w:bCs/>
      <w:kern w:val="2"/>
      <w:sz w:val="28"/>
      <w:szCs w:val="28"/>
      <w:lang w:val="en-US" w:eastAsia="zh-CN" w:bidi="ar-SA"/>
    </w:rPr>
  </w:style>
  <w:style w:type="character" w:customStyle="1" w:styleId="63">
    <w:name w:val="标题 8 字符"/>
    <w:link w:val="9"/>
    <w:qFormat/>
    <w:uiPriority w:val="0"/>
    <w:rPr>
      <w:rFonts w:ascii="Arial" w:hAnsi="Arial" w:eastAsia="黑体"/>
      <w:sz w:val="24"/>
    </w:rPr>
  </w:style>
  <w:style w:type="character" w:customStyle="1" w:styleId="64">
    <w:name w:val="批注文字 字符"/>
    <w:link w:val="18"/>
    <w:qFormat/>
    <w:uiPriority w:val="0"/>
    <w:rPr>
      <w:rFonts w:eastAsia="宋体"/>
      <w:kern w:val="2"/>
      <w:sz w:val="28"/>
      <w:szCs w:val="24"/>
    </w:rPr>
  </w:style>
  <w:style w:type="character" w:customStyle="1" w:styleId="65">
    <w:name w:val="正文文本 字符"/>
    <w:link w:val="19"/>
    <w:qFormat/>
    <w:uiPriority w:val="0"/>
    <w:rPr>
      <w:kern w:val="2"/>
      <w:sz w:val="21"/>
      <w:szCs w:val="24"/>
    </w:rPr>
  </w:style>
  <w:style w:type="character" w:customStyle="1" w:styleId="66">
    <w:name w:val="正文文本缩进 字符"/>
    <w:link w:val="20"/>
    <w:qFormat/>
    <w:uiPriority w:val="0"/>
    <w:rPr>
      <w:rFonts w:ascii="Tahoma" w:hAnsi="Tahoma"/>
      <w:kern w:val="2"/>
      <w:sz w:val="28"/>
      <w:szCs w:val="24"/>
    </w:rPr>
  </w:style>
  <w:style w:type="character" w:customStyle="1" w:styleId="67">
    <w:name w:val="正文文本缩进 3 字符"/>
    <w:link w:val="34"/>
    <w:qFormat/>
    <w:uiPriority w:val="0"/>
    <w:rPr>
      <w:kern w:val="0"/>
      <w:sz w:val="24"/>
      <w:szCs w:val="20"/>
    </w:rPr>
  </w:style>
  <w:style w:type="character" w:customStyle="1" w:styleId="68">
    <w:name w:val="正文文本首行缩进 字符"/>
    <w:link w:val="41"/>
    <w:qFormat/>
    <w:uiPriority w:val="0"/>
  </w:style>
  <w:style w:type="character" w:customStyle="1" w:styleId="69">
    <w:name w:val="正文文本首行缩进 2 字符"/>
    <w:link w:val="42"/>
    <w:qFormat/>
    <w:uiPriority w:val="0"/>
  </w:style>
  <w:style w:type="character" w:customStyle="1" w:styleId="70">
    <w:name w:val="morelink-item"/>
    <w:qFormat/>
    <w:uiPriority w:val="0"/>
  </w:style>
  <w:style w:type="character" w:customStyle="1" w:styleId="71">
    <w:name w:val="页眉 字符"/>
    <w:qFormat/>
    <w:uiPriority w:val="0"/>
    <w:rPr>
      <w:kern w:val="2"/>
      <w:sz w:val="18"/>
      <w:szCs w:val="18"/>
    </w:rPr>
  </w:style>
  <w:style w:type="character" w:customStyle="1" w:styleId="72">
    <w:name w:val="sort1"/>
    <w:qFormat/>
    <w:uiPriority w:val="0"/>
  </w:style>
  <w:style w:type="character" w:customStyle="1" w:styleId="73">
    <w:name w:val="bds_more8"/>
    <w:qFormat/>
    <w:uiPriority w:val="0"/>
  </w:style>
  <w:style w:type="character" w:customStyle="1" w:styleId="74">
    <w:name w:val="apple-style-span"/>
    <w:qFormat/>
    <w:uiPriority w:val="0"/>
  </w:style>
  <w:style w:type="character" w:customStyle="1" w:styleId="75">
    <w:name w:val="desc"/>
    <w:qFormat/>
    <w:uiPriority w:val="0"/>
    <w:rPr>
      <w:color w:val="000000"/>
      <w:sz w:val="18"/>
      <w:szCs w:val="18"/>
    </w:rPr>
  </w:style>
  <w:style w:type="character" w:customStyle="1" w:styleId="76">
    <w:name w:val="bds_more6"/>
    <w:qFormat/>
    <w:uiPriority w:val="0"/>
  </w:style>
  <w:style w:type="character" w:customStyle="1" w:styleId="77">
    <w:name w:val="sidecatalog-index2"/>
    <w:qFormat/>
    <w:uiPriority w:val="0"/>
    <w:rPr>
      <w:rFonts w:ascii="Arail" w:hAnsi="Arail" w:eastAsia="Arail" w:cs="Arail"/>
      <w:color w:val="999999"/>
      <w:sz w:val="21"/>
      <w:szCs w:val="21"/>
    </w:rPr>
  </w:style>
  <w:style w:type="character" w:customStyle="1" w:styleId="78">
    <w:name w:val="页脚 字符"/>
    <w:qFormat/>
    <w:uiPriority w:val="99"/>
    <w:rPr>
      <w:kern w:val="2"/>
      <w:sz w:val="18"/>
      <w:szCs w:val="18"/>
    </w:rPr>
  </w:style>
  <w:style w:type="character" w:customStyle="1" w:styleId="79">
    <w:name w:val="_Style 78"/>
    <w:qFormat/>
    <w:uiPriority w:val="99"/>
    <w:rPr>
      <w:rFonts w:ascii="Tahoma" w:hAnsi="Tahoma"/>
      <w:color w:val="605E5C"/>
      <w:szCs w:val="21"/>
      <w:shd w:val="clear" w:color="auto" w:fill="E1DFDD"/>
    </w:rPr>
  </w:style>
  <w:style w:type="character" w:customStyle="1" w:styleId="80">
    <w:name w:val="bds_nopic1"/>
    <w:qFormat/>
    <w:uiPriority w:val="0"/>
  </w:style>
  <w:style w:type="character" w:customStyle="1" w:styleId="81">
    <w:name w:val="bds_more4"/>
    <w:qFormat/>
    <w:uiPriority w:val="0"/>
  </w:style>
  <w:style w:type="character" w:customStyle="1" w:styleId="82">
    <w:name w:val="样式2 Char Char"/>
    <w:link w:val="83"/>
    <w:qFormat/>
    <w:uiPriority w:val="0"/>
    <w:rPr>
      <w:kern w:val="2"/>
      <w:sz w:val="18"/>
      <w:szCs w:val="18"/>
    </w:rPr>
  </w:style>
  <w:style w:type="paragraph" w:customStyle="1" w:styleId="83">
    <w:name w:val="样式2"/>
    <w:basedOn w:val="28"/>
    <w:link w:val="82"/>
    <w:qFormat/>
    <w:uiPriority w:val="0"/>
    <w:pPr>
      <w:spacing w:line="276" w:lineRule="auto"/>
    </w:pPr>
    <w:rPr>
      <w:kern w:val="2"/>
      <w:sz w:val="18"/>
      <w:szCs w:val="18"/>
    </w:rPr>
  </w:style>
  <w:style w:type="character" w:customStyle="1" w:styleId="84">
    <w:name w:val="plus"/>
    <w:qFormat/>
    <w:uiPriority w:val="0"/>
    <w:rPr>
      <w:b/>
      <w:vanish/>
      <w:color w:val="1F8DEF"/>
      <w:sz w:val="24"/>
      <w:szCs w:val="24"/>
    </w:rPr>
  </w:style>
  <w:style w:type="character" w:customStyle="1" w:styleId="85">
    <w:name w:val="正文1 Char Char Char Char"/>
    <w:qFormat/>
    <w:uiPriority w:val="0"/>
    <w:rPr>
      <w:rFonts w:ascii="Arial Narrow" w:hAnsi="Arial Narrow" w:eastAsia="宋体"/>
      <w:color w:val="000000"/>
      <w:kern w:val="10"/>
      <w:sz w:val="28"/>
      <w:szCs w:val="28"/>
      <w:lang w:val="zh-CN" w:eastAsia="zh-CN" w:bidi="ar-SA"/>
    </w:rPr>
  </w:style>
  <w:style w:type="character" w:customStyle="1" w:styleId="86">
    <w:name w:val="sidecatalog-dot1"/>
    <w:qFormat/>
    <w:uiPriority w:val="0"/>
  </w:style>
  <w:style w:type="character" w:customStyle="1" w:styleId="87">
    <w:name w:val="desc12"/>
    <w:qFormat/>
    <w:uiPriority w:val="0"/>
    <w:rPr>
      <w:color w:val="000000"/>
      <w:sz w:val="18"/>
      <w:szCs w:val="18"/>
    </w:rPr>
  </w:style>
  <w:style w:type="character" w:customStyle="1" w:styleId="88">
    <w:name w:val="bds_more10"/>
    <w:qFormat/>
    <w:uiPriority w:val="0"/>
  </w:style>
  <w:style w:type="character" w:customStyle="1" w:styleId="89">
    <w:name w:val="wtt1"/>
    <w:qFormat/>
    <w:uiPriority w:val="0"/>
    <w:rPr>
      <w:sz w:val="21"/>
      <w:szCs w:val="21"/>
    </w:rPr>
  </w:style>
  <w:style w:type="character" w:customStyle="1" w:styleId="90">
    <w:name w:val="标题 1 Char"/>
    <w:qFormat/>
    <w:uiPriority w:val="0"/>
    <w:rPr>
      <w:rFonts w:hint="eastAsia" w:ascii="宋体" w:hAnsi="宋体" w:eastAsia="宋体"/>
      <w:b/>
      <w:bCs/>
      <w:kern w:val="44"/>
      <w:sz w:val="44"/>
      <w:szCs w:val="44"/>
      <w:lang w:val="en-US" w:eastAsia="zh-CN" w:bidi="ar-SA"/>
    </w:rPr>
  </w:style>
  <w:style w:type="character" w:customStyle="1" w:styleId="91">
    <w:name w:val="bds_nopic2"/>
    <w:qFormat/>
    <w:uiPriority w:val="0"/>
  </w:style>
  <w:style w:type="character" w:customStyle="1" w:styleId="92">
    <w:name w:val="sidecatalog-index1"/>
    <w:qFormat/>
    <w:uiPriority w:val="0"/>
    <w:rPr>
      <w:rFonts w:ascii="Arial" w:hAnsi="Arial" w:cs="Arial"/>
      <w:b/>
      <w:color w:val="999999"/>
      <w:sz w:val="21"/>
      <w:szCs w:val="21"/>
    </w:rPr>
  </w:style>
  <w:style w:type="character" w:customStyle="1" w:styleId="93">
    <w:name w:val="标题 2 Char Char"/>
    <w:qFormat/>
    <w:uiPriority w:val="0"/>
    <w:rPr>
      <w:rFonts w:hint="default" w:ascii="Arial" w:hAnsi="Arial" w:eastAsia="黑体" w:cs="Arial"/>
      <w:b/>
      <w:sz w:val="30"/>
    </w:rPr>
  </w:style>
  <w:style w:type="character" w:customStyle="1" w:styleId="94">
    <w:name w:val="fontstyle11"/>
    <w:qFormat/>
    <w:uiPriority w:val="0"/>
    <w:rPr>
      <w:rFonts w:hint="default" w:ascii="Times New Roman" w:hAnsi="Times New Roman" w:cs="Times New Roman"/>
      <w:color w:val="000000"/>
      <w:sz w:val="28"/>
      <w:szCs w:val="28"/>
    </w:rPr>
  </w:style>
  <w:style w:type="character" w:customStyle="1" w:styleId="95">
    <w:name w:val="sort"/>
    <w:qFormat/>
    <w:uiPriority w:val="0"/>
    <w:rPr>
      <w:color w:val="FFFFFF"/>
      <w:bdr w:val="single" w:color="auto" w:sz="24" w:space="0"/>
    </w:rPr>
  </w:style>
  <w:style w:type="character" w:customStyle="1" w:styleId="96">
    <w:name w:val="bds_more3"/>
    <w:qFormat/>
    <w:uiPriority w:val="0"/>
  </w:style>
  <w:style w:type="character" w:customStyle="1" w:styleId="97">
    <w:name w:val="bds_more2"/>
    <w:qFormat/>
    <w:uiPriority w:val="0"/>
    <w:rPr>
      <w:rFonts w:hint="eastAsia" w:ascii="宋体" w:hAnsi="宋体" w:eastAsia="宋体" w:cs="宋体"/>
    </w:rPr>
  </w:style>
  <w:style w:type="character" w:customStyle="1" w:styleId="98">
    <w:name w:val="sidecatalog-dot"/>
    <w:qFormat/>
    <w:uiPriority w:val="0"/>
  </w:style>
  <w:style w:type="character" w:customStyle="1" w:styleId="99">
    <w:name w:val="lemmatitleh12"/>
    <w:qFormat/>
    <w:uiPriority w:val="0"/>
  </w:style>
  <w:style w:type="character" w:customStyle="1" w:styleId="100">
    <w:name w:val="bds_more1"/>
    <w:qFormat/>
    <w:uiPriority w:val="0"/>
  </w:style>
  <w:style w:type="character" w:customStyle="1" w:styleId="101">
    <w:name w:val="bds_nopic"/>
    <w:qFormat/>
    <w:uiPriority w:val="0"/>
  </w:style>
  <w:style w:type="character" w:customStyle="1" w:styleId="102">
    <w:name w:val="fontstyle21"/>
    <w:qFormat/>
    <w:uiPriority w:val="0"/>
    <w:rPr>
      <w:rFonts w:hint="default" w:ascii="Times New Roman" w:hAnsi="Times New Roman" w:cs="Times New Roman"/>
      <w:color w:val="000000"/>
      <w:sz w:val="28"/>
      <w:szCs w:val="28"/>
    </w:rPr>
  </w:style>
  <w:style w:type="character" w:customStyle="1" w:styleId="103">
    <w:name w:val="polysemyexp"/>
    <w:qFormat/>
    <w:uiPriority w:val="0"/>
    <w:rPr>
      <w:color w:val="AAAAAA"/>
      <w:sz w:val="18"/>
      <w:szCs w:val="18"/>
    </w:rPr>
  </w:style>
  <w:style w:type="character" w:customStyle="1" w:styleId="104">
    <w:name w:val="headline-content2"/>
    <w:qFormat/>
    <w:uiPriority w:val="0"/>
  </w:style>
  <w:style w:type="character" w:customStyle="1" w:styleId="105">
    <w:name w:val="ttitle"/>
    <w:qFormat/>
    <w:uiPriority w:val="0"/>
  </w:style>
  <w:style w:type="character" w:customStyle="1" w:styleId="106">
    <w:name w:val="样式3 Char Char"/>
    <w:link w:val="107"/>
    <w:qFormat/>
    <w:uiPriority w:val="0"/>
    <w:rPr>
      <w:kern w:val="2"/>
      <w:sz w:val="21"/>
      <w:szCs w:val="18"/>
    </w:rPr>
  </w:style>
  <w:style w:type="paragraph" w:customStyle="1" w:styleId="107">
    <w:name w:val="样式3"/>
    <w:basedOn w:val="28"/>
    <w:link w:val="106"/>
    <w:qFormat/>
    <w:uiPriority w:val="0"/>
    <w:pPr>
      <w:spacing w:line="276" w:lineRule="auto"/>
    </w:pPr>
    <w:rPr>
      <w:kern w:val="2"/>
      <w:sz w:val="21"/>
      <w:szCs w:val="18"/>
    </w:rPr>
  </w:style>
  <w:style w:type="character" w:customStyle="1" w:styleId="108">
    <w:name w:val="样式 标题 33h33rd levelH3l3CT条标题1.1.1段标题 3 Char1标题 3 Char ... Char Char"/>
    <w:link w:val="109"/>
    <w:qFormat/>
    <w:uiPriority w:val="0"/>
    <w:rPr>
      <w:rFonts w:ascii="宋体" w:hAnsi="宋体" w:eastAsia="宋体"/>
      <w:b/>
      <w:kern w:val="2"/>
      <w:sz w:val="28"/>
      <w:szCs w:val="32"/>
      <w:lang w:val="en-US" w:eastAsia="zh-CN" w:bidi="ar-SA"/>
    </w:rPr>
  </w:style>
  <w:style w:type="paragraph" w:customStyle="1" w:styleId="109">
    <w:name w:val="样式 标题 33h33rd levelH3l3CT条标题1.1.1段标题 3 Char1标题 3 Char ..."/>
    <w:basedOn w:val="4"/>
    <w:link w:val="108"/>
    <w:qFormat/>
    <w:uiPriority w:val="0"/>
    <w:pPr>
      <w:spacing w:after="120" w:afterLines="0" w:line="240" w:lineRule="auto"/>
    </w:pPr>
    <w:rPr>
      <w:rFonts w:ascii="宋体" w:hAnsi="宋体" w:eastAsia="宋体"/>
      <w:b/>
      <w:kern w:val="2"/>
      <w:sz w:val="28"/>
      <w:szCs w:val="32"/>
      <w:lang w:val="en-US" w:eastAsia="zh-CN" w:bidi="ar-SA"/>
    </w:rPr>
  </w:style>
  <w:style w:type="character" w:customStyle="1" w:styleId="110">
    <w:name w:val="bds_more9"/>
    <w:qFormat/>
    <w:uiPriority w:val="0"/>
  </w:style>
  <w:style w:type="character" w:customStyle="1" w:styleId="111">
    <w:name w:val="bds_more"/>
    <w:qFormat/>
    <w:uiPriority w:val="0"/>
  </w:style>
  <w:style w:type="character" w:customStyle="1" w:styleId="112">
    <w:name w:val="bds_more7"/>
    <w:qFormat/>
    <w:uiPriority w:val="0"/>
    <w:rPr>
      <w:rFonts w:hint="eastAsia" w:ascii="宋体" w:hAnsi="宋体" w:eastAsia="宋体" w:cs="宋体"/>
    </w:rPr>
  </w:style>
  <w:style w:type="character" w:customStyle="1" w:styleId="113">
    <w:name w:val="fontstyle01"/>
    <w:qFormat/>
    <w:uiPriority w:val="0"/>
    <w:rPr>
      <w:rFonts w:hint="eastAsia" w:ascii="宋体" w:hAnsi="宋体" w:eastAsia="宋体"/>
      <w:color w:val="000000"/>
      <w:sz w:val="28"/>
      <w:szCs w:val="28"/>
    </w:rPr>
  </w:style>
  <w:style w:type="character" w:customStyle="1" w:styleId="114">
    <w:name w:val="polysemyred"/>
    <w:qFormat/>
    <w:uiPriority w:val="0"/>
    <w:rPr>
      <w:color w:val="FF6666"/>
      <w:sz w:val="18"/>
      <w:szCs w:val="18"/>
    </w:rPr>
  </w:style>
  <w:style w:type="character" w:customStyle="1" w:styleId="115">
    <w:name w:val="样式1 Char Char"/>
    <w:link w:val="116"/>
    <w:qFormat/>
    <w:uiPriority w:val="0"/>
    <w:rPr>
      <w:kern w:val="2"/>
      <w:sz w:val="18"/>
      <w:szCs w:val="18"/>
    </w:rPr>
  </w:style>
  <w:style w:type="paragraph" w:customStyle="1" w:styleId="116">
    <w:name w:val="样式1"/>
    <w:basedOn w:val="29"/>
    <w:link w:val="115"/>
    <w:qFormat/>
    <w:uiPriority w:val="0"/>
    <w:pPr>
      <w:pBdr>
        <w:bottom w:val="none" w:color="auto" w:sz="0" w:space="0"/>
      </w:pBdr>
    </w:pPr>
    <w:rPr>
      <w:kern w:val="2"/>
      <w:sz w:val="18"/>
      <w:szCs w:val="18"/>
    </w:rPr>
  </w:style>
  <w:style w:type="character" w:customStyle="1" w:styleId="117">
    <w:name w:val="lemmatitleh1"/>
    <w:qFormat/>
    <w:uiPriority w:val="0"/>
  </w:style>
  <w:style w:type="paragraph" w:customStyle="1" w:styleId="118">
    <w:name w:val="Body Text Indent 2"/>
    <w:basedOn w:val="1"/>
    <w:qFormat/>
    <w:uiPriority w:val="0"/>
    <w:pPr>
      <w:widowControl/>
      <w:spacing w:after="120" w:afterLines="0" w:line="480" w:lineRule="auto"/>
      <w:ind w:left="200" w:leftChars="200"/>
      <w:jc w:val="left"/>
    </w:pPr>
    <w:rPr>
      <w:rFonts w:ascii="宋体" w:hAnsi="宋体"/>
      <w:sz w:val="21"/>
    </w:rPr>
  </w:style>
  <w:style w:type="paragraph" w:customStyle="1" w:styleId="119">
    <w:name w:val="CM21"/>
    <w:qFormat/>
    <w:uiPriority w:val="0"/>
    <w:pPr>
      <w:spacing w:line="546" w:lineRule="atLeast"/>
    </w:pPr>
    <w:rPr>
      <w:rFonts w:hint="eastAsia" w:ascii="Times New Roman" w:hAnsi="Times New Roman" w:eastAsia="宋体" w:cs="Times New Roman"/>
      <w:lang w:val="en-US" w:eastAsia="zh-CN" w:bidi="ar-SA"/>
    </w:rPr>
  </w:style>
  <w:style w:type="paragraph" w:customStyle="1" w:styleId="120">
    <w:name w:val="Char Char Char Char"/>
    <w:basedOn w:val="1"/>
    <w:qFormat/>
    <w:uiPriority w:val="0"/>
    <w:rPr>
      <w:szCs w:val="21"/>
    </w:rPr>
  </w:style>
  <w:style w:type="paragraph" w:customStyle="1" w:styleId="121">
    <w:name w:val="Body text|1"/>
    <w:basedOn w:val="1"/>
    <w:qFormat/>
    <w:uiPriority w:val="0"/>
    <w:pPr>
      <w:widowControl w:val="0"/>
      <w:shd w:val="clear" w:color="auto" w:fill="auto"/>
      <w:spacing w:line="408" w:lineRule="auto"/>
      <w:ind w:firstLine="400"/>
    </w:pPr>
    <w:rPr>
      <w:rFonts w:ascii="宋体" w:hAnsi="宋体" w:eastAsia="宋体" w:cs="宋体"/>
      <w:sz w:val="28"/>
      <w:szCs w:val="28"/>
      <w:u w:val="none"/>
      <w:shd w:val="clear" w:color="auto" w:fill="auto"/>
      <w:lang w:val="zh-TW" w:eastAsia="zh-TW" w:bidi="zh-TW"/>
    </w:rPr>
  </w:style>
  <w:style w:type="paragraph" w:customStyle="1" w:styleId="122">
    <w:name w:val="CM30"/>
    <w:basedOn w:val="123"/>
    <w:next w:val="123"/>
    <w:qFormat/>
    <w:uiPriority w:val="0"/>
    <w:rPr>
      <w:rFonts w:hint="eastAsia"/>
    </w:rPr>
  </w:style>
  <w:style w:type="paragraph" w:customStyle="1" w:styleId="12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24">
    <w:name w:val="表头"/>
    <w:basedOn w:val="1"/>
    <w:qFormat/>
    <w:uiPriority w:val="0"/>
    <w:pPr>
      <w:jc w:val="center"/>
    </w:pPr>
  </w:style>
  <w:style w:type="paragraph" w:customStyle="1" w:styleId="125">
    <w:name w:val="默认段落字体 Para Char Char Char Char Char Char Char Char Char3 Char Char Char Char"/>
    <w:basedOn w:val="16"/>
    <w:qFormat/>
    <w:uiPriority w:val="0"/>
    <w:pPr>
      <w:adjustRightInd w:val="0"/>
      <w:spacing w:line="240" w:lineRule="exact"/>
      <w:ind w:left="357"/>
      <w:jc w:val="left"/>
      <w:outlineLvl w:val="3"/>
    </w:pPr>
    <w:rPr>
      <w:rFonts w:ascii="Tahoma" w:hAnsi="Tahoma"/>
      <w:sz w:val="21"/>
      <w:szCs w:val="21"/>
    </w:rPr>
  </w:style>
  <w:style w:type="paragraph" w:customStyle="1" w:styleId="126">
    <w:name w:val="CM29"/>
    <w:qFormat/>
    <w:uiPriority w:val="0"/>
    <w:rPr>
      <w:rFonts w:hint="eastAsia" w:ascii="Times New Roman" w:hAnsi="Times New Roman" w:eastAsia="宋体" w:cs="Times New Roman"/>
      <w:lang w:val="en-US" w:eastAsia="zh-CN" w:bidi="ar-SA"/>
    </w:rPr>
  </w:style>
  <w:style w:type="paragraph" w:customStyle="1" w:styleId="127">
    <w:name w:val="列出段落2"/>
    <w:basedOn w:val="1"/>
    <w:qFormat/>
    <w:uiPriority w:val="0"/>
    <w:pPr>
      <w:adjustRightInd w:val="0"/>
      <w:spacing w:line="360" w:lineRule="atLeast"/>
      <w:ind w:firstLine="420" w:firstLineChars="200"/>
      <w:jc w:val="left"/>
    </w:pPr>
    <w:rPr>
      <w:kern w:val="0"/>
      <w:sz w:val="24"/>
      <w:szCs w:val="20"/>
    </w:rPr>
  </w:style>
  <w:style w:type="paragraph" w:customStyle="1" w:styleId="128">
    <w:name w:val="正文五号"/>
    <w:qFormat/>
    <w:uiPriority w:val="0"/>
    <w:pPr>
      <w:adjustRightInd w:val="0"/>
      <w:jc w:val="both"/>
    </w:pPr>
    <w:rPr>
      <w:rFonts w:ascii="Times New Roman" w:hAnsi="Times New Roman" w:eastAsia="宋体" w:cs="Times New Roman"/>
      <w:sz w:val="21"/>
      <w:lang w:val="en-US" w:eastAsia="zh-CN" w:bidi="ar-SA"/>
    </w:rPr>
  </w:style>
  <w:style w:type="paragraph" w:customStyle="1" w:styleId="129">
    <w:name w:val="CM10"/>
    <w:basedOn w:val="123"/>
    <w:next w:val="123"/>
    <w:qFormat/>
    <w:uiPriority w:val="0"/>
    <w:pPr>
      <w:spacing w:line="546" w:lineRule="atLeast"/>
    </w:pPr>
    <w:rPr>
      <w:rFonts w:hint="eastAsia"/>
    </w:rPr>
  </w:style>
  <w:style w:type="paragraph" w:customStyle="1" w:styleId="130">
    <w:name w:val="表格内容"/>
    <w:basedOn w:val="1"/>
    <w:next w:val="15"/>
    <w:qFormat/>
    <w:uiPriority w:val="0"/>
    <w:pPr>
      <w:widowControl/>
      <w:tabs>
        <w:tab w:val="left" w:pos="5327"/>
        <w:tab w:val="left" w:pos="6326"/>
        <w:tab w:val="left" w:pos="7230"/>
        <w:tab w:val="left" w:pos="9301"/>
      </w:tabs>
      <w:spacing w:line="360" w:lineRule="exact"/>
      <w:ind w:firstLine="0" w:firstLineChars="0"/>
      <w:jc w:val="center"/>
    </w:pPr>
    <w:rPr>
      <w:rFonts w:ascii="Arial Narrow" w:hAnsi="Arial Narrow" w:eastAsia="华文中宋" w:cs="宋体"/>
      <w:b/>
      <w:kern w:val="0"/>
      <w:sz w:val="24"/>
      <w:szCs w:val="28"/>
    </w:rPr>
  </w:style>
  <w:style w:type="paragraph" w:customStyle="1" w:styleId="131">
    <w:name w:val="列出段落1"/>
    <w:basedOn w:val="1"/>
    <w:qFormat/>
    <w:uiPriority w:val="0"/>
    <w:pPr>
      <w:ind w:firstLine="420" w:firstLineChars="200"/>
    </w:pPr>
    <w:rPr>
      <w:sz w:val="21"/>
    </w:rPr>
  </w:style>
  <w:style w:type="paragraph" w:customStyle="1" w:styleId="132">
    <w:name w:val="正文1 Char Char Char Char Char Char Char"/>
    <w:basedOn w:val="1"/>
    <w:qFormat/>
    <w:uiPriority w:val="0"/>
    <w:pPr>
      <w:tabs>
        <w:tab w:val="left" w:pos="5327"/>
        <w:tab w:val="left" w:pos="6326"/>
        <w:tab w:val="left" w:pos="7230"/>
        <w:tab w:val="left" w:pos="9301"/>
      </w:tabs>
      <w:autoSpaceDE w:val="0"/>
      <w:autoSpaceDN w:val="0"/>
      <w:adjustRightInd w:val="0"/>
      <w:snapToGrid w:val="0"/>
      <w:spacing w:line="600" w:lineRule="exact"/>
      <w:ind w:firstLine="560" w:firstLineChars="200"/>
      <w:jc w:val="left"/>
    </w:pPr>
    <w:rPr>
      <w:rFonts w:ascii="Arial Narrow" w:hAnsi="Arial Narrow" w:eastAsia="仿宋_GB2312"/>
      <w:color w:val="000000"/>
      <w:kern w:val="10"/>
      <w:sz w:val="28"/>
      <w:szCs w:val="28"/>
    </w:rPr>
  </w:style>
  <w:style w:type="paragraph" w:customStyle="1" w:styleId="133">
    <w:name w:val="CM16"/>
    <w:qFormat/>
    <w:uiPriority w:val="0"/>
    <w:pPr>
      <w:spacing w:line="546" w:lineRule="atLeast"/>
    </w:pPr>
    <w:rPr>
      <w:rFonts w:hint="eastAsia" w:ascii="Times New Roman" w:hAnsi="Times New Roman" w:eastAsia="宋体" w:cs="Times New Roman"/>
      <w:lang w:val="en-US" w:eastAsia="zh-CN" w:bidi="ar-SA"/>
    </w:rPr>
  </w:style>
  <w:style w:type="paragraph" w:customStyle="1" w:styleId="134">
    <w:name w:val="正文首行缩进 2 Char Char"/>
    <w:basedOn w:val="135"/>
    <w:qFormat/>
    <w:uiPriority w:val="0"/>
    <w:pPr>
      <w:ind w:firstLine="420" w:firstLineChars="200"/>
    </w:pPr>
    <w:rPr>
      <w:rFonts w:hint="eastAsia"/>
      <w:sz w:val="24"/>
    </w:rPr>
  </w:style>
  <w:style w:type="paragraph" w:customStyle="1" w:styleId="135">
    <w:name w:val="正文文本缩进 Char Char"/>
    <w:basedOn w:val="1"/>
    <w:qFormat/>
    <w:uiPriority w:val="0"/>
    <w:pPr>
      <w:ind w:firstLine="538" w:firstLineChars="192"/>
    </w:pPr>
    <w:rPr>
      <w:rFonts w:hint="eastAsia"/>
    </w:rPr>
  </w:style>
  <w:style w:type="paragraph" w:customStyle="1" w:styleId="136">
    <w:name w:val="_Style 45"/>
    <w:basedOn w:val="16"/>
    <w:qFormat/>
    <w:uiPriority w:val="0"/>
    <w:pPr>
      <w:adjustRightInd w:val="0"/>
      <w:spacing w:line="240" w:lineRule="exact"/>
      <w:ind w:left="357"/>
      <w:jc w:val="left"/>
      <w:outlineLvl w:val="3"/>
    </w:pPr>
    <w:rPr>
      <w:rFonts w:ascii="Tahoma" w:hAnsi="Tahoma"/>
      <w:szCs w:val="21"/>
    </w:rPr>
  </w:style>
  <w:style w:type="paragraph" w:customStyle="1" w:styleId="137">
    <w:name w:val="Plain Text"/>
    <w:basedOn w:val="1"/>
    <w:next w:val="1"/>
    <w:qFormat/>
    <w:uiPriority w:val="0"/>
    <w:rPr>
      <w:rFonts w:ascii="宋体" w:hAnsi="Courier New" w:cs="Courier New"/>
      <w:szCs w:val="21"/>
    </w:rPr>
  </w:style>
  <w:style w:type="paragraph" w:customStyle="1" w:styleId="138">
    <w:name w:val="封面正文"/>
    <w:qFormat/>
    <w:uiPriority w:val="0"/>
    <w:pPr>
      <w:jc w:val="both"/>
    </w:pPr>
    <w:rPr>
      <w:rFonts w:ascii="Calibri" w:hAnsi="Calibri" w:eastAsia="宋体" w:cs="Times New Roman"/>
      <w:snapToGrid w:val="0"/>
      <w:lang w:val="en-US" w:eastAsia="zh-CN" w:bidi="ar-SA"/>
    </w:rPr>
  </w:style>
  <w:style w:type="paragraph" w:customStyle="1" w:styleId="139">
    <w:name w:val="CM5"/>
    <w:basedOn w:val="123"/>
    <w:next w:val="123"/>
    <w:qFormat/>
    <w:uiPriority w:val="0"/>
    <w:pPr>
      <w:spacing w:line="546" w:lineRule="atLeast"/>
    </w:pPr>
    <w:rPr>
      <w:rFonts w:hint="eastAsia"/>
      <w:lang w:val="en-US" w:eastAsia="zh-CN" w:bidi="ar-SA"/>
    </w:rPr>
  </w:style>
  <w:style w:type="paragraph" w:customStyle="1" w:styleId="140">
    <w:name w:val="CM12"/>
    <w:qFormat/>
    <w:uiPriority w:val="0"/>
    <w:pPr>
      <w:spacing w:line="556" w:lineRule="atLeast"/>
    </w:pPr>
    <w:rPr>
      <w:rFonts w:hint="eastAsia" w:ascii="Times New Roman" w:hAnsi="Times New Roman" w:eastAsia="宋体" w:cs="Times New Roman"/>
      <w:lang w:val="en-US" w:eastAsia="zh-CN" w:bidi="ar-SA"/>
    </w:rPr>
  </w:style>
  <w:style w:type="paragraph" w:customStyle="1" w:styleId="141">
    <w:name w:val="Body Text First Indent"/>
    <w:basedOn w:val="19"/>
    <w:next w:val="1"/>
    <w:qFormat/>
    <w:uiPriority w:val="0"/>
    <w:pPr>
      <w:adjustRightInd w:val="0"/>
      <w:spacing w:after="120" w:afterLines="0" w:line="275" w:lineRule="atLeast"/>
      <w:ind w:firstLine="420"/>
      <w:textAlignment w:val="baseline"/>
    </w:pPr>
    <w:rPr>
      <w:rFonts w:ascii="宋体" w:eastAsia="楷体_GB2312"/>
      <w:sz w:val="24"/>
      <w:szCs w:val="20"/>
    </w:rPr>
  </w:style>
  <w:style w:type="paragraph" w:customStyle="1" w:styleId="142">
    <w:name w:val="正文3"/>
    <w:basedOn w:val="1"/>
    <w:qFormat/>
    <w:uiPriority w:val="0"/>
    <w:pPr>
      <w:tabs>
        <w:tab w:val="left" w:pos="360"/>
        <w:tab w:val="left" w:pos="5327"/>
        <w:tab w:val="left" w:pos="6326"/>
        <w:tab w:val="left" w:pos="7230"/>
        <w:tab w:val="left" w:pos="9301"/>
      </w:tabs>
      <w:autoSpaceDE w:val="0"/>
      <w:autoSpaceDN w:val="0"/>
      <w:adjustRightInd w:val="0"/>
      <w:snapToGrid w:val="0"/>
      <w:spacing w:line="560" w:lineRule="exact"/>
      <w:ind w:firstLine="200"/>
      <w:jc w:val="left"/>
      <w:textAlignment w:val="baseline"/>
    </w:pPr>
    <w:rPr>
      <w:rFonts w:ascii="Arial Narrow" w:hAnsi="Arial Narrow" w:cs="宋体"/>
      <w:color w:val="000000"/>
      <w:szCs w:val="28"/>
    </w:rPr>
  </w:style>
  <w:style w:type="paragraph" w:customStyle="1" w:styleId="143">
    <w:name w:val="_Style 142"/>
    <w:qFormat/>
    <w:uiPriority w:val="0"/>
    <w:rPr>
      <w:rFonts w:ascii="Times New Roman" w:hAnsi="Times New Roman" w:eastAsia="宋体" w:cs="Times New Roman"/>
      <w:kern w:val="2"/>
      <w:sz w:val="28"/>
      <w:szCs w:val="24"/>
      <w:lang w:val="en-US" w:eastAsia="zh-CN" w:bidi="ar-SA"/>
    </w:rPr>
  </w:style>
  <w:style w:type="paragraph" w:customStyle="1" w:styleId="144">
    <w:name w:val="使用正文"/>
    <w:basedOn w:val="1"/>
    <w:qFormat/>
    <w:uiPriority w:val="0"/>
    <w:pPr>
      <w:widowControl w:val="0"/>
      <w:spacing w:line="460" w:lineRule="exact"/>
      <w:ind w:firstLine="200" w:firstLineChars="200"/>
    </w:pPr>
    <w:rPr>
      <w:rFonts w:ascii="Calibri" w:hAnsi="Calibri" w:eastAsia="宋体" w:cs="Times New Roman"/>
      <w:sz w:val="26"/>
      <w:szCs w:val="26"/>
    </w:rPr>
  </w:style>
  <w:style w:type="paragraph" w:customStyle="1" w:styleId="145">
    <w:name w:val="表格 标题"/>
    <w:next w:val="1"/>
    <w:qFormat/>
    <w:uiPriority w:val="0"/>
    <w:pPr>
      <w:spacing w:line="360" w:lineRule="auto"/>
      <w:jc w:val="center"/>
    </w:pPr>
    <w:rPr>
      <w:rFonts w:ascii="Times New Roman" w:hAnsi="Times New Roman" w:eastAsia="宋体" w:cs="Times New Roman"/>
      <w:b/>
      <w:kern w:val="2"/>
      <w:sz w:val="24"/>
      <w:szCs w:val="24"/>
      <w:lang w:val="en-US" w:eastAsia="zh-CN" w:bidi="ar-SA"/>
    </w:rPr>
  </w:style>
  <w:style w:type="paragraph" w:customStyle="1" w:styleId="146">
    <w:name w:val="Table Paragraph"/>
    <w:basedOn w:val="1"/>
    <w:qFormat/>
    <w:uiPriority w:val="0"/>
  </w:style>
  <w:style w:type="paragraph" w:customStyle="1" w:styleId="147">
    <w:name w:val="Body Text First Indent 2"/>
    <w:basedOn w:val="148"/>
    <w:qFormat/>
    <w:uiPriority w:val="0"/>
    <w:pPr>
      <w:ind w:firstLine="420" w:firstLineChars="200"/>
    </w:pPr>
    <w:rPr>
      <w:sz w:val="24"/>
      <w:szCs w:val="20"/>
    </w:rPr>
  </w:style>
  <w:style w:type="paragraph" w:customStyle="1" w:styleId="148">
    <w:name w:val="Body Text Indent"/>
    <w:basedOn w:val="1"/>
    <w:next w:val="141"/>
    <w:qFormat/>
    <w:uiPriority w:val="0"/>
    <w:pPr>
      <w:ind w:firstLine="538" w:firstLineChars="192"/>
    </w:pPr>
    <w:rPr>
      <w:sz w:val="28"/>
    </w:rPr>
  </w:style>
  <w:style w:type="paragraph" w:customStyle="1" w:styleId="149">
    <w:name w:val="xl40"/>
    <w:basedOn w:val="1"/>
    <w:qFormat/>
    <w:uiPriority w:val="0"/>
    <w:pPr>
      <w:widowControl/>
      <w:pBdr>
        <w:bottom w:val="single" w:color="auto" w:sz="8" w:space="0"/>
      </w:pBdr>
      <w:spacing w:before="100" w:beforeLines="0" w:beforeAutospacing="1" w:after="100" w:afterLines="0" w:afterAutospacing="1"/>
      <w:jc w:val="center"/>
    </w:pPr>
    <w:rPr>
      <w:rFonts w:ascii="楷体_GB2312" w:hAnsi="宋体" w:eastAsia="楷体_GB2312"/>
      <w:kern w:val="0"/>
      <w:sz w:val="24"/>
    </w:rPr>
  </w:style>
  <w:style w:type="paragraph" w:customStyle="1" w:styleId="150">
    <w:name w:val="样式5"/>
    <w:basedOn w:val="1"/>
    <w:qFormat/>
    <w:uiPriority w:val="0"/>
    <w:pPr>
      <w:adjustRightInd/>
      <w:spacing w:line="480" w:lineRule="exact"/>
      <w:ind w:firstLine="200" w:firstLineChars="200"/>
      <w:jc w:val="both"/>
    </w:pPr>
    <w:rPr>
      <w:rFonts w:eastAsia="仿宋_GB2312"/>
      <w:kern w:val="2"/>
      <w:sz w:val="24"/>
      <w:lang w:val="en-US" w:eastAsia="zh-CN"/>
    </w:rPr>
  </w:style>
  <w:style w:type="paragraph" w:customStyle="1" w:styleId="151">
    <w:name w:val="标题 2级"/>
    <w:next w:val="1"/>
    <w:qFormat/>
    <w:uiPriority w:val="0"/>
    <w:pPr>
      <w:numPr>
        <w:ilvl w:val="1"/>
        <w:numId w:val="3"/>
      </w:numPr>
      <w:adjustRightInd w:val="0"/>
      <w:snapToGrid w:val="0"/>
      <w:spacing w:line="360" w:lineRule="auto"/>
      <w:outlineLvl w:val="1"/>
    </w:pPr>
    <w:rPr>
      <w:rFonts w:ascii="Calibri" w:hAnsi="Calibri" w:eastAsia="宋体" w:cs="Times New Roman"/>
      <w:b/>
      <w:kern w:val="2"/>
      <w:sz w:val="30"/>
      <w:szCs w:val="30"/>
      <w:lang w:val="en-US" w:eastAsia="zh-CN" w:bidi="ar-SA"/>
    </w:rPr>
  </w:style>
  <w:style w:type="paragraph" w:customStyle="1" w:styleId="152">
    <w:name w:val="Char Char Char Char Char Char Char Char Char Char Char Char Char Char"/>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153">
    <w:name w:val="样式 正文首行缩进 + 首行缩进:  1 字符"/>
    <w:basedOn w:val="41"/>
    <w:qFormat/>
    <w:uiPriority w:val="0"/>
    <w:pPr>
      <w:tabs>
        <w:tab w:val="left" w:pos="5327"/>
        <w:tab w:val="left" w:pos="6326"/>
        <w:tab w:val="left" w:pos="7230"/>
        <w:tab w:val="left" w:pos="9301"/>
      </w:tabs>
      <w:spacing w:after="0" w:afterLines="0" w:line="560" w:lineRule="exact"/>
      <w:ind w:firstLine="560" w:firstLineChars="200"/>
    </w:pPr>
    <w:rPr>
      <w:rFonts w:ascii="宋体" w:hAnsi="宋体" w:eastAsia="宋体"/>
      <w:color w:val="FF0000"/>
      <w:kern w:val="10"/>
      <w:szCs w:val="28"/>
    </w:rPr>
  </w:style>
  <w:style w:type="paragraph" w:customStyle="1" w:styleId="154">
    <w:name w:val="样式8"/>
    <w:basedOn w:val="34"/>
    <w:qFormat/>
    <w:uiPriority w:val="0"/>
    <w:pPr>
      <w:widowControl w:val="0"/>
      <w:tabs>
        <w:tab w:val="center" w:pos="4153"/>
        <w:tab w:val="right" w:pos="8306"/>
      </w:tabs>
      <w:suppressAutoHyphens w:val="0"/>
      <w:spacing w:line="500" w:lineRule="exact"/>
      <w:ind w:firstLine="540" w:firstLineChars="0"/>
    </w:pPr>
    <w:rPr>
      <w:rFonts w:ascii="宋体" w:hAnsi="宋体"/>
      <w:sz w:val="28"/>
      <w:szCs w:val="28"/>
    </w:rPr>
  </w:style>
  <w:style w:type="paragraph" w:customStyle="1" w:styleId="155">
    <w:name w:val="CM31"/>
    <w:basedOn w:val="123"/>
    <w:next w:val="123"/>
    <w:qFormat/>
    <w:uiPriority w:val="0"/>
    <w:rPr>
      <w:rFonts w:hint="eastAsia"/>
    </w:rPr>
  </w:style>
  <w:style w:type="paragraph" w:customStyle="1" w:styleId="156">
    <w:name w:val="CM7"/>
    <w:basedOn w:val="123"/>
    <w:next w:val="123"/>
    <w:qFormat/>
    <w:uiPriority w:val="0"/>
    <w:pPr>
      <w:spacing w:line="546" w:lineRule="atLeast"/>
    </w:pPr>
    <w:rPr>
      <w:rFonts w:hint="eastAsia"/>
    </w:rPr>
  </w:style>
  <w:style w:type="paragraph" w:customStyle="1" w:styleId="157">
    <w:name w:val="CM9"/>
    <w:basedOn w:val="123"/>
    <w:next w:val="123"/>
    <w:qFormat/>
    <w:uiPriority w:val="0"/>
    <w:pPr>
      <w:spacing w:line="546" w:lineRule="atLeast"/>
    </w:pPr>
    <w:rPr>
      <w:rFonts w:hint="eastAsia"/>
      <w:lang w:val="en-US" w:eastAsia="zh-CN" w:bidi="ar-SA"/>
    </w:rPr>
  </w:style>
  <w:style w:type="paragraph" w:customStyle="1" w:styleId="158">
    <w:name w:val="555555"/>
    <w:basedOn w:val="24"/>
    <w:qFormat/>
    <w:uiPriority w:val="0"/>
    <w:rPr>
      <w:rFonts w:hAnsi="宋体"/>
    </w:rPr>
  </w:style>
  <w:style w:type="paragraph" w:customStyle="1" w:styleId="159">
    <w:name w:val="正文首行缩进 Char Char"/>
    <w:basedOn w:val="19"/>
    <w:next w:val="134"/>
    <w:qFormat/>
    <w:uiPriority w:val="0"/>
    <w:pPr>
      <w:spacing w:after="120" w:afterLines="0" w:line="275" w:lineRule="atLeast"/>
      <w:ind w:firstLine="420"/>
      <w:textAlignment w:val="baseline"/>
    </w:pPr>
    <w:rPr>
      <w:rFonts w:hint="eastAsia" w:ascii="宋体" w:eastAsia="楷体_GB2312"/>
      <w:sz w:val="24"/>
    </w:rPr>
  </w:style>
  <w:style w:type="paragraph" w:customStyle="1" w:styleId="160">
    <w:name w:val="序号 2"/>
    <w:qFormat/>
    <w:uiPriority w:val="0"/>
    <w:pPr>
      <w:numPr>
        <w:ilvl w:val="0"/>
        <w:numId w:val="4"/>
      </w:numPr>
      <w:spacing w:line="360" w:lineRule="auto"/>
      <w:jc w:val="both"/>
    </w:pPr>
    <w:rPr>
      <w:rFonts w:ascii="Times New Roman" w:hAnsi="Times New Roman" w:eastAsia="宋体" w:cs="Times New Roman"/>
      <w:kern w:val="2"/>
      <w:sz w:val="28"/>
      <w:szCs w:val="28"/>
      <w:lang w:val="en-US" w:eastAsia="zh-CN" w:bidi="ar-SA"/>
    </w:rPr>
  </w:style>
  <w:style w:type="paragraph" w:customStyle="1" w:styleId="161">
    <w:name w:val="表格 内容"/>
    <w:basedOn w:val="1"/>
    <w:qFormat/>
    <w:uiPriority w:val="0"/>
    <w:pPr>
      <w:spacing w:line="360" w:lineRule="exact"/>
      <w:jc w:val="center"/>
    </w:pPr>
  </w:style>
  <w:style w:type="paragraph" w:customStyle="1" w:styleId="162">
    <w:name w:val="tlarea1"/>
    <w:basedOn w:val="1"/>
    <w:qFormat/>
    <w:uiPriority w:val="0"/>
    <w:pPr>
      <w:widowControl/>
      <w:spacing w:before="100" w:beforeLines="0" w:beforeAutospacing="1" w:after="100" w:afterLines="0" w:afterAutospacing="1"/>
      <w:jc w:val="left"/>
    </w:pPr>
    <w:rPr>
      <w:rFonts w:ascii="宋体" w:hAnsi="宋体" w:cs="宋体"/>
      <w:spacing w:val="56"/>
      <w:kern w:val="0"/>
      <w:sz w:val="40"/>
      <w:szCs w:val="40"/>
    </w:rPr>
  </w:style>
  <w:style w:type="paragraph" w:customStyle="1" w:styleId="163">
    <w:name w:val="填表5"/>
    <w:qFormat/>
    <w:uiPriority w:val="0"/>
    <w:pPr>
      <w:adjustRightInd w:val="0"/>
      <w:snapToGrid w:val="0"/>
      <w:jc w:val="center"/>
    </w:pPr>
    <w:rPr>
      <w:rFonts w:ascii="宋体" w:hAnsi="Times New Roman" w:eastAsia="宋体" w:cs="Times New Roman"/>
      <w:kern w:val="2"/>
      <w:sz w:val="24"/>
      <w:szCs w:val="24"/>
      <w:lang w:val="en-US" w:eastAsia="zh-CN" w:bidi="ar-SA"/>
    </w:rPr>
  </w:style>
  <w:style w:type="paragraph" w:customStyle="1" w:styleId="164">
    <w:name w:val="正文1"/>
    <w:basedOn w:val="1"/>
    <w:qFormat/>
    <w:uiPriority w:val="0"/>
    <w:pPr>
      <w:spacing w:line="360" w:lineRule="auto"/>
      <w:ind w:firstLine="560" w:firstLineChars="200"/>
      <w:jc w:val="left"/>
    </w:pPr>
    <w:rPr>
      <w:rFonts w:ascii="宋体" w:hAnsi="宋体"/>
      <w:color w:val="000000"/>
      <w:kern w:val="0"/>
      <w:sz w:val="28"/>
      <w:szCs w:val="28"/>
    </w:rPr>
  </w:style>
  <w:style w:type="paragraph" w:customStyle="1" w:styleId="165">
    <w:name w:val="图表名"/>
    <w:basedOn w:val="1"/>
    <w:qFormat/>
    <w:uiPriority w:val="0"/>
    <w:pPr>
      <w:ind w:firstLine="0" w:firstLineChars="0"/>
      <w:jc w:val="center"/>
    </w:pPr>
    <w:rPr>
      <w:b/>
      <w:sz w:val="21"/>
    </w:rPr>
  </w:style>
  <w:style w:type="paragraph" w:customStyle="1" w:styleId="166">
    <w:name w:val="正文非煤评价"/>
    <w:qFormat/>
    <w:uiPriority w:val="0"/>
    <w:pPr>
      <w:spacing w:line="360" w:lineRule="auto"/>
      <w:ind w:firstLine="200" w:firstLineChars="200"/>
      <w:jc w:val="both"/>
    </w:pPr>
    <w:rPr>
      <w:rFonts w:ascii="Times New Roman" w:hAnsi="Times New Roman" w:eastAsia="宋体" w:cs="Times New Roman"/>
      <w:kern w:val="2"/>
      <w:sz w:val="28"/>
      <w:szCs w:val="28"/>
      <w:lang w:val="en-US" w:eastAsia="zh-CN" w:bidi="ar-SA"/>
    </w:rPr>
  </w:style>
  <w:style w:type="paragraph" w:customStyle="1" w:styleId="167">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168">
    <w:name w:val="xl31"/>
    <w:basedOn w:val="1"/>
    <w:qFormat/>
    <w:uiPriority w:val="0"/>
    <w:pPr>
      <w:widowControl/>
      <w:pBdr>
        <w:bottom w:val="single" w:color="auto" w:sz="4" w:space="0"/>
        <w:right w:val="single" w:color="auto" w:sz="4" w:space="0"/>
      </w:pBdr>
      <w:spacing w:before="100" w:beforeLines="0" w:beforeAutospacing="1" w:after="100" w:afterLines="0" w:afterAutospacing="1"/>
    </w:pPr>
    <w:rPr>
      <w:rFonts w:eastAsia="Arial Unicode MS"/>
      <w:kern w:val="0"/>
      <w:szCs w:val="21"/>
    </w:rPr>
  </w:style>
  <w:style w:type="paragraph" w:customStyle="1" w:styleId="169">
    <w:name w:val="样式 首行缩进:  2 字符"/>
    <w:basedOn w:val="1"/>
    <w:qFormat/>
    <w:uiPriority w:val="0"/>
    <w:pPr>
      <w:spacing w:line="360" w:lineRule="auto"/>
      <w:ind w:firstLine="200" w:firstLineChars="200"/>
    </w:pPr>
    <w:rPr>
      <w:sz w:val="28"/>
      <w:szCs w:val="20"/>
    </w:rPr>
  </w:style>
  <w:style w:type="paragraph" w:customStyle="1" w:styleId="170">
    <w:name w:val="p0"/>
    <w:basedOn w:val="1"/>
    <w:qFormat/>
    <w:uiPriority w:val="0"/>
    <w:pPr>
      <w:widowControl/>
    </w:pPr>
    <w:rPr>
      <w:rFonts w:ascii="Calibri" w:hAnsi="Calibri" w:cs="宋体"/>
      <w:kern w:val="0"/>
      <w:szCs w:val="21"/>
    </w:rPr>
  </w:style>
  <w:style w:type="paragraph" w:customStyle="1" w:styleId="171">
    <w:name w:val="正文一"/>
    <w:basedOn w:val="19"/>
    <w:qFormat/>
    <w:uiPriority w:val="0"/>
    <w:pPr>
      <w:spacing w:line="560" w:lineRule="exact"/>
      <w:ind w:firstLine="639" w:firstLineChars="225"/>
    </w:pPr>
    <w:rPr>
      <w:rFonts w:ascii="仿宋_GB2312" w:eastAsia="仿宋_GB2312" w:cs="宋体"/>
      <w:spacing w:val="2"/>
      <w:kern w:val="2"/>
      <w:sz w:val="28"/>
      <w:szCs w:val="20"/>
    </w:rPr>
  </w:style>
  <w:style w:type="paragraph" w:customStyle="1" w:styleId="172">
    <w:name w:val="CM8"/>
    <w:qFormat/>
    <w:uiPriority w:val="0"/>
    <w:pPr>
      <w:snapToGrid w:val="0"/>
      <w:spacing w:line="360" w:lineRule="auto"/>
      <w:ind w:firstLine="880" w:firstLineChars="200"/>
      <w:jc w:val="both"/>
    </w:pPr>
    <w:rPr>
      <w:rFonts w:ascii="Times New Roman" w:hAnsi="黑体" w:eastAsia="宋体" w:cs="黑体"/>
      <w:sz w:val="28"/>
      <w:lang w:val="en-US" w:eastAsia="zh-CN" w:bidi="ar-SA"/>
    </w:rPr>
  </w:style>
  <w:style w:type="paragraph" w:customStyle="1" w:styleId="173">
    <w:name w:val="正文文字"/>
    <w:basedOn w:val="1"/>
    <w:qFormat/>
    <w:uiPriority w:val="0"/>
    <w:pPr>
      <w:spacing w:line="360" w:lineRule="auto"/>
      <w:ind w:firstLine="480" w:firstLineChars="200"/>
    </w:pPr>
  </w:style>
  <w:style w:type="paragraph" w:customStyle="1" w:styleId="174">
    <w:name w:val="正W"/>
    <w:basedOn w:val="1"/>
    <w:qFormat/>
    <w:uiPriority w:val="0"/>
    <w:pPr>
      <w:spacing w:line="520" w:lineRule="exact"/>
      <w:ind w:firstLine="964" w:firstLineChars="200"/>
    </w:pPr>
    <w:rPr>
      <w:rFonts w:ascii="宋体" w:hAnsi="宋体" w:eastAsia="宋体"/>
      <w:sz w:val="28"/>
    </w:rPr>
  </w:style>
  <w:style w:type="paragraph" w:customStyle="1" w:styleId="175">
    <w:name w:val="正文1 Char Char"/>
    <w:basedOn w:val="1"/>
    <w:qFormat/>
    <w:uiPriority w:val="0"/>
    <w:pPr>
      <w:widowControl/>
      <w:jc w:val="left"/>
    </w:pPr>
    <w:rPr>
      <w:kern w:val="0"/>
      <w:szCs w:val="24"/>
    </w:rPr>
  </w:style>
  <w:style w:type="paragraph" w:customStyle="1" w:styleId="176">
    <w:name w:val="标题8"/>
    <w:basedOn w:val="1"/>
    <w:qFormat/>
    <w:uiPriority w:val="0"/>
    <w:pPr>
      <w:tabs>
        <w:tab w:val="left" w:pos="6280"/>
      </w:tabs>
      <w:spacing w:before="100" w:beforeLines="0" w:beforeAutospacing="1" w:after="100" w:afterLines="0" w:afterAutospacing="1"/>
      <w:jc w:val="center"/>
    </w:pPr>
    <w:rPr>
      <w:rFonts w:eastAsia="仿宋_GB2312"/>
      <w:sz w:val="22"/>
      <w:szCs w:val="22"/>
    </w:rPr>
  </w:style>
  <w:style w:type="paragraph" w:customStyle="1" w:styleId="177">
    <w:name w:val="小表格"/>
    <w:basedOn w:val="1"/>
    <w:qFormat/>
    <w:uiPriority w:val="0"/>
    <w:pPr>
      <w:spacing w:line="240" w:lineRule="auto"/>
      <w:ind w:firstLine="0" w:firstLineChars="0"/>
      <w:jc w:val="center"/>
    </w:pPr>
    <w:rPr>
      <w:sz w:val="21"/>
    </w:rPr>
  </w:style>
  <w:style w:type="paragraph" w:customStyle="1" w:styleId="178">
    <w:name w:val="标题4"/>
    <w:basedOn w:val="21"/>
    <w:qFormat/>
    <w:uiPriority w:val="0"/>
    <w:pPr>
      <w:adjustRightInd/>
      <w:snapToGrid/>
      <w:spacing w:before="156" w:beforeLines="50" w:after="156" w:afterLines="50" w:line="240" w:lineRule="auto"/>
      <w:ind w:left="0" w:leftChars="0" w:firstLine="0" w:firstLineChars="0"/>
    </w:pPr>
    <w:rPr>
      <w:rFonts w:ascii="宋体" w:hAnsi="Arial Narrow" w:eastAsia="宋体"/>
    </w:rPr>
  </w:style>
  <w:style w:type="paragraph" w:customStyle="1" w:styleId="179">
    <w:name w:val="Body Text 2"/>
    <w:basedOn w:val="1"/>
    <w:qFormat/>
    <w:uiPriority w:val="0"/>
    <w:pPr>
      <w:widowControl/>
      <w:autoSpaceDE/>
      <w:autoSpaceDN/>
      <w:spacing w:after="120" w:afterLines="0" w:line="480" w:lineRule="auto"/>
      <w:ind w:firstLine="420" w:firstLineChars="200"/>
    </w:pPr>
    <w:rPr>
      <w:rFonts w:cs="Times New Roman"/>
      <w:color w:val="000000"/>
      <w:sz w:val="18"/>
      <w:szCs w:val="18"/>
      <w:lang w:eastAsia="zh-CN" w:bidi="en-US"/>
    </w:rPr>
  </w:style>
  <w:style w:type="paragraph" w:customStyle="1" w:styleId="180">
    <w:name w:val="CM27"/>
    <w:basedOn w:val="123"/>
    <w:next w:val="123"/>
    <w:qFormat/>
    <w:uiPriority w:val="0"/>
    <w:rPr>
      <w:rFonts w:hint="eastAsia"/>
    </w:rPr>
  </w:style>
  <w:style w:type="paragraph" w:customStyle="1" w:styleId="181">
    <w:name w:val="默认段落字体 Para Char Char Char Char Char Char Char Char Char1 Char Char Char Char Char Char Char"/>
    <w:basedOn w:val="16"/>
    <w:qFormat/>
    <w:uiPriority w:val="0"/>
    <w:rPr>
      <w:szCs w:val="20"/>
    </w:rPr>
  </w:style>
  <w:style w:type="paragraph" w:customStyle="1" w:styleId="182">
    <w:name w:val="无间隔1"/>
    <w:basedOn w:val="124"/>
    <w:qFormat/>
    <w:uiPriority w:val="0"/>
    <w:rPr>
      <w:rFonts w:hint="eastAsia"/>
      <w:sz w:val="24"/>
    </w:rPr>
  </w:style>
  <w:style w:type="paragraph" w:customStyle="1" w:styleId="183">
    <w:name w:val=" Char Char Char Char Char Char1 Char"/>
    <w:basedOn w:val="1"/>
    <w:qFormat/>
    <w:uiPriority w:val="0"/>
  </w:style>
  <w:style w:type="paragraph" w:customStyle="1" w:styleId="184">
    <w:name w:val=" Char Char Char Char"/>
    <w:basedOn w:val="1"/>
    <w:qFormat/>
    <w:uiPriority w:val="0"/>
  </w:style>
  <w:style w:type="paragraph" w:customStyle="1" w:styleId="185">
    <w:name w:val="CM23"/>
    <w:basedOn w:val="123"/>
    <w:next w:val="123"/>
    <w:qFormat/>
    <w:uiPriority w:val="0"/>
    <w:rPr>
      <w:rFonts w:cs="黑体"/>
      <w:color w:val="auto"/>
    </w:rPr>
  </w:style>
  <w:style w:type="paragraph" w:customStyle="1" w:styleId="186">
    <w:name w:val="CM20"/>
    <w:basedOn w:val="123"/>
    <w:next w:val="123"/>
    <w:qFormat/>
    <w:uiPriority w:val="0"/>
    <w:pPr>
      <w:spacing w:line="546" w:lineRule="atLeast"/>
    </w:pPr>
    <w:rPr>
      <w:rFonts w:hint="eastAsia"/>
    </w:rPr>
  </w:style>
  <w:style w:type="paragraph" w:customStyle="1" w:styleId="187">
    <w:name w:val="HTML Address"/>
    <w:basedOn w:val="1"/>
    <w:qFormat/>
    <w:uiPriority w:val="0"/>
    <w:pPr>
      <w:widowControl/>
      <w:snapToGrid w:val="0"/>
      <w:spacing w:before="100" w:beforeLines="0" w:beforeAutospacing="1" w:after="100" w:afterLines="0" w:afterAutospacing="1"/>
      <w:jc w:val="left"/>
    </w:pPr>
    <w:rPr>
      <w:rFonts w:ascii="宋体" w:hAnsi="宋体"/>
      <w:kern w:val="0"/>
      <w:sz w:val="28"/>
    </w:rPr>
  </w:style>
  <w:style w:type="paragraph" w:customStyle="1" w:styleId="188">
    <w:name w:val="Char1 Char Char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89">
    <w:name w:val="Char"/>
    <w:basedOn w:val="1"/>
    <w:next w:val="1"/>
    <w:qFormat/>
    <w:uiPriority w:val="0"/>
  </w:style>
  <w:style w:type="paragraph" w:styleId="190">
    <w:name w:val="List Paragraph"/>
    <w:basedOn w:val="1"/>
    <w:qFormat/>
    <w:uiPriority w:val="34"/>
    <w:pPr>
      <w:adjustRightInd/>
      <w:snapToGrid/>
      <w:spacing w:line="240" w:lineRule="auto"/>
      <w:ind w:firstLine="420"/>
    </w:pPr>
    <w:rPr>
      <w:sz w:val="21"/>
      <w:szCs w:val="22"/>
    </w:rPr>
  </w:style>
  <w:style w:type="character" w:customStyle="1" w:styleId="191">
    <w:name w:val="文本1 字符"/>
    <w:link w:val="192"/>
    <w:qFormat/>
    <w:uiPriority w:val="0"/>
    <w:rPr>
      <w:rFonts w:ascii="宋体" w:hAnsi="宋体"/>
      <w:sz w:val="28"/>
      <w:szCs w:val="28"/>
    </w:rPr>
  </w:style>
  <w:style w:type="paragraph" w:customStyle="1" w:styleId="192">
    <w:name w:val="文本1"/>
    <w:basedOn w:val="1"/>
    <w:link w:val="191"/>
    <w:qFormat/>
    <w:uiPriority w:val="0"/>
    <w:pPr>
      <w:adjustRightInd w:val="0"/>
      <w:snapToGrid w:val="0"/>
      <w:spacing w:line="360" w:lineRule="auto"/>
      <w:ind w:firstLine="560" w:firstLineChars="200"/>
    </w:pPr>
    <w:rPr>
      <w:rFonts w:ascii="宋体" w:hAnsi="宋体"/>
      <w:sz w:val="28"/>
      <w:szCs w:val="28"/>
    </w:rPr>
  </w:style>
  <w:style w:type="paragraph" w:customStyle="1" w:styleId="193">
    <w:name w:val="表文字"/>
    <w:basedOn w:val="124"/>
    <w:qFormat/>
    <w:uiPriority w:val="0"/>
    <w:pPr>
      <w:spacing w:line="240" w:lineRule="auto"/>
    </w:pPr>
    <w:rPr>
      <w:kern w:val="2"/>
      <w:sz w:val="24"/>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11056</Words>
  <Characters>13564</Characters>
  <Lines>435</Lines>
  <Paragraphs>122</Paragraphs>
  <TotalTime>19</TotalTime>
  <ScaleCrop>false</ScaleCrop>
  <LinksUpToDate>false</LinksUpToDate>
  <CharactersWithSpaces>13688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2022-10-29T14:19:00Z</dcterms:created>
  <dc:creator>anjianjukuanganke</dc:creator>
  <cp:lastModifiedBy>赵健威</cp:lastModifiedBy>
  <cp:lastPrinted>2024-04-11T11:07:00Z</cp:lastPrinted>
  <dcterms:modified xsi:type="dcterms:W3CDTF">2026-08-05T07:44:07Z</dcterms:modified>
  <dc:title>前   言</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529B7942809C4FF18A69BA9418964E54_13</vt:lpwstr>
  </property>
  <property fmtid="{D5CDD505-2E9C-101B-9397-08002B2CF9AE}" pid="4" name="KSOTemplateDocerSaveRecord">
    <vt:lpwstr>eyJoZGlkIjoiYTBiZWQwMTQ1NjNmOTA1MTM1YjQ1ZTY3ZTU0NjRkNzciLCJ1c2VySWQiOiI0MDE3ODY4MDgifQ==</vt:lpwstr>
  </property>
</Properties>
</file>