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03C6A">
      <w:pPr>
        <w:widowControl/>
        <w:snapToGrid/>
        <w:jc w:val="center"/>
        <w:rPr>
          <w:rFonts w:hint="default" w:ascii="Times New Roman" w:hAnsi="Times New Roman" w:cs="Times New Roman"/>
          <w:b/>
          <w:caps w:val="0"/>
          <w:smallCaps w:val="0"/>
          <w:spacing w:val="0"/>
          <w:w w:val="100"/>
          <w:sz w:val="44"/>
          <w:szCs w:val="24"/>
        </w:rPr>
      </w:pPr>
      <w:bookmarkStart w:id="0" w:name="_Toc257631489"/>
      <w:bookmarkStart w:id="1" w:name="_Toc380966207"/>
    </w:p>
    <w:p w14:paraId="0D4A76BE">
      <w:pPr>
        <w:widowControl/>
        <w:snapToGrid/>
        <w:jc w:val="center"/>
        <w:rPr>
          <w:rFonts w:hint="default" w:ascii="Times New Roman" w:hAnsi="Times New Roman" w:cs="Times New Roman"/>
          <w:b/>
          <w:caps w:val="0"/>
          <w:smallCaps w:val="0"/>
          <w:spacing w:val="0"/>
          <w:w w:val="100"/>
          <w:sz w:val="44"/>
          <w:szCs w:val="24"/>
        </w:rPr>
      </w:pPr>
    </w:p>
    <w:p w14:paraId="7CBA0E64">
      <w:pPr>
        <w:widowControl/>
        <w:snapToGrid/>
        <w:jc w:val="center"/>
        <w:rPr>
          <w:rFonts w:hint="default" w:ascii="Times New Roman" w:hAnsi="Times New Roman" w:cs="Times New Roman"/>
          <w:b/>
          <w:caps w:val="0"/>
          <w:smallCaps w:val="0"/>
          <w:spacing w:val="0"/>
          <w:w w:val="100"/>
          <w:sz w:val="44"/>
          <w:szCs w:val="24"/>
        </w:rPr>
      </w:pPr>
    </w:p>
    <w:p w14:paraId="4FF4949C">
      <w:pPr>
        <w:pageBreakBefore w:val="0"/>
        <w:widowControl/>
        <w:kinsoku/>
        <w:topLinePunct w:val="0"/>
        <w:bidi w:val="0"/>
        <w:adjustRightInd/>
        <w:snapToGrid/>
        <w:spacing w:line="360" w:lineRule="auto"/>
        <w:jc w:val="center"/>
        <w:rPr>
          <w:rFonts w:hint="default" w:ascii="Times New Roman" w:hAnsi="Times New Roman" w:eastAsia="宋体" w:cs="Times New Roman"/>
          <w:b/>
          <w:caps w:val="0"/>
          <w:smallCaps w:val="0"/>
          <w:spacing w:val="0"/>
          <w:w w:val="100"/>
          <w:sz w:val="44"/>
          <w:szCs w:val="24"/>
          <w:lang w:val="en-US" w:eastAsia="zh-CN"/>
        </w:rPr>
      </w:pPr>
      <w:r>
        <w:rPr>
          <w:rFonts w:hint="default" w:ascii="Times New Roman" w:hAnsi="Times New Roman" w:cs="Times New Roman"/>
          <w:b/>
          <w:caps w:val="0"/>
          <w:smallCaps w:val="0"/>
          <w:spacing w:val="0"/>
          <w:w w:val="100"/>
          <w:sz w:val="44"/>
          <w:szCs w:val="24"/>
        </w:rPr>
        <w:t>西双版纳中闽商贸有限公司勐海勐遮加油站原址改扩建项</w:t>
      </w:r>
      <w:r>
        <w:rPr>
          <w:rFonts w:hint="default" w:ascii="Times New Roman" w:hAnsi="Times New Roman" w:cs="Times New Roman"/>
          <w:b/>
          <w:caps w:val="0"/>
          <w:smallCaps w:val="0"/>
          <w:spacing w:val="0"/>
          <w:w w:val="100"/>
          <w:sz w:val="44"/>
          <w:szCs w:val="24"/>
          <w:lang w:val="en-US" w:eastAsia="zh-CN"/>
        </w:rPr>
        <w:t>目</w:t>
      </w:r>
    </w:p>
    <w:p w14:paraId="54A67C1F">
      <w:pPr>
        <w:widowControl/>
        <w:snapToGrid/>
        <w:jc w:val="center"/>
        <w:rPr>
          <w:rFonts w:hint="default" w:ascii="Times New Roman" w:hAnsi="Times New Roman" w:cs="Times New Roman"/>
          <w:b/>
          <w:caps w:val="0"/>
          <w:smallCaps w:val="0"/>
          <w:spacing w:val="0"/>
          <w:w w:val="100"/>
          <w:sz w:val="44"/>
          <w:szCs w:val="24"/>
        </w:rPr>
      </w:pPr>
    </w:p>
    <w:p w14:paraId="5974CDD6">
      <w:pPr>
        <w:pStyle w:val="138"/>
        <w:jc w:val="both"/>
        <w:rPr>
          <w:rFonts w:hint="default" w:ascii="Times New Roman" w:hAnsi="Times New Roman" w:cs="Times New Roman"/>
          <w:caps w:val="0"/>
          <w:smallCaps w:val="0"/>
          <w:spacing w:val="0"/>
          <w:w w:val="100"/>
        </w:rPr>
      </w:pPr>
    </w:p>
    <w:p w14:paraId="71097A62">
      <w:pPr>
        <w:widowControl/>
        <w:snapToGrid/>
        <w:spacing w:before="120"/>
        <w:jc w:val="center"/>
        <w:rPr>
          <w:rFonts w:hint="default" w:ascii="Times New Roman" w:hAnsi="Times New Roman" w:cs="Times New Roman"/>
          <w:b/>
          <w:caps w:val="0"/>
          <w:smallCaps w:val="0"/>
          <w:spacing w:val="0"/>
          <w:w w:val="100"/>
          <w:sz w:val="72"/>
          <w:szCs w:val="72"/>
        </w:rPr>
      </w:pPr>
      <w:r>
        <w:rPr>
          <w:rFonts w:hint="default" w:ascii="Times New Roman" w:hAnsi="Times New Roman" w:cs="Times New Roman"/>
          <w:b/>
          <w:caps w:val="0"/>
          <w:smallCaps w:val="0"/>
          <w:spacing w:val="0"/>
          <w:w w:val="100"/>
          <w:sz w:val="72"/>
          <w:szCs w:val="72"/>
        </w:rPr>
        <w:t>安全验收评价报告</w:t>
      </w:r>
    </w:p>
    <w:p w14:paraId="13A8F42C">
      <w:pPr>
        <w:pStyle w:val="138"/>
        <w:jc w:val="left"/>
        <w:rPr>
          <w:rFonts w:hint="default" w:ascii="Times New Roman" w:hAnsi="Times New Roman" w:cs="Times New Roman"/>
          <w:caps w:val="0"/>
          <w:smallCaps w:val="0"/>
          <w:spacing w:val="0"/>
          <w:w w:val="100"/>
        </w:rPr>
      </w:pPr>
    </w:p>
    <w:p w14:paraId="53ABE51E">
      <w:pPr>
        <w:pStyle w:val="138"/>
        <w:jc w:val="left"/>
        <w:rPr>
          <w:rFonts w:hint="default" w:ascii="Times New Roman" w:hAnsi="Times New Roman" w:cs="Times New Roman"/>
          <w:caps w:val="0"/>
          <w:smallCaps w:val="0"/>
          <w:spacing w:val="0"/>
          <w:w w:val="100"/>
        </w:rPr>
      </w:pPr>
    </w:p>
    <w:p w14:paraId="0481A564">
      <w:pPr>
        <w:snapToGrid/>
        <w:ind w:firstLine="320" w:firstLineChars="100"/>
        <w:rPr>
          <w:rFonts w:hint="default" w:ascii="Times New Roman" w:hAnsi="Times New Roman" w:cs="Times New Roman"/>
          <w:caps w:val="0"/>
          <w:smallCaps w:val="0"/>
          <w:spacing w:val="0"/>
          <w:w w:val="100"/>
          <w:kern w:val="0"/>
          <w:sz w:val="32"/>
          <w:szCs w:val="24"/>
        </w:rPr>
      </w:pPr>
      <w:r>
        <w:rPr>
          <w:rFonts w:hint="default" w:ascii="Times New Roman" w:hAnsi="Times New Roman" w:cs="Times New Roman"/>
          <w:caps w:val="0"/>
          <w:smallCaps w:val="0"/>
          <w:spacing w:val="0"/>
          <w:w w:val="100"/>
          <w:kern w:val="0"/>
          <w:sz w:val="32"/>
          <w:szCs w:val="24"/>
        </w:rPr>
        <w:t>建设单位：西双版纳中闽商贸有限公司勐海勐遮加油站</w:t>
      </w:r>
    </w:p>
    <w:p w14:paraId="7CB2999B">
      <w:pPr>
        <w:snapToGrid/>
        <w:ind w:firstLine="320" w:firstLineChars="100"/>
        <w:rPr>
          <w:rFonts w:hint="eastAsia" w:ascii="Times New Roman" w:hAnsi="Times New Roman" w:eastAsia="宋体" w:cs="Times New Roman"/>
          <w:caps w:val="0"/>
          <w:smallCaps w:val="0"/>
          <w:spacing w:val="0"/>
          <w:w w:val="100"/>
          <w:kern w:val="0"/>
          <w:sz w:val="32"/>
          <w:szCs w:val="24"/>
          <w:lang w:eastAsia="zh-CN"/>
        </w:rPr>
      </w:pPr>
      <w:r>
        <w:rPr>
          <w:rFonts w:hint="default" w:ascii="Times New Roman" w:hAnsi="Times New Roman" w:cs="Times New Roman"/>
          <w:caps w:val="0"/>
          <w:smallCaps w:val="0"/>
          <w:spacing w:val="0"/>
          <w:w w:val="100"/>
          <w:kern w:val="0"/>
          <w:sz w:val="32"/>
          <w:szCs w:val="24"/>
        </w:rPr>
        <w:t>建设单位法定代表人：</w:t>
      </w:r>
      <w:r>
        <w:rPr>
          <w:rFonts w:hint="eastAsia" w:ascii="Times New Roman" w:cs="Times New Roman"/>
          <w:caps w:val="0"/>
          <w:smallCaps w:val="0"/>
          <w:spacing w:val="0"/>
          <w:w w:val="100"/>
          <w:kern w:val="0"/>
          <w:sz w:val="32"/>
          <w:szCs w:val="24"/>
          <w:lang w:val="en-US" w:eastAsia="zh-CN"/>
        </w:rPr>
        <w:t>XX</w:t>
      </w:r>
    </w:p>
    <w:p w14:paraId="6ABBDCEC">
      <w:pPr>
        <w:snapToGrid/>
        <w:ind w:firstLine="320" w:firstLineChars="100"/>
        <w:rPr>
          <w:rFonts w:hint="default" w:ascii="Times New Roman" w:hAnsi="Times New Roman" w:cs="Times New Roman"/>
          <w:caps w:val="0"/>
          <w:smallCaps w:val="0"/>
          <w:spacing w:val="0"/>
          <w:w w:val="100"/>
          <w:kern w:val="0"/>
          <w:sz w:val="32"/>
          <w:szCs w:val="24"/>
        </w:rPr>
      </w:pPr>
      <w:r>
        <w:rPr>
          <w:rFonts w:hint="default" w:ascii="Times New Roman" w:hAnsi="Times New Roman" w:cs="Times New Roman"/>
          <w:caps w:val="0"/>
          <w:smallCaps w:val="0"/>
          <w:spacing w:val="0"/>
          <w:w w:val="100"/>
          <w:kern w:val="0"/>
          <w:sz w:val="32"/>
          <w:szCs w:val="24"/>
        </w:rPr>
        <w:t>建设项目单位：西双版纳中闽商贸有限公司勐海勐遮加油站</w:t>
      </w:r>
    </w:p>
    <w:p w14:paraId="44172F43">
      <w:pPr>
        <w:snapToGrid/>
        <w:ind w:firstLine="320" w:firstLineChars="100"/>
        <w:rPr>
          <w:rFonts w:hint="eastAsia" w:ascii="Times New Roman" w:hAnsi="Times New Roman" w:eastAsia="宋体" w:cs="Times New Roman"/>
          <w:caps w:val="0"/>
          <w:smallCaps w:val="0"/>
          <w:spacing w:val="0"/>
          <w:w w:val="100"/>
          <w:kern w:val="0"/>
          <w:sz w:val="32"/>
          <w:szCs w:val="24"/>
          <w:lang w:eastAsia="zh-CN"/>
        </w:rPr>
      </w:pPr>
      <w:r>
        <w:rPr>
          <w:rFonts w:hint="default" w:ascii="Times New Roman" w:hAnsi="Times New Roman" w:cs="Times New Roman"/>
          <w:caps w:val="0"/>
          <w:smallCaps w:val="0"/>
          <w:spacing w:val="0"/>
          <w:w w:val="100"/>
          <w:kern w:val="0"/>
          <w:sz w:val="32"/>
          <w:szCs w:val="24"/>
        </w:rPr>
        <w:t>建设项目单位主要负责人：</w:t>
      </w:r>
      <w:r>
        <w:rPr>
          <w:rFonts w:hint="eastAsia" w:ascii="Times New Roman" w:cs="Times New Roman"/>
          <w:caps w:val="0"/>
          <w:smallCaps w:val="0"/>
          <w:spacing w:val="0"/>
          <w:w w:val="100"/>
          <w:kern w:val="0"/>
          <w:sz w:val="32"/>
          <w:szCs w:val="24"/>
          <w:lang w:val="en-US" w:eastAsia="zh-CN"/>
        </w:rPr>
        <w:t>XX</w:t>
      </w:r>
    </w:p>
    <w:p w14:paraId="487CFBE6">
      <w:pPr>
        <w:snapToGrid/>
        <w:ind w:firstLine="320" w:firstLineChars="100"/>
        <w:rPr>
          <w:rFonts w:hint="eastAsia" w:ascii="Times New Roman" w:hAnsi="Times New Roman" w:eastAsia="宋体" w:cs="Times New Roman"/>
          <w:caps w:val="0"/>
          <w:smallCaps w:val="0"/>
          <w:spacing w:val="0"/>
          <w:w w:val="100"/>
          <w:kern w:val="0"/>
          <w:sz w:val="32"/>
          <w:szCs w:val="24"/>
          <w:lang w:val="en-US" w:eastAsia="zh-CN"/>
        </w:rPr>
      </w:pPr>
      <w:r>
        <w:rPr>
          <w:rFonts w:hint="default" w:ascii="Times New Roman" w:hAnsi="Times New Roman" w:cs="Times New Roman"/>
          <w:caps w:val="0"/>
          <w:smallCaps w:val="0"/>
          <w:spacing w:val="0"/>
          <w:w w:val="100"/>
          <w:kern w:val="0"/>
          <w:sz w:val="32"/>
          <w:szCs w:val="24"/>
        </w:rPr>
        <w:t>建设项目单位联系人：</w:t>
      </w:r>
      <w:r>
        <w:rPr>
          <w:rFonts w:hint="eastAsia" w:ascii="Times New Roman" w:cs="Times New Roman"/>
          <w:caps w:val="0"/>
          <w:smallCaps w:val="0"/>
          <w:spacing w:val="0"/>
          <w:w w:val="100"/>
          <w:kern w:val="0"/>
          <w:sz w:val="32"/>
          <w:szCs w:val="24"/>
          <w:lang w:val="en-US" w:eastAsia="zh-CN"/>
        </w:rPr>
        <w:t>XX</w:t>
      </w:r>
    </w:p>
    <w:p w14:paraId="7DD8893B">
      <w:pPr>
        <w:snapToGrid/>
        <w:ind w:firstLine="320" w:firstLineChars="100"/>
        <w:rPr>
          <w:rFonts w:hint="eastAsia" w:ascii="Times New Roman" w:hAnsi="Times New Roman" w:eastAsia="宋体" w:cs="Times New Roman"/>
          <w:caps w:val="0"/>
          <w:smallCaps w:val="0"/>
          <w:spacing w:val="0"/>
          <w:w w:val="100"/>
          <w:kern w:val="0"/>
          <w:sz w:val="32"/>
          <w:szCs w:val="24"/>
          <w:lang w:val="en-US" w:eastAsia="zh-CN"/>
        </w:rPr>
      </w:pPr>
      <w:r>
        <w:rPr>
          <w:rFonts w:hint="default" w:ascii="Times New Roman" w:hAnsi="Times New Roman" w:cs="Times New Roman"/>
          <w:caps w:val="0"/>
          <w:smallCaps w:val="0"/>
          <w:spacing w:val="0"/>
          <w:w w:val="100"/>
          <w:kern w:val="0"/>
          <w:sz w:val="32"/>
          <w:szCs w:val="24"/>
        </w:rPr>
        <w:t>建设项目单位联系电话：</w:t>
      </w:r>
      <w:r>
        <w:rPr>
          <w:rFonts w:hint="eastAsia" w:ascii="Times New Roman" w:cs="Times New Roman"/>
          <w:caps w:val="0"/>
          <w:smallCaps w:val="0"/>
          <w:spacing w:val="0"/>
          <w:w w:val="100"/>
          <w:kern w:val="0"/>
          <w:sz w:val="32"/>
          <w:szCs w:val="24"/>
          <w:lang w:val="en-US" w:eastAsia="zh-CN"/>
        </w:rPr>
        <w:t>XX</w:t>
      </w:r>
    </w:p>
    <w:p w14:paraId="7715A51A">
      <w:pPr>
        <w:autoSpaceDE w:val="0"/>
        <w:autoSpaceDN w:val="0"/>
        <w:snapToGrid/>
        <w:rPr>
          <w:rFonts w:hint="default" w:ascii="Times New Roman" w:hAnsi="Times New Roman" w:cs="Times New Roman"/>
          <w:caps w:val="0"/>
          <w:smallCaps w:val="0"/>
          <w:spacing w:val="0"/>
          <w:w w:val="100"/>
          <w:kern w:val="0"/>
          <w:sz w:val="32"/>
        </w:rPr>
      </w:pPr>
    </w:p>
    <w:p w14:paraId="146BBC47">
      <w:pPr>
        <w:widowControl/>
        <w:snapToGrid/>
        <w:spacing w:before="120"/>
        <w:jc w:val="left"/>
        <w:rPr>
          <w:rFonts w:hint="default" w:ascii="Times New Roman" w:hAnsi="Times New Roman" w:cs="Times New Roman"/>
          <w:caps w:val="0"/>
          <w:smallCaps w:val="0"/>
          <w:spacing w:val="0"/>
          <w:w w:val="100"/>
          <w:kern w:val="0"/>
          <w:sz w:val="32"/>
          <w:szCs w:val="24"/>
        </w:rPr>
      </w:pPr>
    </w:p>
    <w:p w14:paraId="04229D94">
      <w:pPr>
        <w:widowControl/>
        <w:snapToGrid/>
        <w:spacing w:before="120"/>
        <w:jc w:val="center"/>
        <w:rPr>
          <w:rFonts w:hint="default" w:ascii="Times New Roman" w:hAnsi="Times New Roman" w:cs="Times New Roman"/>
          <w:caps w:val="0"/>
          <w:smallCaps w:val="0"/>
          <w:spacing w:val="0"/>
          <w:w w:val="100"/>
          <w:kern w:val="0"/>
          <w:sz w:val="32"/>
          <w:szCs w:val="24"/>
        </w:rPr>
      </w:pPr>
      <w:r>
        <w:rPr>
          <w:rFonts w:hint="default" w:ascii="Times New Roman" w:hAnsi="Times New Roman" w:cs="Times New Roman"/>
          <w:caps w:val="0"/>
          <w:smallCaps w:val="0"/>
          <w:spacing w:val="0"/>
          <w:w w:val="100"/>
          <w:kern w:val="0"/>
          <w:sz w:val="32"/>
          <w:szCs w:val="24"/>
        </w:rPr>
        <w:t>（建设单位公章）</w:t>
      </w:r>
    </w:p>
    <w:p w14:paraId="3F03E991">
      <w:pPr>
        <w:widowControl/>
        <w:snapToGrid/>
        <w:spacing w:before="120"/>
        <w:jc w:val="center"/>
        <w:rPr>
          <w:rFonts w:hint="default" w:ascii="Times New Roman" w:hAnsi="Times New Roman" w:cs="Times New Roman"/>
          <w:caps w:val="0"/>
          <w:smallCaps w:val="0"/>
          <w:spacing w:val="0"/>
          <w:w w:val="100"/>
          <w:kern w:val="0"/>
          <w:sz w:val="32"/>
          <w:szCs w:val="24"/>
        </w:rPr>
      </w:pPr>
      <w:r>
        <w:rPr>
          <w:rFonts w:hint="default" w:ascii="Times New Roman" w:hAnsi="Times New Roman" w:cs="Times New Roman"/>
          <w:caps w:val="0"/>
          <w:smallCaps w:val="0"/>
          <w:spacing w:val="0"/>
          <w:w w:val="100"/>
          <w:kern w:val="0"/>
          <w:sz w:val="32"/>
          <w:szCs w:val="24"/>
        </w:rPr>
        <w:t>2025年10月</w:t>
      </w:r>
    </w:p>
    <w:p w14:paraId="14243F5D">
      <w:pPr>
        <w:pStyle w:val="2"/>
        <w:adjustRightInd/>
        <w:snapToGrid/>
        <w:ind w:firstLine="0"/>
        <w:jc w:val="center"/>
        <w:rPr>
          <w:rFonts w:hint="default" w:ascii="Times New Roman" w:hAnsi="Times New Roman" w:cs="Times New Roman"/>
          <w:b/>
          <w:caps w:val="0"/>
          <w:smallCaps w:val="0"/>
          <w:spacing w:val="0"/>
          <w:w w:val="100"/>
          <w:sz w:val="44"/>
        </w:rPr>
      </w:pPr>
      <w:r>
        <w:rPr>
          <w:rFonts w:hint="default" w:ascii="Times New Roman" w:hAnsi="Times New Roman" w:cs="Times New Roman"/>
          <w:b/>
          <w:caps w:val="0"/>
          <w:smallCaps w:val="0"/>
          <w:spacing w:val="0"/>
          <w:w w:val="100"/>
          <w:sz w:val="44"/>
        </w:rPr>
        <w:br w:type="page"/>
      </w:r>
    </w:p>
    <w:p w14:paraId="4D9F8489">
      <w:pPr>
        <w:pStyle w:val="2"/>
        <w:adjustRightInd/>
        <w:snapToGrid/>
        <w:ind w:firstLine="0"/>
        <w:jc w:val="right"/>
        <w:rPr>
          <w:rFonts w:hint="default" w:ascii="Times New Roman" w:hAnsi="Times New Roman" w:cs="Times New Roman"/>
          <w:b w:val="0"/>
          <w:bCs/>
          <w:caps w:val="0"/>
          <w:smallCaps w:val="0"/>
          <w:spacing w:val="0"/>
          <w:w w:val="100"/>
          <w:sz w:val="28"/>
          <w:szCs w:val="18"/>
        </w:rPr>
      </w:pPr>
      <w:r>
        <w:rPr>
          <w:rFonts w:hint="default" w:ascii="Times New Roman" w:hAnsi="Times New Roman" w:cs="Times New Roman"/>
          <w:b w:val="0"/>
          <w:bCs/>
          <w:caps w:val="0"/>
          <w:smallCaps w:val="0"/>
          <w:spacing w:val="0"/>
          <w:w w:val="100"/>
          <w:sz w:val="28"/>
          <w:szCs w:val="18"/>
        </w:rPr>
        <w:t>NCAP/WH-YS-2025-025</w:t>
      </w:r>
    </w:p>
    <w:p w14:paraId="7BAC6CFC">
      <w:pPr>
        <w:pStyle w:val="2"/>
        <w:adjustRightInd/>
        <w:snapToGrid/>
        <w:ind w:firstLine="0"/>
        <w:jc w:val="center"/>
        <w:rPr>
          <w:rFonts w:hint="default" w:ascii="Times New Roman" w:hAnsi="Times New Roman" w:cs="Times New Roman"/>
          <w:b/>
          <w:caps w:val="0"/>
          <w:smallCaps w:val="0"/>
          <w:spacing w:val="0"/>
          <w:w w:val="100"/>
          <w:sz w:val="44"/>
        </w:rPr>
      </w:pPr>
    </w:p>
    <w:p w14:paraId="17F076B5">
      <w:pPr>
        <w:pStyle w:val="2"/>
        <w:adjustRightInd/>
        <w:snapToGrid/>
        <w:ind w:firstLine="0"/>
        <w:jc w:val="center"/>
        <w:rPr>
          <w:rFonts w:hint="default" w:ascii="Times New Roman" w:hAnsi="Times New Roman" w:cs="Times New Roman"/>
          <w:b/>
          <w:caps w:val="0"/>
          <w:smallCaps w:val="0"/>
          <w:spacing w:val="0"/>
          <w:w w:val="100"/>
          <w:sz w:val="44"/>
        </w:rPr>
      </w:pPr>
    </w:p>
    <w:p w14:paraId="20DDEAFF">
      <w:pPr>
        <w:pStyle w:val="2"/>
        <w:adjustRightInd/>
        <w:snapToGrid/>
        <w:ind w:firstLine="0"/>
        <w:jc w:val="center"/>
        <w:rPr>
          <w:rFonts w:hint="default" w:ascii="Times New Roman" w:hAnsi="Times New Roman" w:cs="Times New Roman"/>
          <w:b/>
          <w:caps w:val="0"/>
          <w:smallCaps w:val="0"/>
          <w:spacing w:val="0"/>
          <w:w w:val="100"/>
          <w:sz w:val="44"/>
        </w:rPr>
      </w:pPr>
      <w:r>
        <w:rPr>
          <w:rFonts w:hint="default" w:ascii="Times New Roman" w:hAnsi="Times New Roman" w:cs="Times New Roman"/>
          <w:b/>
          <w:bCs/>
          <w:caps w:val="0"/>
          <w:smallCaps w:val="0"/>
          <w:snapToGrid w:val="0"/>
          <w:color w:val="auto"/>
          <w:spacing w:val="0"/>
          <w:w w:val="100"/>
          <w:kern w:val="28"/>
          <w:sz w:val="44"/>
          <w:szCs w:val="44"/>
        </w:rPr>
        <w:t>西双版纳中闽商贸有限公司勐海勐遮加油站原址改扩建项目</w:t>
      </w:r>
    </w:p>
    <w:p w14:paraId="7C8CFE64">
      <w:pPr>
        <w:pStyle w:val="138"/>
        <w:jc w:val="both"/>
        <w:rPr>
          <w:rFonts w:hint="default" w:ascii="Times New Roman" w:hAnsi="Times New Roman" w:cs="Times New Roman"/>
          <w:caps w:val="0"/>
          <w:smallCaps w:val="0"/>
          <w:spacing w:val="0"/>
          <w:w w:val="100"/>
        </w:rPr>
      </w:pPr>
    </w:p>
    <w:p w14:paraId="480846A7">
      <w:pPr>
        <w:snapToGrid/>
        <w:jc w:val="center"/>
        <w:rPr>
          <w:rFonts w:hint="default" w:ascii="Times New Roman" w:hAnsi="Times New Roman" w:cs="Times New Roman"/>
          <w:b/>
          <w:bCs/>
          <w:caps w:val="0"/>
          <w:smallCaps w:val="0"/>
          <w:snapToGrid w:val="0"/>
          <w:spacing w:val="0"/>
          <w:w w:val="100"/>
          <w:kern w:val="0"/>
          <w:sz w:val="52"/>
          <w:szCs w:val="52"/>
        </w:rPr>
      </w:pPr>
      <w:r>
        <w:rPr>
          <w:rFonts w:hint="default" w:ascii="Times New Roman" w:hAnsi="Times New Roman" w:cs="Times New Roman"/>
          <w:b/>
          <w:bCs/>
          <w:caps w:val="0"/>
          <w:smallCaps w:val="0"/>
          <w:snapToGrid w:val="0"/>
          <w:spacing w:val="0"/>
          <w:w w:val="100"/>
          <w:kern w:val="0"/>
          <w:sz w:val="52"/>
          <w:szCs w:val="52"/>
        </w:rPr>
        <w:t>安全验收评价报告</w:t>
      </w:r>
    </w:p>
    <w:p w14:paraId="008B461F">
      <w:pPr>
        <w:pStyle w:val="138"/>
        <w:jc w:val="left"/>
        <w:rPr>
          <w:rFonts w:hint="default" w:ascii="Times New Roman" w:hAnsi="Times New Roman" w:cs="Times New Roman"/>
          <w:caps w:val="0"/>
          <w:smallCaps w:val="0"/>
          <w:spacing w:val="0"/>
          <w:w w:val="100"/>
        </w:rPr>
      </w:pPr>
    </w:p>
    <w:p w14:paraId="7A0DB161">
      <w:pPr>
        <w:pStyle w:val="138"/>
        <w:jc w:val="left"/>
        <w:rPr>
          <w:rFonts w:hint="default" w:ascii="Times New Roman" w:hAnsi="Times New Roman" w:cs="Times New Roman"/>
          <w:caps w:val="0"/>
          <w:smallCaps w:val="0"/>
          <w:spacing w:val="0"/>
          <w:w w:val="100"/>
        </w:rPr>
      </w:pPr>
    </w:p>
    <w:p w14:paraId="7A5AD730">
      <w:pPr>
        <w:pStyle w:val="138"/>
        <w:rPr>
          <w:rFonts w:hint="default" w:ascii="Times New Roman" w:hAnsi="Times New Roman" w:cs="Times New Roman"/>
          <w:caps w:val="0"/>
          <w:smallCaps w:val="0"/>
          <w:spacing w:val="0"/>
          <w:w w:val="100"/>
        </w:rPr>
      </w:pPr>
    </w:p>
    <w:p w14:paraId="09FE490C">
      <w:pPr>
        <w:pStyle w:val="146"/>
        <w:adjustRightInd/>
        <w:snapToGrid/>
        <w:ind w:firstLine="2080" w:firstLineChars="650"/>
        <w:jc w:val="left"/>
        <w:rPr>
          <w:rFonts w:hint="default" w:ascii="Times New Roman" w:hAnsi="Times New Roman" w:eastAsia="宋体" w:cs="Times New Roman"/>
          <w:caps w:val="0"/>
          <w:smallCaps w:val="0"/>
          <w:spacing w:val="0"/>
          <w:w w:val="100"/>
          <w:szCs w:val="32"/>
        </w:rPr>
      </w:pPr>
      <w:r>
        <w:rPr>
          <w:rFonts w:hint="default" w:ascii="Times New Roman" w:hAnsi="Times New Roman" w:eastAsia="宋体" w:cs="Times New Roman"/>
          <w:caps w:val="0"/>
          <w:smallCaps w:val="0"/>
          <w:spacing w:val="0"/>
          <w:w w:val="100"/>
          <w:szCs w:val="32"/>
        </w:rPr>
        <w:t>评价机构名称：辽宁诺诚安全科技有限公司</w:t>
      </w:r>
    </w:p>
    <w:p w14:paraId="7B450787">
      <w:pPr>
        <w:pStyle w:val="146"/>
        <w:adjustRightInd/>
        <w:snapToGrid/>
        <w:ind w:firstLine="2080" w:firstLineChars="650"/>
        <w:jc w:val="left"/>
        <w:rPr>
          <w:rFonts w:hint="default" w:ascii="Times New Roman" w:hAnsi="Times New Roman" w:eastAsia="宋体" w:cs="Times New Roman"/>
          <w:caps w:val="0"/>
          <w:smallCaps w:val="0"/>
          <w:spacing w:val="0"/>
          <w:w w:val="100"/>
          <w:szCs w:val="32"/>
        </w:rPr>
      </w:pPr>
      <w:r>
        <w:rPr>
          <w:rFonts w:hint="default" w:ascii="Times New Roman" w:hAnsi="Times New Roman" w:eastAsia="宋体" w:cs="Times New Roman"/>
          <w:caps w:val="0"/>
          <w:smallCaps w:val="0"/>
          <w:spacing w:val="0"/>
          <w:w w:val="100"/>
          <w:szCs w:val="32"/>
        </w:rPr>
        <w:t>资质证书编号：APJ-（辽）-021</w:t>
      </w:r>
    </w:p>
    <w:p w14:paraId="223ED2C3">
      <w:pPr>
        <w:pStyle w:val="146"/>
        <w:adjustRightInd/>
        <w:snapToGrid/>
        <w:ind w:firstLine="2080" w:firstLineChars="650"/>
        <w:jc w:val="left"/>
        <w:rPr>
          <w:rFonts w:hint="default" w:ascii="Times New Roman" w:hAnsi="Times New Roman" w:eastAsia="宋体" w:cs="Times New Roman"/>
          <w:caps w:val="0"/>
          <w:smallCaps w:val="0"/>
          <w:spacing w:val="0"/>
          <w:w w:val="100"/>
          <w:szCs w:val="32"/>
        </w:rPr>
      </w:pPr>
      <w:r>
        <w:rPr>
          <w:rFonts w:hint="default" w:ascii="Times New Roman" w:hAnsi="Times New Roman" w:eastAsia="宋体" w:cs="Times New Roman"/>
          <w:caps w:val="0"/>
          <w:smallCaps w:val="0"/>
          <w:spacing w:val="0"/>
          <w:w w:val="100"/>
          <w:szCs w:val="32"/>
        </w:rPr>
        <w:t>法定代表人：孙同辉</w:t>
      </w:r>
    </w:p>
    <w:p w14:paraId="5F283B1C">
      <w:pPr>
        <w:pStyle w:val="146"/>
        <w:adjustRightInd/>
        <w:snapToGrid/>
        <w:ind w:firstLine="2080" w:firstLineChars="650"/>
        <w:jc w:val="left"/>
        <w:rPr>
          <w:rFonts w:hint="default" w:ascii="Times New Roman" w:hAnsi="Times New Roman" w:eastAsia="宋体" w:cs="Times New Roman"/>
          <w:caps w:val="0"/>
          <w:smallCaps w:val="0"/>
          <w:spacing w:val="0"/>
          <w:w w:val="100"/>
          <w:szCs w:val="32"/>
        </w:rPr>
      </w:pPr>
      <w:r>
        <w:rPr>
          <w:rFonts w:hint="default" w:ascii="Times New Roman" w:hAnsi="Times New Roman" w:eastAsia="宋体" w:cs="Times New Roman"/>
          <w:caps w:val="0"/>
          <w:smallCaps w:val="0"/>
          <w:spacing w:val="0"/>
          <w:w w:val="100"/>
          <w:szCs w:val="32"/>
        </w:rPr>
        <w:t>技术负责人：林存广</w:t>
      </w:r>
    </w:p>
    <w:p w14:paraId="25708AD3">
      <w:pPr>
        <w:pStyle w:val="146"/>
        <w:adjustRightInd/>
        <w:snapToGrid/>
        <w:ind w:firstLine="2080" w:firstLineChars="650"/>
        <w:jc w:val="left"/>
        <w:rPr>
          <w:rFonts w:hint="default" w:ascii="Times New Roman" w:hAnsi="Times New Roman" w:eastAsia="宋体" w:cs="Times New Roman"/>
          <w:caps w:val="0"/>
          <w:smallCaps w:val="0"/>
          <w:spacing w:val="0"/>
          <w:w w:val="100"/>
          <w:szCs w:val="32"/>
        </w:rPr>
      </w:pPr>
      <w:r>
        <w:rPr>
          <w:rFonts w:hint="default" w:ascii="Times New Roman" w:hAnsi="Times New Roman" w:eastAsia="宋体" w:cs="Times New Roman"/>
          <w:caps w:val="0"/>
          <w:smallCaps w:val="0"/>
          <w:spacing w:val="0"/>
          <w:w w:val="100"/>
          <w:szCs w:val="32"/>
        </w:rPr>
        <w:t>评价负责人：杨会明</w:t>
      </w:r>
    </w:p>
    <w:p w14:paraId="698A7879">
      <w:pPr>
        <w:pStyle w:val="146"/>
        <w:adjustRightInd/>
        <w:snapToGrid/>
        <w:ind w:firstLine="2080" w:firstLineChars="650"/>
        <w:jc w:val="left"/>
        <w:rPr>
          <w:rFonts w:hint="default" w:ascii="Times New Roman" w:hAnsi="Times New Roman" w:eastAsia="宋体" w:cs="Times New Roman"/>
          <w:caps w:val="0"/>
          <w:smallCaps w:val="0"/>
          <w:spacing w:val="0"/>
          <w:w w:val="100"/>
          <w:szCs w:val="32"/>
        </w:rPr>
      </w:pPr>
      <w:r>
        <w:rPr>
          <w:rFonts w:hint="default" w:ascii="Times New Roman" w:hAnsi="Times New Roman" w:eastAsia="宋体" w:cs="Times New Roman"/>
          <w:caps w:val="0"/>
          <w:smallCaps w:val="0"/>
          <w:spacing w:val="0"/>
          <w:w w:val="100"/>
          <w:szCs w:val="32"/>
        </w:rPr>
        <w:t>评价机构联系电话：024-31028189</w:t>
      </w:r>
    </w:p>
    <w:p w14:paraId="003CA02A">
      <w:pPr>
        <w:pStyle w:val="138"/>
        <w:jc w:val="both"/>
        <w:rPr>
          <w:rFonts w:hint="default" w:ascii="Times New Roman" w:hAnsi="Times New Roman" w:cs="Times New Roman"/>
          <w:bCs w:val="0"/>
          <w:caps w:val="0"/>
          <w:smallCaps w:val="0"/>
          <w:spacing w:val="0"/>
          <w:w w:val="100"/>
          <w:kern w:val="2"/>
          <w:sz w:val="28"/>
          <w:szCs w:val="28"/>
        </w:rPr>
      </w:pPr>
    </w:p>
    <w:p w14:paraId="30D91572">
      <w:pPr>
        <w:pStyle w:val="138"/>
        <w:jc w:val="both"/>
        <w:rPr>
          <w:rFonts w:hint="default" w:ascii="Times New Roman" w:hAnsi="Times New Roman" w:cs="Times New Roman"/>
          <w:bCs w:val="0"/>
          <w:caps w:val="0"/>
          <w:smallCaps w:val="0"/>
          <w:spacing w:val="0"/>
          <w:w w:val="100"/>
          <w:kern w:val="2"/>
          <w:sz w:val="28"/>
          <w:szCs w:val="28"/>
        </w:rPr>
      </w:pPr>
    </w:p>
    <w:p w14:paraId="13187402">
      <w:pPr>
        <w:widowControl/>
        <w:snapToGrid/>
        <w:spacing w:before="120"/>
        <w:jc w:val="center"/>
        <w:rPr>
          <w:rFonts w:hint="default" w:ascii="Times New Roman" w:hAnsi="Times New Roman" w:cs="Times New Roman"/>
          <w:caps w:val="0"/>
          <w:smallCaps w:val="0"/>
          <w:spacing w:val="0"/>
          <w:w w:val="100"/>
          <w:kern w:val="0"/>
          <w:sz w:val="32"/>
          <w:szCs w:val="24"/>
        </w:rPr>
      </w:pPr>
      <w:r>
        <w:rPr>
          <w:rFonts w:hint="default" w:ascii="Times New Roman" w:hAnsi="Times New Roman" w:cs="Times New Roman"/>
          <w:caps w:val="0"/>
          <w:smallCaps w:val="0"/>
          <w:spacing w:val="0"/>
          <w:w w:val="100"/>
          <w:kern w:val="0"/>
          <w:sz w:val="32"/>
          <w:szCs w:val="24"/>
        </w:rPr>
        <w:t>（安全评价机构公章）</w:t>
      </w:r>
    </w:p>
    <w:p w14:paraId="2C273E6E">
      <w:pPr>
        <w:widowControl/>
        <w:snapToGrid/>
        <w:spacing w:before="120"/>
        <w:jc w:val="center"/>
        <w:rPr>
          <w:rFonts w:hint="default" w:ascii="Times New Roman" w:hAnsi="Times New Roman" w:cs="Times New Roman"/>
          <w:caps w:val="0"/>
          <w:smallCaps w:val="0"/>
          <w:spacing w:val="0"/>
          <w:w w:val="100"/>
          <w:kern w:val="0"/>
          <w:sz w:val="32"/>
          <w:szCs w:val="24"/>
        </w:rPr>
      </w:pPr>
      <w:r>
        <w:rPr>
          <w:rFonts w:hint="default" w:ascii="Times New Roman" w:hAnsi="Times New Roman" w:cs="Times New Roman"/>
          <w:caps w:val="0"/>
          <w:smallCaps w:val="0"/>
          <w:spacing w:val="0"/>
          <w:w w:val="100"/>
          <w:kern w:val="0"/>
          <w:sz w:val="32"/>
          <w:szCs w:val="24"/>
        </w:rPr>
        <w:t>2025年10月</w:t>
      </w:r>
    </w:p>
    <w:p w14:paraId="7892C34C">
      <w:pPr>
        <w:snapToGrid/>
        <w:jc w:val="center"/>
        <w:rPr>
          <w:rFonts w:hint="default" w:ascii="Times New Roman" w:hAnsi="Times New Roman" w:eastAsia="方正仿宋_GB2312" w:cs="Times New Roman"/>
          <w:caps w:val="0"/>
          <w:smallCaps w:val="0"/>
          <w:spacing w:val="0"/>
          <w:w w:val="100"/>
          <w:sz w:val="32"/>
          <w:szCs w:val="32"/>
        </w:rPr>
        <w:sectPr>
          <w:footerReference r:id="rId5" w:type="default"/>
          <w:pgSz w:w="11906" w:h="16838"/>
          <w:pgMar w:top="1361" w:right="1588" w:bottom="1134" w:left="1588" w:header="851" w:footer="992" w:gutter="0"/>
          <w:pgNumType w:start="1"/>
          <w:cols w:space="720" w:num="1"/>
          <w:docGrid w:type="linesAndChars" w:linePitch="312" w:charSpace="0"/>
        </w:sectPr>
      </w:pPr>
    </w:p>
    <w:p w14:paraId="315B236F">
      <w:pPr>
        <w:snapToGrid/>
        <w:spacing w:before="27"/>
        <w:jc w:val="center"/>
        <w:rPr>
          <w:rFonts w:hint="default" w:ascii="Times New Roman" w:hAnsi="Times New Roman" w:cs="Times New Roman"/>
          <w:b/>
          <w:bCs/>
          <w:caps w:val="0"/>
          <w:smallCaps w:val="0"/>
          <w:spacing w:val="0"/>
          <w:w w:val="100"/>
          <w:sz w:val="32"/>
          <w:szCs w:val="32"/>
        </w:rPr>
      </w:pPr>
      <w:r>
        <w:rPr>
          <w:rFonts w:hint="default" w:ascii="Times New Roman" w:hAnsi="Times New Roman" w:cs="Times New Roman"/>
          <w:b/>
          <w:bCs/>
          <w:caps w:val="0"/>
          <w:smallCaps w:val="0"/>
          <w:spacing w:val="0"/>
          <w:w w:val="100"/>
          <w:sz w:val="32"/>
          <w:szCs w:val="32"/>
        </w:rPr>
        <w:t>评 价 人 员</w:t>
      </w:r>
    </w:p>
    <w:tbl>
      <w:tblPr>
        <w:tblStyle w:val="34"/>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140"/>
        <w:gridCol w:w="1387"/>
        <w:gridCol w:w="2434"/>
        <w:gridCol w:w="1746"/>
        <w:gridCol w:w="1594"/>
      </w:tblGrid>
      <w:tr w14:paraId="359C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106B37AA">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评价单位</w:t>
            </w:r>
          </w:p>
        </w:tc>
        <w:tc>
          <w:tcPr>
            <w:tcW w:w="8301" w:type="dxa"/>
            <w:gridSpan w:val="5"/>
            <w:tcBorders>
              <w:top w:val="single" w:color="auto" w:sz="4" w:space="0"/>
              <w:left w:val="single" w:color="auto" w:sz="4" w:space="0"/>
              <w:bottom w:val="single" w:color="auto" w:sz="4" w:space="0"/>
              <w:right w:val="single" w:color="auto" w:sz="4" w:space="0"/>
            </w:tcBorders>
            <w:vAlign w:val="center"/>
          </w:tcPr>
          <w:p w14:paraId="7C431C2B">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辽宁诺诚安全科技有限公司</w:t>
            </w:r>
          </w:p>
        </w:tc>
      </w:tr>
      <w:tr w14:paraId="20F7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51BED7A9">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项目名称</w:t>
            </w:r>
          </w:p>
        </w:tc>
        <w:tc>
          <w:tcPr>
            <w:tcW w:w="8301" w:type="dxa"/>
            <w:gridSpan w:val="5"/>
            <w:tcBorders>
              <w:top w:val="single" w:color="auto" w:sz="4" w:space="0"/>
              <w:left w:val="single" w:color="auto" w:sz="4" w:space="0"/>
              <w:bottom w:val="single" w:color="auto" w:sz="4" w:space="0"/>
              <w:right w:val="single" w:color="auto" w:sz="4" w:space="0"/>
            </w:tcBorders>
            <w:vAlign w:val="center"/>
          </w:tcPr>
          <w:p w14:paraId="21645400">
            <w:pPr>
              <w:snapToGrid/>
              <w:jc w:val="center"/>
              <w:rPr>
                <w:rFonts w:hint="default" w:ascii="Times New Roman" w:hAnsi="Times New Roman" w:cs="Times New Roman"/>
                <w:caps w:val="0"/>
                <w:smallCaps w:val="0"/>
                <w:color w:val="000000" w:themeColor="text1"/>
                <w:spacing w:val="0"/>
                <w:w w:val="100"/>
                <w:kern w:val="28"/>
                <w:sz w:val="24"/>
                <w:szCs w:val="24"/>
                <w14:textFill>
                  <w14:solidFill>
                    <w14:schemeClr w14:val="tx1"/>
                  </w14:solidFill>
                </w14:textFill>
              </w:rPr>
            </w:pPr>
            <w:r>
              <w:rPr>
                <w:rFonts w:hint="default" w:ascii="Times New Roman" w:hAnsi="Times New Roman" w:eastAsia="宋体" w:cs="Times New Roman"/>
                <w:caps w:val="0"/>
                <w:smallCaps w:val="0"/>
                <w:color w:val="000000" w:themeColor="text1"/>
                <w:spacing w:val="0"/>
                <w:w w:val="98"/>
                <w:kern w:val="28"/>
                <w:sz w:val="24"/>
                <w:szCs w:val="24"/>
                <w14:textFill>
                  <w14:solidFill>
                    <w14:schemeClr w14:val="tx1"/>
                  </w14:solidFill>
                </w14:textFill>
              </w:rPr>
              <w:t>西双版纳中闽商贸有限公司勐海勐遮加油站原址改扩建项目安全验收评价报告</w:t>
            </w:r>
          </w:p>
        </w:tc>
      </w:tr>
      <w:tr w14:paraId="5CE3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48D880D1">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评价人员</w:t>
            </w:r>
          </w:p>
        </w:tc>
        <w:tc>
          <w:tcPr>
            <w:tcW w:w="1140" w:type="dxa"/>
            <w:tcBorders>
              <w:top w:val="single" w:color="auto" w:sz="4" w:space="0"/>
              <w:left w:val="single" w:color="auto" w:sz="4" w:space="0"/>
              <w:bottom w:val="single" w:color="auto" w:sz="4" w:space="0"/>
              <w:right w:val="single" w:color="auto" w:sz="4" w:space="0"/>
            </w:tcBorders>
            <w:vAlign w:val="center"/>
          </w:tcPr>
          <w:p w14:paraId="34D2B49B">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姓  名</w:t>
            </w:r>
          </w:p>
        </w:tc>
        <w:tc>
          <w:tcPr>
            <w:tcW w:w="1387" w:type="dxa"/>
            <w:tcBorders>
              <w:top w:val="single" w:color="auto" w:sz="4" w:space="0"/>
              <w:left w:val="single" w:color="auto" w:sz="4" w:space="0"/>
              <w:bottom w:val="single" w:color="auto" w:sz="4" w:space="0"/>
              <w:right w:val="single" w:color="auto" w:sz="4" w:space="0"/>
            </w:tcBorders>
            <w:vAlign w:val="center"/>
          </w:tcPr>
          <w:p w14:paraId="1267809E">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专业能力</w:t>
            </w:r>
          </w:p>
        </w:tc>
        <w:tc>
          <w:tcPr>
            <w:tcW w:w="2434" w:type="dxa"/>
            <w:tcBorders>
              <w:top w:val="single" w:color="auto" w:sz="4" w:space="0"/>
              <w:left w:val="single" w:color="auto" w:sz="4" w:space="0"/>
              <w:bottom w:val="single" w:color="auto" w:sz="4" w:space="0"/>
              <w:right w:val="single" w:color="auto" w:sz="4" w:space="0"/>
            </w:tcBorders>
            <w:vAlign w:val="center"/>
          </w:tcPr>
          <w:p w14:paraId="27BDECDD">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资格证书号</w:t>
            </w:r>
          </w:p>
        </w:tc>
        <w:tc>
          <w:tcPr>
            <w:tcW w:w="1746" w:type="dxa"/>
            <w:tcBorders>
              <w:top w:val="single" w:color="auto" w:sz="4" w:space="0"/>
              <w:left w:val="single" w:color="auto" w:sz="4" w:space="0"/>
              <w:bottom w:val="single" w:color="auto" w:sz="4" w:space="0"/>
              <w:right w:val="single" w:color="auto" w:sz="4" w:space="0"/>
            </w:tcBorders>
            <w:vAlign w:val="center"/>
          </w:tcPr>
          <w:p w14:paraId="3C34AE5B">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从业登记编号</w:t>
            </w:r>
          </w:p>
        </w:tc>
        <w:tc>
          <w:tcPr>
            <w:tcW w:w="1594" w:type="dxa"/>
            <w:tcBorders>
              <w:top w:val="single" w:color="auto" w:sz="4" w:space="0"/>
              <w:left w:val="single" w:color="auto" w:sz="4" w:space="0"/>
              <w:bottom w:val="single" w:color="auto" w:sz="4" w:space="0"/>
              <w:right w:val="single" w:color="auto" w:sz="4" w:space="0"/>
            </w:tcBorders>
            <w:vAlign w:val="center"/>
          </w:tcPr>
          <w:p w14:paraId="4C11AB41">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签  字</w:t>
            </w:r>
          </w:p>
        </w:tc>
      </w:tr>
      <w:tr w14:paraId="0B13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2859A09D">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项目负责人</w:t>
            </w:r>
          </w:p>
        </w:tc>
        <w:tc>
          <w:tcPr>
            <w:tcW w:w="1140" w:type="dxa"/>
            <w:tcBorders>
              <w:top w:val="single" w:color="auto" w:sz="4" w:space="0"/>
              <w:left w:val="single" w:color="auto" w:sz="4" w:space="0"/>
              <w:bottom w:val="single" w:color="auto" w:sz="4" w:space="0"/>
              <w:right w:val="single" w:color="auto" w:sz="4" w:space="0"/>
            </w:tcBorders>
            <w:vAlign w:val="center"/>
          </w:tcPr>
          <w:p w14:paraId="1173756A">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杨会明</w:t>
            </w:r>
          </w:p>
        </w:tc>
        <w:tc>
          <w:tcPr>
            <w:tcW w:w="1387" w:type="dxa"/>
            <w:tcBorders>
              <w:top w:val="single" w:color="auto" w:sz="4" w:space="0"/>
              <w:left w:val="single" w:color="auto" w:sz="4" w:space="0"/>
              <w:bottom w:val="single" w:color="auto" w:sz="4" w:space="0"/>
              <w:right w:val="single" w:color="auto" w:sz="4" w:space="0"/>
            </w:tcBorders>
            <w:vAlign w:val="center"/>
          </w:tcPr>
          <w:p w14:paraId="156C16D6">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6EB4D37A">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kern w:val="28"/>
                <w:sz w:val="24"/>
                <w:szCs w:val="24"/>
              </w:rPr>
              <w:t>S011053000110192003194</w:t>
            </w:r>
            <w:r>
              <w:rPr>
                <w:rFonts w:hint="default" w:ascii="Times New Roman" w:hAnsi="Times New Roman" w:cs="Times New Roman"/>
                <w:caps w:val="0"/>
                <w:smallCaps w:val="0"/>
                <w:spacing w:val="0"/>
                <w:w w:val="100"/>
                <w:kern w:val="28"/>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vAlign w:val="center"/>
          </w:tcPr>
          <w:p w14:paraId="2A21D0F4">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024910</w:t>
            </w:r>
          </w:p>
        </w:tc>
        <w:tc>
          <w:tcPr>
            <w:tcW w:w="1594" w:type="dxa"/>
            <w:tcBorders>
              <w:top w:val="single" w:color="auto" w:sz="4" w:space="0"/>
              <w:left w:val="single" w:color="auto" w:sz="4" w:space="0"/>
              <w:bottom w:val="single" w:color="auto" w:sz="4" w:space="0"/>
              <w:right w:val="single" w:color="auto" w:sz="4" w:space="0"/>
            </w:tcBorders>
            <w:vAlign w:val="center"/>
          </w:tcPr>
          <w:p w14:paraId="6E59EE30">
            <w:pPr>
              <w:snapToGrid/>
              <w:spacing w:line="240" w:lineRule="atLeast"/>
              <w:jc w:val="center"/>
              <w:rPr>
                <w:rFonts w:hint="default" w:ascii="Times New Roman" w:hAnsi="Times New Roman" w:cs="Times New Roman"/>
                <w:caps w:val="0"/>
                <w:smallCaps w:val="0"/>
                <w:spacing w:val="0"/>
                <w:w w:val="100"/>
                <w:kern w:val="28"/>
                <w:sz w:val="24"/>
                <w:szCs w:val="24"/>
              </w:rPr>
            </w:pPr>
          </w:p>
        </w:tc>
      </w:tr>
      <w:tr w14:paraId="1462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restart"/>
            <w:tcBorders>
              <w:top w:val="single" w:color="auto" w:sz="4" w:space="0"/>
              <w:left w:val="single" w:color="auto" w:sz="4" w:space="0"/>
              <w:right w:val="single" w:color="auto" w:sz="4" w:space="0"/>
            </w:tcBorders>
            <w:vAlign w:val="center"/>
          </w:tcPr>
          <w:p w14:paraId="0C103088">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项目组成员</w:t>
            </w:r>
          </w:p>
        </w:tc>
        <w:tc>
          <w:tcPr>
            <w:tcW w:w="1140" w:type="dxa"/>
            <w:tcBorders>
              <w:top w:val="single" w:color="auto" w:sz="4" w:space="0"/>
              <w:left w:val="single" w:color="auto" w:sz="4" w:space="0"/>
              <w:bottom w:val="single" w:color="auto" w:sz="4" w:space="0"/>
              <w:right w:val="single" w:color="auto" w:sz="4" w:space="0"/>
            </w:tcBorders>
            <w:vAlign w:val="center"/>
          </w:tcPr>
          <w:p w14:paraId="6422967D">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于贺苓</w:t>
            </w:r>
          </w:p>
        </w:tc>
        <w:tc>
          <w:tcPr>
            <w:tcW w:w="1387" w:type="dxa"/>
            <w:tcBorders>
              <w:top w:val="single" w:color="auto" w:sz="4" w:space="0"/>
              <w:left w:val="single" w:color="auto" w:sz="4" w:space="0"/>
              <w:bottom w:val="single" w:color="auto" w:sz="4" w:space="0"/>
              <w:right w:val="single" w:color="auto" w:sz="4" w:space="0"/>
            </w:tcBorders>
            <w:vAlign w:val="center"/>
          </w:tcPr>
          <w:p w14:paraId="1DF42562">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化工机械</w:t>
            </w:r>
          </w:p>
        </w:tc>
        <w:tc>
          <w:tcPr>
            <w:tcW w:w="2434" w:type="dxa"/>
            <w:tcBorders>
              <w:top w:val="single" w:color="auto" w:sz="4" w:space="0"/>
              <w:left w:val="single" w:color="auto" w:sz="4" w:space="0"/>
              <w:bottom w:val="single" w:color="auto" w:sz="4" w:space="0"/>
              <w:right w:val="single" w:color="auto" w:sz="4" w:space="0"/>
            </w:tcBorders>
            <w:vAlign w:val="center"/>
          </w:tcPr>
          <w:p w14:paraId="3A4AF0A0">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1500000000302540</w:t>
            </w:r>
          </w:p>
        </w:tc>
        <w:tc>
          <w:tcPr>
            <w:tcW w:w="1746" w:type="dxa"/>
            <w:tcBorders>
              <w:top w:val="single" w:color="auto" w:sz="4" w:space="0"/>
              <w:left w:val="single" w:color="auto" w:sz="4" w:space="0"/>
              <w:bottom w:val="single" w:color="auto" w:sz="4" w:space="0"/>
              <w:right w:val="single" w:color="auto" w:sz="4" w:space="0"/>
            </w:tcBorders>
            <w:vAlign w:val="center"/>
          </w:tcPr>
          <w:p w14:paraId="67FE03AA">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026191</w:t>
            </w:r>
          </w:p>
        </w:tc>
        <w:tc>
          <w:tcPr>
            <w:tcW w:w="1594" w:type="dxa"/>
            <w:tcBorders>
              <w:top w:val="single" w:color="auto" w:sz="4" w:space="0"/>
              <w:left w:val="single" w:color="auto" w:sz="4" w:space="0"/>
              <w:bottom w:val="single" w:color="auto" w:sz="4" w:space="0"/>
              <w:right w:val="single" w:color="auto" w:sz="4" w:space="0"/>
            </w:tcBorders>
            <w:vAlign w:val="center"/>
          </w:tcPr>
          <w:p w14:paraId="16DF6CEC">
            <w:pPr>
              <w:snapToGrid/>
              <w:spacing w:line="240" w:lineRule="atLeast"/>
              <w:jc w:val="center"/>
              <w:rPr>
                <w:rFonts w:hint="default" w:ascii="Times New Roman" w:hAnsi="Times New Roman" w:cs="Times New Roman"/>
                <w:caps w:val="0"/>
                <w:smallCaps w:val="0"/>
                <w:spacing w:val="0"/>
                <w:w w:val="100"/>
                <w:kern w:val="28"/>
                <w:sz w:val="24"/>
                <w:szCs w:val="24"/>
              </w:rPr>
            </w:pPr>
          </w:p>
        </w:tc>
      </w:tr>
      <w:tr w14:paraId="4A35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vAlign w:val="center"/>
          </w:tcPr>
          <w:p w14:paraId="1CA0069E">
            <w:pPr>
              <w:snapToGrid/>
              <w:jc w:val="center"/>
              <w:rPr>
                <w:rFonts w:hint="default" w:ascii="Times New Roman" w:hAnsi="Times New Roman" w:cs="Times New Roman"/>
                <w:caps w:val="0"/>
                <w:smallCaps w:val="0"/>
                <w:spacing w:val="0"/>
                <w:w w:val="100"/>
                <w:kern w:val="28"/>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422A8EE0">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侯  岗</w:t>
            </w:r>
          </w:p>
        </w:tc>
        <w:tc>
          <w:tcPr>
            <w:tcW w:w="1387" w:type="dxa"/>
            <w:tcBorders>
              <w:top w:val="single" w:color="auto" w:sz="4" w:space="0"/>
              <w:left w:val="single" w:color="auto" w:sz="4" w:space="0"/>
              <w:bottom w:val="single" w:color="auto" w:sz="4" w:space="0"/>
              <w:right w:val="single" w:color="auto" w:sz="4" w:space="0"/>
            </w:tcBorders>
            <w:vAlign w:val="center"/>
          </w:tcPr>
          <w:p w14:paraId="75B7F90B">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电气</w:t>
            </w:r>
          </w:p>
        </w:tc>
        <w:tc>
          <w:tcPr>
            <w:tcW w:w="2434" w:type="dxa"/>
            <w:tcBorders>
              <w:top w:val="single" w:color="auto" w:sz="4" w:space="0"/>
              <w:left w:val="single" w:color="auto" w:sz="4" w:space="0"/>
              <w:bottom w:val="single" w:color="auto" w:sz="4" w:space="0"/>
              <w:right w:val="single" w:color="auto" w:sz="4" w:space="0"/>
            </w:tcBorders>
            <w:vAlign w:val="center"/>
          </w:tcPr>
          <w:p w14:paraId="2DDA1AC0">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1500000000302693</w:t>
            </w:r>
          </w:p>
        </w:tc>
        <w:tc>
          <w:tcPr>
            <w:tcW w:w="1746" w:type="dxa"/>
            <w:tcBorders>
              <w:top w:val="single" w:color="auto" w:sz="4" w:space="0"/>
              <w:left w:val="single" w:color="auto" w:sz="4" w:space="0"/>
              <w:bottom w:val="single" w:color="auto" w:sz="4" w:space="0"/>
              <w:right w:val="single" w:color="auto" w:sz="4" w:space="0"/>
            </w:tcBorders>
            <w:vAlign w:val="center"/>
          </w:tcPr>
          <w:p w14:paraId="2341060D">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026194</w:t>
            </w:r>
          </w:p>
        </w:tc>
        <w:tc>
          <w:tcPr>
            <w:tcW w:w="1594" w:type="dxa"/>
            <w:tcBorders>
              <w:top w:val="single" w:color="auto" w:sz="4" w:space="0"/>
              <w:left w:val="single" w:color="auto" w:sz="4" w:space="0"/>
              <w:bottom w:val="single" w:color="auto" w:sz="4" w:space="0"/>
              <w:right w:val="single" w:color="auto" w:sz="4" w:space="0"/>
            </w:tcBorders>
            <w:vAlign w:val="center"/>
          </w:tcPr>
          <w:p w14:paraId="1091F372">
            <w:pPr>
              <w:snapToGrid/>
              <w:spacing w:line="240" w:lineRule="atLeast"/>
              <w:jc w:val="center"/>
              <w:rPr>
                <w:rFonts w:hint="default" w:ascii="Times New Roman" w:hAnsi="Times New Roman" w:cs="Times New Roman"/>
                <w:caps w:val="0"/>
                <w:smallCaps w:val="0"/>
                <w:spacing w:val="0"/>
                <w:w w:val="100"/>
                <w:kern w:val="28"/>
                <w:sz w:val="24"/>
                <w:szCs w:val="24"/>
              </w:rPr>
            </w:pPr>
          </w:p>
        </w:tc>
      </w:tr>
      <w:tr w14:paraId="0D7A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vAlign w:val="center"/>
          </w:tcPr>
          <w:p w14:paraId="73BD4C52">
            <w:pPr>
              <w:snapToGrid/>
              <w:jc w:val="center"/>
              <w:rPr>
                <w:rFonts w:hint="default" w:ascii="Times New Roman" w:hAnsi="Times New Roman" w:cs="Times New Roman"/>
                <w:caps w:val="0"/>
                <w:smallCaps w:val="0"/>
                <w:spacing w:val="0"/>
                <w:w w:val="100"/>
                <w:kern w:val="28"/>
                <w:sz w:val="24"/>
                <w:szCs w:val="24"/>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025DD26">
            <w:pPr>
              <w:autoSpaceDE w:val="0"/>
              <w:autoSpaceDN w:val="0"/>
              <w:snapToGrid/>
              <w:spacing w:line="240" w:lineRule="auto"/>
              <w:jc w:val="center"/>
              <w:rPr>
                <w:rFonts w:hint="default" w:ascii="Times New Roman" w:hAnsi="Times New Roman" w:cs="Times New Roman"/>
                <w:caps w:val="0"/>
                <w:smallCaps w:val="0"/>
                <w:color w:val="000000"/>
                <w:spacing w:val="0"/>
                <w:w w:val="100"/>
                <w:kern w:val="28"/>
                <w:sz w:val="24"/>
                <w:szCs w:val="24"/>
                <w:lang w:val="zh-CN"/>
              </w:rPr>
            </w:pPr>
            <w:r>
              <w:rPr>
                <w:rFonts w:hint="default" w:ascii="Times New Roman" w:hAnsi="Times New Roman" w:cs="Times New Roman"/>
                <w:caps w:val="0"/>
                <w:smallCaps w:val="0"/>
                <w:color w:val="000000"/>
                <w:spacing w:val="0"/>
                <w:w w:val="100"/>
                <w:kern w:val="28"/>
                <w:sz w:val="24"/>
                <w:szCs w:val="24"/>
              </w:rPr>
              <w:t>张廷辉</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A1E249">
            <w:pPr>
              <w:autoSpaceDE w:val="0"/>
              <w:autoSpaceDN w:val="0"/>
              <w:snapToGrid/>
              <w:spacing w:line="240" w:lineRule="auto"/>
              <w:jc w:val="center"/>
              <w:rPr>
                <w:rFonts w:hint="default" w:ascii="Times New Roman" w:hAnsi="Times New Roman" w:cs="Times New Roman"/>
                <w:caps w:val="0"/>
                <w:smallCaps w:val="0"/>
                <w:color w:val="000000"/>
                <w:spacing w:val="0"/>
                <w:w w:val="100"/>
                <w:kern w:val="28"/>
                <w:sz w:val="24"/>
                <w:szCs w:val="24"/>
              </w:rPr>
            </w:pPr>
            <w:r>
              <w:rPr>
                <w:rFonts w:hint="default" w:ascii="Times New Roman" w:hAnsi="Times New Roman" w:cs="Times New Roman"/>
                <w:caps w:val="0"/>
                <w:smallCaps w:val="0"/>
                <w:color w:val="000000"/>
                <w:spacing w:val="0"/>
                <w:w w:val="100"/>
                <w:kern w:val="28"/>
                <w:sz w:val="24"/>
                <w:szCs w:val="24"/>
              </w:rPr>
              <w:t>自动化</w:t>
            </w: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6872B813">
            <w:pPr>
              <w:autoSpaceDE w:val="0"/>
              <w:autoSpaceDN w:val="0"/>
              <w:snapToGrid/>
              <w:spacing w:line="240" w:lineRule="auto"/>
              <w:jc w:val="center"/>
              <w:rPr>
                <w:rFonts w:hint="default" w:ascii="Times New Roman" w:hAnsi="Times New Roman" w:cs="Times New Roman"/>
                <w:caps w:val="0"/>
                <w:smallCaps w:val="0"/>
                <w:color w:val="000000"/>
                <w:spacing w:val="0"/>
                <w:w w:val="100"/>
                <w:kern w:val="28"/>
                <w:sz w:val="24"/>
                <w:szCs w:val="24"/>
                <w:lang w:val="zh-CN"/>
              </w:rPr>
            </w:pPr>
            <w:r>
              <w:rPr>
                <w:rFonts w:hint="default" w:ascii="Times New Roman" w:hAnsi="Times New Roman" w:cs="Times New Roman"/>
                <w:caps w:val="0"/>
                <w:smallCaps w:val="0"/>
                <w:color w:val="000000"/>
                <w:spacing w:val="0"/>
                <w:w w:val="100"/>
                <w:kern w:val="28"/>
                <w:sz w:val="24"/>
                <w:szCs w:val="24"/>
              </w:rPr>
              <w:t>1200000000100119</w:t>
            </w:r>
          </w:p>
        </w:tc>
        <w:tc>
          <w:tcPr>
            <w:tcW w:w="1746" w:type="dxa"/>
            <w:tcBorders>
              <w:top w:val="single" w:color="auto" w:sz="4" w:space="0"/>
              <w:left w:val="single" w:color="auto" w:sz="4" w:space="0"/>
              <w:bottom w:val="single" w:color="auto" w:sz="4" w:space="0"/>
              <w:right w:val="single" w:color="auto" w:sz="4" w:space="0"/>
            </w:tcBorders>
            <w:shd w:val="clear" w:color="auto" w:fill="auto"/>
            <w:vAlign w:val="center"/>
          </w:tcPr>
          <w:p w14:paraId="140C9B87">
            <w:pPr>
              <w:autoSpaceDE w:val="0"/>
              <w:autoSpaceDN w:val="0"/>
              <w:snapToGrid/>
              <w:spacing w:line="240" w:lineRule="auto"/>
              <w:jc w:val="center"/>
              <w:rPr>
                <w:rFonts w:hint="default" w:ascii="Times New Roman" w:hAnsi="Times New Roman" w:cs="Times New Roman"/>
                <w:caps w:val="0"/>
                <w:smallCaps w:val="0"/>
                <w:color w:val="000000"/>
                <w:spacing w:val="0"/>
                <w:w w:val="100"/>
                <w:kern w:val="28"/>
                <w:sz w:val="24"/>
                <w:szCs w:val="24"/>
                <w:lang w:val="zh-CN"/>
              </w:rPr>
            </w:pPr>
            <w:r>
              <w:rPr>
                <w:rFonts w:hint="default" w:ascii="Times New Roman" w:hAnsi="Times New Roman" w:cs="Times New Roman"/>
                <w:caps w:val="0"/>
                <w:smallCaps w:val="0"/>
                <w:color w:val="000000"/>
                <w:spacing w:val="0"/>
                <w:w w:val="100"/>
                <w:kern w:val="28"/>
                <w:sz w:val="24"/>
                <w:szCs w:val="24"/>
              </w:rPr>
              <w:t>009798</w:t>
            </w:r>
          </w:p>
        </w:tc>
        <w:tc>
          <w:tcPr>
            <w:tcW w:w="1594" w:type="dxa"/>
            <w:tcBorders>
              <w:top w:val="single" w:color="auto" w:sz="4" w:space="0"/>
              <w:left w:val="single" w:color="auto" w:sz="4" w:space="0"/>
              <w:bottom w:val="single" w:color="auto" w:sz="4" w:space="0"/>
              <w:right w:val="single" w:color="auto" w:sz="4" w:space="0"/>
            </w:tcBorders>
            <w:vAlign w:val="center"/>
          </w:tcPr>
          <w:p w14:paraId="42B74FBA">
            <w:pPr>
              <w:snapToGrid/>
              <w:spacing w:line="440" w:lineRule="exact"/>
              <w:jc w:val="center"/>
              <w:rPr>
                <w:rFonts w:hint="default" w:ascii="Times New Roman" w:hAnsi="Times New Roman" w:cs="Times New Roman"/>
                <w:caps w:val="0"/>
                <w:smallCaps w:val="0"/>
                <w:spacing w:val="0"/>
                <w:w w:val="100"/>
                <w:kern w:val="28"/>
                <w:sz w:val="24"/>
                <w:szCs w:val="24"/>
              </w:rPr>
            </w:pPr>
          </w:p>
        </w:tc>
      </w:tr>
      <w:tr w14:paraId="1D9B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vAlign w:val="center"/>
          </w:tcPr>
          <w:p w14:paraId="2C308EBB">
            <w:pPr>
              <w:snapToGrid/>
              <w:jc w:val="center"/>
              <w:rPr>
                <w:rFonts w:hint="default" w:ascii="Times New Roman" w:hAnsi="Times New Roman" w:cs="Times New Roman"/>
                <w:caps w:val="0"/>
                <w:smallCaps w:val="0"/>
                <w:spacing w:val="0"/>
                <w:w w:val="100"/>
                <w:kern w:val="28"/>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5DE07878">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梁志强</w:t>
            </w:r>
          </w:p>
        </w:tc>
        <w:tc>
          <w:tcPr>
            <w:tcW w:w="1387" w:type="dxa"/>
            <w:tcBorders>
              <w:top w:val="single" w:color="auto" w:sz="4" w:space="0"/>
              <w:left w:val="single" w:color="auto" w:sz="4" w:space="0"/>
              <w:bottom w:val="single" w:color="auto" w:sz="4" w:space="0"/>
              <w:right w:val="single" w:color="auto" w:sz="4" w:space="0"/>
            </w:tcBorders>
            <w:vAlign w:val="center"/>
          </w:tcPr>
          <w:p w14:paraId="077A79F3">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00A51767">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20231004653000000020</w:t>
            </w:r>
          </w:p>
        </w:tc>
        <w:tc>
          <w:tcPr>
            <w:tcW w:w="1746" w:type="dxa"/>
            <w:tcBorders>
              <w:top w:val="single" w:color="auto" w:sz="4" w:space="0"/>
              <w:left w:val="single" w:color="auto" w:sz="4" w:space="0"/>
              <w:bottom w:val="single" w:color="auto" w:sz="4" w:space="0"/>
              <w:right w:val="single" w:color="auto" w:sz="4" w:space="0"/>
            </w:tcBorders>
            <w:vAlign w:val="center"/>
          </w:tcPr>
          <w:p w14:paraId="587F7FC4">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21250411615</w:t>
            </w:r>
          </w:p>
        </w:tc>
        <w:tc>
          <w:tcPr>
            <w:tcW w:w="1594" w:type="dxa"/>
            <w:tcBorders>
              <w:top w:val="single" w:color="auto" w:sz="4" w:space="0"/>
              <w:left w:val="single" w:color="auto" w:sz="4" w:space="0"/>
              <w:bottom w:val="single" w:color="auto" w:sz="4" w:space="0"/>
              <w:right w:val="single" w:color="auto" w:sz="4" w:space="0"/>
            </w:tcBorders>
            <w:vAlign w:val="center"/>
          </w:tcPr>
          <w:p w14:paraId="2E5568A2">
            <w:pPr>
              <w:snapToGrid/>
              <w:spacing w:line="440" w:lineRule="exact"/>
              <w:jc w:val="center"/>
              <w:rPr>
                <w:rFonts w:hint="default" w:ascii="Times New Roman" w:hAnsi="Times New Roman" w:cs="Times New Roman"/>
                <w:caps w:val="0"/>
                <w:smallCaps w:val="0"/>
                <w:spacing w:val="0"/>
                <w:w w:val="100"/>
                <w:kern w:val="28"/>
                <w:sz w:val="24"/>
                <w:szCs w:val="24"/>
              </w:rPr>
            </w:pPr>
          </w:p>
        </w:tc>
      </w:tr>
      <w:tr w14:paraId="4C2B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vAlign w:val="center"/>
          </w:tcPr>
          <w:p w14:paraId="7EF03A5A">
            <w:pPr>
              <w:snapToGrid/>
              <w:jc w:val="center"/>
              <w:rPr>
                <w:rFonts w:hint="default" w:ascii="Times New Roman" w:hAnsi="Times New Roman" w:cs="Times New Roman"/>
                <w:caps w:val="0"/>
                <w:smallCaps w:val="0"/>
                <w:spacing w:val="0"/>
                <w:w w:val="100"/>
                <w:kern w:val="28"/>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60FB8B26">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刘  强</w:t>
            </w:r>
          </w:p>
        </w:tc>
        <w:tc>
          <w:tcPr>
            <w:tcW w:w="1387" w:type="dxa"/>
            <w:tcBorders>
              <w:top w:val="single" w:color="auto" w:sz="4" w:space="0"/>
              <w:left w:val="single" w:color="auto" w:sz="4" w:space="0"/>
              <w:bottom w:val="single" w:color="auto" w:sz="4" w:space="0"/>
              <w:right w:val="single" w:color="auto" w:sz="4" w:space="0"/>
            </w:tcBorders>
            <w:vAlign w:val="center"/>
          </w:tcPr>
          <w:p w14:paraId="2D1625C5">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化工工艺</w:t>
            </w:r>
          </w:p>
        </w:tc>
        <w:tc>
          <w:tcPr>
            <w:tcW w:w="2434" w:type="dxa"/>
            <w:tcBorders>
              <w:top w:val="single" w:color="auto" w:sz="4" w:space="0"/>
              <w:left w:val="single" w:color="auto" w:sz="4" w:space="0"/>
              <w:bottom w:val="single" w:color="auto" w:sz="4" w:space="0"/>
              <w:right w:val="single" w:color="auto" w:sz="4" w:space="0"/>
            </w:tcBorders>
            <w:vAlign w:val="center"/>
          </w:tcPr>
          <w:p w14:paraId="45B3BECC">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CAWS210000230200118</w:t>
            </w:r>
          </w:p>
        </w:tc>
        <w:tc>
          <w:tcPr>
            <w:tcW w:w="1746" w:type="dxa"/>
            <w:tcBorders>
              <w:top w:val="single" w:color="auto" w:sz="4" w:space="0"/>
              <w:left w:val="single" w:color="auto" w:sz="4" w:space="0"/>
              <w:bottom w:val="single" w:color="auto" w:sz="4" w:space="0"/>
              <w:right w:val="single" w:color="auto" w:sz="4" w:space="0"/>
            </w:tcBorders>
            <w:vAlign w:val="center"/>
          </w:tcPr>
          <w:p w14:paraId="1BAB75D9">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043137</w:t>
            </w:r>
          </w:p>
        </w:tc>
        <w:tc>
          <w:tcPr>
            <w:tcW w:w="1594" w:type="dxa"/>
            <w:tcBorders>
              <w:top w:val="single" w:color="auto" w:sz="4" w:space="0"/>
              <w:left w:val="single" w:color="auto" w:sz="4" w:space="0"/>
              <w:bottom w:val="single" w:color="auto" w:sz="4" w:space="0"/>
              <w:right w:val="single" w:color="auto" w:sz="4" w:space="0"/>
            </w:tcBorders>
            <w:vAlign w:val="center"/>
          </w:tcPr>
          <w:p w14:paraId="1BD4C23A">
            <w:pPr>
              <w:snapToGrid/>
              <w:spacing w:line="240" w:lineRule="atLeast"/>
              <w:jc w:val="center"/>
              <w:rPr>
                <w:rFonts w:hint="default" w:ascii="Times New Roman" w:hAnsi="Times New Roman" w:cs="Times New Roman"/>
                <w:caps w:val="0"/>
                <w:smallCaps w:val="0"/>
                <w:spacing w:val="0"/>
                <w:w w:val="100"/>
                <w:kern w:val="28"/>
                <w:sz w:val="24"/>
                <w:szCs w:val="24"/>
              </w:rPr>
            </w:pPr>
          </w:p>
        </w:tc>
      </w:tr>
      <w:tr w14:paraId="3BD3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restart"/>
            <w:tcBorders>
              <w:top w:val="single" w:color="auto" w:sz="4" w:space="0"/>
              <w:left w:val="single" w:color="auto" w:sz="4" w:space="0"/>
              <w:right w:val="single" w:color="auto" w:sz="4" w:space="0"/>
            </w:tcBorders>
            <w:vAlign w:val="center"/>
          </w:tcPr>
          <w:p w14:paraId="4C5597E4">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报告编制人</w:t>
            </w:r>
          </w:p>
        </w:tc>
        <w:tc>
          <w:tcPr>
            <w:tcW w:w="1140" w:type="dxa"/>
            <w:tcBorders>
              <w:top w:val="single" w:color="auto" w:sz="4" w:space="0"/>
              <w:left w:val="single" w:color="auto" w:sz="4" w:space="0"/>
              <w:bottom w:val="single" w:color="auto" w:sz="4" w:space="0"/>
              <w:right w:val="single" w:color="auto" w:sz="4" w:space="0"/>
            </w:tcBorders>
            <w:vAlign w:val="center"/>
          </w:tcPr>
          <w:p w14:paraId="0AB0DA47">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杨会明</w:t>
            </w:r>
          </w:p>
        </w:tc>
        <w:tc>
          <w:tcPr>
            <w:tcW w:w="1387" w:type="dxa"/>
            <w:tcBorders>
              <w:top w:val="single" w:color="auto" w:sz="4" w:space="0"/>
              <w:left w:val="single" w:color="auto" w:sz="4" w:space="0"/>
              <w:bottom w:val="single" w:color="auto" w:sz="4" w:space="0"/>
              <w:right w:val="single" w:color="auto" w:sz="4" w:space="0"/>
            </w:tcBorders>
            <w:vAlign w:val="center"/>
          </w:tcPr>
          <w:p w14:paraId="3DB27E1B">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039CA103">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kern w:val="28"/>
                <w:sz w:val="24"/>
                <w:szCs w:val="24"/>
              </w:rPr>
              <w:t>S011053000110192003194</w:t>
            </w:r>
            <w:r>
              <w:rPr>
                <w:rFonts w:hint="default" w:ascii="Times New Roman" w:hAnsi="Times New Roman" w:cs="Times New Roman"/>
                <w:caps w:val="0"/>
                <w:smallCaps w:val="0"/>
                <w:spacing w:val="0"/>
                <w:w w:val="100"/>
                <w:kern w:val="28"/>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vAlign w:val="center"/>
          </w:tcPr>
          <w:p w14:paraId="2AD9A358">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024910</w:t>
            </w:r>
          </w:p>
        </w:tc>
        <w:tc>
          <w:tcPr>
            <w:tcW w:w="1594" w:type="dxa"/>
            <w:tcBorders>
              <w:top w:val="single" w:color="auto" w:sz="4" w:space="0"/>
              <w:left w:val="single" w:color="auto" w:sz="4" w:space="0"/>
              <w:bottom w:val="single" w:color="auto" w:sz="4" w:space="0"/>
              <w:right w:val="single" w:color="auto" w:sz="4" w:space="0"/>
            </w:tcBorders>
            <w:vAlign w:val="center"/>
          </w:tcPr>
          <w:p w14:paraId="7A5C23BB">
            <w:pPr>
              <w:snapToGrid/>
              <w:spacing w:line="240" w:lineRule="atLeast"/>
              <w:jc w:val="center"/>
              <w:rPr>
                <w:rFonts w:hint="default" w:ascii="Times New Roman" w:hAnsi="Times New Roman" w:cs="Times New Roman"/>
                <w:caps w:val="0"/>
                <w:smallCaps w:val="0"/>
                <w:spacing w:val="0"/>
                <w:w w:val="100"/>
                <w:kern w:val="28"/>
                <w:sz w:val="24"/>
                <w:szCs w:val="24"/>
              </w:rPr>
            </w:pPr>
          </w:p>
        </w:tc>
      </w:tr>
      <w:tr w14:paraId="5E5E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bottom w:val="single" w:color="auto" w:sz="4" w:space="0"/>
              <w:right w:val="single" w:color="auto" w:sz="4" w:space="0"/>
            </w:tcBorders>
            <w:vAlign w:val="center"/>
          </w:tcPr>
          <w:p w14:paraId="46D4C4F9">
            <w:pPr>
              <w:snapToGrid/>
              <w:jc w:val="center"/>
              <w:rPr>
                <w:rFonts w:hint="default" w:ascii="Times New Roman" w:hAnsi="Times New Roman" w:cs="Times New Roman"/>
                <w:caps w:val="0"/>
                <w:smallCaps w:val="0"/>
                <w:spacing w:val="0"/>
                <w:w w:val="100"/>
                <w:kern w:val="28"/>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6B9568B5">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梁志强</w:t>
            </w:r>
          </w:p>
        </w:tc>
        <w:tc>
          <w:tcPr>
            <w:tcW w:w="1387" w:type="dxa"/>
            <w:tcBorders>
              <w:top w:val="single" w:color="auto" w:sz="4" w:space="0"/>
              <w:left w:val="single" w:color="auto" w:sz="4" w:space="0"/>
              <w:bottom w:val="single" w:color="auto" w:sz="4" w:space="0"/>
              <w:right w:val="single" w:color="auto" w:sz="4" w:space="0"/>
            </w:tcBorders>
            <w:vAlign w:val="center"/>
          </w:tcPr>
          <w:p w14:paraId="5DDEE94E">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4BA9316C">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20231004653000000020</w:t>
            </w:r>
          </w:p>
        </w:tc>
        <w:tc>
          <w:tcPr>
            <w:tcW w:w="1746" w:type="dxa"/>
            <w:tcBorders>
              <w:top w:val="single" w:color="auto" w:sz="4" w:space="0"/>
              <w:left w:val="single" w:color="auto" w:sz="4" w:space="0"/>
              <w:bottom w:val="single" w:color="auto" w:sz="4" w:space="0"/>
              <w:right w:val="single" w:color="auto" w:sz="4" w:space="0"/>
            </w:tcBorders>
            <w:vAlign w:val="center"/>
          </w:tcPr>
          <w:p w14:paraId="34D9DF24">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21250411615</w:t>
            </w:r>
          </w:p>
        </w:tc>
        <w:tc>
          <w:tcPr>
            <w:tcW w:w="1594" w:type="dxa"/>
            <w:tcBorders>
              <w:top w:val="single" w:color="auto" w:sz="4" w:space="0"/>
              <w:left w:val="single" w:color="auto" w:sz="4" w:space="0"/>
              <w:bottom w:val="single" w:color="auto" w:sz="4" w:space="0"/>
              <w:right w:val="single" w:color="auto" w:sz="4" w:space="0"/>
            </w:tcBorders>
            <w:vAlign w:val="center"/>
          </w:tcPr>
          <w:p w14:paraId="255238ED">
            <w:pPr>
              <w:snapToGrid/>
              <w:spacing w:line="440" w:lineRule="exact"/>
              <w:jc w:val="center"/>
              <w:rPr>
                <w:rFonts w:hint="default" w:ascii="Times New Roman" w:hAnsi="Times New Roman" w:cs="Times New Roman"/>
                <w:caps w:val="0"/>
                <w:smallCaps w:val="0"/>
                <w:spacing w:val="0"/>
                <w:w w:val="100"/>
                <w:kern w:val="28"/>
                <w:sz w:val="24"/>
                <w:szCs w:val="24"/>
              </w:rPr>
            </w:pPr>
          </w:p>
        </w:tc>
      </w:tr>
      <w:tr w14:paraId="428B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72682A81">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报告审核人</w:t>
            </w:r>
          </w:p>
        </w:tc>
        <w:tc>
          <w:tcPr>
            <w:tcW w:w="1140" w:type="dxa"/>
            <w:tcBorders>
              <w:top w:val="single" w:color="auto" w:sz="4" w:space="0"/>
              <w:left w:val="single" w:color="auto" w:sz="4" w:space="0"/>
              <w:bottom w:val="single" w:color="auto" w:sz="4" w:space="0"/>
              <w:right w:val="single" w:color="auto" w:sz="4" w:space="0"/>
            </w:tcBorders>
            <w:vAlign w:val="center"/>
          </w:tcPr>
          <w:p w14:paraId="213384DC">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李  超</w:t>
            </w:r>
          </w:p>
        </w:tc>
        <w:tc>
          <w:tcPr>
            <w:tcW w:w="1387" w:type="dxa"/>
            <w:tcBorders>
              <w:top w:val="single" w:color="auto" w:sz="4" w:space="0"/>
              <w:left w:val="single" w:color="auto" w:sz="4" w:space="0"/>
              <w:bottom w:val="single" w:color="auto" w:sz="4" w:space="0"/>
              <w:right w:val="single" w:color="auto" w:sz="4" w:space="0"/>
            </w:tcBorders>
            <w:vAlign w:val="center"/>
          </w:tcPr>
          <w:p w14:paraId="507CB846">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5BB632CA">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S011021000110202000521</w:t>
            </w:r>
          </w:p>
        </w:tc>
        <w:tc>
          <w:tcPr>
            <w:tcW w:w="1746" w:type="dxa"/>
            <w:tcBorders>
              <w:top w:val="single" w:color="auto" w:sz="4" w:space="0"/>
              <w:left w:val="single" w:color="auto" w:sz="4" w:space="0"/>
              <w:bottom w:val="single" w:color="auto" w:sz="4" w:space="0"/>
              <w:right w:val="single" w:color="auto" w:sz="4" w:space="0"/>
            </w:tcBorders>
            <w:vAlign w:val="center"/>
          </w:tcPr>
          <w:p w14:paraId="77C755A8">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041289</w:t>
            </w:r>
          </w:p>
        </w:tc>
        <w:tc>
          <w:tcPr>
            <w:tcW w:w="1594" w:type="dxa"/>
            <w:tcBorders>
              <w:top w:val="single" w:color="auto" w:sz="4" w:space="0"/>
              <w:left w:val="single" w:color="auto" w:sz="4" w:space="0"/>
              <w:bottom w:val="single" w:color="auto" w:sz="4" w:space="0"/>
              <w:right w:val="single" w:color="auto" w:sz="4" w:space="0"/>
            </w:tcBorders>
            <w:vAlign w:val="center"/>
          </w:tcPr>
          <w:p w14:paraId="352E0BE9">
            <w:pPr>
              <w:autoSpaceDE w:val="0"/>
              <w:autoSpaceDN w:val="0"/>
              <w:snapToGrid/>
              <w:spacing w:line="240" w:lineRule="auto"/>
              <w:jc w:val="center"/>
              <w:rPr>
                <w:rFonts w:hint="default" w:ascii="Times New Roman" w:hAnsi="Times New Roman" w:cs="Times New Roman"/>
                <w:caps w:val="0"/>
                <w:smallCaps w:val="0"/>
                <w:spacing w:val="0"/>
                <w:w w:val="100"/>
                <w:kern w:val="28"/>
                <w:sz w:val="24"/>
                <w:szCs w:val="24"/>
              </w:rPr>
            </w:pPr>
          </w:p>
        </w:tc>
      </w:tr>
      <w:tr w14:paraId="4541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07BD3360">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过程控制</w:t>
            </w:r>
          </w:p>
          <w:p w14:paraId="0068AC7E">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负责人</w:t>
            </w:r>
          </w:p>
        </w:tc>
        <w:tc>
          <w:tcPr>
            <w:tcW w:w="1140" w:type="dxa"/>
            <w:tcBorders>
              <w:top w:val="single" w:color="auto" w:sz="4" w:space="0"/>
              <w:left w:val="single" w:color="auto" w:sz="4" w:space="0"/>
              <w:bottom w:val="single" w:color="auto" w:sz="4" w:space="0"/>
              <w:right w:val="single" w:color="auto" w:sz="4" w:space="0"/>
            </w:tcBorders>
            <w:vAlign w:val="center"/>
          </w:tcPr>
          <w:p w14:paraId="4AADFD3E">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吴家辉</w:t>
            </w:r>
          </w:p>
        </w:tc>
        <w:tc>
          <w:tcPr>
            <w:tcW w:w="1387" w:type="dxa"/>
            <w:tcBorders>
              <w:top w:val="single" w:color="auto" w:sz="4" w:space="0"/>
              <w:left w:val="single" w:color="auto" w:sz="4" w:space="0"/>
              <w:bottom w:val="single" w:color="auto" w:sz="4" w:space="0"/>
              <w:right w:val="single" w:color="auto" w:sz="4" w:space="0"/>
            </w:tcBorders>
            <w:vAlign w:val="center"/>
          </w:tcPr>
          <w:p w14:paraId="0FD91875">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w:t>
            </w:r>
          </w:p>
        </w:tc>
        <w:tc>
          <w:tcPr>
            <w:tcW w:w="2434" w:type="dxa"/>
            <w:tcBorders>
              <w:top w:val="single" w:color="auto" w:sz="4" w:space="0"/>
              <w:left w:val="single" w:color="auto" w:sz="4" w:space="0"/>
              <w:bottom w:val="single" w:color="auto" w:sz="4" w:space="0"/>
              <w:right w:val="single" w:color="auto" w:sz="4" w:space="0"/>
            </w:tcBorders>
            <w:vAlign w:val="center"/>
          </w:tcPr>
          <w:p w14:paraId="168BF5B5">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lang w:val="zh-CN"/>
              </w:rPr>
              <w:t>CAWS210000230300034</w:t>
            </w:r>
          </w:p>
        </w:tc>
        <w:tc>
          <w:tcPr>
            <w:tcW w:w="1746" w:type="dxa"/>
            <w:tcBorders>
              <w:top w:val="single" w:color="auto" w:sz="4" w:space="0"/>
              <w:left w:val="single" w:color="auto" w:sz="4" w:space="0"/>
              <w:bottom w:val="single" w:color="auto" w:sz="4" w:space="0"/>
              <w:right w:val="single" w:color="auto" w:sz="4" w:space="0"/>
            </w:tcBorders>
            <w:vAlign w:val="center"/>
          </w:tcPr>
          <w:p w14:paraId="125DD2E2">
            <w:pPr>
              <w:snapToGrid/>
              <w:spacing w:line="440" w:lineRule="exact"/>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043015</w:t>
            </w:r>
          </w:p>
        </w:tc>
        <w:tc>
          <w:tcPr>
            <w:tcW w:w="1594" w:type="dxa"/>
            <w:tcBorders>
              <w:top w:val="single" w:color="auto" w:sz="4" w:space="0"/>
              <w:left w:val="single" w:color="auto" w:sz="4" w:space="0"/>
              <w:bottom w:val="single" w:color="auto" w:sz="4" w:space="0"/>
              <w:right w:val="single" w:color="auto" w:sz="4" w:space="0"/>
            </w:tcBorders>
            <w:vAlign w:val="center"/>
          </w:tcPr>
          <w:p w14:paraId="346FEF6F">
            <w:pPr>
              <w:autoSpaceDE w:val="0"/>
              <w:autoSpaceDN w:val="0"/>
              <w:snapToGrid/>
              <w:spacing w:line="240" w:lineRule="auto"/>
              <w:jc w:val="center"/>
              <w:rPr>
                <w:rFonts w:hint="default" w:ascii="Times New Roman" w:hAnsi="Times New Roman" w:cs="Times New Roman"/>
                <w:caps w:val="0"/>
                <w:smallCaps w:val="0"/>
                <w:spacing w:val="0"/>
                <w:w w:val="100"/>
                <w:kern w:val="28"/>
                <w:sz w:val="24"/>
                <w:szCs w:val="24"/>
              </w:rPr>
            </w:pPr>
          </w:p>
        </w:tc>
      </w:tr>
      <w:tr w14:paraId="4AE7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7513D51A">
            <w:pPr>
              <w:snapToGrid/>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spacing w:val="0"/>
                <w:w w:val="100"/>
                <w:kern w:val="28"/>
                <w:sz w:val="24"/>
                <w:szCs w:val="24"/>
              </w:rPr>
              <w:t>技术负责人</w:t>
            </w:r>
          </w:p>
        </w:tc>
        <w:tc>
          <w:tcPr>
            <w:tcW w:w="1140" w:type="dxa"/>
            <w:tcBorders>
              <w:top w:val="single" w:color="auto" w:sz="4" w:space="0"/>
              <w:left w:val="single" w:color="auto" w:sz="4" w:space="0"/>
              <w:bottom w:val="single" w:color="auto" w:sz="4" w:space="0"/>
              <w:right w:val="single" w:color="auto" w:sz="4" w:space="0"/>
            </w:tcBorders>
            <w:vAlign w:val="center"/>
          </w:tcPr>
          <w:p w14:paraId="14E32B3A">
            <w:pPr>
              <w:autoSpaceDE w:val="0"/>
              <w:autoSpaceDN w:val="0"/>
              <w:snapToGrid/>
              <w:spacing w:line="240" w:lineRule="auto"/>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color w:val="000000"/>
                <w:spacing w:val="0"/>
                <w:w w:val="100"/>
                <w:kern w:val="28"/>
                <w:sz w:val="24"/>
                <w:szCs w:val="24"/>
              </w:rPr>
              <w:t>林存广</w:t>
            </w:r>
          </w:p>
        </w:tc>
        <w:tc>
          <w:tcPr>
            <w:tcW w:w="1387" w:type="dxa"/>
            <w:tcBorders>
              <w:top w:val="single" w:color="auto" w:sz="4" w:space="0"/>
              <w:left w:val="single" w:color="auto" w:sz="4" w:space="0"/>
              <w:bottom w:val="single" w:color="auto" w:sz="4" w:space="0"/>
              <w:right w:val="single" w:color="auto" w:sz="4" w:space="0"/>
            </w:tcBorders>
            <w:vAlign w:val="center"/>
          </w:tcPr>
          <w:p w14:paraId="69FE0F62">
            <w:pPr>
              <w:autoSpaceDE w:val="0"/>
              <w:autoSpaceDN w:val="0"/>
              <w:snapToGrid/>
              <w:spacing w:line="240" w:lineRule="auto"/>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color w:val="000000"/>
                <w:spacing w:val="0"/>
                <w:w w:val="100"/>
                <w:kern w:val="28"/>
                <w:sz w:val="24"/>
                <w:szCs w:val="24"/>
              </w:rPr>
              <w:t>化工工艺</w:t>
            </w:r>
          </w:p>
        </w:tc>
        <w:tc>
          <w:tcPr>
            <w:tcW w:w="2434" w:type="dxa"/>
            <w:tcBorders>
              <w:top w:val="single" w:color="auto" w:sz="4" w:space="0"/>
              <w:left w:val="single" w:color="auto" w:sz="4" w:space="0"/>
              <w:bottom w:val="single" w:color="auto" w:sz="4" w:space="0"/>
              <w:right w:val="single" w:color="auto" w:sz="4" w:space="0"/>
            </w:tcBorders>
            <w:vAlign w:val="center"/>
          </w:tcPr>
          <w:p w14:paraId="52A10F19">
            <w:pPr>
              <w:autoSpaceDE w:val="0"/>
              <w:autoSpaceDN w:val="0"/>
              <w:snapToGrid/>
              <w:spacing w:line="240" w:lineRule="auto"/>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color w:val="000000"/>
                <w:spacing w:val="0"/>
                <w:w w:val="100"/>
                <w:kern w:val="28"/>
                <w:sz w:val="24"/>
                <w:szCs w:val="24"/>
              </w:rPr>
              <w:t>S011021000110191000286</w:t>
            </w:r>
          </w:p>
        </w:tc>
        <w:tc>
          <w:tcPr>
            <w:tcW w:w="1746" w:type="dxa"/>
            <w:tcBorders>
              <w:top w:val="single" w:color="auto" w:sz="4" w:space="0"/>
              <w:left w:val="single" w:color="auto" w:sz="4" w:space="0"/>
              <w:bottom w:val="single" w:color="auto" w:sz="4" w:space="0"/>
              <w:right w:val="single" w:color="auto" w:sz="4" w:space="0"/>
            </w:tcBorders>
            <w:vAlign w:val="center"/>
          </w:tcPr>
          <w:p w14:paraId="07CD0C86">
            <w:pPr>
              <w:autoSpaceDE w:val="0"/>
              <w:autoSpaceDN w:val="0"/>
              <w:snapToGrid/>
              <w:spacing w:line="240" w:lineRule="auto"/>
              <w:jc w:val="center"/>
              <w:rPr>
                <w:rFonts w:hint="default" w:ascii="Times New Roman" w:hAnsi="Times New Roman" w:cs="Times New Roman"/>
                <w:caps w:val="0"/>
                <w:smallCaps w:val="0"/>
                <w:spacing w:val="0"/>
                <w:w w:val="100"/>
                <w:kern w:val="28"/>
                <w:sz w:val="24"/>
                <w:szCs w:val="24"/>
              </w:rPr>
            </w:pPr>
            <w:r>
              <w:rPr>
                <w:rFonts w:hint="default" w:ascii="Times New Roman" w:hAnsi="Times New Roman" w:cs="Times New Roman"/>
                <w:caps w:val="0"/>
                <w:smallCaps w:val="0"/>
                <w:color w:val="000000"/>
                <w:spacing w:val="0"/>
                <w:w w:val="100"/>
                <w:kern w:val="28"/>
                <w:sz w:val="24"/>
                <w:szCs w:val="24"/>
              </w:rPr>
              <w:t>019834</w:t>
            </w:r>
          </w:p>
        </w:tc>
        <w:tc>
          <w:tcPr>
            <w:tcW w:w="1594" w:type="dxa"/>
            <w:tcBorders>
              <w:top w:val="single" w:color="auto" w:sz="4" w:space="0"/>
              <w:left w:val="single" w:color="auto" w:sz="4" w:space="0"/>
              <w:bottom w:val="single" w:color="auto" w:sz="4" w:space="0"/>
              <w:right w:val="single" w:color="auto" w:sz="4" w:space="0"/>
            </w:tcBorders>
            <w:vAlign w:val="center"/>
          </w:tcPr>
          <w:p w14:paraId="60662D5F">
            <w:pPr>
              <w:autoSpaceDE w:val="0"/>
              <w:autoSpaceDN w:val="0"/>
              <w:snapToGrid/>
              <w:spacing w:line="240" w:lineRule="auto"/>
              <w:jc w:val="center"/>
              <w:rPr>
                <w:rFonts w:hint="default" w:ascii="Times New Roman" w:hAnsi="Times New Roman" w:cs="Times New Roman"/>
                <w:caps w:val="0"/>
                <w:smallCaps w:val="0"/>
                <w:spacing w:val="0"/>
                <w:w w:val="100"/>
                <w:kern w:val="28"/>
                <w:sz w:val="24"/>
                <w:szCs w:val="24"/>
              </w:rPr>
            </w:pPr>
          </w:p>
        </w:tc>
      </w:tr>
    </w:tbl>
    <w:p w14:paraId="2C6558D5">
      <w:pPr>
        <w:pStyle w:val="2"/>
        <w:adjustRightInd/>
        <w:snapToGrid/>
        <w:rPr>
          <w:rFonts w:hint="default" w:ascii="Times New Roman" w:hAnsi="Times New Roman" w:cs="Times New Roman"/>
          <w:caps w:val="0"/>
          <w:smallCaps w:val="0"/>
          <w:spacing w:val="0"/>
          <w:w w:val="100"/>
        </w:rPr>
      </w:pPr>
    </w:p>
    <w:p w14:paraId="470DB952">
      <w:pPr>
        <w:pStyle w:val="2"/>
        <w:adjustRightInd/>
        <w:snapToGrid/>
        <w:rPr>
          <w:rFonts w:hint="default" w:ascii="Times New Roman" w:hAnsi="Times New Roman" w:cs="Times New Roman"/>
          <w:caps w:val="0"/>
          <w:smallCaps w:val="0"/>
          <w:spacing w:val="0"/>
          <w:w w:val="100"/>
        </w:rPr>
        <w:sectPr>
          <w:pgSz w:w="11906" w:h="16838"/>
          <w:pgMar w:top="1361" w:right="1588" w:bottom="1134" w:left="1588" w:header="851" w:footer="992" w:gutter="0"/>
          <w:pgNumType w:start="1"/>
          <w:cols w:space="720" w:num="1"/>
          <w:docGrid w:type="linesAndChars" w:linePitch="312" w:charSpace="0"/>
        </w:sectPr>
      </w:pPr>
    </w:p>
    <w:p w14:paraId="748B65BD">
      <w:pPr>
        <w:pStyle w:val="2"/>
        <w:adjustRightInd/>
        <w:snapToGrid/>
        <w:ind w:firstLine="0"/>
        <w:jc w:val="center"/>
        <w:rPr>
          <w:rFonts w:hint="default" w:ascii="Times New Roman" w:hAnsi="Times New Roman" w:cs="Times New Roman"/>
          <w:b/>
          <w:bCs/>
          <w:caps w:val="0"/>
          <w:smallCaps w:val="0"/>
          <w:spacing w:val="0"/>
          <w:w w:val="100"/>
          <w:sz w:val="32"/>
          <w:szCs w:val="32"/>
        </w:rPr>
      </w:pPr>
      <w:r>
        <w:rPr>
          <w:rFonts w:hint="default" w:ascii="Times New Roman" w:hAnsi="Times New Roman" w:cs="Times New Roman"/>
          <w:b/>
          <w:bCs/>
          <w:caps w:val="0"/>
          <w:smallCaps w:val="0"/>
          <w:spacing w:val="0"/>
          <w:w w:val="100"/>
          <w:sz w:val="32"/>
          <w:szCs w:val="32"/>
        </w:rPr>
        <w:t>现场照片</w:t>
      </w:r>
    </w:p>
    <w:p w14:paraId="5A51D385">
      <w:pPr>
        <w:snapToGrid/>
        <w:ind w:firstLine="560" w:firstLineChars="200"/>
        <w:rPr>
          <w:rFonts w:hint="eastAsia" w:ascii="Times New Roman" w:hAnsi="Times New Roman" w:cs="Times New Roman"/>
          <w:bCs/>
          <w:caps w:val="0"/>
          <w:smallCaps w:val="0"/>
          <w:spacing w:val="0"/>
          <w:w w:val="100"/>
          <w:szCs w:val="28"/>
          <w:lang w:val="en-US" w:eastAsia="zh-CN"/>
        </w:rPr>
      </w:pPr>
      <w:r>
        <w:rPr>
          <w:rFonts w:hint="eastAsia" w:ascii="Times New Roman" w:hAnsi="Times New Roman" w:cs="Times New Roman"/>
          <w:bCs/>
          <w:caps w:val="0"/>
          <w:smallCaps w:val="0"/>
          <w:spacing w:val="0"/>
          <w:w w:val="100"/>
          <w:szCs w:val="28"/>
          <w:lang w:val="en-US" w:eastAsia="zh-CN"/>
        </w:rPr>
        <w:t>XX。</w:t>
      </w:r>
    </w:p>
    <w:p w14:paraId="4DD8910C">
      <w:pPr>
        <w:pStyle w:val="2"/>
        <w:rPr>
          <w:rFonts w:hint="eastAsia" w:ascii="Times New Roman" w:cs="Times New Roman"/>
          <w:caps w:val="0"/>
          <w:smallCaps w:val="0"/>
          <w:spacing w:val="0"/>
          <w:w w:val="100"/>
          <w:szCs w:val="28"/>
          <w:lang w:val="en-US" w:eastAsia="zh-CN"/>
        </w:rPr>
      </w:pPr>
    </w:p>
    <w:p w14:paraId="06EA3EDC">
      <w:pPr>
        <w:pStyle w:val="2"/>
        <w:rPr>
          <w:rFonts w:hint="eastAsia" w:ascii="Times New Roman" w:cs="Times New Roman"/>
          <w:caps w:val="0"/>
          <w:smallCaps w:val="0"/>
          <w:spacing w:val="0"/>
          <w:w w:val="100"/>
          <w:szCs w:val="28"/>
          <w:lang w:val="en-US" w:eastAsia="zh-CN"/>
        </w:rPr>
        <w:sectPr>
          <w:footerReference r:id="rId6" w:type="default"/>
          <w:pgSz w:w="11906" w:h="16838"/>
          <w:pgMar w:top="1361" w:right="1588" w:bottom="1134" w:left="1588" w:header="851" w:footer="992" w:gutter="0"/>
          <w:pgNumType w:start="1"/>
          <w:cols w:space="720" w:num="1"/>
          <w:docGrid w:type="linesAndChars" w:linePitch="312" w:charSpace="0"/>
        </w:sectPr>
      </w:pPr>
    </w:p>
    <w:p w14:paraId="04A8A87D">
      <w:pPr>
        <w:pStyle w:val="142"/>
        <w:snapToGrid/>
        <w:spacing w:before="156" w:beforeLines="50" w:beforeAutospacing="0" w:after="156" w:afterLines="50" w:afterAutospacing="0"/>
        <w:rPr>
          <w:rFonts w:hint="default" w:ascii="Times New Roman" w:hAnsi="Times New Roman" w:eastAsia="黑体" w:cs="Times New Roman"/>
          <w:caps w:val="0"/>
          <w:smallCaps w:val="0"/>
          <w:spacing w:val="0"/>
          <w:w w:val="100"/>
          <w:sz w:val="28"/>
        </w:rPr>
      </w:pPr>
      <w:r>
        <w:rPr>
          <w:rFonts w:hint="default" w:ascii="Times New Roman" w:hAnsi="Times New Roman" w:eastAsia="黑体" w:cs="Times New Roman"/>
          <w:caps w:val="0"/>
          <w:smallCaps w:val="0"/>
          <w:spacing w:val="0"/>
          <w:w w:val="100"/>
          <w:sz w:val="28"/>
        </w:rPr>
        <w:t>前 言</w:t>
      </w:r>
      <w:bookmarkEnd w:id="0"/>
      <w:bookmarkEnd w:id="1"/>
    </w:p>
    <w:p w14:paraId="555483FF">
      <w:pPr>
        <w:snapToGrid/>
        <w:ind w:firstLine="560" w:firstLineChars="200"/>
        <w:rPr>
          <w:rFonts w:hint="default" w:ascii="Times New Roman" w:hAnsi="Times New Roman" w:cs="Times New Roman"/>
          <w:caps w:val="0"/>
          <w:smallCaps w:val="0"/>
          <w:color w:val="000000"/>
          <w:spacing w:val="0"/>
          <w:w w:val="100"/>
          <w:szCs w:val="28"/>
        </w:rPr>
      </w:pPr>
      <w:r>
        <w:rPr>
          <w:rFonts w:hint="default" w:ascii="Times New Roman" w:hAnsi="Times New Roman" w:cs="Times New Roman"/>
          <w:bCs/>
          <w:caps w:val="0"/>
          <w:smallCaps w:val="0"/>
          <w:spacing w:val="0"/>
          <w:w w:val="100"/>
          <w:szCs w:val="28"/>
        </w:rPr>
        <w:t>西双版纳中闽商贸有限公司勐海勐遮加油站原址改扩建项目</w:t>
      </w:r>
      <w:r>
        <w:rPr>
          <w:rFonts w:hint="default" w:ascii="Times New Roman" w:hAnsi="Times New Roman" w:cs="Times New Roman"/>
          <w:caps w:val="0"/>
          <w:smallCaps w:val="0"/>
          <w:color w:val="000000"/>
          <w:spacing w:val="0"/>
          <w:w w:val="100"/>
        </w:rPr>
        <w:t>的建设单位为</w:t>
      </w:r>
      <w:r>
        <w:rPr>
          <w:rFonts w:hint="default" w:ascii="Times New Roman" w:hAnsi="Times New Roman" w:cs="Times New Roman"/>
          <w:bCs/>
          <w:caps w:val="0"/>
          <w:smallCaps w:val="0"/>
          <w:spacing w:val="0"/>
          <w:w w:val="100"/>
          <w:szCs w:val="28"/>
        </w:rPr>
        <w:t>西双版纳中闽商贸有限公司勐海勐遮加油站</w:t>
      </w:r>
      <w:r>
        <w:rPr>
          <w:rFonts w:hint="default" w:ascii="Times New Roman" w:hAnsi="Times New Roman" w:cs="Times New Roman"/>
          <w:caps w:val="0"/>
          <w:smallCaps w:val="0"/>
          <w:color w:val="000000"/>
          <w:spacing w:val="0"/>
          <w:w w:val="100"/>
        </w:rPr>
        <w:t>，于原</w:t>
      </w:r>
      <w:r>
        <w:rPr>
          <w:rFonts w:hint="default" w:ascii="Times New Roman" w:hAnsi="Times New Roman" w:cs="Times New Roman"/>
          <w:bCs/>
          <w:caps w:val="0"/>
          <w:smallCaps w:val="0"/>
          <w:spacing w:val="0"/>
          <w:w w:val="100"/>
          <w:szCs w:val="28"/>
        </w:rPr>
        <w:t>建设地址进行建设，项目地点位于云南省西双版纳傣族自治州勐海县勐遮镇曼扫村委会30公里</w:t>
      </w:r>
      <w:r>
        <w:rPr>
          <w:rFonts w:hint="default" w:ascii="Times New Roman" w:hAnsi="Times New Roman" w:cs="Times New Roman"/>
          <w:caps w:val="0"/>
          <w:smallCaps w:val="0"/>
          <w:color w:val="000000"/>
          <w:spacing w:val="0"/>
          <w:w w:val="100"/>
        </w:rPr>
        <w:t>。该项目于2025年1月6日取得了《西双版纳州商务局关于西双版纳中闽商贸有限公司申请勐海勐遮加油站原址改扩建的批复》（西商复〔2025〕1号），于2025年2月10日取得了《建设项目安全设施设计审查意见书》（海安监危化项目安设审字〔2025〕1号）等相关审批手续。该项目利旧原承重罐池，拆除罐区内3个20m³的汽油罐及其部分管线，新购3个50m³的SF双层卧式储油罐，利旧原50m³的柴油罐。罐区改造后共设置4个50m³的SF双层卧式储油罐，分别为：2个50m³的0#柴油罐，1个50m³的92#汽油罐及1个50m³的95#汽油罐，油罐总容积（柴油罐容积折半计入总容积）为150m³，</w:t>
      </w:r>
      <w:r>
        <w:rPr>
          <w:rFonts w:hint="default" w:ascii="Times New Roman" w:hAnsi="Times New Roman" w:cs="Times New Roman"/>
          <w:caps w:val="0"/>
          <w:smallCaps w:val="0"/>
          <w:color w:val="000000"/>
          <w:spacing w:val="0"/>
          <w:w w:val="100"/>
          <w:szCs w:val="28"/>
        </w:rPr>
        <w:t>根据</w:t>
      </w:r>
      <w:r>
        <w:rPr>
          <w:rFonts w:hint="default" w:ascii="Times New Roman" w:hAnsi="Times New Roman" w:cs="Times New Roman"/>
          <w:caps w:val="0"/>
          <w:smallCaps w:val="0"/>
          <w:color w:val="000000"/>
          <w:spacing w:val="0"/>
          <w:w w:val="100"/>
        </w:rPr>
        <w:t>《汽车加油加气加氢站技术标准》（GB50156-2021）</w:t>
      </w:r>
      <w:r>
        <w:rPr>
          <w:rFonts w:hint="default" w:ascii="Times New Roman" w:hAnsi="Times New Roman" w:cs="Times New Roman"/>
          <w:caps w:val="0"/>
          <w:smallCaps w:val="0"/>
          <w:color w:val="000000"/>
          <w:spacing w:val="0"/>
          <w:w w:val="100"/>
          <w:szCs w:val="28"/>
        </w:rPr>
        <w:t>等级划分，</w:t>
      </w:r>
      <w:r>
        <w:rPr>
          <w:rFonts w:hint="default" w:ascii="Times New Roman" w:hAnsi="Times New Roman" w:cs="Times New Roman"/>
          <w:caps w:val="0"/>
          <w:smallCaps w:val="0"/>
          <w:color w:val="000000"/>
          <w:spacing w:val="0"/>
          <w:w w:val="100"/>
        </w:rPr>
        <w:t>加油站由原先的三级加油站升至二级加油站</w:t>
      </w:r>
      <w:r>
        <w:rPr>
          <w:rFonts w:hint="default" w:ascii="Times New Roman" w:hAnsi="Times New Roman" w:cs="Times New Roman"/>
          <w:caps w:val="0"/>
          <w:smallCaps w:val="0"/>
          <w:color w:val="000000"/>
          <w:spacing w:val="0"/>
          <w:w w:val="100"/>
          <w:szCs w:val="28"/>
        </w:rPr>
        <w:t>。</w:t>
      </w:r>
    </w:p>
    <w:p w14:paraId="2658BD82">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napToGrid w:val="0"/>
          <w:spacing w:val="0"/>
          <w:w w:val="100"/>
          <w:kern w:val="0"/>
          <w:szCs w:val="28"/>
        </w:rPr>
        <w:t>为贯彻“安全生产工作应当以人为本，坚持人民至上、生命至上把保护人民生命安全摆在首位，树牢安全生产发展理念，坚持安全第一、预防为主、综合治理”的</w:t>
      </w:r>
      <w:r>
        <w:rPr>
          <w:rFonts w:hint="default" w:ascii="Times New Roman" w:hAnsi="Times New Roman" w:cs="Times New Roman"/>
          <w:caps w:val="0"/>
          <w:smallCaps w:val="0"/>
          <w:spacing w:val="0"/>
          <w:w w:val="100"/>
          <w:szCs w:val="28"/>
        </w:rPr>
        <w:t>安全方针，从源头上防范化解重大安全风险，保障人民生命财产的安全，根据《中华人民共和国安全生产法》《安全评价通则》（AQ 8001-20077）、《安全验收评价导则》（AQ8003-2007）、《</w:t>
      </w:r>
      <w:r>
        <w:rPr>
          <w:rFonts w:hint="default" w:ascii="Times New Roman" w:hAnsi="Times New Roman" w:cs="Times New Roman"/>
          <w:caps w:val="0"/>
          <w:smallCaps w:val="0"/>
          <w:spacing w:val="0"/>
          <w:w w:val="100"/>
          <w:kern w:val="0"/>
          <w:szCs w:val="28"/>
        </w:rPr>
        <w:t>危险化学品建设项目安全监督管理办法</w:t>
      </w:r>
      <w:r>
        <w:rPr>
          <w:rFonts w:hint="default" w:ascii="Times New Roman" w:hAnsi="Times New Roman" w:cs="Times New Roman"/>
          <w:caps w:val="0"/>
          <w:smallCaps w:val="0"/>
          <w:spacing w:val="0"/>
          <w:w w:val="100"/>
          <w:szCs w:val="28"/>
        </w:rPr>
        <w:t>》（原国家安全生产监督管理总局令第79号修正）、《危险化学品经营许可证管理办法》（原国家安全生产监督管理总局令第79号修正）、</w:t>
      </w:r>
      <w:bookmarkStart w:id="2" w:name="_Hlk211200939"/>
      <w:r>
        <w:rPr>
          <w:rFonts w:hint="default" w:ascii="Times New Roman" w:hAnsi="Times New Roman" w:cs="Times New Roman"/>
          <w:caps w:val="0"/>
          <w:smallCaps w:val="0"/>
          <w:spacing w:val="0"/>
          <w:w w:val="100"/>
          <w:szCs w:val="28"/>
        </w:rPr>
        <w:t>《危险化学品建设项目安全评价细则》（安监总危化〔2007〕255号）</w:t>
      </w:r>
      <w:bookmarkEnd w:id="2"/>
      <w:r>
        <w:rPr>
          <w:rFonts w:hint="default" w:ascii="Times New Roman" w:hAnsi="Times New Roman" w:cs="Times New Roman"/>
          <w:caps w:val="0"/>
          <w:smallCaps w:val="0"/>
          <w:spacing w:val="0"/>
          <w:w w:val="100"/>
        </w:rPr>
        <w:t>的相关规定和要求，新建、改建、扩建项目符合</w:t>
      </w:r>
      <w:r>
        <w:rPr>
          <w:rFonts w:hint="default" w:ascii="Times New Roman" w:hAnsi="Times New Roman" w:cs="Times New Roman"/>
          <w:caps w:val="0"/>
          <w:smallCaps w:val="0"/>
          <w:color w:val="000000"/>
          <w:spacing w:val="0"/>
          <w:w w:val="100"/>
        </w:rPr>
        <w:t>《危险化学品建设项目安全监督管理办法》（国家安监总局令第45号，</w:t>
      </w:r>
      <w:r>
        <w:rPr>
          <w:rFonts w:hint="default" w:ascii="Times New Roman" w:hAnsi="Times New Roman" w:cs="Times New Roman"/>
          <w:caps w:val="0"/>
          <w:smallCaps w:val="0"/>
          <w:color w:val="000000"/>
          <w:spacing w:val="0"/>
          <w:w w:val="100"/>
          <w:szCs w:val="28"/>
        </w:rPr>
        <w:t>第79号修订</w:t>
      </w:r>
      <w:r>
        <w:rPr>
          <w:rFonts w:hint="default" w:ascii="Times New Roman" w:hAnsi="Times New Roman" w:cs="Times New Roman"/>
          <w:caps w:val="0"/>
          <w:smallCaps w:val="0"/>
          <w:color w:val="000000"/>
          <w:spacing w:val="0"/>
          <w:w w:val="100"/>
        </w:rPr>
        <w:t>）第二十五条“建设项目试生产期间，建设单位应当按照本办法的规定委托有相应资质的安全评价机构对建设项目及其安全设施试生产（使用）情况进行安全验收评价，且不得委托在可行性研究阶段进行安全评价的同一安全评价机构”的规定，</w:t>
      </w:r>
      <w:r>
        <w:rPr>
          <w:rFonts w:hint="default" w:ascii="Times New Roman" w:hAnsi="Times New Roman" w:cs="Times New Roman"/>
          <w:caps w:val="0"/>
          <w:smallCaps w:val="0"/>
          <w:spacing w:val="0"/>
          <w:w w:val="100"/>
        </w:rPr>
        <w:t>生产经营单位应当对其进行安全验收评价。</w:t>
      </w:r>
    </w:p>
    <w:p w14:paraId="356ADEF9">
      <w:pPr>
        <w:snapToGrid/>
        <w:ind w:firstLine="560" w:firstLineChars="200"/>
        <w:rPr>
          <w:rFonts w:hint="default" w:ascii="Times New Roman" w:hAnsi="Times New Roman" w:cs="Times New Roman"/>
          <w:bCs/>
          <w:caps w:val="0"/>
          <w:smallCaps w:val="0"/>
          <w:snapToGrid w:val="0"/>
          <w:spacing w:val="0"/>
          <w:w w:val="100"/>
          <w:kern w:val="0"/>
          <w:szCs w:val="28"/>
        </w:rPr>
      </w:pPr>
      <w:r>
        <w:rPr>
          <w:rFonts w:hint="default" w:ascii="Times New Roman" w:hAnsi="Times New Roman" w:cs="Times New Roman"/>
          <w:caps w:val="0"/>
          <w:smallCaps w:val="0"/>
          <w:spacing w:val="0"/>
          <w:w w:val="100"/>
        </w:rPr>
        <w:t>受</w:t>
      </w:r>
      <w:r>
        <w:rPr>
          <w:rFonts w:hint="default" w:ascii="Times New Roman" w:hAnsi="Times New Roman" w:cs="Times New Roman"/>
          <w:caps w:val="0"/>
          <w:smallCaps w:val="0"/>
          <w:spacing w:val="0"/>
          <w:w w:val="100"/>
          <w:szCs w:val="28"/>
        </w:rPr>
        <w:t>建设单位的委托，</w:t>
      </w:r>
      <w:r>
        <w:rPr>
          <w:rFonts w:hint="default" w:ascii="Times New Roman" w:hAnsi="Times New Roman" w:cs="Times New Roman"/>
          <w:caps w:val="0"/>
          <w:smallCaps w:val="0"/>
          <w:spacing w:val="0"/>
          <w:w w:val="100"/>
        </w:rPr>
        <w:t>辽宁诺诚安全科技有限公司</w:t>
      </w:r>
      <w:r>
        <w:rPr>
          <w:rFonts w:hint="default" w:ascii="Times New Roman" w:hAnsi="Times New Roman" w:cs="Times New Roman"/>
          <w:caps w:val="0"/>
          <w:smallCaps w:val="0"/>
          <w:spacing w:val="0"/>
          <w:w w:val="100"/>
          <w:szCs w:val="28"/>
        </w:rPr>
        <w:t>承担本项目的安全验收评价工作。</w:t>
      </w:r>
      <w:r>
        <w:rPr>
          <w:rFonts w:hint="default" w:ascii="Times New Roman" w:hAnsi="Times New Roman" w:cs="Times New Roman"/>
          <w:bCs/>
          <w:caps w:val="0"/>
          <w:smallCaps w:val="0"/>
          <w:snapToGrid w:val="0"/>
          <w:spacing w:val="0"/>
          <w:w w:val="100"/>
          <w:kern w:val="0"/>
          <w:szCs w:val="28"/>
        </w:rPr>
        <w:t>本公司接受该项目委托后，成立了该项目安全评价组，认真组织公司有关力量开展工作。进行法律法规、标准和规范的收集；同类企业调研；该项目现场调研和有关资料收集整理；项目危险有害因素分析；评价单元划分；评价方法选择；采用可靠、适用的评价技术对该项目进行评价，得出评价结论，结合整改照片最后编制成《西双版纳中闽商贸有限公司勐海勐遮加油站原址改扩建项目</w:t>
      </w:r>
      <w:r>
        <w:rPr>
          <w:rFonts w:hint="default" w:ascii="Times New Roman" w:hAnsi="Times New Roman" w:cs="Times New Roman"/>
          <w:caps w:val="0"/>
          <w:smallCaps w:val="0"/>
          <w:spacing w:val="0"/>
          <w:w w:val="100"/>
        </w:rPr>
        <w:t>安全验收评价报告</w:t>
      </w:r>
      <w:r>
        <w:rPr>
          <w:rFonts w:hint="default" w:ascii="Times New Roman" w:hAnsi="Times New Roman" w:cs="Times New Roman"/>
          <w:bCs/>
          <w:caps w:val="0"/>
          <w:smallCaps w:val="0"/>
          <w:snapToGrid w:val="0"/>
          <w:spacing w:val="0"/>
          <w:w w:val="100"/>
          <w:kern w:val="0"/>
          <w:szCs w:val="28"/>
        </w:rPr>
        <w:t>》。</w:t>
      </w:r>
    </w:p>
    <w:p w14:paraId="5FF8B984">
      <w:pPr>
        <w:snapToGrid/>
        <w:ind w:firstLine="560" w:firstLineChars="200"/>
        <w:rPr>
          <w:rFonts w:hint="default" w:ascii="Times New Roman" w:hAnsi="Times New Roman" w:cs="Times New Roman"/>
          <w:bCs/>
          <w:caps w:val="0"/>
          <w:smallCaps w:val="0"/>
          <w:snapToGrid w:val="0"/>
          <w:spacing w:val="0"/>
          <w:w w:val="100"/>
          <w:kern w:val="0"/>
          <w:szCs w:val="28"/>
        </w:rPr>
      </w:pPr>
      <w:r>
        <w:rPr>
          <w:rFonts w:hint="default" w:ascii="Times New Roman" w:hAnsi="Times New Roman" w:cs="Times New Roman"/>
          <w:caps w:val="0"/>
          <w:smallCaps w:val="0"/>
          <w:spacing w:val="0"/>
          <w:w w:val="100"/>
        </w:rPr>
        <w:t>在报告编制过程中，得到了建设单位领导及相关人员的大力支持，在此一并表示感谢！</w:t>
      </w:r>
    </w:p>
    <w:p w14:paraId="63F1EC98">
      <w:pPr>
        <w:pStyle w:val="51"/>
        <w:snapToGrid/>
        <w:rPr>
          <w:rFonts w:hint="default" w:ascii="Times New Roman" w:hAnsi="Times New Roman" w:cs="Times New Roman"/>
          <w:caps w:val="0"/>
          <w:smallCaps w:val="0"/>
          <w:spacing w:val="0"/>
          <w:w w:val="100"/>
        </w:rPr>
        <w:sectPr>
          <w:headerReference r:id="rId7" w:type="default"/>
          <w:footerReference r:id="rId8" w:type="default"/>
          <w:pgSz w:w="11906" w:h="16838"/>
          <w:pgMar w:top="1361" w:right="1588" w:bottom="1134" w:left="1588" w:header="851" w:footer="992" w:gutter="0"/>
          <w:pgNumType w:start="1"/>
          <w:cols w:space="720" w:num="1"/>
          <w:docGrid w:type="linesAndChars" w:linePitch="312" w:charSpace="0"/>
        </w:sectPr>
      </w:pPr>
    </w:p>
    <w:p w14:paraId="530E75C9">
      <w:pPr>
        <w:snapToGrid/>
        <w:spacing w:before="156" w:beforeLines="50" w:after="156" w:afterLines="50"/>
        <w:ind w:firstLine="560" w:firstLineChars="200"/>
        <w:jc w:val="center"/>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目  录</w:t>
      </w:r>
    </w:p>
    <w:p w14:paraId="5E2B2034">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b w:val="0"/>
          <w:bCs w:val="0"/>
          <w:caps w:val="0"/>
          <w:smallCaps w:val="0"/>
          <w:spacing w:val="0"/>
          <w:w w:val="100"/>
          <w:sz w:val="24"/>
          <w:szCs w:val="24"/>
        </w:rPr>
        <w:fldChar w:fldCharType="begin"/>
      </w:r>
      <w:r>
        <w:rPr>
          <w:rStyle w:val="40"/>
          <w:rFonts w:hint="default" w:ascii="Times New Roman" w:hAnsi="Times New Roman" w:cs="Times New Roman"/>
          <w:b w:val="0"/>
          <w:bCs w:val="0"/>
          <w:caps w:val="0"/>
          <w:smallCaps w:val="0"/>
          <w:color w:val="auto"/>
          <w:spacing w:val="0"/>
          <w:w w:val="100"/>
          <w:sz w:val="24"/>
          <w:szCs w:val="24"/>
        </w:rPr>
        <w:instrText xml:space="preserve"> TOC \o "1-3" \h \z \u </w:instrText>
      </w:r>
      <w:r>
        <w:rPr>
          <w:rFonts w:hint="default" w:ascii="Times New Roman" w:hAnsi="Times New Roman" w:cs="Times New Roman"/>
          <w:b w:val="0"/>
          <w:bCs w:val="0"/>
          <w:caps w:val="0"/>
          <w:smallCaps w:val="0"/>
          <w:spacing w:val="0"/>
          <w:w w:val="100"/>
          <w:sz w:val="24"/>
          <w:szCs w:val="24"/>
        </w:rPr>
        <w:fldChar w:fldCharType="separate"/>
      </w: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_Toc31496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第一章  概况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_Toc31496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79A7965">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_Toc4638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1.1前期准备情况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_Toc4638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784E29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_Toc32729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1.1.1任务来源</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_Toc32729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D32E028">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_Toc17571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1.1.2收集资料</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_Toc17571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EB954CA">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_Toc6024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1.1.3评价目的</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_Toc6024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4348D5C">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_Toc6521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1.1.4评价原则</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_Toc6521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E1F5242">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_Toc18546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1.2评价对象及范围</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_Toc18546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94500C3">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_Toc28436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1.3工作经过和程序</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_Toc28436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FD54F61">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_Toc10937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1.4评价基准日</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_Toc10937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A141406">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_Toc19103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第二章  建设项目概况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_Toc19103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48BE744">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_Toc3619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2.1建设单位简介</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_Toc3619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43DD435">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_Toc18146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2.2建设项目基本情况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_Toc18146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EF2B09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_Toc3055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szCs w:val="22"/>
        </w:rPr>
        <w:t>2.2.1建设项目情况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_Toc3055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EC21DC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_Toc17242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szCs w:val="22"/>
        </w:rPr>
        <w:t>2.2.2项目建设过程</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_Toc17242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7F4C353">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_Toc19479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3</w:t>
      </w:r>
      <w:r>
        <w:rPr>
          <w:rFonts w:hint="default" w:ascii="Times New Roman" w:hAnsi="Times New Roman" w:eastAsia="黑体" w:cs="Times New Roman"/>
          <w:bCs w:val="0"/>
          <w:caps w:val="0"/>
          <w:smallCaps w:val="0"/>
          <w:spacing w:val="0"/>
          <w:w w:val="100"/>
        </w:rPr>
        <w:t>建设项目自然条件</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_Toc19479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A3F133E">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_Toc7384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3</w:t>
      </w:r>
      <w:r>
        <w:rPr>
          <w:rFonts w:hint="default" w:ascii="Times New Roman" w:hAnsi="Times New Roman" w:eastAsia="黑体" w:cs="Times New Roman"/>
          <w:bCs w:val="0"/>
          <w:caps w:val="0"/>
          <w:smallCaps w:val="0"/>
          <w:spacing w:val="0"/>
          <w:w w:val="100"/>
        </w:rPr>
        <w:t>.1气象条件</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_Toc7384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4204BE8">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_Toc16859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3</w:t>
      </w:r>
      <w:r>
        <w:rPr>
          <w:rFonts w:hint="default" w:ascii="Times New Roman" w:hAnsi="Times New Roman" w:eastAsia="黑体" w:cs="Times New Roman"/>
          <w:bCs w:val="0"/>
          <w:caps w:val="0"/>
          <w:smallCaps w:val="0"/>
          <w:spacing w:val="0"/>
          <w:w w:val="100"/>
        </w:rPr>
        <w:t>.2地质条件</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_Toc16859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69654B7">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_Toc17518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3</w:t>
      </w:r>
      <w:r>
        <w:rPr>
          <w:rFonts w:hint="default" w:ascii="Times New Roman" w:hAnsi="Times New Roman" w:eastAsia="黑体" w:cs="Times New Roman"/>
          <w:bCs w:val="0"/>
          <w:caps w:val="0"/>
          <w:smallCaps w:val="0"/>
          <w:spacing w:val="0"/>
          <w:w w:val="100"/>
        </w:rPr>
        <w:t>.3抗震设防烈度及分组</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_Toc17518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290AF36">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_Toc404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4</w:t>
      </w:r>
      <w:r>
        <w:rPr>
          <w:rFonts w:hint="default" w:ascii="Times New Roman" w:hAnsi="Times New Roman" w:eastAsia="黑体" w:cs="Times New Roman"/>
          <w:bCs w:val="0"/>
          <w:caps w:val="0"/>
          <w:smallCaps w:val="0"/>
          <w:spacing w:val="0"/>
          <w:w w:val="100"/>
        </w:rPr>
        <w:t>建设项目周边情况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_Toc404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117725E">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_Toc28274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4</w:t>
      </w:r>
      <w:r>
        <w:rPr>
          <w:rFonts w:hint="default" w:ascii="Times New Roman" w:hAnsi="Times New Roman" w:eastAsia="黑体" w:cs="Times New Roman"/>
          <w:bCs w:val="0"/>
          <w:caps w:val="0"/>
          <w:smallCaps w:val="0"/>
          <w:spacing w:val="0"/>
          <w:w w:val="100"/>
        </w:rPr>
        <w:t>.1地理位置</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_Toc28274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93CFFF1">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_Toc8727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4</w:t>
      </w:r>
      <w:r>
        <w:rPr>
          <w:rFonts w:hint="default" w:ascii="Times New Roman" w:hAnsi="Times New Roman" w:eastAsia="黑体" w:cs="Times New Roman"/>
          <w:bCs w:val="0"/>
          <w:caps w:val="0"/>
          <w:smallCaps w:val="0"/>
          <w:spacing w:val="0"/>
          <w:w w:val="100"/>
        </w:rPr>
        <w:t>.2周边环境</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_Toc8727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4D8ADCC">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_Toc8922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5</w:t>
      </w:r>
      <w:r>
        <w:rPr>
          <w:rFonts w:hint="default" w:ascii="Times New Roman" w:hAnsi="Times New Roman" w:eastAsia="黑体" w:cs="Times New Roman"/>
          <w:bCs w:val="0"/>
          <w:caps w:val="0"/>
          <w:smallCaps w:val="0"/>
          <w:spacing w:val="0"/>
          <w:w w:val="100"/>
        </w:rPr>
        <w:t>总平面布置</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_Toc8922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8B17FAA">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_Toc28208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rPr>
        <w:t>工艺及设备</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_Toc28208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B99AE6C">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_Toc322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rPr>
        <w:t>.1工艺概述</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_Toc322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05C153D">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_Toc3839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rPr>
        <w:t>.2主要设备</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_Toc3839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DC47EA6">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_Toc24155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7</w:t>
      </w:r>
      <w:r>
        <w:rPr>
          <w:rFonts w:hint="default" w:ascii="Times New Roman" w:hAnsi="Times New Roman" w:eastAsia="黑体" w:cs="Times New Roman"/>
          <w:bCs w:val="0"/>
          <w:caps w:val="0"/>
          <w:smallCaps w:val="0"/>
          <w:spacing w:val="0"/>
          <w:w w:val="100"/>
        </w:rPr>
        <w:t>公用工程及辅助设施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_Toc24155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FEA863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_Toc24129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7</w:t>
      </w:r>
      <w:r>
        <w:rPr>
          <w:rFonts w:hint="default" w:ascii="Times New Roman" w:hAnsi="Times New Roman" w:eastAsia="黑体" w:cs="Times New Roman"/>
          <w:bCs w:val="0"/>
          <w:caps w:val="0"/>
          <w:smallCaps w:val="0"/>
          <w:spacing w:val="0"/>
          <w:w w:val="100"/>
        </w:rPr>
        <w:t>.1供、配电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_Toc24129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BDEA750">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_Toc19858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7</w:t>
      </w:r>
      <w:r>
        <w:rPr>
          <w:rFonts w:hint="default" w:ascii="Times New Roman" w:hAnsi="Times New Roman" w:eastAsia="黑体" w:cs="Times New Roman"/>
          <w:bCs w:val="0"/>
          <w:caps w:val="0"/>
          <w:smallCaps w:val="0"/>
          <w:spacing w:val="0"/>
          <w:w w:val="100"/>
        </w:rPr>
        <w:t>.2给、排水</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_Toc19858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FD76AB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_Toc18371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cs="Times New Roman"/>
          <w:bCs w:val="0"/>
          <w:caps w:val="0"/>
          <w:smallCaps w:val="0"/>
          <w:spacing w:val="0"/>
          <w:w w:val="100"/>
          <w:kern w:val="0"/>
        </w:rPr>
        <w:t>2.</w:t>
      </w:r>
      <w:r>
        <w:rPr>
          <w:rFonts w:hint="default" w:ascii="Times New Roman" w:hAnsi="Times New Roman" w:cs="Times New Roman"/>
          <w:bCs w:val="0"/>
          <w:caps w:val="0"/>
          <w:smallCaps w:val="0"/>
          <w:spacing w:val="0"/>
          <w:w w:val="100"/>
          <w:kern w:val="0"/>
          <w:lang w:val="en-US" w:eastAsia="zh-CN"/>
        </w:rPr>
        <w:t>7</w:t>
      </w:r>
      <w:r>
        <w:rPr>
          <w:rFonts w:hint="default" w:ascii="Times New Roman" w:hAnsi="Times New Roman" w:cs="Times New Roman"/>
          <w:bCs w:val="0"/>
          <w:caps w:val="0"/>
          <w:smallCaps w:val="0"/>
          <w:spacing w:val="0"/>
          <w:w w:val="100"/>
          <w:kern w:val="0"/>
        </w:rPr>
        <w:t>.3</w:t>
      </w:r>
      <w:r>
        <w:rPr>
          <w:rFonts w:hint="default" w:ascii="Times New Roman" w:hAnsi="Times New Roman" w:eastAsia="黑体" w:cs="Times New Roman"/>
          <w:bCs w:val="0"/>
          <w:caps w:val="0"/>
          <w:smallCaps w:val="0"/>
          <w:spacing w:val="0"/>
          <w:w w:val="100"/>
        </w:rPr>
        <w:t>通信系统</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_Toc18371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81D6471">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_Toc306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cs="Times New Roman"/>
          <w:bCs w:val="0"/>
          <w:caps w:val="0"/>
          <w:smallCaps w:val="0"/>
          <w:spacing w:val="0"/>
          <w:w w:val="100"/>
          <w:kern w:val="0"/>
        </w:rPr>
        <w:t>2.</w:t>
      </w:r>
      <w:r>
        <w:rPr>
          <w:rFonts w:hint="default" w:ascii="Times New Roman" w:hAnsi="Times New Roman" w:cs="Times New Roman"/>
          <w:bCs w:val="0"/>
          <w:caps w:val="0"/>
          <w:smallCaps w:val="0"/>
          <w:spacing w:val="0"/>
          <w:w w:val="100"/>
          <w:kern w:val="0"/>
          <w:lang w:val="en-US" w:eastAsia="zh-CN"/>
        </w:rPr>
        <w:t>7</w:t>
      </w:r>
      <w:r>
        <w:rPr>
          <w:rFonts w:hint="default" w:ascii="Times New Roman" w:hAnsi="Times New Roman" w:cs="Times New Roman"/>
          <w:bCs w:val="0"/>
          <w:caps w:val="0"/>
          <w:smallCaps w:val="0"/>
          <w:spacing w:val="0"/>
          <w:w w:val="100"/>
          <w:kern w:val="0"/>
        </w:rPr>
        <w:t>.4</w:t>
      </w:r>
      <w:r>
        <w:rPr>
          <w:rFonts w:hint="default" w:ascii="Times New Roman" w:hAnsi="Times New Roman" w:eastAsia="黑体" w:cs="Times New Roman"/>
          <w:bCs w:val="0"/>
          <w:caps w:val="0"/>
          <w:smallCaps w:val="0"/>
          <w:spacing w:val="0"/>
          <w:w w:val="100"/>
        </w:rPr>
        <w:t>视频系统</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_Toc306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BFC5E8E">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_Toc7061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安全设施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_Toc7061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ECE9F5B">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_Toc31819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.1预防事故设施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_Toc31819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27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7D53BF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_Toc32442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.2控制事故设施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_Toc32442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C78676B">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_Toc11559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.3减少与消除事故影响设施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_Toc11559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BE2632E">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_Toc22115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9</w:t>
      </w:r>
      <w:r>
        <w:rPr>
          <w:rFonts w:hint="default" w:ascii="Times New Roman" w:hAnsi="Times New Roman" w:eastAsia="黑体" w:cs="Times New Roman"/>
          <w:bCs w:val="0"/>
          <w:caps w:val="0"/>
          <w:smallCaps w:val="0"/>
          <w:spacing w:val="0"/>
          <w:w w:val="100"/>
        </w:rPr>
        <w:t>主要建筑物</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_Toc22115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D43C530">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_Toc31766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0</w:t>
      </w:r>
      <w:r>
        <w:rPr>
          <w:rFonts w:hint="default" w:ascii="Times New Roman" w:hAnsi="Times New Roman" w:eastAsia="黑体" w:cs="Times New Roman"/>
          <w:bCs w:val="0"/>
          <w:caps w:val="0"/>
          <w:smallCaps w:val="0"/>
          <w:spacing w:val="0"/>
          <w:w w:val="100"/>
        </w:rPr>
        <w:t>安全管理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_Toc31766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C51111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_Toc10745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0</w:t>
      </w:r>
      <w:r>
        <w:rPr>
          <w:rFonts w:hint="default" w:ascii="Times New Roman" w:hAnsi="Times New Roman" w:eastAsia="黑体" w:cs="Times New Roman"/>
          <w:bCs w:val="0"/>
          <w:caps w:val="0"/>
          <w:smallCaps w:val="0"/>
          <w:spacing w:val="0"/>
          <w:w w:val="100"/>
        </w:rPr>
        <w:t>.1安全管理组织</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_Toc10745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0D33A6D">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_Toc31182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szCs w:val="28"/>
        </w:rPr>
        <w:t>2.1</w:t>
      </w:r>
      <w:r>
        <w:rPr>
          <w:rFonts w:hint="default" w:ascii="Times New Roman" w:hAnsi="Times New Roman"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.2劳动定员及工作制度</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_Toc31182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4FC5997">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_Toc6786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szCs w:val="28"/>
        </w:rPr>
        <w:t>2.1</w:t>
      </w:r>
      <w:r>
        <w:rPr>
          <w:rFonts w:hint="default" w:ascii="Times New Roman" w:hAnsi="Times New Roman"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.3安全教育培训情况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_Toc6786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B2691F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_Toc29120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szCs w:val="28"/>
        </w:rPr>
        <w:t>2.1</w:t>
      </w:r>
      <w:r>
        <w:rPr>
          <w:rFonts w:hint="eastAsia"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.4安全管理规章制度</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_Toc29120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D39F306">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_Toc16933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szCs w:val="28"/>
        </w:rPr>
        <w:t>2.1</w:t>
      </w:r>
      <w:r>
        <w:rPr>
          <w:rFonts w:hint="default" w:ascii="Times New Roman" w:hAnsi="Times New Roman"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.5从业人员工伤保险及安全生产责任险</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_Toc16933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FEDBFA1">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_Toc2057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事故及应急管理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_Toc2057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9FF7A17">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_Toc9433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.1事故应急预案</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_Toc9433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7E7D2C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_Toc2019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.2事故应急救援组织</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_Toc2019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AA52F90">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_Toc25477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.3应急器材配备</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_Toc25477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A2B6B7C">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_Toc28366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2</w:t>
      </w:r>
      <w:r>
        <w:rPr>
          <w:rFonts w:hint="default" w:ascii="Times New Roman" w:hAnsi="Times New Roman" w:eastAsia="黑体" w:cs="Times New Roman"/>
          <w:bCs w:val="0"/>
          <w:caps w:val="0"/>
          <w:smallCaps w:val="0"/>
          <w:spacing w:val="0"/>
          <w:w w:val="100"/>
        </w:rPr>
        <w:t>施工、监理情况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_Toc28366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EA3DB67">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_Toc11543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12</w:t>
      </w:r>
      <w:r>
        <w:rPr>
          <w:rFonts w:hint="default" w:ascii="Times New Roman" w:hAnsi="Times New Roman" w:eastAsia="黑体" w:cs="Times New Roman"/>
          <w:bCs w:val="0"/>
          <w:caps w:val="0"/>
          <w:smallCaps w:val="0"/>
          <w:spacing w:val="0"/>
          <w:w w:val="100"/>
        </w:rPr>
        <w:t>.1安全设施施工情况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_Toc11543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39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904018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_Toc25027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12</w:t>
      </w:r>
      <w:r>
        <w:rPr>
          <w:rFonts w:hint="default" w:ascii="Times New Roman" w:hAnsi="Times New Roman" w:eastAsia="黑体" w:cs="Times New Roman"/>
          <w:bCs w:val="0"/>
          <w:caps w:val="0"/>
          <w:smallCaps w:val="0"/>
          <w:spacing w:val="0"/>
          <w:w w:val="100"/>
        </w:rPr>
        <w:t>.2隐蔽工程安装情况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_Toc25027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C08A706">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_Toc1371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12</w:t>
      </w:r>
      <w:r>
        <w:rPr>
          <w:rFonts w:hint="default" w:ascii="Times New Roman" w:hAnsi="Times New Roman" w:eastAsia="黑体" w:cs="Times New Roman"/>
          <w:bCs w:val="0"/>
          <w:caps w:val="0"/>
          <w:smallCaps w:val="0"/>
          <w:spacing w:val="0"/>
          <w:w w:val="100"/>
        </w:rPr>
        <w:t>.3工艺设备检验情况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_Toc1371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A8E410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_Toc25898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12</w:t>
      </w:r>
      <w:r>
        <w:rPr>
          <w:rFonts w:hint="default" w:ascii="Times New Roman" w:hAnsi="Times New Roman" w:eastAsia="黑体" w:cs="Times New Roman"/>
          <w:bCs w:val="0"/>
          <w:caps w:val="0"/>
          <w:smallCaps w:val="0"/>
          <w:spacing w:val="0"/>
          <w:w w:val="100"/>
        </w:rPr>
        <w:t>.4监理情况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_Toc25898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3FA444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_Toc30628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w:t>
      </w:r>
      <w:r>
        <w:rPr>
          <w:rFonts w:hint="default" w:ascii="Times New Roman" w:hAnsi="Times New Roman" w:eastAsia="黑体" w:cs="Times New Roman"/>
          <w:bCs w:val="0"/>
          <w:caps w:val="0"/>
          <w:smallCaps w:val="0"/>
          <w:spacing w:val="0"/>
          <w:w w:val="100"/>
          <w:lang w:val="en-US" w:eastAsia="zh-CN"/>
        </w:rPr>
        <w:t>12</w:t>
      </w:r>
      <w:r>
        <w:rPr>
          <w:rFonts w:hint="default" w:ascii="Times New Roman" w:hAnsi="Times New Roman" w:eastAsia="黑体" w:cs="Times New Roman"/>
          <w:bCs w:val="0"/>
          <w:caps w:val="0"/>
          <w:smallCaps w:val="0"/>
          <w:spacing w:val="0"/>
          <w:w w:val="100"/>
        </w:rPr>
        <w:t>.5试运行情况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_Toc30628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91A9452">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_Toc13686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3</w:t>
      </w:r>
      <w:r>
        <w:rPr>
          <w:rFonts w:hint="default" w:ascii="Times New Roman" w:hAnsi="Times New Roman" w:eastAsia="黑体" w:cs="Times New Roman"/>
          <w:bCs w:val="0"/>
          <w:caps w:val="0"/>
          <w:smallCaps w:val="0"/>
          <w:spacing w:val="0"/>
          <w:w w:val="100"/>
        </w:rPr>
        <w:t>设备设施试验情况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_Toc13686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D5BB619">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_Toc15221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2.1</w:t>
      </w:r>
      <w:r>
        <w:rPr>
          <w:rFonts w:hint="default" w:ascii="Times New Roman" w:hAnsi="Times New Roman" w:eastAsia="黑体" w:cs="Times New Roman"/>
          <w:bCs w:val="0"/>
          <w:caps w:val="0"/>
          <w:smallCaps w:val="0"/>
          <w:spacing w:val="0"/>
          <w:w w:val="100"/>
          <w:lang w:val="en-US" w:eastAsia="zh-CN"/>
        </w:rPr>
        <w:t>4</w:t>
      </w:r>
      <w:r>
        <w:rPr>
          <w:rFonts w:hint="default" w:ascii="Times New Roman" w:hAnsi="Times New Roman" w:eastAsia="黑体" w:cs="Times New Roman"/>
          <w:bCs w:val="0"/>
          <w:caps w:val="0"/>
          <w:smallCaps w:val="0"/>
          <w:spacing w:val="0"/>
          <w:w w:val="100"/>
        </w:rPr>
        <w:t>变更情况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_Toc15221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F0DD97C">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_Toc19846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第三章  危险、有害因素分析结果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_Toc19846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107497B">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_Toc17367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3.1危险、有害因素产生的原因</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_Toc17367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0ADB5C5">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_Toc20808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3.1.1人的因素</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_Toc20808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F105FA3">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_Toc13823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3.1.2物的因素</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_Toc13823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FAFCE9C">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_Toc1578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3.1.3 环境因素</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_Toc1578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01FB8E4">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_Toc27241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3.1.4 管理因素</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_Toc27241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92585AE">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_Toc4189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3.2主要危险、有害物质辨识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_Toc4189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B522CC8">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_Toc29595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3.2.1 主要危险、有害物质辨识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_Toc29595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80286E5">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_Toc8959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3.2.2 主要危险、有害物质的危险特性分析</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_Toc8959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3AE98B0">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_Toc16425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3.2.3主要危险、有害物质特性详述</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_Toc16425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E87553C">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_Toc664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3.3外部条件及总平面布置危险、有害因素分析结果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_Toc664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308E1AA">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_Toc22964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3.3.1外部危险性分析结果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_Toc22964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03A5876">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_Toc29849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3.3.2总平面布置危险性分析结果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_Toc29849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377DCCD">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_Toc4338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3.4经营过程危险性分析结果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_Toc4338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A8D63A5">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_Toc19388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3.4.1油品计量过程危险性分析结果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_Toc19388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014FD6D">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_Toc9998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3.4.2卸油过程危险性分析结果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_Toc9998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E85FEDA">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_Toc116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3.4.3 油品储存过程危险性分析结果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_Toc116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269090B">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_Toc18138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3.4.4 加油过程危险性分析结果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_Toc18138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B6734D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_Toc32209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3.4.5配电装置危险性分析结果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_Toc32209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6564911">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_Toc29858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3.4.6检修过程危险性分析结果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_Toc29858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CA70629">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_Toc20094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3.5事故案例及后果分析</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_Toc20094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8E8EE51">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_Toc4525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3.6危险、有害因素的辨识结果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_Toc4525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49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8B4498D">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_Toc29386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3.7剧毒化学品、易制毒化学品、易制爆化学品、国家监控化学品辨识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_Toc29386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E91DC98">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_Toc14506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3.8重点监管的危险化学品辨识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_Toc14506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CAE317E">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_Toc12246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3.9</w:t>
      </w:r>
      <w:r>
        <w:rPr>
          <w:rFonts w:hint="default" w:ascii="Times New Roman" w:hAnsi="Times New Roman" w:eastAsia="黑体" w:cs="Times New Roman"/>
          <w:caps w:val="0"/>
          <w:smallCaps w:val="0"/>
          <w:spacing w:val="0"/>
          <w:w w:val="100"/>
        </w:rPr>
        <w:t>特别管控危险化学品辨识结果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_Toc12246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D7EF0C7">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_Toc8858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3.10重大危险源辨识结果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_Toc8858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8628722">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_Toc26980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3.11淘汰落后的工艺设备辨识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_Toc26980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00A0729">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_Toc32760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第四章  安全评价单元的划分、评价方法的选用</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_Toc32760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6AEA490">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_Toc25300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4.1评价单元划分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_Toc25300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DA76EE8">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_Toc20523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4.1.1评价单元划分原则</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_Toc20523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6B0EDAD">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_Toc26961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4.1.2评价单元划分方法</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_Toc26961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E434547">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_Toc20875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4.1.3本项目评价单元的划分</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_Toc20875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EDB93AC">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_Toc14409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4.2评价方法选择</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_Toc14409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F04EB37">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_Toc13947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4.3评价方法选择理由</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_Toc13947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E58E382">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_Toc12950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4.4各评价单元采用评价方法</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_Toc12950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38CCAF6">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_Toc28772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第五章  定性、定量分析危险、有害程度的结果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_Toc28772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EA076C1">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_Toc7688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5.1 固有危险程度的定性、定量分析结果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_Toc7688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F5BB29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_Toc10147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5.1.1 主要危险化学品储存情况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_Toc10147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EFFCB1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_Toc15410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5.1.2 可燃性危险化学品燃烧后放出的热量</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_Toc15410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56AC65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_Toc28566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5.1.2 爆炸性危险化学品的梯恩梯（TNT）当量</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_Toc28566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8854653">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_Toc12965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kern w:val="2"/>
          <w:szCs w:val="28"/>
          <w:lang w:val="en-US" w:eastAsia="zh-CN" w:bidi="ar-SA"/>
        </w:rPr>
        <w:t>5.1.3 危害程度分级</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_Toc12965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9AB6D0D">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_Toc117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5.2 风险程度分析</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_Toc117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A2C216A">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_Toc1536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5.2.1 化学品泄漏的可能性</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_Toc1536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59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2D87CE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_Toc19613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5.2.2 爆炸、火灾事故的条件和需要的时间</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_Toc19613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0EE9B41">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_Toc18044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5.2.3 出现具有毒性的化学品泄漏后扩散速率及达到人的接触最高限值的时间</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_Toc18044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6A35A7C">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_Toc13677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 xml:space="preserve">第六章  </w:t>
      </w:r>
      <w:r>
        <w:rPr>
          <w:rFonts w:hint="default" w:ascii="Times New Roman" w:hAnsi="Times New Roman" w:eastAsia="黑体" w:cs="Times New Roman"/>
          <w:caps w:val="0"/>
          <w:smallCaps w:val="0"/>
          <w:spacing w:val="0"/>
          <w:w w:val="100"/>
          <w:lang w:val="en-US" w:eastAsia="zh-CN"/>
        </w:rPr>
        <w:t>安全条件和安全生产条件的分析结果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_Toc13677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9FE8585">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_Toc16862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.1 安全设施“三同时”程序合法性单元分析结果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_Toc16862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A44B913">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_Toc1008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.2 站址及外部安全条件分析结果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_Toc1008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E0CF0B5">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_Toc28149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.3 安全运行条件分析结果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_Toc28149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2EE740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_Toc11236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.3.1 总平面布置单元分析结果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_Toc11236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B24B031">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_Toc6159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.3.2 工艺及设施单元分析结果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_Toc6159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9D79CB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_Toc21466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.3.3 公用工程单元分析结果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_Toc21466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2266A44">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_Toc2311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.3.4 安全管理单元分析结果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_Toc2311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7ABB4AD">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_Toc13191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.3.5 重大生产安全事故隐患、重大火灾隐患排查单元分析结果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_Toc13191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CD7DE36">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_Toc2782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lang w:val="zh-CN"/>
        </w:rPr>
        <w:t>.3.6 危险程度分析结果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_Toc2782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995E37D">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_Toc8581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6</w:t>
      </w:r>
      <w:r>
        <w:rPr>
          <w:rFonts w:hint="default" w:ascii="Times New Roman" w:hAnsi="Times New Roman" w:eastAsia="黑体" w:cs="Times New Roman"/>
          <w:bCs w:val="0"/>
          <w:caps w:val="0"/>
          <w:smallCaps w:val="0"/>
          <w:spacing w:val="0"/>
          <w:w w:val="100"/>
        </w:rPr>
        <w:t>.4本章小结</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_Toc8581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97A43EA">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_Toc25595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第七章  安全</w:t>
      </w:r>
      <w:r>
        <w:rPr>
          <w:rFonts w:hint="default" w:ascii="Times New Roman" w:hAnsi="Times New Roman" w:eastAsia="黑体" w:cs="Times New Roman"/>
          <w:caps w:val="0"/>
          <w:smallCaps w:val="0"/>
          <w:spacing w:val="0"/>
          <w:w w:val="100"/>
          <w:lang w:val="en-US" w:eastAsia="zh-CN"/>
        </w:rPr>
        <w:t>专篇</w:t>
      </w:r>
      <w:r>
        <w:rPr>
          <w:rFonts w:hint="default" w:ascii="Times New Roman" w:hAnsi="Times New Roman" w:eastAsia="黑体" w:cs="Times New Roman"/>
          <w:caps w:val="0"/>
          <w:smallCaps w:val="0"/>
          <w:spacing w:val="0"/>
          <w:w w:val="100"/>
        </w:rPr>
        <w:t>安全对策措施落实情况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_Toc25595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E671EFE">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_Toc13320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7.</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工艺系统方面安全措施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_Toc13320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67</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2AA7DFA">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_Toc15748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7.2总平面布置方面安全措施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_Toc15748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72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1A42379">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_Toc13400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7.3设备管道方面安全措施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_Toc13400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74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D4883FC">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_Toc21875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7.4电气方面安全措施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_Toc21875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79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75D8478">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_Toc25363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7.5自控仪表及火灾报警方面安全措施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_Toc25363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9F114F3">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_Toc8780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7.6建构筑物方面安全措施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_Toc8780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0A81105">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_Toc15234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rPr>
        <w:t>7.</w:t>
      </w:r>
      <w:r>
        <w:rPr>
          <w:rFonts w:hint="default" w:ascii="Times New Roman" w:hAnsi="Times New Roman" w:eastAsia="黑体" w:cs="Times New Roman"/>
          <w:bCs w:val="0"/>
          <w:caps w:val="0"/>
          <w:smallCaps w:val="0"/>
          <w:spacing w:val="0"/>
          <w:w w:val="100"/>
          <w:lang w:val="en-US" w:eastAsia="zh-CN"/>
        </w:rPr>
        <w:t>7本章小结</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_Toc15234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56CE285">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_Toc32170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第八章  现场存在问题与安全对策措施及建议</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_Toc32170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A7A45A4">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_Toc5764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存在问题及整改</w:t>
      </w:r>
      <w:r>
        <w:rPr>
          <w:rFonts w:hint="default" w:ascii="Times New Roman" w:hAnsi="Times New Roman" w:eastAsia="黑体" w:cs="Times New Roman"/>
          <w:bCs w:val="0"/>
          <w:caps w:val="0"/>
          <w:smallCaps w:val="0"/>
          <w:spacing w:val="0"/>
          <w:w w:val="100"/>
          <w:lang w:val="en-US" w:eastAsia="zh-CN"/>
        </w:rPr>
        <w:t>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_Toc5764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B54E93E">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_Toc21493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.1存在问题</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_Toc21493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BE6CFD5">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_Toc20951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.2整改意见</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_Toc20951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22A86F3">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_Toc2813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w:t>
      </w:r>
      <w:r>
        <w:rPr>
          <w:rFonts w:hint="default" w:ascii="Times New Roman" w:hAnsi="Times New Roman" w:eastAsia="黑体" w:cs="Times New Roman"/>
          <w:bCs w:val="0"/>
          <w:caps w:val="0"/>
          <w:smallCaps w:val="0"/>
          <w:spacing w:val="0"/>
          <w:w w:val="100"/>
          <w:lang w:val="en-US" w:eastAsia="zh-CN"/>
        </w:rPr>
        <w:t>1</w:t>
      </w:r>
      <w:r>
        <w:rPr>
          <w:rFonts w:hint="default" w:ascii="Times New Roman" w:hAnsi="Times New Roman" w:eastAsia="黑体" w:cs="Times New Roman"/>
          <w:bCs w:val="0"/>
          <w:caps w:val="0"/>
          <w:smallCaps w:val="0"/>
          <w:spacing w:val="0"/>
          <w:w w:val="100"/>
        </w:rPr>
        <w:t>.3整改完成情况</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_Toc2813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B563BCB">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_Toc1751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w:t>
      </w:r>
      <w:r>
        <w:rPr>
          <w:rFonts w:hint="default" w:ascii="Times New Roman" w:hAnsi="Times New Roman" w:eastAsia="黑体" w:cs="Times New Roman"/>
          <w:bCs w:val="0"/>
          <w:caps w:val="0"/>
          <w:smallCaps w:val="0"/>
          <w:spacing w:val="0"/>
          <w:w w:val="100"/>
          <w:lang w:val="en-US" w:eastAsia="zh-CN"/>
        </w:rPr>
        <w:t>2</w:t>
      </w:r>
      <w:r>
        <w:rPr>
          <w:rFonts w:hint="default" w:ascii="Times New Roman" w:hAnsi="Times New Roman" w:eastAsia="黑体" w:cs="Times New Roman"/>
          <w:bCs w:val="0"/>
          <w:caps w:val="0"/>
          <w:smallCaps w:val="0"/>
          <w:spacing w:val="0"/>
          <w:w w:val="100"/>
        </w:rPr>
        <w:t>安全对策与建议</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_Toc1751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89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024E53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_Toc7768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8</w:t>
      </w:r>
      <w:r>
        <w:rPr>
          <w:rFonts w:hint="default" w:ascii="Times New Roman" w:hAnsi="Times New Roman" w:eastAsia="黑体" w:cs="Times New Roman"/>
          <w:bCs w:val="0"/>
          <w:caps w:val="0"/>
          <w:smallCaps w:val="0"/>
          <w:spacing w:val="0"/>
          <w:w w:val="100"/>
        </w:rPr>
        <w:t>.</w:t>
      </w:r>
      <w:r>
        <w:rPr>
          <w:rFonts w:hint="default" w:ascii="Times New Roman" w:hAnsi="Times New Roman" w:eastAsia="黑体" w:cs="Times New Roman"/>
          <w:bCs w:val="0"/>
          <w:caps w:val="0"/>
          <w:smallCaps w:val="0"/>
          <w:spacing w:val="0"/>
          <w:w w:val="100"/>
          <w:lang w:val="en-US" w:eastAsia="zh-CN"/>
        </w:rPr>
        <w:t>2</w:t>
      </w:r>
      <w:r>
        <w:rPr>
          <w:rFonts w:hint="default" w:ascii="Times New Roman" w:hAnsi="Times New Roman" w:eastAsia="黑体" w:cs="Times New Roman"/>
          <w:bCs w:val="0"/>
          <w:caps w:val="0"/>
          <w:smallCaps w:val="0"/>
          <w:spacing w:val="0"/>
          <w:w w:val="100"/>
        </w:rPr>
        <w:t>.1主要装置、设备（设施）的维护与保养</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_Toc7768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578E2EC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_Toc29660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.2防火、防爆对策措施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_Toc29660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BFC076F">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_Toc10155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.3配电室对策措施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_Toc10155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27A50A87">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_Toc5599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.4安全生产投入</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_Toc5599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403894D">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_Toc31307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.5储罐区管理措施及技术措施要求</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_Toc31307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6DC4332A">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_Toc7197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.6重点监管的危险化学品对策措施和建议</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_Toc7197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93</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D37A4B7">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_Toc29913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.7加油站油品卸油对策措施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_Toc29913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96</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E36439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_Toc28091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.8加油站油品储存对策措施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_Toc28091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C00C128">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.9加油站油品计量对策措施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71E5914">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_Toc31175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.10加油站加油对策措施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_Toc31175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99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7D1A72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_Toc14041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.11特殊作业对策措施和建议</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_Toc14041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3B90742">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_Toc3079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.12针对检维修作业的安全措施和建议</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_Toc3079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102</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5CC61A9">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_Toc6466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eastAsia="zh-CN"/>
        </w:rPr>
        <w:t>8.2</w:t>
      </w:r>
      <w:r>
        <w:rPr>
          <w:rFonts w:hint="default" w:ascii="Times New Roman" w:hAnsi="Times New Roman" w:eastAsia="黑体" w:cs="Times New Roman"/>
          <w:bCs w:val="0"/>
          <w:caps w:val="0"/>
          <w:smallCaps w:val="0"/>
          <w:spacing w:val="0"/>
          <w:w w:val="100"/>
        </w:rPr>
        <w:t>.13安全管理对策措施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_Toc6466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105</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49DD54CC">
      <w:pPr>
        <w:pStyle w:val="16"/>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_Toc30066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8.2.14其他对策措施</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_Toc30066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108</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7429465">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_Toc5803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w:t>
      </w:r>
      <w:r>
        <w:rPr>
          <w:rFonts w:hint="default" w:ascii="Times New Roman" w:hAnsi="Times New Roman" w:eastAsia="黑体" w:cs="Times New Roman"/>
          <w:caps w:val="0"/>
          <w:smallCaps w:val="0"/>
          <w:spacing w:val="0"/>
          <w:w w:val="100"/>
          <w:lang w:val="en-US" w:eastAsia="zh-CN"/>
        </w:rPr>
        <w:t>九</w:t>
      </w:r>
      <w:r>
        <w:rPr>
          <w:rFonts w:hint="default" w:ascii="Times New Roman" w:hAnsi="Times New Roman" w:eastAsia="黑体" w:cs="Times New Roman"/>
          <w:caps w:val="0"/>
          <w:smallCaps w:val="0"/>
          <w:spacing w:val="0"/>
          <w:w w:val="100"/>
        </w:rPr>
        <w:t>章  评价结论</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_Toc5803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045CE46">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_Toc3407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9</w:t>
      </w:r>
      <w:r>
        <w:rPr>
          <w:rFonts w:hint="default" w:ascii="Times New Roman" w:hAnsi="Times New Roman" w:eastAsia="黑体" w:cs="Times New Roman"/>
          <w:bCs w:val="0"/>
          <w:caps w:val="0"/>
          <w:smallCaps w:val="0"/>
          <w:spacing w:val="0"/>
          <w:w w:val="100"/>
        </w:rPr>
        <w:t>.1加油站存在的主要危险有害因素</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_Toc3407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3B37CA07">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_Toc26472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9</w:t>
      </w:r>
      <w:r>
        <w:rPr>
          <w:rFonts w:hint="default" w:ascii="Times New Roman" w:hAnsi="Times New Roman" w:eastAsia="黑体" w:cs="Times New Roman"/>
          <w:bCs w:val="0"/>
          <w:caps w:val="0"/>
          <w:smallCaps w:val="0"/>
          <w:spacing w:val="0"/>
          <w:w w:val="100"/>
        </w:rPr>
        <w:t>.2单元评价综述</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_Toc26472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109</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72B62E81">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_Toc30783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9</w:t>
      </w:r>
      <w:r>
        <w:rPr>
          <w:rFonts w:hint="default" w:ascii="Times New Roman" w:hAnsi="Times New Roman" w:eastAsia="黑体" w:cs="Times New Roman"/>
          <w:bCs w:val="0"/>
          <w:caps w:val="0"/>
          <w:smallCaps w:val="0"/>
          <w:spacing w:val="0"/>
          <w:w w:val="100"/>
        </w:rPr>
        <w:t>.3应重点防范的危险有害因素</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_Toc30783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110</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36A34AE">
      <w:pPr>
        <w:pStyle w:val="29"/>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_Toc7364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bCs w:val="0"/>
          <w:caps w:val="0"/>
          <w:smallCaps w:val="0"/>
          <w:spacing w:val="0"/>
          <w:w w:val="100"/>
          <w:lang w:val="en-US" w:eastAsia="zh-CN"/>
        </w:rPr>
        <w:t>9</w:t>
      </w:r>
      <w:r>
        <w:rPr>
          <w:rFonts w:hint="default" w:ascii="Times New Roman" w:hAnsi="Times New Roman" w:eastAsia="黑体" w:cs="Times New Roman"/>
          <w:bCs w:val="0"/>
          <w:caps w:val="0"/>
          <w:smallCaps w:val="0"/>
          <w:spacing w:val="0"/>
          <w:w w:val="100"/>
        </w:rPr>
        <w:t>.4评价结论</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_Toc7364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111</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10E56CBC">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begin"/>
      </w:r>
      <w:r>
        <w:rPr>
          <w:rFonts w:hint="default" w:ascii="Times New Roman" w:hAnsi="Times New Roman" w:cs="Times New Roman"/>
          <w:caps w:val="0"/>
          <w:smallCaps w:val="0"/>
          <w:spacing w:val="0"/>
          <w:w w:val="100"/>
          <w:szCs w:val="24"/>
        </w:rPr>
        <w:instrText xml:space="preserve"> HYPERLINK \l _Toc19657 </w:instrText>
      </w:r>
      <w:r>
        <w:rPr>
          <w:rFonts w:hint="default" w:ascii="Times New Roman" w:hAnsi="Times New Roman" w:cs="Times New Roman"/>
          <w:caps w:val="0"/>
          <w:smallCaps w:val="0"/>
          <w:spacing w:val="0"/>
          <w:w w:val="100"/>
          <w:szCs w:val="24"/>
        </w:rPr>
        <w:fldChar w:fldCharType="separate"/>
      </w:r>
      <w:r>
        <w:rPr>
          <w:rFonts w:hint="default" w:ascii="Times New Roman" w:hAnsi="Times New Roman" w:eastAsia="黑体" w:cs="Times New Roman"/>
          <w:caps w:val="0"/>
          <w:smallCaps w:val="0"/>
          <w:spacing w:val="0"/>
          <w:w w:val="100"/>
        </w:rPr>
        <w:t>第</w:t>
      </w:r>
      <w:r>
        <w:rPr>
          <w:rFonts w:hint="default" w:ascii="Times New Roman" w:hAnsi="Times New Roman" w:eastAsia="黑体" w:cs="Times New Roman"/>
          <w:caps w:val="0"/>
          <w:smallCaps w:val="0"/>
          <w:spacing w:val="0"/>
          <w:w w:val="100"/>
          <w:lang w:val="en-US" w:eastAsia="zh-CN"/>
        </w:rPr>
        <w:t>十</w:t>
      </w:r>
      <w:r>
        <w:rPr>
          <w:rFonts w:hint="default" w:ascii="Times New Roman" w:hAnsi="Times New Roman" w:eastAsia="黑体" w:cs="Times New Roman"/>
          <w:caps w:val="0"/>
          <w:smallCaps w:val="0"/>
          <w:spacing w:val="0"/>
          <w:w w:val="100"/>
        </w:rPr>
        <w:t>章  与建设单位交换意见的情况结果</w:t>
      </w:r>
      <w:r>
        <w:rPr>
          <w:rFonts w:hint="default" w:ascii="Times New Roman" w:hAnsi="Times New Roman" w:cs="Times New Roman"/>
          <w:caps w:val="0"/>
          <w:smallCaps w:val="0"/>
          <w:spacing w:val="0"/>
          <w:w w:val="100"/>
        </w:rPr>
        <w:tab/>
      </w:r>
      <w:r>
        <w:rPr>
          <w:rFonts w:hint="default" w:ascii="Times New Roman" w:hAnsi="Times New Roman" w:cs="Times New Roman"/>
          <w:caps w:val="0"/>
          <w:smallCaps w:val="0"/>
          <w:spacing w:val="0"/>
          <w:w w:val="100"/>
        </w:rPr>
        <w:fldChar w:fldCharType="begin"/>
      </w:r>
      <w:r>
        <w:rPr>
          <w:rFonts w:hint="default" w:ascii="Times New Roman" w:hAnsi="Times New Roman" w:cs="Times New Roman"/>
          <w:caps w:val="0"/>
          <w:smallCaps w:val="0"/>
          <w:spacing w:val="0"/>
          <w:w w:val="100"/>
        </w:rPr>
        <w:instrText xml:space="preserve"> PAGEREF _Toc19657 \h </w:instrText>
      </w:r>
      <w:r>
        <w:rPr>
          <w:rFonts w:hint="default" w:ascii="Times New Roman" w:hAnsi="Times New Roman" w:cs="Times New Roman"/>
          <w:caps w:val="0"/>
          <w:smallCaps w:val="0"/>
          <w:spacing w:val="0"/>
          <w:w w:val="100"/>
        </w:rPr>
        <w:fldChar w:fldCharType="separate"/>
      </w:r>
      <w:r>
        <w:rPr>
          <w:rFonts w:hint="default" w:ascii="Times New Roman" w:hAnsi="Times New Roman" w:cs="Times New Roman"/>
          <w:caps w:val="0"/>
          <w:smallCaps w:val="0"/>
          <w:spacing w:val="0"/>
          <w:w w:val="100"/>
        </w:rPr>
        <w:t>114</w:t>
      </w:r>
      <w:r>
        <w:rPr>
          <w:rFonts w:hint="default" w:ascii="Times New Roman" w:hAnsi="Times New Roman" w:cs="Times New Roman"/>
          <w:caps w:val="0"/>
          <w:smallCaps w:val="0"/>
          <w:spacing w:val="0"/>
          <w:w w:val="100"/>
        </w:rPr>
        <w:fldChar w:fldCharType="end"/>
      </w:r>
      <w:r>
        <w:rPr>
          <w:rFonts w:hint="default" w:ascii="Times New Roman" w:hAnsi="Times New Roman" w:cs="Times New Roman"/>
          <w:caps w:val="0"/>
          <w:smallCaps w:val="0"/>
          <w:spacing w:val="0"/>
          <w:w w:val="100"/>
          <w:szCs w:val="24"/>
        </w:rPr>
        <w:fldChar w:fldCharType="end"/>
      </w:r>
    </w:p>
    <w:p w14:paraId="0E4F3C7D">
      <w:pPr>
        <w:pStyle w:val="23"/>
        <w:tabs>
          <w:tab w:val="right" w:leader="dot" w:pos="9185"/>
          <w:tab w:val="clear" w:pos="8460"/>
        </w:tabs>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4"/>
        </w:rPr>
        <w:fldChar w:fldCharType="end"/>
      </w:r>
      <w:bookmarkStart w:id="3" w:name="_Toc446631663"/>
    </w:p>
    <w:p w14:paraId="10D03A24">
      <w:pPr>
        <w:snapToGrid/>
        <w:rPr>
          <w:rFonts w:hint="default" w:ascii="Times New Roman" w:hAnsi="Times New Roman" w:cs="Times New Roman"/>
          <w:caps w:val="0"/>
          <w:smallCaps w:val="0"/>
          <w:spacing w:val="0"/>
          <w:w w:val="100"/>
        </w:rPr>
        <w:sectPr>
          <w:headerReference r:id="rId9" w:type="default"/>
          <w:footerReference r:id="rId10" w:type="default"/>
          <w:pgSz w:w="11906" w:h="16838"/>
          <w:pgMar w:top="1417" w:right="1134" w:bottom="1134" w:left="1587" w:header="851" w:footer="992" w:gutter="0"/>
          <w:pgNumType w:fmt="upperRoman" w:start="1"/>
          <w:cols w:space="720" w:num="1"/>
          <w:docGrid w:type="linesAndChars" w:linePitch="312" w:charSpace="0"/>
        </w:sectPr>
      </w:pPr>
    </w:p>
    <w:p w14:paraId="1F53296F">
      <w:pPr>
        <w:pStyle w:val="4"/>
        <w:snapToGrid/>
        <w:spacing w:before="120" w:after="120" w:line="600" w:lineRule="exact"/>
        <w:ind w:firstLine="643"/>
        <w:rPr>
          <w:rFonts w:hint="default" w:ascii="Times New Roman" w:hAnsi="Times New Roman" w:eastAsia="黑体" w:cs="Times New Roman"/>
          <w:caps w:val="0"/>
          <w:smallCaps w:val="0"/>
          <w:color w:val="000000"/>
          <w:spacing w:val="0"/>
          <w:w w:val="100"/>
        </w:rPr>
      </w:pPr>
      <w:bookmarkStart w:id="4" w:name="_Toc8257"/>
      <w:bookmarkStart w:id="5" w:name="_Toc28867"/>
      <w:bookmarkStart w:id="6" w:name="_Toc21329"/>
      <w:bookmarkStart w:id="7" w:name="_Toc31248"/>
      <w:bookmarkStart w:id="8" w:name="_Toc5780"/>
      <w:bookmarkStart w:id="9" w:name="_Toc26608"/>
      <w:r>
        <w:rPr>
          <w:rFonts w:hint="default" w:ascii="Times New Roman" w:hAnsi="Times New Roman" w:eastAsia="黑体" w:cs="Times New Roman"/>
          <w:caps w:val="0"/>
          <w:smallCaps w:val="0"/>
          <w:color w:val="000000"/>
          <w:spacing w:val="0"/>
          <w:w w:val="100"/>
        </w:rPr>
        <w:t>非常用的术语、符号和代号说明</w:t>
      </w:r>
      <w:bookmarkEnd w:id="4"/>
      <w:bookmarkEnd w:id="5"/>
      <w:bookmarkEnd w:id="6"/>
      <w:bookmarkEnd w:id="7"/>
      <w:bookmarkEnd w:id="8"/>
      <w:bookmarkEnd w:id="9"/>
    </w:p>
    <w:p w14:paraId="54693D32">
      <w:pPr>
        <w:keepNext/>
        <w:keepLines/>
        <w:snapToGrid/>
        <w:jc w:val="left"/>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1术语</w:t>
      </w:r>
      <w:bookmarkEnd w:id="3"/>
    </w:p>
    <w:p w14:paraId="645D9801">
      <w:pPr>
        <w:pStyle w:val="55"/>
        <w:snapToGrid/>
        <w:ind w:firstLine="560" w:firstLineChars="200"/>
        <w:jc w:val="left"/>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1.1安全评价</w:t>
      </w:r>
    </w:p>
    <w:p w14:paraId="759D4D54">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以实现安全为目的，应用安全系统工程原理和方法，辨识与分析工程、系统、生产经营活动中的危险、有害因素，预测发生事故或造成职业危害的可能性极其严重程度，提出科学、合理、可行的安全对策措施建议，作出评价结论的活动。安全评价可针对一个特定的对象，也可针对一定区域范围。</w:t>
      </w:r>
    </w:p>
    <w:p w14:paraId="2EAC9018">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安全评价按照实施阶段的不同分为三类：安全预评价、安全验收评价、安全现状评价。</w:t>
      </w:r>
    </w:p>
    <w:p w14:paraId="2D20B6DF">
      <w:pPr>
        <w:pStyle w:val="55"/>
        <w:snapToGrid/>
        <w:ind w:firstLine="560" w:firstLineChars="200"/>
        <w:jc w:val="left"/>
        <w:rPr>
          <w:rFonts w:hint="default" w:ascii="Times New Roman" w:hAnsi="Times New Roman" w:cs="Times New Roman"/>
          <w:caps w:val="0"/>
          <w:smallCaps w:val="0"/>
          <w:spacing w:val="0"/>
          <w:w w:val="100"/>
        </w:rPr>
      </w:pPr>
      <w:bookmarkStart w:id="10" w:name="_Toc446631664"/>
      <w:r>
        <w:rPr>
          <w:rFonts w:hint="default" w:ascii="Times New Roman" w:hAnsi="Times New Roman" w:cs="Times New Roman"/>
          <w:caps w:val="0"/>
          <w:smallCaps w:val="0"/>
          <w:spacing w:val="0"/>
          <w:w w:val="100"/>
        </w:rPr>
        <w:t>1.2安全验收评价</w:t>
      </w:r>
      <w:bookmarkEnd w:id="10"/>
    </w:p>
    <w:p w14:paraId="5B144DCB">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在建设项目竣工后正式生产运行前或工业园区建设完成后，通过检查建设项目安全设施与主体工程同时设计、同时施工、同时投入生产和使用的情况或工业园区内的安全设施、设备、装置投入生产和使用的情况，检查安全生产管理措施到位情况，检查安全生产规章制度健全情况，检查事故应急预案建立情况，审查确定建设项目、工业园区建设满足安全生产法律法规、规章、标准、规范要求的符合性，从整体上确定建设项目、工业园区的运行状况和安全管理情况，做出安全验收评价结论的活动。</w:t>
      </w:r>
    </w:p>
    <w:p w14:paraId="34F95B35">
      <w:pPr>
        <w:pStyle w:val="55"/>
        <w:snapToGrid/>
        <w:ind w:firstLine="560" w:firstLineChars="200"/>
        <w:jc w:val="left"/>
        <w:rPr>
          <w:rFonts w:hint="default" w:ascii="Times New Roman" w:hAnsi="Times New Roman" w:cs="Times New Roman"/>
          <w:caps w:val="0"/>
          <w:smallCaps w:val="0"/>
          <w:spacing w:val="0"/>
          <w:w w:val="100"/>
        </w:rPr>
      </w:pPr>
      <w:bookmarkStart w:id="11" w:name="_Toc446631665"/>
      <w:r>
        <w:rPr>
          <w:rFonts w:hint="default" w:ascii="Times New Roman" w:hAnsi="Times New Roman" w:cs="Times New Roman"/>
          <w:caps w:val="0"/>
          <w:smallCaps w:val="0"/>
          <w:spacing w:val="0"/>
          <w:w w:val="100"/>
        </w:rPr>
        <w:t>1.3化学品</w:t>
      </w:r>
      <w:bookmarkEnd w:id="11"/>
    </w:p>
    <w:p w14:paraId="5D2CE0C3">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指各种化学元素、由元素组成的化合物及其混合物，包括天然的或者人造的。</w:t>
      </w:r>
    </w:p>
    <w:p w14:paraId="1DB770E2">
      <w:pPr>
        <w:pStyle w:val="55"/>
        <w:snapToGrid/>
        <w:ind w:firstLine="560" w:firstLineChars="200"/>
        <w:jc w:val="left"/>
        <w:rPr>
          <w:rFonts w:hint="default" w:ascii="Times New Roman" w:hAnsi="Times New Roman" w:cs="Times New Roman"/>
          <w:caps w:val="0"/>
          <w:smallCaps w:val="0"/>
          <w:spacing w:val="0"/>
          <w:w w:val="100"/>
        </w:rPr>
      </w:pPr>
      <w:bookmarkStart w:id="12" w:name="_Toc446631666"/>
      <w:r>
        <w:rPr>
          <w:rFonts w:hint="default" w:ascii="Times New Roman" w:hAnsi="Times New Roman" w:cs="Times New Roman"/>
          <w:caps w:val="0"/>
          <w:smallCaps w:val="0"/>
          <w:spacing w:val="0"/>
          <w:w w:val="100"/>
        </w:rPr>
        <w:t>1.4危险化学品</w:t>
      </w:r>
      <w:bookmarkEnd w:id="12"/>
    </w:p>
    <w:p w14:paraId="217251FD">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具有毒害、腐蚀、爆炸、燃烧、助燃等性质，对人体、设施、环境具有危害的剧毒化学品和其他化学品。</w:t>
      </w:r>
    </w:p>
    <w:p w14:paraId="39C0201E">
      <w:pPr>
        <w:pStyle w:val="55"/>
        <w:snapToGrid/>
        <w:ind w:firstLine="560" w:firstLineChars="200"/>
        <w:jc w:val="left"/>
        <w:rPr>
          <w:rFonts w:hint="default" w:ascii="Times New Roman" w:hAnsi="Times New Roman" w:cs="Times New Roman"/>
          <w:caps w:val="0"/>
          <w:smallCaps w:val="0"/>
          <w:spacing w:val="0"/>
          <w:w w:val="100"/>
        </w:rPr>
      </w:pPr>
      <w:bookmarkStart w:id="13" w:name="_Toc446631668"/>
      <w:r>
        <w:rPr>
          <w:rFonts w:hint="default" w:ascii="Times New Roman" w:hAnsi="Times New Roman" w:cs="Times New Roman"/>
          <w:caps w:val="0"/>
          <w:smallCaps w:val="0"/>
          <w:spacing w:val="0"/>
          <w:w w:val="100"/>
        </w:rPr>
        <w:t>1.5改建项目</w:t>
      </w:r>
      <w:bookmarkEnd w:id="13"/>
    </w:p>
    <w:p w14:paraId="1A9CE423">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指企业对在役伴有危险化学品产生的化学品或者危险化学品生产、储存装置（设施），在原址或者易地更新技术、工艺和改变原设计的生产、储存危险化学品种类及主要装置（设施、设备）、危险化学品作业场所的建设项目。</w:t>
      </w:r>
    </w:p>
    <w:p w14:paraId="0FE8BFE6">
      <w:pPr>
        <w:pStyle w:val="55"/>
        <w:snapToGrid/>
        <w:ind w:firstLine="560" w:firstLineChars="200"/>
        <w:jc w:val="left"/>
        <w:rPr>
          <w:rFonts w:hint="default" w:ascii="Times New Roman" w:hAnsi="Times New Roman" w:cs="Times New Roman"/>
          <w:caps w:val="0"/>
          <w:smallCaps w:val="0"/>
          <w:spacing w:val="0"/>
          <w:w w:val="100"/>
        </w:rPr>
      </w:pPr>
      <w:bookmarkStart w:id="14" w:name="_Toc446631670"/>
      <w:r>
        <w:rPr>
          <w:rFonts w:hint="default" w:ascii="Times New Roman" w:hAnsi="Times New Roman" w:cs="Times New Roman"/>
          <w:caps w:val="0"/>
          <w:smallCaps w:val="0"/>
          <w:spacing w:val="0"/>
          <w:w w:val="100"/>
        </w:rPr>
        <w:t>1.6安全设施</w:t>
      </w:r>
      <w:bookmarkEnd w:id="14"/>
    </w:p>
    <w:p w14:paraId="6F16A255">
      <w:pPr>
        <w:pStyle w:val="55"/>
        <w:snapToGrid/>
        <w:ind w:firstLine="560" w:firstLineChars="200"/>
        <w:jc w:val="left"/>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指企业（单位）在生产经营活动中将危险因素、有害因素控制在安全范围内以及预防、减少、消除危害所配备的装置（设备）和采取的措施。</w:t>
      </w:r>
    </w:p>
    <w:p w14:paraId="525E9788">
      <w:pPr>
        <w:pStyle w:val="55"/>
        <w:snapToGrid/>
        <w:ind w:firstLine="560" w:firstLineChars="200"/>
        <w:jc w:val="left"/>
        <w:rPr>
          <w:rFonts w:hint="default" w:ascii="Times New Roman" w:hAnsi="Times New Roman" w:cs="Times New Roman"/>
          <w:caps w:val="0"/>
          <w:smallCaps w:val="0"/>
          <w:spacing w:val="0"/>
          <w:w w:val="100"/>
        </w:rPr>
      </w:pPr>
      <w:bookmarkStart w:id="15" w:name="_Toc446631671"/>
      <w:r>
        <w:rPr>
          <w:rFonts w:hint="default" w:ascii="Times New Roman" w:hAnsi="Times New Roman" w:cs="Times New Roman"/>
          <w:caps w:val="0"/>
          <w:smallCaps w:val="0"/>
          <w:spacing w:val="0"/>
          <w:w w:val="100"/>
        </w:rPr>
        <w:t>1.7作业场所</w:t>
      </w:r>
      <w:bookmarkEnd w:id="15"/>
    </w:p>
    <w:p w14:paraId="11E8119A">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指可能使从业人员接触危险化学品的任何作业活动场所，包括从事危险化学品的生产、操作、处置、储存、搬运、运输、废弃危险化学品的处置或者处理等场所。</w:t>
      </w:r>
    </w:p>
    <w:p w14:paraId="0EF80895">
      <w:pPr>
        <w:pStyle w:val="55"/>
        <w:snapToGrid/>
        <w:ind w:firstLine="560" w:firstLineChars="200"/>
        <w:jc w:val="left"/>
        <w:rPr>
          <w:rFonts w:hint="default" w:ascii="Times New Roman" w:hAnsi="Times New Roman" w:cs="Times New Roman"/>
          <w:caps w:val="0"/>
          <w:smallCaps w:val="0"/>
          <w:spacing w:val="0"/>
          <w:w w:val="100"/>
        </w:rPr>
      </w:pPr>
      <w:bookmarkStart w:id="16" w:name="_Toc446631672"/>
      <w:r>
        <w:rPr>
          <w:rFonts w:hint="default" w:ascii="Times New Roman" w:hAnsi="Times New Roman" w:cs="Times New Roman"/>
          <w:caps w:val="0"/>
          <w:smallCaps w:val="0"/>
          <w:spacing w:val="0"/>
          <w:w w:val="100"/>
        </w:rPr>
        <w:t>1.8 CAS号</w:t>
      </w:r>
      <w:bookmarkEnd w:id="16"/>
    </w:p>
    <w:p w14:paraId="5C6DE21E">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CAS号是美国化学文摘社登记号。CAS是美国化学文摘社（Chemical Abstract Service）的英文缩写。登记号由三部分数字组成，各部分之间用短线连接。该号是用来判定检索有多个名称的化学物质信息的重要工具。</w:t>
      </w:r>
    </w:p>
    <w:p w14:paraId="7E887641">
      <w:pPr>
        <w:pStyle w:val="55"/>
        <w:snapToGrid/>
        <w:ind w:firstLine="560" w:firstLineChars="200"/>
        <w:jc w:val="left"/>
        <w:rPr>
          <w:rFonts w:hint="default" w:ascii="Times New Roman" w:hAnsi="Times New Roman" w:cs="Times New Roman"/>
          <w:caps w:val="0"/>
          <w:smallCaps w:val="0"/>
          <w:spacing w:val="0"/>
          <w:w w:val="100"/>
        </w:rPr>
      </w:pPr>
      <w:bookmarkStart w:id="17" w:name="_Toc446631673"/>
      <w:r>
        <w:rPr>
          <w:rFonts w:hint="default" w:ascii="Times New Roman" w:hAnsi="Times New Roman" w:cs="Times New Roman"/>
          <w:caps w:val="0"/>
          <w:smallCaps w:val="0"/>
          <w:spacing w:val="0"/>
          <w:w w:val="100"/>
        </w:rPr>
        <w:t>1.9 RTECS号</w:t>
      </w:r>
      <w:bookmarkEnd w:id="17"/>
    </w:p>
    <w:p w14:paraId="542DA841">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RTECS号是美国职业安全与卫生研究所规定的化学物质毒性作用登记号，RTECS是化学物质毒性作用登记（Registry of Toxic Effects of Chemical Substances）的英文缩写。该号可用来查找一种化学物质的毒理学数据。</w:t>
      </w:r>
    </w:p>
    <w:p w14:paraId="769C9D34">
      <w:pPr>
        <w:pStyle w:val="55"/>
        <w:snapToGrid/>
        <w:ind w:firstLine="560" w:firstLineChars="200"/>
        <w:jc w:val="left"/>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1.10 UN编号</w:t>
      </w:r>
    </w:p>
    <w:p w14:paraId="7147BAB1">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UN编号是联合国危险货物运输专家委员会对危险物质制定的编号。该编号登录在联合国《关于危险货物运输的建议书》（Recommendations on the Transport of Dangerous Goods）中。UN是联合国（United Nations）的英文缩写。</w:t>
      </w:r>
    </w:p>
    <w:p w14:paraId="67D1FA3B">
      <w:pPr>
        <w:pStyle w:val="55"/>
        <w:snapToGrid/>
        <w:ind w:firstLine="560" w:firstLineChars="200"/>
        <w:jc w:val="left"/>
        <w:rPr>
          <w:rFonts w:hint="default" w:ascii="Times New Roman" w:hAnsi="Times New Roman" w:cs="Times New Roman"/>
          <w:caps w:val="0"/>
          <w:smallCaps w:val="0"/>
          <w:spacing w:val="0"/>
          <w:w w:val="100"/>
        </w:rPr>
      </w:pPr>
      <w:bookmarkStart w:id="18" w:name="_Toc446631674"/>
      <w:r>
        <w:rPr>
          <w:rFonts w:hint="default" w:ascii="Times New Roman" w:hAnsi="Times New Roman" w:cs="Times New Roman"/>
          <w:caps w:val="0"/>
          <w:smallCaps w:val="0"/>
          <w:spacing w:val="0"/>
          <w:w w:val="100"/>
        </w:rPr>
        <w:t>1.11 IMDG规则页码</w:t>
      </w:r>
      <w:bookmarkEnd w:id="18"/>
    </w:p>
    <w:p w14:paraId="7D7992DB">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IMDG是International Maritime Dangerous Goods的缩写。IMDG规则页码是国际海事组织编制的《国际海上危险物品运输规则》的危险货物信息页码。</w:t>
      </w:r>
    </w:p>
    <w:p w14:paraId="3C03CB34">
      <w:pPr>
        <w:pStyle w:val="55"/>
        <w:snapToGrid/>
        <w:ind w:firstLine="560" w:firstLineChars="200"/>
        <w:jc w:val="left"/>
        <w:rPr>
          <w:rFonts w:hint="default" w:ascii="Times New Roman" w:hAnsi="Times New Roman" w:cs="Times New Roman"/>
          <w:caps w:val="0"/>
          <w:smallCaps w:val="0"/>
          <w:spacing w:val="0"/>
          <w:w w:val="100"/>
        </w:rPr>
      </w:pPr>
      <w:bookmarkStart w:id="19" w:name="_Toc446631675"/>
      <w:r>
        <w:rPr>
          <w:rFonts w:hint="default" w:ascii="Times New Roman" w:hAnsi="Times New Roman" w:cs="Times New Roman"/>
          <w:caps w:val="0"/>
          <w:smallCaps w:val="0"/>
          <w:spacing w:val="0"/>
          <w:w w:val="100"/>
        </w:rPr>
        <w:t>1.12危险货物编号</w:t>
      </w:r>
      <w:bookmarkEnd w:id="19"/>
    </w:p>
    <w:p w14:paraId="7897563D">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依据《危险货物分类和品名编号》（GB6944-2012），危险货物的品名编号采用联合国编号。</w:t>
      </w:r>
    </w:p>
    <w:p w14:paraId="60D465E2">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联合国编号由联合国危险货物运输专家委员会编制的四位阿拉伯数编号，用以识别一种物质或物品或一类特定物质或物品。</w:t>
      </w:r>
    </w:p>
    <w:p w14:paraId="4F557587">
      <w:pPr>
        <w:pStyle w:val="55"/>
        <w:snapToGrid/>
        <w:ind w:firstLine="560" w:firstLineChars="200"/>
        <w:jc w:val="left"/>
        <w:rPr>
          <w:rFonts w:hint="default" w:ascii="Times New Roman" w:hAnsi="Times New Roman" w:cs="Times New Roman"/>
          <w:caps w:val="0"/>
          <w:smallCaps w:val="0"/>
          <w:spacing w:val="0"/>
          <w:w w:val="100"/>
        </w:rPr>
      </w:pPr>
      <w:bookmarkStart w:id="20" w:name="_Toc446631676"/>
      <w:r>
        <w:rPr>
          <w:rFonts w:hint="default" w:ascii="Times New Roman" w:hAnsi="Times New Roman" w:cs="Times New Roman"/>
          <w:caps w:val="0"/>
          <w:smallCaps w:val="0"/>
          <w:spacing w:val="0"/>
          <w:w w:val="100"/>
        </w:rPr>
        <w:t>1.13危险化学品重大危险源</w:t>
      </w:r>
      <w:bookmarkEnd w:id="20"/>
    </w:p>
    <w:p w14:paraId="1C8AA180">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是指长期地或者临时的生产、储存、使用和经营危险化学品，且危险化学品的数量等于或超过临界量的单元。</w:t>
      </w:r>
    </w:p>
    <w:p w14:paraId="0D625CBB">
      <w:pPr>
        <w:pStyle w:val="55"/>
        <w:snapToGrid/>
        <w:ind w:firstLine="560" w:firstLineChars="200"/>
        <w:jc w:val="left"/>
        <w:rPr>
          <w:rFonts w:hint="default" w:ascii="Times New Roman" w:hAnsi="Times New Roman" w:cs="Times New Roman"/>
          <w:caps w:val="0"/>
          <w:smallCaps w:val="0"/>
          <w:spacing w:val="0"/>
          <w:w w:val="100"/>
        </w:rPr>
      </w:pPr>
      <w:bookmarkStart w:id="21" w:name="_Toc446631677"/>
      <w:r>
        <w:rPr>
          <w:rFonts w:hint="default" w:ascii="Times New Roman" w:hAnsi="Times New Roman" w:cs="Times New Roman"/>
          <w:caps w:val="0"/>
          <w:smallCaps w:val="0"/>
          <w:spacing w:val="0"/>
          <w:w w:val="100"/>
        </w:rPr>
        <w:t>1.14评价单元</w:t>
      </w:r>
      <w:bookmarkEnd w:id="21"/>
    </w:p>
    <w:p w14:paraId="118C3260">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就是在危险、有害因素分析的基础上，根据评价目标和评价方法的需要，将系统分成的有限、确定范围进行评价的单元。</w:t>
      </w:r>
    </w:p>
    <w:p w14:paraId="4A754871">
      <w:pPr>
        <w:keepNext/>
        <w:keepLines/>
        <w:snapToGrid/>
        <w:jc w:val="left"/>
        <w:rPr>
          <w:rFonts w:hint="default" w:ascii="Times New Roman" w:hAnsi="Times New Roman" w:cs="Times New Roman"/>
          <w:caps w:val="0"/>
          <w:smallCaps w:val="0"/>
          <w:spacing w:val="0"/>
          <w:w w:val="100"/>
        </w:rPr>
      </w:pPr>
      <w:bookmarkStart w:id="22" w:name="_Toc446631678"/>
      <w:r>
        <w:rPr>
          <w:rFonts w:hint="default" w:ascii="Times New Roman" w:hAnsi="Times New Roman" w:cs="Times New Roman"/>
          <w:caps w:val="0"/>
          <w:smallCaps w:val="0"/>
          <w:spacing w:val="0"/>
          <w:w w:val="100"/>
        </w:rPr>
        <w:br w:type="page"/>
      </w:r>
      <w:r>
        <w:rPr>
          <w:rFonts w:hint="default" w:ascii="Times New Roman" w:hAnsi="Times New Roman" w:cs="Times New Roman"/>
          <w:b/>
          <w:bCs/>
          <w:caps w:val="0"/>
          <w:smallCaps w:val="0"/>
          <w:spacing w:val="0"/>
          <w:w w:val="100"/>
        </w:rPr>
        <w:t>2符号</w:t>
      </w:r>
      <w:bookmarkEnd w:id="22"/>
    </w:p>
    <w:p w14:paraId="10690067">
      <w:pPr>
        <w:snapToGrid/>
        <w:ind w:firstLine="560"/>
        <w:rPr>
          <w:rFonts w:hint="default" w:ascii="Times New Roman" w:hAnsi="Times New Roman" w:eastAsia="新宋体" w:cs="Times New Roman"/>
          <w:caps w:val="0"/>
          <w:smallCaps w:val="0"/>
          <w:snapToGrid w:val="0"/>
          <w:color w:val="000000"/>
          <w:spacing w:val="0"/>
          <w:w w:val="100"/>
          <w:kern w:val="0"/>
          <w:szCs w:val="24"/>
        </w:rPr>
      </w:pPr>
      <w:r>
        <w:rPr>
          <w:rFonts w:hint="default" w:ascii="Times New Roman" w:hAnsi="Times New Roman" w:eastAsia="新宋体" w:cs="Times New Roman"/>
          <w:caps w:val="0"/>
          <w:smallCaps w:val="0"/>
          <w:snapToGrid w:val="0"/>
          <w:color w:val="000000"/>
          <w:spacing w:val="0"/>
          <w:w w:val="100"/>
          <w:kern w:val="0"/>
          <w:szCs w:val="24"/>
        </w:rPr>
        <w:t>W</w:t>
      </w:r>
      <w:r>
        <w:rPr>
          <w:rFonts w:hint="default" w:ascii="Times New Roman" w:hAnsi="Times New Roman" w:eastAsia="新宋体" w:cs="Times New Roman"/>
          <w:caps w:val="0"/>
          <w:smallCaps w:val="0"/>
          <w:snapToGrid w:val="0"/>
          <w:color w:val="000000"/>
          <w:spacing w:val="0"/>
          <w:w w:val="100"/>
          <w:kern w:val="0"/>
          <w:szCs w:val="24"/>
          <w:vertAlign w:val="subscript"/>
        </w:rPr>
        <w:t>TNT</w:t>
      </w:r>
      <w:r>
        <w:rPr>
          <w:rFonts w:hint="default" w:ascii="Times New Roman" w:hAnsi="Times New Roman" w:eastAsia="新宋体" w:cs="Times New Roman"/>
          <w:caps w:val="0"/>
          <w:smallCaps w:val="0"/>
          <w:snapToGrid w:val="0"/>
          <w:color w:val="000000"/>
          <w:spacing w:val="0"/>
          <w:w w:val="100"/>
          <w:kern w:val="0"/>
          <w:szCs w:val="24"/>
        </w:rPr>
        <w:t>：蒸气云的TNT当量，kg；</w:t>
      </w:r>
    </w:p>
    <w:p w14:paraId="274131BB">
      <w:pPr>
        <w:snapToGrid/>
        <w:ind w:firstLine="560"/>
        <w:rPr>
          <w:rFonts w:hint="default" w:ascii="Times New Roman" w:hAnsi="Times New Roman" w:eastAsia="新宋体" w:cs="Times New Roman"/>
          <w:caps w:val="0"/>
          <w:smallCaps w:val="0"/>
          <w:snapToGrid w:val="0"/>
          <w:color w:val="000000"/>
          <w:spacing w:val="0"/>
          <w:w w:val="100"/>
          <w:kern w:val="0"/>
          <w:szCs w:val="24"/>
        </w:rPr>
      </w:pPr>
      <w:r>
        <w:rPr>
          <w:rFonts w:hint="default" w:ascii="Times New Roman" w:hAnsi="Times New Roman" w:eastAsia="新宋体" w:cs="Times New Roman"/>
          <w:caps w:val="0"/>
          <w:smallCaps w:val="0"/>
          <w:snapToGrid w:val="0"/>
          <w:color w:val="000000"/>
          <w:spacing w:val="0"/>
          <w:w w:val="100"/>
          <w:kern w:val="0"/>
          <w:szCs w:val="24"/>
        </w:rPr>
        <w:t>A：蒸气云的当量系数，通常取4%；</w:t>
      </w:r>
    </w:p>
    <w:p w14:paraId="0B1DA343">
      <w:pPr>
        <w:snapToGrid/>
        <w:ind w:firstLine="560"/>
        <w:rPr>
          <w:rFonts w:hint="default" w:ascii="Times New Roman" w:hAnsi="Times New Roman" w:eastAsia="新宋体" w:cs="Times New Roman"/>
          <w:caps w:val="0"/>
          <w:smallCaps w:val="0"/>
          <w:snapToGrid w:val="0"/>
          <w:color w:val="000000"/>
          <w:spacing w:val="0"/>
          <w:w w:val="100"/>
          <w:kern w:val="0"/>
          <w:szCs w:val="24"/>
        </w:rPr>
      </w:pPr>
      <w:r>
        <w:rPr>
          <w:rFonts w:hint="default" w:ascii="Times New Roman" w:hAnsi="Times New Roman" w:eastAsia="新宋体" w:cs="Times New Roman"/>
          <w:caps w:val="0"/>
          <w:smallCaps w:val="0"/>
          <w:snapToGrid w:val="0"/>
          <w:color w:val="000000"/>
          <w:spacing w:val="0"/>
          <w:w w:val="100"/>
          <w:kern w:val="0"/>
          <w:szCs w:val="24"/>
        </w:rPr>
        <w:t>W</w:t>
      </w:r>
      <w:r>
        <w:rPr>
          <w:rFonts w:hint="default" w:ascii="Times New Roman" w:hAnsi="Times New Roman" w:eastAsia="新宋体" w:cs="Times New Roman"/>
          <w:caps w:val="0"/>
          <w:smallCaps w:val="0"/>
          <w:snapToGrid w:val="0"/>
          <w:color w:val="000000"/>
          <w:spacing w:val="0"/>
          <w:w w:val="100"/>
          <w:kern w:val="0"/>
          <w:szCs w:val="24"/>
          <w:vertAlign w:val="subscript"/>
        </w:rPr>
        <w:t>f</w:t>
      </w:r>
      <w:r>
        <w:rPr>
          <w:rFonts w:hint="default" w:ascii="Times New Roman" w:hAnsi="Times New Roman" w:eastAsia="新宋体" w:cs="Times New Roman"/>
          <w:caps w:val="0"/>
          <w:smallCaps w:val="0"/>
          <w:snapToGrid w:val="0"/>
          <w:color w:val="000000"/>
          <w:spacing w:val="0"/>
          <w:w w:val="100"/>
          <w:kern w:val="0"/>
          <w:szCs w:val="24"/>
        </w:rPr>
        <w:t>：蒸气云爆炸中可燃气体质量，kg；</w:t>
      </w:r>
    </w:p>
    <w:p w14:paraId="0B0CEA08">
      <w:pPr>
        <w:snapToGrid/>
        <w:ind w:firstLine="560"/>
        <w:rPr>
          <w:rFonts w:hint="default" w:ascii="Times New Roman" w:hAnsi="Times New Roman" w:eastAsia="新宋体" w:cs="Times New Roman"/>
          <w:caps w:val="0"/>
          <w:smallCaps w:val="0"/>
          <w:snapToGrid w:val="0"/>
          <w:color w:val="000000"/>
          <w:spacing w:val="0"/>
          <w:w w:val="100"/>
          <w:kern w:val="0"/>
          <w:szCs w:val="24"/>
        </w:rPr>
      </w:pPr>
      <w:r>
        <w:rPr>
          <w:rFonts w:hint="default" w:ascii="Times New Roman" w:hAnsi="Times New Roman" w:eastAsia="新宋体" w:cs="Times New Roman"/>
          <w:caps w:val="0"/>
          <w:smallCaps w:val="0"/>
          <w:snapToGrid w:val="0"/>
          <w:color w:val="000000"/>
          <w:spacing w:val="0"/>
          <w:w w:val="100"/>
          <w:kern w:val="0"/>
          <w:szCs w:val="24"/>
        </w:rPr>
        <w:t>Q</w:t>
      </w:r>
      <w:r>
        <w:rPr>
          <w:rFonts w:hint="default" w:ascii="Times New Roman" w:hAnsi="Times New Roman" w:eastAsia="新宋体" w:cs="Times New Roman"/>
          <w:caps w:val="0"/>
          <w:smallCaps w:val="0"/>
          <w:snapToGrid w:val="0"/>
          <w:color w:val="000000"/>
          <w:spacing w:val="0"/>
          <w:w w:val="100"/>
          <w:kern w:val="0"/>
          <w:szCs w:val="24"/>
          <w:vertAlign w:val="subscript"/>
        </w:rPr>
        <w:t>f</w:t>
      </w:r>
      <w:r>
        <w:rPr>
          <w:rFonts w:hint="default" w:ascii="Times New Roman" w:hAnsi="Times New Roman" w:eastAsia="新宋体" w:cs="Times New Roman"/>
          <w:caps w:val="0"/>
          <w:smallCaps w:val="0"/>
          <w:snapToGrid w:val="0"/>
          <w:color w:val="000000"/>
          <w:spacing w:val="0"/>
          <w:w w:val="100"/>
          <w:kern w:val="0"/>
          <w:szCs w:val="24"/>
        </w:rPr>
        <w:t>：燃料的燃烧热，J/kg；</w:t>
      </w:r>
    </w:p>
    <w:p w14:paraId="097ADA39">
      <w:pPr>
        <w:snapToGrid/>
        <w:ind w:firstLine="560"/>
        <w:rPr>
          <w:rFonts w:hint="default" w:ascii="Times New Roman" w:hAnsi="Times New Roman" w:eastAsia="新宋体" w:cs="Times New Roman"/>
          <w:caps w:val="0"/>
          <w:smallCaps w:val="0"/>
          <w:snapToGrid w:val="0"/>
          <w:color w:val="000000"/>
          <w:spacing w:val="0"/>
          <w:w w:val="100"/>
          <w:kern w:val="0"/>
          <w:szCs w:val="24"/>
        </w:rPr>
      </w:pPr>
      <w:r>
        <w:rPr>
          <w:rFonts w:hint="default" w:ascii="Times New Roman" w:hAnsi="Times New Roman" w:eastAsia="新宋体" w:cs="Times New Roman"/>
          <w:caps w:val="0"/>
          <w:smallCaps w:val="0"/>
          <w:snapToGrid w:val="0"/>
          <w:color w:val="000000"/>
          <w:spacing w:val="0"/>
          <w:w w:val="100"/>
          <w:kern w:val="0"/>
          <w:szCs w:val="24"/>
        </w:rPr>
        <w:t>Q</w:t>
      </w:r>
      <w:r>
        <w:rPr>
          <w:rFonts w:hint="default" w:ascii="Times New Roman" w:hAnsi="Times New Roman" w:eastAsia="新宋体" w:cs="Times New Roman"/>
          <w:caps w:val="0"/>
          <w:smallCaps w:val="0"/>
          <w:snapToGrid w:val="0"/>
          <w:color w:val="000000"/>
          <w:spacing w:val="0"/>
          <w:w w:val="100"/>
          <w:kern w:val="0"/>
          <w:szCs w:val="24"/>
          <w:vertAlign w:val="subscript"/>
        </w:rPr>
        <w:t>TNT</w:t>
      </w:r>
      <w:r>
        <w:rPr>
          <w:rFonts w:hint="default" w:ascii="Times New Roman" w:hAnsi="Times New Roman" w:eastAsia="新宋体" w:cs="Times New Roman"/>
          <w:caps w:val="0"/>
          <w:smallCaps w:val="0"/>
          <w:snapToGrid w:val="0"/>
          <w:color w:val="000000"/>
          <w:spacing w:val="0"/>
          <w:w w:val="100"/>
          <w:kern w:val="0"/>
          <w:szCs w:val="24"/>
        </w:rPr>
        <w:t>：TNT的爆炸热，J/kg；</w:t>
      </w:r>
    </w:p>
    <w:p w14:paraId="491281B7">
      <w:pPr>
        <w:snapToGrid/>
        <w:ind w:firstLine="560"/>
        <w:rPr>
          <w:rFonts w:hint="default" w:ascii="Times New Roman" w:hAnsi="Times New Roman" w:eastAsia="新宋体" w:cs="Times New Roman"/>
          <w:caps w:val="0"/>
          <w:smallCaps w:val="0"/>
          <w:snapToGrid w:val="0"/>
          <w:color w:val="000000"/>
          <w:spacing w:val="0"/>
          <w:w w:val="100"/>
          <w:kern w:val="0"/>
          <w:szCs w:val="24"/>
        </w:rPr>
      </w:pPr>
      <w:r>
        <w:rPr>
          <w:rFonts w:hint="default" w:ascii="Times New Roman" w:hAnsi="Times New Roman" w:eastAsia="新宋体" w:cs="Times New Roman"/>
          <w:caps w:val="0"/>
          <w:smallCaps w:val="0"/>
          <w:snapToGrid w:val="0"/>
          <w:color w:val="000000"/>
          <w:spacing w:val="0"/>
          <w:w w:val="100"/>
          <w:kern w:val="0"/>
          <w:szCs w:val="24"/>
        </w:rPr>
        <w:t>P：爆炸冲击波超压，MPa；</w:t>
      </w:r>
    </w:p>
    <w:p w14:paraId="66072E7B">
      <w:pPr>
        <w:snapToGrid/>
        <w:ind w:firstLine="560" w:firstLineChars="200"/>
        <w:rPr>
          <w:rFonts w:hint="default" w:ascii="Times New Roman" w:hAnsi="Times New Roman" w:eastAsia="新宋体" w:cs="Times New Roman"/>
          <w:caps w:val="0"/>
          <w:smallCaps w:val="0"/>
          <w:snapToGrid w:val="0"/>
          <w:color w:val="000000"/>
          <w:spacing w:val="0"/>
          <w:w w:val="100"/>
          <w:kern w:val="0"/>
          <w:szCs w:val="24"/>
        </w:rPr>
      </w:pPr>
      <w:r>
        <w:rPr>
          <w:rFonts w:hint="default" w:ascii="Times New Roman" w:hAnsi="Times New Roman" w:eastAsia="新宋体" w:cs="Times New Roman"/>
          <w:caps w:val="0"/>
          <w:smallCaps w:val="0"/>
          <w:snapToGrid w:val="0"/>
          <w:color w:val="000000"/>
          <w:spacing w:val="0"/>
          <w:w w:val="100"/>
          <w:kern w:val="0"/>
          <w:szCs w:val="24"/>
        </w:rPr>
        <w:t>R：爆心到目标点的距离，m；</w:t>
      </w:r>
    </w:p>
    <w:p w14:paraId="3C8F1F31">
      <w:pPr>
        <w:snapToGrid/>
        <w:ind w:firstLine="560" w:firstLineChars="200"/>
        <w:rPr>
          <w:rFonts w:hint="default" w:ascii="Times New Roman" w:hAnsi="Times New Roman" w:eastAsia="新宋体" w:cs="Times New Roman"/>
          <w:caps w:val="0"/>
          <w:smallCaps w:val="0"/>
          <w:snapToGrid w:val="0"/>
          <w:color w:val="000000"/>
          <w:spacing w:val="0"/>
          <w:w w:val="100"/>
          <w:kern w:val="0"/>
          <w:szCs w:val="24"/>
        </w:rPr>
        <w:sectPr>
          <w:footerReference r:id="rId11" w:type="default"/>
          <w:pgSz w:w="11906" w:h="16838"/>
          <w:pgMar w:top="1417" w:right="1134" w:bottom="1134" w:left="1588" w:header="851" w:footer="850" w:gutter="0"/>
          <w:pgNumType w:fmt="upperRoman" w:start="1"/>
          <w:cols w:space="720" w:num="1"/>
          <w:docGrid w:type="linesAndChars" w:linePitch="312" w:charSpace="0"/>
        </w:sectPr>
      </w:pPr>
      <w:r>
        <w:rPr>
          <w:rFonts w:hint="default" w:ascii="Times New Roman" w:hAnsi="Times New Roman" w:eastAsia="新宋体" w:cs="Times New Roman"/>
          <w:caps w:val="0"/>
          <w:smallCaps w:val="0"/>
          <w:snapToGrid w:val="0"/>
          <w:color w:val="000000"/>
          <w:spacing w:val="0"/>
          <w:w w:val="100"/>
          <w:kern w:val="0"/>
          <w:szCs w:val="24"/>
        </w:rPr>
        <w:t>SF油罐：是指内钢外玻璃纤维增强塑料双层储油罐，是在单层钢制油罐外附加一层玻璃纤维增强塑料（即玻璃钢）防渗外套，从而构成的双层结构油罐。</w:t>
      </w:r>
    </w:p>
    <w:p w14:paraId="59AC73F7">
      <w:pPr>
        <w:pStyle w:val="4"/>
        <w:snapToGrid/>
        <w:rPr>
          <w:rFonts w:hint="default" w:ascii="Times New Roman" w:hAnsi="Times New Roman" w:eastAsia="黑体" w:cs="Times New Roman"/>
          <w:caps w:val="0"/>
          <w:smallCaps w:val="0"/>
          <w:spacing w:val="0"/>
          <w:w w:val="100"/>
        </w:rPr>
      </w:pPr>
      <w:bookmarkStart w:id="23" w:name="_Toc195176695"/>
      <w:bookmarkStart w:id="24" w:name="_Toc31496"/>
      <w:bookmarkStart w:id="25" w:name="_Toc108697367"/>
      <w:bookmarkStart w:id="26" w:name="_Toc187699871"/>
      <w:bookmarkStart w:id="27" w:name="_Toc109564936"/>
      <w:bookmarkStart w:id="28" w:name="_Toc109559443"/>
      <w:bookmarkStart w:id="29" w:name="_Toc134875856"/>
      <w:bookmarkStart w:id="30" w:name="_Toc134710959"/>
      <w:bookmarkStart w:id="31" w:name="_Toc108344543"/>
      <w:bookmarkStart w:id="32" w:name="_Toc109564191"/>
      <w:bookmarkStart w:id="33" w:name="_Toc156661637"/>
      <w:bookmarkStart w:id="34" w:name="_Toc135136992"/>
      <w:bookmarkStart w:id="35" w:name="_Toc151881368"/>
      <w:bookmarkStart w:id="36" w:name="_Toc187780641"/>
      <w:bookmarkStart w:id="37" w:name="_Toc109564554"/>
      <w:r>
        <w:rPr>
          <w:rFonts w:hint="default" w:ascii="Times New Roman" w:hAnsi="Times New Roman" w:eastAsia="黑体" w:cs="Times New Roman"/>
          <w:caps w:val="0"/>
          <w:smallCaps w:val="0"/>
          <w:spacing w:val="0"/>
          <w:w w:val="100"/>
        </w:rPr>
        <w:t xml:space="preserve">第一章  </w:t>
      </w:r>
      <w:bookmarkEnd w:id="23"/>
      <w:r>
        <w:rPr>
          <w:rFonts w:hint="default" w:ascii="Times New Roman" w:hAnsi="Times New Roman" w:eastAsia="黑体" w:cs="Times New Roman"/>
          <w:caps w:val="0"/>
          <w:smallCaps w:val="0"/>
          <w:spacing w:val="0"/>
          <w:w w:val="100"/>
        </w:rPr>
        <w:t>概况</w:t>
      </w:r>
      <w:bookmarkEnd w:id="24"/>
    </w:p>
    <w:p w14:paraId="47E9AA6A">
      <w:pPr>
        <w:pStyle w:val="5"/>
        <w:snapToGrid/>
        <w:rPr>
          <w:rFonts w:hint="default" w:ascii="Times New Roman" w:hAnsi="Times New Roman" w:eastAsia="黑体" w:cs="Times New Roman"/>
          <w:b w:val="0"/>
          <w:bCs w:val="0"/>
          <w:caps w:val="0"/>
          <w:smallCaps w:val="0"/>
          <w:spacing w:val="0"/>
          <w:w w:val="100"/>
        </w:rPr>
      </w:pPr>
      <w:bookmarkStart w:id="38" w:name="_Toc195176696"/>
      <w:bookmarkStart w:id="39" w:name="_Toc4638"/>
      <w:bookmarkStart w:id="40" w:name="_Toc189986303"/>
      <w:bookmarkStart w:id="41" w:name="_Toc188337766"/>
      <w:r>
        <w:rPr>
          <w:rFonts w:hint="default" w:ascii="Times New Roman" w:hAnsi="Times New Roman" w:eastAsia="黑体" w:cs="Times New Roman"/>
          <w:b w:val="0"/>
          <w:bCs w:val="0"/>
          <w:caps w:val="0"/>
          <w:smallCaps w:val="0"/>
          <w:spacing w:val="0"/>
          <w:w w:val="100"/>
        </w:rPr>
        <w:t>1.1前期准备情况</w:t>
      </w:r>
      <w:bookmarkEnd w:id="38"/>
      <w:bookmarkEnd w:id="39"/>
    </w:p>
    <w:p w14:paraId="6A3B7C9F">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42" w:name="_Toc195176697"/>
      <w:bookmarkStart w:id="43" w:name="_Toc32729"/>
      <w:r>
        <w:rPr>
          <w:rFonts w:hint="default" w:ascii="Times New Roman" w:hAnsi="Times New Roman" w:eastAsia="黑体" w:cs="Times New Roman"/>
          <w:b w:val="0"/>
          <w:bCs w:val="0"/>
          <w:caps w:val="0"/>
          <w:smallCaps w:val="0"/>
          <w:spacing w:val="0"/>
          <w:w w:val="100"/>
        </w:rPr>
        <w:t>1.1.1任务来源</w:t>
      </w:r>
      <w:bookmarkEnd w:id="40"/>
      <w:bookmarkEnd w:id="41"/>
      <w:bookmarkEnd w:id="42"/>
      <w:bookmarkEnd w:id="43"/>
    </w:p>
    <w:p w14:paraId="0728D0FB">
      <w:pPr>
        <w:pStyle w:val="17"/>
        <w:spacing w:line="360" w:lineRule="auto"/>
        <w:ind w:firstLine="560" w:firstLineChars="200"/>
        <w:rPr>
          <w:rFonts w:hint="default" w:ascii="Times New Roman" w:hAnsi="Times New Roman" w:cs="Times New Roman"/>
          <w:caps w:val="0"/>
          <w:smallCaps w:val="0"/>
          <w:spacing w:val="0"/>
          <w:w w:val="100"/>
          <w:sz w:val="28"/>
          <w:szCs w:val="28"/>
        </w:rPr>
      </w:pPr>
      <w:r>
        <w:rPr>
          <w:rFonts w:hint="default" w:ascii="Times New Roman" w:hAnsi="Times New Roman" w:cs="Times New Roman"/>
          <w:caps w:val="0"/>
          <w:smallCaps w:val="0"/>
          <w:spacing w:val="0"/>
          <w:w w:val="100"/>
          <w:sz w:val="28"/>
          <w:szCs w:val="28"/>
        </w:rPr>
        <w:t>受西双版纳中闽商贸有限公司勐海勐遮加油站委托，辽宁诺诚安全科技有限公司成立项目组，对西双版纳中闽商贸有限公司勐海勐遮加油站原址改扩建项目进行安全验收评价。合同签订后由总经理签发或授权签发《安全评价项目任务书》，评价部收到《安全评价项目任务书》后组建评价项目组并任命项目组长。</w:t>
      </w:r>
    </w:p>
    <w:p w14:paraId="43E5F244">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44" w:name="_Toc17571"/>
      <w:bookmarkStart w:id="45" w:name="_Toc195176698"/>
      <w:r>
        <w:rPr>
          <w:rFonts w:hint="default" w:ascii="Times New Roman" w:hAnsi="Times New Roman" w:eastAsia="黑体" w:cs="Times New Roman"/>
          <w:b w:val="0"/>
          <w:bCs w:val="0"/>
          <w:caps w:val="0"/>
          <w:smallCaps w:val="0"/>
          <w:spacing w:val="0"/>
          <w:w w:val="100"/>
        </w:rPr>
        <w:t>1.1.2收集资料</w:t>
      </w:r>
      <w:bookmarkEnd w:id="44"/>
      <w:bookmarkEnd w:id="45"/>
    </w:p>
    <w:p w14:paraId="678C06AC">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项目组成员根据评价目的的需要，在充分调查研究安全评价对象和范围相关情况后，现场考察被评价项目地址的周边环境，收集、整理安全评价所需要的各种文件、资料和数据。收集与被评价项目有关的法律法规、技术标准、气象、水文、地质等资料，为实施评价做好准备。</w:t>
      </w:r>
    </w:p>
    <w:p w14:paraId="01E8EAE0">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安全评价资料、数据收集应遵循的原则：</w:t>
      </w:r>
    </w:p>
    <w:p w14:paraId="5F87468D">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（1）应保证满足全面、客观、具体、准确的要求；</w:t>
      </w:r>
    </w:p>
    <w:p w14:paraId="63AA6B6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（2）应尽量避免索取不必要的资料，避免给企业带来麻烦；</w:t>
      </w:r>
    </w:p>
    <w:p w14:paraId="1BE68F7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（3）收集的资料数据，要对其真实性和可信度进行评估，必要时可要求资料提供方书面说明资料来源；</w:t>
      </w:r>
    </w:p>
    <w:p w14:paraId="771B255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（4）对用作类比推理的资料，要注意类比双方的相关程度和资料获得的条件；</w:t>
      </w:r>
    </w:p>
    <w:p w14:paraId="67747BA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（5）代表性不强的资料（未按随机原则获取的资料）不能用于评价；</w:t>
      </w:r>
    </w:p>
    <w:p w14:paraId="7AB7C79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（6）引用反映现状的资料数据必须是有效数据，一般采用法定的检测检验机构或者通过省级或国家级计量认证的机构出具的数据。</w:t>
      </w:r>
    </w:p>
    <w:p w14:paraId="777118F0">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46" w:name="_Toc6024"/>
      <w:bookmarkStart w:id="47" w:name="_Toc195176699"/>
      <w:r>
        <w:rPr>
          <w:rFonts w:hint="default" w:ascii="Times New Roman" w:hAnsi="Times New Roman" w:eastAsia="黑体" w:cs="Times New Roman"/>
          <w:b w:val="0"/>
          <w:bCs w:val="0"/>
          <w:caps w:val="0"/>
          <w:smallCaps w:val="0"/>
          <w:spacing w:val="0"/>
          <w:w w:val="100"/>
        </w:rPr>
        <w:t>1.1.3评价目的</w:t>
      </w:r>
      <w:bookmarkEnd w:id="46"/>
      <w:bookmarkEnd w:id="47"/>
    </w:p>
    <w:p w14:paraId="48D69FCE">
      <w:pPr>
        <w:keepNext/>
        <w:keepLines/>
        <w:snapToGrid/>
        <w:ind w:left="57"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（1）为贯彻落实“</w:t>
      </w:r>
      <w:r>
        <w:rPr>
          <w:rFonts w:hint="default" w:ascii="Times New Roman" w:hAnsi="Times New Roman" w:cs="Times New Roman"/>
          <w:caps w:val="0"/>
          <w:smallCaps w:val="0"/>
          <w:spacing w:val="0"/>
          <w:w w:val="100"/>
          <w:szCs w:val="28"/>
        </w:rPr>
        <w:t>以人为本，坚持人民至上、生命至上，把保护人民生命安全摆在首位，树牢安全发展理念，坚持安全第一、预防为主、综合治理”的方针</w:t>
      </w:r>
      <w:r>
        <w:rPr>
          <w:rFonts w:hint="default" w:ascii="Times New Roman" w:hAnsi="Times New Roman" w:cs="Times New Roman"/>
          <w:caps w:val="0"/>
          <w:smallCaps w:val="0"/>
          <w:spacing w:val="0"/>
          <w:w w:val="100"/>
        </w:rPr>
        <w:t>，从源头上防范化解重大安全风险。确保建设工程项目中的安全技术措施和设施与主体工程同时设计、同时施工、同时投入生产使用。从安全的角度检查“三同时”过程的完整性及安全设施落实情况；</w:t>
      </w:r>
    </w:p>
    <w:p w14:paraId="6CBD7BF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（2）对安全设施的有效性进行评价；对安全设施进行竣工验收；</w:t>
      </w:r>
    </w:p>
    <w:p w14:paraId="3C49ED01">
      <w:pPr>
        <w:snapToGrid/>
        <w:ind w:left="57"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（3）针对评价出的事故隐患，给出实施的紧迫程度，并提出对应的建议措施；为事故隐患治理提供依据，为安全投入与资金使用提供参考；</w:t>
      </w:r>
    </w:p>
    <w:p w14:paraId="7B16086A">
      <w:pPr>
        <w:snapToGrid/>
        <w:ind w:left="57"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（4）通过本次评价，促进该加油站的安全管理，发现和整改事故隐患，提高该加油站在卸油、加油过程中的本质安全度；</w:t>
      </w:r>
    </w:p>
    <w:p w14:paraId="174DCE89">
      <w:pPr>
        <w:snapToGrid/>
        <w:ind w:left="57"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（5）为实现加油站安全技术、安全管理的标准化和科学化创造条件，为安全生产监督管理部门提供一定的安全监管依据，为办理危险化学品经营许可证提供所需资料。</w:t>
      </w:r>
    </w:p>
    <w:p w14:paraId="1EF91358">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48" w:name="_Toc195176700"/>
      <w:bookmarkStart w:id="49" w:name="_Toc6521"/>
      <w:r>
        <w:rPr>
          <w:rFonts w:hint="default" w:ascii="Times New Roman" w:hAnsi="Times New Roman" w:eastAsia="黑体" w:cs="Times New Roman"/>
          <w:b w:val="0"/>
          <w:bCs w:val="0"/>
          <w:caps w:val="0"/>
          <w:smallCaps w:val="0"/>
          <w:spacing w:val="0"/>
          <w:w w:val="100"/>
        </w:rPr>
        <w:t>1.1.4评价原则</w:t>
      </w:r>
      <w:bookmarkEnd w:id="48"/>
      <w:bookmarkEnd w:id="49"/>
    </w:p>
    <w:p w14:paraId="5467EBF0">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本着严肃的科学态度，认真负责的精神，强烈的责任感和事业心，全面、仔细、深入地开展和完成评价任务。在安全评价工作中始终遵循科学性、公正性、合法性和针对性原则。</w:t>
      </w:r>
    </w:p>
    <w:p w14:paraId="1930C5FB">
      <w:pPr>
        <w:pStyle w:val="5"/>
        <w:pageBreakBefore w:val="0"/>
        <w:kinsoku/>
        <w:topLinePunct w:val="0"/>
        <w:bidi w:val="0"/>
        <w:adjustRightInd/>
        <w:snapToGrid/>
        <w:jc w:val="center"/>
        <w:rPr>
          <w:rFonts w:hint="default" w:ascii="Times New Roman" w:hAnsi="Times New Roman" w:eastAsia="黑体" w:cs="Times New Roman"/>
          <w:b w:val="0"/>
          <w:bCs w:val="0"/>
          <w:caps w:val="0"/>
          <w:smallCaps w:val="0"/>
          <w:spacing w:val="0"/>
          <w:w w:val="100"/>
        </w:rPr>
      </w:pPr>
      <w:bookmarkStart w:id="50" w:name="_Toc195176701"/>
      <w:bookmarkStart w:id="51" w:name="_Toc18546"/>
      <w:r>
        <w:rPr>
          <w:rFonts w:hint="default" w:ascii="Times New Roman" w:hAnsi="Times New Roman" w:eastAsia="黑体" w:cs="Times New Roman"/>
          <w:b w:val="0"/>
          <w:bCs w:val="0"/>
          <w:caps w:val="0"/>
          <w:smallCaps w:val="0"/>
          <w:spacing w:val="0"/>
          <w:w w:val="100"/>
        </w:rPr>
        <w:t>1.2评价对象及范</w:t>
      </w:r>
      <w:bookmarkEnd w:id="50"/>
      <w:bookmarkEnd w:id="51"/>
      <w:r>
        <w:rPr>
          <w:rFonts w:hint="default" w:ascii="Times New Roman" w:hAnsi="Times New Roman" w:eastAsia="黑体" w:cs="Times New Roman"/>
          <w:b w:val="0"/>
          <w:bCs w:val="0"/>
          <w:caps w:val="0"/>
          <w:smallCaps w:val="0"/>
          <w:spacing w:val="0"/>
          <w:w w:val="100"/>
        </w:rPr>
        <w:t>围</w:t>
      </w:r>
    </w:p>
    <w:p w14:paraId="0DC98F83">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建设项目的实际情况，与建设单位协商确定本次安全验收评价的对象是西双版纳中闽商贸有限公司勐海勐遮加油站原址改扩建项目，评价的范围为安全设施“三同时”程序合法性；加油站周边环境及总平面布置；工艺系统及设备设施；公用工程；安全设备设施；安全管理等。主要是针对安全设施进行竣工验收。</w:t>
      </w:r>
    </w:p>
    <w:p w14:paraId="08934A78">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该加油站的</w:t>
      </w:r>
      <w:r>
        <w:rPr>
          <w:rFonts w:hint="eastAsia" w:ascii="Times New Roman" w:cs="Times New Roman"/>
          <w:caps w:val="0"/>
          <w:smallCaps w:val="0"/>
          <w:spacing w:val="0"/>
          <w:w w:val="100"/>
          <w:lang w:val="en-US" w:eastAsia="zh-CN"/>
        </w:rPr>
        <w:t>利旧设施、</w:t>
      </w:r>
      <w:r>
        <w:rPr>
          <w:rFonts w:hint="default" w:ascii="Times New Roman" w:hAnsi="Times New Roman" w:cs="Times New Roman"/>
          <w:caps w:val="0"/>
          <w:smallCaps w:val="0"/>
          <w:spacing w:val="0"/>
          <w:w w:val="100"/>
        </w:rPr>
        <w:t>站外油品运输、环境保护、职业卫生、站房建筑结构安全不在本次评价范围内，但在报告中会有所提及。</w:t>
      </w:r>
    </w:p>
    <w:p w14:paraId="159C81B6">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本项目消防设施、防雷装置、特种设备及强制检测设施的验收和检测以相关部门出具的检测报告结论或验收意见为准。</w:t>
      </w:r>
    </w:p>
    <w:p w14:paraId="3028EBB9">
      <w:pPr>
        <w:pStyle w:val="5"/>
        <w:snapToGrid/>
        <w:rPr>
          <w:rFonts w:hint="default" w:ascii="Times New Roman" w:hAnsi="Times New Roman" w:eastAsia="黑体" w:cs="Times New Roman"/>
          <w:b w:val="0"/>
          <w:bCs w:val="0"/>
          <w:caps w:val="0"/>
          <w:smallCaps w:val="0"/>
          <w:spacing w:val="0"/>
          <w:w w:val="100"/>
        </w:rPr>
      </w:pPr>
      <w:bookmarkStart w:id="52" w:name="_Toc28436"/>
      <w:bookmarkStart w:id="53" w:name="_Toc195176702"/>
      <w:r>
        <w:rPr>
          <w:rFonts w:hint="default" w:ascii="Times New Roman" w:hAnsi="Times New Roman" w:eastAsia="黑体" w:cs="Times New Roman"/>
          <w:b w:val="0"/>
          <w:bCs w:val="0"/>
          <w:caps w:val="0"/>
          <w:smallCaps w:val="0"/>
          <w:spacing w:val="0"/>
          <w:w w:val="100"/>
        </w:rPr>
        <w:t>1.3工作经过和程序</w:t>
      </w:r>
      <w:bookmarkEnd w:id="52"/>
      <w:bookmarkEnd w:id="53"/>
    </w:p>
    <w:p w14:paraId="2CE7F26C">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本次安全验收评价大体分为三个阶段。</w:t>
      </w:r>
    </w:p>
    <w:p w14:paraId="594BE762">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第一阶段为准备阶段，主要收集有关资料，进行危险、危害因素识别，选择评价方法，编制评价大纲；</w:t>
      </w:r>
    </w:p>
    <w:p w14:paraId="4FF885C0">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第二阶段为实施评价阶段，对工程安全情况进行类比调查，运用合适的评价方法进行定性及定量分析，提出安全对策措施；</w:t>
      </w:r>
    </w:p>
    <w:p w14:paraId="0C2FE6DA">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第三阶段为报告书的编制阶段，主要是汇总评价实施阶段所得到的各种资料、数据，综合分析提出结论与建议，完成项目安全验收评价报告的编制。</w:t>
      </w:r>
    </w:p>
    <w:p w14:paraId="3FFF28A6">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按照《安全评价通则》（AQ8001-2007）、《安全验收评价导则》（AQ8003-2007）、《危险化学品建设项目安全评价细则（试行）》（安监总危化〔2007〕255号）的要求，安全评价程序包括前期准备，辨识与分析危险、有害因素，划分评价单元，确定安全评价方法，定性、定量分析危险、有害程度，分析安全条件和安全生产条件，提出安全对策与建议，整理、归纳安全评价结论，与建设单位交换意见，编制安全评价报告。</w:t>
      </w:r>
    </w:p>
    <w:p w14:paraId="05F71D02">
      <w:pPr>
        <w:pStyle w:val="5"/>
        <w:snapToGrid/>
        <w:rPr>
          <w:rFonts w:hint="default" w:ascii="Times New Roman" w:hAnsi="Times New Roman" w:eastAsia="黑体" w:cs="Times New Roman"/>
          <w:b w:val="0"/>
          <w:bCs w:val="0"/>
          <w:caps w:val="0"/>
          <w:smallCaps w:val="0"/>
          <w:spacing w:val="0"/>
          <w:w w:val="100"/>
        </w:rPr>
      </w:pPr>
      <w:bookmarkStart w:id="54" w:name="_Toc10937"/>
      <w:r>
        <w:rPr>
          <w:rFonts w:hint="default" w:ascii="Times New Roman" w:hAnsi="Times New Roman" w:eastAsia="黑体" w:cs="Times New Roman"/>
          <w:b w:val="0"/>
          <w:bCs w:val="0"/>
          <w:caps w:val="0"/>
          <w:smallCaps w:val="0"/>
          <w:spacing w:val="0"/>
          <w:w w:val="100"/>
        </w:rPr>
        <w:t>1.4评价基准日</w:t>
      </w:r>
      <w:bookmarkEnd w:id="54"/>
    </w:p>
    <w:p w14:paraId="74209AF5">
      <w:pPr>
        <w:snapToGrid/>
        <w:ind w:firstLine="560" w:firstLineChars="200"/>
        <w:rPr>
          <w:rFonts w:hint="default" w:ascii="Times New Roman" w:hAnsi="Times New Roman" w:cs="Times New Roman"/>
          <w:caps w:val="0"/>
          <w:smallCaps w:val="0"/>
          <w:spacing w:val="0"/>
          <w:w w:val="100"/>
        </w:rPr>
        <w:sectPr>
          <w:headerReference r:id="rId12" w:type="default"/>
          <w:footerReference r:id="rId13" w:type="default"/>
          <w:pgSz w:w="11906" w:h="16838"/>
          <w:pgMar w:top="1417" w:right="1134" w:bottom="1134" w:left="1588" w:header="851" w:footer="992" w:gutter="0"/>
          <w:pgNumType w:start="1"/>
          <w:cols w:space="720" w:num="1"/>
          <w:docGrid w:type="linesAndChars" w:linePitch="312" w:charSpace="0"/>
        </w:sectPr>
      </w:pPr>
      <w:r>
        <w:rPr>
          <w:rFonts w:hint="eastAsia" w:ascii="Times New Roman" w:cs="Times New Roman"/>
          <w:caps w:val="0"/>
          <w:smallCaps w:val="0"/>
          <w:spacing w:val="0"/>
          <w:w w:val="100"/>
          <w:szCs w:val="28"/>
          <w:lang w:val="en-US" w:eastAsia="zh-CN"/>
        </w:rPr>
        <w:t>XX</w:t>
      </w:r>
      <w:r>
        <w:rPr>
          <w:rFonts w:hint="default" w:ascii="Times New Roman" w:hAnsi="Times New Roman" w:cs="Times New Roman"/>
          <w:caps w:val="0"/>
          <w:smallCaps w:val="0"/>
          <w:spacing w:val="0"/>
          <w:w w:val="100"/>
        </w:rPr>
        <w:t>。</w:t>
      </w:r>
    </w:p>
    <w:p w14:paraId="21E5A2EA">
      <w:pPr>
        <w:pStyle w:val="4"/>
        <w:snapToGrid/>
        <w:rPr>
          <w:rFonts w:hint="default" w:ascii="Times New Roman" w:hAnsi="Times New Roman" w:eastAsia="黑体" w:cs="Times New Roman"/>
          <w:caps w:val="0"/>
          <w:smallCaps w:val="0"/>
          <w:spacing w:val="0"/>
          <w:w w:val="100"/>
        </w:rPr>
      </w:pPr>
      <w:bookmarkStart w:id="55" w:name="_Toc195176703"/>
      <w:bookmarkStart w:id="56" w:name="_Toc19103"/>
      <w:r>
        <w:rPr>
          <w:rFonts w:hint="default" w:ascii="Times New Roman" w:hAnsi="Times New Roman" w:eastAsia="黑体" w:cs="Times New Roman"/>
          <w:caps w:val="0"/>
          <w:smallCaps w:val="0"/>
          <w:spacing w:val="0"/>
          <w:w w:val="100"/>
        </w:rPr>
        <w:t>第二章  建设项目概况</w:t>
      </w:r>
      <w:bookmarkEnd w:id="55"/>
      <w:bookmarkEnd w:id="56"/>
    </w:p>
    <w:p w14:paraId="01A7B2DE">
      <w:pPr>
        <w:pStyle w:val="5"/>
        <w:snapToGrid/>
        <w:rPr>
          <w:rFonts w:hint="default" w:ascii="Times New Roman" w:hAnsi="Times New Roman" w:eastAsia="黑体" w:cs="Times New Roman"/>
          <w:b w:val="0"/>
          <w:bCs w:val="0"/>
          <w:caps w:val="0"/>
          <w:smallCaps w:val="0"/>
          <w:spacing w:val="0"/>
          <w:w w:val="100"/>
        </w:rPr>
      </w:pPr>
      <w:bookmarkStart w:id="57" w:name="_Toc195176704"/>
      <w:bookmarkStart w:id="58" w:name="_Toc3619"/>
      <w:r>
        <w:rPr>
          <w:rFonts w:hint="default" w:ascii="Times New Roman" w:hAnsi="Times New Roman" w:eastAsia="黑体" w:cs="Times New Roman"/>
          <w:b w:val="0"/>
          <w:bCs w:val="0"/>
          <w:caps w:val="0"/>
          <w:smallCaps w:val="0"/>
          <w:spacing w:val="0"/>
          <w:w w:val="100"/>
        </w:rPr>
        <w:t>2.1建设单位简介</w:t>
      </w:r>
      <w:bookmarkEnd w:id="57"/>
      <w:bookmarkEnd w:id="58"/>
    </w:p>
    <w:p w14:paraId="1985A98B">
      <w:pPr>
        <w:snapToGrid/>
        <w:ind w:firstLine="560" w:firstLineChars="200"/>
        <w:rPr>
          <w:rFonts w:hint="default" w:ascii="Times New Roman" w:hAnsi="Times New Roman" w:cs="Times New Roman"/>
          <w:caps w:val="0"/>
          <w:smallCaps w:val="0"/>
          <w:spacing w:val="0"/>
          <w:w w:val="100"/>
        </w:rPr>
      </w:pPr>
      <w:bookmarkStart w:id="59" w:name="_Toc470257236"/>
      <w:bookmarkStart w:id="60" w:name="_Toc470209082"/>
      <w:r>
        <w:rPr>
          <w:rFonts w:hint="default" w:ascii="Times New Roman" w:hAnsi="Times New Roman" w:cs="Times New Roman"/>
          <w:caps w:val="0"/>
          <w:smallCaps w:val="0"/>
          <w:spacing w:val="0"/>
          <w:w w:val="100"/>
        </w:rPr>
        <w:t>名称：西双版纳中闽商贸有限公司勐海勐遮加油站</w:t>
      </w:r>
    </w:p>
    <w:p w14:paraId="37C60A7F">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统一社会信用代码：91532822MADE4GRM0D</w:t>
      </w:r>
    </w:p>
    <w:p w14:paraId="438D76AD">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类型：有限责任公司分公司（自然人独资）</w:t>
      </w:r>
    </w:p>
    <w:p w14:paraId="250EA66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经营场所：云南省西双版纳傣族自治州勐海县勐遮镇曼扫村委会三十公里处</w:t>
      </w:r>
    </w:p>
    <w:p w14:paraId="3E12E2A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法定代表人：陈元雄</w:t>
      </w:r>
    </w:p>
    <w:p w14:paraId="758D4E8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成立日期：2024年3月8日</w:t>
      </w:r>
    </w:p>
    <w:p w14:paraId="490B27B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经营范围：许可项目：成品油零售：成品油仓储，酒类经营：烟草制品零售。（依法须经批准的项目，经相关部门批准后方可开展经营活动，具体经营项目以相关部门批准文件或许可证件为准）一般项目：食品销售（仅销售预包装食品）：日用品销售：日用百货销售。（除依法须经批准的项目外，凭营业执照依法自主开展经营活动）</w:t>
      </w:r>
    </w:p>
    <w:p w14:paraId="4BFEEBF2">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color w:val="000000" w:themeColor="text1"/>
          <w:spacing w:val="0"/>
          <w:w w:val="100"/>
          <w14:textFill>
            <w14:solidFill>
              <w14:schemeClr w14:val="tx1"/>
            </w14:solidFill>
          </w14:textFill>
        </w:rPr>
        <w:t>登记机关：</w:t>
      </w:r>
      <w:r>
        <w:rPr>
          <w:rFonts w:hint="default" w:ascii="Times New Roman" w:hAnsi="Times New Roman" w:eastAsia="宋体" w:cs="Times New Roman"/>
          <w:caps w:val="0"/>
          <w:smallCaps w:val="0"/>
          <w:color w:val="000000" w:themeColor="text1"/>
          <w:spacing w:val="0"/>
          <w:w w:val="100"/>
          <w:lang w:val="en-US" w:eastAsia="zh-CN"/>
          <w14:textFill>
            <w14:solidFill>
              <w14:schemeClr w14:val="tx1"/>
            </w14:solidFill>
          </w14:textFill>
        </w:rPr>
        <w:t>勐</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海</w:t>
      </w:r>
      <w:r>
        <w:rPr>
          <w:rFonts w:hint="default" w:ascii="Times New Roman" w:hAnsi="Times New Roman" w:eastAsia="宋体" w:cs="Times New Roman"/>
          <w:caps w:val="0"/>
          <w:smallCaps w:val="0"/>
          <w:color w:val="000000" w:themeColor="text1"/>
          <w:spacing w:val="0"/>
          <w:w w:val="100"/>
          <w:lang w:val="en-US" w:eastAsia="zh-CN"/>
          <w14:textFill>
            <w14:solidFill>
              <w14:schemeClr w14:val="tx1"/>
            </w14:solidFill>
          </w14:textFill>
        </w:rPr>
        <w:t>县市场监督管理局</w:t>
      </w:r>
    </w:p>
    <w:p w14:paraId="0DAE8EAA">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西双版纳中闽商贸有限公司勐海勐遮加油站原名为勐遮曼扫个体加油站，勐遮曼扫个体加油站始建于2000年，加油站设有1台25m³的柴油罐和2台25m³的汽油罐，属于三级加油站。加油站经营至2014年，由于加油站设备老化，与周边的安全距离无法满足现行规范要求，因此加油站停业至2019年未进行生产经营，2019年加油站进行原址重建，原有加油站的设备设施全部废弃，新建站房1栋、罩棚1座、辅房1间，加油站新购双层卧式储罐4台（1个50m</w:t>
      </w:r>
      <w:r>
        <w:rPr>
          <w:rFonts w:hint="default" w:ascii="Times New Roman" w:hAnsi="Times New Roman" w:cs="Times New Roman"/>
          <w:caps w:val="0"/>
          <w:smallCaps w:val="0"/>
          <w:spacing w:val="0"/>
          <w:w w:val="100"/>
          <w:vertAlign w:val="superscript"/>
        </w:rPr>
        <w:t>3</w:t>
      </w:r>
      <w:r>
        <w:rPr>
          <w:rFonts w:hint="default" w:ascii="Times New Roman" w:hAnsi="Times New Roman" w:cs="Times New Roman"/>
          <w:caps w:val="0"/>
          <w:smallCaps w:val="0"/>
          <w:spacing w:val="0"/>
          <w:w w:val="100"/>
        </w:rPr>
        <w:t>的0#柴油罐、2个20m</w:t>
      </w:r>
      <w:r>
        <w:rPr>
          <w:rFonts w:hint="default" w:ascii="Times New Roman" w:hAnsi="Times New Roman" w:cs="Times New Roman"/>
          <w:caps w:val="0"/>
          <w:smallCaps w:val="0"/>
          <w:spacing w:val="0"/>
          <w:w w:val="100"/>
          <w:vertAlign w:val="superscript"/>
        </w:rPr>
        <w:t>3</w:t>
      </w:r>
      <w:r>
        <w:rPr>
          <w:rFonts w:hint="default" w:ascii="Times New Roman" w:hAnsi="Times New Roman" w:cs="Times New Roman"/>
          <w:caps w:val="0"/>
          <w:smallCaps w:val="0"/>
          <w:spacing w:val="0"/>
          <w:w w:val="100"/>
        </w:rPr>
        <w:t>的92#汽油罐、1个20m</w:t>
      </w:r>
      <w:r>
        <w:rPr>
          <w:rFonts w:hint="default" w:ascii="Times New Roman" w:hAnsi="Times New Roman" w:cs="Times New Roman"/>
          <w:caps w:val="0"/>
          <w:smallCaps w:val="0"/>
          <w:spacing w:val="0"/>
          <w:w w:val="100"/>
          <w:vertAlign w:val="superscript"/>
        </w:rPr>
        <w:t>3</w:t>
      </w:r>
      <w:r>
        <w:rPr>
          <w:rFonts w:hint="default" w:ascii="Times New Roman" w:hAnsi="Times New Roman" w:cs="Times New Roman"/>
          <w:caps w:val="0"/>
          <w:smallCaps w:val="0"/>
          <w:spacing w:val="0"/>
          <w:w w:val="100"/>
        </w:rPr>
        <w:t>的95#汽油罐），为三级加油站。加油站2019年原址重建之后将名称变更为勐海中闽加油站，2024年03月08日勐海中闽加油站变更为西双版纳中闽商贸有限公司勐海勐遮加油站，加油站的《危险化学品经营许可证》和《成品油零售经营批准证书》也随之变更为相应的名称，现该加油站属于中国石化特许站。</w:t>
      </w:r>
    </w:p>
    <w:p w14:paraId="7CA3CADF">
      <w:pPr>
        <w:pStyle w:val="5"/>
        <w:snapToGrid/>
        <w:rPr>
          <w:rFonts w:hint="default" w:ascii="Times New Roman" w:hAnsi="Times New Roman" w:eastAsia="黑体" w:cs="Times New Roman"/>
          <w:b w:val="0"/>
          <w:bCs w:val="0"/>
          <w:caps w:val="0"/>
          <w:smallCaps w:val="0"/>
          <w:spacing w:val="0"/>
          <w:w w:val="100"/>
        </w:rPr>
      </w:pPr>
      <w:bookmarkStart w:id="61" w:name="_Toc18146"/>
      <w:r>
        <w:rPr>
          <w:rFonts w:hint="default" w:ascii="Times New Roman" w:hAnsi="Times New Roman" w:eastAsia="黑体" w:cs="Times New Roman"/>
          <w:b w:val="0"/>
          <w:bCs w:val="0"/>
          <w:caps w:val="0"/>
          <w:smallCaps w:val="0"/>
          <w:spacing w:val="0"/>
          <w:w w:val="100"/>
        </w:rPr>
        <w:t>2.2建设项目基本情况</w:t>
      </w:r>
      <w:bookmarkEnd w:id="61"/>
    </w:p>
    <w:p w14:paraId="32AAD947">
      <w:pPr>
        <w:snapToGrid/>
        <w:outlineLvl w:val="2"/>
        <w:rPr>
          <w:rFonts w:hint="default" w:ascii="Times New Roman" w:hAnsi="Times New Roman" w:eastAsia="黑体" w:cs="Times New Roman"/>
          <w:caps w:val="0"/>
          <w:smallCaps w:val="0"/>
          <w:spacing w:val="0"/>
          <w:w w:val="100"/>
          <w:szCs w:val="22"/>
        </w:rPr>
      </w:pPr>
      <w:bookmarkStart w:id="62" w:name="_Toc3055"/>
      <w:r>
        <w:rPr>
          <w:rFonts w:hint="default" w:ascii="Times New Roman" w:hAnsi="Times New Roman" w:eastAsia="黑体" w:cs="Times New Roman"/>
          <w:caps w:val="0"/>
          <w:smallCaps w:val="0"/>
          <w:spacing w:val="0"/>
          <w:w w:val="100"/>
          <w:szCs w:val="22"/>
        </w:rPr>
        <w:t>2.2.1建设项目情况</w:t>
      </w:r>
      <w:bookmarkEnd w:id="62"/>
    </w:p>
    <w:p w14:paraId="5F5E53D4">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b/>
          <w:bCs/>
          <w:caps w:val="0"/>
          <w:smallCaps w:val="0"/>
          <w:spacing w:val="0"/>
          <w:w w:val="100"/>
          <w:szCs w:val="28"/>
        </w:rPr>
        <w:t>建设项目名称：</w:t>
      </w:r>
      <w:r>
        <w:rPr>
          <w:rFonts w:hint="default" w:ascii="Times New Roman" w:hAnsi="Times New Roman" w:cs="Times New Roman"/>
          <w:caps w:val="0"/>
          <w:smallCaps w:val="0"/>
          <w:spacing w:val="0"/>
          <w:w w:val="100"/>
        </w:rPr>
        <w:t>西双版纳中闽商贸有限公司勐海勐遮加油站原址改扩建项目（以下简称“该项目”）</w:t>
      </w:r>
    </w:p>
    <w:p w14:paraId="40C2E074">
      <w:pPr>
        <w:snapToGrid/>
        <w:ind w:firstLine="560" w:firstLineChars="200"/>
        <w:rPr>
          <w:rFonts w:hint="default" w:ascii="Times New Roman" w:hAnsi="Times New Roman" w:cs="Times New Roman"/>
          <w:bCs/>
          <w:caps w:val="0"/>
          <w:smallCaps w:val="0"/>
          <w:snapToGrid w:val="0"/>
          <w:spacing w:val="0"/>
          <w:w w:val="100"/>
          <w:kern w:val="0"/>
          <w:szCs w:val="28"/>
          <w:highlight w:val="cyan"/>
        </w:rPr>
      </w:pPr>
      <w:r>
        <w:rPr>
          <w:rFonts w:hint="default" w:ascii="Times New Roman" w:hAnsi="Times New Roman" w:cs="Times New Roman"/>
          <w:b/>
          <w:bCs/>
          <w:caps w:val="0"/>
          <w:smallCaps w:val="0"/>
          <w:spacing w:val="0"/>
          <w:w w:val="100"/>
          <w:szCs w:val="28"/>
        </w:rPr>
        <w:t>建设单位名称：</w:t>
      </w:r>
      <w:r>
        <w:rPr>
          <w:rFonts w:hint="default" w:ascii="Times New Roman" w:hAnsi="Times New Roman" w:cs="Times New Roman"/>
          <w:caps w:val="0"/>
          <w:smallCaps w:val="0"/>
          <w:spacing w:val="0"/>
          <w:w w:val="100"/>
        </w:rPr>
        <w:t>西双版纳中闽商贸有限公司勐海勐遮加油站</w:t>
      </w:r>
    </w:p>
    <w:p w14:paraId="0F29A653">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b/>
          <w:bCs/>
          <w:caps w:val="0"/>
          <w:smallCaps w:val="0"/>
          <w:spacing w:val="0"/>
          <w:w w:val="100"/>
          <w:szCs w:val="28"/>
        </w:rPr>
        <w:t>建设项目地址：</w:t>
      </w:r>
      <w:bookmarkStart w:id="63" w:name="_Hlk14689903"/>
      <w:bookmarkStart w:id="64" w:name="_Hlk14702898"/>
      <w:r>
        <w:rPr>
          <w:rFonts w:hint="default" w:ascii="Times New Roman" w:hAnsi="Times New Roman" w:cs="Times New Roman"/>
          <w:caps w:val="0"/>
          <w:smallCaps w:val="0"/>
          <w:spacing w:val="0"/>
          <w:w w:val="100"/>
        </w:rPr>
        <w:t>云南省西双版纳傣族自治州勐海县勐遮镇曼扫村委会三十公里处</w:t>
      </w:r>
    </w:p>
    <w:bookmarkEnd w:id="63"/>
    <w:bookmarkEnd w:id="64"/>
    <w:p w14:paraId="4BDE6C02">
      <w:pPr>
        <w:snapToGrid/>
        <w:ind w:firstLine="560" w:firstLineChars="200"/>
        <w:rPr>
          <w:rFonts w:hint="default" w:ascii="Times New Roman" w:hAnsi="Times New Roman" w:cs="Times New Roman"/>
          <w:bCs/>
          <w:caps w:val="0"/>
          <w:smallCaps w:val="0"/>
          <w:spacing w:val="0"/>
          <w:w w:val="100"/>
          <w:szCs w:val="28"/>
        </w:rPr>
      </w:pPr>
      <w:r>
        <w:rPr>
          <w:rFonts w:hint="default" w:ascii="Times New Roman" w:hAnsi="Times New Roman" w:cs="Times New Roman"/>
          <w:b/>
          <w:caps w:val="0"/>
          <w:smallCaps w:val="0"/>
          <w:spacing w:val="0"/>
          <w:w w:val="100"/>
          <w:szCs w:val="28"/>
        </w:rPr>
        <w:t>法定代表人：</w:t>
      </w:r>
      <w:r>
        <w:rPr>
          <w:rFonts w:hint="default" w:ascii="Times New Roman" w:hAnsi="Times New Roman" w:cs="Times New Roman"/>
          <w:bCs/>
          <w:caps w:val="0"/>
          <w:smallCaps w:val="0"/>
          <w:spacing w:val="0"/>
          <w:w w:val="100"/>
          <w:szCs w:val="28"/>
        </w:rPr>
        <w:t>陈元雄</w:t>
      </w:r>
    </w:p>
    <w:p w14:paraId="2EE268DC">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b/>
          <w:caps w:val="0"/>
          <w:smallCaps w:val="0"/>
          <w:spacing w:val="0"/>
          <w:w w:val="100"/>
          <w:szCs w:val="28"/>
        </w:rPr>
        <w:t>加油站规模：二</w:t>
      </w:r>
      <w:r>
        <w:rPr>
          <w:rFonts w:hint="default" w:ascii="Times New Roman" w:hAnsi="Times New Roman" w:cs="Times New Roman"/>
          <w:caps w:val="0"/>
          <w:smallCaps w:val="0"/>
          <w:spacing w:val="0"/>
          <w:w w:val="100"/>
          <w:szCs w:val="28"/>
        </w:rPr>
        <w:t>级站</w:t>
      </w:r>
    </w:p>
    <w:p w14:paraId="3EDD9B7C">
      <w:pPr>
        <w:snapToGrid/>
        <w:ind w:firstLine="560" w:firstLineChars="200"/>
        <w:rPr>
          <w:rFonts w:hint="default" w:ascii="Times New Roman" w:hAnsi="Times New Roman" w:cs="Times New Roman"/>
          <w:caps w:val="0"/>
          <w:smallCaps w:val="0"/>
          <w:color w:val="000000"/>
          <w:spacing w:val="0"/>
          <w:w w:val="100"/>
          <w:szCs w:val="28"/>
        </w:rPr>
      </w:pPr>
      <w:r>
        <w:rPr>
          <w:rFonts w:hint="default" w:ascii="Times New Roman" w:hAnsi="Times New Roman" w:cs="Times New Roman"/>
          <w:b/>
          <w:caps w:val="0"/>
          <w:smallCaps w:val="0"/>
          <w:spacing w:val="0"/>
          <w:w w:val="100"/>
          <w:szCs w:val="28"/>
        </w:rPr>
        <w:t>加油站规模：</w:t>
      </w:r>
      <w:r>
        <w:rPr>
          <w:rFonts w:hint="default" w:ascii="Times New Roman" w:hAnsi="Times New Roman" w:cs="Times New Roman"/>
          <w:caps w:val="0"/>
          <w:smallCaps w:val="0"/>
          <w:color w:val="000000"/>
          <w:spacing w:val="0"/>
          <w:w w:val="100"/>
        </w:rPr>
        <w:t>共设置4个50m³的SF双层卧式储油罐，分别为：2个50m³的0#柴油罐，1个50m³的92#汽油罐及1个50m³的95#汽油罐，油罐总容积（柴油罐容积折半计入总容积）为150m³，</w:t>
      </w:r>
      <w:r>
        <w:rPr>
          <w:rFonts w:hint="default" w:ascii="Times New Roman" w:hAnsi="Times New Roman" w:cs="Times New Roman"/>
          <w:caps w:val="0"/>
          <w:smallCaps w:val="0"/>
          <w:color w:val="000000"/>
          <w:spacing w:val="0"/>
          <w:w w:val="100"/>
          <w:szCs w:val="28"/>
        </w:rPr>
        <w:t>根据</w:t>
      </w:r>
      <w:r>
        <w:rPr>
          <w:rFonts w:hint="default" w:ascii="Times New Roman" w:hAnsi="Times New Roman" w:cs="Times New Roman"/>
          <w:caps w:val="0"/>
          <w:smallCaps w:val="0"/>
          <w:color w:val="000000"/>
          <w:spacing w:val="0"/>
          <w:w w:val="100"/>
        </w:rPr>
        <w:t>《汽车加油加气加氢站技术标准》（GB50156-2021）</w:t>
      </w:r>
      <w:r>
        <w:rPr>
          <w:rFonts w:hint="default" w:ascii="Times New Roman" w:hAnsi="Times New Roman" w:cs="Times New Roman"/>
          <w:caps w:val="0"/>
          <w:smallCaps w:val="0"/>
          <w:color w:val="000000"/>
          <w:spacing w:val="0"/>
          <w:w w:val="100"/>
          <w:szCs w:val="28"/>
        </w:rPr>
        <w:t>等级划分，</w:t>
      </w:r>
      <w:r>
        <w:rPr>
          <w:rFonts w:hint="default" w:ascii="Times New Roman" w:hAnsi="Times New Roman" w:cs="Times New Roman"/>
          <w:caps w:val="0"/>
          <w:smallCaps w:val="0"/>
          <w:color w:val="000000"/>
          <w:spacing w:val="0"/>
          <w:w w:val="100"/>
        </w:rPr>
        <w:t>加油站由原先的三级加油站升至二级加油站</w:t>
      </w:r>
      <w:r>
        <w:rPr>
          <w:rFonts w:hint="default" w:ascii="Times New Roman" w:hAnsi="Times New Roman" w:cs="Times New Roman"/>
          <w:caps w:val="0"/>
          <w:smallCaps w:val="0"/>
          <w:color w:val="000000"/>
          <w:spacing w:val="0"/>
          <w:w w:val="100"/>
          <w:szCs w:val="28"/>
        </w:rPr>
        <w:t>。</w:t>
      </w:r>
    </w:p>
    <w:p w14:paraId="56A2BC89">
      <w:pPr>
        <w:pStyle w:val="33"/>
        <w:adjustRightInd/>
        <w:snapToGrid/>
        <w:ind w:firstLine="560" w:firstLineChars="200"/>
        <w:rPr>
          <w:rFonts w:hint="default" w:ascii="Times New Roman" w:hAnsi="Times New Roman" w:cs="Times New Roman"/>
          <w:bCs/>
          <w:caps w:val="0"/>
          <w:smallCaps w:val="0"/>
          <w:snapToGrid w:val="0"/>
          <w:spacing w:val="0"/>
          <w:w w:val="100"/>
          <w:kern w:val="0"/>
          <w:sz w:val="28"/>
          <w:szCs w:val="28"/>
        </w:rPr>
      </w:pPr>
      <w:r>
        <w:rPr>
          <w:rFonts w:hint="default" w:ascii="Times New Roman" w:hAnsi="Times New Roman" w:cs="Times New Roman"/>
          <w:b/>
          <w:caps w:val="0"/>
          <w:smallCaps w:val="0"/>
          <w:spacing w:val="0"/>
          <w:w w:val="100"/>
          <w:sz w:val="28"/>
          <w:szCs w:val="28"/>
        </w:rPr>
        <w:t>建设性质：</w:t>
      </w:r>
      <w:r>
        <w:rPr>
          <w:rFonts w:hint="default" w:ascii="Times New Roman" w:hAnsi="Times New Roman" w:cs="Times New Roman"/>
          <w:bCs/>
          <w:caps w:val="0"/>
          <w:smallCaps w:val="0"/>
          <w:snapToGrid w:val="0"/>
          <w:spacing w:val="0"/>
          <w:w w:val="100"/>
          <w:kern w:val="0"/>
          <w:sz w:val="28"/>
          <w:szCs w:val="28"/>
        </w:rPr>
        <w:t>改扩建</w:t>
      </w:r>
    </w:p>
    <w:p w14:paraId="3C27C177">
      <w:pPr>
        <w:pStyle w:val="33"/>
        <w:adjustRightInd/>
        <w:snapToGrid/>
        <w:ind w:firstLine="560" w:firstLineChars="200"/>
        <w:rPr>
          <w:rFonts w:hint="default" w:ascii="Times New Roman" w:hAnsi="Times New Roman" w:cs="Times New Roman"/>
          <w:b/>
          <w:caps w:val="0"/>
          <w:smallCaps w:val="0"/>
          <w:spacing w:val="0"/>
          <w:w w:val="100"/>
          <w:sz w:val="28"/>
          <w:szCs w:val="28"/>
        </w:rPr>
      </w:pPr>
      <w:r>
        <w:rPr>
          <w:rFonts w:hint="default" w:ascii="Times New Roman" w:hAnsi="Times New Roman" w:cs="Times New Roman"/>
          <w:b/>
          <w:caps w:val="0"/>
          <w:smallCaps w:val="0"/>
          <w:spacing w:val="0"/>
          <w:w w:val="100"/>
          <w:sz w:val="28"/>
          <w:szCs w:val="28"/>
        </w:rPr>
        <w:t>建设内容：</w:t>
      </w:r>
    </w:p>
    <w:p w14:paraId="5C35C912">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由于</w:t>
      </w:r>
      <w:r>
        <w:rPr>
          <w:rFonts w:hint="default" w:ascii="Times New Roman" w:hAnsi="Times New Roman" w:cs="Times New Roman"/>
          <w:caps w:val="0"/>
          <w:smallCaps w:val="0"/>
          <w:color w:val="000000" w:themeColor="text1"/>
          <w:spacing w:val="0"/>
          <w:w w:val="100"/>
          <w14:textFill>
            <w14:solidFill>
              <w14:schemeClr w14:val="tx1"/>
            </w14:solidFill>
          </w14:textFill>
        </w:rPr>
        <w:t>加油站2019年原址重建时设置的汽油罐容较小，</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汽油罐</w:t>
      </w:r>
      <w:r>
        <w:rPr>
          <w:rFonts w:hint="default" w:ascii="Times New Roman" w:hAnsi="Times New Roman" w:cs="Times New Roman"/>
          <w:caps w:val="0"/>
          <w:smallCaps w:val="0"/>
          <w:color w:val="000000" w:themeColor="text1"/>
          <w:spacing w:val="0"/>
          <w:w w:val="100"/>
          <w14:textFill>
            <w14:solidFill>
              <w14:schemeClr w14:val="tx1"/>
            </w14:solidFill>
          </w14:textFill>
        </w:rPr>
        <w:t>仅有20m</w:t>
      </w:r>
      <w:r>
        <w:rPr>
          <w:rFonts w:hint="default" w:ascii="Times New Roman" w:hAnsi="Times New Roman" w:cs="Times New Roman"/>
          <w:caps w:val="0"/>
          <w:smallCaps w:val="0"/>
          <w:color w:val="000000" w:themeColor="text1"/>
          <w:spacing w:val="0"/>
          <w:w w:val="100"/>
          <w:vertAlign w:val="superscript"/>
          <w14:textFill>
            <w14:solidFill>
              <w14:schemeClr w14:val="tx1"/>
            </w14:solidFill>
          </w14:textFill>
        </w:rPr>
        <w:t>3</w:t>
      </w:r>
      <w:r>
        <w:rPr>
          <w:rFonts w:hint="default" w:ascii="Times New Roman" w:hAnsi="Times New Roman" w:cs="Times New Roman"/>
          <w:caps w:val="0"/>
          <w:smallCaps w:val="0"/>
          <w:color w:val="000000" w:themeColor="text1"/>
          <w:spacing w:val="0"/>
          <w:w w:val="100"/>
          <w:vertAlign w:val="baseline"/>
          <w:lang w:val="en-US" w:eastAsia="zh-CN"/>
          <w14:textFill>
            <w14:solidFill>
              <w14:schemeClr w14:val="tx1"/>
            </w14:solidFill>
          </w14:textFill>
        </w:rPr>
        <w:t>的</w:t>
      </w:r>
      <w:r>
        <w:rPr>
          <w:rFonts w:hint="default" w:ascii="Times New Roman" w:hAnsi="Times New Roman" w:cs="Times New Roman"/>
          <w:caps w:val="0"/>
          <w:smallCaps w:val="0"/>
          <w:color w:val="000000" w:themeColor="text1"/>
          <w:spacing w:val="0"/>
          <w:w w:val="100"/>
          <w14:textFill>
            <w14:solidFill>
              <w14:schemeClr w14:val="tx1"/>
            </w14:solidFill>
          </w14:textFill>
        </w:rPr>
        <w:t>92#汽油罐2个、20m</w:t>
      </w:r>
      <w:r>
        <w:rPr>
          <w:rFonts w:hint="default" w:ascii="Times New Roman" w:hAnsi="Times New Roman" w:cs="Times New Roman"/>
          <w:caps w:val="0"/>
          <w:smallCaps w:val="0"/>
          <w:color w:val="000000" w:themeColor="text1"/>
          <w:spacing w:val="0"/>
          <w:w w:val="100"/>
          <w:vertAlign w:val="superscript"/>
          <w14:textFill>
            <w14:solidFill>
              <w14:schemeClr w14:val="tx1"/>
            </w14:solidFill>
          </w14:textFill>
        </w:rPr>
        <w:t>3</w:t>
      </w:r>
      <w:r>
        <w:rPr>
          <w:rFonts w:hint="default" w:ascii="Times New Roman" w:hAnsi="Times New Roman" w:cs="Times New Roman"/>
          <w:caps w:val="0"/>
          <w:smallCaps w:val="0"/>
          <w:color w:val="000000" w:themeColor="text1"/>
          <w:spacing w:val="0"/>
          <w:w w:val="100"/>
          <w14:textFill>
            <w14:solidFill>
              <w14:schemeClr w14:val="tx1"/>
            </w14:solidFill>
          </w14:textFill>
        </w:rPr>
        <w:t>的95#汽油罐1个，无法满足</w:t>
      </w:r>
      <w:r>
        <w:rPr>
          <w:rFonts w:hint="default" w:ascii="Times New Roman" w:hAnsi="Times New Roman" w:cs="Times New Roman"/>
          <w:caps w:val="0"/>
          <w:smallCaps w:val="0"/>
          <w:spacing w:val="0"/>
          <w:w w:val="100"/>
        </w:rPr>
        <w:t>当下的加油站市场需求，将加油站进行原址改扩建，改扩建内容包括：</w:t>
      </w:r>
    </w:p>
    <w:p w14:paraId="166FA56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（1）加油站油罐区位于加油区行车道下，油罐区为承重罐池，罐池利旧，拆除罐区内3个20m</w:t>
      </w:r>
      <w:r>
        <w:rPr>
          <w:rFonts w:hint="default" w:ascii="Times New Roman" w:hAnsi="Times New Roman" w:cs="Times New Roman"/>
          <w:caps w:val="0"/>
          <w:smallCaps w:val="0"/>
          <w:spacing w:val="0"/>
          <w:w w:val="100"/>
          <w:vertAlign w:val="superscript"/>
        </w:rPr>
        <w:t>³</w:t>
      </w:r>
      <w:r>
        <w:rPr>
          <w:rFonts w:hint="default" w:ascii="Times New Roman" w:hAnsi="Times New Roman" w:cs="Times New Roman"/>
          <w:caps w:val="0"/>
          <w:smallCaps w:val="0"/>
          <w:spacing w:val="0"/>
          <w:w w:val="100"/>
        </w:rPr>
        <w:t>的汽油罐及其部分管线，新购3个50m³的SF双层卧式储油罐，利旧原50m³的柴油罐。罐区改造后共设置4个50m³的SF双层卧式储油罐，分别为：2个50m³的0#柴油罐，1个50m³的92#汽油罐及1个50m³的95#汽油罐，油罐总容积（柴油罐容积折半计入总容积）为150m³，加油站由原先的三级加油站升至二级加油站；</w:t>
      </w:r>
    </w:p>
    <w:p w14:paraId="5428856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（2）更新部分工艺管线及配电柜等附属设备；</w:t>
      </w:r>
    </w:p>
    <w:p w14:paraId="3191BFD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（3）加油站站房、罩棚、辅房、加油机、隔油池等均为利旧。</w:t>
      </w:r>
    </w:p>
    <w:p w14:paraId="3348A56A">
      <w:pPr>
        <w:snapToGrid/>
        <w:outlineLvl w:val="2"/>
        <w:rPr>
          <w:rFonts w:hint="default" w:ascii="Times New Roman" w:hAnsi="Times New Roman" w:eastAsia="黑体" w:cs="Times New Roman"/>
          <w:caps w:val="0"/>
          <w:smallCaps w:val="0"/>
          <w:spacing w:val="0"/>
          <w:w w:val="100"/>
          <w:szCs w:val="22"/>
        </w:rPr>
      </w:pPr>
      <w:bookmarkStart w:id="65" w:name="_Toc17242"/>
      <w:r>
        <w:rPr>
          <w:rFonts w:hint="default" w:ascii="Times New Roman" w:hAnsi="Times New Roman" w:eastAsia="黑体" w:cs="Times New Roman"/>
          <w:caps w:val="0"/>
          <w:smallCaps w:val="0"/>
          <w:spacing w:val="0"/>
          <w:w w:val="100"/>
          <w:szCs w:val="22"/>
        </w:rPr>
        <w:t>2.2.2项目建设过程</w:t>
      </w:r>
      <w:bookmarkEnd w:id="65"/>
    </w:p>
    <w:p w14:paraId="04FE8FD4">
      <w:pPr>
        <w:snapToGrid/>
        <w:ind w:firstLine="560"/>
        <w:rPr>
          <w:rFonts w:hint="default" w:ascii="Times New Roman" w:hAnsi="Times New Roman" w:cs="Times New Roman"/>
          <w:caps w:val="0"/>
          <w:smallCaps w:val="0"/>
          <w:color w:val="000000"/>
          <w:spacing w:val="0"/>
          <w:w w:val="100"/>
        </w:rPr>
      </w:pPr>
      <w:r>
        <w:rPr>
          <w:rFonts w:hint="default" w:ascii="Times New Roman" w:hAnsi="Times New Roman" w:cs="Times New Roman"/>
          <w:caps w:val="0"/>
          <w:smallCaps w:val="0"/>
          <w:color w:val="000000"/>
          <w:spacing w:val="0"/>
          <w:w w:val="100"/>
        </w:rPr>
        <w:t>1、于2025年1月6日取得西双版纳傣族自治州商务局核发的《西双版纳州商务局关于西双版纳中闽商贸有限公司申请勐海勐遮加油站原址改扩建的批复》（西商复〔2025〕1号）；</w:t>
      </w:r>
    </w:p>
    <w:p w14:paraId="34E073F6">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w:t>
      </w:r>
      <w:r>
        <w:rPr>
          <w:rFonts w:hint="default" w:ascii="Times New Roman" w:hAnsi="Times New Roman" w:cs="Times New Roman"/>
          <w:caps w:val="0"/>
          <w:smallCaps w:val="0"/>
          <w:color w:val="000000"/>
          <w:spacing w:val="0"/>
          <w:w w:val="100"/>
        </w:rPr>
        <w:t>于2025年1月21日取得勐海县发展和改革局核发的《云南省固定资产投资项目备案证》（备案号：2501-532822-04-02-612224）；</w:t>
      </w:r>
    </w:p>
    <w:p w14:paraId="21CD63D5">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3、云南阔鑫注册安全工程师事务所有限公司于2025年1月编制完成《西双版纳中闽商贸有限公司勐海勐遮加油站原址改扩建项目安全预评价报告》，</w:t>
      </w:r>
      <w:r>
        <w:rPr>
          <w:rFonts w:hint="default" w:ascii="Times New Roman" w:hAnsi="Times New Roman" w:cs="Times New Roman"/>
          <w:caps w:val="0"/>
          <w:smallCaps w:val="0"/>
          <w:color w:val="000000"/>
          <w:spacing w:val="0"/>
          <w:w w:val="100"/>
        </w:rPr>
        <w:t>于2025年2月10日取得勐海县应急管理局核发的《建设项目安全条件审查意见书》（海安监危化项目安条备字〔2025〕1号）；</w:t>
      </w:r>
    </w:p>
    <w:p w14:paraId="5F7BB672">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4、智诚建科设计有限公司于2025年1月编制完成《西双版纳中闽商贸有限公司勐海勐遮加油站原址改扩建项目安全设施设计报告》，</w:t>
      </w:r>
      <w:r>
        <w:rPr>
          <w:rFonts w:hint="default" w:ascii="Times New Roman" w:hAnsi="Times New Roman" w:cs="Times New Roman"/>
          <w:caps w:val="0"/>
          <w:smallCaps w:val="0"/>
          <w:color w:val="000000"/>
          <w:spacing w:val="0"/>
          <w:w w:val="100"/>
        </w:rPr>
        <w:t>于2025年2月10日取得勐海县应急管理局核发的《建设项目安全设施设计审查意见书》（海安监危化项目安设审字〔2025〕1号）；</w:t>
      </w:r>
    </w:p>
    <w:p w14:paraId="00704C0F">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5</w:t>
      </w:r>
      <w:r>
        <w:rPr>
          <w:rFonts w:hint="default" w:ascii="Times New Roman" w:hAnsi="Times New Roman" w:cs="Times New Roman"/>
          <w:caps w:val="0"/>
          <w:smallCaps w:val="0"/>
          <w:color w:val="000000" w:themeColor="text1"/>
          <w:spacing w:val="0"/>
          <w:w w:val="100"/>
          <w14:textFill>
            <w14:solidFill>
              <w14:schemeClr w14:val="tx1"/>
            </w14:solidFill>
          </w14:textFill>
        </w:rPr>
        <w:t>、该项目于2025年2月11日开工，202</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5</w:t>
      </w:r>
      <w:r>
        <w:rPr>
          <w:rFonts w:hint="default" w:ascii="Times New Roman" w:hAnsi="Times New Roman" w:cs="Times New Roman"/>
          <w:caps w:val="0"/>
          <w:smallCaps w:val="0"/>
          <w:color w:val="000000" w:themeColor="text1"/>
          <w:spacing w:val="0"/>
          <w:w w:val="100"/>
          <w14:textFill>
            <w14:solidFill>
              <w14:schemeClr w14:val="tx1"/>
            </w14:solidFill>
          </w14:textFill>
        </w:rPr>
        <w:t>年3月20日竣工，加油站于202</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5</w:t>
      </w:r>
      <w:r>
        <w:rPr>
          <w:rFonts w:hint="default" w:ascii="Times New Roman" w:hAnsi="Times New Roman" w:cs="Times New Roman"/>
          <w:caps w:val="0"/>
          <w:smallCaps w:val="0"/>
          <w:color w:val="000000" w:themeColor="text1"/>
          <w:spacing w:val="0"/>
          <w:w w:val="100"/>
          <w14:textFill>
            <w14:solidFill>
              <w14:schemeClr w14:val="tx1"/>
            </w14:solidFill>
          </w14:textFill>
        </w:rPr>
        <w:t>年3月23日组织施工、监理、设计等单位对该项目进行了竣工验收，并出具了《工程竣工验收报告》；</w:t>
      </w:r>
    </w:p>
    <w:p w14:paraId="6F22961E">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6</w:t>
      </w:r>
      <w:r>
        <w:rPr>
          <w:rFonts w:hint="default" w:ascii="Times New Roman" w:hAnsi="Times New Roman" w:cs="Times New Roman"/>
          <w:caps w:val="0"/>
          <w:smallCaps w:val="0"/>
          <w:spacing w:val="0"/>
          <w:w w:val="100"/>
        </w:rPr>
        <w:t>、加油站于2025年6月3日委托云南省气象灾害防御技术中心对西双版纳中闽商贸有限公司勐海勐遮加油站原址改扩建项目涉及的雷电防护装置进行了检测，并出具了雷电防护装置检测报告（报告编号：云雷检字[2025]XS第02034号），结论为建构筑物防雷分类、引下线、接地装置、等电位连接、电涌保护器（SPD）、防静电装置均符合要求；</w:t>
      </w:r>
    </w:p>
    <w:p w14:paraId="1CE5DF5C">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7</w:t>
      </w:r>
      <w:r>
        <w:rPr>
          <w:rFonts w:hint="default" w:ascii="Times New Roman" w:hAnsi="Times New Roman" w:cs="Times New Roman"/>
          <w:caps w:val="0"/>
          <w:smallCaps w:val="0"/>
          <w:spacing w:val="0"/>
          <w:w w:val="100"/>
        </w:rPr>
        <w:t>、2025年5月15日取得了由勐海县住房和城乡建设局核发的《特殊建设工程消防验收意见书》（海住建消验字[2025]第0006号），结论为合格；</w:t>
      </w:r>
    </w:p>
    <w:p w14:paraId="39B67F00">
      <w:pPr>
        <w:snapToGrid/>
        <w:ind w:right="280"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8</w:t>
      </w:r>
      <w:r>
        <w:rPr>
          <w:rFonts w:hint="default" w:ascii="Times New Roman" w:hAnsi="Times New Roman" w:cs="Times New Roman"/>
          <w:caps w:val="0"/>
          <w:smallCaps w:val="0"/>
          <w:spacing w:val="0"/>
          <w:w w:val="100"/>
        </w:rPr>
        <w:t>、2025年6月23日取得了由勐海县应急管理局核发的《应急预案备案表》（备案编号：海应急危备[2025]11号）。</w:t>
      </w:r>
    </w:p>
    <w:bookmarkEnd w:id="59"/>
    <w:bookmarkEnd w:id="60"/>
    <w:p w14:paraId="380E4746">
      <w:pPr>
        <w:pStyle w:val="5"/>
        <w:snapToGrid/>
        <w:rPr>
          <w:rFonts w:hint="default" w:ascii="Times New Roman" w:hAnsi="Times New Roman" w:eastAsia="黑体" w:cs="Times New Roman"/>
          <w:b w:val="0"/>
          <w:bCs w:val="0"/>
          <w:caps w:val="0"/>
          <w:smallCaps w:val="0"/>
          <w:spacing w:val="0"/>
          <w:w w:val="100"/>
        </w:rPr>
      </w:pPr>
      <w:bookmarkStart w:id="66" w:name="_Toc195176705"/>
      <w:bookmarkStart w:id="67" w:name="_Toc19479"/>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3</w:t>
      </w:r>
      <w:r>
        <w:rPr>
          <w:rFonts w:hint="default" w:ascii="Times New Roman" w:hAnsi="Times New Roman" w:eastAsia="黑体" w:cs="Times New Roman"/>
          <w:b w:val="0"/>
          <w:bCs w:val="0"/>
          <w:caps w:val="0"/>
          <w:smallCaps w:val="0"/>
          <w:spacing w:val="0"/>
          <w:w w:val="100"/>
        </w:rPr>
        <w:t>建设项目自然条件</w:t>
      </w:r>
      <w:bookmarkEnd w:id="66"/>
      <w:bookmarkEnd w:id="67"/>
    </w:p>
    <w:p w14:paraId="16D11AA1">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68" w:name="_Toc7384"/>
      <w:bookmarkStart w:id="69" w:name="_Toc195176708"/>
      <w:bookmarkStart w:id="70" w:name="_Toc19094059"/>
      <w:bookmarkStart w:id="71" w:name="_Toc512495557"/>
      <w:bookmarkStart w:id="72" w:name="_Toc54173498"/>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3</w:t>
      </w:r>
      <w:r>
        <w:rPr>
          <w:rFonts w:hint="default" w:ascii="Times New Roman" w:hAnsi="Times New Roman" w:eastAsia="黑体" w:cs="Times New Roman"/>
          <w:b w:val="0"/>
          <w:bCs w:val="0"/>
          <w:caps w:val="0"/>
          <w:smallCaps w:val="0"/>
          <w:spacing w:val="0"/>
          <w:w w:val="100"/>
        </w:rPr>
        <w:t>.1气象条件</w:t>
      </w:r>
      <w:bookmarkEnd w:id="68"/>
    </w:p>
    <w:p w14:paraId="68E0E27B">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bookmarkStart w:id="73" w:name="_Toc485127638"/>
      <w:bookmarkStart w:id="74" w:name="_Toc78287531"/>
      <w:r>
        <w:rPr>
          <w:rFonts w:hint="default" w:ascii="Times New Roman" w:hAnsi="Times New Roman" w:eastAsia="宋体" w:cs="Times New Roman"/>
          <w:caps w:val="0"/>
          <w:smallCaps w:val="0"/>
          <w:spacing w:val="0"/>
          <w:w w:val="100"/>
          <w:kern w:val="0"/>
          <w:sz w:val="28"/>
          <w:szCs w:val="28"/>
          <w:lang w:val="en-US" w:eastAsia="zh-CN" w:bidi="en-US"/>
        </w:rPr>
        <w:t>勐海县属亚热带季风气候，具有明显的立体气候特征，冬无严寒、夏无酷暑，年温差小，日温差大。</w:t>
      </w:r>
    </w:p>
    <w:p w14:paraId="015BC6B5">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（1）气温</w:t>
      </w:r>
    </w:p>
    <w:p w14:paraId="720D4411">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年平均气温：18.5℃</w:t>
      </w:r>
    </w:p>
    <w:p w14:paraId="3B2F3F8C">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最热月平均气温：23℃</w:t>
      </w:r>
    </w:p>
    <w:p w14:paraId="4CA69FC7">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最冷月平均气温：11℃</w:t>
      </w:r>
    </w:p>
    <w:p w14:paraId="15F141B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极端最高气温：36.1℃</w:t>
      </w:r>
    </w:p>
    <w:p w14:paraId="76262BB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极端最低气温：-1.5℃</w:t>
      </w:r>
    </w:p>
    <w:p w14:paraId="013C690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（2）日照</w:t>
      </w:r>
    </w:p>
    <w:p w14:paraId="683158C7">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年日照：1782～1811h。</w:t>
      </w:r>
    </w:p>
    <w:p w14:paraId="57E5692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干季平均日照：5.6～6.1h</w:t>
      </w:r>
    </w:p>
    <w:p w14:paraId="3DB8AC3F">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雨季平均日照：3.7～4.4h</w:t>
      </w:r>
    </w:p>
    <w:p w14:paraId="7F8CB2A1">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（3）降水量</w:t>
      </w:r>
    </w:p>
    <w:p w14:paraId="4308828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年平均降水量：1360mm</w:t>
      </w:r>
    </w:p>
    <w:p w14:paraId="743D1DFC">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年最大降雨量：2491.5mm</w:t>
      </w:r>
    </w:p>
    <w:p w14:paraId="780E4297">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年最小降雨量：848.6mm</w:t>
      </w:r>
    </w:p>
    <w:p w14:paraId="68DE16F1">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（4）湿度</w:t>
      </w:r>
    </w:p>
    <w:p w14:paraId="7984BD43">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年平均相对湿度：82%。</w:t>
      </w:r>
    </w:p>
    <w:p w14:paraId="5B8AEECC">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（5）风力</w:t>
      </w:r>
    </w:p>
    <w:p w14:paraId="765FF986">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全年主导风向：西风和偏南风</w:t>
      </w:r>
    </w:p>
    <w:p w14:paraId="597E44C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年平均风速：1.0～1.5m/s</w:t>
      </w:r>
    </w:p>
    <w:p w14:paraId="2625C2B7">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静风频率：71%。</w:t>
      </w:r>
    </w:p>
    <w:p w14:paraId="466C26C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（6）水文</w:t>
      </w:r>
    </w:p>
    <w:p w14:paraId="17CEEC0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勐海县境内河网密布，水资源丰富，主要来自地表径流和地下径流，河水多为降水补给性河流。境内地表水年平均径流深540.7mm，年平均径流总量为29.46亿m³；地下水主要分布在地表层、根系层和基岩裂隙层，主要来源于雨季部分雨量下渗补给，地下水年平均径流深340mm，年平均径流总量为15.59亿m³，为地表水的52.9%;另有境外客水4.99亿m³。水资源总量为50.04亿m³。境内流程2.5km以上的常年河流159条，总流长1868km，多为幼年期河流，属澜沧江水系，总集水面积5570km</w:t>
      </w:r>
      <w:r>
        <w:rPr>
          <w:rFonts w:hint="default" w:ascii="Times New Roman" w:hAnsi="Times New Roman" w:eastAsia="宋体" w:cs="Times New Roman"/>
          <w:caps w:val="0"/>
          <w:smallCaps w:val="0"/>
          <w:spacing w:val="0"/>
          <w:w w:val="100"/>
          <w:kern w:val="0"/>
          <w:sz w:val="28"/>
          <w:szCs w:val="28"/>
          <w:vertAlign w:val="superscript"/>
          <w:lang w:val="en-US" w:eastAsia="zh-CN" w:bidi="en-US"/>
        </w:rPr>
        <w:t>2</w:t>
      </w:r>
      <w:r>
        <w:rPr>
          <w:rFonts w:hint="default" w:ascii="Times New Roman" w:hAnsi="Times New Roman" w:eastAsia="宋体" w:cs="Times New Roman"/>
          <w:caps w:val="0"/>
          <w:smallCaps w:val="0"/>
          <w:spacing w:val="0"/>
          <w:w w:val="100"/>
          <w:kern w:val="0"/>
          <w:sz w:val="28"/>
          <w:szCs w:val="28"/>
          <w:lang w:val="en-US" w:eastAsia="zh-CN" w:bidi="en-US"/>
        </w:rPr>
        <w:t>，其中境内面积占98.9%。流域总面积4937km</w:t>
      </w:r>
      <w:r>
        <w:rPr>
          <w:rFonts w:hint="default" w:ascii="Times New Roman" w:hAnsi="Times New Roman" w:eastAsia="宋体" w:cs="Times New Roman"/>
          <w:caps w:val="0"/>
          <w:smallCaps w:val="0"/>
          <w:spacing w:val="0"/>
          <w:w w:val="100"/>
          <w:kern w:val="0"/>
          <w:sz w:val="28"/>
          <w:szCs w:val="28"/>
          <w:vertAlign w:val="superscript"/>
          <w:lang w:val="en-US" w:eastAsia="zh-CN" w:bidi="en-US"/>
        </w:rPr>
        <w:t>2</w:t>
      </w:r>
      <w:r>
        <w:rPr>
          <w:rFonts w:hint="default" w:ascii="Times New Roman" w:hAnsi="Times New Roman" w:eastAsia="宋体" w:cs="Times New Roman"/>
          <w:caps w:val="0"/>
          <w:smallCaps w:val="0"/>
          <w:spacing w:val="0"/>
          <w:w w:val="100"/>
          <w:kern w:val="0"/>
          <w:sz w:val="28"/>
          <w:szCs w:val="28"/>
          <w:lang w:val="en-US" w:eastAsia="zh-CN" w:bidi="en-US"/>
        </w:rPr>
        <w:t>。主要河流有：澜沧江、流沙河、南果河、勐往河、南览河等。</w:t>
      </w:r>
    </w:p>
    <w:p w14:paraId="0943BB2D">
      <w:pPr>
        <w:keepNext/>
        <w:keepLines/>
        <w:pageBreakBefore w:val="0"/>
        <w:widowControl w:val="0"/>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（7）其他</w:t>
      </w:r>
    </w:p>
    <w:p w14:paraId="48214A55">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spacing w:val="0"/>
          <w:w w:val="100"/>
          <w:kern w:val="0"/>
          <w:sz w:val="28"/>
          <w:szCs w:val="28"/>
          <w:lang w:val="en-US" w:eastAsia="zh-CN" w:bidi="en-US"/>
        </w:rPr>
      </w:pPr>
      <w:r>
        <w:rPr>
          <w:rFonts w:hint="default" w:ascii="Times New Roman" w:hAnsi="Times New Roman" w:eastAsia="宋体" w:cs="Times New Roman"/>
          <w:caps w:val="0"/>
          <w:smallCaps w:val="0"/>
          <w:spacing w:val="0"/>
          <w:w w:val="100"/>
          <w:kern w:val="0"/>
          <w:sz w:val="28"/>
          <w:szCs w:val="28"/>
          <w:lang w:val="en-US" w:eastAsia="zh-CN" w:bidi="en-US"/>
        </w:rPr>
        <w:t>项目所在地年雷暴天数为95d，属于高雷暴地区，罩棚及站房采取防直击雷措施，加油站油罐埋地设置，有较好的隔热效果。加油区设有罩棚，气象条件对该加油站安全经营的影响不大。站内地坪均高于站外公路，站内设置一定的排水坡度，降雨不易造成站内积水、内涝等。</w:t>
      </w:r>
    </w:p>
    <w:p w14:paraId="77911C5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cs="Times New Roman"/>
          <w:caps w:val="0"/>
          <w:smallCaps w:val="0"/>
          <w:spacing w:val="0"/>
          <w:w w:val="100"/>
          <w:kern w:val="0"/>
          <w:szCs w:val="28"/>
          <w:lang w:bidi="en-US"/>
        </w:rPr>
      </w:pPr>
      <w:r>
        <w:rPr>
          <w:rFonts w:hint="default" w:ascii="Times New Roman" w:hAnsi="Times New Roman" w:eastAsia="宋体" w:cs="Times New Roman"/>
          <w:caps w:val="0"/>
          <w:smallCaps w:val="0"/>
          <w:spacing w:val="0"/>
          <w:w w:val="100"/>
          <w:kern w:val="0"/>
          <w:sz w:val="28"/>
          <w:szCs w:val="28"/>
          <w:lang w:val="en-US" w:eastAsia="zh-CN" w:bidi="en-US"/>
        </w:rPr>
        <w:t>加油站针对自然条件等因素对站区总图布置、设备布置、排水、防雷等进行了相应设计，避免气象条件不利因素可能的影响。因此，气象条件对于项目安全经营影响较小。</w:t>
      </w:r>
    </w:p>
    <w:p w14:paraId="14F8316F">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75" w:name="_Toc16859"/>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3</w:t>
      </w:r>
      <w:r>
        <w:rPr>
          <w:rFonts w:hint="default" w:ascii="Times New Roman" w:hAnsi="Times New Roman" w:eastAsia="黑体" w:cs="Times New Roman"/>
          <w:b w:val="0"/>
          <w:bCs w:val="0"/>
          <w:caps w:val="0"/>
          <w:smallCaps w:val="0"/>
          <w:spacing w:val="0"/>
          <w:w w:val="100"/>
        </w:rPr>
        <w:t>.2</w:t>
      </w:r>
      <w:bookmarkEnd w:id="73"/>
      <w:bookmarkEnd w:id="74"/>
      <w:r>
        <w:rPr>
          <w:rFonts w:hint="default" w:ascii="Times New Roman" w:hAnsi="Times New Roman" w:eastAsia="黑体" w:cs="Times New Roman"/>
          <w:b w:val="0"/>
          <w:bCs w:val="0"/>
          <w:caps w:val="0"/>
          <w:smallCaps w:val="0"/>
          <w:spacing w:val="0"/>
          <w:w w:val="100"/>
        </w:rPr>
        <w:t>地质条件</w:t>
      </w:r>
      <w:bookmarkEnd w:id="75"/>
    </w:p>
    <w:p w14:paraId="115E2E8A">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bookmarkStart w:id="76" w:name="_Toc37964852"/>
      <w:bookmarkStart w:id="77" w:name="_Toc15791"/>
      <w:bookmarkStart w:id="78" w:name="_Toc31146"/>
      <w:bookmarkStart w:id="79" w:name="_Toc27283"/>
      <w:bookmarkStart w:id="80" w:name="_Toc29370"/>
      <w:bookmarkStart w:id="81" w:name="_Toc32194"/>
      <w:bookmarkStart w:id="82" w:name="_Toc11200"/>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根据</w:t>
      </w:r>
      <w:r>
        <w:rPr>
          <w:rFonts w:hint="default" w:ascii="Times New Roman" w:hAnsi="Times New Roman" w:eastAsia="宋体" w:cs="Times New Roman"/>
          <w:caps w:val="0"/>
          <w:smallCaps w:val="0"/>
          <w:color w:val="000000" w:themeColor="text1"/>
          <w:spacing w:val="0"/>
          <w:w w:val="100"/>
          <w:kern w:val="0"/>
          <w:sz w:val="28"/>
          <w:szCs w:val="28"/>
          <w:lang w:eastAsia="zh-CN" w:bidi="en-US"/>
          <w14:textFill>
            <w14:solidFill>
              <w14:schemeClr w14:val="tx1"/>
            </w14:solidFill>
          </w14:textFill>
        </w:rPr>
        <w:t>云南坦盛岩土工程有限公司（证书编号：B253011614，劳务类（工程钻探）；工程勘察专业类（岩土工程（勘察））乙级）编制的《西双版纳中闽商贸有限公司勐海勐遮加油站原址改扩建简单勘察》</w:t>
      </w: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可知：</w:t>
      </w:r>
    </w:p>
    <w:p w14:paraId="170A042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1、场地地形地貌</w:t>
      </w:r>
    </w:p>
    <w:p w14:paraId="410DC68C">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eastAsia="zh-CN" w:bidi="en-US"/>
          <w14:textFill>
            <w14:solidFill>
              <w14:schemeClr w14:val="tx1"/>
            </w14:solidFill>
          </w14:textFill>
        </w:rPr>
        <w:t>勐海县地处横断山系纵谷区南段，怒江山脉向南延伸的余脉部。境内地势四周高峻，中部平缓，山峰、丘陵、平坝相互交错。地势西北高、东南低，四周高峻，中部平缓。最高点在县境东部勐宋乡的滑竹梁子主峰，海拔2429</w:t>
      </w:r>
      <w:r>
        <w:rPr>
          <w:rFonts w:hint="default" w:ascii="Times New Roman" w:hAnsi="Times New Roman" w:cs="Times New Roman"/>
          <w:caps w:val="0"/>
          <w:smallCaps w:val="0"/>
          <w:color w:val="000000" w:themeColor="text1"/>
          <w:spacing w:val="0"/>
          <w:w w:val="100"/>
          <w:kern w:val="0"/>
          <w:sz w:val="28"/>
          <w:szCs w:val="28"/>
          <w:lang w:val="en-US" w:eastAsia="zh-CN" w:bidi="en-US"/>
          <w14:textFill>
            <w14:solidFill>
              <w14:schemeClr w14:val="tx1"/>
            </w14:solidFill>
          </w14:textFill>
        </w:rPr>
        <w:t>m</w:t>
      </w:r>
      <w:r>
        <w:rPr>
          <w:rFonts w:hint="default" w:ascii="Times New Roman" w:hAnsi="Times New Roman" w:eastAsia="宋体" w:cs="Times New Roman"/>
          <w:caps w:val="0"/>
          <w:smallCaps w:val="0"/>
          <w:color w:val="000000" w:themeColor="text1"/>
          <w:spacing w:val="0"/>
          <w:w w:val="100"/>
          <w:kern w:val="0"/>
          <w:sz w:val="28"/>
          <w:szCs w:val="28"/>
          <w:lang w:eastAsia="zh-CN" w:bidi="en-US"/>
          <w14:textFill>
            <w14:solidFill>
              <w14:schemeClr w14:val="tx1"/>
            </w14:solidFill>
          </w14:textFill>
        </w:rPr>
        <w:t>，属州内第一高峰。最低点为县境西南的南桔河与南览河交汇处，海拔535</w:t>
      </w:r>
      <w:r>
        <w:rPr>
          <w:rFonts w:hint="default" w:ascii="Times New Roman" w:hAnsi="Times New Roman" w:cs="Times New Roman"/>
          <w:caps w:val="0"/>
          <w:smallCaps w:val="0"/>
          <w:color w:val="000000" w:themeColor="text1"/>
          <w:spacing w:val="0"/>
          <w:w w:val="100"/>
          <w:kern w:val="0"/>
          <w:sz w:val="28"/>
          <w:szCs w:val="28"/>
          <w:lang w:val="en-US" w:eastAsia="zh-CN" w:bidi="en-US"/>
          <w14:textFill>
            <w14:solidFill>
              <w14:schemeClr w14:val="tx1"/>
            </w14:solidFill>
          </w14:textFill>
        </w:rPr>
        <w:t>m</w:t>
      </w:r>
      <w:r>
        <w:rPr>
          <w:rFonts w:hint="default" w:ascii="Times New Roman" w:hAnsi="Times New Roman" w:eastAsia="宋体" w:cs="Times New Roman"/>
          <w:caps w:val="0"/>
          <w:smallCaps w:val="0"/>
          <w:color w:val="000000" w:themeColor="text1"/>
          <w:spacing w:val="0"/>
          <w:w w:val="100"/>
          <w:kern w:val="0"/>
          <w:sz w:val="28"/>
          <w:szCs w:val="28"/>
          <w:lang w:eastAsia="zh-CN" w:bidi="en-US"/>
          <w14:textFill>
            <w14:solidFill>
              <w14:schemeClr w14:val="tx1"/>
            </w14:solidFill>
          </w14:textFill>
        </w:rPr>
        <w:t>。</w:t>
      </w:r>
    </w:p>
    <w:p w14:paraId="5EF78492">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建设项目场地处于勐遮盆地内，属冲洪积堆积地貌，场地范围内及周边地形较平缓开阔。</w:t>
      </w:r>
    </w:p>
    <w:p w14:paraId="275B85B4">
      <w:pPr>
        <w:keepNext/>
        <w:keepLines/>
        <w:pageBreakBefore w:val="0"/>
        <w:widowControl w:val="0"/>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2、场地地层结构</w:t>
      </w:r>
    </w:p>
    <w:p w14:paraId="2F89DF76">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勘察结果表明，场地钻探深度范围内地基岩土层结构中等复杂，根据地质成因类型，地表为第四系人工填土层（Q</w:t>
      </w:r>
      <w:r>
        <w:rPr>
          <w:rFonts w:hint="default" w:ascii="Times New Roman" w:hAnsi="Times New Roman" w:eastAsia="宋体" w:cs="Times New Roman"/>
          <w:caps w:val="0"/>
          <w:smallCaps w:val="0"/>
          <w:color w:val="000000" w:themeColor="text1"/>
          <w:spacing w:val="0"/>
          <w:w w:val="100"/>
          <w:kern w:val="0"/>
          <w:sz w:val="28"/>
          <w:szCs w:val="28"/>
          <w:vertAlign w:val="subscript"/>
          <w:lang w:val="en-US" w:eastAsia="zh-CN" w:bidi="en-US"/>
          <w14:textFill>
            <w14:solidFill>
              <w14:schemeClr w14:val="tx1"/>
            </w14:solidFill>
          </w14:textFill>
        </w:rPr>
        <w:t>4</w:t>
      </w:r>
      <w:r>
        <w:rPr>
          <w:rFonts w:hint="default" w:ascii="Times New Roman" w:hAnsi="Times New Roman" w:eastAsia="宋体" w:cs="Times New Roman"/>
          <w:caps w:val="0"/>
          <w:smallCaps w:val="0"/>
          <w:color w:val="000000" w:themeColor="text1"/>
          <w:spacing w:val="0"/>
          <w:w w:val="100"/>
          <w:kern w:val="0"/>
          <w:sz w:val="28"/>
          <w:szCs w:val="28"/>
          <w:vertAlign w:val="superscript"/>
          <w:lang w:val="en-US" w:eastAsia="zh-CN" w:bidi="en-US"/>
          <w14:textFill>
            <w14:solidFill>
              <w14:schemeClr w14:val="tx1"/>
            </w14:solidFill>
          </w14:textFill>
        </w:rPr>
        <w:t>ml</w:t>
      </w: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），其下为第四系冲洪积层（Q</w:t>
      </w:r>
      <w:r>
        <w:rPr>
          <w:rFonts w:hint="default" w:ascii="Times New Roman" w:hAnsi="Times New Roman" w:eastAsia="宋体" w:cs="Times New Roman"/>
          <w:caps w:val="0"/>
          <w:smallCaps w:val="0"/>
          <w:color w:val="000000" w:themeColor="text1"/>
          <w:spacing w:val="0"/>
          <w:w w:val="100"/>
          <w:kern w:val="0"/>
          <w:sz w:val="28"/>
          <w:szCs w:val="28"/>
          <w:vertAlign w:val="subscript"/>
          <w:lang w:val="en-US" w:eastAsia="zh-CN" w:bidi="en-US"/>
          <w14:textFill>
            <w14:solidFill>
              <w14:schemeClr w14:val="tx1"/>
            </w14:solidFill>
          </w14:textFill>
        </w:rPr>
        <w:t>4</w:t>
      </w:r>
      <w:r>
        <w:rPr>
          <w:rFonts w:hint="default" w:ascii="Times New Roman" w:hAnsi="Times New Roman" w:eastAsia="宋体" w:cs="Times New Roman"/>
          <w:caps w:val="0"/>
          <w:smallCaps w:val="0"/>
          <w:color w:val="000000" w:themeColor="text1"/>
          <w:spacing w:val="0"/>
          <w:w w:val="100"/>
          <w:kern w:val="0"/>
          <w:sz w:val="28"/>
          <w:szCs w:val="28"/>
          <w:vertAlign w:val="superscript"/>
          <w:lang w:val="en-US" w:eastAsia="zh-CN" w:bidi="en-US"/>
          <w14:textFill>
            <w14:solidFill>
              <w14:schemeClr w14:val="tx1"/>
            </w14:solidFill>
          </w14:textFill>
        </w:rPr>
        <w:t>al+pl</w:t>
      </w: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）及下伏华力西晚期（γ</w:t>
      </w:r>
      <w:r>
        <w:rPr>
          <w:rFonts w:hint="default" w:ascii="Times New Roman" w:hAnsi="Times New Roman" w:eastAsia="宋体" w:cs="Times New Roman"/>
          <w:caps w:val="0"/>
          <w:smallCaps w:val="0"/>
          <w:color w:val="000000" w:themeColor="text1"/>
          <w:spacing w:val="0"/>
          <w:w w:val="100"/>
          <w:kern w:val="0"/>
          <w:sz w:val="28"/>
          <w:szCs w:val="28"/>
          <w:vertAlign w:val="subscript"/>
          <w:lang w:val="en-US" w:eastAsia="zh-CN" w:bidi="en-US"/>
          <w14:textFill>
            <w14:solidFill>
              <w14:schemeClr w14:val="tx1"/>
            </w14:solidFill>
          </w14:textFill>
        </w:rPr>
        <w:t>4</w:t>
      </w: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）地层。</w:t>
      </w:r>
    </w:p>
    <w:p w14:paraId="301EC6C5">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（1）第四系人工填土层（Q</w:t>
      </w:r>
      <w:r>
        <w:rPr>
          <w:rFonts w:hint="default" w:ascii="Times New Roman" w:hAnsi="Times New Roman" w:eastAsia="宋体" w:cs="Times New Roman"/>
          <w:caps w:val="0"/>
          <w:smallCaps w:val="0"/>
          <w:color w:val="000000" w:themeColor="text1"/>
          <w:spacing w:val="0"/>
          <w:w w:val="100"/>
          <w:kern w:val="0"/>
          <w:sz w:val="28"/>
          <w:szCs w:val="28"/>
          <w:vertAlign w:val="subscript"/>
          <w:lang w:val="en-US" w:eastAsia="zh-CN" w:bidi="en-US"/>
          <w14:textFill>
            <w14:solidFill>
              <w14:schemeClr w14:val="tx1"/>
            </w14:solidFill>
          </w14:textFill>
        </w:rPr>
        <w:t>4</w:t>
      </w:r>
      <w:r>
        <w:rPr>
          <w:rFonts w:hint="default" w:ascii="Times New Roman" w:hAnsi="Times New Roman" w:eastAsia="宋体" w:cs="Times New Roman"/>
          <w:caps w:val="0"/>
          <w:smallCaps w:val="0"/>
          <w:color w:val="000000" w:themeColor="text1"/>
          <w:spacing w:val="0"/>
          <w:w w:val="100"/>
          <w:kern w:val="0"/>
          <w:sz w:val="28"/>
          <w:szCs w:val="28"/>
          <w:vertAlign w:val="superscript"/>
          <w:lang w:val="en-US" w:eastAsia="zh-CN" w:bidi="en-US"/>
          <w14:textFill>
            <w14:solidFill>
              <w14:schemeClr w14:val="tx1"/>
            </w14:solidFill>
          </w14:textFill>
        </w:rPr>
        <w:t>ml</w:t>
      </w: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w:t>
      </w:r>
    </w:p>
    <w:p w14:paraId="4410033E">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①素填土:灰褐色，稍密，稍湿，成分以粉质粘土为主，含少量碎石、角砾，填筑时间大于5年，未经压实处理，土质均匀性差，层顶高程为1194.56~1194.62m，层厚1.20~1.60m，平均厚度1.40m，层位连续，分布于整个建设场地。</w:t>
      </w:r>
    </w:p>
    <w:p w14:paraId="22172B43">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（2）第四系冲洪积层（Q</w:t>
      </w:r>
      <w:r>
        <w:rPr>
          <w:rFonts w:hint="default" w:ascii="Times New Roman" w:hAnsi="Times New Roman" w:eastAsia="宋体" w:cs="Times New Roman"/>
          <w:caps w:val="0"/>
          <w:smallCaps w:val="0"/>
          <w:color w:val="000000" w:themeColor="text1"/>
          <w:spacing w:val="0"/>
          <w:w w:val="100"/>
          <w:kern w:val="0"/>
          <w:sz w:val="28"/>
          <w:szCs w:val="28"/>
          <w:vertAlign w:val="subscript"/>
          <w:lang w:val="en-US" w:eastAsia="zh-CN" w:bidi="en-US"/>
          <w14:textFill>
            <w14:solidFill>
              <w14:schemeClr w14:val="tx1"/>
            </w14:solidFill>
          </w14:textFill>
        </w:rPr>
        <w:t>4</w:t>
      </w:r>
      <w:r>
        <w:rPr>
          <w:rFonts w:hint="default" w:ascii="Times New Roman" w:hAnsi="Times New Roman" w:eastAsia="宋体" w:cs="Times New Roman"/>
          <w:caps w:val="0"/>
          <w:smallCaps w:val="0"/>
          <w:color w:val="000000" w:themeColor="text1"/>
          <w:spacing w:val="0"/>
          <w:w w:val="100"/>
          <w:kern w:val="0"/>
          <w:sz w:val="28"/>
          <w:szCs w:val="28"/>
          <w:vertAlign w:val="superscript"/>
          <w:lang w:val="en-US" w:eastAsia="zh-CN" w:bidi="en-US"/>
          <w14:textFill>
            <w14:solidFill>
              <w14:schemeClr w14:val="tx1"/>
            </w14:solidFill>
          </w14:textFill>
        </w:rPr>
        <w:t>al+pl</w:t>
      </w: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w:t>
      </w:r>
    </w:p>
    <w:p w14:paraId="7F51B5F5">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②粉质粘土:灰色，可塑，韧性中等，干强度中等，切面稍光滑，无摇振反应，层顶埋深1.20~1.60m，层顶高程为1193.02~1193.36m，层厚4.30~4.90m，平均厚度4.60m，层位连续，分布于整个建设场地。</w:t>
      </w:r>
    </w:p>
    <w:p w14:paraId="7D4F667B">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③粗砂：浅黄、灰白色，中密，湿一饱和，成分主要为石英、长石等分选性较好，层顶埋深5.80~6.30m，层顶高程为1188.28~1188.77m，层厚7.90~9.20m，平均厚度8.70m，层位连续，分布于整个建设场地。</w:t>
      </w:r>
    </w:p>
    <w:p w14:paraId="27801C9F">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（3）华力西晚期（γ</w:t>
      </w:r>
      <w:r>
        <w:rPr>
          <w:rFonts w:hint="default" w:ascii="Times New Roman" w:hAnsi="Times New Roman" w:eastAsia="宋体" w:cs="Times New Roman"/>
          <w:caps w:val="0"/>
          <w:smallCaps w:val="0"/>
          <w:color w:val="000000" w:themeColor="text1"/>
          <w:spacing w:val="0"/>
          <w:w w:val="100"/>
          <w:kern w:val="0"/>
          <w:sz w:val="28"/>
          <w:szCs w:val="28"/>
          <w:vertAlign w:val="subscript"/>
          <w:lang w:val="en-US" w:eastAsia="zh-CN" w:bidi="en-US"/>
          <w14:textFill>
            <w14:solidFill>
              <w14:schemeClr w14:val="tx1"/>
            </w14:solidFill>
          </w14:textFill>
        </w:rPr>
        <w:t>4</w:t>
      </w: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w:t>
      </w:r>
    </w:p>
    <w:p w14:paraId="293467A6">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0"/>
          <w:sz w:val="28"/>
          <w:szCs w:val="28"/>
          <w:lang w:val="en-US" w:eastAsia="zh-CN" w:bidi="en-US"/>
          <w14:textFill>
            <w14:solidFill>
              <w14:schemeClr w14:val="tx1"/>
            </w14:solidFill>
          </w14:textFill>
        </w:rPr>
        <w:t>④全风化花岗岩：硬塑，结构构造基本破坏，但尚可辨认，有残余结构强度，风化较均匀，岩芯呈土状，局部含少量风化硬块，层顶埋深14.20~15.10m，层顶高程为1179.52~1180.38m，层厚2.70~5.10m，平均厚度4.08m，层位连续，分布于整个建设场地。</w:t>
      </w:r>
    </w:p>
    <w:p w14:paraId="57DC75D0">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3、场地水文地质条件</w:t>
      </w:r>
    </w:p>
    <w:p w14:paraId="4717A845">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（1）地表水</w:t>
      </w:r>
    </w:p>
    <w:p w14:paraId="3BBDDAFD">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场地周边局部分布少量地表水分布，主要源于周边生活、生产用水，受周边生产、生活及大气降水影响，基坑开挖时可在基坑内设置集水井、坑进行抽排。</w:t>
      </w:r>
    </w:p>
    <w:p w14:paraId="744602F8">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（2）地下水</w:t>
      </w:r>
    </w:p>
    <w:p w14:paraId="795076CA">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场地内地下水类型主要赋存于第四系松散层中的上层滞水及孔隙型潜水。场地内含水层为①素填土（类型为上层滞水），富水性较差，透水性中等；②粉质粘土、④全风化花岗岩为相对隔水层；③粗砂（类型为孔隙型潜水），富水性中等，透水性中等，场地水文地质条件中等复杂。</w:t>
      </w:r>
    </w:p>
    <w:p w14:paraId="60511C76">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勘察时各施工钻孔均见稳定地下水位，场区水位埋深5.6~5.8m，水位高程1188.82~1188.98m。结合周边工程经验及区域水文地质资料综合分析，区域内年地下水变化幅度值1.0m左右，场地历史最高水位约为1190.00m。场地及附近除生活用水外，无其他污染地下水的污染源。</w:t>
      </w:r>
    </w:p>
    <w:p w14:paraId="773F1775">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4、不良地质作用</w:t>
      </w:r>
    </w:p>
    <w:p w14:paraId="789B2708">
      <w:pPr>
        <w:pStyle w:val="55"/>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建设场地及周边地形平坦开阔，对场地及周边进行现场踏勘调查，无滑坡、崩塌、泥石流、地裂缝、地面沉降等地质灾害，不存在对场地整体稳定有影响的冲沟、塌陷等不良地质作用；钻孔深度范围内无暗塘、土洞、浜、沟、穴等发育；场地内无活动断裂通过；不良地质作用不发育。</w:t>
      </w:r>
    </w:p>
    <w:p w14:paraId="39CD5008">
      <w:pPr>
        <w:pStyle w:val="55"/>
        <w:snapToGrid/>
        <w:ind w:firstLine="560" w:firstLineChars="200"/>
        <w:rPr>
          <w:rFonts w:hint="default" w:ascii="Times New Roman" w:hAnsi="Times New Roman" w:cs="Times New Roman"/>
          <w:caps w:val="0"/>
          <w:smallCaps w:val="0"/>
          <w:color w:val="000000" w:themeColor="text1"/>
          <w:spacing w:val="0"/>
          <w:w w:val="100"/>
          <w:szCs w:val="28"/>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综上所属，</w:t>
      </w:r>
      <w:r>
        <w:rPr>
          <w:rFonts w:hint="default" w:ascii="Times New Roman" w:hAnsi="Times New Roman" w:cs="Times New Roman"/>
          <w:caps w:val="0"/>
          <w:smallCaps w:val="0"/>
          <w:color w:val="000000" w:themeColor="text1"/>
          <w:spacing w:val="0"/>
          <w:w w:val="100"/>
          <w14:textFill>
            <w14:solidFill>
              <w14:schemeClr w14:val="tx1"/>
            </w14:solidFill>
          </w14:textFill>
        </w:rPr>
        <w:t>建设项目地形较平缓开阔，岩土体工程地质条件良好，地势较为平坦，地质环境复杂程度为中等，场地比较稳定，表面未见滑坡、断裂、泥石流、塌陷、下沉等不良地质现象，工程地质条件可以满足本项目的建设要求。</w:t>
      </w:r>
      <w:bookmarkStart w:id="83" w:name="_Hlk87820004"/>
    </w:p>
    <w:bookmarkEnd w:id="83"/>
    <w:p w14:paraId="14840E70">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color w:val="000000" w:themeColor="text1"/>
          <w:spacing w:val="0"/>
          <w:w w:val="100"/>
          <w14:textFill>
            <w14:solidFill>
              <w14:schemeClr w14:val="tx1"/>
            </w14:solidFill>
          </w14:textFill>
        </w:rPr>
      </w:pPr>
      <w:bookmarkStart w:id="84" w:name="_Toc17518"/>
      <w:r>
        <w:rPr>
          <w:rFonts w:hint="default" w:ascii="Times New Roman" w:hAnsi="Times New Roman" w:eastAsia="黑体" w:cs="Times New Roman"/>
          <w:b w:val="0"/>
          <w:bCs w:val="0"/>
          <w:caps w:val="0"/>
          <w:smallCaps w:val="0"/>
          <w:color w:val="000000" w:themeColor="text1"/>
          <w:spacing w:val="0"/>
          <w:w w:val="100"/>
          <w14:textFill>
            <w14:solidFill>
              <w14:schemeClr w14:val="tx1"/>
            </w14:solidFill>
          </w14:textFill>
        </w:rPr>
        <w:t>2.</w:t>
      </w:r>
      <w:r>
        <w:rPr>
          <w:rFonts w:hint="default" w:ascii="Times New Roman" w:hAnsi="Times New Roman" w:eastAsia="黑体" w:cs="Times New Roman"/>
          <w:b w:val="0"/>
          <w:bCs w:val="0"/>
          <w:caps w:val="0"/>
          <w:smallCaps w:val="0"/>
          <w:color w:val="000000" w:themeColor="text1"/>
          <w:spacing w:val="0"/>
          <w:w w:val="100"/>
          <w:lang w:val="en-US" w:eastAsia="zh-CN"/>
          <w14:textFill>
            <w14:solidFill>
              <w14:schemeClr w14:val="tx1"/>
            </w14:solidFill>
          </w14:textFill>
        </w:rPr>
        <w:t>3</w:t>
      </w:r>
      <w:r>
        <w:rPr>
          <w:rFonts w:hint="default" w:ascii="Times New Roman" w:hAnsi="Times New Roman" w:eastAsia="黑体" w:cs="Times New Roman"/>
          <w:b w:val="0"/>
          <w:bCs w:val="0"/>
          <w:caps w:val="0"/>
          <w:smallCaps w:val="0"/>
          <w:color w:val="000000" w:themeColor="text1"/>
          <w:spacing w:val="0"/>
          <w:w w:val="100"/>
          <w14:textFill>
            <w14:solidFill>
              <w14:schemeClr w14:val="tx1"/>
            </w14:solidFill>
          </w14:textFill>
        </w:rPr>
        <w:t>.3抗震设防烈度及分组</w:t>
      </w:r>
      <w:bookmarkEnd w:id="84"/>
    </w:p>
    <w:bookmarkEnd w:id="69"/>
    <w:bookmarkEnd w:id="70"/>
    <w:bookmarkEnd w:id="71"/>
    <w:bookmarkEnd w:id="72"/>
    <w:bookmarkEnd w:id="76"/>
    <w:bookmarkEnd w:id="77"/>
    <w:bookmarkEnd w:id="78"/>
    <w:bookmarkEnd w:id="79"/>
    <w:bookmarkEnd w:id="80"/>
    <w:bookmarkEnd w:id="81"/>
    <w:bookmarkEnd w:id="82"/>
    <w:p w14:paraId="292A95C3">
      <w:pPr>
        <w:snapToGrid/>
        <w:ind w:firstLine="560"/>
        <w:rPr>
          <w:rFonts w:hint="default" w:ascii="Times New Roman" w:hAnsi="Times New Roman" w:cs="Times New Roman"/>
          <w:caps w:val="0"/>
          <w:smallCaps w:val="0"/>
          <w:spacing w:val="0"/>
          <w:w w:val="100"/>
          <w:szCs w:val="28"/>
        </w:rPr>
      </w:pPr>
      <w:bookmarkStart w:id="85" w:name="_Toc195176709"/>
      <w:r>
        <w:rPr>
          <w:rFonts w:hint="default" w:ascii="Times New Roman" w:hAnsi="Times New Roman" w:cs="Times New Roman"/>
          <w:caps w:val="0"/>
          <w:smallCaps w:val="0"/>
          <w:color w:val="000000" w:themeColor="text1"/>
          <w:spacing w:val="0"/>
          <w:w w:val="100"/>
          <w:szCs w:val="28"/>
          <w14:textFill>
            <w14:solidFill>
              <w14:schemeClr w14:val="tx1"/>
            </w14:solidFill>
          </w14:textFill>
        </w:rPr>
        <w:t>根据《中国地震动参数区划图》（GB18306-2015）以及《建筑抗震设计标准》（GB/T 50011-2010[2024年版]）附</w:t>
      </w:r>
      <w:r>
        <w:rPr>
          <w:rFonts w:hint="default" w:ascii="Times New Roman" w:hAnsi="Times New Roman" w:cs="Times New Roman"/>
          <w:caps w:val="0"/>
          <w:smallCaps w:val="0"/>
          <w:spacing w:val="0"/>
          <w:w w:val="100"/>
          <w:szCs w:val="28"/>
        </w:rPr>
        <w:t>录A.0.21划分，建设场地所在地区抗震设防烈度为8度，设计基本地震动峰值加速度值为0.30g，设计地震分组为第二组。本项目建筑物设计按8度设防。</w:t>
      </w:r>
    </w:p>
    <w:p w14:paraId="61C020B8">
      <w:pPr>
        <w:pStyle w:val="5"/>
        <w:snapToGrid/>
        <w:rPr>
          <w:rFonts w:hint="default" w:ascii="Times New Roman" w:hAnsi="Times New Roman" w:eastAsia="黑体" w:cs="Times New Roman"/>
          <w:b w:val="0"/>
          <w:bCs w:val="0"/>
          <w:caps w:val="0"/>
          <w:smallCaps w:val="0"/>
          <w:spacing w:val="0"/>
          <w:w w:val="100"/>
        </w:rPr>
      </w:pPr>
      <w:bookmarkStart w:id="86" w:name="_Toc404"/>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4</w:t>
      </w:r>
      <w:r>
        <w:rPr>
          <w:rFonts w:hint="default" w:ascii="Times New Roman" w:hAnsi="Times New Roman" w:eastAsia="黑体" w:cs="Times New Roman"/>
          <w:b w:val="0"/>
          <w:bCs w:val="0"/>
          <w:caps w:val="0"/>
          <w:smallCaps w:val="0"/>
          <w:spacing w:val="0"/>
          <w:w w:val="100"/>
        </w:rPr>
        <w:t>建设项目周边情况</w:t>
      </w:r>
      <w:bookmarkEnd w:id="85"/>
      <w:bookmarkEnd w:id="86"/>
    </w:p>
    <w:p w14:paraId="22B42C9B">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87" w:name="_Toc28274"/>
      <w:bookmarkStart w:id="88" w:name="_Toc195176710"/>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4</w:t>
      </w:r>
      <w:r>
        <w:rPr>
          <w:rFonts w:hint="default" w:ascii="Times New Roman" w:hAnsi="Times New Roman" w:eastAsia="黑体" w:cs="Times New Roman"/>
          <w:b w:val="0"/>
          <w:bCs w:val="0"/>
          <w:caps w:val="0"/>
          <w:smallCaps w:val="0"/>
          <w:spacing w:val="0"/>
          <w:w w:val="100"/>
        </w:rPr>
        <w:t>.1地理位置</w:t>
      </w:r>
      <w:bookmarkEnd w:id="87"/>
      <w:bookmarkEnd w:id="88"/>
    </w:p>
    <w:p w14:paraId="226AD7DB">
      <w:pPr>
        <w:pageBreakBefore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aps w:val="0"/>
          <w:smallCaps w:val="0"/>
          <w:spacing w:val="0"/>
          <w:w w:val="100"/>
          <w:kern w:val="28"/>
          <w:sz w:val="28"/>
          <w:szCs w:val="28"/>
          <w:lang w:val="zh-CN" w:eastAsia="zh-CN"/>
        </w:rPr>
      </w:pPr>
      <w:bookmarkStart w:id="89" w:name="_Toc195176711"/>
      <w:r>
        <w:rPr>
          <w:rFonts w:hint="default" w:ascii="Times New Roman" w:hAnsi="Times New Roman" w:eastAsia="宋体" w:cs="Times New Roman"/>
          <w:caps w:val="0"/>
          <w:smallCaps w:val="0"/>
          <w:spacing w:val="0"/>
          <w:w w:val="100"/>
          <w:kern w:val="28"/>
          <w:sz w:val="28"/>
          <w:szCs w:val="28"/>
          <w:lang w:val="en-US" w:eastAsia="zh-CN"/>
        </w:rPr>
        <w:t>勐海县位于云南省西南部、西双版纳傣族自治州西部，地处东经99°56’~100°41’、北纬21°28’~22°28’之间。勐海县辖6个镇、5个乡</w:t>
      </w:r>
      <w:r>
        <w:rPr>
          <w:rFonts w:hint="default" w:ascii="Times New Roman" w:hAnsi="Times New Roman" w:cs="Times New Roman"/>
          <w:caps w:val="0"/>
          <w:smallCaps w:val="0"/>
          <w:spacing w:val="0"/>
          <w:w w:val="100"/>
          <w:kern w:val="28"/>
          <w:sz w:val="28"/>
          <w:szCs w:val="28"/>
          <w:lang w:val="en-US" w:eastAsia="zh-CN"/>
        </w:rPr>
        <w:t>（</w:t>
      </w:r>
      <w:r>
        <w:rPr>
          <w:rFonts w:hint="default" w:ascii="Times New Roman" w:hAnsi="Times New Roman" w:eastAsia="宋体" w:cs="Times New Roman"/>
          <w:caps w:val="0"/>
          <w:smallCaps w:val="0"/>
          <w:spacing w:val="0"/>
          <w:w w:val="100"/>
          <w:kern w:val="28"/>
          <w:sz w:val="28"/>
          <w:szCs w:val="28"/>
          <w:lang w:val="en-US" w:eastAsia="zh-CN"/>
        </w:rPr>
        <w:t>其中3个民族乡</w:t>
      </w:r>
      <w:r>
        <w:rPr>
          <w:rFonts w:hint="default" w:ascii="Times New Roman" w:hAnsi="Times New Roman" w:cs="Times New Roman"/>
          <w:caps w:val="0"/>
          <w:smallCaps w:val="0"/>
          <w:spacing w:val="0"/>
          <w:w w:val="100"/>
          <w:kern w:val="28"/>
          <w:sz w:val="28"/>
          <w:szCs w:val="28"/>
          <w:lang w:val="en-US" w:eastAsia="zh-CN"/>
        </w:rPr>
        <w:t>）：</w:t>
      </w:r>
      <w:r>
        <w:rPr>
          <w:rFonts w:hint="default" w:ascii="Times New Roman" w:hAnsi="Times New Roman" w:eastAsia="宋体" w:cs="Times New Roman"/>
          <w:caps w:val="0"/>
          <w:smallCaps w:val="0"/>
          <w:spacing w:val="0"/>
          <w:w w:val="100"/>
          <w:kern w:val="28"/>
          <w:sz w:val="28"/>
          <w:szCs w:val="28"/>
          <w:lang w:val="en-US" w:eastAsia="zh-CN"/>
        </w:rPr>
        <w:t>勐海镇、打洛镇、勐混镇、勐遮镇、勐满镇、勐阿镇、勐宋乡、勐往乡、格朗和哈尼族乡、布朗山布朗族乡、西定哈尼族布朗族乡。东接景洪市，东北接思茅市，西北与澜沧县毗邻，西和南与缅甸接。国境线长。东西最长横距77</w:t>
      </w:r>
      <w:r>
        <w:rPr>
          <w:rFonts w:hint="default" w:ascii="Times New Roman" w:hAnsi="Times New Roman" w:cs="Times New Roman"/>
          <w:caps w:val="0"/>
          <w:smallCaps w:val="0"/>
          <w:spacing w:val="0"/>
          <w:w w:val="100"/>
          <w:kern w:val="28"/>
          <w:sz w:val="28"/>
          <w:szCs w:val="28"/>
          <w:lang w:val="en-US" w:eastAsia="zh-CN"/>
        </w:rPr>
        <w:t>km，</w:t>
      </w:r>
      <w:r>
        <w:rPr>
          <w:rFonts w:hint="default" w:ascii="Times New Roman" w:hAnsi="Times New Roman" w:eastAsia="宋体" w:cs="Times New Roman"/>
          <w:caps w:val="0"/>
          <w:smallCaps w:val="0"/>
          <w:spacing w:val="0"/>
          <w:w w:val="100"/>
          <w:kern w:val="28"/>
          <w:sz w:val="28"/>
          <w:szCs w:val="28"/>
          <w:lang w:val="en-US" w:eastAsia="zh-CN"/>
        </w:rPr>
        <w:t>南北最大纵距115</w:t>
      </w:r>
      <w:r>
        <w:rPr>
          <w:rFonts w:hint="default" w:ascii="Times New Roman" w:hAnsi="Times New Roman" w:cs="Times New Roman"/>
          <w:caps w:val="0"/>
          <w:smallCaps w:val="0"/>
          <w:spacing w:val="0"/>
          <w:w w:val="100"/>
          <w:kern w:val="28"/>
          <w:sz w:val="28"/>
          <w:szCs w:val="28"/>
          <w:lang w:val="en-US" w:eastAsia="zh-CN"/>
        </w:rPr>
        <w:t>km，</w:t>
      </w:r>
      <w:r>
        <w:rPr>
          <w:rFonts w:hint="default" w:ascii="Times New Roman" w:hAnsi="Times New Roman" w:eastAsia="宋体" w:cs="Times New Roman"/>
          <w:caps w:val="0"/>
          <w:smallCaps w:val="0"/>
          <w:spacing w:val="0"/>
          <w:w w:val="100"/>
          <w:kern w:val="28"/>
          <w:sz w:val="28"/>
          <w:szCs w:val="28"/>
          <w:lang w:val="en-US" w:eastAsia="zh-CN"/>
        </w:rPr>
        <w:t>总面积5511</w:t>
      </w:r>
      <w:r>
        <w:rPr>
          <w:rFonts w:hint="default" w:ascii="Times New Roman" w:hAnsi="Times New Roman" w:cs="Times New Roman"/>
          <w:caps w:val="0"/>
          <w:smallCaps w:val="0"/>
          <w:spacing w:val="0"/>
          <w:w w:val="100"/>
          <w:kern w:val="28"/>
          <w:sz w:val="28"/>
          <w:szCs w:val="28"/>
          <w:lang w:val="en-US" w:eastAsia="zh-CN"/>
        </w:rPr>
        <w:t>km</w:t>
      </w:r>
      <w:r>
        <w:rPr>
          <w:rFonts w:hint="default" w:ascii="Times New Roman" w:hAnsi="Times New Roman" w:cs="Times New Roman"/>
          <w:caps w:val="0"/>
          <w:smallCaps w:val="0"/>
          <w:spacing w:val="0"/>
          <w:w w:val="100"/>
          <w:kern w:val="28"/>
          <w:sz w:val="28"/>
          <w:szCs w:val="28"/>
          <w:vertAlign w:val="superscript"/>
          <w:lang w:val="en-US" w:eastAsia="zh-CN"/>
        </w:rPr>
        <w:t>2</w:t>
      </w:r>
      <w:r>
        <w:rPr>
          <w:rFonts w:hint="default" w:ascii="Times New Roman" w:hAnsi="Times New Roman" w:cs="Times New Roman"/>
          <w:caps w:val="0"/>
          <w:smallCaps w:val="0"/>
          <w:spacing w:val="0"/>
          <w:w w:val="100"/>
          <w:kern w:val="28"/>
          <w:sz w:val="28"/>
          <w:szCs w:val="28"/>
          <w:lang w:val="en-US" w:eastAsia="zh-CN"/>
        </w:rPr>
        <w:t>，</w:t>
      </w:r>
      <w:r>
        <w:rPr>
          <w:rFonts w:hint="default" w:ascii="Times New Roman" w:hAnsi="Times New Roman" w:eastAsia="宋体" w:cs="Times New Roman"/>
          <w:caps w:val="0"/>
          <w:smallCaps w:val="0"/>
          <w:spacing w:val="0"/>
          <w:w w:val="100"/>
          <w:kern w:val="28"/>
          <w:sz w:val="28"/>
          <w:szCs w:val="28"/>
          <w:lang w:val="en-US" w:eastAsia="zh-CN"/>
        </w:rPr>
        <w:t>其中山区面积占93.45%</w:t>
      </w:r>
      <w:r>
        <w:rPr>
          <w:rFonts w:hint="default" w:ascii="Times New Roman" w:hAnsi="Times New Roman" w:cs="Times New Roman"/>
          <w:caps w:val="0"/>
          <w:smallCaps w:val="0"/>
          <w:spacing w:val="0"/>
          <w:w w:val="100"/>
          <w:kern w:val="28"/>
          <w:sz w:val="28"/>
          <w:szCs w:val="28"/>
          <w:lang w:val="en-US" w:eastAsia="zh-CN"/>
        </w:rPr>
        <w:t>，</w:t>
      </w:r>
      <w:r>
        <w:rPr>
          <w:rFonts w:hint="default" w:ascii="Times New Roman" w:hAnsi="Times New Roman" w:eastAsia="宋体" w:cs="Times New Roman"/>
          <w:caps w:val="0"/>
          <w:smallCaps w:val="0"/>
          <w:spacing w:val="0"/>
          <w:w w:val="100"/>
          <w:kern w:val="28"/>
          <w:sz w:val="28"/>
          <w:szCs w:val="28"/>
          <w:lang w:val="en-US" w:eastAsia="zh-CN"/>
        </w:rPr>
        <w:t>坝区面积占6.55%。县城勐海镇距省会昆明776</w:t>
      </w:r>
      <w:r>
        <w:rPr>
          <w:rFonts w:hint="default" w:ascii="Times New Roman" w:hAnsi="Times New Roman" w:cs="Times New Roman"/>
          <w:caps w:val="0"/>
          <w:smallCaps w:val="0"/>
          <w:spacing w:val="0"/>
          <w:w w:val="100"/>
          <w:kern w:val="28"/>
          <w:sz w:val="28"/>
          <w:szCs w:val="28"/>
          <w:lang w:val="en-US" w:eastAsia="zh-CN"/>
        </w:rPr>
        <w:t>km</w:t>
      </w:r>
      <w:r>
        <w:rPr>
          <w:rFonts w:hint="default" w:ascii="Times New Roman" w:hAnsi="Times New Roman" w:eastAsia="宋体" w:cs="Times New Roman"/>
          <w:caps w:val="0"/>
          <w:smallCaps w:val="0"/>
          <w:spacing w:val="0"/>
          <w:w w:val="100"/>
          <w:kern w:val="28"/>
          <w:sz w:val="28"/>
          <w:szCs w:val="28"/>
          <w:lang w:val="en-US" w:eastAsia="zh-CN"/>
        </w:rPr>
        <w:t>，距州府景洪40</w:t>
      </w:r>
      <w:r>
        <w:rPr>
          <w:rFonts w:hint="default" w:ascii="Times New Roman" w:hAnsi="Times New Roman" w:cs="Times New Roman"/>
          <w:caps w:val="0"/>
          <w:smallCaps w:val="0"/>
          <w:spacing w:val="0"/>
          <w:w w:val="100"/>
          <w:kern w:val="28"/>
          <w:sz w:val="28"/>
          <w:szCs w:val="28"/>
          <w:lang w:val="en-US" w:eastAsia="zh-CN"/>
        </w:rPr>
        <w:t>km</w:t>
      </w:r>
      <w:r>
        <w:rPr>
          <w:rFonts w:hint="default" w:ascii="Times New Roman" w:hAnsi="Times New Roman" w:eastAsia="宋体" w:cs="Times New Roman"/>
          <w:caps w:val="0"/>
          <w:smallCaps w:val="0"/>
          <w:spacing w:val="0"/>
          <w:w w:val="100"/>
          <w:kern w:val="28"/>
          <w:sz w:val="28"/>
          <w:szCs w:val="28"/>
          <w:lang w:val="en-US" w:eastAsia="zh-CN"/>
        </w:rPr>
        <w:t>。</w:t>
      </w:r>
    </w:p>
    <w:p w14:paraId="654CEAB2">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本项目位于云南省西双版纳傣族自治州勐海县勐遮镇曼扫村委会30公里处，地理位置优越，交通便利。</w:t>
      </w:r>
    </w:p>
    <w:p w14:paraId="437655A2">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90" w:name="_Toc8727"/>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4</w:t>
      </w:r>
      <w:r>
        <w:rPr>
          <w:rFonts w:hint="default" w:ascii="Times New Roman" w:hAnsi="Times New Roman" w:eastAsia="黑体" w:cs="Times New Roman"/>
          <w:b w:val="0"/>
          <w:bCs w:val="0"/>
          <w:caps w:val="0"/>
          <w:smallCaps w:val="0"/>
          <w:spacing w:val="0"/>
          <w:w w:val="100"/>
        </w:rPr>
        <w:t>.2周边环境</w:t>
      </w:r>
      <w:bookmarkEnd w:id="90"/>
      <w:bookmarkStart w:id="91" w:name="_Hlk15395371"/>
    </w:p>
    <w:bookmarkEnd w:id="91"/>
    <w:p w14:paraId="2DBFF70D">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该项目位于云南省西双版纳傣族自治州勐海县勐遮镇曼扫村委会30公里处，加油站周边环境如下：</w:t>
      </w:r>
    </w:p>
    <w:p w14:paraId="38758756">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加油站西南面为G214国道（勐海至勐满段），隔G214国道（勐海至勐满段）为二层式综合性商铺，无明火散发。</w:t>
      </w:r>
    </w:p>
    <w:p w14:paraId="0FD5D160">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加油站的北面为农田，站区东面至北面有一组杆高9m的架空电力线（有绝缘层）及一组杆高9m的架空通信线（有绝缘层），上述线路跨越站区站房，但未跨越加油作业区。</w:t>
      </w:r>
    </w:p>
    <w:p w14:paraId="18CE0F44">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加油站西面为二层式民房，靠近G214国道（勐海至勐满段）民房一层为摩托车修理店，民房和加油站中间有杆高9m的架空电力线（位于加油站围墙外，有绝缘层），未跨越加油作业区。</w:t>
      </w:r>
    </w:p>
    <w:p w14:paraId="342C70CE">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加油站东面及东南面为农田和一层式民房，再向东面为一条乡村支路。</w:t>
      </w:r>
    </w:p>
    <w:p w14:paraId="27F06528">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加油站南面为G214国道及沿街二层式综合性商铺（无明火散发）。</w:t>
      </w:r>
    </w:p>
    <w:p w14:paraId="4C656C99">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该加油站站区周边50m内没有工厂、矿山、湖泊和其他工业设施等设施。</w:t>
      </w:r>
    </w:p>
    <w:p w14:paraId="6A0404D8">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本项目周围无生态保护区、水源保护地和森林保护区，并远离居民区、商业中心、公园等人口密集区域。</w:t>
      </w:r>
    </w:p>
    <w:p w14:paraId="373AB573">
      <w:pPr>
        <w:snapToGrid/>
        <w:ind w:firstLine="560" w:firstLineChars="20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本项目100m内无医院、影剧院、体育馆等重要公共设施；无军事禁区，军事管理区；无车站、码头、铁路、水路交通干线、地铁等交通设施。</w:t>
      </w:r>
    </w:p>
    <w:p w14:paraId="14B03F7B">
      <w:pPr>
        <w:pStyle w:val="5"/>
        <w:snapToGrid/>
        <w:rPr>
          <w:rFonts w:hint="default" w:ascii="Times New Roman" w:hAnsi="Times New Roman" w:eastAsia="黑体" w:cs="Times New Roman"/>
          <w:b w:val="0"/>
          <w:bCs w:val="0"/>
          <w:caps w:val="0"/>
          <w:smallCaps w:val="0"/>
          <w:spacing w:val="0"/>
          <w:w w:val="100"/>
        </w:rPr>
      </w:pPr>
      <w:bookmarkStart w:id="92" w:name="_Toc195176713"/>
      <w:bookmarkStart w:id="93" w:name="_Toc8922"/>
      <w:bookmarkStart w:id="94" w:name="_Toc188863883"/>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5</w:t>
      </w:r>
      <w:r>
        <w:rPr>
          <w:rFonts w:hint="default" w:ascii="Times New Roman" w:hAnsi="Times New Roman" w:eastAsia="黑体" w:cs="Times New Roman"/>
          <w:b w:val="0"/>
          <w:bCs w:val="0"/>
          <w:caps w:val="0"/>
          <w:smallCaps w:val="0"/>
          <w:spacing w:val="0"/>
          <w:w w:val="100"/>
        </w:rPr>
        <w:t>总平面布置</w:t>
      </w:r>
      <w:bookmarkEnd w:id="92"/>
      <w:bookmarkEnd w:id="93"/>
    </w:p>
    <w:bookmarkEnd w:id="89"/>
    <w:bookmarkEnd w:id="94"/>
    <w:p w14:paraId="487FFE1E">
      <w:pPr>
        <w:snapToGrid/>
        <w:ind w:firstLine="560" w:firstLineChars="200"/>
        <w:rPr>
          <w:rFonts w:hint="default" w:ascii="Times New Roman" w:hAnsi="Times New Roman" w:cs="Times New Roman"/>
          <w:caps w:val="0"/>
          <w:smallCaps w:val="0"/>
          <w:spacing w:val="0"/>
          <w:w w:val="100"/>
          <w:sz w:val="28"/>
          <w:szCs w:val="28"/>
        </w:rPr>
      </w:pPr>
      <w:bookmarkStart w:id="95" w:name="_Toc195176714"/>
      <w:r>
        <w:rPr>
          <w:rFonts w:hint="default" w:ascii="Times New Roman" w:hAnsi="Times New Roman" w:cs="Times New Roman"/>
          <w:caps w:val="0"/>
          <w:smallCaps w:val="0"/>
          <w:spacing w:val="0"/>
          <w:w w:val="100"/>
          <w:kern w:val="0"/>
          <w:sz w:val="28"/>
          <w:szCs w:val="28"/>
        </w:rPr>
        <w:t>加油站整个平面分为三个区，加油站中部为加油区、油罐区，北部为站房，东南部为辅房。加油站西南面和东南面面向公路设置出、入口，加油站除进出口敞开外其余几面均设有高度不低于2.2m的实体围墙与外界相隔。加油站的爆炸危险区域未超出站区和可用地界。</w:t>
      </w:r>
    </w:p>
    <w:p w14:paraId="2C0785BD">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cs="Times New Roman"/>
          <w:caps w:val="0"/>
          <w:smallCaps w:val="0"/>
          <w:spacing w:val="0"/>
          <w:w w:val="100"/>
          <w:kern w:val="0"/>
          <w:sz w:val="28"/>
          <w:szCs w:val="28"/>
          <w:lang w:bidi="en-US"/>
        </w:rPr>
      </w:pPr>
      <w:bookmarkStart w:id="96" w:name="_Toc25855"/>
      <w:bookmarkStart w:id="97" w:name="_Toc8552"/>
      <w:bookmarkStart w:id="98" w:name="_Toc6610"/>
      <w:bookmarkStart w:id="99" w:name="_Toc27104"/>
      <w:bookmarkStart w:id="100" w:name="_Toc3441"/>
      <w:bookmarkStart w:id="101" w:name="_Toc24280"/>
      <w:r>
        <w:rPr>
          <w:rFonts w:hint="default" w:ascii="Times New Roman" w:hAnsi="Times New Roman" w:cs="Times New Roman"/>
          <w:caps w:val="0"/>
          <w:smallCaps w:val="0"/>
          <w:spacing w:val="0"/>
          <w:w w:val="100"/>
          <w:kern w:val="0"/>
          <w:sz w:val="28"/>
          <w:szCs w:val="28"/>
          <w:lang w:eastAsia="zh-CN" w:bidi="en-US"/>
        </w:rPr>
        <w:t>（</w:t>
      </w:r>
      <w:r>
        <w:rPr>
          <w:rFonts w:hint="default" w:ascii="Times New Roman" w:hAnsi="Times New Roman" w:cs="Times New Roman"/>
          <w:caps w:val="0"/>
          <w:smallCaps w:val="0"/>
          <w:spacing w:val="0"/>
          <w:w w:val="100"/>
          <w:kern w:val="0"/>
          <w:sz w:val="28"/>
          <w:szCs w:val="28"/>
          <w:lang w:bidi="en-US"/>
        </w:rPr>
        <w:t>1）油罐区平面布置</w:t>
      </w:r>
      <w:bookmarkEnd w:id="96"/>
      <w:bookmarkEnd w:id="97"/>
      <w:bookmarkEnd w:id="98"/>
      <w:bookmarkEnd w:id="99"/>
      <w:bookmarkEnd w:id="100"/>
      <w:bookmarkEnd w:id="101"/>
    </w:p>
    <w:p w14:paraId="6EE3FD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spacing w:val="0"/>
          <w:w w:val="100"/>
          <w:kern w:val="0"/>
          <w:sz w:val="28"/>
          <w:szCs w:val="28"/>
          <w:lang w:bidi="en-US"/>
        </w:rPr>
        <w:t>油罐区设置在站区中部。油罐区设置埋地双层卧式储油罐4台，其中：2台50m³0#柴油罐、1台50m³92#汽油罐、1台50m³95#汽油罐，油罐集中布置于行车道下防渗砼承重罐池内。罐池设置三个隔池，2台汽油罐位于一个隔池，2台柴油罐分别设置在另外两个隔池内，每个油罐单独设置人孔操作井。汽油罐和柴油罐的通气管分开设置，通气管集中沿罩棚南部立柱布置，通气管口高出罩棚顶面2.0m，通气管公称直径DN50，柴油罐的通气管管口设阻火器，汽油罐的通气管管口装设阻火器及机械呼吸阀，呼吸阀的工作正压为2kPa-3kPa，工作负压为1.5kPa-2kPa。在正常情况下带机械呼吸阀的通气管闸阀常开，而阻火器的通气管的闸阀常闭，只有在维护或检修机械呼吸阀时才能开启阻火器的通气管。油罐内卸油管线上设置防溢流阀，当油料达到油罐容量95%时，防溢流阀自动关闭，自动停止油料继续进罐。3个隔池分别设置DN100的检测立管。</w:t>
      </w:r>
    </w:p>
    <w:p w14:paraId="3B7AEA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spacing w:val="0"/>
          <w:w w:val="100"/>
          <w:kern w:val="0"/>
          <w:sz w:val="28"/>
          <w:szCs w:val="28"/>
          <w:lang w:bidi="en-US"/>
        </w:rPr>
        <w:t>在油罐区的西南面，设密闭卸油点，每个油罐各自设置卸油接口，接口上有明显的油品标识，汽油设阳接头，柴油设阴接头，接头上设置密封盖。</w:t>
      </w:r>
    </w:p>
    <w:p w14:paraId="757FCF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spacing w:val="0"/>
          <w:w w:val="100"/>
          <w:kern w:val="0"/>
          <w:sz w:val="28"/>
          <w:szCs w:val="28"/>
          <w:lang w:bidi="en-US"/>
        </w:rPr>
        <w:t>在油罐区的西侧设密闭卸油点、静电释放器、2m</w:t>
      </w:r>
      <w:r>
        <w:rPr>
          <w:rFonts w:hint="default" w:ascii="Times New Roman" w:hAnsi="Times New Roman" w:cs="Times New Roman"/>
          <w:caps w:val="0"/>
          <w:smallCaps w:val="0"/>
          <w:spacing w:val="0"/>
          <w:w w:val="100"/>
          <w:kern w:val="0"/>
          <w:sz w:val="28"/>
          <w:szCs w:val="28"/>
          <w:vertAlign w:val="superscript"/>
          <w:lang w:bidi="en-US"/>
        </w:rPr>
        <w:t>3</w:t>
      </w:r>
      <w:r>
        <w:rPr>
          <w:rFonts w:hint="default" w:ascii="Times New Roman" w:hAnsi="Times New Roman" w:cs="Times New Roman"/>
          <w:caps w:val="0"/>
          <w:smallCaps w:val="0"/>
          <w:spacing w:val="0"/>
          <w:w w:val="100"/>
          <w:kern w:val="0"/>
          <w:sz w:val="28"/>
          <w:szCs w:val="28"/>
          <w:lang w:bidi="en-US"/>
        </w:rPr>
        <w:t>消防沙池和消防器材箱，卸油区长12m，宽4m，卸油区为平坡设计。</w:t>
      </w:r>
    </w:p>
    <w:p w14:paraId="4345908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bookmarkStart w:id="102" w:name="_Toc2999"/>
      <w:bookmarkStart w:id="103" w:name="_Toc21782"/>
      <w:bookmarkStart w:id="104" w:name="_Toc18331"/>
      <w:bookmarkStart w:id="105" w:name="_Toc25593"/>
      <w:bookmarkStart w:id="106" w:name="_Toc17912"/>
      <w:bookmarkStart w:id="107" w:name="_Toc24811"/>
      <w:r>
        <w:rPr>
          <w:rFonts w:hint="default" w:ascii="Times New Roman" w:hAnsi="Times New Roman" w:cs="Times New Roman"/>
          <w:caps w:val="0"/>
          <w:smallCaps w:val="0"/>
          <w:spacing w:val="0"/>
          <w:w w:val="100"/>
          <w:kern w:val="0"/>
          <w:sz w:val="28"/>
          <w:szCs w:val="28"/>
          <w:lang w:bidi="en-US"/>
        </w:rPr>
        <w:t>（2）加油区平面布置</w:t>
      </w:r>
      <w:bookmarkEnd w:id="102"/>
      <w:bookmarkEnd w:id="103"/>
      <w:bookmarkEnd w:id="104"/>
      <w:bookmarkEnd w:id="105"/>
      <w:bookmarkEnd w:id="106"/>
      <w:bookmarkEnd w:id="107"/>
    </w:p>
    <w:p w14:paraId="5EC604F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bookmarkStart w:id="108" w:name="_Toc30496"/>
      <w:bookmarkStart w:id="109" w:name="_Toc25050"/>
      <w:bookmarkStart w:id="110" w:name="_Toc21823"/>
      <w:bookmarkStart w:id="111" w:name="_Toc19003"/>
      <w:bookmarkStart w:id="112" w:name="_Toc16042"/>
      <w:bookmarkStart w:id="113" w:name="_Toc3310"/>
      <w:r>
        <w:rPr>
          <w:rFonts w:hint="default" w:ascii="Times New Roman" w:hAnsi="Times New Roman" w:cs="Times New Roman"/>
          <w:caps w:val="0"/>
          <w:smallCaps w:val="0"/>
          <w:spacing w:val="0"/>
          <w:w w:val="100"/>
          <w:kern w:val="0"/>
          <w:sz w:val="28"/>
          <w:szCs w:val="28"/>
          <w:lang w:bidi="en-US"/>
        </w:rPr>
        <w:t>加油区设置4台双枪税控加油机，4个加油岛，每个加油岛长4.0m、宽1.3m，高0.15m。4台加油机分别布置于4个加油岛上。加油区设置两条单车道和一条双车道，外侧单车道宽11.3m（规范要求4m），内侧单车道宽5.3m（规范要求4m），中间双车道宽10.7m（规范要求6m）。</w:t>
      </w:r>
    </w:p>
    <w:p w14:paraId="6DB9A9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spacing w:val="0"/>
          <w:w w:val="100"/>
          <w:kern w:val="0"/>
          <w:sz w:val="28"/>
          <w:szCs w:val="28"/>
          <w:lang w:bidi="en-US"/>
        </w:rPr>
        <w:t>罩棚利旧，棚体采用钢网架结构，网架采用螺栓球形式，罩棚支柱为两排四柱式钢筋混凝土支柱。罩棚内行车地面至罩棚钢网架有效高度为7.5m（规范要求不小于4.5m），罩棚支柱边缘距岛端部距离为0.7m（规范要求不小于0.6m）。</w:t>
      </w:r>
    </w:p>
    <w:p w14:paraId="06A1284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spacing w:val="0"/>
          <w:w w:val="100"/>
          <w:kern w:val="0"/>
          <w:sz w:val="28"/>
          <w:szCs w:val="28"/>
          <w:lang w:bidi="en-US"/>
        </w:rPr>
        <w:t>（3）站房</w:t>
      </w:r>
      <w:bookmarkEnd w:id="108"/>
      <w:bookmarkEnd w:id="109"/>
      <w:bookmarkEnd w:id="110"/>
      <w:bookmarkEnd w:id="111"/>
      <w:bookmarkEnd w:id="112"/>
      <w:bookmarkEnd w:id="113"/>
    </w:p>
    <w:p w14:paraId="6F92C08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站房利旧，为框架结构两层建筑物，建筑面积为385.3m</w:t>
      </w:r>
      <w:r>
        <w:rPr>
          <w:rFonts w:hint="default" w:ascii="Times New Roman" w:hAnsi="Times New Roman" w:cs="Times New Roman"/>
          <w:caps w:val="0"/>
          <w:smallCaps w:val="0"/>
          <w:color w:val="000000" w:themeColor="text1"/>
          <w:spacing w:val="0"/>
          <w:w w:val="100"/>
          <w:kern w:val="0"/>
          <w:sz w:val="28"/>
          <w:szCs w:val="28"/>
          <w:vertAlign w:val="superscript"/>
          <w:lang w:bidi="en-US"/>
          <w14:textFill>
            <w14:solidFill>
              <w14:schemeClr w14:val="tx1"/>
            </w14:solidFill>
          </w14:textFill>
        </w:rPr>
        <w:t>2</w:t>
      </w: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，一楼设置接待室、办公室、便利店、休息室、杂物间、配电室；二楼主要为</w:t>
      </w:r>
      <w:r>
        <w:rPr>
          <w:rFonts w:hint="default" w:ascii="Times New Roman" w:hAnsi="Times New Roman" w:cs="Times New Roman"/>
          <w:caps w:val="0"/>
          <w:smallCaps w:val="0"/>
          <w:color w:val="000000" w:themeColor="text1"/>
          <w:spacing w:val="0"/>
          <w:w w:val="100"/>
          <w:kern w:val="0"/>
          <w:sz w:val="28"/>
          <w:szCs w:val="28"/>
          <w:lang w:val="en-US" w:eastAsia="zh-CN" w:bidi="en-US"/>
          <w14:textFill>
            <w14:solidFill>
              <w14:schemeClr w14:val="tx1"/>
            </w14:solidFill>
          </w14:textFill>
        </w:rPr>
        <w:t>值班室</w:t>
      </w: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w:t>
      </w:r>
    </w:p>
    <w:p w14:paraId="6BF1A0C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（4）辅房</w:t>
      </w:r>
    </w:p>
    <w:p w14:paraId="2FB133E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辅房利旧，位于站区东南侧出口附近，为框架结构二层建筑物，建筑面积92.72</w:t>
      </w:r>
      <w:r>
        <w:rPr>
          <w:rFonts w:hint="default" w:ascii="Times New Roman" w:hAnsi="Times New Roman" w:cs="Times New Roman"/>
          <w:caps w:val="0"/>
          <w:smallCaps w:val="0"/>
          <w:color w:val="000000" w:themeColor="text1"/>
          <w:spacing w:val="0"/>
          <w:w w:val="100"/>
          <w:kern w:val="0"/>
          <w:sz w:val="28"/>
          <w:szCs w:val="28"/>
          <w:lang w:val="en-US" w:eastAsia="zh-CN" w:bidi="en-US"/>
          <w14:textFill>
            <w14:solidFill>
              <w14:schemeClr w14:val="tx1"/>
            </w14:solidFill>
          </w14:textFill>
        </w:rPr>
        <w:t>m</w:t>
      </w:r>
      <w:r>
        <w:rPr>
          <w:rFonts w:hint="default" w:ascii="Times New Roman" w:hAnsi="Times New Roman" w:cs="Times New Roman"/>
          <w:caps w:val="0"/>
          <w:smallCaps w:val="0"/>
          <w:color w:val="000000" w:themeColor="text1"/>
          <w:spacing w:val="0"/>
          <w:w w:val="100"/>
          <w:kern w:val="0"/>
          <w:sz w:val="28"/>
          <w:szCs w:val="28"/>
          <w:vertAlign w:val="superscript"/>
          <w:lang w:val="en-US" w:eastAsia="zh-CN" w:bidi="en-US"/>
          <w14:textFill>
            <w14:solidFill>
              <w14:schemeClr w14:val="tx1"/>
            </w14:solidFill>
          </w14:textFill>
        </w:rPr>
        <w:t>2</w:t>
      </w: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，设置卫生间、</w:t>
      </w:r>
      <w:r>
        <w:rPr>
          <w:rFonts w:hint="default" w:ascii="Times New Roman" w:hAnsi="Times New Roman" w:cs="Times New Roman"/>
          <w:caps w:val="0"/>
          <w:smallCaps w:val="0"/>
          <w:color w:val="000000" w:themeColor="text1"/>
          <w:spacing w:val="0"/>
          <w:w w:val="100"/>
          <w:kern w:val="0"/>
          <w:sz w:val="28"/>
          <w:szCs w:val="28"/>
          <w:lang w:val="en-US" w:eastAsia="zh-CN" w:bidi="en-US"/>
          <w14:textFill>
            <w14:solidFill>
              <w14:schemeClr w14:val="tx1"/>
            </w14:solidFill>
          </w14:textFill>
        </w:rPr>
        <w:t>值班室</w:t>
      </w: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w:t>
      </w:r>
    </w:p>
    <w:p w14:paraId="3C200CE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pPr>
      <w:bookmarkStart w:id="114" w:name="_Toc21118"/>
      <w:bookmarkStart w:id="115" w:name="_Toc14433"/>
      <w:bookmarkStart w:id="116" w:name="_Toc25265"/>
      <w:bookmarkStart w:id="117" w:name="_Toc14064"/>
      <w:bookmarkStart w:id="118" w:name="_Toc26262"/>
      <w:bookmarkStart w:id="119" w:name="_Toc4598"/>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（5）</w:t>
      </w:r>
      <w:bookmarkEnd w:id="114"/>
      <w:bookmarkEnd w:id="115"/>
      <w:bookmarkEnd w:id="116"/>
      <w:bookmarkEnd w:id="117"/>
      <w:bookmarkEnd w:id="118"/>
      <w:bookmarkEnd w:id="119"/>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站区道路及主出入口设置</w:t>
      </w:r>
    </w:p>
    <w:p w14:paraId="349B4B9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pPr>
      <w:bookmarkStart w:id="120" w:name="_Toc25918"/>
      <w:bookmarkStart w:id="121" w:name="_Toc29083"/>
      <w:bookmarkStart w:id="122" w:name="_Toc19961"/>
      <w:bookmarkStart w:id="123" w:name="_Toc11811"/>
      <w:bookmarkStart w:id="124" w:name="_Toc25376"/>
      <w:bookmarkStart w:id="125" w:name="_Toc5378"/>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根据场地现有地形，加油站西南面和东南面临公路的绿化带两边分别设置车辆出、入口，出入口宽均为15m。加油区设置两条单车道，一条双车道，最窄单车道宽5.3m（规范要求4m），双车道宽10.7m。站内路面为不发火花水泥路面，内缘转弯半径大于9m。</w:t>
      </w:r>
    </w:p>
    <w:p w14:paraId="44B0962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（6）</w:t>
      </w:r>
      <w:bookmarkEnd w:id="120"/>
      <w:bookmarkEnd w:id="121"/>
      <w:bookmarkEnd w:id="122"/>
      <w:bookmarkEnd w:id="123"/>
      <w:bookmarkEnd w:id="124"/>
      <w:bookmarkEnd w:id="125"/>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环保设施及绿化</w:t>
      </w:r>
    </w:p>
    <w:p w14:paraId="457C76D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color w:val="000000" w:themeColor="text1"/>
          <w:spacing w:val="0"/>
          <w:w w:val="100"/>
          <w:kern w:val="0"/>
          <w:sz w:val="28"/>
          <w:szCs w:val="28"/>
          <w:lang w:bidi="en-US"/>
          <w14:textFill>
            <w14:solidFill>
              <w14:schemeClr w14:val="tx1"/>
            </w14:solidFill>
          </w14:textFill>
        </w:rPr>
        <w:t>加油站采取了防止油品渗漏的措施。油罐区采用SF双层油罐防渗措施，加油管道采用热塑性双层复合管。对可能存在漏油的区域，加油机底部，采取配套的防渗底座，卸油口、油罐人孔操作井内壁及地面采用1：2防水水泥砂浆抹面做成防渗层，管道穿过井壁使用专用密封装置</w:t>
      </w:r>
      <w:r>
        <w:rPr>
          <w:rFonts w:hint="default" w:ascii="Times New Roman" w:hAnsi="Times New Roman" w:cs="Times New Roman"/>
          <w:caps w:val="0"/>
          <w:smallCaps w:val="0"/>
          <w:spacing w:val="0"/>
          <w:w w:val="100"/>
          <w:kern w:val="0"/>
          <w:sz w:val="28"/>
          <w:szCs w:val="28"/>
          <w:lang w:bidi="en-US"/>
        </w:rPr>
        <w:t>，确保操作井密封严密。</w:t>
      </w:r>
    </w:p>
    <w:p w14:paraId="52E8AD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spacing w:val="0"/>
          <w:w w:val="100"/>
          <w:kern w:val="0"/>
          <w:sz w:val="28"/>
          <w:szCs w:val="28"/>
          <w:lang w:bidi="en-US"/>
        </w:rPr>
        <w:t>加油站出口绿化带内设有隔油池，加油区和卸油区域冲洗地坪污水通过环保沟（采用10#槽钢，材质为Q235B）收集排至隔油池处理后不排出站外，用于加油站绿化用水，站内清洗油罐污水采用活动桶收集，不让油污排出站外，加油站均采用明沟排水。为美化环境、净化空气，利用现有地形，考虑对加油站有限空地进行绿化，主要以种植草坪为主，不种植油性植物。</w:t>
      </w:r>
    </w:p>
    <w:p w14:paraId="4366A09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kern w:val="0"/>
          <w:sz w:val="28"/>
          <w:szCs w:val="28"/>
          <w:lang w:bidi="en-US"/>
        </w:rPr>
      </w:pPr>
      <w:r>
        <w:rPr>
          <w:rFonts w:hint="default" w:ascii="Times New Roman" w:hAnsi="Times New Roman" w:cs="Times New Roman"/>
          <w:caps w:val="0"/>
          <w:smallCaps w:val="0"/>
          <w:spacing w:val="0"/>
          <w:w w:val="100"/>
          <w:kern w:val="0"/>
          <w:sz w:val="28"/>
          <w:szCs w:val="28"/>
          <w:lang w:bidi="en-US"/>
        </w:rPr>
        <w:t>（7）</w:t>
      </w:r>
      <w:bookmarkStart w:id="126" w:name="_Toc23010"/>
      <w:bookmarkStart w:id="127" w:name="_Toc27476"/>
      <w:bookmarkStart w:id="128" w:name="_Toc12507"/>
      <w:bookmarkStart w:id="129" w:name="_Toc28927"/>
      <w:bookmarkStart w:id="130" w:name="_Toc31440"/>
      <w:bookmarkStart w:id="131" w:name="_Toc8855"/>
      <w:r>
        <w:rPr>
          <w:rFonts w:hint="default" w:ascii="Times New Roman" w:hAnsi="Times New Roman" w:cs="Times New Roman"/>
          <w:caps w:val="0"/>
          <w:smallCaps w:val="0"/>
          <w:spacing w:val="0"/>
          <w:w w:val="100"/>
          <w:kern w:val="0"/>
          <w:sz w:val="28"/>
          <w:szCs w:val="28"/>
          <w:lang w:bidi="en-US"/>
        </w:rPr>
        <w:t>竖向布置</w:t>
      </w:r>
    </w:p>
    <w:p w14:paraId="532C969A">
      <w:pPr>
        <w:pStyle w:val="55"/>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cs="Times New Roman"/>
          <w:caps w:val="0"/>
          <w:smallCaps w:val="0"/>
          <w:spacing w:val="0"/>
          <w:w w:val="100"/>
          <w:sz w:val="28"/>
          <w:szCs w:val="28"/>
        </w:rPr>
      </w:pPr>
      <w:r>
        <w:rPr>
          <w:rFonts w:hint="default" w:ascii="Times New Roman" w:hAnsi="Times New Roman" w:cs="Times New Roman"/>
          <w:caps w:val="0"/>
          <w:smallCaps w:val="0"/>
          <w:spacing w:val="0"/>
          <w:w w:val="100"/>
          <w:kern w:val="0"/>
          <w:sz w:val="28"/>
          <w:szCs w:val="28"/>
          <w:lang w:bidi="en-US"/>
        </w:rPr>
        <w:t>为保证场地雨水的顺利排出，将加油站地坪以0.50%坡度坡向站外公路，使雨水可以自然散排至站外，加油区地坪设0.50%坡度坡向站区环保沟。</w:t>
      </w:r>
      <w:bookmarkEnd w:id="126"/>
      <w:bookmarkEnd w:id="127"/>
      <w:bookmarkEnd w:id="128"/>
      <w:bookmarkEnd w:id="129"/>
      <w:bookmarkEnd w:id="130"/>
      <w:bookmarkEnd w:id="131"/>
      <w:bookmarkStart w:id="132" w:name="_Hlk67410288"/>
    </w:p>
    <w:bookmarkEnd w:id="132"/>
    <w:p w14:paraId="0D033116">
      <w:pPr>
        <w:snapToGrid/>
        <w:ind w:firstLine="560" w:firstLineChars="200"/>
        <w:rPr>
          <w:rFonts w:hint="default" w:ascii="Times New Roman" w:hAnsi="Times New Roman" w:eastAsia="黑体" w:cs="Times New Roman"/>
          <w:b w:val="0"/>
          <w:bCs w:val="0"/>
          <w:caps w:val="0"/>
          <w:smallCaps w:val="0"/>
          <w:spacing w:val="0"/>
          <w:w w:val="100"/>
        </w:rPr>
      </w:pPr>
      <w:r>
        <w:rPr>
          <w:rFonts w:hint="default" w:ascii="Times New Roman" w:hAnsi="Times New Roman" w:cs="Times New Roman"/>
          <w:caps w:val="0"/>
          <w:smallCaps w:val="0"/>
          <w:spacing w:val="0"/>
          <w:w w:val="100"/>
          <w:kern w:val="0"/>
          <w:szCs w:val="28"/>
          <w:lang w:bidi="en-US"/>
        </w:rPr>
        <w:t>加油站内各设施间的距离符合《汽车加油加气加氢站技术标准》（GB50156-2021）中5.0.13条的有关要求。</w:t>
      </w:r>
    </w:p>
    <w:p w14:paraId="52CE0AFC">
      <w:pPr>
        <w:pStyle w:val="5"/>
        <w:snapToGrid/>
        <w:rPr>
          <w:rFonts w:hint="default" w:ascii="Times New Roman" w:hAnsi="Times New Roman" w:eastAsia="黑体" w:cs="Times New Roman"/>
          <w:b w:val="0"/>
          <w:bCs w:val="0"/>
          <w:caps w:val="0"/>
          <w:smallCaps w:val="0"/>
          <w:spacing w:val="0"/>
          <w:w w:val="100"/>
        </w:rPr>
      </w:pPr>
      <w:bookmarkStart w:id="133" w:name="_Toc28208"/>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rPr>
        <w:t>工艺及设备</w:t>
      </w:r>
      <w:bookmarkEnd w:id="95"/>
      <w:bookmarkEnd w:id="133"/>
    </w:p>
    <w:p w14:paraId="458858F0">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34" w:name="_Toc195176715"/>
      <w:bookmarkStart w:id="135" w:name="_Toc322"/>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rPr>
        <w:t>.1工艺概述</w:t>
      </w:r>
      <w:bookmarkEnd w:id="134"/>
      <w:bookmarkEnd w:id="135"/>
    </w:p>
    <w:p w14:paraId="1AC8BE8A">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rPr>
        <w:t>加油站</w:t>
      </w:r>
      <w:r>
        <w:rPr>
          <w:rFonts w:hint="default" w:ascii="Times New Roman" w:hAnsi="Times New Roman" w:eastAsia="宋体" w:cs="Times New Roman"/>
          <w:bCs/>
          <w:snapToGrid w:val="0"/>
          <w:kern w:val="0"/>
          <w:sz w:val="28"/>
          <w:szCs w:val="28"/>
        </w:rPr>
        <w:t>油罐区</w:t>
      </w:r>
      <w:r>
        <w:rPr>
          <w:rFonts w:hint="default" w:ascii="Times New Roman" w:hAnsi="Times New Roman" w:eastAsia="宋体" w:cs="Times New Roman"/>
          <w:bCs/>
          <w:snapToGrid w:val="0"/>
          <w:kern w:val="0"/>
          <w:sz w:val="28"/>
          <w:szCs w:val="28"/>
          <w:lang w:eastAsia="zh-CN"/>
        </w:rPr>
        <w:t>（</w:t>
      </w:r>
      <w:r>
        <w:rPr>
          <w:rFonts w:hint="default" w:ascii="Times New Roman" w:hAnsi="Times New Roman" w:cs="Times New Roman"/>
          <w:kern w:val="3"/>
          <w:sz w:val="28"/>
          <w:szCs w:val="28"/>
          <w:lang w:val="en-US" w:eastAsia="zh-CN"/>
        </w:rPr>
        <w:t>罩棚行</w:t>
      </w:r>
      <w:r>
        <w:rPr>
          <w:rFonts w:hint="default" w:ascii="Times New Roman" w:hAnsi="Times New Roman" w:cs="Times New Roman"/>
          <w:kern w:val="3"/>
          <w:sz w:val="28"/>
          <w:szCs w:val="28"/>
        </w:rPr>
        <w:t>车道下</w:t>
      </w:r>
      <w:r>
        <w:rPr>
          <w:rFonts w:hint="default" w:ascii="Times New Roman" w:hAnsi="Times New Roman" w:cs="Times New Roman"/>
          <w:sz w:val="28"/>
          <w:szCs w:val="28"/>
        </w:rPr>
        <w:t>设置</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个SF双层油罐</w:t>
      </w:r>
      <w:r>
        <w:rPr>
          <w:rFonts w:hint="default" w:ascii="Times New Roman" w:hAnsi="Times New Roman" w:eastAsia="宋体" w:cs="Times New Roman"/>
          <w:bCs/>
          <w:snapToGrid w:val="0"/>
          <w:kern w:val="0"/>
          <w:sz w:val="28"/>
          <w:szCs w:val="28"/>
          <w:lang w:eastAsia="zh-CN"/>
        </w:rPr>
        <w:t>）</w:t>
      </w:r>
      <w:r>
        <w:rPr>
          <w:rFonts w:hint="eastAsia" w:ascii="Times New Roman" w:hAnsi="Times New Roman" w:eastAsia="宋体" w:cs="Times New Roman"/>
          <w:bCs/>
          <w:snapToGrid w:val="0"/>
          <w:kern w:val="0"/>
          <w:sz w:val="28"/>
          <w:szCs w:val="28"/>
          <w:lang w:val="en-US" w:eastAsia="zh-CN"/>
        </w:rPr>
        <w:t>设置2台</w:t>
      </w:r>
      <w:r>
        <w:rPr>
          <w:rFonts w:hint="default" w:ascii="Times New Roman" w:hAnsi="Times New Roman" w:cs="Times New Roman"/>
          <w:bCs/>
          <w:sz w:val="28"/>
          <w:szCs w:val="28"/>
        </w:rPr>
        <w:t>50m</w:t>
      </w:r>
      <w:r>
        <w:rPr>
          <w:rFonts w:hint="default" w:ascii="Times New Roman" w:hAnsi="Times New Roman" w:cs="Times New Roman"/>
          <w:bCs/>
          <w:sz w:val="28"/>
          <w:szCs w:val="28"/>
          <w:vertAlign w:val="superscript"/>
        </w:rPr>
        <w:t>3</w:t>
      </w:r>
      <w:r>
        <w:rPr>
          <w:rFonts w:hint="default" w:ascii="Times New Roman" w:hAnsi="Times New Roman" w:cs="Times New Roman"/>
          <w:bCs/>
          <w:sz w:val="28"/>
          <w:szCs w:val="28"/>
        </w:rPr>
        <w:t>0#柴油储罐，1台</w:t>
      </w:r>
      <w:r>
        <w:rPr>
          <w:rFonts w:hint="default" w:ascii="Times New Roman" w:hAnsi="Times New Roman" w:cs="Times New Roman"/>
          <w:bCs/>
          <w:sz w:val="28"/>
          <w:szCs w:val="28"/>
          <w:lang w:val="en-US" w:eastAsia="zh-CN"/>
        </w:rPr>
        <w:t>5</w:t>
      </w:r>
      <w:r>
        <w:rPr>
          <w:rFonts w:hint="default" w:ascii="Times New Roman" w:hAnsi="Times New Roman" w:cs="Times New Roman"/>
          <w:bCs/>
          <w:sz w:val="28"/>
          <w:szCs w:val="28"/>
        </w:rPr>
        <w:t>0m</w:t>
      </w:r>
      <w:r>
        <w:rPr>
          <w:rFonts w:hint="default" w:ascii="Times New Roman" w:hAnsi="Times New Roman" w:cs="Times New Roman"/>
          <w:bCs/>
          <w:sz w:val="28"/>
          <w:szCs w:val="28"/>
          <w:vertAlign w:val="superscript"/>
        </w:rPr>
        <w:t>3</w:t>
      </w:r>
      <w:r>
        <w:rPr>
          <w:rFonts w:hint="default" w:ascii="Times New Roman" w:hAnsi="Times New Roman" w:cs="Times New Roman"/>
          <w:bCs/>
          <w:sz w:val="28"/>
          <w:szCs w:val="28"/>
        </w:rPr>
        <w:t>92#汽油储罐，1台</w:t>
      </w:r>
      <w:r>
        <w:rPr>
          <w:rFonts w:hint="default" w:ascii="Times New Roman" w:hAnsi="Times New Roman" w:cs="Times New Roman"/>
          <w:bCs/>
          <w:sz w:val="28"/>
          <w:szCs w:val="28"/>
          <w:lang w:val="en-US" w:eastAsia="zh-CN"/>
        </w:rPr>
        <w:t>5</w:t>
      </w:r>
      <w:r>
        <w:rPr>
          <w:rFonts w:hint="default" w:ascii="Times New Roman" w:hAnsi="Times New Roman" w:cs="Times New Roman"/>
          <w:bCs/>
          <w:sz w:val="28"/>
          <w:szCs w:val="28"/>
        </w:rPr>
        <w:t>0m</w:t>
      </w:r>
      <w:r>
        <w:rPr>
          <w:rFonts w:hint="default" w:ascii="Times New Roman" w:hAnsi="Times New Roman" w:cs="Times New Roman"/>
          <w:bCs/>
          <w:sz w:val="28"/>
          <w:szCs w:val="28"/>
          <w:vertAlign w:val="superscript"/>
        </w:rPr>
        <w:t>3</w:t>
      </w:r>
      <w:r>
        <w:rPr>
          <w:rFonts w:hint="default" w:ascii="Times New Roman" w:hAnsi="Times New Roman" w:cs="Times New Roman"/>
          <w:bCs/>
          <w:sz w:val="28"/>
          <w:szCs w:val="28"/>
        </w:rPr>
        <w:t>95#柴油储罐，总罐容积1</w:t>
      </w:r>
      <w:r>
        <w:rPr>
          <w:rFonts w:hint="default" w:ascii="Times New Roman" w:hAnsi="Times New Roman" w:cs="Times New Roman"/>
          <w:bCs/>
          <w:sz w:val="28"/>
          <w:szCs w:val="28"/>
          <w:lang w:val="en-US" w:eastAsia="zh-CN"/>
        </w:rPr>
        <w:t>5</w:t>
      </w:r>
      <w:r>
        <w:rPr>
          <w:rFonts w:hint="default" w:ascii="Times New Roman" w:hAnsi="Times New Roman" w:cs="Times New Roman"/>
          <w:bCs/>
          <w:sz w:val="28"/>
          <w:szCs w:val="28"/>
        </w:rPr>
        <w:t>0m</w:t>
      </w:r>
      <w:r>
        <w:rPr>
          <w:rFonts w:hint="default" w:ascii="Times New Roman" w:hAnsi="Times New Roman" w:cs="Times New Roman"/>
          <w:bCs/>
          <w:sz w:val="28"/>
          <w:szCs w:val="28"/>
          <w:vertAlign w:val="superscript"/>
        </w:rPr>
        <w:t>3</w:t>
      </w:r>
      <w:r>
        <w:rPr>
          <w:rFonts w:hint="default" w:ascii="Times New Roman" w:hAnsi="Times New Roman" w:cs="Times New Roman"/>
          <w:szCs w:val="28"/>
        </w:rPr>
        <w:t>。</w:t>
      </w:r>
      <w:r>
        <w:rPr>
          <w:rFonts w:hint="default" w:ascii="Times New Roman" w:hAnsi="Times New Roman" w:cs="Times New Roman"/>
          <w:caps w:val="0"/>
          <w:smallCaps w:val="0"/>
          <w:spacing w:val="0"/>
          <w:w w:val="100"/>
          <w:szCs w:val="28"/>
        </w:rPr>
        <w:t>加油站设</w:t>
      </w:r>
      <w:r>
        <w:rPr>
          <w:rFonts w:hint="default" w:ascii="Times New Roman" w:hAnsi="Times New Roman" w:cs="Times New Roman"/>
          <w:bCs/>
          <w:caps w:val="0"/>
          <w:smallCaps w:val="0"/>
          <w:spacing w:val="0"/>
          <w:w w:val="100"/>
          <w:szCs w:val="28"/>
        </w:rPr>
        <w:t>2台双枪柴油加油机、2台双枪汽油加油机</w:t>
      </w:r>
      <w:r>
        <w:rPr>
          <w:rFonts w:hint="default" w:ascii="Times New Roman" w:hAnsi="Times New Roman" w:cs="Times New Roman"/>
          <w:caps w:val="0"/>
          <w:smallCaps w:val="0"/>
          <w:spacing w:val="0"/>
          <w:w w:val="100"/>
          <w:szCs w:val="28"/>
        </w:rPr>
        <w:t>，共计8支加油枪</w:t>
      </w:r>
      <w:r>
        <w:rPr>
          <w:rFonts w:hint="default" w:ascii="Times New Roman" w:hAnsi="Times New Roman" w:cs="Times New Roman"/>
          <w:caps w:val="0"/>
          <w:smallCaps w:val="0"/>
          <w:spacing w:val="0"/>
          <w:w w:val="100"/>
        </w:rPr>
        <w:t>。</w:t>
      </w:r>
    </w:p>
    <w:p w14:paraId="46CE562C">
      <w:pPr>
        <w:pageBreakBefore w:val="0"/>
        <w:kinsoku/>
        <w:topLinePunct w:val="0"/>
        <w:bidi w:val="0"/>
        <w:adjustRightInd/>
        <w:snapToGrid/>
        <w:ind w:firstLine="560"/>
        <w:rPr>
          <w:rFonts w:hint="default" w:ascii="Times New Roman" w:hAnsi="Times New Roman" w:cs="Times New Roman"/>
          <w:spacing w:val="0"/>
          <w:sz w:val="28"/>
        </w:rPr>
      </w:pPr>
      <w:bookmarkStart w:id="136" w:name="_Toc195176716"/>
      <w:r>
        <w:rPr>
          <w:rFonts w:hint="default" w:ascii="Times New Roman" w:hAnsi="Times New Roman" w:cs="Times New Roman"/>
          <w:spacing w:val="0"/>
          <w:sz w:val="28"/>
        </w:rPr>
        <w:t>出油管道采用双层复合管，其他工艺管道及油罐接合管均采用无缝钢管，管道埋地敷设；油罐区设置于</w:t>
      </w:r>
      <w:r>
        <w:rPr>
          <w:rFonts w:hint="default" w:ascii="Times New Roman" w:hAnsi="Times New Roman" w:cs="Times New Roman"/>
          <w:spacing w:val="0"/>
          <w:kern w:val="3"/>
          <w:sz w:val="28"/>
          <w:szCs w:val="28"/>
          <w:lang w:val="en-US" w:eastAsia="zh-CN"/>
        </w:rPr>
        <w:t>罩棚行</w:t>
      </w:r>
      <w:r>
        <w:rPr>
          <w:rFonts w:hint="default" w:ascii="Times New Roman" w:hAnsi="Times New Roman" w:cs="Times New Roman"/>
          <w:spacing w:val="0"/>
          <w:kern w:val="3"/>
          <w:sz w:val="28"/>
          <w:szCs w:val="28"/>
        </w:rPr>
        <w:t>车道下</w:t>
      </w:r>
      <w:r>
        <w:rPr>
          <w:rFonts w:hint="default" w:ascii="Times New Roman" w:hAnsi="Times New Roman" w:cs="Times New Roman"/>
          <w:spacing w:val="0"/>
          <w:sz w:val="28"/>
        </w:rPr>
        <w:t>，每个油罐人孔上方都设有操作井，汽油罐和柴油罐分开设置，油罐均为</w:t>
      </w:r>
      <w:r>
        <w:rPr>
          <w:rFonts w:hint="default" w:ascii="Times New Roman" w:hAnsi="Times New Roman" w:cs="Times New Roman"/>
          <w:spacing w:val="0"/>
          <w:sz w:val="28"/>
          <w:szCs w:val="28"/>
        </w:rPr>
        <w:t>卧式埋地</w:t>
      </w:r>
      <w:r>
        <w:rPr>
          <w:rFonts w:hint="default" w:ascii="Times New Roman" w:hAnsi="Times New Roman" w:cs="Times New Roman"/>
          <w:spacing w:val="0"/>
          <w:sz w:val="28"/>
          <w:szCs w:val="28"/>
          <w:lang w:val="en-US" w:eastAsia="zh-CN"/>
        </w:rPr>
        <w:t>S</w:t>
      </w:r>
      <w:r>
        <w:rPr>
          <w:rFonts w:hint="default" w:ascii="Times New Roman" w:hAnsi="Times New Roman" w:cs="Times New Roman"/>
          <w:spacing w:val="0"/>
          <w:sz w:val="28"/>
          <w:szCs w:val="28"/>
        </w:rPr>
        <w:t>F双层油罐</w:t>
      </w:r>
      <w:r>
        <w:rPr>
          <w:rFonts w:hint="default" w:ascii="Times New Roman" w:hAnsi="Times New Roman" w:cs="Times New Roman"/>
          <w:spacing w:val="0"/>
          <w:sz w:val="28"/>
        </w:rPr>
        <w:t>。</w:t>
      </w:r>
      <w:r>
        <w:rPr>
          <w:rFonts w:hint="default" w:ascii="Times New Roman" w:hAnsi="Times New Roman" w:cs="Times New Roman"/>
          <w:spacing w:val="0"/>
          <w:kern w:val="0"/>
          <w:sz w:val="28"/>
          <w:szCs w:val="28"/>
          <w:lang w:val="en-US" w:eastAsia="zh-CN" w:bidi="en-US"/>
        </w:rPr>
        <w:t>汽油罐和柴油罐的通气管分开设置，通气管集中沿罩棚南部立柱布置，通气管口高出罩棚顶面2.0m，通气管公称直径DN50</w:t>
      </w:r>
      <w:r>
        <w:rPr>
          <w:rFonts w:hint="default" w:ascii="Times New Roman" w:hAnsi="Times New Roman" w:cs="Times New Roman"/>
          <w:spacing w:val="0"/>
          <w:sz w:val="28"/>
        </w:rPr>
        <w:t>。加油站设汽油卸油油气回收系统和加油油气回收系统。油罐及卸油管线均</w:t>
      </w:r>
      <w:r>
        <w:rPr>
          <w:rFonts w:hint="default" w:ascii="Times New Roman" w:hAnsi="Times New Roman" w:cs="Times New Roman"/>
          <w:spacing w:val="0"/>
          <w:sz w:val="28"/>
          <w:lang w:eastAsia="zh-CN"/>
        </w:rPr>
        <w:t>做</w:t>
      </w:r>
      <w:r>
        <w:rPr>
          <w:rFonts w:hint="default" w:ascii="Times New Roman" w:hAnsi="Times New Roman" w:cs="Times New Roman"/>
          <w:spacing w:val="0"/>
          <w:sz w:val="28"/>
        </w:rPr>
        <w:t>加强级防腐，加油站采用的工艺流程成熟。</w:t>
      </w:r>
    </w:p>
    <w:p w14:paraId="709F2D83">
      <w:pPr>
        <w:pStyle w:val="225"/>
        <w:wordWrap/>
        <w:topLinePunct w:val="0"/>
        <w:bidi w:val="0"/>
        <w:adjustRightInd w:val="0"/>
        <w:snapToGrid w:val="0"/>
        <w:jc w:val="both"/>
        <w:rPr>
          <w:rFonts w:hint="default" w:ascii="Times New Roman" w:hAnsi="Times New Roman" w:cs="Times New Roman"/>
          <w:spacing w:val="0"/>
          <w:sz w:val="28"/>
        </w:rPr>
      </w:pPr>
      <w:r>
        <w:rPr>
          <w:rFonts w:hint="default" w:ascii="Times New Roman" w:hAnsi="Times New Roman" w:cs="Times New Roman"/>
          <w:spacing w:val="0"/>
          <w:sz w:val="28"/>
          <w:lang w:val="en-US" w:eastAsia="zh-CN"/>
        </w:rPr>
        <w:t>该加油站采用密闭卸油方式，采用潜油泵式加油工艺，设置了汽油卸油加油油气回收装置。</w:t>
      </w:r>
    </w:p>
    <w:p w14:paraId="702FC459">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1.卸油工艺</w:t>
      </w:r>
    </w:p>
    <w:p w14:paraId="738C76C0">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卸油：该站卸油采用密闭卸油工艺，连接卸油软管后利用重力自流卸油。</w:t>
      </w:r>
    </w:p>
    <w:p w14:paraId="6EB49DA8">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油品（汽油与柴油）经运输槽车运至加油站，在密闭卸车点熄火停稳后加上阻车挡固定后，连接好带报警的静电接地导除装置，静止5min。用卸油软管连通油罐车和储油罐后开始卸油。油品卸完后，拆除卸油软管，封闭好油罐卸油接口密封盖和罐车卸油口，拆除静电接地导除装置，发动油品罐车缓慢离开罐区。</w:t>
      </w:r>
    </w:p>
    <w:p w14:paraId="22112441">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2.加油工艺</w:t>
      </w:r>
    </w:p>
    <w:p w14:paraId="06A88C96">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潜油泵将储罐内的油品抽出，通过加油管道输送给带计量的加油机，最后由加油枪加入到汽车油箱里，实现为汽车油箱加装汽油或柴油的作业。</w:t>
      </w:r>
    </w:p>
    <w:p w14:paraId="0B260819">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3.油气回收工艺</w:t>
      </w:r>
    </w:p>
    <w:p w14:paraId="4D116400">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本项目设置汽油加、卸油油气回收系统。</w:t>
      </w:r>
    </w:p>
    <w:p w14:paraId="2F362154">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卸油：当汽油进入油罐时，罐内含油气体经油气管道进入油罐车内。</w:t>
      </w:r>
    </w:p>
    <w:p w14:paraId="4AA95860">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加油：加油机加油时，通过油气回收真空泵，把汽车油箱里的油气收集到埋地储油罐内。</w:t>
      </w:r>
    </w:p>
    <w:p w14:paraId="5DB031F1">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工艺流程如下：</w:t>
      </w:r>
    </w:p>
    <w:p w14:paraId="4B78C6F0">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（1）汽油系统工艺流程</w:t>
      </w:r>
    </w:p>
    <w:p w14:paraId="0428F45E">
      <w:pPr>
        <w:pStyle w:val="225"/>
        <w:jc w:val="both"/>
        <w:rPr>
          <w:rFonts w:hint="default" w:ascii="Times New Roman" w:hAnsi="Times New Roman" w:cs="Times New Roman"/>
          <w:caps w:val="0"/>
          <w:smallCaps w:val="0"/>
          <w:spacing w:val="0"/>
          <w:w w:val="100"/>
          <w:lang w:val="zh-CN"/>
        </w:rPr>
      </w:pPr>
      <w:r>
        <w:rPr>
          <w:rFonts w:hint="default" w:ascii="Times New Roman" w:hAnsi="Times New Roman" w:cs="Times New Roman"/>
          <w:caps w:val="0"/>
          <w:smallCaps w:val="0"/>
          <w:spacing w:val="0"/>
          <w:w w:val="100"/>
        </w:rPr>
        <w:t>本项目汽油采用潜油泵工艺流程，加油和卸油均设置油气回收系统。即汽油经油罐车运输至加油站，在卸车点采用密闭卸油方式将汽油卸入埋地储油罐，汽油埋地油罐因注入汽油而排出油气，此油气经过气相管输回油罐车油罐内，完成卸油过程的油气回收。常温常压条件下，汽油在储油罐内以液体形式存在。加油时，与加油机相对应的潜油泵，将汽油由油罐中泵出，经出油管道送入加油机，通过自封式加油枪注入汽车油箱，车辆油箱因注入汽油而向外排的油气，由加油枪前端油气回收管通过加油机内真空泵抽回埋地汽油油罐内。</w:t>
      </w:r>
    </w:p>
    <w:p w14:paraId="32336F59">
      <w:pPr>
        <w:pStyle w:val="225"/>
        <w:jc w:val="both"/>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（2）柴油系统工艺流程</w:t>
      </w:r>
    </w:p>
    <w:p w14:paraId="056514C4">
      <w:pPr>
        <w:pStyle w:val="225"/>
        <w:jc w:val="both"/>
        <w:rPr>
          <w:rFonts w:hint="default" w:ascii="Times New Roman" w:hAnsi="Times New Roman" w:cs="Times New Roman"/>
          <w:caps w:val="0"/>
          <w:smallCaps w:val="0"/>
          <w:spacing w:val="0"/>
          <w:w w:val="100"/>
          <w:lang w:val="zh-CN"/>
        </w:rPr>
      </w:pPr>
      <w:r>
        <w:rPr>
          <w:rFonts w:hint="default" w:ascii="Times New Roman" w:hAnsi="Times New Roman" w:cs="Times New Roman"/>
          <w:caps w:val="0"/>
          <w:smallCaps w:val="0"/>
          <w:spacing w:val="0"/>
          <w:w w:val="100"/>
        </w:rPr>
        <w:t>本项目柴油采用潜油泵工艺流程，柴油经油罐车运输至加油站，在卸车点采用密闭卸油方式将柴油卸入埋地柴油储罐；常温常压条件下，柴油在储油罐内以液体形式存在；加油时，与加油机相对应的潜油泵，将油品由油罐中泵出，经出油管道送入加油机，通过自封式加油枪注入汽车油箱。</w:t>
      </w:r>
    </w:p>
    <w:p w14:paraId="11DA5B67">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37" w:name="_Toc3839"/>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rPr>
        <w:t>.2主要设备</w:t>
      </w:r>
      <w:bookmarkEnd w:id="136"/>
      <w:bookmarkEnd w:id="137"/>
    </w:p>
    <w:p w14:paraId="4C37C163">
      <w:pPr>
        <w:pStyle w:val="225"/>
        <w:jc w:val="both"/>
        <w:rPr>
          <w:rFonts w:hint="default" w:ascii="Times New Roman" w:hAnsi="Times New Roman" w:cs="Times New Roman"/>
          <w:caps w:val="0"/>
          <w:smallCaps w:val="0"/>
          <w:spacing w:val="0"/>
          <w:w w:val="100"/>
          <w:lang w:val="en-US" w:eastAsia="zh-CN"/>
        </w:rPr>
      </w:pPr>
      <w:bookmarkStart w:id="138" w:name="_Hlk93324020"/>
      <w:r>
        <w:rPr>
          <w:rFonts w:hint="default" w:ascii="Times New Roman" w:hAnsi="Times New Roman" w:cs="Times New Roman"/>
          <w:caps w:val="0"/>
          <w:smallCaps w:val="0"/>
          <w:spacing w:val="0"/>
          <w:w w:val="100"/>
          <w:lang w:val="en-US" w:eastAsia="zh-CN"/>
        </w:rPr>
        <w:t>根据《特种设备目录》，本加油站原址改扩建不涉及特种设备。</w:t>
      </w:r>
      <w:bookmarkEnd w:id="138"/>
      <w:bookmarkStart w:id="139" w:name="_Toc24155"/>
      <w:bookmarkStart w:id="140" w:name="_Toc195176717"/>
    </w:p>
    <w:p w14:paraId="4003AB83">
      <w:pPr>
        <w:pStyle w:val="5"/>
        <w:snapToGrid/>
        <w:rPr>
          <w:rFonts w:hint="default" w:ascii="Times New Roman" w:hAnsi="Times New Roman" w:eastAsia="黑体" w:cs="Times New Roman"/>
          <w:b w:val="0"/>
          <w:bCs w:val="0"/>
          <w:caps w:val="0"/>
          <w:smallCaps w:val="0"/>
          <w:spacing w:val="0"/>
          <w:w w:val="100"/>
        </w:rPr>
      </w:pPr>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7</w:t>
      </w:r>
      <w:r>
        <w:rPr>
          <w:rFonts w:hint="default" w:ascii="Times New Roman" w:hAnsi="Times New Roman" w:eastAsia="黑体" w:cs="Times New Roman"/>
          <w:b w:val="0"/>
          <w:bCs w:val="0"/>
          <w:caps w:val="0"/>
          <w:smallCaps w:val="0"/>
          <w:spacing w:val="0"/>
          <w:w w:val="100"/>
        </w:rPr>
        <w:t>公用工程及辅助设施</w:t>
      </w:r>
      <w:bookmarkEnd w:id="139"/>
      <w:bookmarkEnd w:id="140"/>
    </w:p>
    <w:p w14:paraId="67D7988E">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41" w:name="_Toc24129"/>
      <w:bookmarkStart w:id="142" w:name="_Toc195176718"/>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7</w:t>
      </w:r>
      <w:r>
        <w:rPr>
          <w:rFonts w:hint="default" w:ascii="Times New Roman" w:hAnsi="Times New Roman" w:eastAsia="黑体" w:cs="Times New Roman"/>
          <w:b w:val="0"/>
          <w:bCs w:val="0"/>
          <w:caps w:val="0"/>
          <w:smallCaps w:val="0"/>
          <w:spacing w:val="0"/>
          <w:w w:val="100"/>
        </w:rPr>
        <w:t>.1供、配电</w:t>
      </w:r>
      <w:bookmarkEnd w:id="141"/>
      <w:bookmarkEnd w:id="142"/>
    </w:p>
    <w:p w14:paraId="550462DD">
      <w:pPr>
        <w:snapToGrid/>
        <w:ind w:firstLine="560"/>
        <w:rPr>
          <w:rFonts w:hint="default" w:ascii="Times New Roman" w:hAnsi="Times New Roman" w:cs="Times New Roman"/>
          <w:caps w:val="0"/>
          <w:smallCaps w:val="0"/>
          <w:color w:val="000000"/>
          <w:spacing w:val="0"/>
          <w:w w:val="100"/>
          <w:kern w:val="0"/>
          <w:szCs w:val="28"/>
        </w:rPr>
      </w:pPr>
      <w:bookmarkStart w:id="143" w:name="_Toc195176719"/>
      <w:r>
        <w:rPr>
          <w:rFonts w:hint="default" w:ascii="Times New Roman" w:hAnsi="Times New Roman" w:cs="Times New Roman"/>
          <w:caps w:val="0"/>
          <w:smallCaps w:val="0"/>
          <w:color w:val="000000"/>
          <w:spacing w:val="0"/>
          <w:w w:val="100"/>
          <w:kern w:val="0"/>
          <w:szCs w:val="28"/>
        </w:rPr>
        <w:t>本项目利旧原供配电系统，用电负荷为三级，加油站用电由勐遮镇供电网引入站内配电室的配电柜（利旧），站内供电采用三相五线制供电系统，能满足运营用电要求。</w:t>
      </w:r>
    </w:p>
    <w:p w14:paraId="2451ABFA">
      <w:pPr>
        <w:snapToGrid/>
        <w:ind w:firstLine="560"/>
        <w:rPr>
          <w:rFonts w:hint="default" w:ascii="Times New Roman" w:hAnsi="Times New Roman" w:cs="Times New Roman"/>
          <w:caps w:val="0"/>
          <w:smallCaps w:val="0"/>
          <w:color w:val="000000"/>
          <w:spacing w:val="0"/>
          <w:w w:val="100"/>
          <w:kern w:val="0"/>
          <w:szCs w:val="28"/>
        </w:rPr>
      </w:pPr>
      <w:r>
        <w:rPr>
          <w:rFonts w:hint="default" w:ascii="Times New Roman" w:hAnsi="Times New Roman" w:cs="Times New Roman"/>
          <w:caps w:val="0"/>
          <w:smallCaps w:val="0"/>
          <w:color w:val="000000"/>
          <w:spacing w:val="0"/>
          <w:w w:val="100"/>
          <w:kern w:val="0"/>
          <w:szCs w:val="28"/>
        </w:rPr>
        <w:t>本项目火灾事故照明、疏散指示标志、油罐液位报警仪等采用自带蓄电池做应急备用电源</w:t>
      </w:r>
      <w:r>
        <w:rPr>
          <w:rFonts w:hint="default" w:ascii="Times New Roman" w:hAnsi="Times New Roman" w:cs="Times New Roman"/>
          <w:color w:val="000000"/>
          <w:kern w:val="0"/>
          <w:szCs w:val="28"/>
          <w:lang w:val="en-US" w:eastAsia="zh-CN"/>
        </w:rPr>
        <w:t>，连续供电时间不小于</w:t>
      </w:r>
      <w:r>
        <w:rPr>
          <w:rFonts w:hint="eastAsia" w:ascii="Times New Roman" w:hAnsi="Times New Roman" w:cs="Times New Roman"/>
          <w:color w:val="000000"/>
          <w:kern w:val="0"/>
          <w:szCs w:val="28"/>
          <w:lang w:val="en-US" w:eastAsia="zh-CN"/>
        </w:rPr>
        <w:t>90</w:t>
      </w:r>
      <w:r>
        <w:rPr>
          <w:rFonts w:hint="default" w:ascii="Times New Roman" w:hAnsi="Times New Roman" w:cs="Times New Roman"/>
          <w:color w:val="000000"/>
          <w:kern w:val="0"/>
          <w:szCs w:val="28"/>
          <w:lang w:val="en-US" w:eastAsia="zh-CN"/>
        </w:rPr>
        <w:t>min，</w:t>
      </w:r>
      <w:r>
        <w:rPr>
          <w:rFonts w:hint="default" w:ascii="Times New Roman" w:hAnsi="Times New Roman" w:cs="Times New Roman"/>
          <w:caps w:val="0"/>
          <w:smallCaps w:val="0"/>
          <w:color w:val="000000"/>
          <w:spacing w:val="0"/>
          <w:w w:val="100"/>
          <w:kern w:val="0"/>
          <w:szCs w:val="28"/>
        </w:rPr>
        <w:t>罩棚、值班室应急备用电源，连续</w:t>
      </w:r>
      <w:r>
        <w:rPr>
          <w:rFonts w:hint="default" w:ascii="Times New Roman" w:hAnsi="Times New Roman" w:cs="Times New Roman"/>
          <w:caps w:val="0"/>
          <w:smallCaps w:val="0"/>
          <w:color w:val="000000" w:themeColor="text1"/>
          <w:spacing w:val="0"/>
          <w:w w:val="100"/>
          <w:kern w:val="0"/>
          <w:szCs w:val="28"/>
          <w14:textFill>
            <w14:solidFill>
              <w14:schemeClr w14:val="tx1"/>
            </w14:solidFill>
          </w14:textFill>
        </w:rPr>
        <w:t>供电时间不小于90min。项目设一台UPS以备停电时作为信息、视频监控系统的应急电源。</w:t>
      </w:r>
    </w:p>
    <w:p w14:paraId="6C3F5AAD">
      <w:pPr>
        <w:snapToGrid/>
        <w:ind w:firstLine="560"/>
        <w:rPr>
          <w:rFonts w:hint="default" w:ascii="Times New Roman" w:hAnsi="Times New Roman" w:cs="Times New Roman"/>
          <w:caps w:val="0"/>
          <w:smallCaps w:val="0"/>
          <w:color w:val="000000"/>
          <w:spacing w:val="0"/>
          <w:w w:val="100"/>
          <w:kern w:val="0"/>
          <w:szCs w:val="28"/>
        </w:rPr>
      </w:pPr>
      <w:r>
        <w:rPr>
          <w:rFonts w:hint="default" w:ascii="Times New Roman" w:hAnsi="Times New Roman" w:cs="Times New Roman"/>
          <w:caps w:val="0"/>
          <w:smallCaps w:val="0"/>
          <w:color w:val="000000"/>
          <w:spacing w:val="0"/>
          <w:w w:val="100"/>
          <w:kern w:val="0"/>
          <w:szCs w:val="28"/>
        </w:rPr>
        <w:t>站内采用放射式配电方式，由配电柜出来，采用电缆敷设至各用电设备，出配电柜的电缆按要求独立敷设。电缆穿管埋地敷设，穿越行车道时，再采用钢管保护。</w:t>
      </w:r>
    </w:p>
    <w:p w14:paraId="55869C47">
      <w:pPr>
        <w:snapToGrid/>
        <w:ind w:firstLine="560"/>
        <w:rPr>
          <w:rFonts w:hint="default" w:ascii="Times New Roman" w:hAnsi="Times New Roman" w:cs="Times New Roman"/>
          <w:caps w:val="0"/>
          <w:smallCaps w:val="0"/>
          <w:color w:val="000000"/>
          <w:spacing w:val="0"/>
          <w:w w:val="100"/>
          <w:kern w:val="0"/>
          <w:szCs w:val="28"/>
        </w:rPr>
      </w:pPr>
      <w:r>
        <w:rPr>
          <w:rFonts w:hint="default" w:ascii="Times New Roman" w:hAnsi="Times New Roman" w:cs="Times New Roman"/>
          <w:caps w:val="0"/>
          <w:smallCaps w:val="0"/>
          <w:color w:val="000000"/>
          <w:spacing w:val="0"/>
          <w:w w:val="100"/>
          <w:kern w:val="0"/>
          <w:szCs w:val="28"/>
        </w:rPr>
        <w:t>加油站爆炸区域内的电气设备选型、安装、电力线路的敷设等符合现行国家标准《爆炸危险环境电力装置设计规范》GB50058-2014 的规定，站内罩棚配置事故应急照明灯，室外非爆炸危险区域的照明灯具选用不低于IP44级的节能型灯具，站内爆炸危险区域范围内用电开关和插座等采用防爆型。</w:t>
      </w:r>
    </w:p>
    <w:p w14:paraId="28262C55">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44" w:name="_Toc19858"/>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7</w:t>
      </w:r>
      <w:r>
        <w:rPr>
          <w:rFonts w:hint="default" w:ascii="Times New Roman" w:hAnsi="Times New Roman" w:eastAsia="黑体" w:cs="Times New Roman"/>
          <w:b w:val="0"/>
          <w:bCs w:val="0"/>
          <w:caps w:val="0"/>
          <w:smallCaps w:val="0"/>
          <w:spacing w:val="0"/>
          <w:w w:val="100"/>
        </w:rPr>
        <w:t>.2给、排水</w:t>
      </w:r>
      <w:bookmarkEnd w:id="143"/>
      <w:bookmarkEnd w:id="144"/>
    </w:p>
    <w:p w14:paraId="5B7F78DE">
      <w:pPr>
        <w:snapToGrid/>
        <w:ind w:firstLine="560"/>
        <w:rPr>
          <w:rFonts w:hint="default" w:ascii="Times New Roman" w:hAnsi="Times New Roman" w:cs="Times New Roman"/>
          <w:caps w:val="0"/>
          <w:smallCaps w:val="0"/>
          <w:spacing w:val="0"/>
          <w:w w:val="100"/>
          <w:kern w:val="0"/>
          <w:szCs w:val="28"/>
        </w:rPr>
      </w:pPr>
      <w:bookmarkStart w:id="145" w:name="_Toc195176720"/>
      <w:r>
        <w:rPr>
          <w:rFonts w:hint="default" w:ascii="Times New Roman" w:hAnsi="Times New Roman" w:cs="Times New Roman"/>
          <w:caps w:val="0"/>
          <w:smallCaps w:val="0"/>
          <w:spacing w:val="0"/>
          <w:w w:val="100"/>
          <w:kern w:val="0"/>
          <w:szCs w:val="28"/>
        </w:rPr>
        <w:t>（1）给水</w:t>
      </w:r>
    </w:p>
    <w:p w14:paraId="444CBB22">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加油站依托勐遮镇供水管网（利旧），站内室外采用DN50镀锌管为供水主管；室内采用DN50PPR为供水主管，分管管径DN25，全站区管网布置采用枝状方式。加油站经营生活用水量不大，可满足项目的建设及加油站的经营、生活用水需求。</w:t>
      </w:r>
    </w:p>
    <w:p w14:paraId="4EB3E310">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（2）排水</w:t>
      </w:r>
    </w:p>
    <w:p w14:paraId="661AC33D">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加油站的污水主要来源于站内生活废水、冲洗废水，地面雨水。本项目设置站内排水系统，排水系统实行雨、污分流。为保证场地雨水的顺利排出，将排水设置成坡向公路，最小排水坡度为0.5%。站房屋顶及罩棚顶面汇集雨水经排水管排入站外排水沟。</w:t>
      </w:r>
    </w:p>
    <w:p w14:paraId="2BC0E09D">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加油站生活污水经化粪池处理后、暂存于化粪池内，由当地环卫部门定期清运处理；加油区和卸油区设置环保沟，冲洗地坪污水通过环保沟收集排至隔油池处理后不排出站外，用于加油站绿化用水。</w:t>
      </w:r>
    </w:p>
    <w:p w14:paraId="2175BEA1">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清洗油罐的污水，聘请具有资质的专业人员进行处置，不会对周围环境造成污染。</w:t>
      </w:r>
    </w:p>
    <w:p w14:paraId="3D1EE6ED">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46" w:name="_Toc18371"/>
      <w:r>
        <w:rPr>
          <w:rFonts w:hint="default" w:ascii="Times New Roman" w:hAnsi="Times New Roman" w:cs="Times New Roman"/>
          <w:b w:val="0"/>
          <w:bCs w:val="0"/>
          <w:caps w:val="0"/>
          <w:smallCaps w:val="0"/>
          <w:spacing w:val="0"/>
          <w:w w:val="100"/>
          <w:kern w:val="0"/>
        </w:rPr>
        <w:t>2.</w:t>
      </w:r>
      <w:r>
        <w:rPr>
          <w:rFonts w:hint="default" w:ascii="Times New Roman" w:hAnsi="Times New Roman" w:cs="Times New Roman"/>
          <w:b w:val="0"/>
          <w:bCs w:val="0"/>
          <w:caps w:val="0"/>
          <w:smallCaps w:val="0"/>
          <w:spacing w:val="0"/>
          <w:w w:val="100"/>
          <w:kern w:val="0"/>
          <w:lang w:val="en-US" w:eastAsia="zh-CN"/>
        </w:rPr>
        <w:t>7</w:t>
      </w:r>
      <w:r>
        <w:rPr>
          <w:rFonts w:hint="default" w:ascii="Times New Roman" w:hAnsi="Times New Roman" w:cs="Times New Roman"/>
          <w:b w:val="0"/>
          <w:bCs w:val="0"/>
          <w:caps w:val="0"/>
          <w:smallCaps w:val="0"/>
          <w:spacing w:val="0"/>
          <w:w w:val="100"/>
          <w:kern w:val="0"/>
        </w:rPr>
        <w:t>.3</w:t>
      </w:r>
      <w:r>
        <w:rPr>
          <w:rFonts w:hint="default" w:ascii="Times New Roman" w:hAnsi="Times New Roman" w:eastAsia="黑体" w:cs="Times New Roman"/>
          <w:b w:val="0"/>
          <w:bCs w:val="0"/>
          <w:caps w:val="0"/>
          <w:smallCaps w:val="0"/>
          <w:spacing w:val="0"/>
          <w:w w:val="100"/>
        </w:rPr>
        <w:t>通信系统</w:t>
      </w:r>
      <w:bookmarkEnd w:id="146"/>
    </w:p>
    <w:p w14:paraId="658DF407">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本项目站址在中国电信、中国移动、中国联通的通讯信号覆盖范围内，通讯条件优越。站内设程控电话1门，作为行政办公、消防和调度用电话。</w:t>
      </w:r>
    </w:p>
    <w:p w14:paraId="11D799E5">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考虑到加油站所处位置特点，加油站领导及安全生产管理人员配置移动电话，用于工作联络，加油区内禁止使用移动电话。</w:t>
      </w:r>
    </w:p>
    <w:p w14:paraId="1737A881">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47" w:name="_Toc306"/>
      <w:r>
        <w:rPr>
          <w:rFonts w:hint="default" w:ascii="Times New Roman" w:hAnsi="Times New Roman" w:cs="Times New Roman"/>
          <w:b w:val="0"/>
          <w:bCs w:val="0"/>
          <w:caps w:val="0"/>
          <w:smallCaps w:val="0"/>
          <w:spacing w:val="0"/>
          <w:w w:val="100"/>
          <w:kern w:val="0"/>
        </w:rPr>
        <w:t>2.</w:t>
      </w:r>
      <w:r>
        <w:rPr>
          <w:rFonts w:hint="default" w:ascii="Times New Roman" w:hAnsi="Times New Roman" w:cs="Times New Roman"/>
          <w:b w:val="0"/>
          <w:bCs w:val="0"/>
          <w:caps w:val="0"/>
          <w:smallCaps w:val="0"/>
          <w:spacing w:val="0"/>
          <w:w w:val="100"/>
          <w:kern w:val="0"/>
          <w:lang w:val="en-US" w:eastAsia="zh-CN"/>
        </w:rPr>
        <w:t>7</w:t>
      </w:r>
      <w:r>
        <w:rPr>
          <w:rFonts w:hint="default" w:ascii="Times New Roman" w:hAnsi="Times New Roman" w:cs="Times New Roman"/>
          <w:b w:val="0"/>
          <w:bCs w:val="0"/>
          <w:caps w:val="0"/>
          <w:smallCaps w:val="0"/>
          <w:spacing w:val="0"/>
          <w:w w:val="100"/>
          <w:kern w:val="0"/>
        </w:rPr>
        <w:t>.4</w:t>
      </w:r>
      <w:r>
        <w:rPr>
          <w:rFonts w:hint="default" w:ascii="Times New Roman" w:hAnsi="Times New Roman" w:eastAsia="黑体" w:cs="Times New Roman"/>
          <w:b w:val="0"/>
          <w:bCs w:val="0"/>
          <w:caps w:val="0"/>
          <w:smallCaps w:val="0"/>
          <w:spacing w:val="0"/>
          <w:w w:val="100"/>
        </w:rPr>
        <w:t>视频系统</w:t>
      </w:r>
      <w:bookmarkEnd w:id="147"/>
    </w:p>
    <w:p w14:paraId="4D482D30">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本项目设置视频监控系统，系统包括监控器、硬盘、刻录机、显示器安装在值班室。视频监控设备的具体设置情况如下：</w:t>
      </w:r>
    </w:p>
    <w:p w14:paraId="64FA597C">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1）加油区设置10台枪式摄像头，安装在罩棚支柱上，对角线安装，站房东西两侧共设置2台枪式摄像头，全面监控加油操作工位中加油人员具体操作及现金交易情况，并能在某一焦点清晰看清汽车车牌、能对油罐区域进行全面监控；也能对出入口、卸油口、卸油区域进行全面监控；收银室内墙顶部分别安装1台半球摄像机，做到视频覆盖加油站内所有区域。加油站共设置13具摄像机。</w:t>
      </w:r>
    </w:p>
    <w:p w14:paraId="7347DC16">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（2）系统监视、存储和回放的视频图像分辨率大于或等于1280×720像素，图像帧率大于或等于25fps。</w:t>
      </w:r>
    </w:p>
    <w:p w14:paraId="26D3235E">
      <w:p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lang w:eastAsia="zh-CN"/>
        </w:rPr>
        <w:t>（</w:t>
      </w:r>
      <w:r>
        <w:rPr>
          <w:rFonts w:hint="default" w:ascii="Times New Roman" w:hAnsi="Times New Roman" w:cs="Times New Roman"/>
          <w:caps w:val="0"/>
          <w:smallCaps w:val="0"/>
          <w:spacing w:val="0"/>
          <w:w w:val="100"/>
          <w:kern w:val="0"/>
          <w:szCs w:val="28"/>
        </w:rPr>
        <w:t>3）视频图像信息实时记录，保存期限不少于90天。</w:t>
      </w:r>
    </w:p>
    <w:p w14:paraId="69027865">
      <w:pPr>
        <w:pStyle w:val="5"/>
        <w:snapToGrid/>
        <w:rPr>
          <w:rFonts w:hint="default" w:ascii="Times New Roman" w:hAnsi="Times New Roman" w:eastAsia="黑体" w:cs="Times New Roman"/>
          <w:b w:val="0"/>
          <w:bCs w:val="0"/>
          <w:caps w:val="0"/>
          <w:smallCaps w:val="0"/>
          <w:spacing w:val="0"/>
          <w:w w:val="100"/>
        </w:rPr>
      </w:pPr>
      <w:bookmarkStart w:id="148" w:name="_Toc7061"/>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8</w:t>
      </w:r>
      <w:r>
        <w:rPr>
          <w:rFonts w:hint="default" w:ascii="Times New Roman" w:hAnsi="Times New Roman" w:eastAsia="黑体" w:cs="Times New Roman"/>
          <w:b w:val="0"/>
          <w:bCs w:val="0"/>
          <w:caps w:val="0"/>
          <w:smallCaps w:val="0"/>
          <w:spacing w:val="0"/>
          <w:w w:val="100"/>
        </w:rPr>
        <w:t>安全设施</w:t>
      </w:r>
      <w:bookmarkEnd w:id="145"/>
      <w:bookmarkEnd w:id="148"/>
    </w:p>
    <w:p w14:paraId="1ED1B61A">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49" w:name="_Toc25067433"/>
      <w:bookmarkStart w:id="150" w:name="_Toc47866953"/>
      <w:bookmarkStart w:id="151" w:name="_Toc23229102"/>
      <w:bookmarkStart w:id="152" w:name="_Toc31819"/>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8</w:t>
      </w:r>
      <w:r>
        <w:rPr>
          <w:rFonts w:hint="default" w:ascii="Times New Roman" w:hAnsi="Times New Roman" w:eastAsia="黑体" w:cs="Times New Roman"/>
          <w:b w:val="0"/>
          <w:bCs w:val="0"/>
          <w:caps w:val="0"/>
          <w:smallCaps w:val="0"/>
          <w:spacing w:val="0"/>
          <w:w w:val="100"/>
        </w:rPr>
        <w:t>.1预防事故设施</w:t>
      </w:r>
      <w:bookmarkEnd w:id="149"/>
      <w:bookmarkEnd w:id="150"/>
      <w:bookmarkEnd w:id="151"/>
      <w:bookmarkEnd w:id="152"/>
    </w:p>
    <w:p w14:paraId="6E43BD23">
      <w:pPr>
        <w:snapToGrid/>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（一）检测、报警设施</w:t>
      </w:r>
    </w:p>
    <w:p w14:paraId="37BBE2AC">
      <w:pPr>
        <w:numPr>
          <w:ilvl w:val="0"/>
          <w:numId w:val="1"/>
        </w:numPr>
        <w:tabs>
          <w:tab w:val="left" w:pos="1276"/>
        </w:tabs>
        <w:snapToGrid/>
        <w:ind w:left="0" w:firstLine="560"/>
        <w:rPr>
          <w:rFonts w:hint="default" w:ascii="Times New Roman" w:hAnsi="Times New Roman" w:cs="Times New Roman"/>
          <w:caps w:val="0"/>
          <w:smallCaps w:val="0"/>
          <w:spacing w:val="0"/>
          <w:w w:val="100"/>
          <w:kern w:val="0"/>
          <w:szCs w:val="28"/>
        </w:rPr>
      </w:pPr>
      <w:bookmarkStart w:id="153" w:name="_Hlk67410615"/>
      <w:r>
        <w:rPr>
          <w:rFonts w:hint="default" w:ascii="Times New Roman" w:hAnsi="Times New Roman" w:cs="Times New Roman"/>
          <w:caps w:val="0"/>
          <w:smallCaps w:val="0"/>
          <w:spacing w:val="0"/>
          <w:w w:val="100"/>
          <w:kern w:val="0"/>
          <w:szCs w:val="28"/>
        </w:rPr>
        <w:fldChar w:fldCharType="begin"/>
      </w:r>
      <w:r>
        <w:rPr>
          <w:rFonts w:hint="default" w:ascii="Times New Roman" w:hAnsi="Times New Roman" w:cs="Times New Roman"/>
          <w:caps w:val="0"/>
          <w:smallCaps w:val="0"/>
          <w:spacing w:val="0"/>
          <w:w w:val="100"/>
          <w:kern w:val="0"/>
          <w:szCs w:val="28"/>
        </w:rPr>
        <w:instrText xml:space="preserve"> LINK Excel.Sheet.12 D:\\加油站模板母板按新规范修改\\基础表格.xlsx 基本情况!R38C4 \a \f 4 \r  \* MERGEFORMAT </w:instrText>
      </w:r>
      <w:r>
        <w:rPr>
          <w:rFonts w:hint="default" w:ascii="Times New Roman" w:hAnsi="Times New Roman" w:cs="Times New Roman"/>
          <w:caps w:val="0"/>
          <w:smallCaps w:val="0"/>
          <w:spacing w:val="0"/>
          <w:w w:val="100"/>
          <w:kern w:val="0"/>
          <w:szCs w:val="28"/>
        </w:rPr>
        <w:fldChar w:fldCharType="separate"/>
      </w:r>
      <w:r>
        <w:rPr>
          <w:rFonts w:hint="default" w:ascii="Times New Roman" w:hAnsi="Times New Roman" w:cs="Times New Roman"/>
          <w:caps w:val="0"/>
          <w:smallCaps w:val="0"/>
          <w:spacing w:val="0"/>
          <w:w w:val="100"/>
          <w:kern w:val="0"/>
          <w:szCs w:val="28"/>
        </w:rPr>
        <w:t>卸油区设置静电接地报警仪，确保卸车安全。</w:t>
      </w:r>
      <w:r>
        <w:rPr>
          <w:rFonts w:hint="default" w:ascii="Times New Roman" w:hAnsi="Times New Roman" w:cs="Times New Roman"/>
          <w:caps w:val="0"/>
          <w:smallCaps w:val="0"/>
          <w:spacing w:val="0"/>
          <w:w w:val="100"/>
          <w:kern w:val="0"/>
          <w:szCs w:val="28"/>
        </w:rPr>
        <w:fldChar w:fldCharType="end"/>
      </w:r>
    </w:p>
    <w:p w14:paraId="3DF3BD2C">
      <w:pPr>
        <w:numPr>
          <w:ilvl w:val="0"/>
          <w:numId w:val="1"/>
        </w:numPr>
        <w:tabs>
          <w:tab w:val="left" w:pos="1276"/>
        </w:tabs>
        <w:snapToGrid/>
        <w:ind w:left="0"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fldChar w:fldCharType="begin"/>
      </w:r>
      <w:r>
        <w:rPr>
          <w:rFonts w:hint="default" w:ascii="Times New Roman" w:hAnsi="Times New Roman" w:cs="Times New Roman"/>
          <w:caps w:val="0"/>
          <w:smallCaps w:val="0"/>
          <w:spacing w:val="0"/>
          <w:w w:val="100"/>
          <w:kern w:val="0"/>
          <w:szCs w:val="28"/>
        </w:rPr>
        <w:instrText xml:space="preserve"> LINK Excel.Sheet.12 D:\\加油站模板母板按新规范修改\\基础表格.xlsx 基本情况!R32C4 \a \f 4 \r  \* MERGEFORMAT </w:instrText>
      </w:r>
      <w:r>
        <w:rPr>
          <w:rFonts w:hint="default" w:ascii="Times New Roman" w:hAnsi="Times New Roman" w:cs="Times New Roman"/>
          <w:caps w:val="0"/>
          <w:smallCaps w:val="0"/>
          <w:spacing w:val="0"/>
          <w:w w:val="100"/>
          <w:kern w:val="0"/>
          <w:szCs w:val="28"/>
        </w:rPr>
        <w:fldChar w:fldCharType="separate"/>
      </w:r>
      <w:r>
        <w:rPr>
          <w:rFonts w:hint="default" w:ascii="Times New Roman" w:hAnsi="Times New Roman" w:cs="Times New Roman"/>
          <w:caps w:val="0"/>
          <w:smallCaps w:val="0"/>
          <w:spacing w:val="0"/>
          <w:w w:val="100"/>
          <w:kern w:val="0"/>
          <w:szCs w:val="28"/>
        </w:rPr>
        <w:t>加油站油罐已安装液位检测报警仪。</w:t>
      </w:r>
      <w:r>
        <w:rPr>
          <w:rFonts w:hint="default" w:ascii="Times New Roman" w:hAnsi="Times New Roman" w:cs="Times New Roman"/>
          <w:caps w:val="0"/>
          <w:smallCaps w:val="0"/>
          <w:spacing w:val="0"/>
          <w:w w:val="100"/>
          <w:kern w:val="0"/>
          <w:szCs w:val="28"/>
        </w:rPr>
        <w:fldChar w:fldCharType="end"/>
      </w:r>
    </w:p>
    <w:p w14:paraId="4AAD0EE9">
      <w:pPr>
        <w:numPr>
          <w:ilvl w:val="0"/>
          <w:numId w:val="1"/>
        </w:numPr>
        <w:tabs>
          <w:tab w:val="left" w:pos="1276"/>
        </w:tabs>
        <w:snapToGrid/>
        <w:ind w:left="0"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fldChar w:fldCharType="begin"/>
      </w:r>
      <w:r>
        <w:rPr>
          <w:rFonts w:hint="default" w:ascii="Times New Roman" w:hAnsi="Times New Roman" w:cs="Times New Roman"/>
          <w:caps w:val="0"/>
          <w:smallCaps w:val="0"/>
          <w:spacing w:val="0"/>
          <w:w w:val="100"/>
          <w:kern w:val="0"/>
          <w:szCs w:val="28"/>
        </w:rPr>
        <w:instrText xml:space="preserve"> LINK Excel.Sheet.12 D:\\加油站模板母板按新规范修改\\基础表格.xlsx 基本情况!R33C4 \a \f 4 \r  \* MERGEFORMAT </w:instrText>
      </w:r>
      <w:r>
        <w:rPr>
          <w:rFonts w:hint="default" w:ascii="Times New Roman" w:hAnsi="Times New Roman" w:cs="Times New Roman"/>
          <w:caps w:val="0"/>
          <w:smallCaps w:val="0"/>
          <w:spacing w:val="0"/>
          <w:w w:val="100"/>
          <w:kern w:val="0"/>
          <w:szCs w:val="28"/>
        </w:rPr>
        <w:fldChar w:fldCharType="separate"/>
      </w:r>
      <w:r>
        <w:rPr>
          <w:rFonts w:hint="default" w:ascii="Times New Roman" w:hAnsi="Times New Roman" w:cs="Times New Roman"/>
          <w:caps w:val="0"/>
          <w:smallCaps w:val="0"/>
          <w:spacing w:val="0"/>
          <w:w w:val="100"/>
          <w:kern w:val="0"/>
          <w:szCs w:val="28"/>
        </w:rPr>
        <w:t>加油站各储罐设有油罐泄漏检测报警设施。</w:t>
      </w:r>
      <w:r>
        <w:rPr>
          <w:rFonts w:hint="default" w:ascii="Times New Roman" w:hAnsi="Times New Roman" w:cs="Times New Roman"/>
          <w:caps w:val="0"/>
          <w:smallCaps w:val="0"/>
          <w:spacing w:val="0"/>
          <w:w w:val="100"/>
          <w:kern w:val="0"/>
          <w:szCs w:val="28"/>
        </w:rPr>
        <w:fldChar w:fldCharType="end"/>
      </w:r>
    </w:p>
    <w:bookmarkEnd w:id="153"/>
    <w:p w14:paraId="6C21D6E2">
      <w:pPr>
        <w:numPr>
          <w:ilvl w:val="0"/>
          <w:numId w:val="1"/>
        </w:numPr>
        <w:tabs>
          <w:tab w:val="left" w:pos="1276"/>
        </w:tabs>
        <w:snapToGrid/>
        <w:ind w:left="0"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fldChar w:fldCharType="begin"/>
      </w:r>
      <w:r>
        <w:rPr>
          <w:rFonts w:hint="default" w:ascii="Times New Roman" w:hAnsi="Times New Roman" w:cs="Times New Roman"/>
          <w:caps w:val="0"/>
          <w:smallCaps w:val="0"/>
          <w:spacing w:val="0"/>
          <w:w w:val="100"/>
          <w:kern w:val="0"/>
          <w:szCs w:val="28"/>
        </w:rPr>
        <w:instrText xml:space="preserve"> LINK Excel.Sheet.12 D:\\加油站模板母板按新规范修改\\基础表格.xlsx 基本情况!R28C4 \a \f 4 \r  \* MERGEFORMAT </w:instrText>
      </w:r>
      <w:r>
        <w:rPr>
          <w:rFonts w:hint="default" w:ascii="Times New Roman" w:hAnsi="Times New Roman" w:cs="Times New Roman"/>
          <w:caps w:val="0"/>
          <w:smallCaps w:val="0"/>
          <w:spacing w:val="0"/>
          <w:w w:val="100"/>
          <w:kern w:val="0"/>
          <w:szCs w:val="28"/>
        </w:rPr>
        <w:fldChar w:fldCharType="separate"/>
      </w:r>
      <w:r>
        <w:rPr>
          <w:rFonts w:hint="default" w:ascii="Times New Roman" w:hAnsi="Times New Roman" w:cs="Times New Roman"/>
          <w:caps w:val="0"/>
          <w:smallCaps w:val="0"/>
          <w:spacing w:val="0"/>
          <w:w w:val="100"/>
          <w:kern w:val="0"/>
          <w:szCs w:val="28"/>
        </w:rPr>
        <w:t>加油站设置监控设施，监控范围包括油罐区、加油区、站区出入口、便利店、站长室等。</w:t>
      </w:r>
      <w:r>
        <w:rPr>
          <w:rFonts w:hint="default" w:ascii="Times New Roman" w:hAnsi="Times New Roman" w:cs="Times New Roman"/>
          <w:caps w:val="0"/>
          <w:smallCaps w:val="0"/>
          <w:spacing w:val="0"/>
          <w:w w:val="100"/>
          <w:kern w:val="0"/>
          <w:szCs w:val="28"/>
        </w:rPr>
        <w:fldChar w:fldCharType="end"/>
      </w:r>
    </w:p>
    <w:p w14:paraId="44922578">
      <w:pPr>
        <w:snapToGrid/>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（二）设备安全防护设施</w:t>
      </w:r>
    </w:p>
    <w:p w14:paraId="0869EF45">
      <w:pPr>
        <w:snapToGrid/>
        <w:ind w:firstLine="397"/>
        <w:rPr>
          <w:rFonts w:hint="default" w:ascii="Times New Roman" w:hAnsi="Times New Roman" w:cs="Times New Roman"/>
          <w:caps w:val="0"/>
          <w:smallCaps w:val="0"/>
          <w:spacing w:val="0"/>
          <w:w w:val="100"/>
          <w:szCs w:val="28"/>
        </w:rPr>
      </w:pPr>
      <w:bookmarkStart w:id="154" w:name="_Toc27705"/>
      <w:bookmarkStart w:id="155" w:name="_Toc6249"/>
      <w:bookmarkStart w:id="156" w:name="_Toc2916"/>
      <w:r>
        <w:rPr>
          <w:rFonts w:hint="default" w:ascii="Times New Roman" w:hAnsi="Times New Roman" w:cs="Times New Roman"/>
          <w:caps w:val="0"/>
          <w:smallCaps w:val="0"/>
          <w:spacing w:val="0"/>
          <w:w w:val="100"/>
          <w:szCs w:val="28"/>
        </w:rPr>
        <w:t>1.防雷、防静电接地</w:t>
      </w:r>
    </w:p>
    <w:p w14:paraId="624387DF">
      <w:pPr>
        <w:snapToGrid/>
        <w:ind w:firstLine="397"/>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（1）本项目所属地区年均雷暴天数为95d，属于高雷暴地区，罩棚及站房采取防直击雷措施，根据《建筑物防雷设计规范》（GB50057-2010），罩棚按二类防雷建筑物设防，站房、辅房按三类防雷建筑设防。</w:t>
      </w:r>
    </w:p>
    <w:p w14:paraId="59CB41A5">
      <w:pPr>
        <w:pStyle w:val="2"/>
        <w:rPr>
          <w:rFonts w:hint="default" w:ascii="Times New Roman" w:hAnsi="Times New Roman" w:cs="Times New Roman"/>
          <w:caps w:val="0"/>
          <w:smallCaps w:val="0"/>
          <w:spacing w:val="0"/>
          <w:w w:val="100"/>
          <w:sz w:val="28"/>
          <w:szCs w:val="28"/>
        </w:rPr>
      </w:pPr>
      <w:r>
        <w:rPr>
          <w:rFonts w:hint="default" w:ascii="Times New Roman" w:hAnsi="Times New Roman" w:cs="Times New Roman"/>
          <w:caps w:val="0"/>
          <w:smallCaps w:val="0"/>
          <w:spacing w:val="0"/>
          <w:w w:val="100"/>
          <w:sz w:val="28"/>
          <w:szCs w:val="28"/>
          <w:lang w:eastAsia="zh-CN"/>
        </w:rPr>
        <w:t>（</w:t>
      </w:r>
      <w:r>
        <w:rPr>
          <w:rFonts w:hint="default" w:ascii="Times New Roman" w:hAnsi="Times New Roman" w:cs="Times New Roman"/>
          <w:caps w:val="0"/>
          <w:smallCaps w:val="0"/>
          <w:spacing w:val="0"/>
          <w:w w:val="100"/>
          <w:sz w:val="28"/>
          <w:szCs w:val="28"/>
          <w:lang w:val="en-US" w:eastAsia="zh-CN"/>
        </w:rPr>
        <w:t>2</w:t>
      </w:r>
      <w:r>
        <w:rPr>
          <w:rFonts w:hint="default" w:ascii="Times New Roman" w:hAnsi="Times New Roman" w:cs="Times New Roman"/>
          <w:caps w:val="0"/>
          <w:smallCaps w:val="0"/>
          <w:spacing w:val="0"/>
          <w:w w:val="100"/>
          <w:sz w:val="28"/>
          <w:szCs w:val="28"/>
        </w:rPr>
        <w:t>）加油机与接地线相连，接地支线引至加油机箱内，机体和其内金属设备，油管及电线管都与接地支线电气连接。</w:t>
      </w:r>
    </w:p>
    <w:p w14:paraId="65A24828">
      <w:pPr>
        <w:pStyle w:val="2"/>
        <w:rPr>
          <w:rFonts w:hint="default" w:ascii="Times New Roman" w:hAnsi="Times New Roman" w:cs="Times New Roman"/>
          <w:caps w:val="0"/>
          <w:smallCaps w:val="0"/>
          <w:spacing w:val="0"/>
          <w:w w:val="100"/>
          <w:sz w:val="28"/>
          <w:szCs w:val="28"/>
        </w:rPr>
      </w:pPr>
      <w:r>
        <w:rPr>
          <w:rFonts w:hint="default" w:ascii="Times New Roman" w:hAnsi="Times New Roman" w:cs="Times New Roman"/>
          <w:caps w:val="0"/>
          <w:smallCaps w:val="0"/>
          <w:spacing w:val="0"/>
          <w:w w:val="100"/>
          <w:sz w:val="28"/>
          <w:szCs w:val="28"/>
          <w:lang w:eastAsia="zh-CN"/>
        </w:rPr>
        <w:t>（</w:t>
      </w:r>
      <w:r>
        <w:rPr>
          <w:rFonts w:hint="default" w:ascii="Times New Roman" w:hAnsi="Times New Roman" w:cs="Times New Roman"/>
          <w:caps w:val="0"/>
          <w:smallCaps w:val="0"/>
          <w:spacing w:val="0"/>
          <w:w w:val="100"/>
          <w:sz w:val="28"/>
          <w:szCs w:val="28"/>
          <w:lang w:val="en-US" w:eastAsia="zh-CN"/>
        </w:rPr>
        <w:t>3</w:t>
      </w:r>
      <w:r>
        <w:rPr>
          <w:rFonts w:hint="default" w:ascii="Times New Roman" w:hAnsi="Times New Roman" w:cs="Times New Roman"/>
          <w:caps w:val="0"/>
          <w:smallCaps w:val="0"/>
          <w:spacing w:val="0"/>
          <w:w w:val="100"/>
          <w:sz w:val="28"/>
          <w:szCs w:val="28"/>
        </w:rPr>
        <w:t>）卸油点附近安装固定式静电接地报警仪和人体静电释放装置，静电接地极距离卸油点不小于1.5m。</w:t>
      </w:r>
    </w:p>
    <w:p w14:paraId="1DB711FB">
      <w:pPr>
        <w:pStyle w:val="2"/>
        <w:rPr>
          <w:rFonts w:hint="default" w:ascii="Times New Roman" w:hAnsi="Times New Roman" w:cs="Times New Roman"/>
          <w:caps w:val="0"/>
          <w:smallCaps w:val="0"/>
          <w:spacing w:val="0"/>
          <w:w w:val="100"/>
          <w:sz w:val="28"/>
          <w:szCs w:val="28"/>
        </w:rPr>
      </w:pPr>
      <w:r>
        <w:rPr>
          <w:rFonts w:hint="default" w:ascii="Times New Roman" w:hAnsi="Times New Roman" w:cs="Times New Roman"/>
          <w:caps w:val="0"/>
          <w:smallCaps w:val="0"/>
          <w:spacing w:val="0"/>
          <w:w w:val="100"/>
          <w:sz w:val="28"/>
          <w:szCs w:val="28"/>
          <w:lang w:eastAsia="zh-CN"/>
        </w:rPr>
        <w:t>（</w:t>
      </w:r>
      <w:r>
        <w:rPr>
          <w:rFonts w:hint="default" w:ascii="Times New Roman" w:hAnsi="Times New Roman" w:cs="Times New Roman"/>
          <w:caps w:val="0"/>
          <w:smallCaps w:val="0"/>
          <w:spacing w:val="0"/>
          <w:w w:val="100"/>
          <w:sz w:val="28"/>
          <w:szCs w:val="28"/>
          <w:lang w:val="en-US" w:eastAsia="zh-CN"/>
        </w:rPr>
        <w:t>4</w:t>
      </w:r>
      <w:r>
        <w:rPr>
          <w:rFonts w:hint="default" w:ascii="Times New Roman" w:hAnsi="Times New Roman" w:cs="Times New Roman"/>
          <w:caps w:val="0"/>
          <w:smallCaps w:val="0"/>
          <w:spacing w:val="0"/>
          <w:w w:val="100"/>
          <w:sz w:val="28"/>
          <w:szCs w:val="28"/>
        </w:rPr>
        <w:t>）管道始末端、卸油口处安装接地线。</w:t>
      </w:r>
    </w:p>
    <w:p w14:paraId="7DDEE529">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 w:val="28"/>
          <w:szCs w:val="28"/>
          <w:lang w:eastAsia="zh-CN"/>
        </w:rPr>
        <w:t>（</w:t>
      </w:r>
      <w:r>
        <w:rPr>
          <w:rFonts w:hint="default" w:ascii="Times New Roman" w:hAnsi="Times New Roman" w:cs="Times New Roman"/>
          <w:caps w:val="0"/>
          <w:smallCaps w:val="0"/>
          <w:spacing w:val="0"/>
          <w:w w:val="100"/>
          <w:sz w:val="28"/>
          <w:szCs w:val="28"/>
          <w:lang w:val="en-US" w:eastAsia="zh-CN"/>
        </w:rPr>
        <w:t>5</w:t>
      </w:r>
      <w:r>
        <w:rPr>
          <w:rFonts w:hint="default" w:ascii="Times New Roman" w:hAnsi="Times New Roman" w:cs="Times New Roman"/>
          <w:caps w:val="0"/>
          <w:smallCaps w:val="0"/>
          <w:spacing w:val="0"/>
          <w:w w:val="100"/>
          <w:sz w:val="28"/>
          <w:szCs w:val="28"/>
          <w:lang w:eastAsia="zh-CN"/>
        </w:rPr>
        <w:t>）</w:t>
      </w:r>
      <w:r>
        <w:rPr>
          <w:rFonts w:hint="default" w:ascii="Times New Roman" w:hAnsi="Times New Roman" w:cs="Times New Roman"/>
          <w:caps w:val="0"/>
          <w:smallCaps w:val="0"/>
          <w:spacing w:val="0"/>
          <w:w w:val="100"/>
          <w:kern w:val="0"/>
        </w:rPr>
        <w:t>加油站建（构）筑物防雷分类、接闪器、引下线、接地装置、等电位连接、防静电装置</w:t>
      </w:r>
      <w:r>
        <w:rPr>
          <w:rFonts w:hint="default" w:ascii="Times New Roman" w:hAnsi="Times New Roman" w:cs="Times New Roman"/>
          <w:caps w:val="0"/>
          <w:smallCaps w:val="0"/>
          <w:spacing w:val="0"/>
          <w:w w:val="100"/>
          <w:kern w:val="0"/>
          <w:szCs w:val="28"/>
        </w:rPr>
        <w:t>已经云南省气象灾害防御技术中心检测合格，并出具《雷电防护装置检测报告》，编号：</w:t>
      </w:r>
      <w:r>
        <w:rPr>
          <w:rFonts w:hint="default" w:ascii="Times New Roman" w:hAnsi="Times New Roman" w:cs="Times New Roman"/>
          <w:caps w:val="0"/>
          <w:smallCaps w:val="0"/>
          <w:spacing w:val="0"/>
          <w:w w:val="100"/>
        </w:rPr>
        <w:t>（报告编号：云雷检字[2025]XS第02034号）</w:t>
      </w:r>
      <w:r>
        <w:rPr>
          <w:rFonts w:hint="default" w:ascii="Times New Roman" w:hAnsi="Times New Roman" w:cs="Times New Roman"/>
          <w:caps w:val="0"/>
          <w:smallCaps w:val="0"/>
          <w:spacing w:val="0"/>
          <w:w w:val="100"/>
          <w:kern w:val="0"/>
          <w:szCs w:val="28"/>
        </w:rPr>
        <w:t>，有效期至2025年12月3日</w:t>
      </w:r>
      <w:r>
        <w:rPr>
          <w:rFonts w:hint="default" w:ascii="Times New Roman" w:hAnsi="Times New Roman" w:cs="Times New Roman"/>
          <w:caps w:val="0"/>
          <w:smallCaps w:val="0"/>
          <w:spacing w:val="0"/>
          <w:w w:val="100"/>
        </w:rPr>
        <w:t>，具体见附件。</w:t>
      </w:r>
    </w:p>
    <w:p w14:paraId="13398FCC">
      <w:pPr>
        <w:snapToGrid/>
        <w:ind w:left="560"/>
        <w:rPr>
          <w:rFonts w:hint="default" w:ascii="Times New Roman" w:hAnsi="Times New Roman" w:cs="Times New Roman"/>
          <w:caps w:val="0"/>
          <w:smallCaps w:val="0"/>
          <w:spacing w:val="0"/>
          <w:w w:val="100"/>
          <w:szCs w:val="20"/>
        </w:rPr>
      </w:pPr>
      <w:r>
        <w:rPr>
          <w:rFonts w:hint="default" w:ascii="Times New Roman" w:hAnsi="Times New Roman" w:cs="Times New Roman"/>
          <w:caps w:val="0"/>
          <w:smallCaps w:val="0"/>
          <w:spacing w:val="0"/>
          <w:w w:val="100"/>
          <w:szCs w:val="20"/>
        </w:rPr>
        <w:t>2.防腐</w:t>
      </w:r>
    </w:p>
    <w:p w14:paraId="224E2EC6">
      <w:pPr>
        <w:snapToGrid/>
        <w:ind w:firstLine="560"/>
        <w:rPr>
          <w:rFonts w:hint="default" w:ascii="Times New Roman" w:hAnsi="Times New Roman" w:cs="Times New Roman"/>
          <w:caps w:val="0"/>
          <w:smallCaps w:val="0"/>
          <w:spacing w:val="0"/>
          <w:w w:val="100"/>
          <w:kern w:val="0"/>
        </w:rPr>
      </w:pPr>
      <w:bookmarkStart w:id="157" w:name="_Hlk67410630"/>
      <w:r>
        <w:rPr>
          <w:rFonts w:hint="default" w:ascii="Times New Roman" w:hAnsi="Times New Roman" w:cs="Times New Roman"/>
          <w:caps w:val="0"/>
          <w:smallCaps w:val="0"/>
          <w:spacing w:val="0"/>
          <w:w w:val="100"/>
          <w:kern w:val="0"/>
          <w:lang w:eastAsia="zh-CN"/>
        </w:rPr>
        <w:t>（</w:t>
      </w:r>
      <w:r>
        <w:rPr>
          <w:rFonts w:hint="default" w:ascii="Times New Roman" w:hAnsi="Times New Roman" w:cs="Times New Roman"/>
          <w:caps w:val="0"/>
          <w:smallCaps w:val="0"/>
          <w:spacing w:val="0"/>
          <w:w w:val="100"/>
          <w:kern w:val="0"/>
        </w:rPr>
        <w:t>1）本项目的油罐外层为FRP-强化玻璃钢复合材质，具有防腐功能。</w:t>
      </w:r>
    </w:p>
    <w:p w14:paraId="2C65151B">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lang w:eastAsia="zh-CN"/>
        </w:rPr>
        <w:t>（</w:t>
      </w:r>
      <w:r>
        <w:rPr>
          <w:rFonts w:hint="default" w:ascii="Times New Roman" w:hAnsi="Times New Roman" w:cs="Times New Roman"/>
          <w:caps w:val="0"/>
          <w:smallCaps w:val="0"/>
          <w:spacing w:val="0"/>
          <w:w w:val="100"/>
          <w:kern w:val="0"/>
        </w:rPr>
        <w:t>2）加油管道采用热塑性双层复合管道，卸油管道、卸油油气回收管道、加油油气回收管道采用无缝钢管，具有良好的抗腐蚀能力。</w:t>
      </w:r>
    </w:p>
    <w:bookmarkEnd w:id="157"/>
    <w:p w14:paraId="2466A5D3">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3.油罐抗浮</w:t>
      </w:r>
    </w:p>
    <w:p w14:paraId="10F44322">
      <w:pPr>
        <w:snapToGrid/>
        <w:ind w:firstLine="560"/>
        <w:rPr>
          <w:rFonts w:hint="default" w:ascii="Times New Roman" w:hAnsi="Times New Roman" w:eastAsia="新宋体" w:cs="Times New Roman"/>
          <w:caps w:val="0"/>
          <w:smallCaps w:val="0"/>
          <w:spacing w:val="0"/>
          <w:w w:val="100"/>
          <w:kern w:val="0"/>
        </w:rPr>
      </w:pPr>
      <w:r>
        <w:rPr>
          <w:rFonts w:hint="default" w:ascii="Times New Roman" w:hAnsi="Times New Roman" w:eastAsia="新宋体" w:cs="Times New Roman"/>
          <w:caps w:val="0"/>
          <w:smallCaps w:val="0"/>
          <w:spacing w:val="0"/>
          <w:w w:val="100"/>
          <w:kern w:val="0"/>
        </w:rPr>
        <w:t>根据罐区地下水位对油罐产生的浮力进行基础设计，底板内预埋抗浮锚固钢筋，以扁钢做抗浮抱带，将油罐固定在底板上，防止油罐上浮。</w:t>
      </w:r>
    </w:p>
    <w:p w14:paraId="05C01AAA">
      <w:pPr>
        <w:snapToGrid/>
        <w:ind w:firstLine="560"/>
        <w:rPr>
          <w:rFonts w:hint="default" w:ascii="Times New Roman" w:hAnsi="Times New Roman" w:eastAsia="新宋体" w:cs="Times New Roman"/>
          <w:caps w:val="0"/>
          <w:smallCaps w:val="0"/>
          <w:spacing w:val="0"/>
          <w:w w:val="100"/>
          <w:szCs w:val="28"/>
        </w:rPr>
      </w:pPr>
      <w:r>
        <w:rPr>
          <w:rFonts w:hint="default" w:ascii="Times New Roman" w:hAnsi="Times New Roman" w:eastAsia="新宋体" w:cs="Times New Roman"/>
          <w:caps w:val="0"/>
          <w:smallCaps w:val="0"/>
          <w:spacing w:val="0"/>
          <w:w w:val="100"/>
          <w:szCs w:val="28"/>
        </w:rPr>
        <w:t>4.防渗漏</w:t>
      </w:r>
    </w:p>
    <w:p w14:paraId="35CB9EC9">
      <w:pPr>
        <w:snapToGrid/>
        <w:ind w:firstLine="560"/>
        <w:rPr>
          <w:rFonts w:hint="default" w:ascii="Times New Roman" w:hAnsi="Times New Roman" w:eastAsia="新宋体" w:cs="Times New Roman"/>
          <w:caps w:val="0"/>
          <w:smallCaps w:val="0"/>
          <w:spacing w:val="0"/>
          <w:w w:val="100"/>
          <w:kern w:val="0"/>
          <w:szCs w:val="28"/>
        </w:rPr>
      </w:pPr>
      <w:bookmarkStart w:id="158" w:name="_Hlk67410643"/>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1）油罐采用SF双层罐。</w:t>
      </w:r>
    </w:p>
    <w:p w14:paraId="5F97533E">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2）本项目每个油罐均设置渗漏检测立管，检测立管上安装渗漏检测仪，便于查看油罐漏油情况。</w:t>
      </w:r>
    </w:p>
    <w:p w14:paraId="4B6163A4">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3）站内加油管道采用热塑性双层复合管道，热塑性复合管道的主体结构为无空隙聚乙烯材料，壁厚大于4mm，管道采用配套的连接管件电熔连接。其余管道采用无缝钢管，地下部分采用焊接，地上部分采用焊接和法兰连接。焊接人员需持证上岗。</w:t>
      </w:r>
    </w:p>
    <w:p w14:paraId="7238568D">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4）卸油口内壁采用1:2防水水泥砂浆抹面做成防渗层，满足防渗漏要求。</w:t>
      </w:r>
    </w:p>
    <w:p w14:paraId="765D6677">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5）加油机下方采取配套的防渗底座，管道穿过井壁使用专用密封装置，确保操作井密封严密。</w:t>
      </w:r>
    </w:p>
    <w:p w14:paraId="7830DE2F">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6）油罐安装具有高液位报警功能的液位监测系统。</w:t>
      </w:r>
    </w:p>
    <w:p w14:paraId="6568FD8C">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7）加油管道采用双层复合管道</w:t>
      </w:r>
      <w:r>
        <w:rPr>
          <w:rFonts w:hint="default" w:ascii="Times New Roman" w:hAnsi="Times New Roman" w:eastAsia="新宋体" w:cs="Times New Roman"/>
          <w:caps w:val="0"/>
          <w:smallCaps w:val="0"/>
          <w:spacing w:val="0"/>
          <w:w w:val="100"/>
          <w:kern w:val="0"/>
          <w:szCs w:val="28"/>
          <w:lang w:val="en-US" w:eastAsia="zh-CN"/>
        </w:rPr>
        <w:t>并设置</w:t>
      </w:r>
      <w:r>
        <w:rPr>
          <w:rFonts w:hint="default" w:ascii="Times New Roman" w:hAnsi="Times New Roman" w:eastAsia="新宋体" w:cs="Times New Roman"/>
          <w:caps w:val="0"/>
          <w:smallCaps w:val="0"/>
          <w:spacing w:val="0"/>
          <w:w w:val="100"/>
          <w:kern w:val="0"/>
          <w:szCs w:val="28"/>
        </w:rPr>
        <w:t>管道系统的渗漏检测采用在线监测系统。</w:t>
      </w:r>
    </w:p>
    <w:bookmarkEnd w:id="154"/>
    <w:bookmarkEnd w:id="155"/>
    <w:bookmarkEnd w:id="156"/>
    <w:bookmarkEnd w:id="158"/>
    <w:p w14:paraId="07D3D0F5">
      <w:pPr>
        <w:snapToGrid/>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（三）防火、防爆设施</w:t>
      </w:r>
    </w:p>
    <w:p w14:paraId="64040C76">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1）4个SF双层卧式储油罐埋地设置。</w:t>
      </w:r>
    </w:p>
    <w:p w14:paraId="0A5EF352">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2）油罐车卸油采用密闭卸油方式。</w:t>
      </w:r>
    </w:p>
    <w:p w14:paraId="77A94C34">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rPr>
        <w:t>3）各种油品统一设置密闭卸油点，集中布置，便于集中管理，卸油接口装设快速接头及密封盖。</w:t>
      </w:r>
    </w:p>
    <w:p w14:paraId="2D0532AD">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lang w:val="en-US" w:eastAsia="zh-CN"/>
        </w:rPr>
        <w:t>4</w:t>
      </w:r>
      <w:r>
        <w:rPr>
          <w:rFonts w:hint="default" w:ascii="Times New Roman" w:hAnsi="Times New Roman" w:eastAsia="新宋体" w:cs="Times New Roman"/>
          <w:caps w:val="0"/>
          <w:smallCaps w:val="0"/>
          <w:spacing w:val="0"/>
          <w:w w:val="100"/>
          <w:kern w:val="0"/>
          <w:szCs w:val="28"/>
        </w:rPr>
        <w:t>）加油机按照规范布置在罩棚下、敞开空间，避免有害气体的聚积。</w:t>
      </w:r>
    </w:p>
    <w:p w14:paraId="3B75E66C">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lang w:val="en-US" w:eastAsia="zh-CN"/>
        </w:rPr>
        <w:t>5</w:t>
      </w:r>
      <w:r>
        <w:rPr>
          <w:rFonts w:hint="default" w:ascii="Times New Roman" w:hAnsi="Times New Roman" w:eastAsia="新宋体" w:cs="Times New Roman"/>
          <w:caps w:val="0"/>
          <w:smallCaps w:val="0"/>
          <w:spacing w:val="0"/>
          <w:w w:val="100"/>
          <w:kern w:val="0"/>
          <w:szCs w:val="28"/>
        </w:rPr>
        <w:t>）加油枪采用自封式加油枪，汽油加油枪的流量不大于50L/min。</w:t>
      </w:r>
    </w:p>
    <w:p w14:paraId="00BD8343">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lang w:val="en-US" w:eastAsia="zh-CN"/>
        </w:rPr>
        <w:t>6</w:t>
      </w:r>
      <w:r>
        <w:rPr>
          <w:rFonts w:hint="default" w:ascii="Times New Roman" w:hAnsi="Times New Roman" w:eastAsia="新宋体" w:cs="Times New Roman"/>
          <w:caps w:val="0"/>
          <w:smallCaps w:val="0"/>
          <w:spacing w:val="0"/>
          <w:w w:val="100"/>
          <w:kern w:val="0"/>
          <w:szCs w:val="28"/>
        </w:rPr>
        <w:t>）汽油罐与柴油罐的通气管分开设置。通气管公称直径为DN50，通气管管口高出罩棚顶部2.0m，柴油罐的通气管管口设阻火器，汽油罐的通气管管口装设阻火器及机械呼吸阀，呼吸阀的工作正压为 2kPa-3kPa，工作负压为1.5kPa-2kPa，在正常情况下带机械呼吸阀的通气管闸阀常开，而不带机械呼吸阀的通气管的闸阀应常闭，只有在维护或检修机械呼吸阀时才能开启不带机械呼吸阀的通气管。</w:t>
      </w:r>
    </w:p>
    <w:p w14:paraId="01615CD6">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eastAsia="zh-CN"/>
        </w:rPr>
        <w:t>（</w:t>
      </w:r>
      <w:r>
        <w:rPr>
          <w:rFonts w:hint="default" w:ascii="Times New Roman" w:hAnsi="Times New Roman" w:eastAsia="新宋体" w:cs="Times New Roman"/>
          <w:caps w:val="0"/>
          <w:smallCaps w:val="0"/>
          <w:spacing w:val="0"/>
          <w:w w:val="100"/>
          <w:kern w:val="0"/>
          <w:szCs w:val="28"/>
          <w:lang w:val="en-US" w:eastAsia="zh-CN"/>
        </w:rPr>
        <w:t>7</w:t>
      </w:r>
      <w:r>
        <w:rPr>
          <w:rFonts w:hint="default" w:ascii="Times New Roman" w:hAnsi="Times New Roman" w:eastAsia="新宋体" w:cs="Times New Roman"/>
          <w:caps w:val="0"/>
          <w:smallCaps w:val="0"/>
          <w:spacing w:val="0"/>
          <w:w w:val="100"/>
          <w:kern w:val="0"/>
          <w:szCs w:val="28"/>
        </w:rPr>
        <w:t>）管道采用符合现行国家标准《输送流体用无缝钢管》GB/T8163的无缝钢管。连接方式除与加油机及储油罐接口采用法兰连接外，其余为焊接。</w:t>
      </w:r>
    </w:p>
    <w:p w14:paraId="0F3339C4">
      <w:pPr>
        <w:snapToGrid/>
        <w:ind w:firstLine="560"/>
        <w:rPr>
          <w:rFonts w:hint="default" w:ascii="Times New Roman" w:hAnsi="Times New Roman" w:eastAsia="新宋体" w:cs="Times New Roman"/>
          <w:caps w:val="0"/>
          <w:smallCaps w:val="0"/>
          <w:spacing w:val="0"/>
          <w:w w:val="100"/>
          <w:kern w:val="0"/>
          <w:szCs w:val="28"/>
        </w:rPr>
      </w:pPr>
      <w:r>
        <w:rPr>
          <w:rFonts w:hint="default" w:ascii="Times New Roman" w:hAnsi="Times New Roman" w:eastAsia="新宋体" w:cs="Times New Roman"/>
          <w:caps w:val="0"/>
          <w:smallCaps w:val="0"/>
          <w:spacing w:val="0"/>
          <w:w w:val="100"/>
          <w:kern w:val="0"/>
          <w:szCs w:val="28"/>
          <w:lang w:val="en-US" w:eastAsia="zh-CN"/>
        </w:rPr>
        <w:t>（8</w:t>
      </w:r>
      <w:r>
        <w:rPr>
          <w:rFonts w:hint="default" w:ascii="Times New Roman" w:hAnsi="Times New Roman" w:eastAsia="新宋体" w:cs="Times New Roman"/>
          <w:caps w:val="0"/>
          <w:smallCaps w:val="0"/>
          <w:spacing w:val="0"/>
          <w:w w:val="100"/>
          <w:kern w:val="0"/>
          <w:szCs w:val="28"/>
        </w:rPr>
        <w:t>）卸油油气回收管道的接口采用自闭式快速接头，在靠近快速接头的连接管道上装设阀门。</w:t>
      </w:r>
    </w:p>
    <w:p w14:paraId="7E38D685">
      <w:pPr>
        <w:snapToGrid/>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（四）作业场所防护设施</w:t>
      </w:r>
    </w:p>
    <w:p w14:paraId="658AAEB1">
      <w:pPr>
        <w:snapToGrid/>
        <w:ind w:firstLine="560" w:firstLineChars="200"/>
        <w:rPr>
          <w:rFonts w:hint="default" w:ascii="Times New Roman" w:hAnsi="Times New Roman" w:cs="Times New Roman"/>
          <w:caps w:val="0"/>
          <w:smallCaps w:val="0"/>
          <w:spacing w:val="0"/>
          <w:w w:val="100"/>
        </w:rPr>
      </w:pPr>
      <w:bookmarkStart w:id="159" w:name="_Toc197572754"/>
      <w:bookmarkStart w:id="160" w:name="_Toc402701828"/>
      <w:bookmarkStart w:id="161" w:name="_Toc451859837"/>
      <w:bookmarkStart w:id="162" w:name="_Toc195176722"/>
      <w:bookmarkStart w:id="163" w:name="_Toc395248267"/>
      <w:bookmarkStart w:id="164" w:name="_Toc459901970"/>
      <w:bookmarkStart w:id="165" w:name="_Toc195176724"/>
      <w:r>
        <w:rPr>
          <w:rFonts w:hint="default" w:ascii="Times New Roman" w:hAnsi="Times New Roman" w:cs="Times New Roman"/>
          <w:caps w:val="0"/>
          <w:smallCaps w:val="0"/>
          <w:spacing w:val="0"/>
          <w:w w:val="100"/>
        </w:rPr>
        <w:t>1.加油岛两端分别设防撞栏，其高度不小于0.5m。</w:t>
      </w:r>
    </w:p>
    <w:p w14:paraId="145C983E">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2.卸油区设置人体静电消除装置。</w:t>
      </w:r>
    </w:p>
    <w:p w14:paraId="3F49312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3.设置有车辆引导线、卸油区停车位等标识。</w:t>
      </w:r>
    </w:p>
    <w:p w14:paraId="75EE9813">
      <w:pPr>
        <w:pStyle w:val="55"/>
        <w:snapToGrid/>
        <w:ind w:firstLine="0"/>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（五）安全警示标识</w:t>
      </w:r>
    </w:p>
    <w:p w14:paraId="5D4D0FFB">
      <w:pPr>
        <w:snapToGrid/>
        <w:ind w:firstLine="560" w:firstLineChars="200"/>
        <w:rPr>
          <w:rFonts w:hint="default" w:ascii="Times New Roman" w:hAnsi="Times New Roman" w:cs="Times New Roman"/>
          <w:caps w:val="0"/>
          <w:smallCaps w:val="0"/>
          <w:spacing w:val="0"/>
          <w:w w:val="100"/>
        </w:rPr>
      </w:pPr>
      <w:bookmarkStart w:id="166" w:name="_Toc25067434"/>
      <w:bookmarkStart w:id="167" w:name="_Toc47866954"/>
      <w:bookmarkStart w:id="168" w:name="_Toc23229103"/>
      <w:r>
        <w:rPr>
          <w:rFonts w:hint="default" w:ascii="Times New Roman" w:hAnsi="Times New Roman" w:cs="Times New Roman"/>
          <w:caps w:val="0"/>
          <w:smallCaps w:val="0"/>
          <w:spacing w:val="0"/>
          <w:w w:val="100"/>
        </w:rPr>
        <w:t>该项目加油区设置“熄火加油”“限速5km/h”“严禁烟火”“禁打手机”“油品标识牌”等安全警示标识；油罐操作井设置“油品标示牌、汽油柴油告示牌”等安全警示标识，进出站口设置指示牌及限速码。</w:t>
      </w:r>
    </w:p>
    <w:p w14:paraId="706AEC6B">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69" w:name="_Toc32442"/>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8</w:t>
      </w:r>
      <w:r>
        <w:rPr>
          <w:rFonts w:hint="default" w:ascii="Times New Roman" w:hAnsi="Times New Roman" w:eastAsia="黑体" w:cs="Times New Roman"/>
          <w:b w:val="0"/>
          <w:bCs w:val="0"/>
          <w:caps w:val="0"/>
          <w:smallCaps w:val="0"/>
          <w:spacing w:val="0"/>
          <w:w w:val="100"/>
        </w:rPr>
        <w:t>.2控制事故设施</w:t>
      </w:r>
      <w:bookmarkEnd w:id="159"/>
      <w:bookmarkEnd w:id="160"/>
      <w:bookmarkEnd w:id="161"/>
      <w:bookmarkEnd w:id="162"/>
      <w:bookmarkEnd w:id="163"/>
      <w:bookmarkEnd w:id="164"/>
      <w:bookmarkEnd w:id="166"/>
      <w:bookmarkEnd w:id="167"/>
      <w:bookmarkEnd w:id="168"/>
      <w:bookmarkEnd w:id="169"/>
    </w:p>
    <w:p w14:paraId="50FCB5B6">
      <w:pPr>
        <w:snapToGrid/>
        <w:ind w:firstLine="560"/>
        <w:rPr>
          <w:rFonts w:hint="default" w:ascii="Times New Roman" w:hAnsi="Times New Roman" w:cs="Times New Roman"/>
          <w:caps w:val="0"/>
          <w:smallCaps w:val="0"/>
          <w:spacing w:val="0"/>
          <w:w w:val="100"/>
          <w:kern w:val="0"/>
        </w:rPr>
      </w:pPr>
      <w:bookmarkStart w:id="170" w:name="_Toc25067435"/>
      <w:bookmarkStart w:id="171" w:name="_Toc23229104"/>
      <w:bookmarkStart w:id="172" w:name="_Toc18596064"/>
      <w:bookmarkStart w:id="173" w:name="_Toc47866955"/>
      <w:r>
        <w:rPr>
          <w:rFonts w:hint="default" w:ascii="Times New Roman" w:hAnsi="Times New Roman" w:cs="Times New Roman"/>
          <w:caps w:val="0"/>
          <w:smallCaps w:val="0"/>
          <w:spacing w:val="0"/>
          <w:w w:val="100"/>
          <w:kern w:val="0"/>
        </w:rPr>
        <w:t>（1）加油站配电室以及罩棚下均设置有应急照明灯。</w:t>
      </w:r>
    </w:p>
    <w:p w14:paraId="09D3F63D">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（2）油罐均设计有通气管。汽油罐通气管管口除设计装设阻火器外，还装设呼吸阀。</w:t>
      </w:r>
    </w:p>
    <w:p w14:paraId="239A43F3">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（3）加油站营业室及门口设置急停按钮，每台加油机上设置急停按钮。</w:t>
      </w:r>
    </w:p>
    <w:p w14:paraId="702D872F">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（4）加油岛两端设置防撞杆。</w:t>
      </w:r>
    </w:p>
    <w:p w14:paraId="1DA801F9">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（5）</w:t>
      </w:r>
      <w:r>
        <w:rPr>
          <w:rFonts w:hint="default" w:ascii="Times New Roman" w:hAnsi="Times New Roman" w:cs="Times New Roman"/>
          <w:caps w:val="0"/>
          <w:smallCaps w:val="0"/>
          <w:spacing w:val="0"/>
          <w:w w:val="100"/>
          <w:kern w:val="0"/>
          <w:szCs w:val="28"/>
        </w:rPr>
        <w:fldChar w:fldCharType="begin"/>
      </w:r>
      <w:r>
        <w:rPr>
          <w:rFonts w:hint="default" w:ascii="Times New Roman" w:hAnsi="Times New Roman" w:cs="Times New Roman"/>
          <w:caps w:val="0"/>
          <w:smallCaps w:val="0"/>
          <w:spacing w:val="0"/>
          <w:w w:val="100"/>
          <w:kern w:val="0"/>
          <w:szCs w:val="28"/>
        </w:rPr>
        <w:instrText xml:space="preserve"> LINK Excel.Sheet.12 D:\\加油站模板母板按新规范修改\\基础表格.xlsx 基本情况!R17C8 \a \f 4 \r  \* MERGEFORMAT </w:instrText>
      </w:r>
      <w:r>
        <w:rPr>
          <w:rFonts w:hint="default" w:ascii="Times New Roman" w:hAnsi="Times New Roman" w:cs="Times New Roman"/>
          <w:caps w:val="0"/>
          <w:smallCaps w:val="0"/>
          <w:spacing w:val="0"/>
          <w:w w:val="100"/>
          <w:kern w:val="0"/>
          <w:szCs w:val="28"/>
        </w:rPr>
        <w:fldChar w:fldCharType="separate"/>
      </w:r>
      <w:r>
        <w:rPr>
          <w:rFonts w:hint="default" w:ascii="Times New Roman" w:hAnsi="Times New Roman" w:cs="Times New Roman"/>
          <w:caps w:val="0"/>
          <w:smallCaps w:val="0"/>
          <w:color w:val="000000"/>
          <w:spacing w:val="0"/>
          <w:w w:val="100"/>
          <w:kern w:val="0"/>
          <w:szCs w:val="28"/>
        </w:rPr>
        <w:t>加油站采用潜油泵供油方式的加油机，其底部的供油管道上设置有剪切阀。</w:t>
      </w:r>
      <w:r>
        <w:rPr>
          <w:rFonts w:hint="default" w:ascii="Times New Roman" w:hAnsi="Times New Roman" w:cs="Times New Roman"/>
          <w:caps w:val="0"/>
          <w:smallCaps w:val="0"/>
          <w:spacing w:val="0"/>
          <w:w w:val="100"/>
          <w:kern w:val="0"/>
          <w:szCs w:val="28"/>
        </w:rPr>
        <w:fldChar w:fldCharType="end"/>
      </w:r>
    </w:p>
    <w:p w14:paraId="51607683">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（6）加油软管上设置拉断阀。</w:t>
      </w:r>
    </w:p>
    <w:p w14:paraId="7CAF5D3F">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74" w:name="_Toc11559"/>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8</w:t>
      </w:r>
      <w:r>
        <w:rPr>
          <w:rFonts w:hint="default" w:ascii="Times New Roman" w:hAnsi="Times New Roman" w:eastAsia="黑体" w:cs="Times New Roman"/>
          <w:b w:val="0"/>
          <w:bCs w:val="0"/>
          <w:caps w:val="0"/>
          <w:smallCaps w:val="0"/>
          <w:spacing w:val="0"/>
          <w:w w:val="100"/>
        </w:rPr>
        <w:t>.3减少与消除事故影响设施</w:t>
      </w:r>
      <w:bookmarkEnd w:id="170"/>
      <w:bookmarkEnd w:id="171"/>
      <w:bookmarkEnd w:id="172"/>
      <w:bookmarkEnd w:id="173"/>
      <w:bookmarkEnd w:id="174"/>
    </w:p>
    <w:p w14:paraId="6E993C09">
      <w:pPr>
        <w:snapToGrid/>
        <w:ind w:firstLine="560" w:firstLineChars="200"/>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（一）防止火灾蔓延设施</w:t>
      </w:r>
    </w:p>
    <w:p w14:paraId="07A112BE">
      <w:pPr>
        <w:numPr>
          <w:ilvl w:val="0"/>
          <w:numId w:val="2"/>
        </w:num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加油站储油罐按要求在通气管管口配置阻火器。</w:t>
      </w:r>
    </w:p>
    <w:p w14:paraId="4958C509">
      <w:pPr>
        <w:numPr>
          <w:ilvl w:val="0"/>
          <w:numId w:val="2"/>
        </w:num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fldChar w:fldCharType="begin"/>
      </w:r>
      <w:r>
        <w:rPr>
          <w:rFonts w:hint="default" w:ascii="Times New Roman" w:hAnsi="Times New Roman" w:cs="Times New Roman"/>
          <w:caps w:val="0"/>
          <w:smallCaps w:val="0"/>
          <w:spacing w:val="0"/>
          <w:w w:val="100"/>
          <w:kern w:val="0"/>
          <w:szCs w:val="28"/>
        </w:rPr>
        <w:instrText xml:space="preserve"> LINK Excel.Sheet.12 D:\\加油站模板母板按新规范修改\\基础表格.xlsx 基本情况!R24C8 \a \f 4 \r  \* MERGEFORMAT </w:instrText>
      </w:r>
      <w:r>
        <w:rPr>
          <w:rFonts w:hint="default" w:ascii="Times New Roman" w:hAnsi="Times New Roman" w:cs="Times New Roman"/>
          <w:caps w:val="0"/>
          <w:smallCaps w:val="0"/>
          <w:spacing w:val="0"/>
          <w:w w:val="100"/>
          <w:kern w:val="0"/>
          <w:szCs w:val="28"/>
        </w:rPr>
        <w:fldChar w:fldCharType="separate"/>
      </w:r>
      <w:r>
        <w:rPr>
          <w:rFonts w:hint="default" w:ascii="Times New Roman" w:hAnsi="Times New Roman" w:cs="Times New Roman"/>
          <w:caps w:val="0"/>
          <w:smallCaps w:val="0"/>
          <w:color w:val="000000"/>
          <w:spacing w:val="0"/>
          <w:w w:val="100"/>
          <w:kern w:val="0"/>
          <w:szCs w:val="28"/>
        </w:rPr>
        <w:t>加油区地面设有集水沟并通向隔油池，加油区泄漏的油品通过隔油措施后排出站外。</w:t>
      </w:r>
      <w:r>
        <w:rPr>
          <w:rFonts w:hint="default" w:ascii="Times New Roman" w:hAnsi="Times New Roman" w:cs="Times New Roman"/>
          <w:caps w:val="0"/>
          <w:smallCaps w:val="0"/>
          <w:spacing w:val="0"/>
          <w:w w:val="100"/>
          <w:kern w:val="0"/>
          <w:szCs w:val="28"/>
        </w:rPr>
        <w:fldChar w:fldCharType="end"/>
      </w:r>
    </w:p>
    <w:p w14:paraId="6D8BC515">
      <w:pPr>
        <w:numPr>
          <w:ilvl w:val="0"/>
          <w:numId w:val="2"/>
        </w:numPr>
        <w:snapToGrid/>
        <w:ind w:firstLine="560"/>
        <w:rPr>
          <w:rFonts w:hint="default" w:ascii="Times New Roman" w:hAnsi="Times New Roman" w:cs="Times New Roman"/>
          <w:caps w:val="0"/>
          <w:smallCaps w:val="0"/>
          <w:spacing w:val="0"/>
          <w:w w:val="100"/>
          <w:kern w:val="0"/>
          <w:szCs w:val="28"/>
        </w:rPr>
      </w:pPr>
      <w:r>
        <w:rPr>
          <w:rFonts w:hint="default" w:ascii="Times New Roman" w:hAnsi="Times New Roman" w:cs="Times New Roman"/>
          <w:caps w:val="0"/>
          <w:smallCaps w:val="0"/>
          <w:spacing w:val="0"/>
          <w:w w:val="100"/>
          <w:kern w:val="0"/>
          <w:szCs w:val="28"/>
        </w:rPr>
        <w:t>加油站除进出口临公路一侧外设置实体围墙。</w:t>
      </w:r>
    </w:p>
    <w:p w14:paraId="2614962A">
      <w:pPr>
        <w:snapToGrid/>
        <w:ind w:firstLine="560" w:firstLineChars="200"/>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（二）灭火设施</w:t>
      </w:r>
    </w:p>
    <w:p w14:paraId="7ED19382">
      <w:pPr>
        <w:snapToGrid/>
        <w:ind w:firstLine="56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根据《汽车加油加气加氢站技术标准》（GB50156-2021）的要求，原址改扩建后的加油站新购灭火设施，加油站灭火设施配置情况见表2.</w:t>
      </w:r>
      <w:r>
        <w:rPr>
          <w:rFonts w:hint="default" w:ascii="Times New Roman" w:hAnsi="Times New Roman" w:cs="Times New Roman"/>
          <w:caps w:val="0"/>
          <w:smallCaps w:val="0"/>
          <w:spacing w:val="0"/>
          <w:w w:val="100"/>
          <w:kern w:val="0"/>
          <w:lang w:val="en-US" w:eastAsia="zh-CN"/>
        </w:rPr>
        <w:t>8</w:t>
      </w:r>
      <w:r>
        <w:rPr>
          <w:rFonts w:hint="default" w:ascii="Times New Roman" w:hAnsi="Times New Roman" w:cs="Times New Roman"/>
          <w:caps w:val="0"/>
          <w:smallCaps w:val="0"/>
          <w:spacing w:val="0"/>
          <w:w w:val="100"/>
          <w:kern w:val="0"/>
        </w:rPr>
        <w:t>-2。</w:t>
      </w:r>
    </w:p>
    <w:p w14:paraId="4914E2A7">
      <w:pPr>
        <w:tabs>
          <w:tab w:val="left" w:pos="1134"/>
        </w:tabs>
        <w:snapToGrid/>
        <w:jc w:val="center"/>
        <w:rPr>
          <w:rFonts w:hint="default" w:ascii="Times New Roman" w:hAnsi="Times New Roman" w:cs="Times New Roman"/>
          <w:b/>
          <w:bCs/>
          <w:caps w:val="0"/>
          <w:smallCaps w:val="0"/>
          <w:spacing w:val="0"/>
          <w:w w:val="100"/>
          <w:sz w:val="24"/>
          <w:szCs w:val="18"/>
        </w:rPr>
      </w:pPr>
      <w:bookmarkStart w:id="175" w:name="表7"/>
      <w:bookmarkEnd w:id="175"/>
      <w:r>
        <w:rPr>
          <w:rFonts w:hint="default" w:ascii="Times New Roman" w:hAnsi="Times New Roman" w:cs="Times New Roman"/>
          <w:b/>
          <w:bCs/>
          <w:caps w:val="0"/>
          <w:smallCaps w:val="0"/>
          <w:spacing w:val="0"/>
          <w:w w:val="100"/>
          <w:sz w:val="24"/>
          <w:szCs w:val="18"/>
        </w:rPr>
        <w:t>表2.</w:t>
      </w:r>
      <w:r>
        <w:rPr>
          <w:rFonts w:hint="default" w:ascii="Times New Roman" w:hAnsi="Times New Roman" w:cs="Times New Roman"/>
          <w:b/>
          <w:bCs/>
          <w:caps w:val="0"/>
          <w:smallCaps w:val="0"/>
          <w:spacing w:val="0"/>
          <w:w w:val="100"/>
          <w:sz w:val="24"/>
          <w:szCs w:val="18"/>
          <w:lang w:val="en-US" w:eastAsia="zh-CN"/>
        </w:rPr>
        <w:t>8</w:t>
      </w:r>
      <w:r>
        <w:rPr>
          <w:rFonts w:hint="default" w:ascii="Times New Roman" w:hAnsi="Times New Roman" w:cs="Times New Roman"/>
          <w:b/>
          <w:bCs/>
          <w:caps w:val="0"/>
          <w:smallCaps w:val="0"/>
          <w:spacing w:val="0"/>
          <w:w w:val="100"/>
          <w:sz w:val="24"/>
          <w:szCs w:val="18"/>
        </w:rPr>
        <w:t>-2  消防设施配置情况</w:t>
      </w:r>
    </w:p>
    <w:tbl>
      <w:tblPr>
        <w:tblStyle w:val="34"/>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486"/>
        <w:gridCol w:w="1477"/>
        <w:gridCol w:w="2800"/>
        <w:gridCol w:w="1060"/>
      </w:tblGrid>
      <w:tr w14:paraId="1779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754" w:type="dxa"/>
            <w:vAlign w:val="center"/>
          </w:tcPr>
          <w:p w14:paraId="41480765">
            <w:pPr>
              <w:widowControl/>
              <w:snapToGrid/>
              <w:jc w:val="center"/>
              <w:rPr>
                <w:rFonts w:hint="default" w:ascii="Times New Roman" w:hAnsi="Times New Roman" w:cs="Times New Roman"/>
                <w:b/>
                <w:bCs/>
                <w:caps w:val="0"/>
                <w:smallCaps w:val="0"/>
                <w:spacing w:val="0"/>
                <w:w w:val="100"/>
                <w:kern w:val="0"/>
                <w:sz w:val="21"/>
              </w:rPr>
            </w:pPr>
            <w:r>
              <w:rPr>
                <w:rFonts w:hint="default" w:ascii="Times New Roman" w:hAnsi="Times New Roman" w:cs="Times New Roman"/>
                <w:b/>
                <w:bCs/>
                <w:caps w:val="0"/>
                <w:smallCaps w:val="0"/>
                <w:spacing w:val="0"/>
                <w:w w:val="100"/>
                <w:kern w:val="0"/>
                <w:sz w:val="21"/>
              </w:rPr>
              <w:t>序号</w:t>
            </w:r>
          </w:p>
        </w:tc>
        <w:tc>
          <w:tcPr>
            <w:tcW w:w="2486" w:type="dxa"/>
            <w:vAlign w:val="center"/>
          </w:tcPr>
          <w:p w14:paraId="035088A9">
            <w:pPr>
              <w:widowControl/>
              <w:snapToGrid/>
              <w:jc w:val="center"/>
              <w:rPr>
                <w:rFonts w:hint="default" w:ascii="Times New Roman" w:hAnsi="Times New Roman" w:cs="Times New Roman"/>
                <w:b/>
                <w:bCs/>
                <w:caps w:val="0"/>
                <w:smallCaps w:val="0"/>
                <w:spacing w:val="0"/>
                <w:w w:val="100"/>
                <w:kern w:val="0"/>
                <w:sz w:val="21"/>
              </w:rPr>
            </w:pPr>
            <w:r>
              <w:rPr>
                <w:rFonts w:hint="default" w:ascii="Times New Roman" w:hAnsi="Times New Roman" w:cs="Times New Roman"/>
                <w:b/>
                <w:bCs/>
                <w:caps w:val="0"/>
                <w:smallCaps w:val="0"/>
                <w:spacing w:val="0"/>
                <w:w w:val="100"/>
                <w:kern w:val="0"/>
                <w:sz w:val="21"/>
              </w:rPr>
              <w:t>名称</w:t>
            </w:r>
          </w:p>
        </w:tc>
        <w:tc>
          <w:tcPr>
            <w:tcW w:w="1477" w:type="dxa"/>
            <w:vAlign w:val="center"/>
          </w:tcPr>
          <w:p w14:paraId="43975C23">
            <w:pPr>
              <w:widowControl/>
              <w:snapToGrid/>
              <w:jc w:val="center"/>
              <w:rPr>
                <w:rFonts w:hint="default" w:ascii="Times New Roman" w:hAnsi="Times New Roman" w:cs="Times New Roman"/>
                <w:b/>
                <w:bCs/>
                <w:caps w:val="0"/>
                <w:smallCaps w:val="0"/>
                <w:spacing w:val="0"/>
                <w:w w:val="100"/>
                <w:kern w:val="0"/>
                <w:sz w:val="21"/>
              </w:rPr>
            </w:pPr>
            <w:r>
              <w:rPr>
                <w:rFonts w:hint="default" w:ascii="Times New Roman" w:hAnsi="Times New Roman" w:cs="Times New Roman"/>
                <w:b/>
                <w:bCs/>
                <w:caps w:val="0"/>
                <w:smallCaps w:val="0"/>
                <w:spacing w:val="0"/>
                <w:w w:val="100"/>
                <w:kern w:val="0"/>
                <w:sz w:val="21"/>
              </w:rPr>
              <w:t>规格／型号</w:t>
            </w:r>
          </w:p>
        </w:tc>
        <w:tc>
          <w:tcPr>
            <w:tcW w:w="2800" w:type="dxa"/>
            <w:vAlign w:val="center"/>
          </w:tcPr>
          <w:p w14:paraId="20B69305">
            <w:pPr>
              <w:widowControl/>
              <w:snapToGrid/>
              <w:jc w:val="center"/>
              <w:rPr>
                <w:rFonts w:hint="default" w:ascii="Times New Roman" w:hAnsi="Times New Roman" w:cs="Times New Roman"/>
                <w:b/>
                <w:bCs/>
                <w:caps w:val="0"/>
                <w:smallCaps w:val="0"/>
                <w:spacing w:val="0"/>
                <w:w w:val="100"/>
                <w:kern w:val="0"/>
                <w:sz w:val="21"/>
              </w:rPr>
            </w:pPr>
            <w:r>
              <w:rPr>
                <w:rFonts w:hint="default" w:ascii="Times New Roman" w:hAnsi="Times New Roman" w:cs="Times New Roman"/>
                <w:b/>
                <w:bCs/>
                <w:caps w:val="0"/>
                <w:smallCaps w:val="0"/>
                <w:spacing w:val="0"/>
                <w:w w:val="100"/>
                <w:kern w:val="0"/>
                <w:sz w:val="21"/>
              </w:rPr>
              <w:t>设置地点</w:t>
            </w:r>
          </w:p>
        </w:tc>
        <w:tc>
          <w:tcPr>
            <w:tcW w:w="1060" w:type="dxa"/>
            <w:vAlign w:val="center"/>
          </w:tcPr>
          <w:p w14:paraId="1732EB4E">
            <w:pPr>
              <w:widowControl/>
              <w:snapToGrid/>
              <w:jc w:val="center"/>
              <w:rPr>
                <w:rFonts w:hint="default" w:ascii="Times New Roman" w:hAnsi="Times New Roman" w:cs="Times New Roman"/>
                <w:b/>
                <w:bCs/>
                <w:caps w:val="0"/>
                <w:smallCaps w:val="0"/>
                <w:spacing w:val="0"/>
                <w:w w:val="100"/>
                <w:kern w:val="0"/>
                <w:sz w:val="21"/>
              </w:rPr>
            </w:pPr>
            <w:r>
              <w:rPr>
                <w:rFonts w:hint="default" w:ascii="Times New Roman" w:hAnsi="Times New Roman" w:cs="Times New Roman"/>
                <w:b/>
                <w:bCs/>
                <w:caps w:val="0"/>
                <w:smallCaps w:val="0"/>
                <w:spacing w:val="0"/>
                <w:w w:val="100"/>
                <w:kern w:val="0"/>
                <w:sz w:val="21"/>
              </w:rPr>
              <w:t>数量</w:t>
            </w:r>
          </w:p>
        </w:tc>
      </w:tr>
      <w:tr w14:paraId="29DF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vAlign w:val="center"/>
          </w:tcPr>
          <w:p w14:paraId="355035F1">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1</w:t>
            </w:r>
          </w:p>
        </w:tc>
        <w:tc>
          <w:tcPr>
            <w:tcW w:w="2486" w:type="dxa"/>
            <w:vAlign w:val="center"/>
          </w:tcPr>
          <w:p w14:paraId="61323517">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手提式干粉灭火器</w:t>
            </w:r>
          </w:p>
        </w:tc>
        <w:tc>
          <w:tcPr>
            <w:tcW w:w="1477" w:type="dxa"/>
            <w:vAlign w:val="center"/>
          </w:tcPr>
          <w:p w14:paraId="5E2BABB0">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MFZ/ABC5</w:t>
            </w:r>
          </w:p>
        </w:tc>
        <w:tc>
          <w:tcPr>
            <w:tcW w:w="2800" w:type="dxa"/>
            <w:vAlign w:val="center"/>
          </w:tcPr>
          <w:p w14:paraId="4C667433">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加油区、站房、卸油区</w:t>
            </w:r>
          </w:p>
        </w:tc>
        <w:tc>
          <w:tcPr>
            <w:tcW w:w="1060" w:type="dxa"/>
            <w:vAlign w:val="center"/>
          </w:tcPr>
          <w:p w14:paraId="1184ACA2">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17具</w:t>
            </w:r>
          </w:p>
        </w:tc>
      </w:tr>
      <w:tr w14:paraId="0865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vAlign w:val="center"/>
          </w:tcPr>
          <w:p w14:paraId="00A819B4">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2</w:t>
            </w:r>
          </w:p>
        </w:tc>
        <w:tc>
          <w:tcPr>
            <w:tcW w:w="2486" w:type="dxa"/>
            <w:vAlign w:val="center"/>
          </w:tcPr>
          <w:p w14:paraId="4BEEC337">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手提式二氧化碳灭火器</w:t>
            </w:r>
          </w:p>
        </w:tc>
        <w:tc>
          <w:tcPr>
            <w:tcW w:w="1477" w:type="dxa"/>
            <w:vAlign w:val="center"/>
          </w:tcPr>
          <w:p w14:paraId="21C3F0FF">
            <w:pPr>
              <w:widowControl/>
              <w:snapToGrid/>
              <w:jc w:val="center"/>
              <w:rPr>
                <w:rFonts w:hint="eastAsia" w:ascii="Times New Roman" w:hAnsi="Times New Roman" w:eastAsia="宋体" w:cs="Times New Roman"/>
                <w:caps w:val="0"/>
                <w:smallCaps w:val="0"/>
                <w:spacing w:val="0"/>
                <w:w w:val="100"/>
                <w:kern w:val="0"/>
                <w:sz w:val="21"/>
                <w:lang w:val="en-US" w:eastAsia="zh-CN"/>
              </w:rPr>
            </w:pPr>
            <w:r>
              <w:rPr>
                <w:rFonts w:hint="default" w:ascii="Times New Roman" w:hAnsi="Times New Roman" w:cs="Times New Roman"/>
                <w:caps w:val="0"/>
                <w:smallCaps w:val="0"/>
                <w:spacing w:val="0"/>
                <w:w w:val="100"/>
                <w:kern w:val="0"/>
                <w:sz w:val="21"/>
              </w:rPr>
              <w:t>MT</w:t>
            </w:r>
            <w:r>
              <w:rPr>
                <w:rFonts w:hint="eastAsia" w:ascii="Times New Roman" w:cs="Times New Roman"/>
                <w:caps w:val="0"/>
                <w:smallCaps w:val="0"/>
                <w:spacing w:val="0"/>
                <w:w w:val="100"/>
                <w:kern w:val="0"/>
                <w:sz w:val="21"/>
                <w:lang w:val="en-US" w:eastAsia="zh-CN"/>
              </w:rPr>
              <w:t>4</w:t>
            </w:r>
          </w:p>
        </w:tc>
        <w:tc>
          <w:tcPr>
            <w:tcW w:w="2800" w:type="dxa"/>
            <w:vAlign w:val="center"/>
          </w:tcPr>
          <w:p w14:paraId="750127AC">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配电室</w:t>
            </w:r>
          </w:p>
        </w:tc>
        <w:tc>
          <w:tcPr>
            <w:tcW w:w="1060" w:type="dxa"/>
            <w:vAlign w:val="center"/>
          </w:tcPr>
          <w:p w14:paraId="485BE4CD">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4具</w:t>
            </w:r>
          </w:p>
        </w:tc>
      </w:tr>
      <w:tr w14:paraId="3D9C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vAlign w:val="center"/>
          </w:tcPr>
          <w:p w14:paraId="3277FABD">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3</w:t>
            </w:r>
          </w:p>
        </w:tc>
        <w:tc>
          <w:tcPr>
            <w:tcW w:w="2486" w:type="dxa"/>
            <w:vAlign w:val="center"/>
          </w:tcPr>
          <w:p w14:paraId="3FDAFB0E">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推车式干粉灭火器</w:t>
            </w:r>
          </w:p>
        </w:tc>
        <w:tc>
          <w:tcPr>
            <w:tcW w:w="1477" w:type="dxa"/>
            <w:vAlign w:val="center"/>
          </w:tcPr>
          <w:p w14:paraId="4EDE0C1F">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MFT/ABC50</w:t>
            </w:r>
          </w:p>
        </w:tc>
        <w:tc>
          <w:tcPr>
            <w:tcW w:w="2800" w:type="dxa"/>
            <w:vAlign w:val="center"/>
          </w:tcPr>
          <w:p w14:paraId="3783D867">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油罐区、卸油区、洗车机旁</w:t>
            </w:r>
          </w:p>
        </w:tc>
        <w:tc>
          <w:tcPr>
            <w:tcW w:w="1060" w:type="dxa"/>
            <w:vAlign w:val="center"/>
          </w:tcPr>
          <w:p w14:paraId="5811CAC6">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3台</w:t>
            </w:r>
          </w:p>
        </w:tc>
      </w:tr>
      <w:tr w14:paraId="5A5E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vAlign w:val="center"/>
          </w:tcPr>
          <w:p w14:paraId="469F8BCF">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4</w:t>
            </w:r>
          </w:p>
        </w:tc>
        <w:tc>
          <w:tcPr>
            <w:tcW w:w="2486" w:type="dxa"/>
            <w:vAlign w:val="center"/>
          </w:tcPr>
          <w:p w14:paraId="71C35BA3">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灭火毯</w:t>
            </w:r>
          </w:p>
        </w:tc>
        <w:tc>
          <w:tcPr>
            <w:tcW w:w="1477" w:type="dxa"/>
            <w:vAlign w:val="center"/>
          </w:tcPr>
          <w:p w14:paraId="6E9F7B71">
            <w:pPr>
              <w:widowControl/>
              <w:snapToGrid/>
              <w:jc w:val="center"/>
              <w:rPr>
                <w:rFonts w:hint="default" w:ascii="Times New Roman" w:hAnsi="Times New Roman" w:cs="Times New Roman"/>
                <w:caps w:val="0"/>
                <w:smallCaps w:val="0"/>
                <w:spacing w:val="0"/>
                <w:w w:val="100"/>
                <w:kern w:val="0"/>
                <w:sz w:val="21"/>
              </w:rPr>
            </w:pPr>
          </w:p>
        </w:tc>
        <w:tc>
          <w:tcPr>
            <w:tcW w:w="2800" w:type="dxa"/>
            <w:vAlign w:val="center"/>
          </w:tcPr>
          <w:p w14:paraId="774F885F">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加油区、消防器材柜</w:t>
            </w:r>
          </w:p>
        </w:tc>
        <w:tc>
          <w:tcPr>
            <w:tcW w:w="1060" w:type="dxa"/>
            <w:vAlign w:val="center"/>
          </w:tcPr>
          <w:p w14:paraId="412F9B20">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6块</w:t>
            </w:r>
          </w:p>
        </w:tc>
      </w:tr>
      <w:tr w14:paraId="046B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vAlign w:val="center"/>
          </w:tcPr>
          <w:p w14:paraId="052EE96D">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5</w:t>
            </w:r>
          </w:p>
        </w:tc>
        <w:tc>
          <w:tcPr>
            <w:tcW w:w="2486" w:type="dxa"/>
            <w:vAlign w:val="center"/>
          </w:tcPr>
          <w:p w14:paraId="73BDBB1C">
            <w:pPr>
              <w:widowControl/>
              <w:snapToGrid/>
              <w:jc w:val="center"/>
              <w:rPr>
                <w:rFonts w:hint="eastAsia" w:ascii="Times New Roman" w:hAnsi="Times New Roman" w:eastAsia="宋体" w:cs="Times New Roman"/>
                <w:caps w:val="0"/>
                <w:smallCaps w:val="0"/>
                <w:spacing w:val="0"/>
                <w:w w:val="100"/>
                <w:kern w:val="0"/>
                <w:sz w:val="21"/>
                <w:lang w:val="en-US" w:eastAsia="zh-CN"/>
              </w:rPr>
            </w:pPr>
            <w:r>
              <w:rPr>
                <w:rFonts w:hint="default" w:ascii="Times New Roman" w:hAnsi="Times New Roman" w:cs="Times New Roman"/>
                <w:caps w:val="0"/>
                <w:smallCaps w:val="0"/>
                <w:spacing w:val="0"/>
                <w:w w:val="100"/>
                <w:kern w:val="0"/>
                <w:sz w:val="21"/>
              </w:rPr>
              <w:t>消防</w:t>
            </w:r>
            <w:r>
              <w:rPr>
                <w:rFonts w:hint="eastAsia" w:ascii="Times New Roman" w:cs="Times New Roman"/>
                <w:caps w:val="0"/>
                <w:smallCaps w:val="0"/>
                <w:spacing w:val="0"/>
                <w:w w:val="100"/>
                <w:kern w:val="0"/>
                <w:sz w:val="21"/>
                <w:lang w:val="en-US" w:eastAsia="zh-CN"/>
              </w:rPr>
              <w:t>沙</w:t>
            </w:r>
          </w:p>
        </w:tc>
        <w:tc>
          <w:tcPr>
            <w:tcW w:w="1477" w:type="dxa"/>
            <w:vAlign w:val="center"/>
          </w:tcPr>
          <w:p w14:paraId="50C00A12">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2m³</w:t>
            </w:r>
          </w:p>
        </w:tc>
        <w:tc>
          <w:tcPr>
            <w:tcW w:w="2800" w:type="dxa"/>
            <w:vAlign w:val="center"/>
          </w:tcPr>
          <w:p w14:paraId="724F39C4">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油罐区卸油口旁</w:t>
            </w:r>
          </w:p>
        </w:tc>
        <w:tc>
          <w:tcPr>
            <w:tcW w:w="1060" w:type="dxa"/>
            <w:vAlign w:val="center"/>
          </w:tcPr>
          <w:p w14:paraId="6467FD40">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1个</w:t>
            </w:r>
          </w:p>
        </w:tc>
      </w:tr>
      <w:tr w14:paraId="6D03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vAlign w:val="center"/>
          </w:tcPr>
          <w:p w14:paraId="293D4A0F">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6</w:t>
            </w:r>
          </w:p>
        </w:tc>
        <w:tc>
          <w:tcPr>
            <w:tcW w:w="2486" w:type="dxa"/>
            <w:vAlign w:val="center"/>
          </w:tcPr>
          <w:p w14:paraId="2F4EE6C2">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消防桶</w:t>
            </w:r>
          </w:p>
        </w:tc>
        <w:tc>
          <w:tcPr>
            <w:tcW w:w="1477" w:type="dxa"/>
            <w:vAlign w:val="center"/>
          </w:tcPr>
          <w:p w14:paraId="00F77AFE">
            <w:pPr>
              <w:widowControl/>
              <w:snapToGrid/>
              <w:jc w:val="center"/>
              <w:rPr>
                <w:rFonts w:hint="default" w:ascii="Times New Roman" w:hAnsi="Times New Roman" w:cs="Times New Roman"/>
                <w:caps w:val="0"/>
                <w:smallCaps w:val="0"/>
                <w:spacing w:val="0"/>
                <w:w w:val="100"/>
                <w:kern w:val="0"/>
                <w:sz w:val="21"/>
              </w:rPr>
            </w:pPr>
          </w:p>
        </w:tc>
        <w:tc>
          <w:tcPr>
            <w:tcW w:w="2800" w:type="dxa"/>
            <w:vAlign w:val="center"/>
          </w:tcPr>
          <w:p w14:paraId="313625EF">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消防沙箱</w:t>
            </w:r>
          </w:p>
        </w:tc>
        <w:tc>
          <w:tcPr>
            <w:tcW w:w="1060" w:type="dxa"/>
            <w:vAlign w:val="center"/>
          </w:tcPr>
          <w:p w14:paraId="055A1C7E">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4只</w:t>
            </w:r>
          </w:p>
        </w:tc>
      </w:tr>
      <w:tr w14:paraId="31CE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noWrap/>
            <w:vAlign w:val="bottom"/>
          </w:tcPr>
          <w:p w14:paraId="4496904C">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7</w:t>
            </w:r>
          </w:p>
        </w:tc>
        <w:tc>
          <w:tcPr>
            <w:tcW w:w="2486" w:type="dxa"/>
            <w:noWrap/>
            <w:vAlign w:val="center"/>
          </w:tcPr>
          <w:p w14:paraId="5F2A8667">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消防铲</w:t>
            </w:r>
          </w:p>
        </w:tc>
        <w:tc>
          <w:tcPr>
            <w:tcW w:w="1477" w:type="dxa"/>
            <w:noWrap/>
            <w:vAlign w:val="center"/>
          </w:tcPr>
          <w:p w14:paraId="7D73129A">
            <w:pPr>
              <w:widowControl/>
              <w:snapToGrid/>
              <w:jc w:val="center"/>
              <w:rPr>
                <w:rFonts w:hint="default" w:ascii="Times New Roman" w:hAnsi="Times New Roman" w:cs="Times New Roman"/>
                <w:caps w:val="0"/>
                <w:smallCaps w:val="0"/>
                <w:spacing w:val="0"/>
                <w:w w:val="100"/>
                <w:kern w:val="0"/>
                <w:sz w:val="21"/>
              </w:rPr>
            </w:pPr>
          </w:p>
        </w:tc>
        <w:tc>
          <w:tcPr>
            <w:tcW w:w="2800" w:type="dxa"/>
            <w:noWrap/>
            <w:vAlign w:val="center"/>
          </w:tcPr>
          <w:p w14:paraId="429DA172">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消防沙箱</w:t>
            </w:r>
          </w:p>
        </w:tc>
        <w:tc>
          <w:tcPr>
            <w:tcW w:w="1060" w:type="dxa"/>
            <w:noWrap/>
            <w:vAlign w:val="center"/>
          </w:tcPr>
          <w:p w14:paraId="344763DD">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4把</w:t>
            </w:r>
          </w:p>
        </w:tc>
      </w:tr>
      <w:tr w14:paraId="4F1E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4" w:type="dxa"/>
            <w:noWrap/>
            <w:vAlign w:val="bottom"/>
          </w:tcPr>
          <w:p w14:paraId="67853527">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8</w:t>
            </w:r>
          </w:p>
        </w:tc>
        <w:tc>
          <w:tcPr>
            <w:tcW w:w="2486" w:type="dxa"/>
            <w:noWrap/>
            <w:vAlign w:val="center"/>
          </w:tcPr>
          <w:p w14:paraId="7C550A28">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吸油毡</w:t>
            </w:r>
          </w:p>
        </w:tc>
        <w:tc>
          <w:tcPr>
            <w:tcW w:w="1477" w:type="dxa"/>
            <w:noWrap/>
            <w:vAlign w:val="center"/>
          </w:tcPr>
          <w:p w14:paraId="65739D6F">
            <w:pPr>
              <w:widowControl/>
              <w:snapToGrid/>
              <w:jc w:val="center"/>
              <w:rPr>
                <w:rFonts w:hint="default" w:ascii="Times New Roman" w:hAnsi="Times New Roman" w:cs="Times New Roman"/>
                <w:caps w:val="0"/>
                <w:smallCaps w:val="0"/>
                <w:spacing w:val="0"/>
                <w:w w:val="100"/>
                <w:kern w:val="0"/>
                <w:sz w:val="21"/>
              </w:rPr>
            </w:pPr>
          </w:p>
        </w:tc>
        <w:tc>
          <w:tcPr>
            <w:tcW w:w="2800" w:type="dxa"/>
            <w:noWrap/>
            <w:vAlign w:val="center"/>
          </w:tcPr>
          <w:p w14:paraId="1F6BA3BC">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油罐区</w:t>
            </w:r>
          </w:p>
        </w:tc>
        <w:tc>
          <w:tcPr>
            <w:tcW w:w="1060" w:type="dxa"/>
            <w:noWrap/>
            <w:vAlign w:val="center"/>
          </w:tcPr>
          <w:p w14:paraId="7F753929">
            <w:pPr>
              <w:widowControl/>
              <w:snapToGrid/>
              <w:jc w:val="center"/>
              <w:rPr>
                <w:rFonts w:hint="default" w:ascii="Times New Roman" w:hAnsi="Times New Roman" w:cs="Times New Roman"/>
                <w:caps w:val="0"/>
                <w:smallCaps w:val="0"/>
                <w:spacing w:val="0"/>
                <w:w w:val="100"/>
                <w:kern w:val="0"/>
                <w:sz w:val="21"/>
              </w:rPr>
            </w:pPr>
            <w:r>
              <w:rPr>
                <w:rFonts w:hint="default" w:ascii="Times New Roman" w:hAnsi="Times New Roman" w:cs="Times New Roman"/>
                <w:caps w:val="0"/>
                <w:smallCaps w:val="0"/>
                <w:spacing w:val="0"/>
                <w:w w:val="100"/>
                <w:kern w:val="0"/>
                <w:sz w:val="21"/>
              </w:rPr>
              <w:t>2块</w:t>
            </w:r>
          </w:p>
        </w:tc>
      </w:tr>
    </w:tbl>
    <w:p w14:paraId="6E8D7839">
      <w:pPr>
        <w:snapToGrid/>
        <w:spacing w:before="312" w:beforeLines="100"/>
        <w:ind w:firstLine="561"/>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（三）紧急个体处置设施</w:t>
      </w:r>
    </w:p>
    <w:p w14:paraId="444A0A6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加油站在罩棚、营业室、配电室内设消防应急灯。</w:t>
      </w:r>
    </w:p>
    <w:p w14:paraId="677E209B">
      <w:pPr>
        <w:pStyle w:val="10"/>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 w:val="28"/>
          <w:szCs w:val="21"/>
        </w:rPr>
        <w:t>项目设置的应急救援设施</w:t>
      </w:r>
      <w:r>
        <w:rPr>
          <w:rFonts w:hint="default" w:ascii="Times New Roman" w:hAnsi="Times New Roman" w:cs="Times New Roman"/>
          <w:caps w:val="0"/>
          <w:smallCaps w:val="0"/>
          <w:spacing w:val="0"/>
          <w:w w:val="100"/>
          <w:sz w:val="28"/>
          <w:szCs w:val="21"/>
          <w:lang w:val="en-US" w:eastAsia="zh-CN"/>
        </w:rPr>
        <w:t>主要为</w:t>
      </w:r>
      <w:r>
        <w:rPr>
          <w:rFonts w:hint="default" w:ascii="Times New Roman" w:hAnsi="Times New Roman" w:cs="Times New Roman"/>
          <w:caps w:val="0"/>
          <w:smallCaps w:val="0"/>
          <w:spacing w:val="0"/>
          <w:w w:val="100"/>
          <w:sz w:val="28"/>
          <w:szCs w:val="21"/>
        </w:rPr>
        <w:t>抢险装备和现场受伤人员医疗抢救装备。包括急救箱、防护鞋、安全绳等，位于站房办公室内。</w:t>
      </w:r>
    </w:p>
    <w:p w14:paraId="6CB5B891">
      <w:pPr>
        <w:snapToGrid/>
        <w:ind w:firstLine="560" w:firstLineChars="200"/>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（四）劳动防护用品和装备</w:t>
      </w:r>
    </w:p>
    <w:p w14:paraId="12767FD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加油站为从业人员配备防静电工作服、帆布手套。</w:t>
      </w:r>
    </w:p>
    <w:p w14:paraId="67137455">
      <w:pPr>
        <w:snapToGrid/>
        <w:ind w:firstLine="560" w:firstLineChars="200"/>
        <w:rPr>
          <w:rFonts w:hint="default" w:ascii="Times New Roman" w:hAnsi="Times New Roman" w:cs="Times New Roman"/>
          <w:b/>
          <w:bCs/>
          <w:caps w:val="0"/>
          <w:smallCaps w:val="0"/>
          <w:spacing w:val="0"/>
          <w:w w:val="100"/>
        </w:rPr>
      </w:pPr>
      <w:r>
        <w:rPr>
          <w:rFonts w:hint="default" w:ascii="Times New Roman" w:hAnsi="Times New Roman" w:cs="Times New Roman"/>
          <w:b/>
          <w:bCs/>
          <w:caps w:val="0"/>
          <w:smallCaps w:val="0"/>
          <w:spacing w:val="0"/>
          <w:w w:val="100"/>
        </w:rPr>
        <w:t>（五）逃生避难设施</w:t>
      </w:r>
    </w:p>
    <w:p w14:paraId="7062CC2C">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站房按《建筑设计防火规范》（GB 50016-2014[2018年版]）、《汽车加油加气加氢站技术标准》（GB50156-2021）有关条例设计疏散通道和安全出口，其数量、位置、宽度、疏散距离均应满足安全疏散防火要求。</w:t>
      </w:r>
    </w:p>
    <w:p w14:paraId="193FB863">
      <w:pPr>
        <w:snapToGrid/>
        <w:ind w:firstLine="560" w:firstLineChars="200"/>
        <w:jc w:val="left"/>
        <w:rPr>
          <w:rFonts w:hint="default" w:ascii="Times New Roman" w:hAnsi="Times New Roman" w:cs="Times New Roman"/>
          <w:bCs/>
          <w:caps w:val="0"/>
          <w:smallCaps w:val="0"/>
          <w:spacing w:val="0"/>
          <w:w w:val="100"/>
          <w:szCs w:val="28"/>
        </w:rPr>
      </w:pPr>
      <w:r>
        <w:rPr>
          <w:rFonts w:hint="default" w:ascii="Times New Roman" w:hAnsi="Times New Roman" w:cs="Times New Roman"/>
          <w:bCs/>
          <w:caps w:val="0"/>
          <w:smallCaps w:val="0"/>
          <w:spacing w:val="0"/>
          <w:w w:val="100"/>
          <w:szCs w:val="28"/>
        </w:rPr>
        <w:t>加油站主要安全设施见下列表格。</w:t>
      </w:r>
    </w:p>
    <w:p w14:paraId="3C915FF1">
      <w:pPr>
        <w:keepNext/>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caps w:val="0"/>
          <w:smallCaps w:val="0"/>
          <w:spacing w:val="0"/>
          <w:w w:val="100"/>
          <w:sz w:val="24"/>
        </w:rPr>
      </w:pPr>
      <w:r>
        <w:rPr>
          <w:rFonts w:hint="default" w:ascii="Times New Roman" w:hAnsi="Times New Roman" w:cs="Times New Roman"/>
          <w:b/>
          <w:caps w:val="0"/>
          <w:smallCaps w:val="0"/>
          <w:spacing w:val="0"/>
          <w:w w:val="100"/>
          <w:sz w:val="24"/>
        </w:rPr>
        <w:t>表2.</w:t>
      </w:r>
      <w:r>
        <w:rPr>
          <w:rFonts w:hint="default" w:ascii="Times New Roman" w:hAnsi="Times New Roman" w:cs="Times New Roman"/>
          <w:b/>
          <w:caps w:val="0"/>
          <w:smallCaps w:val="0"/>
          <w:spacing w:val="0"/>
          <w:w w:val="100"/>
          <w:sz w:val="24"/>
          <w:lang w:val="en-US" w:eastAsia="zh-CN"/>
        </w:rPr>
        <w:t>8</w:t>
      </w:r>
      <w:r>
        <w:rPr>
          <w:rFonts w:hint="default" w:ascii="Times New Roman" w:hAnsi="Times New Roman" w:cs="Times New Roman"/>
          <w:b/>
          <w:caps w:val="0"/>
          <w:smallCaps w:val="0"/>
          <w:spacing w:val="0"/>
          <w:w w:val="100"/>
          <w:sz w:val="24"/>
        </w:rPr>
        <w:t>-3  安全设施一览表</w:t>
      </w:r>
    </w:p>
    <w:tbl>
      <w:tblPr>
        <w:tblStyle w:val="34"/>
        <w:tblW w:w="4995" w:type="pct"/>
        <w:tblInd w:w="0" w:type="dxa"/>
        <w:tblLayout w:type="autofit"/>
        <w:tblCellMar>
          <w:top w:w="0" w:type="dxa"/>
          <w:left w:w="108" w:type="dxa"/>
          <w:bottom w:w="0" w:type="dxa"/>
          <w:right w:w="108" w:type="dxa"/>
        </w:tblCellMar>
      </w:tblPr>
      <w:tblGrid>
        <w:gridCol w:w="617"/>
        <w:gridCol w:w="2023"/>
        <w:gridCol w:w="2484"/>
        <w:gridCol w:w="1161"/>
        <w:gridCol w:w="874"/>
        <w:gridCol w:w="2232"/>
      </w:tblGrid>
      <w:tr w14:paraId="117BF242">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A804F">
            <w:pPr>
              <w:keepNext/>
              <w:keepLines/>
              <w:pageBreakBefore w:val="0"/>
              <w:widowControl/>
              <w:kinsoku/>
              <w:wordWrap/>
              <w:overflowPunct/>
              <w:topLinePunct w:val="0"/>
              <w:autoSpaceDE/>
              <w:autoSpaceDN/>
              <w:bidi w:val="0"/>
              <w:adjustRightInd/>
              <w:spacing w:line="240" w:lineRule="auto"/>
              <w:jc w:val="center"/>
              <w:textAlignment w:val="center"/>
              <w:rPr>
                <w:rFonts w:hint="default" w:ascii="Times New Roman" w:hAnsi="Times New Roman" w:cs="Times New Roman"/>
                <w:b/>
                <w:bCs/>
                <w:caps w:val="0"/>
                <w:smallCaps w:val="0"/>
                <w:color w:val="000000" w:themeColor="text1"/>
                <w:spacing w:val="0"/>
                <w:w w:val="100"/>
                <w:sz w:val="21"/>
                <w14:textFill>
                  <w14:solidFill>
                    <w14:schemeClr w14:val="tx1"/>
                  </w14:solidFill>
                </w14:textFill>
              </w:rPr>
            </w:pPr>
            <w:r>
              <w:rPr>
                <w:rStyle w:val="24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序号</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35CA">
            <w:pPr>
              <w:keepNext/>
              <w:keepLines/>
              <w:pageBreakBefore w:val="0"/>
              <w:widowControl/>
              <w:kinsoku/>
              <w:wordWrap/>
              <w:overflowPunct/>
              <w:topLinePunct w:val="0"/>
              <w:autoSpaceDE/>
              <w:autoSpaceDN/>
              <w:bidi w:val="0"/>
              <w:adjustRightInd/>
              <w:spacing w:line="240" w:lineRule="auto"/>
              <w:jc w:val="center"/>
              <w:textAlignment w:val="center"/>
              <w:rPr>
                <w:rFonts w:hint="default" w:ascii="Times New Roman" w:hAnsi="Times New Roman" w:cs="Times New Roman"/>
                <w:b/>
                <w:bCs/>
                <w:caps w:val="0"/>
                <w:smallCaps w:val="0"/>
                <w:color w:val="000000" w:themeColor="text1"/>
                <w:spacing w:val="0"/>
                <w:w w:val="100"/>
                <w:sz w:val="21"/>
                <w14:textFill>
                  <w14:solidFill>
                    <w14:schemeClr w14:val="tx1"/>
                  </w14:solidFill>
                </w14:textFill>
              </w:rPr>
            </w:pPr>
            <w:r>
              <w:rPr>
                <w:rStyle w:val="24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设施名称</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126C0">
            <w:pPr>
              <w:keepNext/>
              <w:keepLines/>
              <w:pageBreakBefore w:val="0"/>
              <w:widowControl/>
              <w:kinsoku/>
              <w:wordWrap/>
              <w:overflowPunct/>
              <w:topLinePunct w:val="0"/>
              <w:autoSpaceDE/>
              <w:autoSpaceDN/>
              <w:bidi w:val="0"/>
              <w:adjustRightInd/>
              <w:spacing w:line="240" w:lineRule="auto"/>
              <w:jc w:val="center"/>
              <w:textAlignment w:val="center"/>
              <w:rPr>
                <w:rFonts w:hint="default" w:ascii="Times New Roman" w:hAnsi="Times New Roman" w:cs="Times New Roman"/>
                <w:b/>
                <w:bCs/>
                <w:caps w:val="0"/>
                <w:smallCaps w:val="0"/>
                <w:color w:val="000000" w:themeColor="text1"/>
                <w:spacing w:val="0"/>
                <w:w w:val="100"/>
                <w:sz w:val="21"/>
                <w14:textFill>
                  <w14:solidFill>
                    <w14:schemeClr w14:val="tx1"/>
                  </w14:solidFill>
                </w14:textFill>
              </w:rPr>
            </w:pPr>
            <w:r>
              <w:rPr>
                <w:rStyle w:val="24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技术规格</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87F93">
            <w:pPr>
              <w:keepNext/>
              <w:keepLines/>
              <w:pageBreakBefore w:val="0"/>
              <w:widowControl/>
              <w:kinsoku/>
              <w:wordWrap/>
              <w:overflowPunct/>
              <w:topLinePunct w:val="0"/>
              <w:autoSpaceDE/>
              <w:autoSpaceDN/>
              <w:bidi w:val="0"/>
              <w:adjustRightInd/>
              <w:spacing w:line="240" w:lineRule="auto"/>
              <w:jc w:val="center"/>
              <w:textAlignment w:val="center"/>
              <w:rPr>
                <w:rFonts w:hint="default" w:ascii="Times New Roman" w:hAnsi="Times New Roman" w:cs="Times New Roman"/>
                <w:b/>
                <w:bCs/>
                <w:caps w:val="0"/>
                <w:smallCaps w:val="0"/>
                <w:color w:val="000000" w:themeColor="text1"/>
                <w:spacing w:val="0"/>
                <w:w w:val="100"/>
                <w:sz w:val="21"/>
                <w14:textFill>
                  <w14:solidFill>
                    <w14:schemeClr w14:val="tx1"/>
                  </w14:solidFill>
                </w14:textFill>
              </w:rPr>
            </w:pPr>
            <w:r>
              <w:rPr>
                <w:rStyle w:val="24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材质</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2EC90">
            <w:pPr>
              <w:keepNext/>
              <w:keepLines/>
              <w:pageBreakBefore w:val="0"/>
              <w:widowControl/>
              <w:kinsoku/>
              <w:wordWrap/>
              <w:overflowPunct/>
              <w:topLinePunct w:val="0"/>
              <w:autoSpaceDE/>
              <w:autoSpaceDN/>
              <w:bidi w:val="0"/>
              <w:adjustRightInd/>
              <w:spacing w:line="240" w:lineRule="auto"/>
              <w:jc w:val="center"/>
              <w:textAlignment w:val="center"/>
              <w:rPr>
                <w:rFonts w:hint="default" w:ascii="Times New Roman" w:hAnsi="Times New Roman" w:cs="Times New Roman"/>
                <w:b/>
                <w:bCs/>
                <w:caps w:val="0"/>
                <w:smallCaps w:val="0"/>
                <w:color w:val="000000" w:themeColor="text1"/>
                <w:spacing w:val="0"/>
                <w:w w:val="100"/>
                <w:sz w:val="21"/>
                <w14:textFill>
                  <w14:solidFill>
                    <w14:schemeClr w14:val="tx1"/>
                  </w14:solidFill>
                </w14:textFill>
              </w:rPr>
            </w:pPr>
            <w:r>
              <w:rPr>
                <w:rStyle w:val="24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数</w:t>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 xml:space="preserve"> </w:t>
            </w:r>
            <w:r>
              <w:rPr>
                <w:rStyle w:val="24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量</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A3910">
            <w:pPr>
              <w:keepNext/>
              <w:keepLines/>
              <w:pageBreakBefore w:val="0"/>
              <w:widowControl/>
              <w:kinsoku/>
              <w:wordWrap/>
              <w:overflowPunct/>
              <w:topLinePunct w:val="0"/>
              <w:autoSpaceDE/>
              <w:autoSpaceDN/>
              <w:bidi w:val="0"/>
              <w:adjustRightInd/>
              <w:spacing w:line="240" w:lineRule="auto"/>
              <w:jc w:val="center"/>
              <w:textAlignment w:val="center"/>
              <w:rPr>
                <w:rFonts w:hint="default" w:ascii="Times New Roman" w:hAnsi="Times New Roman" w:cs="Times New Roman"/>
                <w:b/>
                <w:bCs/>
                <w:caps w:val="0"/>
                <w:smallCaps w:val="0"/>
                <w:color w:val="000000" w:themeColor="text1"/>
                <w:spacing w:val="0"/>
                <w:w w:val="100"/>
                <w:sz w:val="21"/>
                <w14:textFill>
                  <w14:solidFill>
                    <w14:schemeClr w14:val="tx1"/>
                  </w14:solidFill>
                </w14:textFill>
              </w:rPr>
            </w:pPr>
            <w:r>
              <w:rPr>
                <w:rStyle w:val="24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备注</w:t>
            </w:r>
          </w:p>
        </w:tc>
      </w:tr>
      <w:tr w14:paraId="14D67460">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807A">
            <w:pPr>
              <w:widowControl/>
              <w:spacing w:line="240" w:lineRule="auto"/>
              <w:jc w:val="center"/>
              <w:textAlignment w:val="top"/>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一</w:t>
            </w:r>
          </w:p>
        </w:tc>
        <w:tc>
          <w:tcPr>
            <w:tcW w:w="46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92B27F">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安全设施</w:t>
            </w:r>
          </w:p>
        </w:tc>
      </w:tr>
      <w:tr w14:paraId="63F63662">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B503C">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1BA9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密闭卸油口</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0979D">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54192">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4838">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4套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C5F70">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卸油区附近（利旧）</w:t>
            </w:r>
          </w:p>
        </w:tc>
      </w:tr>
      <w:tr w14:paraId="6B3E94EA">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1409D">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C04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视频监控系统</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4ED02">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4CAE">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B78B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E597">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r>
      <w:tr w14:paraId="4CD7FE9A">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3C4A6">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C0704">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液位监控报警系统</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6282D">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防爆等级：Exia</w:t>
            </w: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ⅡBT4</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2CC6">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8D63">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6C031">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罐池、办公室（利旧）</w:t>
            </w:r>
          </w:p>
        </w:tc>
      </w:tr>
      <w:tr w14:paraId="1AD0778F">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3BE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4</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8E9BA">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油罐渗漏监测系统</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46E2">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防爆等级：Exia</w:t>
            </w: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ⅡBT4</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B1C6D">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E50A5">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BBFC">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罐池、办公室（利旧）</w:t>
            </w:r>
          </w:p>
        </w:tc>
      </w:tr>
      <w:tr w14:paraId="71D875E7">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76797">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5</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E000">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双层加油管道渗漏</w:t>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br w:type="textWrapping"/>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监测系统</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392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防爆等级：ExiaⅡBT4</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8DFF1">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3F8A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82F9">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加油管道、办公室（利旧）</w:t>
            </w:r>
          </w:p>
        </w:tc>
      </w:tr>
      <w:tr w14:paraId="79739B37">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00AE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6</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9CEE">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静电接地报警仪</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7109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型号：SA-MF防爆等级：Exial</w:t>
            </w: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ICT6</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4E259">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C5A95">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BCF7C">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卸油区附近（利旧）</w:t>
            </w:r>
          </w:p>
        </w:tc>
      </w:tr>
      <w:tr w14:paraId="6A1B10AA">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67EA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7</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56EE8">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防雷防静电接地设施</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BADB">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接地电阻不大于4Ω</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5812">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495C3">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230E8">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w:t>
            </w:r>
          </w:p>
        </w:tc>
      </w:tr>
      <w:tr w14:paraId="6618DE55">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B488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8</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A967E">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紧急停车系统</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C611A">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5E98D">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DAE87">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2套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D1E86">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办公室（利</w:t>
            </w:r>
            <w:r>
              <w:rPr>
                <w:rStyle w:val="253"/>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旧）</w:t>
            </w:r>
          </w:p>
        </w:tc>
      </w:tr>
      <w:tr w14:paraId="5C14243E">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6530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9</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C9F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漏电过载保护设施</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54C2">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9879F">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9CE0">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若干</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32D78">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配电柜</w:t>
            </w:r>
          </w:p>
        </w:tc>
      </w:tr>
      <w:tr w14:paraId="40185FF8">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F3B97">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10</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DB3E5">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绝缘垫</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B4032">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A7622">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橡胶</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2EA7E">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若干</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AC14">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配电间（利</w:t>
            </w: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旧）</w:t>
            </w:r>
          </w:p>
        </w:tc>
      </w:tr>
      <w:tr w14:paraId="77179DB8">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68BBB">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B483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球阀</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E6A87">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DN100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9BA40">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F0BB">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0个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1AB6">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密闭卸油点（利旧）</w:t>
            </w:r>
          </w:p>
        </w:tc>
      </w:tr>
      <w:tr w14:paraId="6D6D1156">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A815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12</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F826">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剪切阀</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98D17">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6898B">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75956">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6个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B08CB">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加油机底部（利旧）</w:t>
            </w:r>
          </w:p>
        </w:tc>
      </w:tr>
      <w:tr w14:paraId="1446CF9C">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EF5EC">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13</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D24F1">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防溢流阀</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F12F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DN100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71FF1">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1195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4个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63909">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油罐（利旧）</w:t>
            </w:r>
          </w:p>
        </w:tc>
      </w:tr>
      <w:tr w14:paraId="1EEFB89B">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562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14</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349C">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安全拉断阀</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F31FF">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DB7B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A42B">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8个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0AEB">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加油区（利</w:t>
            </w:r>
            <w:r>
              <w:rPr>
                <w:rStyle w:val="254"/>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旧）</w:t>
            </w:r>
          </w:p>
        </w:tc>
      </w:tr>
      <w:tr w14:paraId="3FF104AB">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E6F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15</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EE866">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油罐固定设施</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7A54">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FCA3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C12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4套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7C3D8">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油罐（三套利旧）</w:t>
            </w:r>
          </w:p>
        </w:tc>
      </w:tr>
      <w:tr w14:paraId="283DE4CF">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EDBD">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16</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9286D">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呼吸阀</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0C359">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DN50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20CD">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E086D">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2106">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通气管管口（利旧）</w:t>
            </w:r>
          </w:p>
        </w:tc>
      </w:tr>
      <w:tr w14:paraId="3558E7FC">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95D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17</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4ABD">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微压表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305E">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2.5级精度，范围</w:t>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br w:type="textWrapping"/>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为±5kpa</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75BB8">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65F4">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21FC0">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通气管（利旧）</w:t>
            </w:r>
          </w:p>
        </w:tc>
      </w:tr>
      <w:tr w14:paraId="3F0FFF42">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8338">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18</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B88F">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通气口阻火器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B2F27">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DN50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9F8C">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17010">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E41D">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通气管管口（利旧）</w:t>
            </w:r>
          </w:p>
        </w:tc>
      </w:tr>
      <w:tr w14:paraId="2D672796">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4ED5">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19</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22A2">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卸油管、卸油油气</w:t>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br w:type="textWrapping"/>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回收管</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9837">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DN100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A3705">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无缝钢管</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87C4">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E58F2">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油罐（利旧）</w:t>
            </w:r>
          </w:p>
        </w:tc>
      </w:tr>
      <w:tr w14:paraId="70430917">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6801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20</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7043">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加油油气回收主管</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B6A85">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DN80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424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无缝钢管</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5DFC8">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6DFC3">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油罐，加油机（部分利</w:t>
            </w:r>
            <w:r>
              <w:rPr>
                <w:rStyle w:val="256"/>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旧）</w:t>
            </w:r>
          </w:p>
        </w:tc>
      </w:tr>
      <w:tr w14:paraId="46A4B17C">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09B9C">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E8B03">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加油管</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B5AD">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DN50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1818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PE</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38736">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90m</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71B07">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双层管道（部分利</w:t>
            </w:r>
            <w:r>
              <w:rPr>
                <w:rStyle w:val="253"/>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旧）</w:t>
            </w:r>
          </w:p>
        </w:tc>
      </w:tr>
      <w:tr w14:paraId="1D3D2C72">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9C90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22</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CE81">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人孔操作井</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F0BF8">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B1285">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2419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8个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56C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w:t>
            </w:r>
          </w:p>
        </w:tc>
      </w:tr>
      <w:tr w14:paraId="0C638D04">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D992">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23</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D8CCE">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承重操作井盖板</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FA1B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复合材料</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BAC04">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2FAAF">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8个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7CE5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油罐操作井</w:t>
            </w:r>
          </w:p>
        </w:tc>
      </w:tr>
      <w:tr w14:paraId="4009025C">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588C6">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24</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D0838">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立柱式警示隔离带</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12297">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1500mm×200mm×600mm</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8B0F5">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塑胶</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600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2个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A8C8">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罐区</w:t>
            </w:r>
          </w:p>
        </w:tc>
      </w:tr>
      <w:tr w14:paraId="643F6611">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C471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25</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FCB4B">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防撞杆</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CDD8">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1500mm×600mm</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3A9E4">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622C">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4个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823B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加油区</w:t>
            </w:r>
          </w:p>
        </w:tc>
      </w:tr>
      <w:tr w14:paraId="3C826D00">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B8FA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26</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33F67">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应急照明设施</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39BF">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蓄电池连续供电&gt;30分钟</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1A60">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87B04">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8套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40D63">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罩棚、办公室等</w:t>
            </w:r>
          </w:p>
        </w:tc>
      </w:tr>
      <w:tr w14:paraId="695553A4">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C7143">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27</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167D">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安全指示标志牌</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5C30E">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BD7D">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塑胶</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A303C">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10个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9671C">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出入口、油罐区、加油区、配电房</w:t>
            </w:r>
          </w:p>
        </w:tc>
      </w:tr>
      <w:tr w14:paraId="47E84639">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6BCC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28</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60FD7">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安全架、安全梯、安全绳</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A7F40">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0936A">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2931">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D14E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值班室</w:t>
            </w:r>
          </w:p>
        </w:tc>
      </w:tr>
      <w:tr w14:paraId="7D5505F9">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AE428">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29</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F9824">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通讯设备</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C6D19">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57FB">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3AC9">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9FB93">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值班室</w:t>
            </w:r>
          </w:p>
        </w:tc>
      </w:tr>
      <w:tr w14:paraId="0BF05CF0">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31DE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30</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F689B">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扩音器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CF0E7">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便携式</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ABA8">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0086C">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00083">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值班室</w:t>
            </w:r>
          </w:p>
        </w:tc>
      </w:tr>
      <w:tr w14:paraId="09D553BB">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A114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552BE">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减速带</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123A">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EE53">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A2EB">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2个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0F71F">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出入口</w:t>
            </w:r>
          </w:p>
        </w:tc>
      </w:tr>
      <w:tr w14:paraId="734CFB3D">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DCE3">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32</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BD3E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隔离带</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CD375">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EC20">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塑胶</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3913">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两套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5899C">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值班室</w:t>
            </w:r>
          </w:p>
        </w:tc>
      </w:tr>
      <w:tr w14:paraId="672429CF">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F3DA2">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33</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4E09">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紧急照明设备</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A958C">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头戴式、电压&lt;1</w:t>
            </w: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2v</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7F361">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089B5">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2套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CACE">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防护器具柜（利旧）</w:t>
            </w:r>
          </w:p>
        </w:tc>
      </w:tr>
      <w:tr w14:paraId="40A3EA61">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4D66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34</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1C59F">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应急疏散标识灯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73203">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68157">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CE827">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3229E">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站房（利旧</w:t>
            </w:r>
            <w:r>
              <w:rPr>
                <w:rStyle w:val="258"/>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w:t>
            </w:r>
          </w:p>
        </w:tc>
      </w:tr>
      <w:tr w14:paraId="5DF3830D">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3632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35</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EC54C">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人体静电释放装置</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EC6C">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AFB7">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F006F">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06D07">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（利旧）</w:t>
            </w:r>
          </w:p>
        </w:tc>
      </w:tr>
      <w:tr w14:paraId="778547F4">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7DE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36</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72F76">
            <w:pPr>
              <w:widowControl/>
              <w:spacing w:line="240" w:lineRule="auto"/>
              <w:jc w:val="center"/>
              <w:textAlignment w:val="top"/>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卸车用静电接地夹</w:t>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br w:type="textWrapping"/>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及报警器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A274">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8F4DC">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68904">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4A46">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（利旧）</w:t>
            </w:r>
          </w:p>
        </w:tc>
      </w:tr>
      <w:tr w14:paraId="2F85930E">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64477">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37</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D6792">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UPS电源</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AF374">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7173">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F071E">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0E888">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（利旧）</w:t>
            </w:r>
          </w:p>
        </w:tc>
      </w:tr>
      <w:tr w14:paraId="17A76D72">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B2E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二</w:t>
            </w:r>
          </w:p>
        </w:tc>
        <w:tc>
          <w:tcPr>
            <w:tcW w:w="46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329C6B">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消防灭火设施</w:t>
            </w:r>
          </w:p>
        </w:tc>
      </w:tr>
      <w:tr w14:paraId="5189228D">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6737">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A505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手提式干粉灭火器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81B2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MF/ABC5</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5837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磷酸盐</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0B10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17具</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4937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站房、加油区、消防物资柜</w:t>
            </w:r>
          </w:p>
        </w:tc>
      </w:tr>
      <w:tr w14:paraId="1358A4B1">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F6686">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CDA5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手提式CO</w:t>
            </w:r>
            <w:r>
              <w:rPr>
                <w:rStyle w:val="25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₂</w:t>
            </w: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灭火器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186F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MT4</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3642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二氧化碳</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35D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3具</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B39E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配电室</w:t>
            </w:r>
          </w:p>
        </w:tc>
      </w:tr>
      <w:tr w14:paraId="5F2754B9">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CB0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2C1C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推车式干粉灭火器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BB2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MFT/ABC50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C20F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磷酸盐</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A3E9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3具</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FCEA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消防器材箱、卸油区、洗车机旁</w:t>
            </w:r>
          </w:p>
        </w:tc>
      </w:tr>
      <w:tr w14:paraId="3C665B90">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A33AC">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4</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D07A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灭火毯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8387">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1m×1m</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4D34B">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CAD3">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6块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CDAD">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消防器材箱</w:t>
            </w:r>
          </w:p>
        </w:tc>
      </w:tr>
      <w:tr w14:paraId="75230E98">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36493">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5</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3D42">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消防沙池</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8EF5B">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62EF">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石英沙</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71B61">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2m³</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226B1">
            <w:pPr>
              <w:widowControl/>
              <w:spacing w:line="240" w:lineRule="auto"/>
              <w:jc w:val="center"/>
              <w:textAlignment w:val="top"/>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油罐区（利</w:t>
            </w: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旧）</w:t>
            </w:r>
          </w:p>
        </w:tc>
      </w:tr>
      <w:tr w14:paraId="7EAEF4A3">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3C332">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6</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43740">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消防器材箱</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83CCF">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1B1A2">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864ED">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4A01A">
            <w:pPr>
              <w:widowControl/>
              <w:spacing w:line="240" w:lineRule="auto"/>
              <w:jc w:val="center"/>
              <w:textAlignment w:val="top"/>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油罐区（利</w:t>
            </w:r>
            <w:r>
              <w:rPr>
                <w:rStyle w:val="254"/>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旧）</w:t>
            </w:r>
          </w:p>
        </w:tc>
      </w:tr>
      <w:tr w14:paraId="6389CB75">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C0056">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7</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5A51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消防桶</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BC9B0">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265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D141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4只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E9C3">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消防器材箱</w:t>
            </w:r>
          </w:p>
        </w:tc>
      </w:tr>
      <w:tr w14:paraId="21154461">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F3DBE">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8</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06DA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消防铲</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7787">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85F2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7C86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4把</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F810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消防器材箱</w:t>
            </w:r>
          </w:p>
        </w:tc>
      </w:tr>
      <w:tr w14:paraId="3186D1FD">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137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9</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3225">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灭火器箱</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D94D3">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4555">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碳钢</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B02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7个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E0E7">
            <w:pPr>
              <w:widowControl/>
              <w:spacing w:line="240" w:lineRule="auto"/>
              <w:jc w:val="center"/>
              <w:textAlignment w:val="top"/>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站房、加油区</w:t>
            </w:r>
          </w:p>
        </w:tc>
      </w:tr>
      <w:tr w14:paraId="65DDBB3D">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2A91C">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10</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E549D">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吸油毯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0E2C7">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BAAB">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E0BC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2块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7EE4C">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油罐区</w:t>
            </w:r>
          </w:p>
        </w:tc>
      </w:tr>
      <w:tr w14:paraId="425EA2D8">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5070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A5DC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收集桶</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D29F0">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E92F6">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8B8BE">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0E8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站房</w:t>
            </w:r>
          </w:p>
        </w:tc>
      </w:tr>
      <w:tr w14:paraId="440C36A5">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A02B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三</w:t>
            </w:r>
          </w:p>
        </w:tc>
        <w:tc>
          <w:tcPr>
            <w:tcW w:w="46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674D46">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个体防护装备</w:t>
            </w:r>
          </w:p>
        </w:tc>
      </w:tr>
      <w:tr w14:paraId="24470A5E">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924F8">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C0D71">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工作服</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C8F9A">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防静电</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E1D5">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8EE2">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5套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F3A2A">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个人工具柜</w:t>
            </w:r>
          </w:p>
        </w:tc>
      </w:tr>
      <w:tr w14:paraId="4FBA265D">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578F6">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2</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E53C7">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工作鞋</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0CE0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防静电</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D19D2">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4C0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5双</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49D7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个人工具柜</w:t>
            </w:r>
          </w:p>
        </w:tc>
      </w:tr>
      <w:tr w14:paraId="3C8E9BFD">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E9DD8">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3</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A3C1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工作手套</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F0E6E">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防静电</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9328E">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54BF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5双</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F9C5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个人工具柜</w:t>
            </w:r>
          </w:p>
        </w:tc>
      </w:tr>
      <w:tr w14:paraId="57460C3C">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0A9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4</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9CF8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防静电工作帽</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EF8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符合GB2811要求</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734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工程塑料</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2A3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5顶</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ED3F5">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个人工具柜</w:t>
            </w:r>
          </w:p>
        </w:tc>
      </w:tr>
      <w:tr w14:paraId="0C4B48F5">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366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5</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4211A">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防毒口罩</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6BCD0">
            <w:pPr>
              <w:widowControl/>
              <w:spacing w:line="240" w:lineRule="auto"/>
              <w:jc w:val="center"/>
              <w:textAlignment w:val="top"/>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配活性炭滤毒罐，防燃油油气</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2D49">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2C6C">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5个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92273">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个人工具柜</w:t>
            </w:r>
          </w:p>
        </w:tc>
      </w:tr>
      <w:tr w14:paraId="74F98B0B">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94CE">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6</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665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护目镜</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2310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密闭型</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0E64A">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F768E">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5副</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FEF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个人工具柜</w:t>
            </w:r>
          </w:p>
        </w:tc>
      </w:tr>
      <w:tr w14:paraId="3350402C">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171D">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7</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7F96">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绝缘手套</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A8558">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A515D">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592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3双</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98E2D">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w:t>
            </w:r>
          </w:p>
        </w:tc>
      </w:tr>
      <w:tr w14:paraId="7476E4E3">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A9A13">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8</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58653">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防烫手套</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ED333">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3C71">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B0FD">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3双</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2B000">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w:t>
            </w:r>
          </w:p>
        </w:tc>
      </w:tr>
      <w:tr w14:paraId="0DB26D61">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7C018">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9</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11449">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绝缘鞋</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1DDF">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B653">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15E7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3双</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248DF">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w:t>
            </w:r>
          </w:p>
        </w:tc>
      </w:tr>
      <w:tr w14:paraId="6D981BBF">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AD7F7">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10</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BDB46">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防毒面罩</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7DD48">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配中型滤毒罐，防燃油油气不少于20分钟</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0C642">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2A72B">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0A9E">
            <w:pPr>
              <w:widowControl/>
              <w:spacing w:line="240" w:lineRule="auto"/>
              <w:jc w:val="center"/>
              <w:textAlignment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w:t>
            </w:r>
          </w:p>
        </w:tc>
      </w:tr>
      <w:tr w14:paraId="000D2970">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D721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11</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F829A">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急救药箱</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20D1C">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内置常用药品</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DC9BC">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0ED9E">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88258">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值班室</w:t>
            </w:r>
          </w:p>
        </w:tc>
      </w:tr>
      <w:tr w14:paraId="23141868">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B5B66">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12</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E03E4">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80CED">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4B238">
            <w:pPr>
              <w:widowControl/>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5EB2E">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1个</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1F93">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w:t>
            </w:r>
          </w:p>
        </w:tc>
      </w:tr>
      <w:tr w14:paraId="1FF898F1">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904A1">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13</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36CD3">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安全梯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E0C5">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5EB2A">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B7F00">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1副</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40D8D">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值班室</w:t>
            </w:r>
          </w:p>
        </w:tc>
      </w:tr>
      <w:tr w14:paraId="2CBD5C8E">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0A4D">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14</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80104">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安全绳</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BD683">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30m/卷，Φ18</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342E">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BCBB0">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1卷</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1E5E6">
            <w:pPr>
              <w:widowControl/>
              <w:spacing w:line="240" w:lineRule="auto"/>
              <w:jc w:val="center"/>
              <w:textAlignment w:val="bottom"/>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防护器具柜</w:t>
            </w:r>
          </w:p>
        </w:tc>
      </w:tr>
      <w:tr w14:paraId="2AD9C04F">
        <w:tblPrEx>
          <w:tblCellMar>
            <w:top w:w="0" w:type="dxa"/>
            <w:left w:w="108" w:type="dxa"/>
            <w:bottom w:w="0" w:type="dxa"/>
            <w:right w:w="108" w:type="dxa"/>
          </w:tblCellMar>
        </w:tblPrEx>
        <w:trPr>
          <w:trHeight w:val="397"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8FAB">
            <w:pPr>
              <w:widowControl/>
              <w:spacing w:line="240" w:lineRule="auto"/>
              <w:jc w:val="center"/>
              <w:textAlignment w:val="bottom"/>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15</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89C64">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担架</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4792C">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8CD0">
            <w:pPr>
              <w:widowControl/>
              <w:spacing w:line="240" w:lineRule="auto"/>
              <w:jc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BDCE7">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cs="Times New Roman"/>
                <w:caps w:val="0"/>
                <w:smallCaps w:val="0"/>
                <w:color w:val="000000" w:themeColor="text1"/>
                <w:spacing w:val="0"/>
                <w:w w:val="100"/>
                <w:kern w:val="0"/>
                <w:sz w:val="21"/>
                <w:lang w:bidi="ar"/>
                <w14:textFill>
                  <w14:solidFill>
                    <w14:schemeClr w14:val="tx1"/>
                  </w14:solidFill>
                </w14:textFill>
              </w:rPr>
              <w:t>1套</w:t>
            </w:r>
          </w:p>
        </w:tc>
        <w:tc>
          <w:tcPr>
            <w:tcW w:w="1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685D9">
            <w:pPr>
              <w:widowControl/>
              <w:spacing w:line="240" w:lineRule="auto"/>
              <w:jc w:val="center"/>
              <w:textAlignment w:val="center"/>
              <w:rPr>
                <w:rFonts w:hint="default" w:ascii="Times New Roman" w:hAnsi="Times New Roman" w:eastAsia="宋体" w:cs="Times New Roman"/>
                <w:caps w:val="0"/>
                <w:smallCaps w:val="0"/>
                <w:color w:val="000000" w:themeColor="text1"/>
                <w:spacing w:val="0"/>
                <w:w w:val="100"/>
                <w:kern w:val="2"/>
                <w:sz w:val="21"/>
                <w:szCs w:val="21"/>
                <w:lang w:val="en-US" w:eastAsia="zh-CN" w:bidi="ar-SA"/>
                <w14:textFill>
                  <w14:solidFill>
                    <w14:schemeClr w14:val="tx1"/>
                  </w14:solidFill>
                </w14:textFill>
              </w:rPr>
            </w:pPr>
            <w:r>
              <w:rPr>
                <w:rStyle w:val="249"/>
                <w:rFonts w:hint="default" w:ascii="Times New Roman" w:hAnsi="Times New Roman" w:cs="Times New Roman"/>
                <w:caps w:val="0"/>
                <w:smallCaps w:val="0"/>
                <w:color w:val="000000" w:themeColor="text1"/>
                <w:spacing w:val="0"/>
                <w:w w:val="100"/>
                <w:sz w:val="21"/>
                <w:szCs w:val="21"/>
                <w:lang w:bidi="ar"/>
                <w14:textFill>
                  <w14:solidFill>
                    <w14:schemeClr w14:val="tx1"/>
                  </w14:solidFill>
                </w14:textFill>
              </w:rPr>
              <w:t>值班室</w:t>
            </w:r>
          </w:p>
        </w:tc>
      </w:tr>
      <w:bookmarkEnd w:id="165"/>
    </w:tbl>
    <w:p w14:paraId="7B589FBC">
      <w:pPr>
        <w:pStyle w:val="5"/>
        <w:snapToGrid/>
        <w:rPr>
          <w:rFonts w:hint="default" w:ascii="Times New Roman" w:hAnsi="Times New Roman" w:eastAsia="黑体" w:cs="Times New Roman"/>
          <w:b w:val="0"/>
          <w:bCs w:val="0"/>
          <w:caps w:val="0"/>
          <w:smallCaps w:val="0"/>
          <w:spacing w:val="0"/>
          <w:w w:val="100"/>
        </w:rPr>
      </w:pPr>
      <w:bookmarkStart w:id="176" w:name="_Toc195176725"/>
      <w:bookmarkStart w:id="177" w:name="_Toc22115"/>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9</w:t>
      </w:r>
      <w:r>
        <w:rPr>
          <w:rFonts w:hint="default" w:ascii="Times New Roman" w:hAnsi="Times New Roman" w:eastAsia="黑体" w:cs="Times New Roman"/>
          <w:b w:val="0"/>
          <w:bCs w:val="0"/>
          <w:caps w:val="0"/>
          <w:smallCaps w:val="0"/>
          <w:spacing w:val="0"/>
          <w:w w:val="100"/>
        </w:rPr>
        <w:t>主要建筑物</w:t>
      </w:r>
      <w:bookmarkEnd w:id="176"/>
      <w:bookmarkEnd w:id="177"/>
    </w:p>
    <w:p w14:paraId="11F4DF2B">
      <w:pPr>
        <w:pStyle w:val="225"/>
        <w:adjustRightInd/>
        <w:snapToGrid/>
        <w:rPr>
          <w:rFonts w:hint="default" w:ascii="Times New Roman" w:hAnsi="Times New Roman" w:cs="Times New Roman"/>
          <w:caps w:val="0"/>
          <w:smallCaps w:val="0"/>
          <w:spacing w:val="0"/>
          <w:w w:val="100"/>
        </w:rPr>
      </w:pPr>
      <w:bookmarkStart w:id="178" w:name="_Toc195176726"/>
      <w:r>
        <w:rPr>
          <w:rFonts w:hint="default" w:ascii="Times New Roman" w:hAnsi="Times New Roman" w:cs="Times New Roman"/>
          <w:caps w:val="0"/>
          <w:smallCaps w:val="0"/>
          <w:spacing w:val="0"/>
          <w:w w:val="100"/>
        </w:rPr>
        <w:t>本工程所有的建构筑物均按抗震8度设防，耐火等级为二级。</w:t>
      </w:r>
    </w:p>
    <w:p w14:paraId="7A222F70">
      <w:pPr>
        <w:pStyle w:val="225"/>
        <w:adjustRightInd/>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站房、辅房采用框架结构，罩棚棚体采用钢网架结构，均为利旧建筑。加油、卸油等爆炸危险区域、站内地坪及道路采用不发火花混凝土地面。</w:t>
      </w:r>
    </w:p>
    <w:p w14:paraId="0C82CC15">
      <w:pPr>
        <w:pStyle w:val="225"/>
        <w:adjustRightInd/>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建筑设计做到安全适用、经济合理并注意美观和环境协调；同时考虑方便施工、安装和维修。根据工艺要求和使用功能，为满足操作和办公、营业的使用，对采光、通风、防火、防爆、防腐、节能等方面的要求采取相应的技术措施。</w:t>
      </w:r>
    </w:p>
    <w:p w14:paraId="76D92340">
      <w:pPr>
        <w:pStyle w:val="5"/>
        <w:snapToGrid/>
        <w:rPr>
          <w:rFonts w:hint="default" w:ascii="Times New Roman" w:hAnsi="Times New Roman" w:eastAsia="黑体" w:cs="Times New Roman"/>
          <w:b w:val="0"/>
          <w:bCs w:val="0"/>
          <w:caps w:val="0"/>
          <w:smallCaps w:val="0"/>
          <w:spacing w:val="0"/>
          <w:w w:val="100"/>
        </w:rPr>
      </w:pPr>
      <w:bookmarkStart w:id="179" w:name="_Toc31766"/>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0</w:t>
      </w:r>
      <w:r>
        <w:rPr>
          <w:rFonts w:hint="default" w:ascii="Times New Roman" w:hAnsi="Times New Roman" w:eastAsia="黑体" w:cs="Times New Roman"/>
          <w:b w:val="0"/>
          <w:bCs w:val="0"/>
          <w:caps w:val="0"/>
          <w:smallCaps w:val="0"/>
          <w:spacing w:val="0"/>
          <w:w w:val="100"/>
        </w:rPr>
        <w:t>安全管理</w:t>
      </w:r>
      <w:bookmarkEnd w:id="178"/>
      <w:bookmarkEnd w:id="179"/>
    </w:p>
    <w:p w14:paraId="032A5174">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80" w:name="_Toc195176730"/>
      <w:bookmarkStart w:id="181" w:name="_Toc10745"/>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0</w:t>
      </w:r>
      <w:r>
        <w:rPr>
          <w:rFonts w:hint="default" w:ascii="Times New Roman" w:hAnsi="Times New Roman" w:eastAsia="黑体" w:cs="Times New Roman"/>
          <w:b w:val="0"/>
          <w:bCs w:val="0"/>
          <w:caps w:val="0"/>
          <w:smallCaps w:val="0"/>
          <w:spacing w:val="0"/>
          <w:w w:val="100"/>
        </w:rPr>
        <w:t>.1安全管理组织</w:t>
      </w:r>
      <w:bookmarkEnd w:id="180"/>
      <w:bookmarkEnd w:id="181"/>
    </w:p>
    <w:p w14:paraId="15873574">
      <w:pPr>
        <w:pStyle w:val="225"/>
        <w:adjustRightInd/>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加油站实行站长负责制，加油站站长全面负责加油站的生产经营，负责加油站日常安全工作，加油站设立安全管理小组，成立义务消防队，有比较完善的安全管理制度。</w:t>
      </w:r>
    </w:p>
    <w:p w14:paraId="7F1A6CDB">
      <w:pPr>
        <w:keepNext/>
        <w:keepLines/>
        <w:snapToGrid/>
        <w:ind w:firstLine="560" w:firstLineChars="200"/>
        <w:outlineLvl w:val="2"/>
        <w:rPr>
          <w:rFonts w:hint="default" w:ascii="Times New Roman" w:hAnsi="Times New Roman" w:eastAsia="黑体" w:cs="Times New Roman"/>
          <w:caps w:val="0"/>
          <w:smallCaps w:val="0"/>
          <w:spacing w:val="0"/>
          <w:w w:val="100"/>
          <w:szCs w:val="28"/>
        </w:rPr>
      </w:pPr>
      <w:bookmarkStart w:id="182" w:name="_Toc31182"/>
      <w:bookmarkStart w:id="183" w:name="_Toc195176735"/>
      <w:r>
        <w:rPr>
          <w:rFonts w:hint="default" w:ascii="Times New Roman" w:hAnsi="Times New Roman" w:eastAsia="黑体" w:cs="Times New Roman"/>
          <w:caps w:val="0"/>
          <w:smallCaps w:val="0"/>
          <w:spacing w:val="0"/>
          <w:w w:val="100"/>
          <w:szCs w:val="28"/>
        </w:rPr>
        <w:t>2.1</w:t>
      </w:r>
      <w:r>
        <w:rPr>
          <w:rFonts w:hint="default" w:ascii="Times New Roman" w:hAnsi="Times New Roman"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.2劳动定员及工作制度</w:t>
      </w:r>
      <w:bookmarkEnd w:id="182"/>
    </w:p>
    <w:p w14:paraId="33CF1AB0">
      <w:pPr>
        <w:pStyle w:val="225"/>
        <w:adjustRightInd/>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目前，该加油站从业人员共4人，其中加油站站长1名、</w:t>
      </w:r>
      <w:r>
        <w:rPr>
          <w:rFonts w:hint="eastAsia"/>
          <w:lang w:val="en-US" w:eastAsia="zh-CN"/>
        </w:rPr>
        <w:t>安全生产管理人员</w:t>
      </w:r>
      <w:r>
        <w:rPr>
          <w:rFonts w:hint="default" w:ascii="Times New Roman" w:hAnsi="Times New Roman" w:cs="Times New Roman"/>
          <w:caps w:val="0"/>
          <w:smallCaps w:val="0"/>
          <w:spacing w:val="0"/>
          <w:w w:val="100"/>
        </w:rPr>
        <w:t>1名，加油员2名。加油站年工作天数365天，实行长白班工作制，晚上设有值班人员。</w:t>
      </w:r>
    </w:p>
    <w:p w14:paraId="2B3F9D3E">
      <w:pPr>
        <w:keepNext/>
        <w:keepLines/>
        <w:snapToGrid/>
        <w:ind w:firstLine="560" w:firstLineChars="200"/>
        <w:outlineLvl w:val="2"/>
        <w:rPr>
          <w:rFonts w:hint="default" w:ascii="Times New Roman" w:hAnsi="Times New Roman" w:eastAsia="黑体" w:cs="Times New Roman"/>
          <w:caps w:val="0"/>
          <w:smallCaps w:val="0"/>
          <w:spacing w:val="0"/>
          <w:w w:val="100"/>
          <w:szCs w:val="28"/>
        </w:rPr>
      </w:pPr>
      <w:bookmarkStart w:id="184" w:name="_Toc6786"/>
      <w:r>
        <w:rPr>
          <w:rFonts w:hint="default" w:ascii="Times New Roman" w:hAnsi="Times New Roman" w:eastAsia="黑体" w:cs="Times New Roman"/>
          <w:caps w:val="0"/>
          <w:smallCaps w:val="0"/>
          <w:spacing w:val="0"/>
          <w:w w:val="100"/>
          <w:szCs w:val="28"/>
        </w:rPr>
        <w:t>2.1</w:t>
      </w:r>
      <w:r>
        <w:rPr>
          <w:rFonts w:hint="default" w:ascii="Times New Roman" w:hAnsi="Times New Roman"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.3安全教育培训情况</w:t>
      </w:r>
      <w:bookmarkEnd w:id="184"/>
    </w:p>
    <w:p w14:paraId="42801C0E">
      <w:pPr>
        <w:pStyle w:val="225"/>
        <w:adjustRightInd/>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加油站主要负责人、</w:t>
      </w:r>
      <w:r>
        <w:rPr>
          <w:rFonts w:hint="eastAsia"/>
          <w:lang w:val="en-US" w:eastAsia="zh-CN"/>
        </w:rPr>
        <w:t>安全生产管理人员</w:t>
      </w:r>
      <w:r>
        <w:rPr>
          <w:rFonts w:hint="default" w:ascii="Times New Roman" w:hAnsi="Times New Roman" w:cs="Times New Roman"/>
          <w:caps w:val="0"/>
          <w:smallCaps w:val="0"/>
          <w:spacing w:val="0"/>
          <w:w w:val="100"/>
        </w:rPr>
        <w:t>已取得安全生产知识和管理能力考核合格证；加油站无专职电工，需要时聘请持电工证人员作业；加油站内其他操作人员已经加油站安全教育培训合格后上岗。</w:t>
      </w:r>
    </w:p>
    <w:p w14:paraId="44AB7513">
      <w:pPr>
        <w:keepNext/>
        <w:keepLines/>
        <w:snapToGrid/>
        <w:ind w:firstLine="560" w:firstLineChars="200"/>
        <w:outlineLvl w:val="2"/>
        <w:rPr>
          <w:rFonts w:hint="default" w:ascii="Times New Roman" w:hAnsi="Times New Roman" w:eastAsia="黑体" w:cs="Times New Roman"/>
          <w:caps w:val="0"/>
          <w:smallCaps w:val="0"/>
          <w:spacing w:val="0"/>
          <w:w w:val="100"/>
          <w:szCs w:val="28"/>
        </w:rPr>
      </w:pPr>
      <w:bookmarkStart w:id="185" w:name="_Toc29120"/>
      <w:r>
        <w:rPr>
          <w:rFonts w:hint="default" w:ascii="Times New Roman" w:hAnsi="Times New Roman" w:eastAsia="黑体" w:cs="Times New Roman"/>
          <w:caps w:val="0"/>
          <w:smallCaps w:val="0"/>
          <w:spacing w:val="0"/>
          <w:w w:val="100"/>
          <w:szCs w:val="28"/>
        </w:rPr>
        <w:t>2.1</w:t>
      </w:r>
      <w:r>
        <w:rPr>
          <w:rFonts w:hint="eastAsia" w:ascii="Times New Roman"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.4安全管理规章制度</w:t>
      </w:r>
      <w:bookmarkEnd w:id="185"/>
    </w:p>
    <w:p w14:paraId="00B740A2">
      <w:pPr>
        <w:pStyle w:val="225"/>
        <w:adjustRightInd/>
        <w:snapToGrid/>
        <w:rPr>
          <w:rFonts w:hint="default" w:ascii="Times New Roman" w:hAnsi="Times New Roman" w:cs="Times New Roman"/>
          <w:caps w:val="0"/>
          <w:smallCaps w:val="0"/>
          <w:spacing w:val="0"/>
          <w:w w:val="100"/>
          <w:lang w:val="zh-CN"/>
        </w:rPr>
      </w:pPr>
      <w:r>
        <w:rPr>
          <w:rFonts w:hint="default" w:ascii="Times New Roman" w:hAnsi="Times New Roman" w:cs="Times New Roman"/>
          <w:caps w:val="0"/>
          <w:smallCaps w:val="0"/>
          <w:spacing w:val="0"/>
          <w:w w:val="100"/>
          <w:lang w:val="zh-CN"/>
        </w:rPr>
        <w:t>加油站根据国家相关要求并结合加油站实际情况，组织制定了以下安全管理制度，见下表。</w:t>
      </w:r>
    </w:p>
    <w:p w14:paraId="11373B74">
      <w:pPr>
        <w:pStyle w:val="55"/>
        <w:keepNext/>
        <w:keepLines/>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cs="Times New Roman"/>
          <w:b/>
          <w:bCs/>
          <w:caps w:val="0"/>
          <w:smallCaps w:val="0"/>
          <w:spacing w:val="0"/>
          <w:w w:val="100"/>
          <w:sz w:val="24"/>
          <w:szCs w:val="20"/>
        </w:rPr>
      </w:pPr>
      <w:r>
        <w:rPr>
          <w:rFonts w:hint="default" w:ascii="Times New Roman" w:hAnsi="Times New Roman" w:cs="Times New Roman"/>
          <w:b/>
          <w:bCs/>
          <w:caps w:val="0"/>
          <w:smallCaps w:val="0"/>
          <w:spacing w:val="0"/>
          <w:w w:val="100"/>
          <w:sz w:val="24"/>
          <w:szCs w:val="20"/>
        </w:rPr>
        <w:t>表2.</w:t>
      </w:r>
      <w:r>
        <w:rPr>
          <w:rFonts w:hint="default" w:ascii="Times New Roman" w:hAnsi="Times New Roman" w:cs="Times New Roman"/>
          <w:b/>
          <w:bCs/>
          <w:caps w:val="0"/>
          <w:smallCaps w:val="0"/>
          <w:spacing w:val="0"/>
          <w:w w:val="100"/>
          <w:sz w:val="24"/>
          <w:szCs w:val="20"/>
          <w:lang w:val="en-US" w:eastAsia="zh-CN"/>
        </w:rPr>
        <w:t>10</w:t>
      </w:r>
      <w:r>
        <w:rPr>
          <w:rFonts w:hint="default" w:ascii="Times New Roman" w:hAnsi="Times New Roman" w:cs="Times New Roman"/>
          <w:b/>
          <w:bCs/>
          <w:caps w:val="0"/>
          <w:smallCaps w:val="0"/>
          <w:spacing w:val="0"/>
          <w:w w:val="100"/>
          <w:sz w:val="24"/>
          <w:szCs w:val="20"/>
        </w:rPr>
        <w:t>-3  加油站安全管理制度表</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79"/>
        <w:gridCol w:w="6567"/>
        <w:gridCol w:w="1654"/>
      </w:tblGrid>
      <w:tr w14:paraId="3E07D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EF09841">
            <w:pPr>
              <w:snapToGrid/>
              <w:spacing w:line="240" w:lineRule="auto"/>
              <w:jc w:val="center"/>
              <w:rPr>
                <w:rFonts w:hint="default" w:ascii="Times New Roman" w:hAnsi="Times New Roman" w:cs="Times New Roman"/>
                <w:b/>
                <w:bCs/>
                <w:caps w:val="0"/>
                <w:smallCaps w:val="0"/>
                <w:spacing w:val="0"/>
                <w:w w:val="100"/>
                <w:sz w:val="21"/>
                <w:lang w:val="zh-CN"/>
              </w:rPr>
            </w:pPr>
            <w:r>
              <w:rPr>
                <w:rFonts w:hint="default" w:ascii="Times New Roman" w:hAnsi="Times New Roman" w:cs="Times New Roman"/>
                <w:b/>
                <w:bCs/>
                <w:caps w:val="0"/>
                <w:smallCaps w:val="0"/>
                <w:spacing w:val="0"/>
                <w:w w:val="100"/>
                <w:sz w:val="21"/>
                <w:lang w:val="zh-CN"/>
              </w:rPr>
              <w:t>序号</w:t>
            </w:r>
          </w:p>
        </w:tc>
        <w:tc>
          <w:tcPr>
            <w:tcW w:w="3493" w:type="pct"/>
            <w:tcBorders>
              <w:top w:val="single" w:color="000000" w:sz="4" w:space="0"/>
              <w:left w:val="single" w:color="000000" w:sz="4" w:space="0"/>
              <w:bottom w:val="single" w:color="000000" w:sz="4" w:space="0"/>
              <w:right w:val="single" w:color="000000" w:sz="4" w:space="0"/>
            </w:tcBorders>
            <w:vAlign w:val="center"/>
          </w:tcPr>
          <w:p w14:paraId="3F0D9CB0">
            <w:pPr>
              <w:snapToGrid/>
              <w:spacing w:line="240" w:lineRule="auto"/>
              <w:jc w:val="center"/>
              <w:rPr>
                <w:rFonts w:hint="default" w:ascii="Times New Roman" w:hAnsi="Times New Roman" w:cs="Times New Roman"/>
                <w:b/>
                <w:bCs/>
                <w:caps w:val="0"/>
                <w:smallCaps w:val="0"/>
                <w:spacing w:val="0"/>
                <w:w w:val="100"/>
                <w:sz w:val="21"/>
                <w:lang w:val="zh-CN"/>
              </w:rPr>
            </w:pPr>
            <w:r>
              <w:rPr>
                <w:rFonts w:hint="default" w:ascii="Times New Roman" w:hAnsi="Times New Roman" w:cs="Times New Roman"/>
                <w:b/>
                <w:bCs/>
                <w:caps w:val="0"/>
                <w:smallCaps w:val="0"/>
                <w:spacing w:val="0"/>
                <w:w w:val="100"/>
                <w:sz w:val="21"/>
              </w:rPr>
              <w:t>名称</w:t>
            </w:r>
          </w:p>
        </w:tc>
        <w:tc>
          <w:tcPr>
            <w:tcW w:w="879" w:type="pct"/>
            <w:tcBorders>
              <w:top w:val="single" w:color="000000" w:sz="4" w:space="0"/>
              <w:left w:val="single" w:color="000000" w:sz="4" w:space="0"/>
              <w:bottom w:val="single" w:color="000000" w:sz="4" w:space="0"/>
              <w:right w:val="single" w:color="000000" w:sz="4" w:space="0"/>
            </w:tcBorders>
            <w:vAlign w:val="center"/>
          </w:tcPr>
          <w:p w14:paraId="0840EE6F">
            <w:pPr>
              <w:snapToGrid/>
              <w:spacing w:line="240" w:lineRule="auto"/>
              <w:jc w:val="center"/>
              <w:rPr>
                <w:rFonts w:hint="default" w:ascii="Times New Roman" w:hAnsi="Times New Roman" w:cs="Times New Roman"/>
                <w:b/>
                <w:bCs/>
                <w:caps w:val="0"/>
                <w:smallCaps w:val="0"/>
                <w:spacing w:val="0"/>
                <w:w w:val="100"/>
                <w:sz w:val="21"/>
                <w:lang w:val="zh-CN"/>
              </w:rPr>
            </w:pPr>
            <w:r>
              <w:rPr>
                <w:rFonts w:hint="default" w:ascii="Times New Roman" w:hAnsi="Times New Roman" w:cs="Times New Roman"/>
                <w:b/>
                <w:bCs/>
                <w:caps w:val="0"/>
                <w:smallCaps w:val="0"/>
                <w:spacing w:val="0"/>
                <w:w w:val="100"/>
                <w:sz w:val="21"/>
                <w:lang w:val="zh-CN"/>
              </w:rPr>
              <w:t>备 注</w:t>
            </w:r>
          </w:p>
        </w:tc>
      </w:tr>
      <w:tr w14:paraId="5E0B9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vAlign w:val="center"/>
          </w:tcPr>
          <w:p w14:paraId="4DAC176D">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安全生产责任制</w:t>
            </w:r>
          </w:p>
        </w:tc>
      </w:tr>
      <w:tr w14:paraId="2BC85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7D5A4A61">
            <w:pPr>
              <w:tabs>
                <w:tab w:val="left" w:pos="0"/>
              </w:tabs>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1</w:t>
            </w:r>
          </w:p>
        </w:tc>
        <w:tc>
          <w:tcPr>
            <w:tcW w:w="3493" w:type="pct"/>
            <w:tcBorders>
              <w:top w:val="single" w:color="000000" w:sz="4" w:space="0"/>
              <w:left w:val="single" w:color="000000" w:sz="4" w:space="0"/>
              <w:bottom w:val="single" w:color="000000" w:sz="4" w:space="0"/>
              <w:right w:val="single" w:color="000000" w:sz="4" w:space="0"/>
            </w:tcBorders>
            <w:vAlign w:val="center"/>
          </w:tcPr>
          <w:p w14:paraId="0BE46D9E">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rPr>
              <w:t>安全生产领导小组安全职责</w:t>
            </w:r>
          </w:p>
        </w:tc>
        <w:tc>
          <w:tcPr>
            <w:tcW w:w="879" w:type="pct"/>
            <w:tcBorders>
              <w:top w:val="single" w:color="000000" w:sz="4" w:space="0"/>
              <w:left w:val="single" w:color="000000" w:sz="4" w:space="0"/>
              <w:bottom w:val="single" w:color="000000" w:sz="4" w:space="0"/>
              <w:right w:val="single" w:color="000000" w:sz="4" w:space="0"/>
            </w:tcBorders>
            <w:vAlign w:val="center"/>
          </w:tcPr>
          <w:p w14:paraId="554DFBF9">
            <w:pPr>
              <w:snapToGrid/>
              <w:spacing w:line="240" w:lineRule="auto"/>
              <w:jc w:val="center"/>
              <w:rPr>
                <w:rFonts w:hint="default" w:ascii="Times New Roman" w:hAnsi="Times New Roman" w:cs="Times New Roman"/>
                <w:caps w:val="0"/>
                <w:smallCaps w:val="0"/>
                <w:spacing w:val="0"/>
                <w:w w:val="100"/>
                <w:sz w:val="21"/>
                <w:lang w:val="zh-CN"/>
              </w:rPr>
            </w:pPr>
          </w:p>
        </w:tc>
      </w:tr>
      <w:tr w14:paraId="3B7C1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3F5BB2B0">
            <w:pPr>
              <w:tabs>
                <w:tab w:val="left" w:pos="0"/>
              </w:tabs>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2</w:t>
            </w:r>
          </w:p>
        </w:tc>
        <w:tc>
          <w:tcPr>
            <w:tcW w:w="3493" w:type="pct"/>
            <w:tcBorders>
              <w:top w:val="single" w:color="000000" w:sz="4" w:space="0"/>
              <w:left w:val="single" w:color="000000" w:sz="4" w:space="0"/>
              <w:bottom w:val="single" w:color="000000" w:sz="4" w:space="0"/>
              <w:right w:val="single" w:color="000000" w:sz="4" w:space="0"/>
            </w:tcBorders>
            <w:vAlign w:val="center"/>
          </w:tcPr>
          <w:p w14:paraId="3BE2E2A7">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rPr>
              <w:t>加油站站长安全职责</w:t>
            </w:r>
          </w:p>
        </w:tc>
        <w:tc>
          <w:tcPr>
            <w:tcW w:w="879" w:type="pct"/>
            <w:tcBorders>
              <w:top w:val="single" w:color="000000" w:sz="4" w:space="0"/>
              <w:left w:val="single" w:color="000000" w:sz="4" w:space="0"/>
              <w:bottom w:val="single" w:color="000000" w:sz="4" w:space="0"/>
              <w:right w:val="single" w:color="000000" w:sz="4" w:space="0"/>
            </w:tcBorders>
            <w:vAlign w:val="center"/>
          </w:tcPr>
          <w:p w14:paraId="0A1DFCE9">
            <w:pPr>
              <w:snapToGrid/>
              <w:spacing w:line="240" w:lineRule="auto"/>
              <w:jc w:val="center"/>
              <w:rPr>
                <w:rFonts w:hint="default" w:ascii="Times New Roman" w:hAnsi="Times New Roman" w:cs="Times New Roman"/>
                <w:caps w:val="0"/>
                <w:smallCaps w:val="0"/>
                <w:spacing w:val="0"/>
                <w:w w:val="100"/>
                <w:sz w:val="21"/>
                <w:lang w:val="zh-CN"/>
              </w:rPr>
            </w:pPr>
          </w:p>
        </w:tc>
      </w:tr>
      <w:tr w14:paraId="1238B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31B7373">
            <w:pPr>
              <w:tabs>
                <w:tab w:val="left" w:pos="0"/>
              </w:tabs>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3</w:t>
            </w:r>
          </w:p>
        </w:tc>
        <w:tc>
          <w:tcPr>
            <w:tcW w:w="3493" w:type="pct"/>
            <w:tcBorders>
              <w:top w:val="single" w:color="000000" w:sz="4" w:space="0"/>
              <w:left w:val="single" w:color="000000" w:sz="4" w:space="0"/>
              <w:bottom w:val="single" w:color="000000" w:sz="4" w:space="0"/>
              <w:right w:val="single" w:color="000000" w:sz="4" w:space="0"/>
            </w:tcBorders>
            <w:vAlign w:val="center"/>
          </w:tcPr>
          <w:p w14:paraId="6F28B6A0">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rPr>
              <w:t>加油站安全员安全职责</w:t>
            </w:r>
          </w:p>
        </w:tc>
        <w:tc>
          <w:tcPr>
            <w:tcW w:w="879" w:type="pct"/>
            <w:tcBorders>
              <w:top w:val="single" w:color="000000" w:sz="4" w:space="0"/>
              <w:left w:val="single" w:color="000000" w:sz="4" w:space="0"/>
              <w:bottom w:val="single" w:color="000000" w:sz="4" w:space="0"/>
              <w:right w:val="single" w:color="000000" w:sz="4" w:space="0"/>
            </w:tcBorders>
            <w:vAlign w:val="center"/>
          </w:tcPr>
          <w:p w14:paraId="07F30CA4">
            <w:pPr>
              <w:snapToGrid/>
              <w:spacing w:line="240" w:lineRule="auto"/>
              <w:jc w:val="center"/>
              <w:rPr>
                <w:rFonts w:hint="default" w:ascii="Times New Roman" w:hAnsi="Times New Roman" w:cs="Times New Roman"/>
                <w:caps w:val="0"/>
                <w:smallCaps w:val="0"/>
                <w:spacing w:val="0"/>
                <w:w w:val="100"/>
                <w:sz w:val="21"/>
                <w:lang w:val="zh-CN"/>
              </w:rPr>
            </w:pPr>
          </w:p>
        </w:tc>
      </w:tr>
      <w:tr w14:paraId="04AF3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46F03C2">
            <w:pPr>
              <w:tabs>
                <w:tab w:val="left" w:pos="0"/>
              </w:tabs>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4</w:t>
            </w:r>
          </w:p>
        </w:tc>
        <w:tc>
          <w:tcPr>
            <w:tcW w:w="3493" w:type="pct"/>
            <w:tcBorders>
              <w:top w:val="single" w:color="000000" w:sz="4" w:space="0"/>
              <w:left w:val="single" w:color="000000" w:sz="4" w:space="0"/>
              <w:bottom w:val="single" w:color="000000" w:sz="4" w:space="0"/>
              <w:right w:val="single" w:color="000000" w:sz="4" w:space="0"/>
            </w:tcBorders>
            <w:vAlign w:val="center"/>
          </w:tcPr>
          <w:p w14:paraId="51EFDF80">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rPr>
              <w:t>加油站加油员安全职责</w:t>
            </w:r>
          </w:p>
        </w:tc>
        <w:tc>
          <w:tcPr>
            <w:tcW w:w="879" w:type="pct"/>
            <w:tcBorders>
              <w:top w:val="single" w:color="000000" w:sz="4" w:space="0"/>
              <w:left w:val="single" w:color="000000" w:sz="4" w:space="0"/>
              <w:bottom w:val="single" w:color="000000" w:sz="4" w:space="0"/>
              <w:right w:val="single" w:color="000000" w:sz="4" w:space="0"/>
            </w:tcBorders>
            <w:vAlign w:val="center"/>
          </w:tcPr>
          <w:p w14:paraId="7A5E09EA">
            <w:pPr>
              <w:snapToGrid/>
              <w:spacing w:line="240" w:lineRule="auto"/>
              <w:jc w:val="center"/>
              <w:rPr>
                <w:rFonts w:hint="default" w:ascii="Times New Roman" w:hAnsi="Times New Roman" w:cs="Times New Roman"/>
                <w:caps w:val="0"/>
                <w:smallCaps w:val="0"/>
                <w:spacing w:val="0"/>
                <w:w w:val="100"/>
                <w:sz w:val="21"/>
                <w:lang w:val="zh-CN"/>
              </w:rPr>
            </w:pPr>
          </w:p>
        </w:tc>
      </w:tr>
      <w:tr w14:paraId="2697B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51B9D356">
            <w:pPr>
              <w:tabs>
                <w:tab w:val="left" w:pos="0"/>
              </w:tabs>
              <w:snapToGrid/>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5</w:t>
            </w:r>
          </w:p>
        </w:tc>
        <w:tc>
          <w:tcPr>
            <w:tcW w:w="3493" w:type="pct"/>
            <w:tcBorders>
              <w:top w:val="single" w:color="000000" w:sz="4" w:space="0"/>
              <w:left w:val="single" w:color="000000" w:sz="4" w:space="0"/>
              <w:bottom w:val="single" w:color="000000" w:sz="4" w:space="0"/>
              <w:right w:val="single" w:color="000000" w:sz="4" w:space="0"/>
            </w:tcBorders>
            <w:vAlign w:val="center"/>
          </w:tcPr>
          <w:p w14:paraId="60ED5851">
            <w:pPr>
              <w:snapToGrid/>
              <w:spacing w:line="240" w:lineRule="auto"/>
              <w:jc w:val="center"/>
              <w:rPr>
                <w:rFonts w:hint="default" w:ascii="Times New Roman" w:hAnsi="Times New Roman" w:cs="Times New Roman"/>
                <w:caps w:val="0"/>
                <w:smallCaps w:val="0"/>
                <w:color w:val="000000" w:themeColor="text1"/>
                <w:spacing w:val="0"/>
                <w:w w:val="100"/>
                <w:sz w:val="21"/>
                <w:lang w:val="zh-CN"/>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加油站计量员安全职责</w:t>
            </w:r>
          </w:p>
        </w:tc>
        <w:tc>
          <w:tcPr>
            <w:tcW w:w="879" w:type="pct"/>
            <w:tcBorders>
              <w:top w:val="single" w:color="000000" w:sz="4" w:space="0"/>
              <w:left w:val="single" w:color="000000" w:sz="4" w:space="0"/>
              <w:bottom w:val="single" w:color="000000" w:sz="4" w:space="0"/>
              <w:right w:val="single" w:color="000000" w:sz="4" w:space="0"/>
            </w:tcBorders>
            <w:vAlign w:val="center"/>
          </w:tcPr>
          <w:p w14:paraId="0C61FF9C">
            <w:pPr>
              <w:snapToGrid/>
              <w:spacing w:line="240" w:lineRule="auto"/>
              <w:jc w:val="center"/>
              <w:rPr>
                <w:rFonts w:hint="default" w:ascii="Times New Roman" w:hAnsi="Times New Roman" w:cs="Times New Roman"/>
                <w:caps w:val="0"/>
                <w:smallCaps w:val="0"/>
                <w:color w:val="000000" w:themeColor="text1"/>
                <w:spacing w:val="0"/>
                <w:w w:val="100"/>
                <w:sz w:val="21"/>
                <w:lang w:val="zh-CN"/>
                <w14:textFill>
                  <w14:solidFill>
                    <w14:schemeClr w14:val="tx1"/>
                  </w14:solidFill>
                </w14:textFill>
              </w:rPr>
            </w:pPr>
          </w:p>
        </w:tc>
      </w:tr>
      <w:tr w14:paraId="58EC1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5A59FC6D">
            <w:pPr>
              <w:tabs>
                <w:tab w:val="left" w:pos="0"/>
              </w:tabs>
              <w:snapToGrid/>
              <w:spacing w:line="240" w:lineRule="auto"/>
              <w:jc w:val="center"/>
              <w:rPr>
                <w:rFonts w:hint="default" w:ascii="Times New Roman" w:hAnsi="Times New Roman" w:eastAsia="宋体" w:cs="Times New Roman"/>
                <w:caps w:val="0"/>
                <w:smallCaps w:val="0"/>
                <w:color w:val="000000" w:themeColor="text1"/>
                <w:spacing w:val="0"/>
                <w:w w:val="100"/>
                <w:sz w:val="21"/>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sz w:val="21"/>
                <w:lang w:val="en-US" w:eastAsia="zh-CN"/>
                <w14:textFill>
                  <w14:solidFill>
                    <w14:schemeClr w14:val="tx1"/>
                  </w14:solidFill>
                </w14:textFill>
              </w:rPr>
              <w:t>6</w:t>
            </w:r>
          </w:p>
        </w:tc>
        <w:tc>
          <w:tcPr>
            <w:tcW w:w="3493" w:type="pct"/>
            <w:tcBorders>
              <w:top w:val="single" w:color="000000" w:sz="4" w:space="0"/>
              <w:left w:val="single" w:color="000000" w:sz="4" w:space="0"/>
              <w:bottom w:val="single" w:color="000000" w:sz="4" w:space="0"/>
              <w:right w:val="single" w:color="000000" w:sz="4" w:space="0"/>
            </w:tcBorders>
            <w:vAlign w:val="center"/>
          </w:tcPr>
          <w:p w14:paraId="45ED8A51">
            <w:pPr>
              <w:snapToGrid/>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加油站记帐员安全职责</w:t>
            </w:r>
          </w:p>
        </w:tc>
        <w:tc>
          <w:tcPr>
            <w:tcW w:w="879" w:type="pct"/>
            <w:tcBorders>
              <w:top w:val="single" w:color="000000" w:sz="4" w:space="0"/>
              <w:left w:val="single" w:color="000000" w:sz="4" w:space="0"/>
              <w:bottom w:val="single" w:color="000000" w:sz="4" w:space="0"/>
              <w:right w:val="single" w:color="000000" w:sz="4" w:space="0"/>
            </w:tcBorders>
            <w:vAlign w:val="center"/>
          </w:tcPr>
          <w:p w14:paraId="6E14158A">
            <w:pPr>
              <w:snapToGrid/>
              <w:spacing w:line="240" w:lineRule="auto"/>
              <w:jc w:val="center"/>
              <w:rPr>
                <w:rFonts w:hint="default" w:ascii="Times New Roman" w:hAnsi="Times New Roman" w:cs="Times New Roman"/>
                <w:caps w:val="0"/>
                <w:smallCaps w:val="0"/>
                <w:color w:val="000000" w:themeColor="text1"/>
                <w:spacing w:val="0"/>
                <w:w w:val="100"/>
                <w:sz w:val="21"/>
                <w:lang w:val="zh-CN"/>
                <w14:textFill>
                  <w14:solidFill>
                    <w14:schemeClr w14:val="tx1"/>
                  </w14:solidFill>
                </w14:textFill>
              </w:rPr>
            </w:pPr>
          </w:p>
        </w:tc>
      </w:tr>
      <w:tr w14:paraId="43820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482682E">
            <w:pPr>
              <w:tabs>
                <w:tab w:val="left" w:pos="0"/>
              </w:tabs>
              <w:snapToGrid/>
              <w:spacing w:line="240" w:lineRule="auto"/>
              <w:jc w:val="center"/>
              <w:rPr>
                <w:rFonts w:hint="default" w:ascii="Times New Roman" w:hAnsi="Times New Roman" w:eastAsia="宋体" w:cs="Times New Roman"/>
                <w:caps w:val="0"/>
                <w:smallCaps w:val="0"/>
                <w:color w:val="000000" w:themeColor="text1"/>
                <w:spacing w:val="0"/>
                <w:w w:val="100"/>
                <w:sz w:val="21"/>
                <w:lang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sz w:val="21"/>
                <w:lang w:val="en-US" w:eastAsia="zh-CN"/>
                <w14:textFill>
                  <w14:solidFill>
                    <w14:schemeClr w14:val="tx1"/>
                  </w14:solidFill>
                </w14:textFill>
              </w:rPr>
              <w:t>7</w:t>
            </w:r>
          </w:p>
        </w:tc>
        <w:tc>
          <w:tcPr>
            <w:tcW w:w="3493" w:type="pct"/>
            <w:tcBorders>
              <w:top w:val="single" w:color="000000" w:sz="4" w:space="0"/>
              <w:left w:val="single" w:color="000000" w:sz="4" w:space="0"/>
              <w:bottom w:val="single" w:color="000000" w:sz="4" w:space="0"/>
              <w:right w:val="single" w:color="000000" w:sz="4" w:space="0"/>
            </w:tcBorders>
            <w:vAlign w:val="center"/>
          </w:tcPr>
          <w:p w14:paraId="39E361E9">
            <w:pPr>
              <w:snapToGrid/>
              <w:spacing w:line="240" w:lineRule="auto"/>
              <w:jc w:val="center"/>
              <w:rPr>
                <w:rFonts w:hint="default" w:ascii="Times New Roman" w:hAnsi="Times New Roman" w:cs="Times New Roman"/>
                <w:caps w:val="0"/>
                <w:smallCaps w:val="0"/>
                <w:color w:val="000000" w:themeColor="text1"/>
                <w:spacing w:val="0"/>
                <w:w w:val="100"/>
                <w:sz w:val="21"/>
                <w:lang w:val="zh-CN"/>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加油站开票收款员安全职责</w:t>
            </w:r>
          </w:p>
        </w:tc>
        <w:tc>
          <w:tcPr>
            <w:tcW w:w="879" w:type="pct"/>
            <w:tcBorders>
              <w:top w:val="single" w:color="000000" w:sz="4" w:space="0"/>
              <w:left w:val="single" w:color="000000" w:sz="4" w:space="0"/>
              <w:bottom w:val="single" w:color="000000" w:sz="4" w:space="0"/>
              <w:right w:val="single" w:color="000000" w:sz="4" w:space="0"/>
            </w:tcBorders>
            <w:vAlign w:val="center"/>
          </w:tcPr>
          <w:p w14:paraId="63300022">
            <w:pPr>
              <w:snapToGrid/>
              <w:spacing w:line="240" w:lineRule="auto"/>
              <w:jc w:val="center"/>
              <w:rPr>
                <w:rFonts w:hint="default" w:ascii="Times New Roman" w:hAnsi="Times New Roman" w:cs="Times New Roman"/>
                <w:caps w:val="0"/>
                <w:smallCaps w:val="0"/>
                <w:color w:val="000000" w:themeColor="text1"/>
                <w:spacing w:val="0"/>
                <w:w w:val="100"/>
                <w:sz w:val="21"/>
                <w:lang w:val="zh-CN"/>
                <w14:textFill>
                  <w14:solidFill>
                    <w14:schemeClr w14:val="tx1"/>
                  </w14:solidFill>
                </w14:textFill>
              </w:rPr>
            </w:pPr>
          </w:p>
        </w:tc>
      </w:tr>
      <w:tr w14:paraId="151C7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vAlign w:val="center"/>
          </w:tcPr>
          <w:p w14:paraId="6E2ED133">
            <w:pPr>
              <w:snapToGrid/>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sz w:val="21"/>
                <w:lang w:val="zh-CN"/>
                <w14:textFill>
                  <w14:solidFill>
                    <w14:schemeClr w14:val="tx1"/>
                  </w14:solidFill>
                </w14:textFill>
              </w:rPr>
              <w:t>二、加油站安全管理制度</w:t>
            </w:r>
          </w:p>
        </w:tc>
      </w:tr>
      <w:tr w14:paraId="26D41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14F4472">
            <w:pPr>
              <w:numPr>
                <w:ilvl w:val="0"/>
                <w:numId w:val="3"/>
              </w:numPr>
              <w:snapToGrid/>
              <w:spacing w:line="240" w:lineRule="auto"/>
              <w:jc w:val="center"/>
              <w:rPr>
                <w:rFonts w:hint="default" w:ascii="Times New Roman" w:hAnsi="Times New Roman" w:cs="Times New Roman"/>
                <w:caps w:val="0"/>
                <w:smallCaps w:val="0"/>
                <w:spacing w:val="0"/>
                <w:w w:val="100"/>
                <w:sz w:val="21"/>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5901703A">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法规获取识别及符合性评价管理制度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273B3E5C">
            <w:pPr>
              <w:snapToGrid/>
              <w:spacing w:line="240" w:lineRule="auto"/>
              <w:jc w:val="center"/>
              <w:rPr>
                <w:rFonts w:hint="default" w:ascii="Times New Roman" w:hAnsi="Times New Roman" w:cs="Times New Roman"/>
                <w:caps w:val="0"/>
                <w:smallCaps w:val="0"/>
                <w:spacing w:val="0"/>
                <w:w w:val="100"/>
                <w:sz w:val="21"/>
                <w:lang w:val="zh-CN"/>
              </w:rPr>
            </w:pPr>
          </w:p>
        </w:tc>
      </w:tr>
      <w:tr w14:paraId="083B2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2993DAF">
            <w:pPr>
              <w:numPr>
                <w:ilvl w:val="0"/>
                <w:numId w:val="3"/>
              </w:numPr>
              <w:snapToGrid/>
              <w:spacing w:line="240" w:lineRule="auto"/>
              <w:jc w:val="center"/>
              <w:rPr>
                <w:rFonts w:hint="default" w:ascii="Times New Roman" w:hAnsi="Times New Roman" w:cs="Times New Roman"/>
                <w:caps w:val="0"/>
                <w:smallCaps w:val="0"/>
                <w:spacing w:val="0"/>
                <w:w w:val="100"/>
                <w:sz w:val="21"/>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1EF056FD">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安全生产方针目标管理制度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4E7F9BCC">
            <w:pPr>
              <w:snapToGrid/>
              <w:spacing w:line="240" w:lineRule="auto"/>
              <w:jc w:val="center"/>
              <w:rPr>
                <w:rFonts w:hint="default" w:ascii="Times New Roman" w:hAnsi="Times New Roman" w:cs="Times New Roman"/>
                <w:caps w:val="0"/>
                <w:smallCaps w:val="0"/>
                <w:spacing w:val="0"/>
                <w:w w:val="100"/>
                <w:sz w:val="21"/>
                <w:lang w:val="zh-CN"/>
              </w:rPr>
            </w:pPr>
          </w:p>
        </w:tc>
      </w:tr>
      <w:tr w14:paraId="5A535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CE64A12">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5A321CC0">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安全生产责任制考核制度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4F85C7EB">
            <w:pPr>
              <w:snapToGrid/>
              <w:spacing w:line="240" w:lineRule="auto"/>
              <w:jc w:val="center"/>
              <w:rPr>
                <w:rFonts w:hint="default" w:ascii="Times New Roman" w:hAnsi="Times New Roman" w:cs="Times New Roman"/>
                <w:caps w:val="0"/>
                <w:smallCaps w:val="0"/>
                <w:spacing w:val="0"/>
                <w:w w:val="100"/>
                <w:sz w:val="21"/>
                <w:lang w:val="zh-CN"/>
              </w:rPr>
            </w:pPr>
          </w:p>
        </w:tc>
      </w:tr>
      <w:tr w14:paraId="19CB8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4A5E9CCA">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2AB1D39E">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安全生产费用提取和使用管理制度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03100CE6">
            <w:pPr>
              <w:snapToGrid/>
              <w:spacing w:line="240" w:lineRule="auto"/>
              <w:jc w:val="center"/>
              <w:rPr>
                <w:rFonts w:hint="default" w:ascii="Times New Roman" w:hAnsi="Times New Roman" w:cs="Times New Roman"/>
                <w:caps w:val="0"/>
                <w:smallCaps w:val="0"/>
                <w:spacing w:val="0"/>
                <w:w w:val="100"/>
                <w:sz w:val="21"/>
                <w:lang w:val="zh-CN"/>
              </w:rPr>
            </w:pPr>
          </w:p>
        </w:tc>
      </w:tr>
      <w:tr w14:paraId="64703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FC8D26D">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463D7790">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安全生产会议管理制度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3F20B298">
            <w:pPr>
              <w:snapToGrid/>
              <w:spacing w:line="240" w:lineRule="auto"/>
              <w:jc w:val="center"/>
              <w:rPr>
                <w:rFonts w:hint="default" w:ascii="Times New Roman" w:hAnsi="Times New Roman" w:cs="Times New Roman"/>
                <w:caps w:val="0"/>
                <w:smallCaps w:val="0"/>
                <w:spacing w:val="0"/>
                <w:w w:val="100"/>
                <w:sz w:val="21"/>
                <w:lang w:val="zh-CN"/>
              </w:rPr>
            </w:pPr>
          </w:p>
        </w:tc>
      </w:tr>
      <w:tr w14:paraId="4CA82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411C45B8">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74AB7AE8">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领导干部带班制度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71971907">
            <w:pPr>
              <w:snapToGrid/>
              <w:spacing w:line="240" w:lineRule="auto"/>
              <w:jc w:val="center"/>
              <w:rPr>
                <w:rFonts w:hint="default" w:ascii="Times New Roman" w:hAnsi="Times New Roman" w:cs="Times New Roman"/>
                <w:caps w:val="0"/>
                <w:smallCaps w:val="0"/>
                <w:spacing w:val="0"/>
                <w:w w:val="100"/>
                <w:sz w:val="21"/>
                <w:lang w:val="zh-CN"/>
              </w:rPr>
            </w:pPr>
          </w:p>
        </w:tc>
      </w:tr>
      <w:tr w14:paraId="6688E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68EFB076">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4E517CAD">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危险源辨识及风险控制管理制度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2728E293">
            <w:pPr>
              <w:snapToGrid/>
              <w:spacing w:line="240" w:lineRule="auto"/>
              <w:jc w:val="center"/>
              <w:rPr>
                <w:rFonts w:hint="default" w:ascii="Times New Roman" w:hAnsi="Times New Roman" w:cs="Times New Roman"/>
                <w:caps w:val="0"/>
                <w:smallCaps w:val="0"/>
                <w:spacing w:val="0"/>
                <w:w w:val="100"/>
                <w:sz w:val="21"/>
                <w:lang w:val="zh-CN"/>
              </w:rPr>
            </w:pPr>
          </w:p>
        </w:tc>
      </w:tr>
      <w:tr w14:paraId="712FA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C0D99E2">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20D54407">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防火、防爆安全管理制度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309F7A9D">
            <w:pPr>
              <w:snapToGrid/>
              <w:spacing w:line="240" w:lineRule="auto"/>
              <w:jc w:val="center"/>
              <w:rPr>
                <w:rFonts w:hint="default" w:ascii="Times New Roman" w:hAnsi="Times New Roman" w:cs="Times New Roman"/>
                <w:caps w:val="0"/>
                <w:smallCaps w:val="0"/>
                <w:spacing w:val="0"/>
                <w:w w:val="100"/>
                <w:sz w:val="21"/>
                <w:lang w:val="zh-CN"/>
              </w:rPr>
            </w:pPr>
          </w:p>
        </w:tc>
      </w:tr>
      <w:tr w14:paraId="6C017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4C9DBC2D">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5A48F99D">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消防安全管理制度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3C9CF21F">
            <w:pPr>
              <w:snapToGrid/>
              <w:spacing w:line="240" w:lineRule="auto"/>
              <w:jc w:val="center"/>
              <w:rPr>
                <w:rFonts w:hint="default" w:ascii="Times New Roman" w:hAnsi="Times New Roman" w:cs="Times New Roman"/>
                <w:caps w:val="0"/>
                <w:smallCaps w:val="0"/>
                <w:spacing w:val="0"/>
                <w:w w:val="100"/>
                <w:sz w:val="21"/>
                <w:lang w:val="zh-CN"/>
              </w:rPr>
            </w:pPr>
          </w:p>
        </w:tc>
      </w:tr>
      <w:tr w14:paraId="6103D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EB0CA88">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2F568592">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油罐区安全管理制度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254EF46D">
            <w:pPr>
              <w:snapToGrid/>
              <w:spacing w:line="240" w:lineRule="auto"/>
              <w:jc w:val="center"/>
              <w:rPr>
                <w:rFonts w:hint="default" w:ascii="Times New Roman" w:hAnsi="Times New Roman" w:cs="Times New Roman"/>
                <w:caps w:val="0"/>
                <w:smallCaps w:val="0"/>
                <w:spacing w:val="0"/>
                <w:w w:val="100"/>
                <w:sz w:val="21"/>
                <w:lang w:val="zh-CN"/>
              </w:rPr>
            </w:pPr>
          </w:p>
        </w:tc>
      </w:tr>
      <w:tr w14:paraId="23296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6A7185C1">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20252F88">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关键装置、重点部位安全管理制度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4D9D35E5">
            <w:pPr>
              <w:snapToGrid/>
              <w:spacing w:line="240" w:lineRule="auto"/>
              <w:jc w:val="center"/>
              <w:rPr>
                <w:rFonts w:hint="default" w:ascii="Times New Roman" w:hAnsi="Times New Roman" w:cs="Times New Roman"/>
                <w:caps w:val="0"/>
                <w:smallCaps w:val="0"/>
                <w:spacing w:val="0"/>
                <w:w w:val="100"/>
                <w:sz w:val="21"/>
                <w:lang w:val="zh-CN"/>
              </w:rPr>
            </w:pPr>
          </w:p>
        </w:tc>
      </w:tr>
      <w:tr w14:paraId="0172B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5B810E1">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016C28F0">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监视和测量设备安全管理制度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2D6B1E36">
            <w:pPr>
              <w:snapToGrid/>
              <w:spacing w:line="240" w:lineRule="auto"/>
              <w:jc w:val="center"/>
              <w:rPr>
                <w:rFonts w:hint="default" w:ascii="Times New Roman" w:hAnsi="Times New Roman" w:cs="Times New Roman"/>
                <w:caps w:val="0"/>
                <w:smallCaps w:val="0"/>
                <w:spacing w:val="0"/>
                <w:w w:val="100"/>
                <w:sz w:val="21"/>
                <w:lang w:val="zh-CN"/>
              </w:rPr>
            </w:pPr>
          </w:p>
        </w:tc>
      </w:tr>
      <w:tr w14:paraId="4348A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925F5B4">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304FBDB7">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安全教育培训管理制度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7E2DEF77">
            <w:pPr>
              <w:snapToGrid/>
              <w:spacing w:line="240" w:lineRule="auto"/>
              <w:jc w:val="center"/>
              <w:rPr>
                <w:rFonts w:hint="default" w:ascii="Times New Roman" w:hAnsi="Times New Roman" w:cs="Times New Roman"/>
                <w:caps w:val="0"/>
                <w:smallCaps w:val="0"/>
                <w:spacing w:val="0"/>
                <w:w w:val="100"/>
                <w:sz w:val="21"/>
                <w:lang w:val="zh-CN"/>
              </w:rPr>
            </w:pPr>
          </w:p>
        </w:tc>
      </w:tr>
      <w:tr w14:paraId="762B4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564FD209">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4F39989B">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设备设施安全管理制度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6FA05D61">
            <w:pPr>
              <w:snapToGrid/>
              <w:spacing w:line="240" w:lineRule="auto"/>
              <w:jc w:val="center"/>
              <w:rPr>
                <w:rFonts w:hint="default" w:ascii="Times New Roman" w:hAnsi="Times New Roman" w:cs="Times New Roman"/>
                <w:caps w:val="0"/>
                <w:smallCaps w:val="0"/>
                <w:spacing w:val="0"/>
                <w:w w:val="100"/>
                <w:sz w:val="21"/>
                <w:lang w:val="zh-CN"/>
              </w:rPr>
            </w:pPr>
          </w:p>
        </w:tc>
      </w:tr>
      <w:tr w14:paraId="4EABC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7485878F">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41AE770E">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安全设施和职业卫生“三同时”管理制度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5D1A2289">
            <w:pPr>
              <w:snapToGrid/>
              <w:spacing w:line="240" w:lineRule="auto"/>
              <w:jc w:val="center"/>
              <w:rPr>
                <w:rFonts w:hint="default" w:ascii="Times New Roman" w:hAnsi="Times New Roman" w:cs="Times New Roman"/>
                <w:caps w:val="0"/>
                <w:smallCaps w:val="0"/>
                <w:spacing w:val="0"/>
                <w:w w:val="100"/>
                <w:sz w:val="21"/>
                <w:lang w:val="zh-CN"/>
              </w:rPr>
            </w:pPr>
          </w:p>
        </w:tc>
      </w:tr>
      <w:tr w14:paraId="2FB0C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E4EB594">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1C98AA69">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作业现场安全管理制度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27CE481A">
            <w:pPr>
              <w:snapToGrid/>
              <w:spacing w:line="240" w:lineRule="auto"/>
              <w:jc w:val="center"/>
              <w:rPr>
                <w:rFonts w:hint="default" w:ascii="Times New Roman" w:hAnsi="Times New Roman" w:cs="Times New Roman"/>
                <w:caps w:val="0"/>
                <w:smallCaps w:val="0"/>
                <w:spacing w:val="0"/>
                <w:w w:val="100"/>
                <w:sz w:val="21"/>
                <w:lang w:val="zh-CN"/>
              </w:rPr>
            </w:pPr>
          </w:p>
        </w:tc>
      </w:tr>
      <w:tr w14:paraId="14991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C80FCEA">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6B736889">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“三违”行为安全管理制度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457E2D35">
            <w:pPr>
              <w:snapToGrid/>
              <w:spacing w:line="240" w:lineRule="auto"/>
              <w:jc w:val="center"/>
              <w:rPr>
                <w:rFonts w:hint="default" w:ascii="Times New Roman" w:hAnsi="Times New Roman" w:cs="Times New Roman"/>
                <w:caps w:val="0"/>
                <w:smallCaps w:val="0"/>
                <w:spacing w:val="0"/>
                <w:w w:val="100"/>
                <w:sz w:val="21"/>
                <w:lang w:val="zh-CN"/>
              </w:rPr>
            </w:pPr>
          </w:p>
        </w:tc>
      </w:tr>
      <w:tr w14:paraId="578C6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4F361EFB">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6A4F5F45">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危险作业安全管理制度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0206BCFA">
            <w:pPr>
              <w:snapToGrid/>
              <w:spacing w:line="240" w:lineRule="auto"/>
              <w:jc w:val="center"/>
              <w:rPr>
                <w:rFonts w:hint="default" w:ascii="Times New Roman" w:hAnsi="Times New Roman" w:cs="Times New Roman"/>
                <w:caps w:val="0"/>
                <w:smallCaps w:val="0"/>
                <w:spacing w:val="0"/>
                <w:w w:val="100"/>
                <w:sz w:val="21"/>
                <w:lang w:val="zh-CN"/>
              </w:rPr>
            </w:pPr>
          </w:p>
        </w:tc>
      </w:tr>
      <w:tr w14:paraId="50257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414A22CE">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5425FEAB">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职业卫生工作管理制度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50A7CB0C">
            <w:pPr>
              <w:snapToGrid/>
              <w:spacing w:line="240" w:lineRule="auto"/>
              <w:jc w:val="center"/>
              <w:rPr>
                <w:rFonts w:hint="default" w:ascii="Times New Roman" w:hAnsi="Times New Roman" w:cs="Times New Roman"/>
                <w:caps w:val="0"/>
                <w:smallCaps w:val="0"/>
                <w:spacing w:val="0"/>
                <w:w w:val="100"/>
                <w:sz w:val="21"/>
                <w:lang w:val="zh-CN"/>
              </w:rPr>
            </w:pPr>
          </w:p>
        </w:tc>
      </w:tr>
      <w:tr w14:paraId="03F40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49821AD7">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1F4C896B">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劳动保护与个体防护管理制度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56408325">
            <w:pPr>
              <w:snapToGrid/>
              <w:spacing w:line="240" w:lineRule="auto"/>
              <w:jc w:val="center"/>
              <w:rPr>
                <w:rFonts w:hint="default" w:ascii="Times New Roman" w:hAnsi="Times New Roman" w:cs="Times New Roman"/>
                <w:caps w:val="0"/>
                <w:smallCaps w:val="0"/>
                <w:spacing w:val="0"/>
                <w:w w:val="100"/>
                <w:sz w:val="21"/>
                <w:lang w:val="zh-CN"/>
              </w:rPr>
            </w:pPr>
          </w:p>
        </w:tc>
      </w:tr>
      <w:tr w14:paraId="63255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42F9BE21">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01FFCF35">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事故应急救援制度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4DBCE837">
            <w:pPr>
              <w:snapToGrid/>
              <w:spacing w:line="240" w:lineRule="auto"/>
              <w:jc w:val="center"/>
              <w:rPr>
                <w:rFonts w:hint="default" w:ascii="Times New Roman" w:hAnsi="Times New Roman" w:cs="Times New Roman"/>
                <w:caps w:val="0"/>
                <w:smallCaps w:val="0"/>
                <w:spacing w:val="0"/>
                <w:w w:val="100"/>
                <w:sz w:val="21"/>
                <w:lang w:val="zh-CN"/>
              </w:rPr>
            </w:pPr>
          </w:p>
        </w:tc>
      </w:tr>
      <w:tr w14:paraId="4C1CA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A6714A6">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4F8FEF28">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事故管理制度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5FD6BCFA">
            <w:pPr>
              <w:snapToGrid/>
              <w:spacing w:line="240" w:lineRule="auto"/>
              <w:jc w:val="center"/>
              <w:rPr>
                <w:rFonts w:hint="default" w:ascii="Times New Roman" w:hAnsi="Times New Roman" w:cs="Times New Roman"/>
                <w:caps w:val="0"/>
                <w:smallCaps w:val="0"/>
                <w:spacing w:val="0"/>
                <w:w w:val="100"/>
                <w:sz w:val="21"/>
                <w:lang w:val="zh-CN"/>
              </w:rPr>
            </w:pPr>
          </w:p>
        </w:tc>
      </w:tr>
      <w:tr w14:paraId="4C63C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36A71C6">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259B6C1C">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安全检查及隐患治理管理制度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568F23F8">
            <w:pPr>
              <w:snapToGrid/>
              <w:spacing w:line="240" w:lineRule="auto"/>
              <w:jc w:val="center"/>
              <w:rPr>
                <w:rFonts w:hint="default" w:ascii="Times New Roman" w:hAnsi="Times New Roman" w:cs="Times New Roman"/>
                <w:caps w:val="0"/>
                <w:smallCaps w:val="0"/>
                <w:spacing w:val="0"/>
                <w:w w:val="100"/>
                <w:sz w:val="21"/>
                <w:lang w:val="zh-CN"/>
              </w:rPr>
            </w:pPr>
          </w:p>
        </w:tc>
      </w:tr>
      <w:tr w14:paraId="65CA1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2B6E58D2">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43524A21">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安全生产标准化自评和持续改进管理制度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46F2A5A9">
            <w:pPr>
              <w:snapToGrid/>
              <w:spacing w:line="240" w:lineRule="auto"/>
              <w:jc w:val="center"/>
              <w:rPr>
                <w:rFonts w:hint="default" w:ascii="Times New Roman" w:hAnsi="Times New Roman" w:cs="Times New Roman"/>
                <w:caps w:val="0"/>
                <w:smallCaps w:val="0"/>
                <w:spacing w:val="0"/>
                <w:w w:val="100"/>
                <w:sz w:val="21"/>
                <w:lang w:val="zh-CN"/>
              </w:rPr>
            </w:pPr>
          </w:p>
        </w:tc>
      </w:tr>
      <w:tr w14:paraId="47DCD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6A5FE251">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6BEAF921">
            <w:pPr>
              <w:snapToGrid/>
              <w:spacing w:line="240" w:lineRule="auto"/>
              <w:jc w:val="center"/>
              <w:rPr>
                <w:rFonts w:hint="default" w:ascii="Times New Roman" w:hAnsi="Times New Roman" w:eastAsia="宋体" w:cs="Times New Roman"/>
                <w:caps w:val="0"/>
                <w:smallCaps w:val="0"/>
                <w:color w:val="000000" w:themeColor="text1"/>
                <w:spacing w:val="0"/>
                <w:w w:val="100"/>
                <w:sz w:val="21"/>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隐患自查自纠</w:t>
            </w:r>
            <w:r>
              <w:rPr>
                <w:rFonts w:hint="default" w:ascii="Times New Roman" w:hAnsi="Times New Roman" w:cs="Times New Roman"/>
                <w:caps w:val="0"/>
                <w:smallCaps w:val="0"/>
                <w:color w:val="000000" w:themeColor="text1"/>
                <w:spacing w:val="0"/>
                <w:w w:val="100"/>
                <w:sz w:val="21"/>
                <w:lang w:val="en-US" w:eastAsia="zh-CN"/>
                <w14:textFill>
                  <w14:solidFill>
                    <w14:schemeClr w14:val="tx1"/>
                  </w14:solidFill>
                </w14:textFill>
              </w:rPr>
              <w:t>管理制度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4C37EF1F">
            <w:pPr>
              <w:snapToGrid/>
              <w:spacing w:line="240" w:lineRule="auto"/>
              <w:jc w:val="center"/>
              <w:rPr>
                <w:rFonts w:hint="default" w:ascii="Times New Roman" w:hAnsi="Times New Roman" w:cs="Times New Roman"/>
                <w:caps w:val="0"/>
                <w:smallCaps w:val="0"/>
                <w:spacing w:val="0"/>
                <w:w w:val="100"/>
                <w:sz w:val="21"/>
                <w:lang w:val="zh-CN"/>
              </w:rPr>
            </w:pPr>
          </w:p>
        </w:tc>
      </w:tr>
      <w:tr w14:paraId="1928B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0F9F9705">
            <w:pPr>
              <w:numPr>
                <w:ilvl w:val="0"/>
                <w:numId w:val="3"/>
              </w:numPr>
              <w:snapToGrid/>
              <w:spacing w:line="240" w:lineRule="auto"/>
              <w:jc w:val="center"/>
              <w:rPr>
                <w:rFonts w:hint="default" w:ascii="Times New Roman" w:hAnsi="Times New Roman" w:cs="Times New Roman"/>
                <w:caps w:val="0"/>
                <w:smallCaps w:val="0"/>
                <w:spacing w:val="0"/>
                <w:w w:val="100"/>
                <w:sz w:val="21"/>
                <w:lang w:val="zh-CN"/>
              </w:rPr>
            </w:pPr>
          </w:p>
        </w:tc>
        <w:tc>
          <w:tcPr>
            <w:tcW w:w="3493" w:type="pct"/>
            <w:tcBorders>
              <w:top w:val="single" w:color="000000" w:sz="4" w:space="0"/>
              <w:left w:val="single" w:color="000000" w:sz="4" w:space="0"/>
              <w:bottom w:val="single" w:color="000000" w:sz="4" w:space="0"/>
              <w:right w:val="single" w:color="000000" w:sz="4" w:space="0"/>
            </w:tcBorders>
            <w:vAlign w:val="center"/>
          </w:tcPr>
          <w:p w14:paraId="022F104F">
            <w:pPr>
              <w:snapToGrid/>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事故隐患内部报告奖励制度</w:t>
            </w:r>
          </w:p>
        </w:tc>
        <w:tc>
          <w:tcPr>
            <w:tcW w:w="879" w:type="pct"/>
            <w:tcBorders>
              <w:top w:val="single" w:color="000000" w:sz="4" w:space="0"/>
              <w:left w:val="single" w:color="000000" w:sz="4" w:space="0"/>
              <w:bottom w:val="single" w:color="000000" w:sz="4" w:space="0"/>
              <w:right w:val="single" w:color="000000" w:sz="4" w:space="0"/>
            </w:tcBorders>
            <w:vAlign w:val="center"/>
          </w:tcPr>
          <w:p w14:paraId="37FD0F8C">
            <w:pPr>
              <w:snapToGrid/>
              <w:spacing w:line="240" w:lineRule="auto"/>
              <w:jc w:val="center"/>
              <w:rPr>
                <w:rFonts w:hint="default" w:ascii="Times New Roman" w:hAnsi="Times New Roman" w:cs="Times New Roman"/>
                <w:caps w:val="0"/>
                <w:smallCaps w:val="0"/>
                <w:spacing w:val="0"/>
                <w:w w:val="100"/>
                <w:sz w:val="21"/>
                <w:lang w:val="zh-CN"/>
              </w:rPr>
            </w:pPr>
          </w:p>
        </w:tc>
      </w:tr>
      <w:tr w14:paraId="1C00B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vAlign w:val="center"/>
          </w:tcPr>
          <w:p w14:paraId="17A12477">
            <w:pPr>
              <w:snapToGrid/>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三、操作规程</w:t>
            </w:r>
          </w:p>
        </w:tc>
      </w:tr>
      <w:tr w14:paraId="676D7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621D942B">
            <w:pPr>
              <w:snapToGrid/>
              <w:spacing w:line="240" w:lineRule="auto"/>
              <w:jc w:val="center"/>
              <w:rPr>
                <w:rFonts w:hint="default" w:ascii="Times New Roman" w:hAnsi="Times New Roman" w:cs="Times New Roman"/>
                <w:caps w:val="0"/>
                <w:smallCaps w:val="0"/>
                <w:spacing w:val="0"/>
                <w:w w:val="100"/>
                <w:sz w:val="21"/>
                <w:lang w:val="zh-CN"/>
              </w:rPr>
            </w:pPr>
            <w:r>
              <w:rPr>
                <w:rFonts w:hint="default" w:ascii="Times New Roman" w:hAnsi="Times New Roman" w:cs="Times New Roman"/>
                <w:caps w:val="0"/>
                <w:smallCaps w:val="0"/>
                <w:spacing w:val="0"/>
                <w:w w:val="100"/>
                <w:sz w:val="21"/>
                <w:lang w:val="zh-CN"/>
              </w:rPr>
              <w:t>1</w:t>
            </w:r>
          </w:p>
        </w:tc>
        <w:tc>
          <w:tcPr>
            <w:tcW w:w="3493" w:type="pct"/>
            <w:tcBorders>
              <w:top w:val="single" w:color="000000" w:sz="4" w:space="0"/>
              <w:left w:val="single" w:color="000000" w:sz="4" w:space="0"/>
              <w:bottom w:val="single" w:color="000000" w:sz="4" w:space="0"/>
              <w:right w:val="single" w:color="000000" w:sz="4" w:space="0"/>
            </w:tcBorders>
            <w:vAlign w:val="center"/>
          </w:tcPr>
          <w:p w14:paraId="23CA2B1C">
            <w:pPr>
              <w:snapToGrid/>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加油安全操作规程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1DE4A3D2">
            <w:pPr>
              <w:snapToGrid/>
              <w:spacing w:line="240" w:lineRule="auto"/>
              <w:jc w:val="center"/>
              <w:rPr>
                <w:rFonts w:hint="default" w:ascii="Times New Roman" w:hAnsi="Times New Roman" w:cs="Times New Roman"/>
                <w:caps w:val="0"/>
                <w:smallCaps w:val="0"/>
                <w:spacing w:val="0"/>
                <w:w w:val="100"/>
                <w:sz w:val="21"/>
                <w:lang w:val="zh-CN"/>
              </w:rPr>
            </w:pPr>
          </w:p>
        </w:tc>
      </w:tr>
      <w:tr w14:paraId="45A2E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DAA44">
            <w:pPr>
              <w:snapToGrid/>
              <w:spacing w:line="240" w:lineRule="auto"/>
              <w:jc w:val="center"/>
              <w:rPr>
                <w:rFonts w:hint="default" w:ascii="Times New Roman" w:hAnsi="Times New Roman" w:eastAsia="宋体" w:cs="Times New Roman"/>
                <w:caps w:val="0"/>
                <w:smallCaps w:val="0"/>
                <w:spacing w:val="0"/>
                <w:w w:val="100"/>
                <w:kern w:val="2"/>
                <w:sz w:val="21"/>
                <w:szCs w:val="21"/>
                <w:lang w:val="zh-CN" w:eastAsia="zh-CN" w:bidi="ar-SA"/>
              </w:rPr>
            </w:pPr>
            <w:r>
              <w:rPr>
                <w:rFonts w:hint="default" w:ascii="Times New Roman" w:hAnsi="Times New Roman" w:cs="Times New Roman"/>
                <w:caps w:val="0"/>
                <w:smallCaps w:val="0"/>
                <w:spacing w:val="0"/>
                <w:w w:val="100"/>
                <w:sz w:val="21"/>
                <w:lang w:val="zh-CN"/>
              </w:rPr>
              <w:t>2</w:t>
            </w:r>
          </w:p>
        </w:tc>
        <w:tc>
          <w:tcPr>
            <w:tcW w:w="3493" w:type="pct"/>
            <w:tcBorders>
              <w:top w:val="single" w:color="000000" w:sz="4" w:space="0"/>
              <w:left w:val="single" w:color="000000" w:sz="4" w:space="0"/>
              <w:bottom w:val="single" w:color="000000" w:sz="4" w:space="0"/>
              <w:right w:val="single" w:color="000000" w:sz="4" w:space="0"/>
            </w:tcBorders>
            <w:vAlign w:val="center"/>
          </w:tcPr>
          <w:p w14:paraId="4A5C1380">
            <w:pPr>
              <w:snapToGrid/>
              <w:spacing w:line="240" w:lineRule="auto"/>
              <w:jc w:val="center"/>
              <w:rPr>
                <w:rFonts w:hint="default" w:ascii="Times New Roman" w:hAnsi="Times New Roman" w:cs="Times New Roman"/>
                <w:caps w:val="0"/>
                <w:smallCaps w:val="0"/>
                <w:color w:val="000000" w:themeColor="text1"/>
                <w:spacing w:val="0"/>
                <w:w w:val="100"/>
                <w:sz w:val="21"/>
                <w14:textFill>
                  <w14:solidFill>
                    <w14:schemeClr w14:val="tx1"/>
                  </w14:solidFill>
                </w14:textFill>
              </w:rPr>
            </w:pPr>
            <w:r>
              <w:rPr>
                <w:rFonts w:hint="default" w:ascii="Times New Roman" w:hAnsi="Times New Roman" w:cs="Times New Roman"/>
                <w:caps w:val="0"/>
                <w:smallCaps w:val="0"/>
                <w:color w:val="000000" w:themeColor="text1"/>
                <w:spacing w:val="0"/>
                <w:w w:val="100"/>
                <w:sz w:val="21"/>
                <w14:textFill>
                  <w14:solidFill>
                    <w14:schemeClr w14:val="tx1"/>
                  </w14:solidFill>
                </w14:textFill>
              </w:rPr>
              <w:t>接卸油料安全操作规程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2A5DA47B">
            <w:pPr>
              <w:snapToGrid/>
              <w:spacing w:line="240" w:lineRule="auto"/>
              <w:jc w:val="center"/>
              <w:rPr>
                <w:rFonts w:hint="default" w:ascii="Times New Roman" w:hAnsi="Times New Roman" w:cs="Times New Roman"/>
                <w:caps w:val="0"/>
                <w:smallCaps w:val="0"/>
                <w:spacing w:val="0"/>
                <w:w w:val="100"/>
                <w:sz w:val="21"/>
                <w:lang w:val="zh-CN"/>
              </w:rPr>
            </w:pPr>
          </w:p>
        </w:tc>
      </w:tr>
      <w:tr w14:paraId="50556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553B9">
            <w:pPr>
              <w:snapToGrid/>
              <w:spacing w:line="240" w:lineRule="auto"/>
              <w:jc w:val="center"/>
              <w:rPr>
                <w:rFonts w:hint="default" w:ascii="Times New Roman" w:hAnsi="Times New Roman" w:eastAsia="宋体" w:cs="Times New Roman"/>
                <w:caps w:val="0"/>
                <w:smallCaps w:val="0"/>
                <w:spacing w:val="0"/>
                <w:w w:val="100"/>
                <w:kern w:val="2"/>
                <w:sz w:val="21"/>
                <w:szCs w:val="21"/>
                <w:lang w:val="zh-CN" w:eastAsia="zh-CN" w:bidi="ar-SA"/>
              </w:rPr>
            </w:pPr>
            <w:r>
              <w:rPr>
                <w:rFonts w:hint="default" w:ascii="Times New Roman" w:hAnsi="Times New Roman" w:cs="Times New Roman"/>
                <w:caps w:val="0"/>
                <w:smallCaps w:val="0"/>
                <w:spacing w:val="0"/>
                <w:w w:val="100"/>
                <w:sz w:val="21"/>
                <w:lang w:val="zh-CN"/>
              </w:rPr>
              <w:t>3</w:t>
            </w:r>
          </w:p>
        </w:tc>
        <w:tc>
          <w:tcPr>
            <w:tcW w:w="3493" w:type="pct"/>
            <w:tcBorders>
              <w:top w:val="single" w:color="000000" w:sz="4" w:space="0"/>
              <w:left w:val="single" w:color="000000" w:sz="4" w:space="0"/>
              <w:bottom w:val="single" w:color="000000" w:sz="4" w:space="0"/>
              <w:right w:val="single" w:color="000000" w:sz="4" w:space="0"/>
            </w:tcBorders>
            <w:vAlign w:val="center"/>
          </w:tcPr>
          <w:p w14:paraId="6C19D731">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计量安全操作操作规程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36615DB9">
            <w:pPr>
              <w:snapToGrid/>
              <w:spacing w:line="240" w:lineRule="auto"/>
              <w:jc w:val="center"/>
              <w:rPr>
                <w:rFonts w:hint="default" w:ascii="Times New Roman" w:hAnsi="Times New Roman" w:cs="Times New Roman"/>
                <w:caps w:val="0"/>
                <w:smallCaps w:val="0"/>
                <w:spacing w:val="0"/>
                <w:w w:val="100"/>
                <w:sz w:val="21"/>
                <w:lang w:val="zh-CN"/>
              </w:rPr>
            </w:pPr>
          </w:p>
        </w:tc>
      </w:tr>
      <w:tr w14:paraId="66E7A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3FC94">
            <w:pPr>
              <w:snapToGrid/>
              <w:spacing w:line="240" w:lineRule="auto"/>
              <w:jc w:val="center"/>
              <w:rPr>
                <w:rFonts w:hint="default" w:ascii="Times New Roman" w:hAnsi="Times New Roman" w:eastAsia="宋体" w:cs="Times New Roman"/>
                <w:caps w:val="0"/>
                <w:smallCaps w:val="0"/>
                <w:spacing w:val="0"/>
                <w:w w:val="100"/>
                <w:kern w:val="2"/>
                <w:sz w:val="21"/>
                <w:szCs w:val="21"/>
                <w:lang w:val="zh-CN" w:eastAsia="zh-CN" w:bidi="ar-SA"/>
              </w:rPr>
            </w:pPr>
            <w:r>
              <w:rPr>
                <w:rFonts w:hint="default" w:ascii="Times New Roman" w:hAnsi="Times New Roman" w:cs="Times New Roman"/>
                <w:caps w:val="0"/>
                <w:smallCaps w:val="0"/>
                <w:spacing w:val="0"/>
                <w:w w:val="100"/>
                <w:sz w:val="21"/>
                <w:lang w:val="zh-CN"/>
              </w:rPr>
              <w:t>4</w:t>
            </w:r>
          </w:p>
        </w:tc>
        <w:tc>
          <w:tcPr>
            <w:tcW w:w="3493" w:type="pct"/>
            <w:tcBorders>
              <w:top w:val="single" w:color="000000" w:sz="4" w:space="0"/>
              <w:left w:val="single" w:color="000000" w:sz="4" w:space="0"/>
              <w:bottom w:val="single" w:color="000000" w:sz="4" w:space="0"/>
              <w:right w:val="single" w:color="000000" w:sz="4" w:space="0"/>
            </w:tcBorders>
            <w:vAlign w:val="center"/>
          </w:tcPr>
          <w:p w14:paraId="235DB2ED">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记帐安全操作规程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5CA5FCFF">
            <w:pPr>
              <w:snapToGrid/>
              <w:spacing w:line="240" w:lineRule="auto"/>
              <w:jc w:val="center"/>
              <w:rPr>
                <w:rFonts w:hint="default" w:ascii="Times New Roman" w:hAnsi="Times New Roman" w:cs="Times New Roman"/>
                <w:caps w:val="0"/>
                <w:smallCaps w:val="0"/>
                <w:spacing w:val="0"/>
                <w:w w:val="100"/>
                <w:sz w:val="21"/>
                <w:lang w:val="zh-CN"/>
              </w:rPr>
            </w:pPr>
          </w:p>
        </w:tc>
      </w:tr>
      <w:tr w14:paraId="1BB36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49446">
            <w:pPr>
              <w:snapToGrid/>
              <w:spacing w:line="240" w:lineRule="auto"/>
              <w:jc w:val="center"/>
              <w:rPr>
                <w:rFonts w:hint="default" w:ascii="Times New Roman" w:hAnsi="Times New Roman" w:eastAsia="宋体" w:cs="Times New Roman"/>
                <w:caps w:val="0"/>
                <w:smallCaps w:val="0"/>
                <w:spacing w:val="0"/>
                <w:w w:val="100"/>
                <w:kern w:val="2"/>
                <w:sz w:val="21"/>
                <w:szCs w:val="21"/>
                <w:lang w:val="zh-CN" w:eastAsia="zh-CN" w:bidi="ar-SA"/>
              </w:rPr>
            </w:pPr>
            <w:r>
              <w:rPr>
                <w:rFonts w:hint="default" w:ascii="Times New Roman" w:hAnsi="Times New Roman" w:cs="Times New Roman"/>
                <w:caps w:val="0"/>
                <w:smallCaps w:val="0"/>
                <w:spacing w:val="0"/>
                <w:w w:val="100"/>
                <w:sz w:val="21"/>
                <w:lang w:val="zh-CN"/>
              </w:rPr>
              <w:t>5</w:t>
            </w:r>
          </w:p>
        </w:tc>
        <w:tc>
          <w:tcPr>
            <w:tcW w:w="3493" w:type="pct"/>
            <w:tcBorders>
              <w:top w:val="single" w:color="000000" w:sz="4" w:space="0"/>
              <w:left w:val="single" w:color="000000" w:sz="4" w:space="0"/>
              <w:bottom w:val="single" w:color="000000" w:sz="4" w:space="0"/>
              <w:right w:val="single" w:color="000000" w:sz="4" w:space="0"/>
            </w:tcBorders>
            <w:vAlign w:val="center"/>
          </w:tcPr>
          <w:p w14:paraId="44E925AF">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开票安全操作规程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3F5785C3">
            <w:pPr>
              <w:snapToGrid/>
              <w:spacing w:line="240" w:lineRule="auto"/>
              <w:jc w:val="center"/>
              <w:rPr>
                <w:rFonts w:hint="default" w:ascii="Times New Roman" w:hAnsi="Times New Roman" w:cs="Times New Roman"/>
                <w:caps w:val="0"/>
                <w:smallCaps w:val="0"/>
                <w:spacing w:val="0"/>
                <w:w w:val="100"/>
                <w:sz w:val="21"/>
                <w:lang w:val="zh-CN"/>
              </w:rPr>
            </w:pPr>
          </w:p>
        </w:tc>
      </w:tr>
      <w:tr w14:paraId="47DC1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73822">
            <w:pPr>
              <w:snapToGrid/>
              <w:spacing w:line="240" w:lineRule="auto"/>
              <w:jc w:val="center"/>
              <w:rPr>
                <w:rFonts w:hint="default" w:ascii="Times New Roman" w:hAnsi="Times New Roman" w:eastAsia="宋体" w:cs="Times New Roman"/>
                <w:caps w:val="0"/>
                <w:smallCaps w:val="0"/>
                <w:spacing w:val="0"/>
                <w:w w:val="100"/>
                <w:kern w:val="2"/>
                <w:sz w:val="21"/>
                <w:szCs w:val="21"/>
                <w:lang w:val="zh-CN" w:eastAsia="zh-CN" w:bidi="ar-SA"/>
              </w:rPr>
            </w:pPr>
            <w:r>
              <w:rPr>
                <w:rFonts w:hint="default" w:ascii="Times New Roman" w:hAnsi="Times New Roman" w:cs="Times New Roman"/>
                <w:caps w:val="0"/>
                <w:smallCaps w:val="0"/>
                <w:spacing w:val="0"/>
                <w:w w:val="100"/>
                <w:sz w:val="21"/>
                <w:lang w:val="zh-CN"/>
              </w:rPr>
              <w:t>6</w:t>
            </w:r>
          </w:p>
        </w:tc>
        <w:tc>
          <w:tcPr>
            <w:tcW w:w="3493" w:type="pct"/>
            <w:tcBorders>
              <w:top w:val="single" w:color="000000" w:sz="4" w:space="0"/>
              <w:left w:val="single" w:color="000000" w:sz="4" w:space="0"/>
              <w:bottom w:val="single" w:color="000000" w:sz="4" w:space="0"/>
              <w:right w:val="single" w:color="000000" w:sz="4" w:space="0"/>
            </w:tcBorders>
            <w:vAlign w:val="center"/>
          </w:tcPr>
          <w:p w14:paraId="49114552">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配电安全操作规程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369D33E1">
            <w:pPr>
              <w:snapToGrid/>
              <w:spacing w:line="240" w:lineRule="auto"/>
              <w:jc w:val="center"/>
              <w:rPr>
                <w:rFonts w:hint="default" w:ascii="Times New Roman" w:hAnsi="Times New Roman" w:cs="Times New Roman"/>
                <w:caps w:val="0"/>
                <w:smallCaps w:val="0"/>
                <w:spacing w:val="0"/>
                <w:w w:val="100"/>
                <w:sz w:val="21"/>
                <w:lang w:val="zh-CN"/>
              </w:rPr>
            </w:pPr>
          </w:p>
        </w:tc>
      </w:tr>
      <w:tr w14:paraId="31FB4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C9960">
            <w:pPr>
              <w:snapToGrid/>
              <w:spacing w:line="240" w:lineRule="auto"/>
              <w:jc w:val="center"/>
              <w:rPr>
                <w:rFonts w:hint="default" w:ascii="Times New Roman" w:hAnsi="Times New Roman" w:eastAsia="宋体" w:cs="Times New Roman"/>
                <w:caps w:val="0"/>
                <w:smallCaps w:val="0"/>
                <w:spacing w:val="0"/>
                <w:w w:val="100"/>
                <w:kern w:val="2"/>
                <w:sz w:val="21"/>
                <w:szCs w:val="21"/>
                <w:lang w:val="zh-CN" w:eastAsia="zh-CN" w:bidi="ar-SA"/>
              </w:rPr>
            </w:pPr>
            <w:r>
              <w:rPr>
                <w:rFonts w:hint="default" w:ascii="Times New Roman" w:hAnsi="Times New Roman" w:cs="Times New Roman"/>
                <w:caps w:val="0"/>
                <w:smallCaps w:val="0"/>
                <w:spacing w:val="0"/>
                <w:w w:val="100"/>
                <w:sz w:val="21"/>
              </w:rPr>
              <w:t>7</w:t>
            </w:r>
          </w:p>
        </w:tc>
        <w:tc>
          <w:tcPr>
            <w:tcW w:w="3493" w:type="pct"/>
            <w:tcBorders>
              <w:top w:val="single" w:color="000000" w:sz="4" w:space="0"/>
              <w:left w:val="single" w:color="000000" w:sz="4" w:space="0"/>
              <w:bottom w:val="single" w:color="000000" w:sz="4" w:space="0"/>
              <w:right w:val="single" w:color="000000" w:sz="4" w:space="0"/>
            </w:tcBorders>
            <w:vAlign w:val="center"/>
          </w:tcPr>
          <w:p w14:paraId="0414E8B9">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加油站临时用电安全操作规程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3130A373">
            <w:pPr>
              <w:snapToGrid/>
              <w:spacing w:line="240" w:lineRule="auto"/>
              <w:jc w:val="center"/>
              <w:rPr>
                <w:rFonts w:hint="default" w:ascii="Times New Roman" w:hAnsi="Times New Roman" w:cs="Times New Roman"/>
                <w:caps w:val="0"/>
                <w:smallCaps w:val="0"/>
                <w:spacing w:val="0"/>
                <w:w w:val="100"/>
                <w:sz w:val="21"/>
                <w:lang w:val="zh-CN"/>
              </w:rPr>
            </w:pPr>
          </w:p>
        </w:tc>
      </w:tr>
      <w:tr w14:paraId="5E35A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10C57A6D">
            <w:pPr>
              <w:snapToGrid/>
              <w:spacing w:line="240" w:lineRule="auto"/>
              <w:jc w:val="center"/>
              <w:rPr>
                <w:rFonts w:hint="default" w:ascii="Times New Roman" w:hAnsi="Times New Roman" w:eastAsia="宋体" w:cs="Times New Roman"/>
                <w:caps w:val="0"/>
                <w:smallCaps w:val="0"/>
                <w:spacing w:val="0"/>
                <w:w w:val="100"/>
                <w:sz w:val="21"/>
                <w:lang w:val="en-US" w:eastAsia="zh-CN"/>
              </w:rPr>
            </w:pPr>
            <w:r>
              <w:rPr>
                <w:rFonts w:hint="default" w:ascii="Times New Roman" w:hAnsi="Times New Roman" w:cs="Times New Roman"/>
                <w:caps w:val="0"/>
                <w:smallCaps w:val="0"/>
                <w:spacing w:val="0"/>
                <w:w w:val="100"/>
                <w:sz w:val="21"/>
                <w:lang w:val="en-US" w:eastAsia="zh-CN"/>
              </w:rPr>
              <w:t>8</w:t>
            </w:r>
          </w:p>
        </w:tc>
        <w:tc>
          <w:tcPr>
            <w:tcW w:w="3493" w:type="pct"/>
            <w:tcBorders>
              <w:top w:val="single" w:color="000000" w:sz="4" w:space="0"/>
              <w:left w:val="single" w:color="000000" w:sz="4" w:space="0"/>
              <w:bottom w:val="single" w:color="000000" w:sz="4" w:space="0"/>
              <w:right w:val="single" w:color="000000" w:sz="4" w:space="0"/>
            </w:tcBorders>
            <w:vAlign w:val="center"/>
          </w:tcPr>
          <w:p w14:paraId="02F66C63">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加油站临时用火安全操作规程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42A8BBB3">
            <w:pPr>
              <w:snapToGrid/>
              <w:spacing w:line="240" w:lineRule="auto"/>
              <w:jc w:val="center"/>
              <w:rPr>
                <w:rFonts w:hint="default" w:ascii="Times New Roman" w:hAnsi="Times New Roman" w:cs="Times New Roman"/>
                <w:caps w:val="0"/>
                <w:smallCaps w:val="0"/>
                <w:spacing w:val="0"/>
                <w:w w:val="100"/>
                <w:sz w:val="21"/>
                <w:lang w:val="zh-CN"/>
              </w:rPr>
            </w:pPr>
          </w:p>
        </w:tc>
      </w:tr>
      <w:tr w14:paraId="2618F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27" w:type="pct"/>
            <w:tcBorders>
              <w:top w:val="single" w:color="000000" w:sz="4" w:space="0"/>
              <w:left w:val="single" w:color="000000" w:sz="4" w:space="0"/>
              <w:bottom w:val="single" w:color="000000" w:sz="4" w:space="0"/>
              <w:right w:val="single" w:color="000000" w:sz="4" w:space="0"/>
            </w:tcBorders>
            <w:vAlign w:val="center"/>
          </w:tcPr>
          <w:p w14:paraId="5838E23C">
            <w:pPr>
              <w:snapToGrid/>
              <w:spacing w:line="240" w:lineRule="auto"/>
              <w:jc w:val="center"/>
              <w:rPr>
                <w:rFonts w:hint="default" w:ascii="Times New Roman" w:hAnsi="Times New Roman" w:cs="Times New Roman"/>
                <w:caps w:val="0"/>
                <w:smallCaps w:val="0"/>
                <w:spacing w:val="0"/>
                <w:w w:val="100"/>
                <w:sz w:val="21"/>
                <w:lang w:val="en-US" w:eastAsia="zh-CN"/>
              </w:rPr>
            </w:pPr>
            <w:r>
              <w:rPr>
                <w:rFonts w:hint="default" w:ascii="Times New Roman" w:hAnsi="Times New Roman" w:cs="Times New Roman"/>
                <w:caps w:val="0"/>
                <w:smallCaps w:val="0"/>
                <w:spacing w:val="0"/>
                <w:w w:val="100"/>
                <w:sz w:val="21"/>
                <w:lang w:val="en-US" w:eastAsia="zh-CN"/>
              </w:rPr>
              <w:t>9</w:t>
            </w:r>
          </w:p>
        </w:tc>
        <w:tc>
          <w:tcPr>
            <w:tcW w:w="3493" w:type="pct"/>
            <w:tcBorders>
              <w:top w:val="single" w:color="000000" w:sz="4" w:space="0"/>
              <w:left w:val="single" w:color="000000" w:sz="4" w:space="0"/>
              <w:bottom w:val="single" w:color="000000" w:sz="4" w:space="0"/>
              <w:right w:val="single" w:color="000000" w:sz="4" w:space="0"/>
            </w:tcBorders>
            <w:vAlign w:val="center"/>
          </w:tcPr>
          <w:p w14:paraId="20E6EC09">
            <w:pPr>
              <w:snapToGrid/>
              <w:spacing w:line="240" w:lineRule="auto"/>
              <w:jc w:val="center"/>
              <w:rPr>
                <w:rFonts w:hint="default" w:ascii="Times New Roman" w:hAnsi="Times New Roman" w:cs="Times New Roman"/>
                <w:caps w:val="0"/>
                <w:smallCaps w:val="0"/>
                <w:spacing w:val="0"/>
                <w:w w:val="100"/>
                <w:sz w:val="21"/>
              </w:rPr>
            </w:pPr>
            <w:r>
              <w:rPr>
                <w:rFonts w:hint="default" w:ascii="Times New Roman" w:hAnsi="Times New Roman" w:cs="Times New Roman"/>
                <w:caps w:val="0"/>
                <w:smallCaps w:val="0"/>
                <w:spacing w:val="0"/>
                <w:w w:val="100"/>
                <w:sz w:val="21"/>
              </w:rPr>
              <w:t>特殊情况处理安全操作规程</w:t>
            </w:r>
          </w:p>
        </w:tc>
        <w:tc>
          <w:tcPr>
            <w:tcW w:w="879" w:type="pct"/>
            <w:tcBorders>
              <w:top w:val="single" w:color="000000" w:sz="4" w:space="0"/>
              <w:left w:val="single" w:color="000000" w:sz="4" w:space="0"/>
              <w:bottom w:val="single" w:color="000000" w:sz="4" w:space="0"/>
              <w:right w:val="single" w:color="000000" w:sz="4" w:space="0"/>
            </w:tcBorders>
            <w:vAlign w:val="center"/>
          </w:tcPr>
          <w:p w14:paraId="48D01871">
            <w:pPr>
              <w:snapToGrid/>
              <w:spacing w:line="240" w:lineRule="auto"/>
              <w:jc w:val="center"/>
              <w:rPr>
                <w:rFonts w:hint="default" w:ascii="Times New Roman" w:hAnsi="Times New Roman" w:cs="Times New Roman"/>
                <w:caps w:val="0"/>
                <w:smallCaps w:val="0"/>
                <w:spacing w:val="0"/>
                <w:w w:val="100"/>
                <w:sz w:val="21"/>
                <w:lang w:val="zh-CN"/>
              </w:rPr>
            </w:pPr>
          </w:p>
        </w:tc>
      </w:tr>
    </w:tbl>
    <w:p w14:paraId="4AA950D0">
      <w:pPr>
        <w:pStyle w:val="225"/>
        <w:adjustRightInd/>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zh-CN"/>
        </w:rPr>
        <w:t>加油站已经按照安全生产的相关要求，组织员工进行了安全操作规程的培训学习，并在实际作业过程中做到严格执行。</w:t>
      </w:r>
    </w:p>
    <w:p w14:paraId="5C8E1CBE">
      <w:pPr>
        <w:keepNext/>
        <w:keepLines/>
        <w:snapToGrid/>
        <w:ind w:firstLine="560" w:firstLineChars="200"/>
        <w:outlineLvl w:val="2"/>
        <w:rPr>
          <w:rFonts w:hint="default" w:ascii="Times New Roman" w:hAnsi="Times New Roman" w:eastAsia="黑体" w:cs="Times New Roman"/>
          <w:caps w:val="0"/>
          <w:smallCaps w:val="0"/>
          <w:spacing w:val="0"/>
          <w:w w:val="100"/>
          <w:szCs w:val="28"/>
        </w:rPr>
      </w:pPr>
      <w:bookmarkStart w:id="186" w:name="_Toc16933"/>
      <w:r>
        <w:rPr>
          <w:rFonts w:hint="default" w:ascii="Times New Roman" w:hAnsi="Times New Roman" w:eastAsia="黑体" w:cs="Times New Roman"/>
          <w:caps w:val="0"/>
          <w:smallCaps w:val="0"/>
          <w:spacing w:val="0"/>
          <w:w w:val="100"/>
          <w:szCs w:val="28"/>
        </w:rPr>
        <w:t>2.1</w:t>
      </w:r>
      <w:r>
        <w:rPr>
          <w:rFonts w:hint="default" w:ascii="Times New Roman" w:hAnsi="Times New Roman" w:eastAsia="黑体" w:cs="Times New Roman"/>
          <w:caps w:val="0"/>
          <w:smallCaps w:val="0"/>
          <w:spacing w:val="0"/>
          <w:w w:val="100"/>
          <w:szCs w:val="28"/>
          <w:lang w:val="en-US" w:eastAsia="zh-CN"/>
        </w:rPr>
        <w:t>0</w:t>
      </w:r>
      <w:r>
        <w:rPr>
          <w:rFonts w:hint="default" w:ascii="Times New Roman" w:hAnsi="Times New Roman" w:eastAsia="黑体" w:cs="Times New Roman"/>
          <w:caps w:val="0"/>
          <w:smallCaps w:val="0"/>
          <w:spacing w:val="0"/>
          <w:w w:val="100"/>
          <w:szCs w:val="28"/>
        </w:rPr>
        <w:t>.5从业人员工伤保险及安全生产责任险</w:t>
      </w:r>
      <w:bookmarkEnd w:id="186"/>
    </w:p>
    <w:p w14:paraId="52F1956A">
      <w:pPr>
        <w:pStyle w:val="225"/>
        <w:adjustRightInd/>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zh-CN"/>
        </w:rPr>
        <w:t>该加油站已为从业人员购买统一购买工伤保险</w:t>
      </w:r>
      <w:r>
        <w:rPr>
          <w:rFonts w:hint="default" w:ascii="Times New Roman" w:hAnsi="Times New Roman" w:cs="Times New Roman"/>
          <w:caps w:val="0"/>
          <w:smallCaps w:val="0"/>
          <w:spacing w:val="0"/>
          <w:w w:val="100"/>
        </w:rPr>
        <w:t>和</w:t>
      </w:r>
      <w:r>
        <w:rPr>
          <w:rFonts w:hint="default" w:ascii="Times New Roman" w:hAnsi="Times New Roman" w:cs="Times New Roman"/>
          <w:caps w:val="0"/>
          <w:smallCaps w:val="0"/>
          <w:spacing w:val="0"/>
          <w:w w:val="100"/>
          <w:lang w:val="zh-CN"/>
        </w:rPr>
        <w:t>安全生产责任险，</w:t>
      </w:r>
      <w:r>
        <w:rPr>
          <w:rFonts w:hint="default" w:ascii="Times New Roman" w:hAnsi="Times New Roman" w:cs="Times New Roman"/>
          <w:caps w:val="0"/>
          <w:smallCaps w:val="0"/>
          <w:spacing w:val="0"/>
          <w:w w:val="100"/>
        </w:rPr>
        <w:t>详</w:t>
      </w:r>
      <w:r>
        <w:rPr>
          <w:rFonts w:hint="default" w:ascii="Times New Roman" w:hAnsi="Times New Roman" w:cs="Times New Roman"/>
          <w:caps w:val="0"/>
          <w:smallCaps w:val="0"/>
          <w:spacing w:val="0"/>
          <w:w w:val="100"/>
          <w:lang w:val="zh-CN"/>
        </w:rPr>
        <w:t>见附件。</w:t>
      </w:r>
    </w:p>
    <w:p w14:paraId="18FDEF08">
      <w:pPr>
        <w:pStyle w:val="5"/>
        <w:snapToGrid/>
        <w:rPr>
          <w:rFonts w:hint="default" w:ascii="Times New Roman" w:hAnsi="Times New Roman" w:eastAsia="黑体" w:cs="Times New Roman"/>
          <w:b w:val="0"/>
          <w:bCs w:val="0"/>
          <w:caps w:val="0"/>
          <w:smallCaps w:val="0"/>
          <w:spacing w:val="0"/>
          <w:w w:val="100"/>
        </w:rPr>
      </w:pPr>
      <w:bookmarkStart w:id="187" w:name="_Toc2057"/>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1</w:t>
      </w:r>
      <w:r>
        <w:rPr>
          <w:rFonts w:hint="default" w:ascii="Times New Roman" w:hAnsi="Times New Roman" w:eastAsia="黑体" w:cs="Times New Roman"/>
          <w:b w:val="0"/>
          <w:bCs w:val="0"/>
          <w:caps w:val="0"/>
          <w:smallCaps w:val="0"/>
          <w:spacing w:val="0"/>
          <w:w w:val="100"/>
        </w:rPr>
        <w:t>事故及应急管理</w:t>
      </w:r>
      <w:bookmarkEnd w:id="183"/>
      <w:bookmarkEnd w:id="187"/>
    </w:p>
    <w:p w14:paraId="60C7D27B">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88" w:name="_Toc9433"/>
      <w:bookmarkStart w:id="189" w:name="_Toc298091789"/>
      <w:bookmarkStart w:id="190" w:name="_Toc195176736"/>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1</w:t>
      </w:r>
      <w:r>
        <w:rPr>
          <w:rFonts w:hint="default" w:ascii="Times New Roman" w:hAnsi="Times New Roman" w:eastAsia="黑体" w:cs="Times New Roman"/>
          <w:b w:val="0"/>
          <w:bCs w:val="0"/>
          <w:caps w:val="0"/>
          <w:smallCaps w:val="0"/>
          <w:spacing w:val="0"/>
          <w:w w:val="100"/>
        </w:rPr>
        <w:t>.1事故应急预案</w:t>
      </w:r>
      <w:bookmarkEnd w:id="188"/>
      <w:bookmarkEnd w:id="189"/>
      <w:bookmarkEnd w:id="190"/>
    </w:p>
    <w:p w14:paraId="6CE2AAF2">
      <w:pPr>
        <w:snapToGrid/>
        <w:ind w:firstLine="560" w:firstLineChars="200"/>
        <w:rPr>
          <w:rFonts w:hint="default" w:ascii="Times New Roman" w:hAnsi="Times New Roman" w:cs="Times New Roman"/>
          <w:caps w:val="0"/>
          <w:smallCaps w:val="0"/>
          <w:spacing w:val="0"/>
          <w:w w:val="100"/>
        </w:rPr>
      </w:pPr>
      <w:bookmarkStart w:id="191" w:name="_Toc298091790"/>
      <w:bookmarkStart w:id="192" w:name="_Toc195176737"/>
      <w:r>
        <w:rPr>
          <w:rFonts w:hint="default" w:ascii="Times New Roman" w:hAnsi="Times New Roman" w:cs="Times New Roman"/>
          <w:caps w:val="0"/>
          <w:smallCaps w:val="0"/>
          <w:spacing w:val="0"/>
          <w:w w:val="100"/>
        </w:rPr>
        <w:t>加油站可能发生的事故主要有火灾、爆炸等，按照国家相关规定，加油站按《生产经营单位生产安全事故应急预案编制导则》（GB/T29639-2020）编制了《西双版纳中闽商贸有限公司勐海勐遮加油站</w:t>
      </w:r>
      <w:r>
        <w:rPr>
          <w:rFonts w:hint="default" w:ascii="Times New Roman" w:hAnsi="Times New Roman" w:cs="Times New Roman"/>
          <w:caps w:val="0"/>
          <w:smallCaps w:val="0"/>
          <w:spacing w:val="0"/>
          <w:w w:val="100"/>
          <w:szCs w:val="28"/>
        </w:rPr>
        <w:t>生产安全事故综合应急预案</w:t>
      </w:r>
      <w:r>
        <w:rPr>
          <w:rFonts w:hint="default" w:ascii="Times New Roman" w:hAnsi="Times New Roman" w:cs="Times New Roman"/>
          <w:caps w:val="0"/>
          <w:smallCaps w:val="0"/>
          <w:spacing w:val="0"/>
          <w:w w:val="100"/>
        </w:rPr>
        <w:t>》。于2025年6月23日取得了由勐海县应急管理局核发的《应急预案备案表》（备案编号：海应急危备[2025]11号）。</w:t>
      </w:r>
    </w:p>
    <w:p w14:paraId="4EC50631">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93" w:name="_Toc2019"/>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1</w:t>
      </w:r>
      <w:r>
        <w:rPr>
          <w:rFonts w:hint="default" w:ascii="Times New Roman" w:hAnsi="Times New Roman" w:eastAsia="黑体" w:cs="Times New Roman"/>
          <w:b w:val="0"/>
          <w:bCs w:val="0"/>
          <w:caps w:val="0"/>
          <w:smallCaps w:val="0"/>
          <w:spacing w:val="0"/>
          <w:w w:val="100"/>
        </w:rPr>
        <w:t>.2事故应急救援组织</w:t>
      </w:r>
      <w:bookmarkEnd w:id="191"/>
      <w:bookmarkEnd w:id="192"/>
      <w:bookmarkEnd w:id="193"/>
    </w:p>
    <w:p w14:paraId="778B5E70">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为及时处理加油站可能出现的事故，加油站成立相应的事故应急救援领导小组，组长为加油站站长，副组长为加油站</w:t>
      </w:r>
      <w:r>
        <w:rPr>
          <w:rFonts w:hint="eastAsia"/>
          <w:lang w:val="en-US" w:eastAsia="zh-CN"/>
        </w:rPr>
        <w:t>安全生产管理人员</w:t>
      </w:r>
      <w:r>
        <w:rPr>
          <w:rFonts w:hint="default" w:ascii="Times New Roman" w:hAnsi="Times New Roman" w:cs="Times New Roman"/>
          <w:caps w:val="0"/>
          <w:smallCaps w:val="0"/>
          <w:spacing w:val="0"/>
          <w:w w:val="100"/>
        </w:rPr>
        <w:t>，加油站其余员工为小组成员，由组长指挥进行事故处理。</w:t>
      </w:r>
    </w:p>
    <w:p w14:paraId="38B2EA52">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194" w:name="_Toc25477"/>
      <w:bookmarkStart w:id="195" w:name="_Toc298091791"/>
      <w:bookmarkStart w:id="196" w:name="_Toc195176738"/>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1</w:t>
      </w:r>
      <w:r>
        <w:rPr>
          <w:rFonts w:hint="default" w:ascii="Times New Roman" w:hAnsi="Times New Roman" w:eastAsia="黑体" w:cs="Times New Roman"/>
          <w:b w:val="0"/>
          <w:bCs w:val="0"/>
          <w:caps w:val="0"/>
          <w:smallCaps w:val="0"/>
          <w:spacing w:val="0"/>
          <w:w w:val="100"/>
        </w:rPr>
        <w:t>.3应急器材配备</w:t>
      </w:r>
      <w:bookmarkEnd w:id="194"/>
      <w:bookmarkEnd w:id="195"/>
      <w:bookmarkEnd w:id="196"/>
    </w:p>
    <w:p w14:paraId="42D41A8A">
      <w:pPr>
        <w:pStyle w:val="55"/>
        <w:snapToGrid/>
        <w:rPr>
          <w:rFonts w:hint="default" w:ascii="Times New Roman" w:hAnsi="Times New Roman" w:cs="Times New Roman"/>
          <w:caps w:val="0"/>
          <w:smallCaps w:val="0"/>
          <w:spacing w:val="0"/>
          <w:w w:val="100"/>
          <w:sz w:val="28"/>
        </w:rPr>
      </w:pPr>
      <w:r>
        <w:rPr>
          <w:rFonts w:hint="default" w:ascii="Times New Roman" w:hAnsi="Times New Roman" w:cs="Times New Roman"/>
          <w:caps w:val="0"/>
          <w:smallCaps w:val="0"/>
          <w:spacing w:val="0"/>
          <w:w w:val="100"/>
          <w:sz w:val="28"/>
        </w:rPr>
        <w:t>根据加油站可能出现的加油站事故类型，加油站在现场配置了相应的救援器材，主要有灭火器、灭火毯、消防桶、</w:t>
      </w:r>
      <w:r>
        <w:rPr>
          <w:rFonts w:hint="default" w:ascii="Times New Roman" w:hAnsi="Times New Roman" w:cs="Times New Roman"/>
          <w:sz w:val="28"/>
        </w:rPr>
        <w:t>消防</w:t>
      </w:r>
      <w:r>
        <w:rPr>
          <w:rFonts w:hint="eastAsia" w:ascii="Times New Roman" w:hAnsi="Times New Roman" w:cs="Times New Roman"/>
          <w:sz w:val="28"/>
          <w:lang w:val="en-US" w:eastAsia="zh-CN"/>
        </w:rPr>
        <w:t>沙</w:t>
      </w:r>
      <w:r>
        <w:rPr>
          <w:rFonts w:hint="default" w:ascii="Times New Roman" w:hAnsi="Times New Roman" w:cs="Times New Roman"/>
          <w:sz w:val="28"/>
        </w:rPr>
        <w:t>等</w:t>
      </w:r>
      <w:r>
        <w:rPr>
          <w:rFonts w:hint="default" w:ascii="Times New Roman" w:hAnsi="Times New Roman" w:cs="Times New Roman"/>
          <w:caps w:val="0"/>
          <w:smallCaps w:val="0"/>
          <w:spacing w:val="0"/>
          <w:w w:val="100"/>
          <w:sz w:val="28"/>
        </w:rPr>
        <w:t>，见表2-</w:t>
      </w:r>
      <w:r>
        <w:rPr>
          <w:rFonts w:hint="default" w:ascii="Times New Roman" w:hAnsi="Times New Roman" w:cs="Times New Roman"/>
          <w:caps w:val="0"/>
          <w:smallCaps w:val="0"/>
          <w:spacing w:val="0"/>
          <w:w w:val="100"/>
          <w:sz w:val="28"/>
          <w:lang w:val="en-US" w:eastAsia="zh-CN"/>
        </w:rPr>
        <w:t>8</w:t>
      </w:r>
      <w:r>
        <w:rPr>
          <w:rFonts w:hint="default" w:ascii="Times New Roman" w:hAnsi="Times New Roman" w:cs="Times New Roman"/>
          <w:caps w:val="0"/>
          <w:smallCaps w:val="0"/>
          <w:spacing w:val="0"/>
          <w:w w:val="100"/>
          <w:sz w:val="28"/>
        </w:rPr>
        <w:t>.2。</w:t>
      </w:r>
    </w:p>
    <w:p w14:paraId="5E0AF64D">
      <w:pPr>
        <w:pStyle w:val="5"/>
        <w:snapToGrid/>
        <w:rPr>
          <w:rFonts w:hint="default" w:ascii="Times New Roman" w:hAnsi="Times New Roman" w:eastAsia="黑体" w:cs="Times New Roman"/>
          <w:b w:val="0"/>
          <w:bCs w:val="0"/>
          <w:caps w:val="0"/>
          <w:smallCaps w:val="0"/>
          <w:spacing w:val="0"/>
          <w:w w:val="100"/>
        </w:rPr>
      </w:pPr>
      <w:bookmarkStart w:id="197" w:name="_Toc298091793"/>
      <w:bookmarkStart w:id="198" w:name="_Toc227045838"/>
      <w:bookmarkStart w:id="199" w:name="_Toc195176740"/>
      <w:bookmarkStart w:id="200" w:name="_Toc28366"/>
      <w:r>
        <w:rPr>
          <w:rFonts w:hint="default" w:ascii="Times New Roman" w:hAnsi="Times New Roman" w:eastAsia="黑体" w:cs="Times New Roman"/>
          <w:b w:val="0"/>
          <w:bCs w:val="0"/>
          <w:caps w:val="0"/>
          <w:smallCaps w:val="0"/>
          <w:spacing w:val="0"/>
          <w:w w:val="100"/>
        </w:rPr>
        <w:t>2.1</w:t>
      </w:r>
      <w:bookmarkEnd w:id="197"/>
      <w:bookmarkEnd w:id="198"/>
      <w:bookmarkEnd w:id="199"/>
      <w:r>
        <w:rPr>
          <w:rFonts w:hint="default" w:ascii="Times New Roman" w:hAnsi="Times New Roman" w:eastAsia="黑体" w:cs="Times New Roman"/>
          <w:b w:val="0"/>
          <w:bCs w:val="0"/>
          <w:caps w:val="0"/>
          <w:smallCaps w:val="0"/>
          <w:spacing w:val="0"/>
          <w:w w:val="100"/>
          <w:lang w:val="en-US" w:eastAsia="zh-CN"/>
        </w:rPr>
        <w:t>2</w:t>
      </w:r>
      <w:r>
        <w:rPr>
          <w:rFonts w:hint="default" w:ascii="Times New Roman" w:hAnsi="Times New Roman" w:eastAsia="黑体" w:cs="Times New Roman"/>
          <w:b w:val="0"/>
          <w:bCs w:val="0"/>
          <w:caps w:val="0"/>
          <w:smallCaps w:val="0"/>
          <w:spacing w:val="0"/>
          <w:w w:val="100"/>
        </w:rPr>
        <w:t>施工、监理情况</w:t>
      </w:r>
      <w:bookmarkEnd w:id="200"/>
    </w:p>
    <w:p w14:paraId="6EADD84D">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01" w:name="_Toc11543"/>
      <w:bookmarkStart w:id="202" w:name="_Toc470257238"/>
      <w:bookmarkStart w:id="203" w:name="_Toc470209084"/>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12</w:t>
      </w:r>
      <w:r>
        <w:rPr>
          <w:rFonts w:hint="default" w:ascii="Times New Roman" w:hAnsi="Times New Roman" w:eastAsia="黑体" w:cs="Times New Roman"/>
          <w:b w:val="0"/>
          <w:bCs w:val="0"/>
          <w:caps w:val="0"/>
          <w:smallCaps w:val="0"/>
          <w:spacing w:val="0"/>
          <w:w w:val="100"/>
        </w:rPr>
        <w:t>.1安全设施施工情况</w:t>
      </w:r>
      <w:bookmarkEnd w:id="201"/>
      <w:bookmarkEnd w:id="202"/>
      <w:bookmarkEnd w:id="203"/>
    </w:p>
    <w:p w14:paraId="492BFCCF">
      <w:pPr>
        <w:snapToGrid/>
        <w:ind w:firstLine="560" w:firstLineChars="200"/>
        <w:rPr>
          <w:rFonts w:hint="default" w:ascii="Times New Roman" w:hAnsi="Times New Roman" w:cs="Times New Roman"/>
          <w:caps w:val="0"/>
          <w:smallCaps w:val="0"/>
          <w:spacing w:val="0"/>
          <w:w w:val="100"/>
        </w:rPr>
      </w:pPr>
      <w:r>
        <w:rPr>
          <w:rFonts w:hint="eastAsia" w:ascii="Times New Roman" w:cs="Times New Roman"/>
          <w:caps w:val="0"/>
          <w:smallCaps w:val="0"/>
          <w:spacing w:val="0"/>
          <w:w w:val="100"/>
          <w:szCs w:val="28"/>
          <w:lang w:val="en-US" w:eastAsia="zh-CN"/>
        </w:rPr>
        <w:t>XX</w:t>
      </w:r>
      <w:r>
        <w:rPr>
          <w:rFonts w:hint="default" w:ascii="Times New Roman" w:hAnsi="Times New Roman" w:cs="Times New Roman"/>
          <w:caps w:val="0"/>
          <w:smallCaps w:val="0"/>
          <w:spacing w:val="0"/>
          <w:w w:val="100"/>
          <w:szCs w:val="28"/>
        </w:rPr>
        <w:t>。</w:t>
      </w:r>
    </w:p>
    <w:p w14:paraId="63361961">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04" w:name="_Toc25027"/>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12</w:t>
      </w:r>
      <w:r>
        <w:rPr>
          <w:rFonts w:hint="default" w:ascii="Times New Roman" w:hAnsi="Times New Roman" w:eastAsia="黑体" w:cs="Times New Roman"/>
          <w:b w:val="0"/>
          <w:bCs w:val="0"/>
          <w:caps w:val="0"/>
          <w:smallCaps w:val="0"/>
          <w:spacing w:val="0"/>
          <w:w w:val="100"/>
        </w:rPr>
        <w:t>.2隐蔽工程安装情况</w:t>
      </w:r>
      <w:bookmarkEnd w:id="204"/>
    </w:p>
    <w:p w14:paraId="0A5466C7">
      <w:pPr>
        <w:snapToGrid/>
        <w:ind w:firstLine="560" w:firstLineChars="200"/>
        <w:rPr>
          <w:rFonts w:hint="default" w:ascii="Times New Roman" w:hAnsi="Times New Roman" w:cs="Times New Roman"/>
          <w:caps w:val="0"/>
          <w:smallCaps w:val="0"/>
          <w:spacing w:val="0"/>
          <w:w w:val="100"/>
        </w:rPr>
      </w:pPr>
      <w:r>
        <w:rPr>
          <w:rFonts w:hint="eastAsia" w:ascii="Times New Roman" w:cs="Times New Roman"/>
          <w:caps w:val="0"/>
          <w:smallCaps w:val="0"/>
          <w:spacing w:val="0"/>
          <w:w w:val="100"/>
          <w:lang w:val="en-US" w:eastAsia="zh-CN"/>
        </w:rPr>
        <w:t>XX</w:t>
      </w:r>
      <w:r>
        <w:rPr>
          <w:rFonts w:hint="default" w:ascii="Times New Roman" w:hAnsi="Times New Roman" w:cs="Times New Roman"/>
          <w:caps w:val="0"/>
          <w:smallCaps w:val="0"/>
          <w:color w:val="000000" w:themeColor="text1"/>
          <w:spacing w:val="0"/>
          <w:w w:val="100"/>
          <w14:textFill>
            <w14:solidFill>
              <w14:schemeClr w14:val="tx1"/>
            </w14:solidFill>
          </w14:textFill>
        </w:rPr>
        <w:t>。</w:t>
      </w:r>
    </w:p>
    <w:p w14:paraId="362CB1E1">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05" w:name="_Toc1371"/>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12</w:t>
      </w:r>
      <w:r>
        <w:rPr>
          <w:rFonts w:hint="default" w:ascii="Times New Roman" w:hAnsi="Times New Roman" w:eastAsia="黑体" w:cs="Times New Roman"/>
          <w:b w:val="0"/>
          <w:bCs w:val="0"/>
          <w:caps w:val="0"/>
          <w:smallCaps w:val="0"/>
          <w:spacing w:val="0"/>
          <w:w w:val="100"/>
        </w:rPr>
        <w:t>.3工艺设备检验情况</w:t>
      </w:r>
      <w:bookmarkEnd w:id="205"/>
    </w:p>
    <w:p w14:paraId="3A1AB513">
      <w:pPr>
        <w:snapToGrid/>
        <w:ind w:firstLine="560" w:firstLineChars="200"/>
        <w:rPr>
          <w:rFonts w:hint="default" w:ascii="Times New Roman" w:hAnsi="Times New Roman" w:cs="Times New Roman"/>
          <w:caps w:val="0"/>
          <w:smallCaps w:val="0"/>
          <w:spacing w:val="0"/>
          <w:w w:val="100"/>
        </w:rPr>
      </w:pPr>
      <w:r>
        <w:rPr>
          <w:rFonts w:hint="eastAsia" w:ascii="Times New Roman" w:cs="Times New Roman"/>
          <w:caps w:val="0"/>
          <w:smallCaps w:val="0"/>
          <w:color w:val="000000"/>
          <w:spacing w:val="0"/>
          <w:w w:val="100"/>
          <w:lang w:val="en-US" w:eastAsia="zh-CN"/>
        </w:rPr>
        <w:t>XX</w:t>
      </w:r>
      <w:r>
        <w:rPr>
          <w:rFonts w:hint="default" w:ascii="Times New Roman" w:hAnsi="Times New Roman" w:cs="Times New Roman"/>
          <w:caps w:val="0"/>
          <w:smallCaps w:val="0"/>
          <w:spacing w:val="0"/>
          <w:w w:val="100"/>
        </w:rPr>
        <w:t>。</w:t>
      </w:r>
    </w:p>
    <w:p w14:paraId="072CE7E6">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06" w:name="_Toc470257239"/>
      <w:bookmarkStart w:id="207" w:name="_Toc470209085"/>
      <w:bookmarkStart w:id="208" w:name="_Toc25898"/>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12</w:t>
      </w:r>
      <w:r>
        <w:rPr>
          <w:rFonts w:hint="default" w:ascii="Times New Roman" w:hAnsi="Times New Roman" w:eastAsia="黑体" w:cs="Times New Roman"/>
          <w:b w:val="0"/>
          <w:bCs w:val="0"/>
          <w:caps w:val="0"/>
          <w:smallCaps w:val="0"/>
          <w:spacing w:val="0"/>
          <w:w w:val="100"/>
        </w:rPr>
        <w:t>.4监理情况</w:t>
      </w:r>
      <w:bookmarkEnd w:id="206"/>
      <w:bookmarkEnd w:id="207"/>
      <w:bookmarkEnd w:id="208"/>
    </w:p>
    <w:p w14:paraId="412A1BA1">
      <w:pPr>
        <w:pStyle w:val="33"/>
        <w:adjustRightInd/>
        <w:snapToGrid/>
        <w:ind w:firstLine="480" w:firstLineChars="200"/>
        <w:rPr>
          <w:rFonts w:hint="default" w:ascii="Times New Roman" w:hAnsi="Times New Roman" w:cs="Times New Roman"/>
          <w:caps w:val="0"/>
          <w:smallCaps w:val="0"/>
          <w:spacing w:val="0"/>
          <w:w w:val="100"/>
          <w:sz w:val="28"/>
          <w:szCs w:val="21"/>
        </w:rPr>
      </w:pPr>
      <w:r>
        <w:rPr>
          <w:rFonts w:hint="eastAsia" w:ascii="Times New Roman" w:cs="Times New Roman"/>
          <w:caps w:val="0"/>
          <w:smallCaps w:val="0"/>
          <w:spacing w:val="0"/>
          <w:w w:val="100"/>
          <w:lang w:val="en-US" w:eastAsia="zh-CN"/>
        </w:rPr>
        <w:t>XX</w:t>
      </w:r>
      <w:r>
        <w:rPr>
          <w:rFonts w:hint="default" w:ascii="Times New Roman" w:hAnsi="Times New Roman" w:cs="Times New Roman"/>
          <w:caps w:val="0"/>
          <w:smallCaps w:val="0"/>
          <w:spacing w:val="0"/>
          <w:w w:val="100"/>
          <w:sz w:val="28"/>
          <w:szCs w:val="21"/>
        </w:rPr>
        <w:t>。</w:t>
      </w:r>
    </w:p>
    <w:p w14:paraId="4B773A7E">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09" w:name="_Toc20150"/>
      <w:bookmarkStart w:id="210" w:name="_Toc30628"/>
      <w:r>
        <w:rPr>
          <w:rFonts w:hint="default" w:ascii="Times New Roman" w:hAnsi="Times New Roman" w:eastAsia="黑体" w:cs="Times New Roman"/>
          <w:b w:val="0"/>
          <w:bCs w:val="0"/>
          <w:caps w:val="0"/>
          <w:smallCaps w:val="0"/>
          <w:spacing w:val="0"/>
          <w:w w:val="100"/>
        </w:rPr>
        <w:t>2.</w:t>
      </w:r>
      <w:r>
        <w:rPr>
          <w:rFonts w:hint="default" w:ascii="Times New Roman" w:hAnsi="Times New Roman" w:eastAsia="黑体" w:cs="Times New Roman"/>
          <w:b w:val="0"/>
          <w:bCs w:val="0"/>
          <w:caps w:val="0"/>
          <w:smallCaps w:val="0"/>
          <w:spacing w:val="0"/>
          <w:w w:val="100"/>
          <w:lang w:val="en-US" w:eastAsia="zh-CN"/>
        </w:rPr>
        <w:t>12</w:t>
      </w:r>
      <w:r>
        <w:rPr>
          <w:rFonts w:hint="default" w:ascii="Times New Roman" w:hAnsi="Times New Roman" w:eastAsia="黑体" w:cs="Times New Roman"/>
          <w:b w:val="0"/>
          <w:bCs w:val="0"/>
          <w:caps w:val="0"/>
          <w:smallCaps w:val="0"/>
          <w:spacing w:val="0"/>
          <w:w w:val="100"/>
        </w:rPr>
        <w:t>.5试运行情况</w:t>
      </w:r>
      <w:bookmarkEnd w:id="209"/>
      <w:bookmarkEnd w:id="210"/>
    </w:p>
    <w:p w14:paraId="2F8A41C0">
      <w:pPr>
        <w:pStyle w:val="33"/>
        <w:adjustRightInd/>
        <w:snapToGrid/>
        <w:ind w:firstLine="560" w:firstLineChars="200"/>
        <w:rPr>
          <w:rFonts w:hint="default" w:ascii="Times New Roman" w:hAnsi="Times New Roman" w:cs="Times New Roman"/>
          <w:caps w:val="0"/>
          <w:smallCaps w:val="0"/>
          <w:spacing w:val="0"/>
          <w:w w:val="100"/>
        </w:rPr>
      </w:pPr>
      <w:r>
        <w:rPr>
          <w:rFonts w:hint="eastAsia" w:ascii="Times New Roman" w:cs="Times New Roman"/>
          <w:caps w:val="0"/>
          <w:smallCaps w:val="0"/>
          <w:spacing w:val="0"/>
          <w:w w:val="100"/>
          <w:sz w:val="28"/>
          <w:szCs w:val="21"/>
          <w:lang w:val="en-US" w:eastAsia="zh-CN"/>
        </w:rPr>
        <w:t>XX</w:t>
      </w:r>
      <w:r>
        <w:rPr>
          <w:rFonts w:hint="default" w:ascii="Times New Roman" w:hAnsi="Times New Roman" w:cs="Times New Roman"/>
          <w:caps w:val="0"/>
          <w:smallCaps w:val="0"/>
          <w:spacing w:val="0"/>
          <w:w w:val="100"/>
          <w:sz w:val="28"/>
          <w:szCs w:val="21"/>
        </w:rPr>
        <w:t>。</w:t>
      </w:r>
    </w:p>
    <w:p w14:paraId="524E4B87">
      <w:pPr>
        <w:pStyle w:val="5"/>
        <w:snapToGrid/>
        <w:rPr>
          <w:rFonts w:hint="default" w:ascii="Times New Roman" w:hAnsi="Times New Roman" w:eastAsia="黑体" w:cs="Times New Roman"/>
          <w:b w:val="0"/>
          <w:bCs w:val="0"/>
          <w:caps w:val="0"/>
          <w:smallCaps w:val="0"/>
          <w:spacing w:val="0"/>
          <w:w w:val="100"/>
        </w:rPr>
      </w:pPr>
      <w:bookmarkStart w:id="211" w:name="_Toc13686"/>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3</w:t>
      </w:r>
      <w:r>
        <w:rPr>
          <w:rFonts w:hint="default" w:ascii="Times New Roman" w:hAnsi="Times New Roman" w:eastAsia="黑体" w:cs="Times New Roman"/>
          <w:b w:val="0"/>
          <w:bCs w:val="0"/>
          <w:caps w:val="0"/>
          <w:smallCaps w:val="0"/>
          <w:spacing w:val="0"/>
          <w:w w:val="100"/>
        </w:rPr>
        <w:t>设备设施试验情况</w:t>
      </w:r>
      <w:bookmarkEnd w:id="211"/>
    </w:p>
    <w:p w14:paraId="20B458E8">
      <w:pPr>
        <w:pStyle w:val="55"/>
        <w:snapToGrid/>
        <w:rPr>
          <w:rFonts w:hint="default" w:ascii="Times New Roman" w:hAnsi="Times New Roman" w:cs="Times New Roman"/>
          <w:caps w:val="0"/>
          <w:smallCaps w:val="0"/>
          <w:spacing w:val="0"/>
          <w:w w:val="100"/>
        </w:rPr>
      </w:pPr>
      <w:bookmarkStart w:id="212" w:name="_Toc195176741"/>
      <w:r>
        <w:rPr>
          <w:rFonts w:hint="default" w:ascii="Times New Roman" w:hAnsi="Times New Roman" w:cs="Times New Roman"/>
          <w:caps w:val="0"/>
          <w:smallCaps w:val="0"/>
          <w:spacing w:val="0"/>
          <w:w w:val="100"/>
        </w:rPr>
        <w:t>加油站的重新敷设工艺管道为常压设备，在工程竣工前经压力试验合格。</w:t>
      </w:r>
    </w:p>
    <w:p w14:paraId="41C36E1C">
      <w:pPr>
        <w:pStyle w:val="5"/>
        <w:snapToGrid/>
        <w:rPr>
          <w:rFonts w:hint="default" w:ascii="Times New Roman" w:hAnsi="Times New Roman" w:eastAsia="黑体" w:cs="Times New Roman"/>
          <w:b w:val="0"/>
          <w:bCs w:val="0"/>
          <w:caps w:val="0"/>
          <w:smallCaps w:val="0"/>
          <w:spacing w:val="0"/>
          <w:w w:val="100"/>
        </w:rPr>
      </w:pPr>
      <w:bookmarkStart w:id="213" w:name="_Toc15221"/>
      <w:r>
        <w:rPr>
          <w:rFonts w:hint="default" w:ascii="Times New Roman" w:hAnsi="Times New Roman" w:eastAsia="黑体" w:cs="Times New Roman"/>
          <w:b w:val="0"/>
          <w:bCs w:val="0"/>
          <w:caps w:val="0"/>
          <w:smallCaps w:val="0"/>
          <w:spacing w:val="0"/>
          <w:w w:val="100"/>
        </w:rPr>
        <w:t>2.1</w:t>
      </w:r>
      <w:r>
        <w:rPr>
          <w:rFonts w:hint="default" w:ascii="Times New Roman" w:hAnsi="Times New Roman" w:eastAsia="黑体" w:cs="Times New Roman"/>
          <w:b w:val="0"/>
          <w:bCs w:val="0"/>
          <w:caps w:val="0"/>
          <w:smallCaps w:val="0"/>
          <w:spacing w:val="0"/>
          <w:w w:val="100"/>
          <w:lang w:val="en-US" w:eastAsia="zh-CN"/>
        </w:rPr>
        <w:t>4</w:t>
      </w:r>
      <w:r>
        <w:rPr>
          <w:rFonts w:hint="default" w:ascii="Times New Roman" w:hAnsi="Times New Roman" w:eastAsia="黑体" w:cs="Times New Roman"/>
          <w:b w:val="0"/>
          <w:bCs w:val="0"/>
          <w:caps w:val="0"/>
          <w:smallCaps w:val="0"/>
          <w:spacing w:val="0"/>
          <w:w w:val="100"/>
        </w:rPr>
        <w:t>变更情况</w:t>
      </w:r>
      <w:bookmarkEnd w:id="213"/>
    </w:p>
    <w:p w14:paraId="2BD4F4B7">
      <w:pPr>
        <w:pStyle w:val="55"/>
        <w:snapToGrid/>
        <w:rPr>
          <w:rFonts w:hint="default" w:ascii="Times New Roman" w:hAnsi="Times New Roman" w:cs="Times New Roman"/>
          <w:caps w:val="0"/>
          <w:smallCaps w:val="0"/>
          <w:spacing w:val="0"/>
          <w:w w:val="100"/>
          <w:lang w:val="en-US" w:eastAsia="zh-CN"/>
        </w:rPr>
      </w:pPr>
      <w:r>
        <w:rPr>
          <w:rFonts w:hint="eastAsia" w:ascii="Times New Roman" w:cs="Times New Roman"/>
          <w:caps w:val="0"/>
          <w:smallCaps w:val="0"/>
          <w:spacing w:val="0"/>
          <w:w w:val="100"/>
          <w:lang w:val="en-US" w:eastAsia="zh-CN"/>
        </w:rPr>
        <w:t>XX</w:t>
      </w:r>
      <w:r>
        <w:rPr>
          <w:rFonts w:hint="default" w:ascii="Times New Roman" w:hAnsi="Times New Roman" w:cs="Times New Roman"/>
          <w:caps w:val="0"/>
          <w:smallCaps w:val="0"/>
          <w:spacing w:val="0"/>
          <w:w w:val="100"/>
          <w:lang w:val="en-US" w:eastAsia="zh-CN"/>
        </w:rPr>
        <w:t>。</w:t>
      </w:r>
    </w:p>
    <w:p w14:paraId="1085659C">
      <w:pPr>
        <w:pStyle w:val="55"/>
        <w:snapToGrid/>
        <w:rPr>
          <w:rFonts w:hint="default" w:ascii="Times New Roman" w:hAnsi="Times New Roman" w:cs="Times New Roman"/>
          <w:caps w:val="0"/>
          <w:smallCaps w:val="0"/>
          <w:spacing w:val="0"/>
          <w:w w:val="100"/>
          <w:lang w:val="en-US" w:eastAsia="zh-CN"/>
        </w:rPr>
      </w:pPr>
    </w:p>
    <w:p w14:paraId="2D8902A6">
      <w:pPr>
        <w:pStyle w:val="55"/>
        <w:snapToGrid/>
        <w:rPr>
          <w:rFonts w:hint="default" w:ascii="Times New Roman" w:hAnsi="Times New Roman" w:cs="Times New Roman"/>
          <w:caps w:val="0"/>
          <w:smallCaps w:val="0"/>
          <w:spacing w:val="0"/>
          <w:w w:val="100"/>
          <w:lang w:val="en-US" w:eastAsia="zh-CN"/>
        </w:rPr>
        <w:sectPr>
          <w:pgSz w:w="11906" w:h="16838"/>
          <w:pgMar w:top="1417" w:right="1134" w:bottom="1134" w:left="1588" w:header="851" w:footer="992" w:gutter="0"/>
          <w:cols w:space="720" w:num="1"/>
          <w:docGrid w:type="linesAndChars" w:linePitch="312" w:charSpace="0"/>
        </w:sectPr>
      </w:pPr>
    </w:p>
    <w:p w14:paraId="737A6C99">
      <w:pPr>
        <w:pStyle w:val="4"/>
        <w:snapToGrid/>
        <w:spacing w:before="156" w:beforeLines="50" w:after="156" w:afterLines="50"/>
        <w:rPr>
          <w:rFonts w:hint="default" w:ascii="Times New Roman" w:hAnsi="Times New Roman" w:eastAsia="黑体" w:cs="Times New Roman"/>
          <w:caps w:val="0"/>
          <w:smallCaps w:val="0"/>
          <w:spacing w:val="0"/>
          <w:w w:val="100"/>
        </w:rPr>
      </w:pPr>
      <w:bookmarkStart w:id="214" w:name="_Toc19846"/>
      <w:r>
        <w:rPr>
          <w:rFonts w:hint="default" w:ascii="Times New Roman" w:hAnsi="Times New Roman" w:eastAsia="黑体" w:cs="Times New Roman"/>
          <w:caps w:val="0"/>
          <w:smallCaps w:val="0"/>
          <w:spacing w:val="0"/>
          <w:w w:val="100"/>
        </w:rPr>
        <w:t>第三章  危险、有害因素分析结果</w:t>
      </w:r>
      <w:bookmarkEnd w:id="214"/>
    </w:p>
    <w:bookmarkEnd w:id="212"/>
    <w:p w14:paraId="3AA515EE">
      <w:pPr>
        <w:pStyle w:val="5"/>
        <w:snapToGrid/>
        <w:rPr>
          <w:rFonts w:hint="default" w:ascii="Times New Roman" w:hAnsi="Times New Roman" w:eastAsia="黑体" w:cs="Times New Roman"/>
          <w:b w:val="0"/>
          <w:bCs w:val="0"/>
          <w:caps w:val="0"/>
          <w:smallCaps w:val="0"/>
          <w:spacing w:val="0"/>
          <w:w w:val="100"/>
        </w:rPr>
      </w:pPr>
      <w:bookmarkStart w:id="215" w:name="_Toc195176742"/>
      <w:bookmarkStart w:id="216" w:name="_Toc17367"/>
      <w:r>
        <w:rPr>
          <w:rFonts w:hint="default" w:ascii="Times New Roman" w:hAnsi="Times New Roman" w:eastAsia="黑体" w:cs="Times New Roman"/>
          <w:b w:val="0"/>
          <w:bCs w:val="0"/>
          <w:caps w:val="0"/>
          <w:smallCaps w:val="0"/>
          <w:spacing w:val="0"/>
          <w:w w:val="100"/>
        </w:rPr>
        <w:t>3.1</w:t>
      </w:r>
      <w:bookmarkEnd w:id="215"/>
      <w:r>
        <w:rPr>
          <w:rFonts w:hint="default" w:ascii="Times New Roman" w:hAnsi="Times New Roman" w:eastAsia="黑体" w:cs="Times New Roman"/>
          <w:b w:val="0"/>
          <w:bCs w:val="0"/>
          <w:caps w:val="0"/>
          <w:smallCaps w:val="0"/>
          <w:spacing w:val="0"/>
          <w:w w:val="100"/>
        </w:rPr>
        <w:t>危险、有害因素产生的原因</w:t>
      </w:r>
      <w:bookmarkEnd w:id="216"/>
    </w:p>
    <w:p w14:paraId="6A472380">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17" w:name="_Toc20808"/>
      <w:r>
        <w:rPr>
          <w:rFonts w:hint="default" w:ascii="Times New Roman" w:hAnsi="Times New Roman" w:eastAsia="黑体" w:cs="Times New Roman"/>
          <w:b w:val="0"/>
          <w:bCs w:val="0"/>
          <w:caps w:val="0"/>
          <w:smallCaps w:val="0"/>
          <w:spacing w:val="0"/>
          <w:w w:val="100"/>
        </w:rPr>
        <w:t>3.1.1人的因素</w:t>
      </w:r>
      <w:bookmarkEnd w:id="217"/>
    </w:p>
    <w:p w14:paraId="4629CFC0">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人的因素指在生产活动中，来自人员自身或人为性质的危险和有害因素。主要包含心理、生理性危险和有害因素；行为性危险和有害因素。具体包括负荷超限；健康状况异常；从事禁忌作业；心理异常；辨识功能缺陷；指挥错误；操作失误；监护失误。</w:t>
      </w:r>
    </w:p>
    <w:p w14:paraId="4D13C1F4">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18" w:name="_Toc13823"/>
      <w:r>
        <w:rPr>
          <w:rFonts w:hint="default" w:ascii="Times New Roman" w:hAnsi="Times New Roman" w:eastAsia="黑体" w:cs="Times New Roman"/>
          <w:b w:val="0"/>
          <w:bCs w:val="0"/>
          <w:caps w:val="0"/>
          <w:smallCaps w:val="0"/>
          <w:spacing w:val="0"/>
          <w:w w:val="100"/>
        </w:rPr>
        <w:t>3.1.2物的因素</w:t>
      </w:r>
      <w:bookmarkEnd w:id="218"/>
    </w:p>
    <w:p w14:paraId="0A04993E">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物的因素指机械、设备、材料等方面存在的危险和有害因素。主要包含物理性危险和有害因素；化学性危险和有害因素；生物性危险和有害因素。具体包括设备、设施、工具、附件缺失；防护缺失；电危害；噪声；震动危害；电离辐射；非电离辐射；运动物危害；明火；高温物质；低温物质；信号缺失；标志标识缺陷；有害关照；信息系统缺陷；理化危险；健康危险；其他化学性危险有害因素；致病微生物；传染病媒介物；致害动物；致害植物；其他生物性危险和有害因素。</w:t>
      </w:r>
    </w:p>
    <w:p w14:paraId="6D778CB4">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19" w:name="_Toc1578"/>
      <w:r>
        <w:rPr>
          <w:rFonts w:hint="default" w:ascii="Times New Roman" w:hAnsi="Times New Roman" w:eastAsia="黑体" w:cs="Times New Roman"/>
          <w:b w:val="0"/>
          <w:bCs w:val="0"/>
          <w:caps w:val="0"/>
          <w:smallCaps w:val="0"/>
          <w:spacing w:val="0"/>
          <w:w w:val="100"/>
        </w:rPr>
        <w:t>3.1.3 环境因素</w:t>
      </w:r>
      <w:bookmarkEnd w:id="219"/>
    </w:p>
    <w:p w14:paraId="1E5DC38A">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环境因素指生产作业环境中的危险和有害因素。主要包含室内作业场所环境不良；室外作业场所环境不良；地下（含水下）作业环境不良；其他作业环境不良。具体包括室内地面滑；室内作业场所狭窄、杂乱；室内地面不平；采光照明不良等；恶劣气候与环境；作业场所和交通设施湿滑；交通环境不良、脚手架、阶梯和活动梯架缺陷；地面及地面开口缺陷；建构筑物和其他结构缺陷、作业场所空气不良；排水系统故障等。</w:t>
      </w:r>
    </w:p>
    <w:p w14:paraId="0E233936">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20" w:name="_Toc27241"/>
      <w:r>
        <w:rPr>
          <w:rFonts w:hint="default" w:ascii="Times New Roman" w:hAnsi="Times New Roman" w:eastAsia="黑体" w:cs="Times New Roman"/>
          <w:b w:val="0"/>
          <w:bCs w:val="0"/>
          <w:caps w:val="0"/>
          <w:smallCaps w:val="0"/>
          <w:spacing w:val="0"/>
          <w:w w:val="100"/>
        </w:rPr>
        <w:t>3.1.4 管理因素</w:t>
      </w:r>
      <w:bookmarkEnd w:id="220"/>
    </w:p>
    <w:p w14:paraId="7856894E">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管理因素指管理和管理责任缺失所导致的危险和有害因素。主要包含职业安全卫生管理机构设置的人员配置不健全；职业安全卫生责任制不完善或未落实；职业安全卫生管理制度不完善或未落实；职业安全卫生投入不足；应急管理缺陷；其他管理因素缺陷。具体包含建设项目“三同时”制度；安全风险风级管控；事故隐患排查治理。</w:t>
      </w:r>
    </w:p>
    <w:p w14:paraId="2ADE7A7C">
      <w:pPr>
        <w:pStyle w:val="5"/>
        <w:snapToGrid/>
        <w:rPr>
          <w:rFonts w:hint="default" w:ascii="Times New Roman" w:hAnsi="Times New Roman" w:eastAsia="黑体" w:cs="Times New Roman"/>
          <w:b w:val="0"/>
          <w:bCs w:val="0"/>
          <w:caps w:val="0"/>
          <w:smallCaps w:val="0"/>
          <w:spacing w:val="0"/>
          <w:w w:val="100"/>
        </w:rPr>
      </w:pPr>
      <w:bookmarkStart w:id="221" w:name="_Toc4189"/>
      <w:r>
        <w:rPr>
          <w:rFonts w:hint="default" w:ascii="Times New Roman" w:hAnsi="Times New Roman" w:eastAsia="黑体" w:cs="Times New Roman"/>
          <w:b w:val="0"/>
          <w:bCs w:val="0"/>
          <w:caps w:val="0"/>
          <w:smallCaps w:val="0"/>
          <w:spacing w:val="0"/>
          <w:w w:val="100"/>
        </w:rPr>
        <w:t>3.2主要危险、有害物质辨识</w:t>
      </w:r>
      <w:bookmarkEnd w:id="221"/>
    </w:p>
    <w:p w14:paraId="340DB858">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22" w:name="_Toc29595"/>
      <w:r>
        <w:rPr>
          <w:rFonts w:hint="default" w:ascii="Times New Roman" w:hAnsi="Times New Roman" w:eastAsia="黑体" w:cs="Times New Roman"/>
          <w:b w:val="0"/>
          <w:bCs w:val="0"/>
          <w:caps w:val="0"/>
          <w:smallCaps w:val="0"/>
          <w:spacing w:val="0"/>
          <w:w w:val="100"/>
        </w:rPr>
        <w:t>3.2.1 主要危险、有害物质辨识</w:t>
      </w:r>
      <w:bookmarkEnd w:id="222"/>
    </w:p>
    <w:p w14:paraId="618A0597">
      <w:pPr>
        <w:pStyle w:val="55"/>
        <w:pageBreakBefore w:val="0"/>
        <w:kinsoku/>
        <w:topLinePunct w:val="0"/>
        <w:bidi w:val="0"/>
        <w:adjustRightInd/>
        <w:snapToGrid/>
        <w:rPr>
          <w:rFonts w:hint="eastAsia" w:ascii="Times New Roman" w:hAnsi="Times New Roman" w:cs="Times New Roman"/>
          <w:lang w:eastAsia="zh-CN"/>
        </w:rPr>
      </w:pPr>
      <w:bookmarkStart w:id="223" w:name="_Toc8959"/>
      <w:r>
        <w:rPr>
          <w:rFonts w:hint="eastAsia" w:ascii="Times New Roman" w:hAnsi="Times New Roman" w:cs="Times New Roman"/>
          <w:lang w:eastAsia="zh-CN"/>
        </w:rPr>
        <w:t>加油站经营、</w:t>
      </w:r>
      <w:r>
        <w:rPr>
          <w:rFonts w:hint="eastAsia" w:ascii="Times New Roman" w:hAnsi="Times New Roman" w:cs="Times New Roman"/>
          <w:lang w:val="en-US" w:eastAsia="zh-CN"/>
        </w:rPr>
        <w:t>储存</w:t>
      </w:r>
      <w:r>
        <w:rPr>
          <w:rFonts w:hint="eastAsia" w:ascii="Times New Roman" w:hAnsi="Times New Roman" w:cs="Times New Roman"/>
          <w:lang w:eastAsia="zh-CN"/>
        </w:rPr>
        <w:t>过程中涉及到的主要危险、有害物质是：汽油、柴油。</w:t>
      </w:r>
    </w:p>
    <w:p w14:paraId="1C3CF9DC">
      <w:pPr>
        <w:pStyle w:val="55"/>
        <w:pageBreakBefore w:val="0"/>
        <w:kinsoku/>
        <w:topLinePunct w:val="0"/>
        <w:bidi w:val="0"/>
        <w:adjustRightInd/>
        <w:snapToGrid/>
        <w:rPr>
          <w:rFonts w:hint="eastAsia" w:ascii="Times New Roman" w:hAnsi="Times New Roman" w:cs="Times New Roman"/>
          <w:lang w:eastAsia="zh-CN"/>
        </w:rPr>
      </w:pPr>
      <w:r>
        <w:rPr>
          <w:rFonts w:hint="eastAsia" w:ascii="Times New Roman" w:hAnsi="Times New Roman" w:cs="Times New Roman"/>
          <w:lang w:eastAsia="zh-CN"/>
        </w:rPr>
        <w:t>根据《危险化学品目录（2015版）》（国家安全生产监督管理总局等十部委公告2015年第5号）及《关于调整&lt;危险化学品目录（2015版）&gt;的公告》（应急管理部等10部门公告2022年第8号，2023年1月1日施行），汽油和柴油均属于危险化学品。</w:t>
      </w:r>
    </w:p>
    <w:p w14:paraId="4040A0EB">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r>
        <w:rPr>
          <w:rFonts w:hint="default" w:ascii="Times New Roman" w:hAnsi="Times New Roman" w:eastAsia="黑体" w:cs="Times New Roman"/>
          <w:b w:val="0"/>
          <w:bCs w:val="0"/>
          <w:caps w:val="0"/>
          <w:smallCaps w:val="0"/>
          <w:spacing w:val="0"/>
          <w:w w:val="100"/>
        </w:rPr>
        <w:t>3.2.2 主要危险、有害物质的危险特性分析</w:t>
      </w:r>
      <w:bookmarkEnd w:id="223"/>
    </w:p>
    <w:p w14:paraId="0A6A34F6">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加油站经营过程中涉及的主要危险、有害物质有柴油、汽油，其主要危险特性见表3.2-1。</w:t>
      </w:r>
    </w:p>
    <w:p w14:paraId="277E6FD3">
      <w:pPr>
        <w:pStyle w:val="55"/>
        <w:keepNext/>
        <w:keepLines/>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cs="Times New Roman"/>
          <w:b/>
          <w:bCs/>
          <w:caps w:val="0"/>
          <w:smallCaps w:val="0"/>
          <w:spacing w:val="0"/>
          <w:w w:val="100"/>
          <w:sz w:val="24"/>
          <w:szCs w:val="20"/>
        </w:rPr>
      </w:pPr>
      <w:r>
        <w:rPr>
          <w:rFonts w:hint="default" w:ascii="Times New Roman" w:hAnsi="Times New Roman" w:cs="Times New Roman"/>
          <w:b/>
          <w:bCs/>
          <w:caps w:val="0"/>
          <w:smallCaps w:val="0"/>
          <w:spacing w:val="0"/>
          <w:w w:val="100"/>
          <w:sz w:val="24"/>
          <w:szCs w:val="20"/>
        </w:rPr>
        <w:t>表3.2-1  汽油、柴油危险特性表</w:t>
      </w:r>
    </w:p>
    <w:tbl>
      <w:tblPr>
        <w:tblStyle w:val="34"/>
        <w:tblW w:w="5000" w:type="pct"/>
        <w:tblInd w:w="0" w:type="dxa"/>
        <w:tblLayout w:type="autofit"/>
        <w:tblCellMar>
          <w:top w:w="0" w:type="dxa"/>
          <w:left w:w="108" w:type="dxa"/>
          <w:bottom w:w="0" w:type="dxa"/>
          <w:right w:w="108" w:type="dxa"/>
        </w:tblCellMar>
      </w:tblPr>
      <w:tblGrid>
        <w:gridCol w:w="1353"/>
        <w:gridCol w:w="7593"/>
      </w:tblGrid>
      <w:tr w14:paraId="77FD463B">
        <w:tblPrEx>
          <w:tblCellMar>
            <w:top w:w="0" w:type="dxa"/>
            <w:left w:w="108" w:type="dxa"/>
            <w:bottom w:w="0" w:type="dxa"/>
            <w:right w:w="108" w:type="dxa"/>
          </w:tblCellMar>
        </w:tblPrEx>
        <w:trPr>
          <w:trHeight w:val="555"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4BCCE">
            <w:pPr>
              <w:keepNext/>
              <w:keepLines/>
              <w:snapToGrid/>
              <w:spacing w:line="240" w:lineRule="auto"/>
              <w:jc w:val="center"/>
              <w:textAlignment w:val="center"/>
              <w:rPr>
                <w:rFonts w:hint="default" w:ascii="Times New Roman" w:hAnsi="Times New Roman" w:cs="Times New Roman"/>
                <w:b/>
                <w:bCs/>
                <w:caps w:val="0"/>
                <w:smallCaps w:val="0"/>
                <w:color w:val="000000"/>
                <w:spacing w:val="0"/>
                <w:w w:val="100"/>
                <w:sz w:val="21"/>
              </w:rPr>
            </w:pPr>
            <w:r>
              <w:rPr>
                <w:rFonts w:hint="default" w:ascii="Times New Roman" w:hAnsi="Times New Roman" w:cs="Times New Roman"/>
                <w:b/>
                <w:bCs/>
                <w:caps w:val="0"/>
                <w:smallCaps w:val="0"/>
                <w:color w:val="000000"/>
                <w:spacing w:val="0"/>
                <w:w w:val="100"/>
                <w:kern w:val="0"/>
                <w:sz w:val="21"/>
                <w:lang w:bidi="ar"/>
              </w:rPr>
              <w:t>危险性</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C0BCB">
            <w:pPr>
              <w:keepNext/>
              <w:keepLines/>
              <w:snapToGrid/>
              <w:spacing w:line="240" w:lineRule="auto"/>
              <w:jc w:val="center"/>
              <w:textAlignment w:val="center"/>
              <w:rPr>
                <w:rFonts w:hint="default" w:ascii="Times New Roman" w:hAnsi="Times New Roman" w:cs="Times New Roman"/>
                <w:b/>
                <w:bCs/>
                <w:caps w:val="0"/>
                <w:smallCaps w:val="0"/>
                <w:color w:val="000000"/>
                <w:spacing w:val="0"/>
                <w:w w:val="100"/>
                <w:sz w:val="21"/>
              </w:rPr>
            </w:pPr>
            <w:r>
              <w:rPr>
                <w:rFonts w:hint="default" w:ascii="Times New Roman" w:hAnsi="Times New Roman" w:cs="Times New Roman"/>
                <w:b/>
                <w:bCs/>
                <w:caps w:val="0"/>
                <w:smallCaps w:val="0"/>
                <w:color w:val="000000"/>
                <w:spacing w:val="0"/>
                <w:w w:val="100"/>
                <w:kern w:val="0"/>
                <w:sz w:val="21"/>
                <w:lang w:bidi="ar"/>
              </w:rPr>
              <w:t>危险性分析</w:t>
            </w:r>
          </w:p>
        </w:tc>
      </w:tr>
      <w:tr w14:paraId="1B493E3F">
        <w:tblPrEx>
          <w:tblCellMar>
            <w:top w:w="0" w:type="dxa"/>
            <w:left w:w="108" w:type="dxa"/>
            <w:bottom w:w="0" w:type="dxa"/>
            <w:right w:w="108" w:type="dxa"/>
          </w:tblCellMar>
        </w:tblPrEx>
        <w:trPr>
          <w:trHeight w:val="57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C3D52">
            <w:pPr>
              <w:keepNext/>
              <w:keepLines/>
              <w:snapToGrid/>
              <w:spacing w:line="240" w:lineRule="auto"/>
              <w:jc w:val="center"/>
              <w:textAlignment w:val="center"/>
              <w:rPr>
                <w:rFonts w:hint="default" w:ascii="Times New Roman" w:hAnsi="Times New Roman" w:cs="Times New Roman"/>
                <w:b/>
                <w:bCs/>
                <w:caps w:val="0"/>
                <w:smallCaps w:val="0"/>
                <w:color w:val="000000"/>
                <w:spacing w:val="0"/>
                <w:w w:val="100"/>
                <w:sz w:val="21"/>
              </w:rPr>
            </w:pPr>
            <w:r>
              <w:rPr>
                <w:rFonts w:hint="default" w:ascii="Times New Roman" w:hAnsi="Times New Roman" w:cs="Times New Roman"/>
                <w:b/>
                <w:bCs/>
                <w:caps w:val="0"/>
                <w:smallCaps w:val="0"/>
                <w:color w:val="000000"/>
                <w:spacing w:val="0"/>
                <w:w w:val="100"/>
                <w:kern w:val="0"/>
                <w:sz w:val="21"/>
                <w:lang w:bidi="ar"/>
              </w:rPr>
              <w:t>汽油的危险性</w:t>
            </w:r>
          </w:p>
        </w:tc>
      </w:tr>
      <w:tr w14:paraId="5DF05BD0">
        <w:tblPrEx>
          <w:tblCellMar>
            <w:top w:w="0" w:type="dxa"/>
            <w:left w:w="108" w:type="dxa"/>
            <w:bottom w:w="0" w:type="dxa"/>
            <w:right w:w="108" w:type="dxa"/>
          </w:tblCellMar>
        </w:tblPrEx>
        <w:trPr>
          <w:trHeight w:val="2330"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A6FD">
            <w:pPr>
              <w:widowControl/>
              <w:snapToGrid/>
              <w:spacing w:line="240" w:lineRule="auto"/>
              <w:jc w:val="center"/>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健康危害</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2946">
            <w:pPr>
              <w:widowControl/>
              <w:snapToGrid/>
              <w:spacing w:line="240" w:lineRule="auto"/>
              <w:jc w:val="left"/>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入性肺炎。溅入眼内可致角膜溃疡、穿孔，甚至失明。皮肤接触致急性接触性皮炎，甚至灼伤。吞咽引起急性胃肠炎，重者出现类似急性吸入中毒症状，并可引起肝、肾损害。慢性中毒：神经衰弱综合征、植物神经功能紊乱、周围神经病。严重中毒出现中毒性脑病，症状类似精神分裂症。皮肤损害。</w:t>
            </w:r>
          </w:p>
        </w:tc>
      </w:tr>
      <w:tr w14:paraId="30533650">
        <w:tblPrEx>
          <w:tblCellMar>
            <w:top w:w="0" w:type="dxa"/>
            <w:left w:w="108" w:type="dxa"/>
            <w:bottom w:w="0" w:type="dxa"/>
            <w:right w:w="108" w:type="dxa"/>
          </w:tblCellMar>
        </w:tblPrEx>
        <w:trPr>
          <w:trHeight w:val="570"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F1E4A">
            <w:pPr>
              <w:widowControl/>
              <w:snapToGrid/>
              <w:spacing w:line="240" w:lineRule="auto"/>
              <w:jc w:val="center"/>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燃爆危险</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9F405">
            <w:pPr>
              <w:widowControl/>
              <w:snapToGrid/>
              <w:spacing w:line="240" w:lineRule="auto"/>
              <w:jc w:val="left"/>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本品极度易燃。</w:t>
            </w:r>
          </w:p>
        </w:tc>
      </w:tr>
      <w:tr w14:paraId="3E39FC03">
        <w:tblPrEx>
          <w:tblCellMar>
            <w:top w:w="0" w:type="dxa"/>
            <w:left w:w="108" w:type="dxa"/>
            <w:bottom w:w="0" w:type="dxa"/>
            <w:right w:w="108" w:type="dxa"/>
          </w:tblCellMar>
        </w:tblPrEx>
        <w:trPr>
          <w:trHeight w:val="670"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77462">
            <w:pPr>
              <w:widowControl/>
              <w:snapToGrid/>
              <w:spacing w:line="240" w:lineRule="auto"/>
              <w:jc w:val="center"/>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危险特性</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747F">
            <w:pPr>
              <w:widowControl/>
              <w:snapToGrid/>
              <w:spacing w:line="240" w:lineRule="auto"/>
              <w:jc w:val="left"/>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其蒸气与空气可形成爆炸性混合物，遇明火、高热极易燃烧爆炸。与氧化剂能发生强烈反应。其蒸气比空气重，能在较低处扩散到相当远的地方，遇火源会着火回燃。</w:t>
            </w:r>
          </w:p>
        </w:tc>
      </w:tr>
      <w:tr w14:paraId="14BDCCB5">
        <w:tblPrEx>
          <w:tblCellMar>
            <w:top w:w="0" w:type="dxa"/>
            <w:left w:w="108" w:type="dxa"/>
            <w:bottom w:w="0" w:type="dxa"/>
            <w:right w:w="108" w:type="dxa"/>
          </w:tblCellMar>
        </w:tblPrEx>
        <w:trPr>
          <w:trHeight w:val="57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5CAB1">
            <w:pPr>
              <w:widowControl/>
              <w:snapToGrid/>
              <w:spacing w:line="240" w:lineRule="auto"/>
              <w:jc w:val="center"/>
              <w:textAlignment w:val="center"/>
              <w:rPr>
                <w:rFonts w:hint="default" w:ascii="Times New Roman" w:hAnsi="Times New Roman" w:cs="Times New Roman"/>
                <w:b/>
                <w:bCs/>
                <w:caps w:val="0"/>
                <w:smallCaps w:val="0"/>
                <w:color w:val="000000"/>
                <w:spacing w:val="0"/>
                <w:w w:val="100"/>
                <w:sz w:val="21"/>
              </w:rPr>
            </w:pPr>
            <w:r>
              <w:rPr>
                <w:rFonts w:hint="default" w:ascii="Times New Roman" w:hAnsi="Times New Roman" w:cs="Times New Roman"/>
                <w:b/>
                <w:bCs/>
                <w:caps w:val="0"/>
                <w:smallCaps w:val="0"/>
                <w:color w:val="000000"/>
                <w:spacing w:val="0"/>
                <w:w w:val="100"/>
                <w:kern w:val="0"/>
                <w:sz w:val="21"/>
                <w:lang w:bidi="ar"/>
              </w:rPr>
              <w:t>柴油的危险特性</w:t>
            </w:r>
          </w:p>
        </w:tc>
      </w:tr>
      <w:tr w14:paraId="024252E6">
        <w:tblPrEx>
          <w:tblCellMar>
            <w:top w:w="0" w:type="dxa"/>
            <w:left w:w="108" w:type="dxa"/>
            <w:bottom w:w="0" w:type="dxa"/>
            <w:right w:w="108" w:type="dxa"/>
          </w:tblCellMar>
        </w:tblPrEx>
        <w:trPr>
          <w:trHeight w:val="990"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2FE84">
            <w:pPr>
              <w:widowControl/>
              <w:snapToGrid/>
              <w:spacing w:line="240" w:lineRule="auto"/>
              <w:jc w:val="center"/>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健康危害</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AE1BA">
            <w:pPr>
              <w:widowControl/>
              <w:snapToGrid/>
              <w:spacing w:line="240" w:lineRule="auto"/>
              <w:jc w:val="left"/>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皮肤接触可为主要吸收途径，可致急性肾脏损害。柴油可引起接触性皮炎、油性痤疮。吸入其雾滴或液体呛入可引起吸入性肺炎。能经胎盘进入胎儿血中。柴油废气可引起眼、鼻剌激症状，头晕及头痛。</w:t>
            </w:r>
          </w:p>
        </w:tc>
      </w:tr>
      <w:tr w14:paraId="38F338B9">
        <w:tblPrEx>
          <w:tblCellMar>
            <w:top w:w="0" w:type="dxa"/>
            <w:left w:w="108" w:type="dxa"/>
            <w:bottom w:w="0" w:type="dxa"/>
            <w:right w:w="108" w:type="dxa"/>
          </w:tblCellMar>
        </w:tblPrEx>
        <w:trPr>
          <w:trHeight w:val="580"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2E91E">
            <w:pPr>
              <w:widowControl/>
              <w:snapToGrid/>
              <w:spacing w:line="240" w:lineRule="auto"/>
              <w:jc w:val="center"/>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环境危害</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05A3">
            <w:pPr>
              <w:widowControl/>
              <w:snapToGrid/>
              <w:spacing w:line="240" w:lineRule="auto"/>
              <w:jc w:val="left"/>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对环境有危害，对水体和大气可造成污染。</w:t>
            </w:r>
          </w:p>
        </w:tc>
      </w:tr>
      <w:tr w14:paraId="773A3C47">
        <w:tblPrEx>
          <w:tblCellMar>
            <w:top w:w="0" w:type="dxa"/>
            <w:left w:w="108" w:type="dxa"/>
            <w:bottom w:w="0" w:type="dxa"/>
            <w:right w:w="108" w:type="dxa"/>
          </w:tblCellMar>
        </w:tblPrEx>
        <w:trPr>
          <w:trHeight w:val="550"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EA5F">
            <w:pPr>
              <w:widowControl/>
              <w:snapToGrid/>
              <w:spacing w:line="240" w:lineRule="auto"/>
              <w:jc w:val="center"/>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燃爆危险</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1E33">
            <w:pPr>
              <w:widowControl/>
              <w:snapToGrid/>
              <w:spacing w:line="240" w:lineRule="auto"/>
              <w:jc w:val="left"/>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本品易燃，具刺激性。</w:t>
            </w:r>
          </w:p>
        </w:tc>
      </w:tr>
      <w:tr w14:paraId="05BBE4D5">
        <w:tblPrEx>
          <w:tblCellMar>
            <w:top w:w="0" w:type="dxa"/>
            <w:left w:w="108" w:type="dxa"/>
            <w:bottom w:w="0" w:type="dxa"/>
            <w:right w:w="108" w:type="dxa"/>
          </w:tblCellMar>
        </w:tblPrEx>
        <w:trPr>
          <w:trHeight w:val="695" w:hRule="atLeast"/>
        </w:trPr>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6103">
            <w:pPr>
              <w:widowControl/>
              <w:snapToGrid/>
              <w:spacing w:line="240" w:lineRule="auto"/>
              <w:jc w:val="center"/>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危险特性</w:t>
            </w:r>
          </w:p>
        </w:tc>
        <w:tc>
          <w:tcPr>
            <w:tcW w:w="4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1753F">
            <w:pPr>
              <w:widowControl/>
              <w:snapToGrid/>
              <w:spacing w:line="240" w:lineRule="auto"/>
              <w:jc w:val="left"/>
              <w:textAlignment w:val="center"/>
              <w:rPr>
                <w:rFonts w:hint="default" w:ascii="Times New Roman" w:hAnsi="Times New Roman" w:cs="Times New Roman"/>
                <w:caps w:val="0"/>
                <w:smallCaps w:val="0"/>
                <w:color w:val="000000"/>
                <w:spacing w:val="0"/>
                <w:w w:val="100"/>
                <w:sz w:val="21"/>
              </w:rPr>
            </w:pPr>
            <w:r>
              <w:rPr>
                <w:rFonts w:hint="default" w:ascii="Times New Roman" w:hAnsi="Times New Roman" w:cs="Times New Roman"/>
                <w:caps w:val="0"/>
                <w:smallCaps w:val="0"/>
                <w:color w:val="000000"/>
                <w:spacing w:val="0"/>
                <w:w w:val="100"/>
                <w:kern w:val="0"/>
                <w:sz w:val="21"/>
                <w:lang w:bidi="ar"/>
              </w:rPr>
              <w:t>遇明火、高热或与氧化剂接触，有引起燃烧爆炸的危险。若遇高热，容器内压增大，有开裂和爆炸的危险。</w:t>
            </w:r>
          </w:p>
        </w:tc>
      </w:tr>
    </w:tbl>
    <w:p w14:paraId="144664EC">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24" w:name="_Toc16425"/>
      <w:r>
        <w:rPr>
          <w:rFonts w:hint="default" w:ascii="Times New Roman" w:hAnsi="Times New Roman" w:eastAsia="黑体" w:cs="Times New Roman"/>
          <w:b w:val="0"/>
          <w:bCs w:val="0"/>
          <w:caps w:val="0"/>
          <w:smallCaps w:val="0"/>
          <w:spacing w:val="0"/>
          <w:w w:val="100"/>
        </w:rPr>
        <w:t>3.2.3主要危险、有害物质特性详述</w:t>
      </w:r>
      <w:bookmarkEnd w:id="224"/>
    </w:p>
    <w:p w14:paraId="6B9A654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该加油站涉及的主要危险、有害物质的理化特性详见报告附件1.1节。</w:t>
      </w:r>
    </w:p>
    <w:p w14:paraId="1D2C7A2A">
      <w:pPr>
        <w:pStyle w:val="5"/>
        <w:snapToGrid/>
        <w:rPr>
          <w:rFonts w:hint="default" w:ascii="Times New Roman" w:hAnsi="Times New Roman" w:eastAsia="黑体" w:cs="Times New Roman"/>
          <w:b w:val="0"/>
          <w:bCs w:val="0"/>
          <w:caps w:val="0"/>
          <w:smallCaps w:val="0"/>
          <w:spacing w:val="0"/>
          <w:w w:val="100"/>
        </w:rPr>
      </w:pPr>
      <w:bookmarkStart w:id="225" w:name="_Toc664"/>
      <w:r>
        <w:rPr>
          <w:rFonts w:hint="default" w:ascii="Times New Roman" w:hAnsi="Times New Roman" w:eastAsia="黑体" w:cs="Times New Roman"/>
          <w:b w:val="0"/>
          <w:bCs w:val="0"/>
          <w:caps w:val="0"/>
          <w:smallCaps w:val="0"/>
          <w:spacing w:val="0"/>
          <w:w w:val="100"/>
        </w:rPr>
        <w:t>3.3外部条件及总平面布置危险、有害因素分析结果</w:t>
      </w:r>
      <w:bookmarkEnd w:id="225"/>
    </w:p>
    <w:p w14:paraId="4E574C3D">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26" w:name="_Toc22964"/>
      <w:r>
        <w:rPr>
          <w:rFonts w:hint="default" w:ascii="Times New Roman" w:hAnsi="Times New Roman" w:eastAsia="黑体" w:cs="Times New Roman"/>
          <w:b w:val="0"/>
          <w:bCs w:val="0"/>
          <w:caps w:val="0"/>
          <w:smallCaps w:val="0"/>
          <w:spacing w:val="0"/>
          <w:w w:val="100"/>
        </w:rPr>
        <w:t>3.3.1外部危险性分析结果</w:t>
      </w:r>
      <w:bookmarkEnd w:id="226"/>
    </w:p>
    <w:p w14:paraId="061495B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该加油站与周边环境可能导致的主要危险、有害因素有：车辆伤害、火灾、爆炸等。</w:t>
      </w:r>
    </w:p>
    <w:p w14:paraId="5EC0EB0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w:t>
      </w:r>
      <w:r>
        <w:rPr>
          <w:rFonts w:hint="eastAsia" w:ascii="Times New Roman" w:cs="Times New Roman"/>
          <w:caps w:val="0"/>
          <w:smallCaps w:val="0"/>
          <w:spacing w:val="0"/>
          <w:w w:val="100"/>
          <w:lang w:val="en-US" w:eastAsia="zh-CN"/>
        </w:rPr>
        <w:t>1.5.2、</w:t>
      </w:r>
      <w:r>
        <w:rPr>
          <w:rFonts w:hint="default" w:ascii="Times New Roman" w:hAnsi="Times New Roman" w:cs="Times New Roman"/>
          <w:caps w:val="0"/>
          <w:smallCaps w:val="0"/>
          <w:spacing w:val="0"/>
          <w:w w:val="100"/>
        </w:rPr>
        <w:t>4.</w:t>
      </w:r>
      <w:r>
        <w:rPr>
          <w:rFonts w:hint="eastAsia" w:ascii="Times New Roman" w:cs="Times New Roman"/>
          <w:caps w:val="0"/>
          <w:smallCaps w:val="0"/>
          <w:spacing w:val="0"/>
          <w:w w:val="100"/>
          <w:lang w:val="en-US" w:eastAsia="zh-CN"/>
        </w:rPr>
        <w:t>2</w:t>
      </w:r>
      <w:r>
        <w:rPr>
          <w:rFonts w:hint="default" w:ascii="Times New Roman" w:hAnsi="Times New Roman" w:cs="Times New Roman"/>
          <w:caps w:val="0"/>
          <w:smallCaps w:val="0"/>
          <w:spacing w:val="0"/>
          <w:w w:val="100"/>
        </w:rPr>
        <w:t>节。</w:t>
      </w:r>
    </w:p>
    <w:p w14:paraId="2A05E31C">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27" w:name="_Toc29849"/>
      <w:r>
        <w:rPr>
          <w:rFonts w:hint="default" w:ascii="Times New Roman" w:hAnsi="Times New Roman" w:eastAsia="黑体" w:cs="Times New Roman"/>
          <w:b w:val="0"/>
          <w:bCs w:val="0"/>
          <w:caps w:val="0"/>
          <w:smallCaps w:val="0"/>
          <w:spacing w:val="0"/>
          <w:w w:val="100"/>
        </w:rPr>
        <w:t>3.3.2总平面布置危险性分析结果</w:t>
      </w:r>
      <w:bookmarkEnd w:id="227"/>
    </w:p>
    <w:p w14:paraId="3EE6620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加油站内平面布置主要包括功能分区、防火间距、道路等方面的内容。</w:t>
      </w:r>
    </w:p>
    <w:p w14:paraId="274C14A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其平面布置不合理主要可能导致：火灾、爆炸、车辆伤害、坍塌等。</w:t>
      </w:r>
    </w:p>
    <w:p w14:paraId="2CC1A15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具体分析过程见报告附件1.7节。</w:t>
      </w:r>
    </w:p>
    <w:p w14:paraId="1B574972">
      <w:pPr>
        <w:pStyle w:val="5"/>
        <w:snapToGrid/>
        <w:rPr>
          <w:rFonts w:hint="default" w:ascii="Times New Roman" w:hAnsi="Times New Roman" w:eastAsia="黑体" w:cs="Times New Roman"/>
          <w:b w:val="0"/>
          <w:bCs w:val="0"/>
          <w:caps w:val="0"/>
          <w:smallCaps w:val="0"/>
          <w:spacing w:val="0"/>
          <w:w w:val="100"/>
        </w:rPr>
      </w:pPr>
      <w:bookmarkStart w:id="228" w:name="_Toc4338"/>
      <w:r>
        <w:rPr>
          <w:rFonts w:hint="default" w:ascii="Times New Roman" w:hAnsi="Times New Roman" w:eastAsia="黑体" w:cs="Times New Roman"/>
          <w:b w:val="0"/>
          <w:bCs w:val="0"/>
          <w:caps w:val="0"/>
          <w:smallCaps w:val="0"/>
          <w:spacing w:val="0"/>
          <w:w w:val="100"/>
        </w:rPr>
        <w:t>3.4经营过程危险性分析结果</w:t>
      </w:r>
      <w:bookmarkEnd w:id="228"/>
    </w:p>
    <w:p w14:paraId="7EA94EC9">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29" w:name="_Toc19388"/>
      <w:r>
        <w:rPr>
          <w:rFonts w:hint="default" w:ascii="Times New Roman" w:hAnsi="Times New Roman" w:eastAsia="黑体" w:cs="Times New Roman"/>
          <w:b w:val="0"/>
          <w:bCs w:val="0"/>
          <w:caps w:val="0"/>
          <w:smallCaps w:val="0"/>
          <w:spacing w:val="0"/>
          <w:w w:val="100"/>
        </w:rPr>
        <w:t>3.4.1油品计量过程危险性分析结果</w:t>
      </w:r>
      <w:bookmarkEnd w:id="229"/>
    </w:p>
    <w:p w14:paraId="404073F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该加油站油品计量过程主要存在因操作不当、不良环境、未采取相关安全措施引发火灾、爆炸、中毒窒息等危险。</w:t>
      </w:r>
    </w:p>
    <w:p w14:paraId="03ACFFB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具体分析过程见报告附件1.3.1节。</w:t>
      </w:r>
    </w:p>
    <w:p w14:paraId="1EDB633B">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30" w:name="_Toc9998"/>
      <w:r>
        <w:rPr>
          <w:rFonts w:hint="default" w:ascii="Times New Roman" w:hAnsi="Times New Roman" w:eastAsia="黑体" w:cs="Times New Roman"/>
          <w:b w:val="0"/>
          <w:bCs w:val="0"/>
          <w:caps w:val="0"/>
          <w:smallCaps w:val="0"/>
          <w:spacing w:val="0"/>
          <w:w w:val="100"/>
        </w:rPr>
        <w:t>3.4.2卸油过程危险性分析结果</w:t>
      </w:r>
      <w:bookmarkEnd w:id="230"/>
    </w:p>
    <w:p w14:paraId="617A8E0C">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该加油站在卸油过程中主要存在：因油品泄漏引发火灾、爆炸、车辆伤害、触电、中毒和窒息、高处坠落等危害、有害因素。</w:t>
      </w:r>
    </w:p>
    <w:p w14:paraId="35A8445E">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具体分析过程见报告附件1.3.2节。；</w:t>
      </w:r>
    </w:p>
    <w:p w14:paraId="1353941B">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31" w:name="_Toc116"/>
      <w:r>
        <w:rPr>
          <w:rFonts w:hint="default" w:ascii="Times New Roman" w:hAnsi="Times New Roman" w:eastAsia="黑体" w:cs="Times New Roman"/>
          <w:b w:val="0"/>
          <w:bCs w:val="0"/>
          <w:caps w:val="0"/>
          <w:smallCaps w:val="0"/>
          <w:spacing w:val="0"/>
          <w:w w:val="100"/>
        </w:rPr>
        <w:t>3.4.3 油品储存过程危险性分析结果</w:t>
      </w:r>
      <w:bookmarkEnd w:id="231"/>
    </w:p>
    <w:p w14:paraId="08658E0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该加油站在油品储存过程中主要存在：因油品泄漏引发火灾、爆炸、中毒和窒息等危险、有害因素。</w:t>
      </w:r>
    </w:p>
    <w:p w14:paraId="3B0566B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具体分析过程见报告附件1.3.3节。</w:t>
      </w:r>
    </w:p>
    <w:p w14:paraId="5941AC8E">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32" w:name="_Toc18138"/>
      <w:r>
        <w:rPr>
          <w:rFonts w:hint="default" w:ascii="Times New Roman" w:hAnsi="Times New Roman" w:eastAsia="黑体" w:cs="Times New Roman"/>
          <w:b w:val="0"/>
          <w:bCs w:val="0"/>
          <w:caps w:val="0"/>
          <w:smallCaps w:val="0"/>
          <w:spacing w:val="0"/>
          <w:w w:val="100"/>
        </w:rPr>
        <w:t>3.4.4 加油过程危险性分析结果</w:t>
      </w:r>
      <w:bookmarkEnd w:id="232"/>
    </w:p>
    <w:p w14:paraId="4785A105">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该加油站在加油过程中主要存在：因油品泄漏引发火灾、爆炸、车辆伤害、触电、中毒和窒息等危险、有害因素。</w:t>
      </w:r>
    </w:p>
    <w:p w14:paraId="6C7F2A0F">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具体分析过程见报告附件1.3.4节。</w:t>
      </w:r>
    </w:p>
    <w:p w14:paraId="657D7B35">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33" w:name="_Toc32209"/>
      <w:r>
        <w:rPr>
          <w:rFonts w:hint="default" w:ascii="Times New Roman" w:hAnsi="Times New Roman" w:eastAsia="黑体" w:cs="Times New Roman"/>
          <w:b w:val="0"/>
          <w:bCs w:val="0"/>
          <w:caps w:val="0"/>
          <w:smallCaps w:val="0"/>
          <w:spacing w:val="0"/>
          <w:w w:val="100"/>
        </w:rPr>
        <w:t>3.4.5配电装置危险性分析结果</w:t>
      </w:r>
      <w:bookmarkEnd w:id="233"/>
    </w:p>
    <w:p w14:paraId="19EC808A">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该加油站在配电装置中主要存在：触电、火灾等危险因素。</w:t>
      </w:r>
    </w:p>
    <w:p w14:paraId="210BF145">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具体分析过程见报告附件的1.3.5节。</w:t>
      </w:r>
    </w:p>
    <w:p w14:paraId="6233B450">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34" w:name="_Toc29858"/>
      <w:r>
        <w:rPr>
          <w:rFonts w:hint="default" w:ascii="Times New Roman" w:hAnsi="Times New Roman" w:eastAsia="黑体" w:cs="Times New Roman"/>
          <w:b w:val="0"/>
          <w:bCs w:val="0"/>
          <w:caps w:val="0"/>
          <w:smallCaps w:val="0"/>
          <w:spacing w:val="0"/>
          <w:w w:val="100"/>
        </w:rPr>
        <w:t>3.4.6检修过程危险性分析结果</w:t>
      </w:r>
      <w:bookmarkEnd w:id="234"/>
    </w:p>
    <w:p w14:paraId="74994F8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该加油站在检维修过程中主要存在：火灾</w:t>
      </w:r>
      <w:r>
        <w:rPr>
          <w:rFonts w:hint="eastAsia" w:ascii="Times New Roman" w:cs="Times New Roman"/>
          <w:caps w:val="0"/>
          <w:smallCaps w:val="0"/>
          <w:spacing w:val="0"/>
          <w:w w:val="100"/>
          <w:lang w:eastAsia="zh-CN"/>
        </w:rPr>
        <w:t>、</w:t>
      </w:r>
      <w:r>
        <w:rPr>
          <w:rFonts w:hint="default" w:ascii="Times New Roman" w:hAnsi="Times New Roman" w:cs="Times New Roman"/>
          <w:caps w:val="0"/>
          <w:smallCaps w:val="0"/>
          <w:spacing w:val="0"/>
          <w:w w:val="100"/>
        </w:rPr>
        <w:t>爆炸、触电、中毒和窒息、高处坠落、机械伤害等危险、有害因素。</w:t>
      </w:r>
    </w:p>
    <w:p w14:paraId="388BFE0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具体分析过程见报告附件1.3.6节。</w:t>
      </w:r>
    </w:p>
    <w:p w14:paraId="6D9D1740">
      <w:pPr>
        <w:pStyle w:val="5"/>
        <w:snapToGrid/>
        <w:rPr>
          <w:rFonts w:hint="default" w:ascii="Times New Roman" w:hAnsi="Times New Roman" w:eastAsia="黑体" w:cs="Times New Roman"/>
          <w:b w:val="0"/>
          <w:bCs w:val="0"/>
          <w:caps w:val="0"/>
          <w:smallCaps w:val="0"/>
          <w:spacing w:val="0"/>
          <w:w w:val="100"/>
        </w:rPr>
      </w:pPr>
      <w:bookmarkStart w:id="235" w:name="_Toc20094"/>
      <w:bookmarkStart w:id="236" w:name="_Toc214183462"/>
      <w:bookmarkStart w:id="237" w:name="_Toc211932414"/>
      <w:bookmarkStart w:id="238" w:name="_Toc195156248"/>
      <w:bookmarkStart w:id="239" w:name="_Toc205523962"/>
      <w:bookmarkStart w:id="240" w:name="_Toc195176744"/>
      <w:r>
        <w:rPr>
          <w:rFonts w:hint="default" w:ascii="Times New Roman" w:hAnsi="Times New Roman" w:eastAsia="黑体" w:cs="Times New Roman"/>
          <w:b w:val="0"/>
          <w:bCs w:val="0"/>
          <w:caps w:val="0"/>
          <w:smallCaps w:val="0"/>
          <w:spacing w:val="0"/>
          <w:w w:val="100"/>
        </w:rPr>
        <w:t>3.</w:t>
      </w:r>
      <w:bookmarkStart w:id="241" w:name="_Toc195176767"/>
      <w:r>
        <w:rPr>
          <w:rFonts w:hint="default" w:ascii="Times New Roman" w:hAnsi="Times New Roman" w:eastAsia="黑体" w:cs="Times New Roman"/>
          <w:b w:val="0"/>
          <w:bCs w:val="0"/>
          <w:caps w:val="0"/>
          <w:smallCaps w:val="0"/>
          <w:spacing w:val="0"/>
          <w:w w:val="100"/>
        </w:rPr>
        <w:t>5事故案例及后果</w:t>
      </w:r>
      <w:bookmarkEnd w:id="241"/>
      <w:r>
        <w:rPr>
          <w:rFonts w:hint="default" w:ascii="Times New Roman" w:hAnsi="Times New Roman" w:eastAsia="黑体" w:cs="Times New Roman"/>
          <w:b w:val="0"/>
          <w:bCs w:val="0"/>
          <w:caps w:val="0"/>
          <w:smallCaps w:val="0"/>
          <w:spacing w:val="0"/>
          <w:w w:val="100"/>
        </w:rPr>
        <w:t>分析</w:t>
      </w:r>
      <w:bookmarkEnd w:id="235"/>
    </w:p>
    <w:p w14:paraId="3E91E1BE">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b/>
          <w:caps w:val="0"/>
          <w:smallCaps w:val="0"/>
          <w:spacing w:val="0"/>
          <w:w w:val="100"/>
          <w:szCs w:val="28"/>
        </w:rPr>
        <w:t>案例一</w:t>
      </w:r>
      <w:r>
        <w:rPr>
          <w:rFonts w:hint="default" w:ascii="Times New Roman" w:hAnsi="Times New Roman" w:cs="Times New Roman"/>
          <w:caps w:val="0"/>
          <w:smallCaps w:val="0"/>
          <w:spacing w:val="0"/>
          <w:w w:val="100"/>
          <w:szCs w:val="28"/>
        </w:rPr>
        <w:t>：加油站违章动火油罐闪爆事故</w:t>
      </w:r>
    </w:p>
    <w:p w14:paraId="7D8E1AA6">
      <w:pPr>
        <w:pStyle w:val="55"/>
        <w:snapToGrid/>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2013年3月1日11时40分，成都市金辉在油气回收管道改造施工过程中违章用火导致油罐闪爆，造成1人死亡、1人重伤、1人轻伤。</w:t>
      </w:r>
    </w:p>
    <w:p w14:paraId="4FA15055">
      <w:pPr>
        <w:pStyle w:val="55"/>
        <w:snapToGrid/>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事故直接原因是承包商施工人员在未检测油罐内油气浓度及采取相应安全防护措施的情况下，违章在汽油罐口进行动火作业，引燃油罐内残余油气直接导致事故发生。</w:t>
      </w:r>
    </w:p>
    <w:p w14:paraId="7A93BACC">
      <w:pPr>
        <w:pStyle w:val="55"/>
        <w:snapToGrid/>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事故间接原因是加油站施工现场安全监管人员在现场仍有施工作业的情况下擅离职守、监管不到位、未能及时制止施工人员的违章行为；施工作业动火作业票签发管理混乱，动火部位及地点不明确、动火等级错误、未对油气浓度检测提出要求、安全防护措施不到位；施工主管部门未到现场开展专项检查、未能有效落实“谁主管、谁负责”的安全职责；</w:t>
      </w:r>
    </w:p>
    <w:p w14:paraId="10720FDC">
      <w:pPr>
        <w:pStyle w:val="55"/>
        <w:snapToGrid/>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事故暴露出的管理问题：安全生产责任意识不强、施工安全管理职责不明确、施工组织管理混乱、施工现场安全管理制度执行不到位、施工安全教育流于形式、直接作业环节管理薄弱。</w:t>
      </w:r>
    </w:p>
    <w:p w14:paraId="02D72632">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b/>
          <w:caps w:val="0"/>
          <w:smallCaps w:val="0"/>
          <w:spacing w:val="0"/>
          <w:w w:val="100"/>
          <w:szCs w:val="28"/>
        </w:rPr>
        <w:t>案例二</w:t>
      </w:r>
      <w:r>
        <w:rPr>
          <w:rFonts w:hint="default" w:ascii="Times New Roman" w:hAnsi="Times New Roman" w:cs="Times New Roman"/>
          <w:caps w:val="0"/>
          <w:smallCaps w:val="0"/>
          <w:spacing w:val="0"/>
          <w:w w:val="100"/>
          <w:szCs w:val="28"/>
        </w:rPr>
        <w:t>：油罐车卸油后晃车卸余油拉断罐车底阀事故</w:t>
      </w:r>
    </w:p>
    <w:p w14:paraId="12E0F348">
      <w:pPr>
        <w:snapToGrid/>
        <w:ind w:firstLine="57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2009年4月1日22时许，驾驶员李某驾驶油罐车在某加油站卸完油后，为卸尽车内余油，在卸油管仍与油罐车、油罐同时连接的情况下即进行晃车。在晃车过程中，李某误操作（将倒挡挂成二档），车辆行驶幅度过大，将罐车底阀拉断。事件未造成其他设备损坏及油品泄漏。</w:t>
      </w:r>
    </w:p>
    <w:p w14:paraId="5AE1BD97">
      <w:pPr>
        <w:snapToGrid/>
        <w:ind w:firstLine="57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原因分析：承运人员安全意识淡薄，图省事，采取不规范的卸余油方式，在未取下卸油管的情况下即进行晃车，加之业务技能不熟练，导致事件发生。加油站监卸人员卸油作业现场监管不到位，未能及时制止承运人员的不安全行为间接导致事件发生。</w:t>
      </w:r>
    </w:p>
    <w:p w14:paraId="21332FAF">
      <w:pPr>
        <w:snapToGrid/>
        <w:ind w:firstLine="57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经验教训：此次事件虽未造成严重后果，但通过晃车卸余油带来的安全隐患必须引起我们的高度重视。晃车卸余油一是易造成罐车内剩余油品产生、聚集静电，晃车完毕接卸余油时，一旦未能有效连接静电接地线，极易引发火灾事故，类似事故已在系统内发生并造成了严重损失。二是油罐车在加油站站内疾速行驶晃动，给站内员工及进站加油人员人身安全带来威胁，极易造成交通事故。各企业要吸取此次未遂事件的经验教训，切实加强加油站内油罐车卸余油的管理。</w:t>
      </w:r>
    </w:p>
    <w:p w14:paraId="43B920A5">
      <w:pPr>
        <w:snapToGrid/>
        <w:ind w:firstLine="570"/>
        <w:jc w:val="left"/>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防范措施：企业要加强对承运商司运人员的教育培训，完善相应的规章制度，明确要求油罐车卸余油要通过规范的方式进行，如在指定地点，利用地形坡度等方式。严格执行禁令和纪律，结合“我要安全”主题活动，落实规章制度，规范操作行为，进一步强化加油站卸油环节的安全数据质量管理，加油站油品监卸人员要切实负起责任，及时发现并有效制止违章行为。</w:t>
      </w:r>
    </w:p>
    <w:p w14:paraId="30262C24">
      <w:pPr>
        <w:pStyle w:val="5"/>
        <w:snapToGrid/>
        <w:rPr>
          <w:rFonts w:hint="default" w:ascii="Times New Roman" w:hAnsi="Times New Roman" w:eastAsia="黑体" w:cs="Times New Roman"/>
          <w:b w:val="0"/>
          <w:bCs w:val="0"/>
          <w:caps w:val="0"/>
          <w:smallCaps w:val="0"/>
          <w:spacing w:val="0"/>
          <w:w w:val="100"/>
        </w:rPr>
      </w:pPr>
      <w:bookmarkStart w:id="242" w:name="_Toc4525"/>
      <w:r>
        <w:rPr>
          <w:rFonts w:hint="default" w:ascii="Times New Roman" w:hAnsi="Times New Roman" w:eastAsia="黑体" w:cs="Times New Roman"/>
          <w:b w:val="0"/>
          <w:bCs w:val="0"/>
          <w:caps w:val="0"/>
          <w:smallCaps w:val="0"/>
          <w:spacing w:val="0"/>
          <w:w w:val="100"/>
        </w:rPr>
        <w:t>3.6危险、有害因素的辨识结果</w:t>
      </w:r>
      <w:bookmarkEnd w:id="236"/>
      <w:bookmarkEnd w:id="237"/>
      <w:bookmarkEnd w:id="238"/>
      <w:bookmarkEnd w:id="239"/>
      <w:bookmarkEnd w:id="242"/>
    </w:p>
    <w:p w14:paraId="43781E85">
      <w:pPr>
        <w:snapToGrid/>
        <w:ind w:firstLine="560" w:firstLineChars="200"/>
        <w:rPr>
          <w:rFonts w:hint="default" w:ascii="Times New Roman" w:hAnsi="Times New Roman" w:cs="Times New Roman"/>
          <w:caps w:val="0"/>
          <w:smallCaps w:val="0"/>
          <w:spacing w:val="0"/>
          <w:w w:val="100"/>
        </w:rPr>
      </w:pPr>
      <w:bookmarkStart w:id="243" w:name="_Toc360285987"/>
      <w:r>
        <w:rPr>
          <w:rFonts w:hint="eastAsia" w:ascii="Times New Roman" w:cs="Times New Roman"/>
          <w:caps w:val="0"/>
          <w:smallCaps w:val="0"/>
          <w:spacing w:val="0"/>
          <w:w w:val="100"/>
          <w:lang w:val="en-US" w:eastAsia="zh-CN"/>
        </w:rPr>
        <w:t>XX</w:t>
      </w:r>
      <w:r>
        <w:rPr>
          <w:rFonts w:hint="default" w:ascii="Times New Roman" w:hAnsi="Times New Roman" w:cs="Times New Roman"/>
          <w:caps w:val="0"/>
          <w:smallCaps w:val="0"/>
          <w:spacing w:val="0"/>
          <w:w w:val="100"/>
        </w:rPr>
        <w:t>。</w:t>
      </w:r>
    </w:p>
    <w:p w14:paraId="22559A1E">
      <w:pPr>
        <w:pStyle w:val="5"/>
        <w:snapToGrid/>
        <w:rPr>
          <w:rFonts w:hint="default" w:ascii="Times New Roman" w:hAnsi="Times New Roman" w:eastAsia="黑体" w:cs="Times New Roman"/>
          <w:b w:val="0"/>
          <w:bCs w:val="0"/>
          <w:caps w:val="0"/>
          <w:smallCaps w:val="0"/>
          <w:spacing w:val="0"/>
          <w:w w:val="100"/>
        </w:rPr>
      </w:pPr>
      <w:bookmarkStart w:id="244" w:name="_Toc29386"/>
      <w:r>
        <w:rPr>
          <w:rFonts w:hint="default" w:ascii="Times New Roman" w:hAnsi="Times New Roman" w:eastAsia="黑体" w:cs="Times New Roman"/>
          <w:b w:val="0"/>
          <w:bCs w:val="0"/>
          <w:caps w:val="0"/>
          <w:smallCaps w:val="0"/>
          <w:spacing w:val="0"/>
          <w:w w:val="100"/>
        </w:rPr>
        <w:t>3.7剧毒化学品、易制毒化学品、易制爆化学品、国家监控化学品辨识</w:t>
      </w:r>
      <w:bookmarkEnd w:id="244"/>
    </w:p>
    <w:p w14:paraId="43D8787B">
      <w:pPr>
        <w:pageBreakBefore w:val="0"/>
        <w:kinsoku/>
        <w:topLinePunct w:val="0"/>
        <w:bidi w:val="0"/>
        <w:adjustRightInd/>
        <w:snapToGrid/>
        <w:ind w:firstLine="560"/>
        <w:rPr>
          <w:rFonts w:hint="default" w:ascii="Times New Roman" w:hAnsi="Times New Roman" w:eastAsia="宋体" w:cs="Times New Roman"/>
          <w:snapToGrid w:val="0"/>
          <w:color w:val="000000"/>
          <w:kern w:val="0"/>
          <w:szCs w:val="28"/>
        </w:rPr>
      </w:pPr>
      <w:r>
        <w:rPr>
          <w:rFonts w:hint="eastAsia" w:ascii="Times New Roman" w:hAnsi="Times New Roman" w:eastAsia="宋体" w:cs="Times New Roman"/>
          <w:snapToGrid w:val="0"/>
          <w:color w:val="000000"/>
          <w:kern w:val="0"/>
          <w:szCs w:val="28"/>
          <w:lang w:val="en-US" w:eastAsia="zh-CN"/>
        </w:rPr>
        <w:t>该项目在经营、储存过程中涉及的危险化学品有：汽油、柴油。</w:t>
      </w:r>
    </w:p>
    <w:p w14:paraId="7A88069F">
      <w:pPr>
        <w:pageBreakBefore w:val="0"/>
        <w:kinsoku/>
        <w:topLinePunct w:val="0"/>
        <w:bidi w:val="0"/>
        <w:adjustRightInd/>
        <w:snapToGrid/>
        <w:ind w:firstLine="560"/>
        <w:rPr>
          <w:rFonts w:hint="default" w:ascii="Times New Roman" w:hAnsi="Times New Roman" w:eastAsia="宋体" w:cs="Times New Roman"/>
          <w:snapToGrid w:val="0"/>
          <w:color w:val="000000"/>
          <w:kern w:val="0"/>
          <w:szCs w:val="28"/>
        </w:rPr>
      </w:pPr>
      <w:r>
        <w:rPr>
          <w:rFonts w:hint="eastAsia" w:ascii="Times New Roman" w:hAnsi="Times New Roman" w:eastAsia="宋体" w:cs="Times New Roman"/>
          <w:snapToGrid w:val="0"/>
          <w:color w:val="000000"/>
          <w:kern w:val="0"/>
          <w:szCs w:val="28"/>
          <w:lang w:val="en-US" w:eastAsia="zh-CN"/>
        </w:rPr>
        <w:t>根据《危险化学品目录（2015版）》（国家安全生产监督管理总局等十部委公告2015年第5号）及《关于调整&lt;危险化学品目录（2015版）&gt;的公告》（应急管理部等10部门公告2022年第8号，2023年1月1日施行）的内容，该加油站不涉及剧毒化学品；</w:t>
      </w:r>
    </w:p>
    <w:p w14:paraId="33D7BFB2">
      <w:pPr>
        <w:snapToGrid/>
        <w:ind w:firstLine="560"/>
        <w:rPr>
          <w:rFonts w:hint="default" w:ascii="Times New Roman" w:hAnsi="Times New Roman" w:cs="Times New Roman"/>
          <w:caps w:val="0"/>
          <w:smallCaps w:val="0"/>
          <w:snapToGrid w:val="0"/>
          <w:color w:val="000000"/>
          <w:spacing w:val="0"/>
          <w:w w:val="100"/>
          <w:kern w:val="0"/>
          <w:szCs w:val="28"/>
        </w:rPr>
      </w:pPr>
      <w:r>
        <w:rPr>
          <w:rFonts w:hint="default" w:ascii="Times New Roman" w:hAnsi="Times New Roman" w:cs="Times New Roman"/>
          <w:caps w:val="0"/>
          <w:smallCaps w:val="0"/>
          <w:snapToGrid w:val="0"/>
          <w:color w:val="000000"/>
          <w:spacing w:val="0"/>
          <w:w w:val="100"/>
          <w:kern w:val="0"/>
          <w:szCs w:val="28"/>
        </w:rPr>
        <w:t>根据《易制毒化学品管理条例》（国务院令〔2005〕第445号，2017年修改）附表《易制毒化学品的分类和品种目录》的内容，该加油站不涉及易制毒化学品；</w:t>
      </w:r>
    </w:p>
    <w:p w14:paraId="76E1D798">
      <w:pPr>
        <w:snapToGrid/>
        <w:ind w:firstLine="560"/>
        <w:rPr>
          <w:rFonts w:hint="default" w:ascii="Times New Roman" w:hAnsi="Times New Roman" w:cs="Times New Roman"/>
          <w:caps w:val="0"/>
          <w:smallCaps w:val="0"/>
          <w:snapToGrid w:val="0"/>
          <w:color w:val="000000"/>
          <w:spacing w:val="0"/>
          <w:w w:val="100"/>
          <w:kern w:val="0"/>
          <w:szCs w:val="28"/>
        </w:rPr>
      </w:pPr>
      <w:r>
        <w:rPr>
          <w:rFonts w:hint="default" w:ascii="Times New Roman" w:hAnsi="Times New Roman" w:cs="Times New Roman"/>
          <w:caps w:val="0"/>
          <w:smallCaps w:val="0"/>
          <w:snapToGrid w:val="0"/>
          <w:color w:val="000000"/>
          <w:spacing w:val="0"/>
          <w:w w:val="100"/>
          <w:kern w:val="0"/>
          <w:szCs w:val="28"/>
        </w:rPr>
        <w:t>根据《易制爆危险化学品名录》（2017年版，公安部2017年5月11日）的有关条款，该加油站不涉及易制爆危险化学品；</w:t>
      </w:r>
    </w:p>
    <w:p w14:paraId="5118CA71">
      <w:pPr>
        <w:snapToGrid/>
        <w:ind w:firstLine="560"/>
        <w:rPr>
          <w:rFonts w:hint="default" w:ascii="Times New Roman" w:hAnsi="Times New Roman" w:cs="Times New Roman"/>
          <w:caps w:val="0"/>
          <w:smallCaps w:val="0"/>
          <w:snapToGrid w:val="0"/>
          <w:color w:val="000000"/>
          <w:spacing w:val="0"/>
          <w:w w:val="100"/>
          <w:kern w:val="0"/>
          <w:szCs w:val="28"/>
        </w:rPr>
      </w:pPr>
      <w:r>
        <w:rPr>
          <w:rFonts w:hint="default" w:ascii="Times New Roman" w:hAnsi="Times New Roman" w:cs="Times New Roman"/>
          <w:caps w:val="0"/>
          <w:smallCaps w:val="0"/>
          <w:snapToGrid w:val="0"/>
          <w:color w:val="000000"/>
          <w:spacing w:val="0"/>
          <w:w w:val="100"/>
          <w:kern w:val="0"/>
          <w:szCs w:val="28"/>
        </w:rPr>
        <w:t>根据《各类监控化学品名录》（中华人民共和国工业和信息化部令第52号）有关条款，该加油站不涉及国家监控化学品。</w:t>
      </w:r>
    </w:p>
    <w:p w14:paraId="3F1B445E">
      <w:pPr>
        <w:pStyle w:val="5"/>
        <w:snapToGrid/>
        <w:rPr>
          <w:rFonts w:hint="default" w:ascii="Times New Roman" w:hAnsi="Times New Roman" w:eastAsia="黑体" w:cs="Times New Roman"/>
          <w:b w:val="0"/>
          <w:bCs w:val="0"/>
          <w:caps w:val="0"/>
          <w:smallCaps w:val="0"/>
          <w:spacing w:val="0"/>
          <w:w w:val="100"/>
        </w:rPr>
      </w:pPr>
      <w:bookmarkStart w:id="245" w:name="_Toc14506"/>
      <w:r>
        <w:rPr>
          <w:rFonts w:hint="default" w:ascii="Times New Roman" w:hAnsi="Times New Roman" w:eastAsia="黑体" w:cs="Times New Roman"/>
          <w:b w:val="0"/>
          <w:bCs w:val="0"/>
          <w:caps w:val="0"/>
          <w:smallCaps w:val="0"/>
          <w:spacing w:val="0"/>
          <w:w w:val="100"/>
        </w:rPr>
        <w:t>3.8重点监管的危险化学品辨识</w:t>
      </w:r>
      <w:bookmarkEnd w:id="243"/>
      <w:bookmarkEnd w:id="245"/>
    </w:p>
    <w:p w14:paraId="79D0082B">
      <w:pPr>
        <w:pageBreakBefore w:val="0"/>
        <w:kinsoku/>
        <w:topLinePunct w:val="0"/>
        <w:bidi w:val="0"/>
        <w:adjustRightInd/>
        <w:snapToGrid/>
        <w:ind w:firstLine="560"/>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该项目在经营、储存过程中涉及的危险化学品有：汽油、柴油。</w:t>
      </w:r>
    </w:p>
    <w:p w14:paraId="5A7430B7">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napToGrid w:val="0"/>
          <w:color w:val="000000"/>
          <w:spacing w:val="0"/>
          <w:w w:val="100"/>
          <w:kern w:val="0"/>
          <w:szCs w:val="28"/>
        </w:rPr>
        <w:t>根据《首批重点监管的危险化学品名录》（安监总管三（2011）95号）、《国家安全监管总局关于公布第二批重点监管危险化学品名录的通知》（安监总管三〔2013〕12 号）的规定，该加油</w:t>
      </w:r>
      <w:r>
        <w:rPr>
          <w:rFonts w:hint="default" w:ascii="Times New Roman" w:hAnsi="Times New Roman" w:cs="Times New Roman"/>
          <w:snapToGrid w:val="0"/>
          <w:color w:val="000000"/>
          <w:kern w:val="0"/>
          <w:szCs w:val="28"/>
        </w:rPr>
        <w:t>站经营</w:t>
      </w:r>
      <w:r>
        <w:rPr>
          <w:rFonts w:hint="eastAsia" w:ascii="Times New Roman" w:hAnsi="Times New Roman" w:cs="Times New Roman"/>
          <w:snapToGrid w:val="0"/>
          <w:color w:val="000000"/>
          <w:kern w:val="0"/>
          <w:szCs w:val="28"/>
          <w:lang w:eastAsia="zh-CN"/>
        </w:rPr>
        <w:t>、</w:t>
      </w:r>
      <w:r>
        <w:rPr>
          <w:rFonts w:hint="eastAsia" w:ascii="Times New Roman" w:hAnsi="Times New Roman" w:cs="Times New Roman"/>
          <w:snapToGrid w:val="0"/>
          <w:color w:val="000000"/>
          <w:kern w:val="0"/>
          <w:szCs w:val="28"/>
          <w:lang w:val="en-US" w:eastAsia="zh-CN"/>
        </w:rPr>
        <w:t>储存</w:t>
      </w:r>
      <w:r>
        <w:rPr>
          <w:rFonts w:hint="default" w:ascii="Times New Roman" w:hAnsi="Times New Roman" w:cs="Times New Roman"/>
          <w:snapToGrid w:val="0"/>
          <w:color w:val="000000"/>
          <w:kern w:val="0"/>
          <w:szCs w:val="28"/>
        </w:rPr>
        <w:t>的</w:t>
      </w:r>
      <w:r>
        <w:rPr>
          <w:rFonts w:hint="default" w:ascii="Times New Roman" w:hAnsi="Times New Roman" w:cs="Times New Roman"/>
          <w:caps w:val="0"/>
          <w:smallCaps w:val="0"/>
          <w:snapToGrid w:val="0"/>
          <w:color w:val="000000"/>
          <w:spacing w:val="0"/>
          <w:w w:val="100"/>
          <w:kern w:val="0"/>
          <w:szCs w:val="28"/>
        </w:rPr>
        <w:t>汽油为重点监管的危险化学品，根据《关于印发首批重点监管的危险化学品安全措施和应急处置原则的通知》（总厅管三〔2011〕142 号）的要求对汽油储存、操作、运输采取相应的安全措施，并制定相应的应急处置原则，确保加油站汽油经营的安全。</w:t>
      </w:r>
    </w:p>
    <w:p w14:paraId="367DB6FF">
      <w:pPr>
        <w:pStyle w:val="5"/>
        <w:snapToGrid/>
        <w:rPr>
          <w:rFonts w:hint="default" w:ascii="Times New Roman" w:hAnsi="Times New Roman" w:eastAsia="黑体" w:cs="Times New Roman"/>
          <w:b w:val="0"/>
          <w:caps w:val="0"/>
          <w:smallCaps w:val="0"/>
          <w:spacing w:val="0"/>
          <w:w w:val="100"/>
        </w:rPr>
      </w:pPr>
      <w:bookmarkStart w:id="246" w:name="_Toc12246"/>
      <w:r>
        <w:rPr>
          <w:rFonts w:hint="default" w:ascii="Times New Roman" w:hAnsi="Times New Roman" w:eastAsia="黑体" w:cs="Times New Roman"/>
          <w:b w:val="0"/>
          <w:bCs w:val="0"/>
          <w:caps w:val="0"/>
          <w:smallCaps w:val="0"/>
          <w:spacing w:val="0"/>
          <w:w w:val="100"/>
        </w:rPr>
        <w:t>3.9</w:t>
      </w:r>
      <w:r>
        <w:rPr>
          <w:rFonts w:hint="default" w:ascii="Times New Roman" w:hAnsi="Times New Roman" w:eastAsia="黑体" w:cs="Times New Roman"/>
          <w:b w:val="0"/>
          <w:caps w:val="0"/>
          <w:smallCaps w:val="0"/>
          <w:spacing w:val="0"/>
          <w:w w:val="100"/>
        </w:rPr>
        <w:t>特别管控危险化学品辨识结果</w:t>
      </w:r>
      <w:bookmarkEnd w:id="246"/>
    </w:p>
    <w:p w14:paraId="0FE2184D">
      <w:pPr>
        <w:snapToGrid/>
        <w:ind w:firstLine="560"/>
        <w:rPr>
          <w:rFonts w:hint="default" w:ascii="Times New Roman" w:hAnsi="Times New Roman" w:cs="Times New Roman"/>
          <w:caps w:val="0"/>
          <w:smallCaps w:val="0"/>
          <w:snapToGrid w:val="0"/>
          <w:color w:val="000000"/>
          <w:spacing w:val="0"/>
          <w:w w:val="100"/>
          <w:kern w:val="0"/>
          <w:szCs w:val="28"/>
        </w:rPr>
      </w:pPr>
      <w:r>
        <w:rPr>
          <w:rFonts w:hint="default" w:ascii="Times New Roman" w:hAnsi="Times New Roman" w:cs="Times New Roman"/>
          <w:caps w:val="0"/>
          <w:smallCaps w:val="0"/>
          <w:snapToGrid w:val="0"/>
          <w:color w:val="000000"/>
          <w:spacing w:val="0"/>
          <w:w w:val="100"/>
          <w:kern w:val="0"/>
          <w:szCs w:val="28"/>
        </w:rPr>
        <w:t>根据《特别管控危险化学品目录（第一版）》（应急管理部、工业和信息化部、公安部、交通运输部2020年第3号公告）的规定，该加油</w:t>
      </w:r>
      <w:r>
        <w:rPr>
          <w:rFonts w:hint="default" w:ascii="Times New Roman" w:hAnsi="Times New Roman" w:eastAsia="宋体" w:cs="Times New Roman"/>
          <w:snapToGrid w:val="0"/>
          <w:color w:val="000000"/>
          <w:kern w:val="0"/>
          <w:szCs w:val="28"/>
        </w:rPr>
        <w:t>站经营</w:t>
      </w:r>
      <w:r>
        <w:rPr>
          <w:rFonts w:hint="eastAsia" w:ascii="Times New Roman" w:hAnsi="Times New Roman" w:eastAsia="宋体" w:cs="Times New Roman"/>
          <w:snapToGrid w:val="0"/>
          <w:color w:val="000000"/>
          <w:kern w:val="0"/>
          <w:szCs w:val="28"/>
          <w:lang w:eastAsia="zh-CN"/>
        </w:rPr>
        <w:t>、</w:t>
      </w:r>
      <w:r>
        <w:rPr>
          <w:rFonts w:hint="eastAsia" w:ascii="Times New Roman" w:hAnsi="Times New Roman" w:eastAsia="宋体" w:cs="Times New Roman"/>
          <w:snapToGrid w:val="0"/>
          <w:color w:val="000000"/>
          <w:kern w:val="0"/>
          <w:szCs w:val="28"/>
          <w:lang w:val="en-US" w:eastAsia="zh-CN"/>
        </w:rPr>
        <w:t>储存</w:t>
      </w:r>
      <w:r>
        <w:rPr>
          <w:rFonts w:hint="default" w:ascii="Times New Roman" w:hAnsi="Times New Roman" w:eastAsia="宋体" w:cs="Times New Roman"/>
          <w:snapToGrid w:val="0"/>
          <w:color w:val="000000"/>
          <w:kern w:val="0"/>
          <w:szCs w:val="28"/>
        </w:rPr>
        <w:t>的</w:t>
      </w:r>
      <w:r>
        <w:rPr>
          <w:rFonts w:hint="default" w:ascii="Times New Roman" w:hAnsi="Times New Roman" w:cs="Times New Roman"/>
          <w:caps w:val="0"/>
          <w:smallCaps w:val="0"/>
          <w:snapToGrid w:val="0"/>
          <w:color w:val="000000"/>
          <w:spacing w:val="0"/>
          <w:w w:val="100"/>
          <w:kern w:val="0"/>
          <w:szCs w:val="28"/>
        </w:rPr>
        <w:t>汽油为特别管控危险化学品</w:t>
      </w:r>
    </w:p>
    <w:p w14:paraId="6FCAF645">
      <w:pPr>
        <w:pStyle w:val="5"/>
        <w:snapToGrid/>
        <w:rPr>
          <w:rFonts w:hint="default" w:ascii="Times New Roman" w:hAnsi="Times New Roman" w:eastAsia="黑体" w:cs="Times New Roman"/>
          <w:b w:val="0"/>
          <w:bCs w:val="0"/>
          <w:caps w:val="0"/>
          <w:smallCaps w:val="0"/>
          <w:spacing w:val="0"/>
          <w:w w:val="100"/>
        </w:rPr>
      </w:pPr>
      <w:bookmarkStart w:id="247" w:name="_Toc8858"/>
      <w:r>
        <w:rPr>
          <w:rFonts w:hint="default" w:ascii="Times New Roman" w:hAnsi="Times New Roman" w:eastAsia="黑体" w:cs="Times New Roman"/>
          <w:b w:val="0"/>
          <w:bCs w:val="0"/>
          <w:caps w:val="0"/>
          <w:smallCaps w:val="0"/>
          <w:spacing w:val="0"/>
          <w:w w:val="100"/>
        </w:rPr>
        <w:t>3.10重大危险源辨识结果</w:t>
      </w:r>
      <w:bookmarkEnd w:id="240"/>
      <w:bookmarkEnd w:id="247"/>
    </w:p>
    <w:p w14:paraId="5856AD07">
      <w:pPr>
        <w:pStyle w:val="55"/>
        <w:snapToGrid/>
        <w:ind w:firstLine="560" w:firstLineChars="200"/>
        <w:rPr>
          <w:rFonts w:hint="default" w:ascii="Times New Roman" w:hAnsi="Times New Roman" w:cs="Times New Roman"/>
          <w:caps w:val="0"/>
          <w:smallCaps w:val="0"/>
          <w:spacing w:val="0"/>
          <w:w w:val="100"/>
        </w:rPr>
      </w:pPr>
      <w:bookmarkStart w:id="248" w:name="_Toc195156250"/>
      <w:bookmarkStart w:id="249" w:name="_Toc214183467"/>
      <w:bookmarkStart w:id="250" w:name="_Toc156661661"/>
      <w:bookmarkStart w:id="251" w:name="_Toc151881412"/>
      <w:bookmarkStart w:id="252" w:name="_Toc187699913"/>
      <w:bookmarkStart w:id="253" w:name="_Toc188863908"/>
      <w:bookmarkStart w:id="254" w:name="_Toc195176755"/>
      <w:r>
        <w:rPr>
          <w:rFonts w:hint="default" w:ascii="Times New Roman" w:hAnsi="Times New Roman" w:cs="Times New Roman"/>
          <w:kern w:val="0"/>
          <w:sz w:val="28"/>
          <w:szCs w:val="28"/>
        </w:rPr>
        <w:t>本加油站汽油</w:t>
      </w:r>
      <w:r>
        <w:rPr>
          <w:rFonts w:hint="eastAsia" w:ascii="Times New Roman" w:hAnsi="Times New Roman" w:cs="Times New Roman"/>
          <w:kern w:val="0"/>
          <w:sz w:val="28"/>
          <w:szCs w:val="28"/>
          <w:lang w:eastAsia="zh-CN"/>
        </w:rPr>
        <w:t>、</w:t>
      </w:r>
      <w:r>
        <w:rPr>
          <w:rFonts w:hint="eastAsia" w:ascii="Times New Roman" w:hAnsi="Times New Roman" w:cs="Times New Roman"/>
          <w:kern w:val="0"/>
          <w:sz w:val="28"/>
          <w:szCs w:val="28"/>
          <w:lang w:val="en-US" w:eastAsia="zh-CN"/>
        </w:rPr>
        <w:t>柴油</w:t>
      </w:r>
      <w:r>
        <w:rPr>
          <w:rFonts w:hint="default" w:ascii="Times New Roman" w:hAnsi="Times New Roman" w:cs="Times New Roman"/>
          <w:kern w:val="0"/>
          <w:sz w:val="28"/>
          <w:szCs w:val="28"/>
        </w:rPr>
        <w:t>总储量均未构成重大危险源</w:t>
      </w:r>
      <w:r>
        <w:rPr>
          <w:rFonts w:hint="eastAsia" w:ascii="Times New Roman" w:hAnsi="Times New Roman" w:cs="Times New Roman"/>
          <w:kern w:val="0"/>
          <w:sz w:val="28"/>
          <w:szCs w:val="28"/>
          <w:lang w:eastAsia="zh-CN"/>
        </w:rPr>
        <w:t>，</w:t>
      </w:r>
      <w:r>
        <w:rPr>
          <w:rFonts w:hint="default" w:ascii="Times New Roman" w:hAnsi="Times New Roman" w:cs="Times New Roman"/>
          <w:caps w:val="0"/>
          <w:smallCaps w:val="0"/>
          <w:spacing w:val="0"/>
          <w:w w:val="100"/>
          <w:kern w:val="0"/>
          <w:szCs w:val="28"/>
        </w:rPr>
        <w:t>具体分析过程详见附件1.10。</w:t>
      </w:r>
    </w:p>
    <w:p w14:paraId="1038B80B">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但是考虑到加油站储存汽油的易燃易爆危险特性，特别是汽油属于重点监管危险化学品，因此建议加油站在实际运营中应按照重点监管危险化学品的要求做好相关工作。</w:t>
      </w:r>
    </w:p>
    <w:p w14:paraId="6AF930F2">
      <w:pPr>
        <w:pStyle w:val="5"/>
        <w:snapToGrid/>
        <w:rPr>
          <w:rFonts w:hint="default" w:ascii="Times New Roman" w:hAnsi="Times New Roman" w:eastAsia="黑体" w:cs="Times New Roman"/>
          <w:b w:val="0"/>
          <w:bCs w:val="0"/>
          <w:caps w:val="0"/>
          <w:smallCaps w:val="0"/>
          <w:spacing w:val="0"/>
          <w:w w:val="100"/>
        </w:rPr>
      </w:pPr>
      <w:bookmarkStart w:id="255" w:name="_Toc26980"/>
      <w:r>
        <w:rPr>
          <w:rFonts w:hint="default" w:ascii="Times New Roman" w:hAnsi="Times New Roman" w:eastAsia="黑体" w:cs="Times New Roman"/>
          <w:b w:val="0"/>
          <w:bCs w:val="0"/>
          <w:caps w:val="0"/>
          <w:smallCaps w:val="0"/>
          <w:spacing w:val="0"/>
          <w:w w:val="100"/>
        </w:rPr>
        <w:t>3.11淘汰落后的工艺设备辨识</w:t>
      </w:r>
      <w:bookmarkEnd w:id="255"/>
    </w:p>
    <w:p w14:paraId="74D7A188">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经现场勘查，本项目未涉及淘汰落后工艺设备。</w:t>
      </w:r>
    </w:p>
    <w:p w14:paraId="0F5CD4B9">
      <w:pPr>
        <w:pStyle w:val="4"/>
        <w:snapToGrid/>
        <w:rPr>
          <w:rFonts w:hint="default" w:ascii="Times New Roman" w:hAnsi="Times New Roman" w:eastAsia="黑体" w:cs="Times New Roman"/>
          <w:caps w:val="0"/>
          <w:smallCaps w:val="0"/>
          <w:spacing w:val="0"/>
          <w:w w:val="100"/>
        </w:rPr>
      </w:pPr>
      <w:r>
        <w:rPr>
          <w:rFonts w:hint="default" w:ascii="Times New Roman" w:hAnsi="Times New Roman" w:eastAsia="黑体" w:cs="Times New Roman"/>
          <w:caps w:val="0"/>
          <w:smallCaps w:val="0"/>
          <w:spacing w:val="0"/>
          <w:w w:val="100"/>
        </w:rPr>
        <w:br w:type="page"/>
      </w:r>
      <w:bookmarkStart w:id="256" w:name="_Toc32760"/>
      <w:r>
        <w:rPr>
          <w:rFonts w:hint="default" w:ascii="Times New Roman" w:hAnsi="Times New Roman" w:eastAsia="黑体" w:cs="Times New Roman"/>
          <w:caps w:val="0"/>
          <w:smallCaps w:val="0"/>
          <w:spacing w:val="0"/>
          <w:w w:val="100"/>
        </w:rPr>
        <w:t>第四章  安全评价单元的划分、评价方法的选用</w:t>
      </w:r>
      <w:bookmarkEnd w:id="256"/>
    </w:p>
    <w:bookmarkEnd w:id="248"/>
    <w:bookmarkEnd w:id="249"/>
    <w:p w14:paraId="7759697D">
      <w:pPr>
        <w:pStyle w:val="5"/>
        <w:snapToGrid/>
        <w:rPr>
          <w:rFonts w:hint="default" w:ascii="Times New Roman" w:hAnsi="Times New Roman" w:eastAsia="黑体" w:cs="Times New Roman"/>
          <w:b w:val="0"/>
          <w:bCs w:val="0"/>
          <w:caps w:val="0"/>
          <w:smallCaps w:val="0"/>
          <w:spacing w:val="0"/>
          <w:w w:val="100"/>
        </w:rPr>
      </w:pPr>
      <w:bookmarkStart w:id="257" w:name="_Toc45937326"/>
      <w:bookmarkStart w:id="258" w:name="_Toc45603043"/>
      <w:bookmarkStart w:id="259" w:name="_Toc92627504"/>
      <w:bookmarkStart w:id="260" w:name="_Toc46117809"/>
      <w:bookmarkStart w:id="261" w:name="_Toc45360524"/>
      <w:bookmarkStart w:id="262" w:name="_Toc45359240"/>
      <w:bookmarkStart w:id="263" w:name="_Toc45697996"/>
      <w:bookmarkStart w:id="264" w:name="_Toc120007806"/>
      <w:bookmarkStart w:id="265" w:name="_Toc46737751"/>
      <w:bookmarkStart w:id="266" w:name="_Toc45427871"/>
      <w:bookmarkStart w:id="267" w:name="_Toc45698172"/>
      <w:bookmarkStart w:id="268" w:name="_Toc45427498"/>
      <w:bookmarkStart w:id="269" w:name="_Toc45698222"/>
      <w:bookmarkStart w:id="270" w:name="_Toc151879700"/>
      <w:bookmarkStart w:id="271" w:name="_Toc45610428"/>
      <w:bookmarkStart w:id="272" w:name="_Toc45698279"/>
      <w:bookmarkStart w:id="273" w:name="_Toc25300"/>
      <w:bookmarkStart w:id="274" w:name="_Toc215463264"/>
      <w:bookmarkStart w:id="275" w:name="_Toc181439081"/>
      <w:r>
        <w:rPr>
          <w:rFonts w:hint="default" w:ascii="Times New Roman" w:hAnsi="Times New Roman" w:eastAsia="黑体" w:cs="Times New Roman"/>
          <w:b w:val="0"/>
          <w:bCs w:val="0"/>
          <w:caps w:val="0"/>
          <w:smallCaps w:val="0"/>
          <w:spacing w:val="0"/>
          <w:w w:val="100"/>
        </w:rPr>
        <w:t>4.1评价</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Pr>
          <w:rFonts w:hint="default" w:ascii="Times New Roman" w:hAnsi="Times New Roman" w:eastAsia="黑体" w:cs="Times New Roman"/>
          <w:b w:val="0"/>
          <w:bCs w:val="0"/>
          <w:caps w:val="0"/>
          <w:smallCaps w:val="0"/>
          <w:spacing w:val="0"/>
          <w:w w:val="100"/>
        </w:rPr>
        <w:t>单元划分</w:t>
      </w:r>
      <w:bookmarkEnd w:id="273"/>
      <w:bookmarkEnd w:id="274"/>
      <w:bookmarkEnd w:id="275"/>
    </w:p>
    <w:p w14:paraId="3C30C7A9">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76" w:name="_Toc215326455"/>
      <w:bookmarkStart w:id="277" w:name="_Toc214817282"/>
      <w:bookmarkStart w:id="278" w:name="_Toc20523"/>
      <w:bookmarkStart w:id="279" w:name="_Toc215463265"/>
      <w:r>
        <w:rPr>
          <w:rFonts w:hint="default" w:ascii="Times New Roman" w:hAnsi="Times New Roman" w:eastAsia="黑体" w:cs="Times New Roman"/>
          <w:b w:val="0"/>
          <w:bCs w:val="0"/>
          <w:caps w:val="0"/>
          <w:smallCaps w:val="0"/>
          <w:spacing w:val="0"/>
          <w:w w:val="100"/>
        </w:rPr>
        <w:t>4.1.1评价单元划分原则</w:t>
      </w:r>
      <w:bookmarkEnd w:id="276"/>
      <w:bookmarkEnd w:id="277"/>
      <w:bookmarkEnd w:id="278"/>
      <w:bookmarkEnd w:id="279"/>
    </w:p>
    <w:p w14:paraId="366883EC">
      <w:pPr>
        <w:pStyle w:val="19"/>
        <w:spacing w:after="0" w:line="360" w:lineRule="auto"/>
        <w:ind w:left="0" w:leftChars="0" w:firstLine="560" w:firstLineChars="200"/>
        <w:rPr>
          <w:rFonts w:hint="default" w:ascii="Times New Roman" w:hAnsi="Times New Roman" w:cs="Times New Roman"/>
          <w:caps w:val="0"/>
          <w:smallCaps w:val="0"/>
          <w:spacing w:val="0"/>
          <w:w w:val="100"/>
          <w:sz w:val="28"/>
          <w:szCs w:val="28"/>
        </w:rPr>
      </w:pPr>
      <w:r>
        <w:rPr>
          <w:rFonts w:hint="default" w:ascii="Times New Roman" w:hAnsi="Times New Roman" w:cs="Times New Roman"/>
          <w:caps w:val="0"/>
          <w:smallCaps w:val="0"/>
          <w:spacing w:val="0"/>
          <w:w w:val="100"/>
          <w:sz w:val="28"/>
          <w:szCs w:val="28"/>
        </w:rPr>
        <w:t>依据《安全评价通则》（AQ8001-2007）“评价单元划分应科学、合理、便于实施评价、相对独立具有明显的特征界限”。为了使评价工作顺利进行，并有利于提高评价工作的准确性，评价单元的划分，一般将生产工艺、工艺装置、物料的特点和特征与危险有害因素的类别、分布有机结合进行划分，还可以按评价的需要将一个评价单元再划分为若干子评价单元或更细致的单元。</w:t>
      </w:r>
    </w:p>
    <w:p w14:paraId="6299D34B">
      <w:pPr>
        <w:snapToGrid/>
        <w:ind w:firstLine="60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评价单元的划分应</w:t>
      </w:r>
      <w:r>
        <w:rPr>
          <w:rFonts w:hint="default" w:ascii="Times New Roman" w:hAnsi="Times New Roman" w:cs="Times New Roman"/>
          <w:caps w:val="0"/>
          <w:smallCaps w:val="0"/>
          <w:snapToGrid w:val="0"/>
          <w:spacing w:val="0"/>
          <w:w w:val="100"/>
          <w:kern w:val="0"/>
        </w:rPr>
        <w:t>根据评价对象的实际情况和选择的评价方法，</w:t>
      </w:r>
      <w:r>
        <w:rPr>
          <w:rFonts w:hint="default" w:ascii="Times New Roman" w:hAnsi="Times New Roman" w:cs="Times New Roman"/>
          <w:caps w:val="0"/>
          <w:smallCaps w:val="0"/>
          <w:spacing w:val="0"/>
          <w:w w:val="100"/>
          <w:kern w:val="0"/>
        </w:rPr>
        <w:t>按照以下原则划分安全评价单元：</w:t>
      </w:r>
    </w:p>
    <w:p w14:paraId="424BC6ED">
      <w:pPr>
        <w:snapToGrid/>
        <w:ind w:firstLine="560" w:firstLineChars="20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1.以危险、有害因素的类别划分；</w:t>
      </w:r>
    </w:p>
    <w:p w14:paraId="701B5467">
      <w:pPr>
        <w:snapToGrid/>
        <w:ind w:firstLine="560" w:firstLineChars="20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2.以装置、设施和工艺流程的特征划分；</w:t>
      </w:r>
    </w:p>
    <w:p w14:paraId="6381D93E">
      <w:pPr>
        <w:snapToGrid/>
        <w:ind w:firstLine="560" w:firstLineChars="200"/>
        <w:rPr>
          <w:rFonts w:hint="default" w:ascii="Times New Roman" w:hAnsi="Times New Roman" w:cs="Times New Roman"/>
          <w:caps w:val="0"/>
          <w:smallCaps w:val="0"/>
          <w:spacing w:val="0"/>
          <w:w w:val="100"/>
          <w:kern w:val="0"/>
        </w:rPr>
      </w:pPr>
      <w:r>
        <w:rPr>
          <w:rFonts w:hint="default" w:ascii="Times New Roman" w:hAnsi="Times New Roman" w:cs="Times New Roman"/>
          <w:caps w:val="0"/>
          <w:smallCaps w:val="0"/>
          <w:spacing w:val="0"/>
          <w:w w:val="100"/>
          <w:kern w:val="0"/>
        </w:rPr>
        <w:t>3.依据评价方法的有关具体规定划分。</w:t>
      </w:r>
    </w:p>
    <w:p w14:paraId="07781A09">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80" w:name="_Toc26961"/>
      <w:bookmarkStart w:id="281" w:name="_Toc214817283"/>
      <w:bookmarkStart w:id="282" w:name="_Toc215326456"/>
      <w:bookmarkStart w:id="283" w:name="_Toc215463266"/>
      <w:r>
        <w:rPr>
          <w:rFonts w:hint="default" w:ascii="Times New Roman" w:hAnsi="Times New Roman" w:eastAsia="黑体" w:cs="Times New Roman"/>
          <w:b w:val="0"/>
          <w:bCs w:val="0"/>
          <w:caps w:val="0"/>
          <w:smallCaps w:val="0"/>
          <w:spacing w:val="0"/>
          <w:w w:val="100"/>
        </w:rPr>
        <w:t>4.1.2评价单元划分方法</w:t>
      </w:r>
      <w:bookmarkEnd w:id="280"/>
      <w:bookmarkEnd w:id="281"/>
      <w:bookmarkEnd w:id="282"/>
      <w:bookmarkEnd w:id="283"/>
    </w:p>
    <w:p w14:paraId="258B7E13">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常用的评价单元划分方法有：</w:t>
      </w:r>
    </w:p>
    <w:p w14:paraId="73705838">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1.以危险、有害因素的类别为主划分评价单元。</w:t>
      </w:r>
    </w:p>
    <w:p w14:paraId="37F55AD3">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1）对工艺方案、总体布置及自然条件、环境对系统影响等综合方面的危险、有害因素的分析和评价，可将整个系统作为一个评价单元；</w:t>
      </w:r>
    </w:p>
    <w:p w14:paraId="5AAA1B81">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2）将具有共性危险因素、有害因素的场所和装置划为一个单元。</w:t>
      </w:r>
    </w:p>
    <w:p w14:paraId="4AEE0F4F">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2.以装置和物质特征划分评价单元。</w:t>
      </w:r>
    </w:p>
    <w:p w14:paraId="29CE35AC">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1）按装置工艺功能划分；</w:t>
      </w:r>
    </w:p>
    <w:p w14:paraId="66EDD781">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2）按布置的相对独立性划分；</w:t>
      </w:r>
    </w:p>
    <w:p w14:paraId="4D716FC4">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3）按工艺条件划分评价单元；</w:t>
      </w:r>
    </w:p>
    <w:p w14:paraId="13D98E5E">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4）按贮存、处理危险物品的潜在化学能、毒性和危险物品的数量划分评价单元；</w:t>
      </w:r>
    </w:p>
    <w:p w14:paraId="1C376FA9">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5）根据以往事故资料，将发生事故能导致停产、波及范围大、造成巨大损失和伤害的关键设备作为一个单元；</w:t>
      </w:r>
    </w:p>
    <w:p w14:paraId="15C37320">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6）将危险性大且资金密度大的区域作为一个评价单元；</w:t>
      </w:r>
    </w:p>
    <w:p w14:paraId="0624461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7）将危险性特别大的区域、装置作为一个评价单元；</w:t>
      </w:r>
    </w:p>
    <w:p w14:paraId="38A2251E">
      <w:pPr>
        <w:snapToGrid/>
        <w:ind w:firstLine="560" w:firstLineChars="200"/>
        <w:rPr>
          <w:rFonts w:hint="default" w:ascii="Times New Roman" w:hAnsi="Times New Roman" w:cs="Times New Roman"/>
          <w:caps w:val="0"/>
          <w:smallCaps w:val="0"/>
          <w:snapToGrid w:val="0"/>
          <w:spacing w:val="0"/>
          <w:w w:val="100"/>
          <w:kern w:val="0"/>
          <w:szCs w:val="28"/>
        </w:rPr>
      </w:pPr>
      <w:r>
        <w:rPr>
          <w:rFonts w:hint="default" w:ascii="Times New Roman" w:hAnsi="Times New Roman" w:cs="Times New Roman"/>
          <w:caps w:val="0"/>
          <w:smallCaps w:val="0"/>
          <w:snapToGrid w:val="0"/>
          <w:spacing w:val="0"/>
          <w:w w:val="100"/>
          <w:kern w:val="0"/>
          <w:szCs w:val="28"/>
        </w:rPr>
        <w:t>8）将具有类似危险性潜能的单元合并为一个大单元。</w:t>
      </w:r>
    </w:p>
    <w:bookmarkEnd w:id="250"/>
    <w:bookmarkEnd w:id="251"/>
    <w:bookmarkEnd w:id="252"/>
    <w:bookmarkEnd w:id="253"/>
    <w:p w14:paraId="3F76C94A">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284" w:name="_Toc214817284"/>
      <w:bookmarkStart w:id="285" w:name="_Toc20875"/>
      <w:bookmarkStart w:id="286" w:name="_Toc215463267"/>
      <w:bookmarkStart w:id="287" w:name="_Toc215326457"/>
      <w:bookmarkStart w:id="288" w:name="_Toc187699914"/>
      <w:bookmarkStart w:id="289" w:name="_Toc151881416"/>
      <w:bookmarkStart w:id="290" w:name="_Toc156661663"/>
      <w:bookmarkStart w:id="291" w:name="_Toc108361685"/>
      <w:bookmarkStart w:id="292" w:name="_Toc109564661"/>
      <w:bookmarkStart w:id="293" w:name="_Toc109565043"/>
      <w:bookmarkStart w:id="294" w:name="_Toc135137075"/>
      <w:bookmarkStart w:id="295" w:name="_Toc108362016"/>
      <w:bookmarkStart w:id="296" w:name="_Toc134875938"/>
      <w:bookmarkStart w:id="297" w:name="_Toc108697482"/>
      <w:bookmarkStart w:id="298" w:name="_Toc108362060"/>
      <w:bookmarkStart w:id="299" w:name="_Toc156661662"/>
      <w:bookmarkStart w:id="300" w:name="_Toc109564298"/>
      <w:bookmarkStart w:id="301" w:name="_Toc151881413"/>
      <w:bookmarkStart w:id="302" w:name="_Toc134711042"/>
      <w:bookmarkStart w:id="303" w:name="_Toc109559550"/>
      <w:r>
        <w:rPr>
          <w:rFonts w:hint="default" w:ascii="Times New Roman" w:hAnsi="Times New Roman" w:eastAsia="黑体" w:cs="Times New Roman"/>
          <w:b w:val="0"/>
          <w:bCs w:val="0"/>
          <w:caps w:val="0"/>
          <w:smallCaps w:val="0"/>
          <w:spacing w:val="0"/>
          <w:w w:val="100"/>
        </w:rPr>
        <w:t>4.1.3本项目评价单元的划分</w:t>
      </w:r>
      <w:bookmarkEnd w:id="284"/>
      <w:bookmarkEnd w:id="285"/>
      <w:bookmarkEnd w:id="286"/>
      <w:bookmarkEnd w:id="287"/>
    </w:p>
    <w:p w14:paraId="4B14EA1C">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根据本次安全评价的特点，本报告对该项目共分如下</w:t>
      </w:r>
      <w:r>
        <w:rPr>
          <w:rFonts w:hint="default" w:ascii="Times New Roman" w:hAnsi="Times New Roman" w:cs="Times New Roman"/>
          <w:caps w:val="0"/>
          <w:smallCaps w:val="0"/>
          <w:spacing w:val="0"/>
          <w:w w:val="100"/>
          <w:lang w:val="en-US" w:eastAsia="zh-CN"/>
        </w:rPr>
        <w:t>7</w:t>
      </w:r>
      <w:r>
        <w:rPr>
          <w:rFonts w:hint="default" w:ascii="Times New Roman" w:hAnsi="Times New Roman" w:cs="Times New Roman"/>
          <w:caps w:val="0"/>
          <w:smallCaps w:val="0"/>
          <w:spacing w:val="0"/>
          <w:w w:val="100"/>
        </w:rPr>
        <w:t>个单元进行评价：</w:t>
      </w:r>
    </w:p>
    <w:p w14:paraId="47E59C0E">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1.安全设施“三同时”程序合法性评价单元</w:t>
      </w:r>
    </w:p>
    <w:p w14:paraId="7C65FFEC">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2.站址安全评价单元</w:t>
      </w:r>
      <w:r>
        <w:rPr>
          <w:rFonts w:hint="default" w:ascii="Times New Roman" w:hAnsi="Times New Roman" w:cs="Times New Roman"/>
          <w:caps w:val="0"/>
          <w:smallCaps w:val="0"/>
          <w:spacing w:val="0"/>
          <w:w w:val="100"/>
        </w:rPr>
        <w:t>；</w:t>
      </w:r>
    </w:p>
    <w:p w14:paraId="78804D49">
      <w:pPr>
        <w:snapToGrid/>
        <w:ind w:firstLine="560" w:firstLineChars="200"/>
        <w:rPr>
          <w:rFonts w:hint="default" w:ascii="Times New Roman" w:hAnsi="Times New Roman" w:eastAsia="宋体" w:cs="Times New Roman"/>
          <w:caps w:val="0"/>
          <w:smallCaps w:val="0"/>
          <w:spacing w:val="0"/>
          <w:w w:val="100"/>
          <w:lang w:val="en-US" w:eastAsia="zh-CN"/>
        </w:rPr>
      </w:pPr>
      <w:r>
        <w:rPr>
          <w:rFonts w:hint="default" w:ascii="Times New Roman" w:hAnsi="Times New Roman" w:cs="Times New Roman"/>
          <w:caps w:val="0"/>
          <w:smallCaps w:val="0"/>
          <w:spacing w:val="0"/>
          <w:w w:val="100"/>
          <w:lang w:val="en-US" w:eastAsia="zh-CN"/>
        </w:rPr>
        <w:t>3</w:t>
      </w:r>
      <w:r>
        <w:rPr>
          <w:rFonts w:hint="default" w:ascii="Times New Roman" w:hAnsi="Times New Roman" w:cs="Times New Roman"/>
          <w:caps w:val="0"/>
          <w:smallCaps w:val="0"/>
          <w:spacing w:val="0"/>
          <w:w w:val="100"/>
        </w:rPr>
        <w:t>.</w:t>
      </w:r>
      <w:r>
        <w:rPr>
          <w:rFonts w:hint="default" w:ascii="Times New Roman" w:hAnsi="Times New Roman" w:cs="Times New Roman"/>
          <w:caps w:val="0"/>
          <w:smallCaps w:val="0"/>
          <w:spacing w:val="0"/>
          <w:w w:val="100"/>
          <w:lang w:val="en-US" w:eastAsia="zh-CN"/>
        </w:rPr>
        <w:t>总平面布置评价单元</w:t>
      </w:r>
    </w:p>
    <w:p w14:paraId="7017F31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4.</w:t>
      </w:r>
      <w:r>
        <w:rPr>
          <w:rFonts w:hint="default" w:ascii="Times New Roman" w:hAnsi="Times New Roman" w:cs="Times New Roman"/>
          <w:caps w:val="0"/>
          <w:smallCaps w:val="0"/>
          <w:spacing w:val="0"/>
          <w:w w:val="100"/>
        </w:rPr>
        <w:t>工艺系统及设备设施单元；</w:t>
      </w:r>
    </w:p>
    <w:p w14:paraId="61D500EF">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5</w:t>
      </w:r>
      <w:r>
        <w:rPr>
          <w:rFonts w:hint="default" w:ascii="Times New Roman" w:hAnsi="Times New Roman" w:cs="Times New Roman"/>
          <w:caps w:val="0"/>
          <w:smallCaps w:val="0"/>
          <w:spacing w:val="0"/>
          <w:w w:val="100"/>
        </w:rPr>
        <w:t>.公用工程单元；</w:t>
      </w:r>
    </w:p>
    <w:p w14:paraId="479A7E6D">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6</w:t>
      </w:r>
      <w:r>
        <w:rPr>
          <w:rFonts w:hint="default" w:ascii="Times New Roman" w:hAnsi="Times New Roman" w:cs="Times New Roman"/>
          <w:caps w:val="0"/>
          <w:smallCaps w:val="0"/>
          <w:spacing w:val="0"/>
          <w:w w:val="100"/>
        </w:rPr>
        <w:t>.安全管理单元；</w:t>
      </w:r>
    </w:p>
    <w:p w14:paraId="0CF109AC">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7</w:t>
      </w:r>
      <w:r>
        <w:rPr>
          <w:rFonts w:hint="default" w:ascii="Times New Roman" w:hAnsi="Times New Roman" w:cs="Times New Roman"/>
          <w:caps w:val="0"/>
          <w:smallCaps w:val="0"/>
          <w:spacing w:val="0"/>
          <w:w w:val="100"/>
        </w:rPr>
        <w:t>.重大生产安全事故隐患判定单元。</w:t>
      </w:r>
    </w:p>
    <w:p w14:paraId="160CB872">
      <w:pPr>
        <w:pStyle w:val="5"/>
        <w:snapToGrid/>
        <w:rPr>
          <w:rFonts w:hint="default" w:ascii="Times New Roman" w:hAnsi="Times New Roman" w:eastAsia="黑体" w:cs="Times New Roman"/>
          <w:b w:val="0"/>
          <w:bCs w:val="0"/>
          <w:caps w:val="0"/>
          <w:smallCaps w:val="0"/>
          <w:spacing w:val="0"/>
          <w:w w:val="100"/>
        </w:rPr>
      </w:pPr>
      <w:bookmarkStart w:id="304" w:name="_Toc14409"/>
      <w:r>
        <w:rPr>
          <w:rFonts w:hint="default" w:ascii="Times New Roman" w:hAnsi="Times New Roman" w:eastAsia="黑体" w:cs="Times New Roman"/>
          <w:b w:val="0"/>
          <w:bCs w:val="0"/>
          <w:caps w:val="0"/>
          <w:smallCaps w:val="0"/>
          <w:spacing w:val="0"/>
          <w:w w:val="100"/>
        </w:rPr>
        <w:t>4.2评价方法选择</w:t>
      </w:r>
      <w:bookmarkEnd w:id="304"/>
    </w:p>
    <w:p w14:paraId="010CA04B">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根据评价方法选取应遵循充分性、适应性、系统性、针对性和合理性的原则，结合加油站的特点，本报告</w:t>
      </w:r>
      <w:r>
        <w:rPr>
          <w:rFonts w:hint="default" w:ascii="Times New Roman" w:hAnsi="Times New Roman" w:cs="Times New Roman"/>
          <w:caps w:val="0"/>
          <w:smallCaps w:val="0"/>
          <w:spacing w:val="0"/>
          <w:w w:val="100"/>
          <w:lang w:val="en-US" w:eastAsia="zh-CN"/>
        </w:rPr>
        <w:t>主要</w:t>
      </w:r>
      <w:r>
        <w:rPr>
          <w:rFonts w:hint="default" w:ascii="Times New Roman" w:hAnsi="Times New Roman" w:cs="Times New Roman"/>
          <w:caps w:val="0"/>
          <w:smallCaps w:val="0"/>
          <w:spacing w:val="0"/>
          <w:w w:val="100"/>
        </w:rPr>
        <w:t>选用安全检查表（SCA）</w:t>
      </w:r>
      <w:r>
        <w:rPr>
          <w:rFonts w:hint="default" w:ascii="Times New Roman" w:hAnsi="Times New Roman" w:eastAsia="宋体" w:cs="Times New Roman"/>
          <w:caps w:val="0"/>
          <w:smallCaps w:val="0"/>
          <w:spacing w:val="0"/>
          <w:w w:val="100"/>
          <w:lang w:val="en-US" w:eastAsia="zh-CN"/>
        </w:rPr>
        <w:t>评价</w:t>
      </w:r>
      <w:r>
        <w:rPr>
          <w:rFonts w:hint="default" w:ascii="Times New Roman" w:hAnsi="Times New Roman" w:cs="Times New Roman"/>
          <w:caps w:val="0"/>
          <w:smallCaps w:val="0"/>
          <w:spacing w:val="0"/>
          <w:w w:val="100"/>
        </w:rPr>
        <w:t>方法对该工程项目危险、有害因素及危险、有害程度进行分析评价。</w:t>
      </w:r>
    </w:p>
    <w:p w14:paraId="5C6E1D88">
      <w:pPr>
        <w:pStyle w:val="14"/>
        <w:snapToGrid/>
        <w:ind w:left="0" w:leftChars="0"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安全评价方法是对系统的危险因素、有害因素及其危险、危害程度进行分析、评价的方法。鉴于被评价单位的实际情况和从评价效果出发，在评价时，利用安全检查表对各评价单元对照检查，并进行定性分析评价；利用G·M莱克霍夫计算方法对油罐区</w:t>
      </w:r>
      <w:r>
        <w:rPr>
          <w:rFonts w:hint="default" w:ascii="Times New Roman" w:hAnsi="Times New Roman" w:cs="Times New Roman"/>
          <w:bCs/>
          <w:caps w:val="0"/>
          <w:smallCaps w:val="0"/>
          <w:spacing w:val="0"/>
          <w:w w:val="100"/>
          <w:kern w:val="0"/>
          <w:szCs w:val="28"/>
          <w:lang w:val="zh-CN"/>
        </w:rPr>
        <w:t>爆炸事故</w:t>
      </w:r>
      <w:r>
        <w:rPr>
          <w:rFonts w:hint="default" w:ascii="Times New Roman" w:hAnsi="Times New Roman" w:cs="Times New Roman"/>
          <w:caps w:val="0"/>
          <w:smallCaps w:val="0"/>
          <w:spacing w:val="0"/>
          <w:w w:val="100"/>
        </w:rPr>
        <w:t>进行定量分析评价。</w:t>
      </w:r>
    </w:p>
    <w:bookmarkEnd w:id="288"/>
    <w:bookmarkEnd w:id="289"/>
    <w:bookmarkEnd w:id="290"/>
    <w:p w14:paraId="076FE4C5">
      <w:pPr>
        <w:pStyle w:val="5"/>
        <w:snapToGrid/>
        <w:rPr>
          <w:rFonts w:hint="default" w:ascii="Times New Roman" w:hAnsi="Times New Roman" w:eastAsia="黑体" w:cs="Times New Roman"/>
          <w:b w:val="0"/>
          <w:bCs w:val="0"/>
          <w:caps w:val="0"/>
          <w:smallCaps w:val="0"/>
          <w:spacing w:val="0"/>
          <w:w w:val="100"/>
        </w:rPr>
      </w:pPr>
      <w:bookmarkStart w:id="305" w:name="_Toc214817285"/>
      <w:bookmarkStart w:id="306" w:name="_Toc215326458"/>
      <w:bookmarkStart w:id="307" w:name="_Toc13947"/>
      <w:bookmarkStart w:id="308" w:name="_Toc215463268"/>
      <w:bookmarkStart w:id="309" w:name="_Toc214183472"/>
      <w:bookmarkStart w:id="310" w:name="_Toc195156256"/>
      <w:r>
        <w:rPr>
          <w:rFonts w:hint="default" w:ascii="Times New Roman" w:hAnsi="Times New Roman" w:eastAsia="黑体" w:cs="Times New Roman"/>
          <w:b w:val="0"/>
          <w:bCs w:val="0"/>
          <w:caps w:val="0"/>
          <w:smallCaps w:val="0"/>
          <w:spacing w:val="0"/>
          <w:w w:val="100"/>
        </w:rPr>
        <w:t>4.3评价方法选择</w:t>
      </w:r>
      <w:bookmarkEnd w:id="305"/>
      <w:r>
        <w:rPr>
          <w:rFonts w:hint="default" w:ascii="Times New Roman" w:hAnsi="Times New Roman" w:eastAsia="黑体" w:cs="Times New Roman"/>
          <w:b w:val="0"/>
          <w:bCs w:val="0"/>
          <w:caps w:val="0"/>
          <w:smallCaps w:val="0"/>
          <w:spacing w:val="0"/>
          <w:w w:val="100"/>
        </w:rPr>
        <w:t>理由</w:t>
      </w:r>
      <w:bookmarkEnd w:id="306"/>
      <w:bookmarkEnd w:id="307"/>
      <w:bookmarkEnd w:id="308"/>
    </w:p>
    <w:p w14:paraId="6AA809E5">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实践表明，采用安全系统工程的方法有许多优越性，它可以使安全工作从过去凭直观、经验的传统方法，发展成为能预测事故的定性及定量方法，其优点有：</w:t>
      </w:r>
    </w:p>
    <w:p w14:paraId="4B907619">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通过分析可以了解系统的薄弱环节所在及危险性可能导致事故的条件。从定量分析可以预测事故发生的概率，从而可以采取相应的措施，控制事故的发生。不仅如此，通过分析还能够找到发生事故的真正原因，并查到未想到的原因。</w:t>
      </w:r>
    </w:p>
    <w:p w14:paraId="000F8A1B">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（2）通过评价和优化技术，可以找出最适当的方法使各分系统之间达到最佳配合，用最少的投资达到最佳的安全效果，大幅度减少伤亡事故。</w:t>
      </w:r>
    </w:p>
    <w:p w14:paraId="6F31EC4C">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3）安全系统工程的方法，不仅适用于工程，而且适用于管理，实际上现已形成安全系统工程和安全系统管理两个分支。其应用范围可归纳为五个方面，即发现事故隐患；预测由故障引起的危险；设计和调整安全措施方案；实现最优化的安全措施；不断地采取改善措施。</w:t>
      </w:r>
    </w:p>
    <w:p w14:paraId="69430C2E">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（4）可以促进各项标准的制订和有关可靠性数据的收集。安全系统工程既然需要评价，就需要各种标准和数据，如允许安全值、故障率数据以及安全设计标准、人机工程标准。</w:t>
      </w:r>
    </w:p>
    <w:p w14:paraId="4C372FD4">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（5）可以迅速提高劳动保护安全工作人员的水平。真正搞好安全系统工程必须熟悉生产，学会各种分析和评价方法，这对提高安全工作人员的素质是有很大好处的。</w:t>
      </w:r>
    </w:p>
    <w:p w14:paraId="7C32C02A">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目前安全评价方法已开发出数十种之多，但根据每种方法的原理、目标应用条件和对象，结合评价项目特点和国情考虑，完全适合每个项目评价需要的并不多。从劳动安全卫生角度上看，该项目具有如下特点：</w:t>
      </w:r>
    </w:p>
    <w:p w14:paraId="4202F788">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（1）工艺简单，安全意义重大，安全防范措施复杂。</w:t>
      </w:r>
    </w:p>
    <w:p w14:paraId="06DEE205">
      <w:pPr>
        <w:snapToGrid/>
        <w:ind w:firstLine="510"/>
        <w:textAlignment w:val="center"/>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（2）安全管理直接关系到加油站的安全。</w:t>
      </w:r>
    </w:p>
    <w:p w14:paraId="2F91837A">
      <w:pPr>
        <w:pStyle w:val="55"/>
        <w:snapToGrid/>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rPr>
        <w:t>本报告</w:t>
      </w:r>
      <w:r>
        <w:rPr>
          <w:rFonts w:hint="default" w:ascii="Times New Roman" w:hAnsi="Times New Roman" w:cs="Times New Roman"/>
          <w:caps w:val="0"/>
          <w:smallCaps w:val="0"/>
          <w:spacing w:val="0"/>
          <w:w w:val="100"/>
          <w:lang w:val="en-US" w:eastAsia="zh-CN"/>
        </w:rPr>
        <w:t>主要</w:t>
      </w:r>
      <w:r>
        <w:rPr>
          <w:rFonts w:hint="default" w:ascii="Times New Roman" w:hAnsi="Times New Roman" w:cs="Times New Roman"/>
          <w:caps w:val="0"/>
          <w:smallCaps w:val="0"/>
          <w:spacing w:val="0"/>
          <w:w w:val="100"/>
        </w:rPr>
        <w:t>选用安全检查表（SCA）</w:t>
      </w:r>
      <w:r>
        <w:rPr>
          <w:rFonts w:hint="default" w:ascii="Times New Roman" w:hAnsi="Times New Roman" w:eastAsia="宋体" w:cs="Times New Roman"/>
          <w:caps w:val="0"/>
          <w:smallCaps w:val="0"/>
          <w:spacing w:val="0"/>
          <w:w w:val="100"/>
          <w:lang w:val="en-US" w:eastAsia="zh-CN"/>
        </w:rPr>
        <w:t>评价</w:t>
      </w:r>
      <w:r>
        <w:rPr>
          <w:rFonts w:hint="default" w:ascii="Times New Roman" w:hAnsi="Times New Roman" w:cs="Times New Roman"/>
          <w:caps w:val="0"/>
          <w:smallCaps w:val="0"/>
          <w:spacing w:val="0"/>
          <w:w w:val="100"/>
        </w:rPr>
        <w:t>方法对该工程项目危险、有害因素及危险、有害程度进行分析评价。</w:t>
      </w:r>
      <w:r>
        <w:rPr>
          <w:rFonts w:hint="default" w:ascii="Times New Roman" w:hAnsi="Times New Roman" w:cs="Times New Roman"/>
          <w:caps w:val="0"/>
          <w:smallCaps w:val="0"/>
          <w:spacing w:val="0"/>
          <w:w w:val="100"/>
          <w:szCs w:val="28"/>
        </w:rPr>
        <w:t>。</w:t>
      </w:r>
    </w:p>
    <w:bookmarkEnd w:id="309"/>
    <w:bookmarkEnd w:id="310"/>
    <w:p w14:paraId="7C6DB8DB">
      <w:pPr>
        <w:pStyle w:val="5"/>
        <w:snapToGrid/>
        <w:rPr>
          <w:rFonts w:hint="default" w:ascii="Times New Roman" w:hAnsi="Times New Roman" w:eastAsia="黑体" w:cs="Times New Roman"/>
          <w:b w:val="0"/>
          <w:bCs w:val="0"/>
          <w:caps w:val="0"/>
          <w:smallCaps w:val="0"/>
          <w:spacing w:val="0"/>
          <w:w w:val="100"/>
        </w:rPr>
      </w:pPr>
      <w:bookmarkStart w:id="311" w:name="_Toc214183476"/>
      <w:bookmarkStart w:id="312" w:name="_Toc12950"/>
      <w:r>
        <w:rPr>
          <w:rFonts w:hint="default" w:ascii="Times New Roman" w:hAnsi="Times New Roman" w:eastAsia="黑体" w:cs="Times New Roman"/>
          <w:b w:val="0"/>
          <w:bCs w:val="0"/>
          <w:caps w:val="0"/>
          <w:smallCaps w:val="0"/>
          <w:spacing w:val="0"/>
          <w:w w:val="100"/>
        </w:rPr>
        <w:t>4.4各评价单元采用评价方法</w:t>
      </w:r>
      <w:bookmarkEnd w:id="311"/>
      <w:bookmarkEnd w:id="312"/>
    </w:p>
    <w:p w14:paraId="636840C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 w:val="28"/>
          <w:szCs w:val="28"/>
        </w:rPr>
        <w:t>本评价报告根据加油站实地现场调查了解的情况，结合西双版纳中闽商贸有限公司勐海勐遮加油站原址改扩建项目的特点，</w:t>
      </w:r>
      <w:r>
        <w:rPr>
          <w:rFonts w:hint="default" w:ascii="Times New Roman" w:hAnsi="Times New Roman" w:cs="Times New Roman"/>
          <w:caps w:val="0"/>
          <w:smallCaps w:val="0"/>
          <w:spacing w:val="0"/>
          <w:w w:val="100"/>
          <w:sz w:val="28"/>
          <w:szCs w:val="28"/>
          <w:lang w:val="en-US" w:eastAsia="zh-CN"/>
        </w:rPr>
        <w:t>主要</w:t>
      </w:r>
      <w:r>
        <w:rPr>
          <w:rFonts w:hint="default" w:ascii="Times New Roman" w:hAnsi="Times New Roman" w:cs="Times New Roman"/>
          <w:caps w:val="0"/>
          <w:smallCaps w:val="0"/>
          <w:spacing w:val="0"/>
          <w:w w:val="100"/>
          <w:sz w:val="28"/>
          <w:szCs w:val="28"/>
        </w:rPr>
        <w:t>选用安全检查</w:t>
      </w:r>
      <w:r>
        <w:rPr>
          <w:rFonts w:hint="default" w:ascii="Times New Roman" w:hAnsi="Times New Roman" w:cs="Times New Roman"/>
          <w:sz w:val="28"/>
          <w:szCs w:val="28"/>
        </w:rPr>
        <w:t>表</w:t>
      </w:r>
      <w:r>
        <w:rPr>
          <w:rFonts w:hint="eastAsia" w:ascii="Times New Roman" w:hAnsi="Times New Roman" w:cs="Times New Roman"/>
          <w:sz w:val="28"/>
          <w:szCs w:val="28"/>
          <w:lang w:val="en-US" w:eastAsia="zh-CN"/>
        </w:rPr>
        <w:t>法</w:t>
      </w:r>
      <w:r>
        <w:rPr>
          <w:rFonts w:hint="default" w:ascii="Times New Roman" w:hAnsi="Times New Roman" w:cs="Times New Roman"/>
          <w:sz w:val="28"/>
          <w:szCs w:val="28"/>
        </w:rPr>
        <w:t>（</w:t>
      </w:r>
      <w:r>
        <w:rPr>
          <w:rFonts w:hint="default" w:ascii="Times New Roman" w:hAnsi="Times New Roman" w:cs="Times New Roman"/>
          <w:caps w:val="0"/>
          <w:smallCaps w:val="0"/>
          <w:spacing w:val="0"/>
          <w:w w:val="100"/>
          <w:sz w:val="28"/>
          <w:szCs w:val="28"/>
        </w:rPr>
        <w:t>SCA）、G·M莱克霍夫计算方法等安全评价方法对该工程项目危险、有害因素及危险、有害程度进行分析评价。</w:t>
      </w:r>
    </w:p>
    <w:p w14:paraId="318A089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对加油站危险、有害程度分析采用</w:t>
      </w:r>
      <w:r>
        <w:rPr>
          <w:rFonts w:hint="default" w:ascii="Times New Roman" w:hAnsi="Times New Roman" w:cs="Times New Roman"/>
          <w:caps w:val="0"/>
          <w:smallCaps w:val="0"/>
          <w:spacing w:val="0"/>
          <w:w w:val="100"/>
          <w:sz w:val="28"/>
          <w:szCs w:val="28"/>
        </w:rPr>
        <w:t>G·M莱克霍夫计算方法</w:t>
      </w:r>
      <w:r>
        <w:rPr>
          <w:rFonts w:hint="eastAsia" w:ascii="Times New Roman" w:hAnsi="Times New Roman" w:cs="Times New Roman"/>
          <w:caps w:val="0"/>
          <w:smallCaps w:val="0"/>
          <w:spacing w:val="0"/>
          <w:w w:val="100"/>
          <w:sz w:val="28"/>
          <w:szCs w:val="28"/>
          <w:lang w:val="en-US" w:eastAsia="zh-CN"/>
        </w:rPr>
        <w:t>对</w:t>
      </w:r>
      <w:r>
        <w:rPr>
          <w:rFonts w:hint="default" w:ascii="Times New Roman" w:hAnsi="Times New Roman" w:cs="Times New Roman"/>
        </w:rPr>
        <w:t>事故后果</w:t>
      </w:r>
      <w:r>
        <w:rPr>
          <w:rFonts w:hint="eastAsia" w:ascii="Times New Roman" w:hAnsi="Times New Roman" w:cs="Times New Roman"/>
          <w:lang w:val="en-US" w:eastAsia="zh-CN"/>
        </w:rPr>
        <w:t>进行</w:t>
      </w:r>
      <w:r>
        <w:rPr>
          <w:rFonts w:hint="default" w:ascii="Times New Roman" w:hAnsi="Times New Roman" w:cs="Times New Roman"/>
        </w:rPr>
        <w:t>模拟计算，</w:t>
      </w:r>
      <w:r>
        <w:rPr>
          <w:rFonts w:hint="default" w:ascii="Times New Roman" w:hAnsi="Times New Roman" w:cs="Times New Roman"/>
          <w:caps w:val="0"/>
          <w:smallCaps w:val="0"/>
          <w:spacing w:val="0"/>
          <w:w w:val="100"/>
        </w:rPr>
        <w:t>主要是定性、定量确定本项目的危险程度，但没有具体在某一个评价单元中运用。</w:t>
      </w:r>
    </w:p>
    <w:p w14:paraId="1778F4E2">
      <w:pPr>
        <w:pStyle w:val="4"/>
        <w:snapToGrid/>
        <w:rPr>
          <w:rFonts w:hint="default" w:ascii="Times New Roman" w:hAnsi="Times New Roman" w:eastAsia="黑体" w:cs="Times New Roman"/>
          <w:caps w:val="0"/>
          <w:smallCaps w:val="0"/>
          <w:spacing w:val="0"/>
          <w:w w:val="100"/>
        </w:rPr>
      </w:pPr>
      <w:r>
        <w:rPr>
          <w:rFonts w:hint="default" w:ascii="Times New Roman" w:hAnsi="Times New Roman" w:eastAsia="黑体" w:cs="Times New Roman"/>
          <w:caps w:val="0"/>
          <w:smallCaps w:val="0"/>
          <w:spacing w:val="0"/>
          <w:w w:val="100"/>
        </w:rPr>
        <w:br w:type="page"/>
      </w:r>
      <w:bookmarkStart w:id="313" w:name="_Toc28772"/>
      <w:r>
        <w:rPr>
          <w:rFonts w:hint="default" w:ascii="Times New Roman" w:hAnsi="Times New Roman" w:eastAsia="黑体" w:cs="Times New Roman"/>
          <w:caps w:val="0"/>
          <w:smallCaps w:val="0"/>
          <w:spacing w:val="0"/>
          <w:w w:val="100"/>
        </w:rPr>
        <w:t>第五章  定性、定量分析危险、有害程度的结果</w:t>
      </w:r>
      <w:bookmarkEnd w:id="313"/>
    </w:p>
    <w:bookmarkEnd w:id="254"/>
    <w:bookmarkEnd w:id="291"/>
    <w:bookmarkEnd w:id="292"/>
    <w:bookmarkEnd w:id="293"/>
    <w:bookmarkEnd w:id="294"/>
    <w:bookmarkEnd w:id="295"/>
    <w:bookmarkEnd w:id="296"/>
    <w:bookmarkEnd w:id="297"/>
    <w:bookmarkEnd w:id="298"/>
    <w:bookmarkEnd w:id="299"/>
    <w:bookmarkEnd w:id="300"/>
    <w:bookmarkEnd w:id="301"/>
    <w:bookmarkEnd w:id="302"/>
    <w:bookmarkEnd w:id="303"/>
    <w:p w14:paraId="2C638B3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aps w:val="0"/>
          <w:smallCaps w:val="0"/>
          <w:color w:val="000000" w:themeColor="text1"/>
          <w:spacing w:val="0"/>
          <w:w w:val="100"/>
          <w:szCs w:val="28"/>
          <w14:textFill>
            <w14:solidFill>
              <w14:schemeClr w14:val="tx1"/>
            </w14:solidFill>
          </w14:textFill>
        </w:rPr>
      </w:pPr>
      <w:bookmarkStart w:id="314" w:name="_Toc237085166"/>
      <w:r>
        <w:rPr>
          <w:rFonts w:hint="eastAsia" w:ascii="Times New Roman" w:cs="Times New Roman"/>
          <w:caps w:val="0"/>
          <w:smallCaps w:val="0"/>
          <w:color w:val="000000" w:themeColor="text1"/>
          <w:spacing w:val="0"/>
          <w:w w:val="100"/>
          <w:szCs w:val="28"/>
          <w:lang w:val="en-US" w:eastAsia="zh-CN"/>
          <w14:textFill>
            <w14:solidFill>
              <w14:schemeClr w14:val="tx1"/>
            </w14:solidFill>
          </w14:textFill>
        </w:rPr>
        <w:t>XX。</w:t>
      </w:r>
    </w:p>
    <w:bookmarkEnd w:id="314"/>
    <w:p w14:paraId="76292A42">
      <w:pPr>
        <w:pStyle w:val="4"/>
        <w:snapToGrid/>
        <w:rPr>
          <w:rFonts w:hint="default" w:ascii="Times New Roman" w:hAnsi="Times New Roman" w:eastAsia="黑体" w:cs="Times New Roman"/>
          <w:caps w:val="0"/>
          <w:smallCaps w:val="0"/>
          <w:spacing w:val="0"/>
          <w:w w:val="100"/>
          <w:lang w:val="en-US" w:eastAsia="zh-CN"/>
        </w:rPr>
      </w:pPr>
      <w:r>
        <w:rPr>
          <w:rFonts w:hint="default" w:ascii="Times New Roman" w:hAnsi="Times New Roman" w:eastAsia="黑体" w:cs="Times New Roman"/>
          <w:caps w:val="0"/>
          <w:smallCaps w:val="0"/>
          <w:color w:val="000000" w:themeColor="text1"/>
          <w:spacing w:val="0"/>
          <w:w w:val="100"/>
          <w14:textFill>
            <w14:solidFill>
              <w14:schemeClr w14:val="tx1"/>
            </w14:solidFill>
          </w14:textFill>
        </w:rPr>
        <w:br w:type="page"/>
      </w:r>
      <w:bookmarkStart w:id="315" w:name="_Toc195176759"/>
      <w:bookmarkStart w:id="316" w:name="_Toc13677"/>
      <w:r>
        <w:rPr>
          <w:rFonts w:hint="default" w:ascii="Times New Roman" w:hAnsi="Times New Roman" w:eastAsia="黑体" w:cs="Times New Roman"/>
          <w:caps w:val="0"/>
          <w:smallCaps w:val="0"/>
          <w:spacing w:val="0"/>
          <w:w w:val="100"/>
        </w:rPr>
        <w:t xml:space="preserve">第六章  </w:t>
      </w:r>
      <w:bookmarkEnd w:id="315"/>
      <w:r>
        <w:rPr>
          <w:rFonts w:hint="default" w:ascii="Times New Roman" w:hAnsi="Times New Roman" w:eastAsia="黑体" w:cs="Times New Roman"/>
          <w:caps w:val="0"/>
          <w:smallCaps w:val="0"/>
          <w:spacing w:val="0"/>
          <w:w w:val="100"/>
          <w:lang w:val="en-US" w:eastAsia="zh-CN"/>
        </w:rPr>
        <w:t>安全条件和安全生产条件的分析结果</w:t>
      </w:r>
      <w:bookmarkEnd w:id="316"/>
    </w:p>
    <w:p w14:paraId="0442F4F1">
      <w:pPr>
        <w:pStyle w:val="5"/>
        <w:snapToGrid/>
        <w:rPr>
          <w:rFonts w:hint="default" w:ascii="Times New Roman" w:hAnsi="Times New Roman" w:eastAsia="黑体" w:cs="Times New Roman"/>
          <w:b w:val="0"/>
          <w:bCs w:val="0"/>
          <w:caps w:val="0"/>
          <w:smallCaps w:val="0"/>
          <w:spacing w:val="0"/>
          <w:w w:val="100"/>
          <w:lang w:val="zh-CN"/>
        </w:rPr>
      </w:pPr>
      <w:bookmarkStart w:id="317" w:name="_Toc16862"/>
      <w:bookmarkStart w:id="318" w:name="_Toc195176758"/>
      <w:bookmarkStart w:id="319" w:name="_Toc188863932"/>
      <w:bookmarkStart w:id="320" w:name="_Toc195176766"/>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.1 安全设施“三同时”程序合法性单元分析结果</w:t>
      </w:r>
      <w:bookmarkEnd w:id="317"/>
    </w:p>
    <w:p w14:paraId="6B78E80A">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根据《中华人民共和国安全生产法》、《建设项目安全设施“三同时”监督管理办法》、《危险化学品建设项目安全监督管理办法》对该加油站的建设程序合法性进行检查，该建设项目严格按照“三同时”进行建设，建设程序符合相关要求。</w:t>
      </w:r>
    </w:p>
    <w:p w14:paraId="781E9048">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建设程序合法性分析过程详见报告附件</w:t>
      </w:r>
      <w:r>
        <w:rPr>
          <w:rFonts w:hint="eastAsia" w:ascii="Times New Roman" w:cs="Times New Roman"/>
          <w:bCs/>
          <w:caps w:val="0"/>
          <w:smallCaps w:val="0"/>
          <w:spacing w:val="0"/>
          <w:w w:val="100"/>
          <w:kern w:val="0"/>
          <w:szCs w:val="28"/>
          <w:lang w:val="en-US" w:eastAsia="zh-CN"/>
        </w:rPr>
        <w:t>4</w:t>
      </w:r>
      <w:r>
        <w:rPr>
          <w:rFonts w:hint="default" w:ascii="Times New Roman" w:hAnsi="Times New Roman" w:cs="Times New Roman"/>
          <w:bCs/>
          <w:caps w:val="0"/>
          <w:smallCaps w:val="0"/>
          <w:spacing w:val="0"/>
          <w:w w:val="100"/>
          <w:kern w:val="0"/>
          <w:szCs w:val="28"/>
          <w:lang w:val="zh-CN"/>
        </w:rPr>
        <w:t>.1。</w:t>
      </w:r>
    </w:p>
    <w:p w14:paraId="19DFC31C">
      <w:pPr>
        <w:pStyle w:val="5"/>
        <w:snapToGrid/>
        <w:rPr>
          <w:rFonts w:hint="default" w:ascii="Times New Roman" w:hAnsi="Times New Roman" w:eastAsia="黑体" w:cs="Times New Roman"/>
          <w:b w:val="0"/>
          <w:bCs w:val="0"/>
          <w:caps w:val="0"/>
          <w:smallCaps w:val="0"/>
          <w:spacing w:val="0"/>
          <w:w w:val="100"/>
          <w:lang w:val="zh-CN"/>
        </w:rPr>
      </w:pPr>
      <w:bookmarkStart w:id="321" w:name="_Toc1008"/>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.2 站址及外部安全条件分析结果</w:t>
      </w:r>
      <w:bookmarkEnd w:id="321"/>
    </w:p>
    <w:p w14:paraId="3D8DB144">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根据《汽车加油加气加氢站技术标准》（GB50156-2021）对项目站址选择及外部安全条件进行分析，结果表明：</w:t>
      </w:r>
    </w:p>
    <w:p w14:paraId="18877D34">
      <w:pPr>
        <w:numPr>
          <w:ilvl w:val="0"/>
          <w:numId w:val="0"/>
        </w:numPr>
        <w:snapToGrid/>
        <w:ind w:firstLine="560" w:firstLineChars="0"/>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pPr>
      <w:r>
        <w:rPr>
          <w:rFonts w:hint="default" w:ascii="Times New Roman" w:hAnsi="Times New Roman" w:eastAsia="宋体" w:cs="Times New Roman"/>
          <w:bCs/>
          <w:caps w:val="0"/>
          <w:smallCaps w:val="0"/>
          <w:spacing w:val="0"/>
          <w:w w:val="100"/>
          <w:kern w:val="0"/>
          <w:sz w:val="28"/>
          <w:szCs w:val="28"/>
          <w:lang w:val="zh-CN" w:eastAsia="zh-CN" w:bidi="ar-SA"/>
        </w:rPr>
        <w:t>1、</w:t>
      </w:r>
      <w:r>
        <w:rPr>
          <w:rFonts w:hint="default" w:ascii="Times New Roman" w:hAnsi="Times New Roman" w:cs="Times New Roman"/>
          <w:bCs/>
          <w:caps w:val="0"/>
          <w:smallCaps w:val="0"/>
          <w:spacing w:val="0"/>
          <w:w w:val="100"/>
          <w:kern w:val="0"/>
          <w:szCs w:val="28"/>
          <w:lang w:val="zh-CN"/>
        </w:rPr>
        <w:t>该项目属于</w:t>
      </w:r>
      <w:r>
        <w:rPr>
          <w:rFonts w:hint="default" w:ascii="Times New Roman" w:hAnsi="Times New Roman" w:cs="Times New Roman"/>
          <w:bCs/>
          <w:caps w:val="0"/>
          <w:smallCaps w:val="0"/>
          <w:spacing w:val="0"/>
          <w:w w:val="100"/>
          <w:kern w:val="0"/>
          <w:szCs w:val="28"/>
          <w:lang w:val="en-US" w:eastAsia="zh-CN"/>
        </w:rPr>
        <w:t>原址改扩建</w:t>
      </w:r>
      <w:r>
        <w:rPr>
          <w:rFonts w:hint="default" w:ascii="Times New Roman" w:hAnsi="Times New Roman" w:cs="Times New Roman"/>
          <w:bCs/>
          <w:caps w:val="0"/>
          <w:smallCaps w:val="0"/>
          <w:spacing w:val="0"/>
          <w:w w:val="100"/>
          <w:kern w:val="0"/>
          <w:szCs w:val="28"/>
          <w:lang w:val="zh-CN"/>
        </w:rPr>
        <w:t>项目，项目符合国家和当地政府产业政策与布局</w:t>
      </w:r>
      <w:r>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t>，项目站址符合当地政府区域规划；</w:t>
      </w:r>
    </w:p>
    <w:p w14:paraId="3A63C09B">
      <w:pPr>
        <w:numPr>
          <w:ilvl w:val="0"/>
          <w:numId w:val="0"/>
        </w:numPr>
        <w:snapToGrid/>
        <w:ind w:firstLine="560" w:firstLineChars="0"/>
        <w:rPr>
          <w:rFonts w:hint="default" w:ascii="Times New Roman" w:hAnsi="Times New Roman" w:eastAsia="宋体" w:cs="Times New Roman"/>
          <w:bCs/>
          <w:caps w:val="0"/>
          <w:smallCaps w:val="0"/>
          <w:color w:val="000000" w:themeColor="text1"/>
          <w:spacing w:val="0"/>
          <w:w w:val="100"/>
          <w:kern w:val="0"/>
          <w:sz w:val="28"/>
          <w:szCs w:val="28"/>
          <w:lang w:val="en-US" w:eastAsia="zh-CN" w:bidi="ar-SA"/>
          <w14:textFill>
            <w14:solidFill>
              <w14:schemeClr w14:val="tx1"/>
            </w14:solidFill>
          </w14:textFill>
        </w:rPr>
      </w:pPr>
      <w:r>
        <w:rPr>
          <w:rFonts w:hint="default" w:ascii="Times New Roman" w:hAnsi="Times New Roman" w:cs="Times New Roman"/>
          <w:bCs/>
          <w:caps w:val="0"/>
          <w:smallCaps w:val="0"/>
          <w:color w:val="000000" w:themeColor="text1"/>
          <w:spacing w:val="0"/>
          <w:w w:val="100"/>
          <w:kern w:val="0"/>
          <w:sz w:val="28"/>
          <w:szCs w:val="28"/>
          <w:lang w:val="en-US" w:eastAsia="zh-CN" w:bidi="ar-SA"/>
          <w14:textFill>
            <w14:solidFill>
              <w14:schemeClr w14:val="tx1"/>
            </w14:solidFill>
          </w14:textFill>
        </w:rPr>
        <w:t>2、</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该建设项目存在土地证面积与实际占地面积不一致的情况，</w:t>
      </w:r>
      <w:r>
        <w:rPr>
          <w:rFonts w:hint="default" w:ascii="Times New Roman" w:hAnsi="Times New Roman" w:cs="Times New Roman"/>
          <w:caps w:val="0"/>
          <w:smallCaps w:val="0"/>
          <w:color w:val="000000" w:themeColor="text1"/>
          <w:spacing w:val="0"/>
          <w:w w:val="100"/>
          <w14:textFill>
            <w14:solidFill>
              <w14:schemeClr w14:val="tx1"/>
            </w14:solidFill>
          </w14:textFill>
        </w:rPr>
        <w:t>建设单位应按照要求向规划、国土资源主管部门办理建设用地审批手续</w:t>
      </w:r>
      <w:r>
        <w:rPr>
          <w:rFonts w:hint="default" w:ascii="Times New Roman" w:hAnsi="Times New Roman" w:cs="Times New Roman"/>
          <w:caps w:val="0"/>
          <w:smallCaps w:val="0"/>
          <w:color w:val="000000" w:themeColor="text1"/>
          <w:spacing w:val="0"/>
          <w:w w:val="100"/>
          <w:lang w:eastAsia="zh-CN"/>
          <w14:textFill>
            <w14:solidFill>
              <w14:schemeClr w14:val="tx1"/>
            </w14:solidFill>
          </w14:textFill>
        </w:rPr>
        <w:t>。</w:t>
      </w:r>
    </w:p>
    <w:p w14:paraId="3A44D1DF">
      <w:pPr>
        <w:snapToGrid/>
        <w:ind w:firstLine="560"/>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pPr>
      <w:r>
        <w:rPr>
          <w:rFonts w:hint="default" w:ascii="Times New Roman" w:hAnsi="Times New Roman" w:cs="Times New Roman"/>
          <w:bCs/>
          <w:caps w:val="0"/>
          <w:smallCaps w:val="0"/>
          <w:color w:val="000000" w:themeColor="text1"/>
          <w:spacing w:val="0"/>
          <w:w w:val="100"/>
          <w:kern w:val="0"/>
          <w:szCs w:val="28"/>
          <w:lang w:val="en-US" w:eastAsia="zh-CN"/>
          <w14:textFill>
            <w14:solidFill>
              <w14:schemeClr w14:val="tx1"/>
            </w14:solidFill>
          </w14:textFill>
        </w:rPr>
        <w:t>3、</w:t>
      </w:r>
      <w:r>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t>加油站的设施与站外建、构筑物的安全距离符合《汽车加油加气加氢站技术标准》（GB50156-2021）的要求。</w:t>
      </w:r>
    </w:p>
    <w:p w14:paraId="45B5B89E">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color w:val="000000" w:themeColor="text1"/>
          <w:spacing w:val="0"/>
          <w:w w:val="100"/>
          <w:kern w:val="0"/>
          <w:szCs w:val="28"/>
          <w:lang w:val="en-US" w:eastAsia="zh-CN"/>
          <w14:textFill>
            <w14:solidFill>
              <w14:schemeClr w14:val="tx1"/>
            </w14:solidFill>
          </w14:textFill>
        </w:rPr>
        <w:t>4</w:t>
      </w:r>
      <w:r>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t>、项目周边的环境对项目的影响在可接</w:t>
      </w:r>
      <w:r>
        <w:rPr>
          <w:rFonts w:hint="default" w:ascii="Times New Roman" w:hAnsi="Times New Roman" w:cs="Times New Roman"/>
          <w:bCs/>
          <w:caps w:val="0"/>
          <w:smallCaps w:val="0"/>
          <w:spacing w:val="0"/>
          <w:w w:val="100"/>
          <w:kern w:val="0"/>
          <w:szCs w:val="28"/>
          <w:lang w:val="zh-CN"/>
        </w:rPr>
        <w:t>受的范围之内；</w:t>
      </w:r>
    </w:p>
    <w:p w14:paraId="43E2C56C">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en-US" w:eastAsia="zh-CN"/>
        </w:rPr>
        <w:t>5</w:t>
      </w:r>
      <w:r>
        <w:rPr>
          <w:rFonts w:hint="default" w:ascii="Times New Roman" w:hAnsi="Times New Roman" w:cs="Times New Roman"/>
          <w:bCs/>
          <w:caps w:val="0"/>
          <w:smallCaps w:val="0"/>
          <w:spacing w:val="0"/>
          <w:w w:val="100"/>
          <w:kern w:val="0"/>
          <w:szCs w:val="28"/>
          <w:lang w:val="zh-CN"/>
        </w:rPr>
        <w:t>、项目所在地的当地自然条件对该项目安全的影响不大，在可接受的范围之内，项目所采用的安全措施具有针对性和可行性，符合安全要求；</w:t>
      </w:r>
    </w:p>
    <w:p w14:paraId="5EFE7D54">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站址及外部安全条件分析过程详见报告附件</w:t>
      </w:r>
      <w:r>
        <w:rPr>
          <w:rFonts w:hint="eastAsia" w:ascii="Times New Roman" w:cs="Times New Roman"/>
          <w:bCs/>
          <w:caps w:val="0"/>
          <w:smallCaps w:val="0"/>
          <w:spacing w:val="0"/>
          <w:w w:val="100"/>
          <w:kern w:val="0"/>
          <w:szCs w:val="28"/>
          <w:lang w:val="en-US" w:eastAsia="zh-CN"/>
        </w:rPr>
        <w:t>4</w:t>
      </w:r>
      <w:r>
        <w:rPr>
          <w:rFonts w:hint="default" w:ascii="Times New Roman" w:hAnsi="Times New Roman" w:cs="Times New Roman"/>
          <w:bCs/>
          <w:caps w:val="0"/>
          <w:smallCaps w:val="0"/>
          <w:spacing w:val="0"/>
          <w:w w:val="100"/>
          <w:kern w:val="0"/>
          <w:szCs w:val="28"/>
          <w:lang w:val="zh-CN"/>
        </w:rPr>
        <w:t>.2。</w:t>
      </w:r>
    </w:p>
    <w:p w14:paraId="741ADE05">
      <w:pPr>
        <w:pStyle w:val="5"/>
        <w:snapToGrid/>
        <w:rPr>
          <w:rFonts w:hint="default" w:ascii="Times New Roman" w:hAnsi="Times New Roman" w:eastAsia="黑体" w:cs="Times New Roman"/>
          <w:b w:val="0"/>
          <w:bCs w:val="0"/>
          <w:caps w:val="0"/>
          <w:smallCaps w:val="0"/>
          <w:spacing w:val="0"/>
          <w:w w:val="100"/>
          <w:lang w:val="zh-CN"/>
        </w:rPr>
      </w:pPr>
      <w:bookmarkStart w:id="322" w:name="_Toc28149"/>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.3 安全运行条件分析结果</w:t>
      </w:r>
      <w:bookmarkEnd w:id="322"/>
    </w:p>
    <w:p w14:paraId="104C58F9">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lang w:val="zh-CN"/>
        </w:rPr>
      </w:pPr>
      <w:bookmarkStart w:id="323" w:name="_Toc11236"/>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.3.1 总平面布置单元分析结果</w:t>
      </w:r>
      <w:bookmarkEnd w:id="323"/>
    </w:p>
    <w:p w14:paraId="51F59BE1">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根据《汽车加油加气加氢站技术标准》（GB50156-2021）编制安全检查表对该项目总平面布置进行检查评价，项目的总平面布置合理，功能设置分区划分明确，符合《汽车加油加气加氢站技术标准》（GB50156-2021）的要求。</w:t>
      </w:r>
    </w:p>
    <w:p w14:paraId="1BAEA741">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总平面布置分析过程详见报告附件</w:t>
      </w:r>
      <w:r>
        <w:rPr>
          <w:rFonts w:hint="eastAsia" w:ascii="Times New Roman" w:cs="Times New Roman"/>
          <w:bCs/>
          <w:caps w:val="0"/>
          <w:smallCaps w:val="0"/>
          <w:spacing w:val="0"/>
          <w:w w:val="100"/>
          <w:kern w:val="0"/>
          <w:szCs w:val="28"/>
          <w:lang w:val="en-US" w:eastAsia="zh-CN"/>
        </w:rPr>
        <w:t>4</w:t>
      </w:r>
      <w:r>
        <w:rPr>
          <w:rFonts w:hint="default" w:ascii="Times New Roman" w:hAnsi="Times New Roman" w:cs="Times New Roman"/>
          <w:bCs/>
          <w:caps w:val="0"/>
          <w:smallCaps w:val="0"/>
          <w:spacing w:val="0"/>
          <w:w w:val="100"/>
          <w:kern w:val="0"/>
          <w:szCs w:val="28"/>
          <w:lang w:val="zh-CN"/>
        </w:rPr>
        <w:t>.3 总平面布置分析评价。</w:t>
      </w:r>
    </w:p>
    <w:p w14:paraId="387D0446">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lang w:val="zh-CN"/>
        </w:rPr>
      </w:pPr>
      <w:bookmarkStart w:id="324" w:name="_Toc6159"/>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.3.2 工艺及设施单元分析结果</w:t>
      </w:r>
      <w:bookmarkEnd w:id="324"/>
    </w:p>
    <w:p w14:paraId="6B29B5D0">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通过采用安全检查表对该项目工艺及设施进行检查评价，工艺及设施符合《汽车加油加气加氢站技术标准》（GB50156-2021）的要求。</w:t>
      </w:r>
    </w:p>
    <w:p w14:paraId="0BB0AC83">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工艺及设施分析过程详见报告附件</w:t>
      </w:r>
      <w:r>
        <w:rPr>
          <w:rFonts w:hint="eastAsia" w:ascii="Times New Roman" w:cs="Times New Roman"/>
          <w:bCs/>
          <w:caps w:val="0"/>
          <w:smallCaps w:val="0"/>
          <w:spacing w:val="0"/>
          <w:w w:val="100"/>
          <w:kern w:val="0"/>
          <w:szCs w:val="28"/>
          <w:lang w:val="en-US" w:eastAsia="zh-CN"/>
        </w:rPr>
        <w:t>4</w:t>
      </w:r>
      <w:r>
        <w:rPr>
          <w:rFonts w:hint="default" w:ascii="Times New Roman" w:hAnsi="Times New Roman" w:cs="Times New Roman"/>
          <w:bCs/>
          <w:caps w:val="0"/>
          <w:smallCaps w:val="0"/>
          <w:spacing w:val="0"/>
          <w:w w:val="100"/>
          <w:kern w:val="0"/>
          <w:szCs w:val="28"/>
          <w:lang w:val="zh-CN"/>
        </w:rPr>
        <w:t>.4 工艺及设备设施分析评价。</w:t>
      </w:r>
    </w:p>
    <w:p w14:paraId="4900EB0E">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lang w:val="zh-CN"/>
        </w:rPr>
      </w:pPr>
      <w:bookmarkStart w:id="325" w:name="_Toc21466"/>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.3.3 公用工程单元分析结果</w:t>
      </w:r>
      <w:bookmarkEnd w:id="325"/>
    </w:p>
    <w:p w14:paraId="53C5EA1A">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通过采用安全检查表对该项目公用工程及辅助安全设施进行检查评价，公用工程及辅助安全设施均符合《汽车加油加气加氢站技术标准》（GB50156-2021）的要求。</w:t>
      </w:r>
    </w:p>
    <w:p w14:paraId="6DA8B9B3">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公用工程分析过程详见报告附件</w:t>
      </w:r>
      <w:r>
        <w:rPr>
          <w:rFonts w:hint="eastAsia" w:ascii="Times New Roman" w:cs="Times New Roman"/>
          <w:bCs/>
          <w:caps w:val="0"/>
          <w:smallCaps w:val="0"/>
          <w:spacing w:val="0"/>
          <w:w w:val="100"/>
          <w:kern w:val="0"/>
          <w:szCs w:val="28"/>
          <w:lang w:val="en-US" w:eastAsia="zh-CN"/>
        </w:rPr>
        <w:t>4</w:t>
      </w:r>
      <w:r>
        <w:rPr>
          <w:rFonts w:hint="default" w:ascii="Times New Roman" w:hAnsi="Times New Roman" w:cs="Times New Roman"/>
          <w:bCs/>
          <w:caps w:val="0"/>
          <w:smallCaps w:val="0"/>
          <w:spacing w:val="0"/>
          <w:w w:val="100"/>
          <w:kern w:val="0"/>
          <w:szCs w:val="28"/>
          <w:lang w:val="zh-CN"/>
        </w:rPr>
        <w:t>.5 公用工程分析评价。</w:t>
      </w:r>
    </w:p>
    <w:p w14:paraId="3A0D649E">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lang w:val="zh-CN"/>
        </w:rPr>
      </w:pPr>
      <w:bookmarkStart w:id="326" w:name="_Toc2311"/>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.3.4 安全管理单元分析结果</w:t>
      </w:r>
      <w:bookmarkEnd w:id="326"/>
    </w:p>
    <w:p w14:paraId="0719FB3A">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通过对该项目安全管理机构、安全管理制度、安全操作规程、事故及应急管理进行分析评价后认为：</w:t>
      </w:r>
    </w:p>
    <w:p w14:paraId="671F1595">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（1）该加油站建立了各级人员安全责任制，制定了相关安全管理制度及安全操作规程，涵盖了加油站日常安全管理的各个岗位；</w:t>
      </w:r>
    </w:p>
    <w:p w14:paraId="2D62ED29">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（2）该加油站建立了相应的安全管理机构，任命了安全管理人员，安全管理组织机构满足加油站的运行要求；</w:t>
      </w:r>
    </w:p>
    <w:p w14:paraId="2BFC498E">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（3）该加油站主要负责人和安全管理人员经过安全培训，已持证上岗，从业人员经过安全培训后上岗，从业人员符合加油站经营危险化学品的要求；</w:t>
      </w:r>
    </w:p>
    <w:p w14:paraId="547C96C0">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（4）加油站为员工购买工伤保险和安全生产责任险；</w:t>
      </w:r>
    </w:p>
    <w:p w14:paraId="68E8725A">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5）加油站已按规定编制了《生产安全事故应急预案》，建立了事故应急救援队伍，配备有救援器材，预案已在景洪市应急管理局备案，应急预案符合《生产经营单位生产安全事故应急预案编制导则》（GB/T29639-2020）的要求，配备的救援器材满足加油站应急救援的需要。</w:t>
      </w:r>
    </w:p>
    <w:p w14:paraId="170008E3">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安全管理分析过程详见报告附件</w:t>
      </w:r>
      <w:r>
        <w:rPr>
          <w:rFonts w:hint="eastAsia" w:ascii="Times New Roman" w:cs="Times New Roman"/>
          <w:bCs/>
          <w:caps w:val="0"/>
          <w:smallCaps w:val="0"/>
          <w:spacing w:val="0"/>
          <w:w w:val="100"/>
          <w:kern w:val="0"/>
          <w:szCs w:val="28"/>
          <w:lang w:val="en-US" w:eastAsia="zh-CN"/>
        </w:rPr>
        <w:t>4</w:t>
      </w:r>
      <w:r>
        <w:rPr>
          <w:rFonts w:hint="default" w:ascii="Times New Roman" w:hAnsi="Times New Roman" w:cs="Times New Roman"/>
          <w:bCs/>
          <w:caps w:val="0"/>
          <w:smallCaps w:val="0"/>
          <w:spacing w:val="0"/>
          <w:w w:val="100"/>
          <w:kern w:val="0"/>
          <w:szCs w:val="28"/>
          <w:lang w:val="zh-CN"/>
        </w:rPr>
        <w:t>.6 安全管理分析评价。</w:t>
      </w:r>
    </w:p>
    <w:p w14:paraId="44B60068">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lang w:val="zh-CN"/>
        </w:rPr>
      </w:pPr>
      <w:bookmarkStart w:id="327" w:name="_Toc13191"/>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.3.5 重大生产安全事故隐患、重大火灾隐患排查单元分析结果</w:t>
      </w:r>
      <w:bookmarkEnd w:id="327"/>
    </w:p>
    <w:p w14:paraId="19527D12">
      <w:pPr>
        <w:snapToGrid/>
        <w:ind w:firstLine="560"/>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pPr>
      <w:r>
        <w:rPr>
          <w:rFonts w:hint="default" w:ascii="Times New Roman" w:hAnsi="Times New Roman" w:cs="Times New Roman"/>
          <w:bCs/>
          <w:caps w:val="0"/>
          <w:smallCaps w:val="0"/>
          <w:spacing w:val="0"/>
          <w:w w:val="100"/>
          <w:kern w:val="0"/>
          <w:szCs w:val="28"/>
          <w:lang w:val="zh-CN"/>
        </w:rPr>
        <w:t>该</w:t>
      </w:r>
      <w:r>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t>加油站不存在《化工和危险化学品生产经营单位重大生产安全事故隐患判定标准（试行）》（安监总管三【2017】121 号）、《商务部关于印发&lt;商务领域安全生产重大隐患排查事项清单&gt;的通知》（商建办便（2023）1400号）、《重大火灾隐患判定规则》（GB35181-20</w:t>
      </w:r>
      <w:r>
        <w:rPr>
          <w:rFonts w:hint="eastAsia" w:ascii="Times New Roman" w:cs="Times New Roman"/>
          <w:bCs/>
          <w:caps w:val="0"/>
          <w:smallCaps w:val="0"/>
          <w:color w:val="000000" w:themeColor="text1"/>
          <w:spacing w:val="0"/>
          <w:w w:val="100"/>
          <w:kern w:val="0"/>
          <w:szCs w:val="28"/>
          <w:lang w:val="en-US" w:eastAsia="zh-CN"/>
          <w14:textFill>
            <w14:solidFill>
              <w14:schemeClr w14:val="tx1"/>
            </w14:solidFill>
          </w14:textFill>
        </w:rPr>
        <w:t>25</w:t>
      </w:r>
      <w:r>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t>）所列的重大生产安全事故隐患</w:t>
      </w:r>
      <w:r>
        <w:rPr>
          <w:rFonts w:hint="default" w:ascii="Times New Roman" w:hAnsi="Times New Roman" w:cs="Times New Roman"/>
          <w:caps w:val="0"/>
          <w:smallCaps w:val="0"/>
          <w:color w:val="000000" w:themeColor="text1"/>
          <w:spacing w:val="0"/>
          <w:w w:val="100"/>
          <w14:textFill>
            <w14:solidFill>
              <w14:schemeClr w14:val="tx1"/>
            </w14:solidFill>
          </w14:textFill>
        </w:rPr>
        <w:t>）</w:t>
      </w:r>
      <w:r>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t>。</w:t>
      </w:r>
    </w:p>
    <w:p w14:paraId="035EC0B2">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color w:val="000000" w:themeColor="text1"/>
          <w:spacing w:val="0"/>
          <w:w w:val="100"/>
          <w:kern w:val="0"/>
          <w:szCs w:val="28"/>
          <w:lang w:val="zh-CN"/>
          <w14:textFill>
            <w14:solidFill>
              <w14:schemeClr w14:val="tx1"/>
            </w14:solidFill>
          </w14:textFill>
        </w:rPr>
        <w:t>重大生产安全事故隐患、重大火灾</w:t>
      </w:r>
      <w:r>
        <w:rPr>
          <w:rFonts w:hint="default" w:ascii="Times New Roman" w:hAnsi="Times New Roman" w:cs="Times New Roman"/>
          <w:bCs/>
          <w:caps w:val="0"/>
          <w:smallCaps w:val="0"/>
          <w:spacing w:val="0"/>
          <w:w w:val="100"/>
          <w:kern w:val="0"/>
          <w:szCs w:val="28"/>
          <w:lang w:val="zh-CN"/>
        </w:rPr>
        <w:t>隐患排查单元分析过程详见报告附件</w:t>
      </w:r>
      <w:r>
        <w:rPr>
          <w:rFonts w:hint="eastAsia" w:ascii="Times New Roman" w:cs="Times New Roman"/>
          <w:bCs/>
          <w:caps w:val="0"/>
          <w:smallCaps w:val="0"/>
          <w:spacing w:val="0"/>
          <w:w w:val="100"/>
          <w:kern w:val="0"/>
          <w:szCs w:val="28"/>
          <w:lang w:val="en-US" w:eastAsia="zh-CN"/>
        </w:rPr>
        <w:t>4</w:t>
      </w:r>
      <w:r>
        <w:rPr>
          <w:rFonts w:hint="default" w:ascii="Times New Roman" w:hAnsi="Times New Roman" w:cs="Times New Roman"/>
          <w:bCs/>
          <w:caps w:val="0"/>
          <w:smallCaps w:val="0"/>
          <w:spacing w:val="0"/>
          <w:w w:val="100"/>
          <w:kern w:val="0"/>
          <w:szCs w:val="28"/>
          <w:lang w:val="zh-CN"/>
        </w:rPr>
        <w:t>.7 重大生产安全事故隐患、重大火灾隐患排查单元分析评价。</w:t>
      </w:r>
    </w:p>
    <w:p w14:paraId="4B5D54E1">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lang w:val="zh-CN"/>
        </w:rPr>
      </w:pPr>
      <w:bookmarkStart w:id="328" w:name="_Toc2782"/>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lang w:val="zh-CN"/>
        </w:rPr>
        <w:t>.3.6 危险程度分析结果</w:t>
      </w:r>
      <w:bookmarkEnd w:id="328"/>
    </w:p>
    <w:p w14:paraId="1E6A7219">
      <w:pPr>
        <w:snapToGrid/>
        <w:ind w:firstLine="560"/>
        <w:rPr>
          <w:rFonts w:hint="default" w:ascii="Times New Roman" w:hAnsi="Times New Roman" w:cs="Times New Roman"/>
          <w:bCs/>
          <w:caps w:val="0"/>
          <w:smallCaps w:val="0"/>
          <w:spacing w:val="0"/>
          <w:w w:val="100"/>
          <w:kern w:val="0"/>
          <w:szCs w:val="28"/>
          <w:lang w:val="zh-CN"/>
        </w:rPr>
      </w:pPr>
      <w:r>
        <w:rPr>
          <w:rFonts w:hint="default" w:ascii="Times New Roman" w:hAnsi="Times New Roman" w:cs="Times New Roman"/>
          <w:bCs/>
          <w:caps w:val="0"/>
          <w:smallCaps w:val="0"/>
          <w:spacing w:val="0"/>
          <w:w w:val="100"/>
          <w:kern w:val="0"/>
          <w:szCs w:val="28"/>
          <w:lang w:val="zh-CN"/>
        </w:rPr>
        <w:t>根据报告附件“</w:t>
      </w:r>
      <w:r>
        <w:rPr>
          <w:rFonts w:hint="eastAsia" w:ascii="Times New Roman" w:cs="Times New Roman"/>
          <w:bCs/>
          <w:caps w:val="0"/>
          <w:smallCaps w:val="0"/>
          <w:spacing w:val="0"/>
          <w:w w:val="100"/>
          <w:kern w:val="0"/>
          <w:szCs w:val="28"/>
          <w:lang w:val="en-US" w:eastAsia="zh-CN"/>
        </w:rPr>
        <w:t>3.3</w:t>
      </w:r>
      <w:r>
        <w:rPr>
          <w:rFonts w:hint="default" w:ascii="Times New Roman" w:hAnsi="Times New Roman" w:cs="Times New Roman"/>
          <w:bCs/>
          <w:caps w:val="0"/>
          <w:smallCaps w:val="0"/>
          <w:spacing w:val="0"/>
          <w:w w:val="100"/>
          <w:kern w:val="0"/>
          <w:szCs w:val="28"/>
          <w:lang w:val="zh-CN"/>
        </w:rPr>
        <w:t xml:space="preserve"> 事故后果模拟分析过程”计算结果为：</w:t>
      </w:r>
    </w:p>
    <w:p w14:paraId="7284FAED">
      <w:pPr>
        <w:snapToGrid/>
        <w:ind w:firstLine="560"/>
        <w:rPr>
          <w:rFonts w:hint="default" w:ascii="Times New Roman" w:hAnsi="Times New Roman" w:cs="Times New Roman"/>
          <w:bCs/>
          <w:caps w:val="0"/>
          <w:smallCaps w:val="0"/>
          <w:spacing w:val="0"/>
          <w:w w:val="100"/>
          <w:szCs w:val="28"/>
        </w:rPr>
      </w:pPr>
      <w:r>
        <w:rPr>
          <w:rFonts w:hint="default" w:ascii="Times New Roman" w:hAnsi="Times New Roman" w:cs="Times New Roman"/>
          <w:bCs/>
          <w:caps w:val="0"/>
          <w:smallCaps w:val="0"/>
          <w:spacing w:val="0"/>
          <w:w w:val="100"/>
          <w:kern w:val="0"/>
          <w:szCs w:val="28"/>
          <w:lang w:val="zh-CN"/>
        </w:rPr>
        <w:t>用G·M莱克霍夫计算方法对西双版纳中闽商贸有限公司勐海勐遮加油站</w:t>
      </w:r>
      <w:r>
        <w:rPr>
          <w:rFonts w:hint="default" w:ascii="Times New Roman" w:hAnsi="Times New Roman" w:cs="Times New Roman"/>
          <w:bCs/>
          <w:caps w:val="0"/>
          <w:smallCaps w:val="0"/>
          <w:spacing w:val="0"/>
          <w:w w:val="100"/>
          <w:kern w:val="0"/>
          <w:szCs w:val="28"/>
        </w:rPr>
        <w:t>储</w:t>
      </w:r>
      <w:r>
        <w:rPr>
          <w:rFonts w:hint="default" w:ascii="Times New Roman" w:hAnsi="Times New Roman" w:cs="Times New Roman"/>
          <w:bCs/>
          <w:caps w:val="0"/>
          <w:smallCaps w:val="0"/>
          <w:spacing w:val="0"/>
          <w:w w:val="100"/>
          <w:kern w:val="0"/>
          <w:szCs w:val="28"/>
          <w:lang w:val="zh-CN"/>
        </w:rPr>
        <w:t>罐区的火灾、爆炸危险性的定量分析可知，</w:t>
      </w:r>
      <w:r>
        <w:rPr>
          <w:rFonts w:hint="default" w:ascii="Times New Roman" w:hAnsi="Times New Roman" w:cs="Times New Roman"/>
          <w:caps w:val="0"/>
          <w:smallCaps w:val="0"/>
          <w:spacing w:val="0"/>
          <w:w w:val="100"/>
          <w:szCs w:val="28"/>
        </w:rPr>
        <w:t>该加油站</w:t>
      </w:r>
      <w:r>
        <w:rPr>
          <w:rFonts w:hint="default" w:ascii="Times New Roman" w:hAnsi="Times New Roman" w:cs="Times New Roman"/>
          <w:bCs/>
          <w:caps w:val="0"/>
          <w:smallCaps w:val="0"/>
          <w:spacing w:val="0"/>
          <w:w w:val="100"/>
          <w:kern w:val="0"/>
          <w:szCs w:val="28"/>
          <w:lang w:val="zh-CN"/>
        </w:rPr>
        <w:t>汽油</w:t>
      </w:r>
      <w:r>
        <w:rPr>
          <w:rFonts w:hint="default" w:ascii="Times New Roman" w:hAnsi="Times New Roman" w:cs="Times New Roman"/>
          <w:bCs/>
          <w:caps w:val="0"/>
          <w:smallCaps w:val="0"/>
          <w:spacing w:val="0"/>
          <w:w w:val="100"/>
          <w:kern w:val="0"/>
          <w:szCs w:val="28"/>
        </w:rPr>
        <w:t>储</w:t>
      </w:r>
      <w:r>
        <w:rPr>
          <w:rFonts w:hint="default" w:ascii="Times New Roman" w:hAnsi="Times New Roman" w:cs="Times New Roman"/>
          <w:bCs/>
          <w:caps w:val="0"/>
          <w:smallCaps w:val="0"/>
          <w:spacing w:val="0"/>
          <w:w w:val="100"/>
          <w:kern w:val="0"/>
          <w:szCs w:val="28"/>
          <w:lang w:val="zh-CN"/>
        </w:rPr>
        <w:t>罐若发生爆炸事故，爆炸能量相当于</w:t>
      </w:r>
      <w:r>
        <w:rPr>
          <w:rFonts w:hint="default" w:ascii="Times New Roman" w:hAnsi="Times New Roman" w:cs="Times New Roman"/>
          <w:caps w:val="0"/>
          <w:smallCaps w:val="0"/>
          <w:spacing w:val="0"/>
          <w:w w:val="100"/>
          <w:szCs w:val="28"/>
        </w:rPr>
        <w:t>6.65</w:t>
      </w:r>
      <w:r>
        <w:rPr>
          <w:rFonts w:hint="default" w:ascii="Times New Roman" w:hAnsi="Times New Roman" w:cs="Times New Roman"/>
          <w:bCs/>
          <w:caps w:val="0"/>
          <w:smallCaps w:val="0"/>
          <w:spacing w:val="0"/>
          <w:w w:val="100"/>
          <w:kern w:val="0"/>
          <w:szCs w:val="28"/>
        </w:rPr>
        <w:t xml:space="preserve"> </w:t>
      </w:r>
      <w:r>
        <w:rPr>
          <w:rFonts w:hint="default" w:ascii="Times New Roman" w:hAnsi="Times New Roman" w:cs="Times New Roman"/>
          <w:bCs/>
          <w:caps w:val="0"/>
          <w:smallCaps w:val="0"/>
          <w:spacing w:val="0"/>
          <w:w w:val="100"/>
          <w:kern w:val="0"/>
          <w:szCs w:val="28"/>
          <w:lang w:val="zh-CN"/>
        </w:rPr>
        <w:t>kg</w:t>
      </w:r>
      <w:r>
        <w:rPr>
          <w:rFonts w:hint="default" w:ascii="Times New Roman" w:hAnsi="Times New Roman" w:cs="Times New Roman"/>
          <w:bCs/>
          <w:caps w:val="0"/>
          <w:smallCaps w:val="0"/>
          <w:spacing w:val="0"/>
          <w:w w:val="100"/>
          <w:kern w:val="0"/>
          <w:szCs w:val="28"/>
        </w:rPr>
        <w:t xml:space="preserve"> </w:t>
      </w:r>
      <w:r>
        <w:rPr>
          <w:rFonts w:hint="default" w:ascii="Times New Roman" w:hAnsi="Times New Roman" w:cs="Times New Roman"/>
          <w:bCs/>
          <w:caps w:val="0"/>
          <w:smallCaps w:val="0"/>
          <w:spacing w:val="0"/>
          <w:w w:val="100"/>
          <w:kern w:val="0"/>
          <w:szCs w:val="28"/>
          <w:lang w:val="zh-CN"/>
        </w:rPr>
        <w:t>TNT爆炸</w:t>
      </w:r>
      <w:r>
        <w:rPr>
          <w:rFonts w:hint="default" w:ascii="Times New Roman" w:hAnsi="Times New Roman" w:cs="Times New Roman"/>
          <w:bCs/>
          <w:caps w:val="0"/>
          <w:smallCaps w:val="0"/>
          <w:spacing w:val="0"/>
          <w:w w:val="100"/>
          <w:szCs w:val="28"/>
        </w:rPr>
        <w:t>。人员轻微挫伤的临界值为0.02MPa；建筑物的冲击波超压的临界值为0.005MPa。依此确定人员的安全距离为6.4m；建筑物的安全距离为10.2m。</w:t>
      </w:r>
    </w:p>
    <w:p w14:paraId="02AB3C72">
      <w:pPr>
        <w:pStyle w:val="225"/>
        <w:overflowPunct w:val="0"/>
        <w:adjustRightInd/>
        <w:snapToGrid/>
        <w:jc w:val="both"/>
        <w:rPr>
          <w:rFonts w:hint="default" w:ascii="Times New Roman" w:hAnsi="Times New Roman" w:cs="Times New Roman"/>
          <w:bCs/>
          <w:caps w:val="0"/>
          <w:smallCaps w:val="0"/>
          <w:spacing w:val="0"/>
          <w:w w:val="100"/>
          <w:kern w:val="0"/>
        </w:rPr>
      </w:pPr>
      <w:r>
        <w:rPr>
          <w:rFonts w:hint="default" w:ascii="Times New Roman" w:hAnsi="Times New Roman" w:cs="Times New Roman"/>
          <w:bCs/>
          <w:caps w:val="0"/>
          <w:smallCaps w:val="0"/>
          <w:spacing w:val="0"/>
          <w:w w:val="100"/>
          <w:kern w:val="0"/>
        </w:rPr>
        <w:t>从加油站模拟爆炸范围看，伤亡半径可覆盖整个加油区和站房，并可能波及站区周边电力设施和道路，但其危害程度较大。</w:t>
      </w:r>
    </w:p>
    <w:p w14:paraId="33C2135F">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从计算结果来看，尽管汽油贮罐爆炸事故发生时其危害性较大，但从国内外的有关调查资料统计来看，此事故发生的概率极低，是可以采取安全管理和安全技术措施预防的。</w:t>
      </w:r>
    </w:p>
    <w:p w14:paraId="754DAC5F">
      <w:pPr>
        <w:pStyle w:val="5"/>
        <w:snapToGrid/>
        <w:rPr>
          <w:rFonts w:hint="default" w:ascii="Times New Roman" w:hAnsi="Times New Roman" w:eastAsia="黑体" w:cs="Times New Roman"/>
          <w:b w:val="0"/>
          <w:bCs w:val="0"/>
          <w:caps w:val="0"/>
          <w:smallCaps w:val="0"/>
          <w:spacing w:val="0"/>
          <w:w w:val="100"/>
        </w:rPr>
      </w:pPr>
      <w:bookmarkStart w:id="329" w:name="_Toc8581"/>
      <w:r>
        <w:rPr>
          <w:rFonts w:hint="default" w:ascii="Times New Roman" w:hAnsi="Times New Roman" w:eastAsia="黑体" w:cs="Times New Roman"/>
          <w:b w:val="0"/>
          <w:bCs w:val="0"/>
          <w:caps w:val="0"/>
          <w:smallCaps w:val="0"/>
          <w:spacing w:val="0"/>
          <w:w w:val="100"/>
          <w:lang w:val="en-US" w:eastAsia="zh-CN"/>
        </w:rPr>
        <w:t>6</w:t>
      </w:r>
      <w:r>
        <w:rPr>
          <w:rFonts w:hint="default" w:ascii="Times New Roman" w:hAnsi="Times New Roman" w:eastAsia="黑体" w:cs="Times New Roman"/>
          <w:b w:val="0"/>
          <w:bCs w:val="0"/>
          <w:caps w:val="0"/>
          <w:smallCaps w:val="0"/>
          <w:spacing w:val="0"/>
          <w:w w:val="100"/>
        </w:rPr>
        <w:t>.4本章小结</w:t>
      </w:r>
      <w:bookmarkEnd w:id="318"/>
      <w:bookmarkEnd w:id="319"/>
      <w:bookmarkEnd w:id="329"/>
    </w:p>
    <w:p w14:paraId="62BC86E2">
      <w:pPr>
        <w:pStyle w:val="2"/>
        <w:adjustRightInd/>
        <w:snapToGrid/>
        <w:ind w:firstLine="560" w:firstLineChars="200"/>
        <w:rPr>
          <w:rStyle w:val="41"/>
          <w:rFonts w:hint="default" w:ascii="Times New Roman" w:hAnsi="Times New Roman" w:cs="Times New Roman"/>
          <w:caps w:val="0"/>
          <w:smallCaps w:val="0"/>
          <w:color w:val="auto"/>
          <w:spacing w:val="0"/>
          <w:w w:val="100"/>
          <w:lang w:val="en-US"/>
        </w:rPr>
      </w:pPr>
      <w:r>
        <w:rPr>
          <w:rFonts w:hint="default" w:ascii="Times New Roman" w:hAnsi="Times New Roman" w:eastAsia="宋体" w:cs="Times New Roman"/>
          <w:caps w:val="0"/>
          <w:smallCaps w:val="0"/>
          <w:color w:val="auto"/>
          <w:spacing w:val="0"/>
          <w:w w:val="100"/>
          <w:kern w:val="2"/>
          <w:sz w:val="28"/>
          <w:szCs w:val="21"/>
          <w:lang w:val="en-US" w:eastAsia="zh-CN" w:bidi="ar-SA"/>
        </w:rPr>
        <w:t>本章通过对项目的安全运行条件进行检查评价后的结果表明：该项目安全设施三同时程序符合法规要求，加油站内设备设施与周边环境范围内各建构筑物及设施的安全距离符合规范要求</w:t>
      </w:r>
      <w:r>
        <w:rPr>
          <w:rFonts w:hint="default" w:ascii="Times New Roman" w:hAnsi="Times New Roman" w:cs="Times New Roman"/>
          <w:caps w:val="0"/>
          <w:smallCaps w:val="0"/>
          <w:color w:val="auto"/>
          <w:spacing w:val="0"/>
          <w:w w:val="100"/>
          <w:kern w:val="2"/>
          <w:sz w:val="28"/>
          <w:szCs w:val="21"/>
          <w:lang w:val="en-US" w:eastAsia="zh-CN" w:bidi="ar-SA"/>
        </w:rPr>
        <w:t>，</w:t>
      </w:r>
      <w:r>
        <w:rPr>
          <w:rFonts w:hint="default" w:ascii="Times New Roman" w:hAnsi="Times New Roman" w:cs="Times New Roman"/>
          <w:caps w:val="0"/>
          <w:smallCaps w:val="0"/>
          <w:spacing w:val="0"/>
          <w:w w:val="100"/>
          <w:sz w:val="28"/>
          <w:szCs w:val="28"/>
        </w:rPr>
        <w:t>安全条件具备。</w:t>
      </w:r>
      <w:r>
        <w:rPr>
          <w:rFonts w:hint="default" w:ascii="Times New Roman" w:hAnsi="Times New Roman" w:eastAsia="宋体" w:cs="Times New Roman"/>
          <w:caps w:val="0"/>
          <w:smallCaps w:val="0"/>
          <w:color w:val="auto"/>
          <w:spacing w:val="0"/>
          <w:w w:val="100"/>
          <w:kern w:val="2"/>
          <w:sz w:val="28"/>
          <w:szCs w:val="21"/>
          <w:lang w:val="en-US" w:eastAsia="zh-CN" w:bidi="ar-SA"/>
        </w:rPr>
        <w:t>项目界区范围内总平面布置中各建构筑物及设施间的安全距离符合规范要求。该加油站的工艺设施及公用工程符合《汽车加油加气加氢站技术标准》（GB50156-2021）的要求。加油站的安全管理满足加油站安全运行的要求，人员的配置及其具备的安全技能能够满足加油站的运行需要。该加油站不存在《化工和危险化学品生产经营单位重大生产安全事故隐患判定标准（试行）》（安监总管三【2017】121 号）、《商务部关于印发&lt;商务领域安全生产重大隐患排查事项清单&gt;的通知》（商建办便（2023）1400 号）、《重大火灾隐患判定规则》（GB35181-20</w:t>
      </w:r>
      <w:r>
        <w:rPr>
          <w:rFonts w:hint="eastAsia" w:ascii="Times New Roman" w:cs="Times New Roman"/>
          <w:caps w:val="0"/>
          <w:smallCaps w:val="0"/>
          <w:color w:val="auto"/>
          <w:spacing w:val="0"/>
          <w:w w:val="100"/>
          <w:kern w:val="2"/>
          <w:sz w:val="28"/>
          <w:szCs w:val="21"/>
          <w:lang w:val="en-US" w:eastAsia="zh-CN" w:bidi="ar-SA"/>
        </w:rPr>
        <w:t>25</w:t>
      </w:r>
      <w:r>
        <w:rPr>
          <w:rFonts w:hint="default" w:ascii="Times New Roman" w:hAnsi="Times New Roman" w:eastAsia="宋体" w:cs="Times New Roman"/>
          <w:caps w:val="0"/>
          <w:smallCaps w:val="0"/>
          <w:color w:val="auto"/>
          <w:spacing w:val="0"/>
          <w:w w:val="100"/>
          <w:kern w:val="2"/>
          <w:sz w:val="28"/>
          <w:szCs w:val="21"/>
          <w:lang w:val="en-US" w:eastAsia="zh-CN" w:bidi="ar-SA"/>
        </w:rPr>
        <w:t>）所列的重大生产安全事故隐患。</w:t>
      </w:r>
    </w:p>
    <w:p w14:paraId="3297CB1D">
      <w:pPr>
        <w:pStyle w:val="2"/>
        <w:adjustRightInd/>
        <w:snapToGrid/>
        <w:ind w:firstLine="560" w:firstLineChars="200"/>
        <w:rPr>
          <w:rFonts w:hint="default" w:ascii="Times New Roman" w:hAnsi="Times New Roman" w:cs="Times New Roman"/>
          <w:caps w:val="0"/>
          <w:smallCaps w:val="0"/>
          <w:spacing w:val="0"/>
          <w:w w:val="100"/>
        </w:rPr>
      </w:pPr>
      <w:r>
        <w:rPr>
          <w:rFonts w:hint="default" w:ascii="Times New Roman" w:hAnsi="Times New Roman" w:eastAsia="宋体" w:cs="Times New Roman"/>
          <w:bCs/>
          <w:caps w:val="0"/>
          <w:smallCaps w:val="0"/>
          <w:color w:val="auto"/>
          <w:spacing w:val="0"/>
          <w:w w:val="100"/>
          <w:kern w:val="0"/>
          <w:sz w:val="28"/>
          <w:szCs w:val="28"/>
          <w:lang w:val="en-US" w:eastAsia="zh-CN" w:bidi="ar-SA"/>
        </w:rPr>
        <w:t>通过定量计算结果表明，汽油贮罐发生爆炸后，其对人体的伤害、对加油站建筑物及设备的破坏范围覆盖加油站大部分区域，并有可能影响</w:t>
      </w:r>
      <w:bookmarkStart w:id="330" w:name="_Hlk18683207"/>
      <w:r>
        <w:rPr>
          <w:rFonts w:hint="default" w:ascii="Times New Roman" w:hAnsi="Times New Roman" w:eastAsia="宋体" w:cs="Times New Roman"/>
          <w:bCs/>
          <w:caps w:val="0"/>
          <w:smallCaps w:val="0"/>
          <w:color w:val="auto"/>
          <w:spacing w:val="0"/>
          <w:w w:val="100"/>
          <w:kern w:val="0"/>
          <w:sz w:val="28"/>
          <w:szCs w:val="28"/>
          <w:lang w:val="en-US" w:eastAsia="zh-CN" w:bidi="ar-SA"/>
        </w:rPr>
        <w:t>加油区加油的车辆和行人，站内的工作人员及站前G214道路的行人</w:t>
      </w:r>
      <w:bookmarkEnd w:id="330"/>
      <w:r>
        <w:rPr>
          <w:rFonts w:hint="default" w:ascii="Times New Roman" w:hAnsi="Times New Roman" w:eastAsia="宋体" w:cs="Times New Roman"/>
          <w:bCs/>
          <w:caps w:val="0"/>
          <w:smallCaps w:val="0"/>
          <w:color w:val="auto"/>
          <w:spacing w:val="0"/>
          <w:w w:val="100"/>
          <w:kern w:val="0"/>
          <w:sz w:val="28"/>
          <w:szCs w:val="28"/>
          <w:lang w:val="en-US" w:eastAsia="zh-CN" w:bidi="ar-SA"/>
        </w:rPr>
        <w:t>及车辆，造成的后果是严重的。从国内外的有关调查资料统计来看，此事故发生的概率极低，是可以采取安全管理和安全技术措施预防的。</w:t>
      </w:r>
    </w:p>
    <w:bookmarkEnd w:id="320"/>
    <w:p w14:paraId="392BDE5B">
      <w:pPr>
        <w:pStyle w:val="2"/>
        <w:adjustRightInd/>
        <w:snapToGrid/>
        <w:ind w:firstLine="560" w:firstLineChars="200"/>
        <w:rPr>
          <w:rFonts w:hint="default" w:ascii="Times New Roman" w:hAnsi="Times New Roman" w:cs="Times New Roman"/>
          <w:caps w:val="0"/>
          <w:smallCaps w:val="0"/>
          <w:spacing w:val="0"/>
          <w:w w:val="100"/>
          <w:sz w:val="28"/>
          <w:szCs w:val="28"/>
        </w:rPr>
      </w:pPr>
    </w:p>
    <w:p w14:paraId="62FE14BC">
      <w:pPr>
        <w:keepNext/>
        <w:keepLines/>
        <w:snapToGrid/>
        <w:jc w:val="center"/>
        <w:outlineLvl w:val="0"/>
        <w:rPr>
          <w:rFonts w:hint="default" w:ascii="Times New Roman" w:hAnsi="Times New Roman" w:cs="Times New Roman"/>
          <w:caps w:val="0"/>
          <w:smallCaps w:val="0"/>
          <w:spacing w:val="0"/>
          <w:w w:val="100"/>
        </w:rPr>
        <w:sectPr>
          <w:pgSz w:w="11906" w:h="16838"/>
          <w:pgMar w:top="1361" w:right="1588" w:bottom="1134" w:left="1588" w:header="851" w:footer="851" w:gutter="0"/>
          <w:cols w:space="720" w:num="1"/>
          <w:docGrid w:type="linesAndChars" w:linePitch="312" w:charSpace="0"/>
        </w:sectPr>
      </w:pPr>
      <w:bookmarkStart w:id="331" w:name="_Toc195176770"/>
    </w:p>
    <w:p w14:paraId="486E5BAB">
      <w:pPr>
        <w:pStyle w:val="4"/>
        <w:snapToGrid/>
        <w:rPr>
          <w:rFonts w:hint="default" w:ascii="Times New Roman" w:hAnsi="Times New Roman" w:eastAsia="黑体" w:cs="Times New Roman"/>
          <w:caps w:val="0"/>
          <w:smallCaps w:val="0"/>
          <w:spacing w:val="0"/>
          <w:w w:val="100"/>
        </w:rPr>
      </w:pPr>
      <w:bookmarkStart w:id="332" w:name="_Toc25595"/>
      <w:r>
        <w:rPr>
          <w:rFonts w:hint="default" w:ascii="Times New Roman" w:hAnsi="Times New Roman" w:eastAsia="黑体" w:cs="Times New Roman"/>
          <w:caps w:val="0"/>
          <w:smallCaps w:val="0"/>
          <w:spacing w:val="0"/>
          <w:w w:val="100"/>
        </w:rPr>
        <w:t xml:space="preserve">第七章  </w:t>
      </w:r>
      <w:bookmarkEnd w:id="331"/>
      <w:r>
        <w:rPr>
          <w:rFonts w:hint="default" w:ascii="Times New Roman" w:hAnsi="Times New Roman" w:eastAsia="黑体" w:cs="Times New Roman"/>
          <w:caps w:val="0"/>
          <w:smallCaps w:val="0"/>
          <w:spacing w:val="0"/>
          <w:w w:val="100"/>
        </w:rPr>
        <w:t>安全</w:t>
      </w:r>
      <w:r>
        <w:rPr>
          <w:rFonts w:hint="default" w:ascii="Times New Roman" w:hAnsi="Times New Roman" w:eastAsia="黑体" w:cs="Times New Roman"/>
          <w:caps w:val="0"/>
          <w:smallCaps w:val="0"/>
          <w:spacing w:val="0"/>
          <w:w w:val="100"/>
          <w:lang w:val="en-US" w:eastAsia="zh-CN"/>
        </w:rPr>
        <w:t>专篇</w:t>
      </w:r>
      <w:r>
        <w:rPr>
          <w:rFonts w:hint="default" w:ascii="Times New Roman" w:hAnsi="Times New Roman" w:eastAsia="黑体" w:cs="Times New Roman"/>
          <w:caps w:val="0"/>
          <w:smallCaps w:val="0"/>
          <w:spacing w:val="0"/>
          <w:w w:val="100"/>
        </w:rPr>
        <w:t>安全对策措施落实情况</w:t>
      </w:r>
      <w:bookmarkEnd w:id="332"/>
    </w:p>
    <w:p w14:paraId="34DE9B32">
      <w:pPr>
        <w:pStyle w:val="2"/>
        <w:adjustRightInd/>
        <w:snapToGrid/>
        <w:ind w:firstLine="560" w:firstLineChars="200"/>
        <w:rPr>
          <w:rFonts w:hint="default" w:ascii="Times New Roman" w:hAnsi="Times New Roman" w:eastAsia="宋体" w:cs="Times New Roman"/>
          <w:bCs/>
          <w:caps w:val="0"/>
          <w:smallCaps w:val="0"/>
          <w:color w:val="auto"/>
          <w:spacing w:val="0"/>
          <w:w w:val="100"/>
          <w:kern w:val="0"/>
          <w:sz w:val="28"/>
          <w:szCs w:val="28"/>
          <w:lang w:val="en-US" w:eastAsia="zh-CN" w:bidi="ar-SA"/>
        </w:rPr>
      </w:pPr>
      <w:bookmarkStart w:id="333" w:name="_Toc261072185"/>
      <w:r>
        <w:rPr>
          <w:rFonts w:hint="eastAsia" w:ascii="Times New Roman" w:eastAsia="黑体" w:cs="Times New Roman"/>
          <w:b w:val="0"/>
          <w:bCs w:val="0"/>
          <w:caps w:val="0"/>
          <w:smallCaps w:val="0"/>
          <w:spacing w:val="0"/>
          <w:w w:val="100"/>
          <w:sz w:val="28"/>
          <w:szCs w:val="28"/>
          <w:lang w:val="en-US" w:eastAsia="zh-CN"/>
        </w:rPr>
        <w:t>XX</w:t>
      </w:r>
      <w:r>
        <w:rPr>
          <w:rFonts w:hint="default" w:ascii="Times New Roman" w:hAnsi="Times New Roman" w:eastAsia="宋体" w:cs="Times New Roman"/>
          <w:bCs/>
          <w:caps w:val="0"/>
          <w:smallCaps w:val="0"/>
          <w:color w:val="auto"/>
          <w:spacing w:val="0"/>
          <w:w w:val="100"/>
          <w:kern w:val="0"/>
          <w:sz w:val="28"/>
          <w:szCs w:val="28"/>
          <w:lang w:val="en-US" w:eastAsia="zh-CN" w:bidi="ar-SA"/>
        </w:rPr>
        <w:t>。</w:t>
      </w:r>
    </w:p>
    <w:p w14:paraId="3274A31E">
      <w:pPr>
        <w:rPr>
          <w:rFonts w:hint="default" w:ascii="Times New Roman" w:hAnsi="Times New Roman" w:cs="Times New Roman"/>
          <w:b w:val="0"/>
          <w:bCs/>
          <w:caps w:val="0"/>
          <w:smallCaps w:val="0"/>
          <w:spacing w:val="0"/>
          <w:w w:val="100"/>
          <w:szCs w:val="28"/>
        </w:rPr>
      </w:pPr>
      <w:bookmarkStart w:id="334" w:name="_Toc20037"/>
      <w:bookmarkStart w:id="335" w:name="_Toc20741"/>
      <w:bookmarkStart w:id="336" w:name="_Toc3172"/>
    </w:p>
    <w:p w14:paraId="708F0C74">
      <w:pPr>
        <w:rPr>
          <w:rFonts w:hint="default" w:ascii="Times New Roman" w:hAnsi="Times New Roman" w:cs="Times New Roman"/>
          <w:b w:val="0"/>
          <w:bCs/>
          <w:caps w:val="0"/>
          <w:smallCaps w:val="0"/>
          <w:spacing w:val="0"/>
          <w:w w:val="100"/>
          <w:szCs w:val="28"/>
        </w:rPr>
        <w:sectPr>
          <w:pgSz w:w="11906" w:h="16838"/>
          <w:pgMar w:top="1361" w:right="1588" w:bottom="1134" w:left="1588" w:header="851" w:footer="851" w:gutter="0"/>
          <w:cols w:space="720" w:num="1"/>
          <w:docGrid w:type="linesAndChars" w:linePitch="312" w:charSpace="0"/>
        </w:sectPr>
      </w:pPr>
    </w:p>
    <w:bookmarkEnd w:id="334"/>
    <w:bookmarkEnd w:id="335"/>
    <w:bookmarkEnd w:id="336"/>
    <w:p w14:paraId="1A89DEC5">
      <w:pPr>
        <w:pStyle w:val="4"/>
        <w:snapToGrid/>
        <w:rPr>
          <w:rFonts w:hint="default" w:ascii="Times New Roman" w:hAnsi="Times New Roman" w:eastAsia="黑体" w:cs="Times New Roman"/>
          <w:caps w:val="0"/>
          <w:smallCaps w:val="0"/>
          <w:spacing w:val="0"/>
          <w:w w:val="100"/>
        </w:rPr>
      </w:pPr>
      <w:bookmarkStart w:id="337" w:name="_Toc32170"/>
      <w:r>
        <w:rPr>
          <w:rFonts w:hint="default" w:ascii="Times New Roman" w:hAnsi="Times New Roman" w:eastAsia="黑体" w:cs="Times New Roman"/>
          <w:caps w:val="0"/>
          <w:smallCaps w:val="0"/>
          <w:spacing w:val="0"/>
          <w:w w:val="100"/>
        </w:rPr>
        <w:t>第八章  现场存在问题与安全对策措施及建议</w:t>
      </w:r>
      <w:bookmarkEnd w:id="337"/>
    </w:p>
    <w:p w14:paraId="558F3464">
      <w:pPr>
        <w:pStyle w:val="5"/>
        <w:snapToGrid/>
        <w:rPr>
          <w:rFonts w:hint="default" w:ascii="Times New Roman" w:hAnsi="Times New Roman" w:eastAsia="黑体" w:cs="Times New Roman"/>
          <w:b w:val="0"/>
          <w:bCs w:val="0"/>
          <w:caps w:val="0"/>
          <w:smallCaps w:val="0"/>
          <w:spacing w:val="0"/>
          <w:w w:val="100"/>
          <w:lang w:val="en-US" w:eastAsia="zh-CN"/>
        </w:rPr>
      </w:pPr>
      <w:bookmarkStart w:id="338" w:name="_Toc5764"/>
      <w:r>
        <w:rPr>
          <w:rFonts w:hint="default" w:ascii="Times New Roman" w:hAnsi="Times New Roman" w:eastAsia="黑体" w:cs="Times New Roman"/>
          <w:b w:val="0"/>
          <w:bCs w:val="0"/>
          <w:caps w:val="0"/>
          <w:smallCaps w:val="0"/>
          <w:spacing w:val="0"/>
          <w:w w:val="100"/>
          <w:lang w:val="en-US" w:eastAsia="zh-CN"/>
        </w:rPr>
        <w:t>8</w:t>
      </w:r>
      <w:r>
        <w:rPr>
          <w:rFonts w:hint="default" w:ascii="Times New Roman" w:hAnsi="Times New Roman" w:eastAsia="黑体" w:cs="Times New Roman"/>
          <w:b w:val="0"/>
          <w:bCs w:val="0"/>
          <w:caps w:val="0"/>
          <w:smallCaps w:val="0"/>
          <w:spacing w:val="0"/>
          <w:w w:val="100"/>
        </w:rPr>
        <w:t>.</w:t>
      </w:r>
      <w:r>
        <w:rPr>
          <w:rFonts w:hint="default" w:ascii="Times New Roman" w:hAnsi="Times New Roman" w:eastAsia="黑体" w:cs="Times New Roman"/>
          <w:b w:val="0"/>
          <w:bCs w:val="0"/>
          <w:caps w:val="0"/>
          <w:smallCaps w:val="0"/>
          <w:spacing w:val="0"/>
          <w:w w:val="100"/>
          <w:lang w:val="en-US" w:eastAsia="zh-CN"/>
        </w:rPr>
        <w:t>1</w:t>
      </w:r>
      <w:r>
        <w:rPr>
          <w:rFonts w:hint="default" w:ascii="Times New Roman" w:hAnsi="Times New Roman" w:eastAsia="黑体" w:cs="Times New Roman"/>
          <w:b w:val="0"/>
          <w:bCs w:val="0"/>
          <w:caps w:val="0"/>
          <w:smallCaps w:val="0"/>
          <w:spacing w:val="0"/>
          <w:w w:val="100"/>
        </w:rPr>
        <w:t>存在问题及整改</w:t>
      </w:r>
      <w:r>
        <w:rPr>
          <w:rFonts w:hint="default" w:ascii="Times New Roman" w:hAnsi="Times New Roman" w:eastAsia="黑体" w:cs="Times New Roman"/>
          <w:b w:val="0"/>
          <w:bCs w:val="0"/>
          <w:caps w:val="0"/>
          <w:smallCaps w:val="0"/>
          <w:spacing w:val="0"/>
          <w:w w:val="100"/>
          <w:lang w:val="en-US" w:eastAsia="zh-CN"/>
        </w:rPr>
        <w:t>情况</w:t>
      </w:r>
      <w:bookmarkEnd w:id="338"/>
    </w:p>
    <w:p w14:paraId="7ACCFA88">
      <w:pPr>
        <w:pStyle w:val="55"/>
        <w:snapToGrid/>
        <w:rPr>
          <w:rFonts w:hint="default" w:ascii="Times New Roman" w:hAnsi="Times New Roman" w:cs="Times New Roman"/>
          <w:bCs/>
          <w:caps w:val="0"/>
          <w:smallCaps w:val="0"/>
          <w:spacing w:val="0"/>
          <w:w w:val="100"/>
          <w:szCs w:val="28"/>
          <w:lang w:val="en-US" w:eastAsia="zh-CN"/>
        </w:rPr>
      </w:pPr>
      <w:r>
        <w:rPr>
          <w:rFonts w:hint="eastAsia" w:ascii="Times New Roman" w:hAnsi="Times New Roman" w:cs="Times New Roman"/>
          <w:bCs/>
          <w:caps w:val="0"/>
          <w:smallCaps w:val="0"/>
          <w:spacing w:val="0"/>
          <w:w w:val="100"/>
          <w:szCs w:val="28"/>
          <w:lang w:val="en-US" w:eastAsia="zh-CN"/>
        </w:rPr>
        <w:t>XX。</w:t>
      </w:r>
    </w:p>
    <w:p w14:paraId="1D0A0AD7">
      <w:pPr>
        <w:pStyle w:val="5"/>
        <w:snapToGrid/>
        <w:rPr>
          <w:rFonts w:hint="default" w:ascii="Times New Roman" w:hAnsi="Times New Roman" w:eastAsia="黑体" w:cs="Times New Roman"/>
          <w:b w:val="0"/>
          <w:bCs w:val="0"/>
          <w:caps w:val="0"/>
          <w:smallCaps w:val="0"/>
          <w:spacing w:val="0"/>
          <w:w w:val="100"/>
        </w:rPr>
      </w:pPr>
      <w:bookmarkStart w:id="339" w:name="_Toc1751"/>
      <w:r>
        <w:rPr>
          <w:rFonts w:hint="default" w:ascii="Times New Roman" w:hAnsi="Times New Roman" w:eastAsia="黑体" w:cs="Times New Roman"/>
          <w:b w:val="0"/>
          <w:bCs w:val="0"/>
          <w:caps w:val="0"/>
          <w:smallCaps w:val="0"/>
          <w:spacing w:val="0"/>
          <w:w w:val="100"/>
          <w:lang w:val="en-US" w:eastAsia="zh-CN"/>
        </w:rPr>
        <w:t>8</w:t>
      </w:r>
      <w:r>
        <w:rPr>
          <w:rFonts w:hint="default" w:ascii="Times New Roman" w:hAnsi="Times New Roman" w:eastAsia="黑体" w:cs="Times New Roman"/>
          <w:b w:val="0"/>
          <w:bCs w:val="0"/>
          <w:caps w:val="0"/>
          <w:smallCaps w:val="0"/>
          <w:spacing w:val="0"/>
          <w:w w:val="100"/>
        </w:rPr>
        <w:t>.</w:t>
      </w:r>
      <w:r>
        <w:rPr>
          <w:rFonts w:hint="default" w:ascii="Times New Roman" w:hAnsi="Times New Roman" w:eastAsia="黑体" w:cs="Times New Roman"/>
          <w:b w:val="0"/>
          <w:bCs w:val="0"/>
          <w:caps w:val="0"/>
          <w:smallCaps w:val="0"/>
          <w:spacing w:val="0"/>
          <w:w w:val="100"/>
          <w:lang w:val="en-US" w:eastAsia="zh-CN"/>
        </w:rPr>
        <w:t>2</w:t>
      </w:r>
      <w:r>
        <w:rPr>
          <w:rFonts w:hint="default" w:ascii="Times New Roman" w:hAnsi="Times New Roman" w:eastAsia="黑体" w:cs="Times New Roman"/>
          <w:b w:val="0"/>
          <w:bCs w:val="0"/>
          <w:caps w:val="0"/>
          <w:smallCaps w:val="0"/>
          <w:spacing w:val="0"/>
          <w:w w:val="100"/>
        </w:rPr>
        <w:t>安全对策与建议</w:t>
      </w:r>
      <w:bookmarkEnd w:id="333"/>
      <w:bookmarkEnd w:id="339"/>
    </w:p>
    <w:p w14:paraId="254E9C92">
      <w:pPr>
        <w:pStyle w:val="55"/>
        <w:snapToGrid/>
        <w:rPr>
          <w:rFonts w:hint="default" w:ascii="Times New Roman" w:hAnsi="Times New Roman" w:cs="Times New Roman"/>
          <w:caps w:val="0"/>
          <w:smallCaps w:val="0"/>
          <w:spacing w:val="0"/>
          <w:w w:val="100"/>
        </w:rPr>
      </w:pPr>
      <w:bookmarkStart w:id="340" w:name="_Toc227045871"/>
      <w:bookmarkStart w:id="341" w:name="_Toc261072186"/>
      <w:bookmarkStart w:id="342" w:name="_Toc259174254"/>
      <w:bookmarkStart w:id="343" w:name="_Toc195176773"/>
      <w:bookmarkStart w:id="344" w:name="_Toc259390917"/>
      <w:bookmarkStart w:id="345" w:name="_Toc195176777"/>
      <w:r>
        <w:rPr>
          <w:rFonts w:hint="default" w:ascii="Times New Roman" w:hAnsi="Times New Roman" w:cs="Times New Roman"/>
          <w:bCs/>
          <w:caps w:val="0"/>
          <w:smallCaps w:val="0"/>
          <w:spacing w:val="0"/>
          <w:w w:val="100"/>
          <w:szCs w:val="28"/>
        </w:rPr>
        <w:t>对照安全设施设计中的第四章“安全对策措施与建议”，加油站已落实其他安全设施设计中的主要安全设施及措施，并建成投运。</w:t>
      </w:r>
    </w:p>
    <w:p w14:paraId="53D944EF">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国内现今同类加油站的管理模式和趋势，以及国家有关安全生产法律法规和标准的发展趋势，加油站必须整改安全设施设计中的未落实项，并在今后的经营过程中，应参照本评价报告提出的安全对策与建议进行逐步改进完善。</w:t>
      </w:r>
    </w:p>
    <w:p w14:paraId="513671FE">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46" w:name="_Toc7768"/>
      <w:r>
        <w:rPr>
          <w:rFonts w:hint="default" w:ascii="Times New Roman" w:hAnsi="Times New Roman" w:eastAsia="黑体" w:cs="Times New Roman"/>
          <w:b w:val="0"/>
          <w:bCs w:val="0"/>
          <w:caps w:val="0"/>
          <w:smallCaps w:val="0"/>
          <w:spacing w:val="0"/>
          <w:w w:val="100"/>
          <w:lang w:val="en-US" w:eastAsia="zh-CN"/>
        </w:rPr>
        <w:t>8</w:t>
      </w:r>
      <w:r>
        <w:rPr>
          <w:rFonts w:hint="default" w:ascii="Times New Roman" w:hAnsi="Times New Roman" w:eastAsia="黑体" w:cs="Times New Roman"/>
          <w:b w:val="0"/>
          <w:bCs w:val="0"/>
          <w:caps w:val="0"/>
          <w:smallCaps w:val="0"/>
          <w:spacing w:val="0"/>
          <w:w w:val="100"/>
        </w:rPr>
        <w:t>.</w:t>
      </w:r>
      <w:r>
        <w:rPr>
          <w:rFonts w:hint="default" w:ascii="Times New Roman" w:hAnsi="Times New Roman" w:eastAsia="黑体" w:cs="Times New Roman"/>
          <w:b w:val="0"/>
          <w:bCs w:val="0"/>
          <w:caps w:val="0"/>
          <w:smallCaps w:val="0"/>
          <w:spacing w:val="0"/>
          <w:w w:val="100"/>
          <w:lang w:val="en-US" w:eastAsia="zh-CN"/>
        </w:rPr>
        <w:t>2</w:t>
      </w:r>
      <w:r>
        <w:rPr>
          <w:rFonts w:hint="default" w:ascii="Times New Roman" w:hAnsi="Times New Roman" w:eastAsia="黑体" w:cs="Times New Roman"/>
          <w:b w:val="0"/>
          <w:bCs w:val="0"/>
          <w:caps w:val="0"/>
          <w:smallCaps w:val="0"/>
          <w:spacing w:val="0"/>
          <w:w w:val="100"/>
        </w:rPr>
        <w:t>.1主要装置、设备（设施）的维护与保养</w:t>
      </w:r>
      <w:bookmarkEnd w:id="340"/>
      <w:bookmarkEnd w:id="341"/>
      <w:bookmarkEnd w:id="342"/>
      <w:bookmarkEnd w:id="343"/>
      <w:bookmarkEnd w:id="344"/>
      <w:bookmarkEnd w:id="346"/>
    </w:p>
    <w:p w14:paraId="30C01011">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加油站主要的设备为加油机、储油罐、配电柜等，在正常经营过程中，制定相应的设备定期维护制度并严格落实，确保加油站相关设备的正常运行。</w:t>
      </w:r>
    </w:p>
    <w:p w14:paraId="53351A24">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47" w:name="_Toc29660"/>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.2防火、防爆对策措施</w:t>
      </w:r>
      <w:bookmarkEnd w:id="347"/>
    </w:p>
    <w:p w14:paraId="3738B93C">
      <w:pPr>
        <w:snapToGrid/>
        <w:ind w:firstLine="560" w:firstLineChars="200"/>
        <w:rPr>
          <w:rFonts w:hint="default" w:ascii="Times New Roman" w:hAnsi="Times New Roman" w:cs="Times New Roman"/>
          <w:caps w:val="0"/>
          <w:smallCaps w:val="0"/>
          <w:spacing w:val="0"/>
          <w:w w:val="100"/>
        </w:rPr>
      </w:pPr>
      <w:bookmarkStart w:id="348" w:name="_Toc304369745"/>
      <w:bookmarkStart w:id="349" w:name="_Toc301900535"/>
      <w:bookmarkStart w:id="350" w:name="_Toc309036015"/>
      <w:r>
        <w:rPr>
          <w:rFonts w:hint="default" w:ascii="Times New Roman" w:hAnsi="Times New Roman" w:cs="Times New Roman"/>
          <w:caps w:val="0"/>
          <w:smallCaps w:val="0"/>
          <w:spacing w:val="0"/>
          <w:w w:val="100"/>
        </w:rPr>
        <w:t>1.清洗油罐的污水含油量较大，必须专门收集处理。严禁直接排入下水道，以确保安全。</w:t>
      </w:r>
    </w:p>
    <w:p w14:paraId="16270AB1">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2.设置报警通信设施设备，便于与外界救援单位进行联系。</w:t>
      </w:r>
    </w:p>
    <w:p w14:paraId="72D1DE3F">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3.定期检测、检查防雷防静电设施、消防设施。</w:t>
      </w:r>
    </w:p>
    <w:p w14:paraId="78480EB2">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4．储罐区排水潜水泵及其相应供电设备、设施必须具有相应防爆功能。</w:t>
      </w:r>
    </w:p>
    <w:p w14:paraId="7F68AD95">
      <w:pPr>
        <w:snapToGrid/>
        <w:ind w:firstLine="560" w:firstLineChars="200"/>
        <w:rPr>
          <w:rFonts w:hint="default" w:ascii="Times New Roman" w:hAnsi="Times New Roman" w:cs="Times New Roman"/>
          <w:caps w:val="0"/>
          <w:smallCaps w:val="0"/>
          <w:spacing w:val="0"/>
          <w:w w:val="100"/>
          <w:szCs w:val="24"/>
        </w:rPr>
      </w:pPr>
      <w:r>
        <w:rPr>
          <w:rFonts w:hint="default" w:ascii="Times New Roman" w:hAnsi="Times New Roman" w:cs="Times New Roman"/>
          <w:caps w:val="0"/>
          <w:smallCaps w:val="0"/>
          <w:spacing w:val="0"/>
          <w:w w:val="100"/>
          <w:szCs w:val="24"/>
        </w:rPr>
        <w:t>5.加油站定期清理油水分离池。</w:t>
      </w:r>
    </w:p>
    <w:p w14:paraId="6DD8351F">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51" w:name="_Toc10155"/>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.3配电室对策措施</w:t>
      </w:r>
      <w:bookmarkEnd w:id="348"/>
      <w:bookmarkEnd w:id="349"/>
      <w:bookmarkEnd w:id="350"/>
      <w:bookmarkEnd w:id="351"/>
    </w:p>
    <w:p w14:paraId="1A7ADA2E">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配</w:t>
      </w:r>
      <w:r>
        <w:rPr>
          <w:rFonts w:hint="default" w:ascii="Times New Roman" w:hAnsi="Times New Roman" w:cs="Times New Roman"/>
          <w:caps w:val="0"/>
          <w:smallCaps w:val="0"/>
          <w:color w:val="000000" w:themeColor="text1"/>
          <w:spacing w:val="0"/>
          <w:w w:val="100"/>
          <w14:textFill>
            <w14:solidFill>
              <w14:schemeClr w14:val="tx1"/>
            </w14:solidFill>
          </w14:textFill>
        </w:rPr>
        <w:t>电柜或配电线路停电维修时，应挂接地线，并应悬挂“禁止合闸、有人工作”停电标志牌。停送电</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等电力作业</w:t>
      </w:r>
      <w:r>
        <w:rPr>
          <w:rFonts w:hint="default" w:ascii="Times New Roman" w:hAnsi="Times New Roman" w:cs="Times New Roman"/>
          <w:caps w:val="0"/>
          <w:smallCaps w:val="0"/>
          <w:color w:val="000000" w:themeColor="text1"/>
          <w:spacing w:val="0"/>
          <w:w w:val="100"/>
          <w14:textFill>
            <w14:solidFill>
              <w14:schemeClr w14:val="tx1"/>
            </w14:solidFill>
          </w14:textFill>
        </w:rPr>
        <w:t>必须由</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持有相应特种作业操作证人员完成</w:t>
      </w:r>
      <w:r>
        <w:rPr>
          <w:rFonts w:hint="default" w:ascii="Times New Roman" w:hAnsi="Times New Roman" w:cs="Times New Roman"/>
          <w:caps w:val="0"/>
          <w:smallCaps w:val="0"/>
          <w:color w:val="000000" w:themeColor="text1"/>
          <w:spacing w:val="0"/>
          <w:w w:val="100"/>
          <w14:textFill>
            <w14:solidFill>
              <w14:schemeClr w14:val="tx1"/>
            </w14:solidFill>
          </w14:textFill>
        </w:rPr>
        <w:t>。</w:t>
      </w:r>
    </w:p>
    <w:p w14:paraId="7610CA2F">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52" w:name="_Toc261072187"/>
      <w:bookmarkStart w:id="353" w:name="_Toc259390918"/>
      <w:bookmarkStart w:id="354" w:name="_Toc259174255"/>
      <w:bookmarkStart w:id="355" w:name="_Toc5599"/>
      <w:bookmarkStart w:id="356" w:name="_Toc195176774"/>
      <w:bookmarkStart w:id="357" w:name="_Toc227045872"/>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.4安全生产投入</w:t>
      </w:r>
      <w:bookmarkEnd w:id="352"/>
      <w:bookmarkEnd w:id="353"/>
      <w:bookmarkEnd w:id="354"/>
      <w:bookmarkEnd w:id="355"/>
      <w:bookmarkEnd w:id="356"/>
      <w:bookmarkEnd w:id="357"/>
    </w:p>
    <w:p w14:paraId="7D29651B">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加油站在正常经营过程中，必须保证从业人员的劳动防护用品能及时发放，应急救援器材能得到及时补充，设备故障能及时得到维修及配件供给，因此在资金上必须予以保证。</w:t>
      </w:r>
    </w:p>
    <w:p w14:paraId="3818BCB6">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58" w:name="_Toc325830216"/>
      <w:bookmarkStart w:id="359" w:name="_Toc31307"/>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.5储罐区管理措施及技术措施要求</w:t>
      </w:r>
      <w:bookmarkEnd w:id="358"/>
      <w:bookmarkEnd w:id="359"/>
    </w:p>
    <w:p w14:paraId="280C6E5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1.油罐按照《汽车加油加气加氢站技术标准》（GB 50156-2021）的要求设置油罐监控装置、报警装置并定期进行常规、专业检查；</w:t>
      </w:r>
      <w:r>
        <w:rPr>
          <w:rFonts w:hint="default" w:ascii="Times New Roman" w:hAnsi="Times New Roman" w:cs="Times New Roman"/>
          <w:caps w:val="0"/>
          <w:smallCaps w:val="0"/>
          <w:spacing w:val="0"/>
          <w:w w:val="100"/>
          <w:szCs w:val="24"/>
        </w:rPr>
        <w:t>油罐应采取卸油时的防满溢措施。油料达到油罐容量90%时，应能触动高液位报警装置；油料达到油罐容量95%时，应能自动停止油料继续进罐。高液位报警装置应位于工作人员便于觉察的地点。</w:t>
      </w:r>
    </w:p>
    <w:p w14:paraId="7FF26389">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spacing w:val="0"/>
          <w:w w:val="100"/>
        </w:rPr>
        <w:t>2.根据加油站实际建立应急救援组织，明确职责分工，配备相应设备设施</w:t>
      </w:r>
      <w:r>
        <w:rPr>
          <w:rFonts w:hint="default" w:ascii="Times New Roman" w:hAnsi="Times New Roman" w:cs="Times New Roman"/>
          <w:caps w:val="0"/>
          <w:smallCaps w:val="0"/>
          <w:color w:val="000000" w:themeColor="text1"/>
          <w:spacing w:val="0"/>
          <w:w w:val="100"/>
          <w14:textFill>
            <w14:solidFill>
              <w14:schemeClr w14:val="tx1"/>
            </w14:solidFill>
          </w14:textFill>
        </w:rPr>
        <w:t>，定期演练并做好记录；</w:t>
      </w:r>
    </w:p>
    <w:p w14:paraId="10E16DBE">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color w:val="000000" w:themeColor="text1"/>
          <w:spacing w:val="0"/>
          <w:w w:val="100"/>
          <w14:textFill>
            <w14:solidFill>
              <w14:schemeClr w14:val="tx1"/>
            </w14:solidFill>
          </w14:textFill>
        </w:rPr>
        <w:t>3.不断加强对员工安全作业的培训教育，并做到持证上岗；</w:t>
      </w:r>
    </w:p>
    <w:p w14:paraId="333BC5F3">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color w:val="000000" w:themeColor="text1"/>
          <w:spacing w:val="0"/>
          <w:w w:val="100"/>
          <w14:textFill>
            <w14:solidFill>
              <w14:schemeClr w14:val="tx1"/>
            </w14:solidFill>
          </w14:textFill>
        </w:rPr>
        <w:t>4.在运营过程中定期对加油站进行安全检查，对重点部位，储油罐及附件、阀门、管线等加大检查力度，发现隐患及时整改，防患于未然；</w:t>
      </w:r>
    </w:p>
    <w:p w14:paraId="1725D066">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color w:val="000000" w:themeColor="text1"/>
          <w:spacing w:val="0"/>
          <w:w w:val="100"/>
          <w14:textFill>
            <w14:solidFill>
              <w14:schemeClr w14:val="tx1"/>
            </w14:solidFill>
          </w14:textFill>
        </w:rPr>
        <w:t>5.建立健全安全管理制度，加强对涉及其安全管理人员的安全教育培训；</w:t>
      </w:r>
    </w:p>
    <w:p w14:paraId="20B899B8">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color w:val="000000" w:themeColor="text1"/>
          <w:spacing w:val="0"/>
          <w:w w:val="100"/>
          <w14:textFill>
            <w14:solidFill>
              <w14:schemeClr w14:val="tx1"/>
            </w14:solidFill>
          </w14:textFill>
        </w:rPr>
        <w:t>6.加强日常安全管理，积极落实与其相关的安全管理制度；</w:t>
      </w:r>
    </w:p>
    <w:p w14:paraId="64EDF851">
      <w:pPr>
        <w:snapToGrid/>
        <w:ind w:firstLine="560" w:firstLineChars="200"/>
        <w:rPr>
          <w:rFonts w:hint="default" w:ascii="Times New Roman" w:hAnsi="Times New Roman" w:cs="Times New Roman"/>
          <w:caps w:val="0"/>
          <w:smallCaps w:val="0"/>
          <w:color w:val="000000" w:themeColor="text1"/>
          <w:spacing w:val="0"/>
          <w:w w:val="100"/>
          <w:lang w:val="zh-CN"/>
          <w14:textFill>
            <w14:solidFill>
              <w14:schemeClr w14:val="tx1"/>
            </w14:solidFill>
          </w14:textFill>
        </w:rPr>
      </w:pPr>
      <w:r>
        <w:rPr>
          <w:rFonts w:hint="default" w:ascii="Times New Roman" w:hAnsi="Times New Roman" w:cs="Times New Roman"/>
          <w:caps w:val="0"/>
          <w:smallCaps w:val="0"/>
          <w:color w:val="000000" w:themeColor="text1"/>
          <w:spacing w:val="0"/>
          <w:w w:val="100"/>
          <w14:textFill>
            <w14:solidFill>
              <w14:schemeClr w14:val="tx1"/>
            </w14:solidFill>
          </w14:textFill>
        </w:rPr>
        <w:t>7.</w:t>
      </w:r>
      <w:r>
        <w:rPr>
          <w:rFonts w:hint="default" w:ascii="Times New Roman" w:hAnsi="Times New Roman" w:cs="Times New Roman"/>
          <w:caps w:val="0"/>
          <w:smallCaps w:val="0"/>
          <w:color w:val="000000" w:themeColor="text1"/>
          <w:spacing w:val="0"/>
          <w:w w:val="100"/>
          <w:lang w:val="zh-CN"/>
          <w14:textFill>
            <w14:solidFill>
              <w14:schemeClr w14:val="tx1"/>
            </w14:solidFill>
          </w14:textFill>
        </w:rPr>
        <w:t>承重罐池上方设置相应</w:t>
      </w:r>
      <w:r>
        <w:rPr>
          <w:rFonts w:hint="default" w:ascii="Times New Roman" w:hAnsi="Times New Roman" w:cs="Times New Roman"/>
          <w:caps w:val="0"/>
          <w:smallCaps w:val="0"/>
          <w:color w:val="000000" w:themeColor="text1"/>
          <w:spacing w:val="0"/>
          <w:w w:val="100"/>
          <w14:textFill>
            <w14:solidFill>
              <w14:schemeClr w14:val="tx1"/>
            </w14:solidFill>
          </w14:textFill>
        </w:rPr>
        <w:t>标识</w:t>
      </w:r>
      <w:r>
        <w:rPr>
          <w:rFonts w:hint="default" w:ascii="Times New Roman" w:hAnsi="Times New Roman" w:cs="Times New Roman"/>
          <w:caps w:val="0"/>
          <w:smallCaps w:val="0"/>
          <w:color w:val="000000" w:themeColor="text1"/>
          <w:spacing w:val="0"/>
          <w:w w:val="100"/>
          <w:lang w:val="zh-CN"/>
          <w14:textFill>
            <w14:solidFill>
              <w14:schemeClr w14:val="tx1"/>
            </w14:solidFill>
          </w14:textFill>
        </w:rPr>
        <w:t>，不能作为停车位使用；</w:t>
      </w:r>
    </w:p>
    <w:p w14:paraId="6D4288BC">
      <w:p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8.严格遵守加油站制定的操作规程及安全检查制度，定期对操作井进行检查，并在检查前确保安全措施到位，日常检查的要点：</w:t>
      </w:r>
    </w:p>
    <w:p w14:paraId="19FE9B61">
      <w:p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①确认操作井内各法兰盘的密封垫片完好，注意法兰的紧固，要对角线紧固法兰螺栓防止法兰不平；</w:t>
      </w:r>
    </w:p>
    <w:p w14:paraId="1C84CDAD">
      <w:p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②确保操作井内电器连接的防爆管堵头完好有效，防爆接线盒、防爆管都设置有堵头，确保各堵头紧固完好；</w:t>
      </w:r>
    </w:p>
    <w:p w14:paraId="1BB3168E">
      <w:p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③检查人工计量口盖子的密封胶垫是否完好，也可将人口计量口改为球阀，以确保密闭性。</w:t>
      </w:r>
    </w:p>
    <w:p w14:paraId="18237D51">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9.</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打开操作井盖进行换气通风时，需要用警戒线将车辆和人员隔离在2~3m外，现场上方口位置摆放消防器材，同时安排专人做好现场监。</w:t>
      </w:r>
    </w:p>
    <w:p w14:paraId="10FFB340">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10.</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进入操作井前，严格按照《危险化学品企业特殊作业安全管理规范》</w:t>
      </w: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GB30871-2022</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的要求，打开井盖自然通风</w:t>
      </w: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5min</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，对操作井内空间进行气体检测，检测分析合格后方可进入。</w:t>
      </w:r>
    </w:p>
    <w:p w14:paraId="16062F9B">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11.</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进入操作井，操作人员必须穿戴防静电工作服、工作鞋，使用防爆工器具，非防爆的通讯和电器设备不得带入操作井内，作业时现场安排专人监护，随时与作业人员联系，防止作业人员发生中毒窒息事故。</w:t>
      </w:r>
    </w:p>
    <w:p w14:paraId="28A9FE10">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12.</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承重罐操作井进水风险的防范措施</w:t>
      </w: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w:t>
      </w:r>
    </w:p>
    <w:p w14:paraId="521B35BD">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①在操作井内放置固体除湿干燥材料吸附水蒸汽，以达到除潮湿的目的；</w:t>
      </w:r>
    </w:p>
    <w:p w14:paraId="23AEB521">
      <w:pPr>
        <w:numPr>
          <w:ilvl w:val="0"/>
          <w:numId w:val="0"/>
        </w:numPr>
        <w:snapToGrid/>
        <w:ind w:firstLine="560" w:firstLineChars="200"/>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②使用保温防潮垫吸收密封空间内的水蒸汽，防止冷凝水的形成。</w:t>
      </w:r>
    </w:p>
    <w:p w14:paraId="1E4E5210">
      <w:pPr>
        <w:numPr>
          <w:ilvl w:val="0"/>
          <w:numId w:val="0"/>
        </w:numPr>
        <w:snapToGrid/>
        <w:ind w:firstLine="560" w:firstLineChars="200"/>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③在安全防护措施到位的情况下打开操作盖进行通风。</w:t>
      </w:r>
    </w:p>
    <w:p w14:paraId="418452D3">
      <w:pPr>
        <w:numPr>
          <w:ilvl w:val="0"/>
          <w:numId w:val="0"/>
        </w:numPr>
        <w:snapToGrid/>
        <w:ind w:firstLine="560" w:firstLineChars="200"/>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13.</w:t>
      </w: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使用无缝的一体化操作井，采用带止水钢板油罐。</w:t>
      </w:r>
    </w:p>
    <w:p w14:paraId="719995CB">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14.</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雨天可采取在操作井盖上铺橡胶垫的方式缓解操作井进水，雨水倒灌加油站时可采取预防性围挡覆盖减少雨水进井，事后及时开展积水清理和设备维护保养工作</w:t>
      </w: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w:t>
      </w:r>
    </w:p>
    <w:p w14:paraId="7D694457">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15.</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定期清除承重井框内的尘土和沙粒，定期检查和更换井盖的密封软胶条，以确保操作井盖的密闭性有效</w:t>
      </w: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w:t>
      </w:r>
    </w:p>
    <w:p w14:paraId="58DFBC28">
      <w:pPr>
        <w:numPr>
          <w:ilvl w:val="0"/>
          <w:numId w:val="0"/>
        </w:num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16.</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操作井盖开盖后注意回盖完整有效，防止被车辆碾压后软胶条损坏</w:t>
      </w:r>
      <w:r>
        <w:rPr>
          <w:rFonts w:hint="eastAsia" w:ascii="Times New Roman" w:hAnsi="Times New Roman" w:cs="Times New Roman"/>
          <w:caps w:val="0"/>
          <w:smallCaps w:val="0"/>
          <w:color w:val="000000" w:themeColor="text1"/>
          <w:spacing w:val="0"/>
          <w:w w:val="100"/>
          <w:lang w:val="en-US" w:eastAsia="zh-CN"/>
          <w14:textFill>
            <w14:solidFill>
              <w14:schemeClr w14:val="tx1"/>
            </w14:solidFill>
          </w14:textFill>
        </w:rPr>
        <w:t>。</w:t>
      </w:r>
    </w:p>
    <w:p w14:paraId="185C186A">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lang w:eastAsia="zh-CN"/>
        </w:rPr>
      </w:pPr>
      <w:bookmarkStart w:id="360" w:name="_Toc7197"/>
      <w:bookmarkStart w:id="361" w:name="_Toc325830217"/>
      <w:r>
        <w:rPr>
          <w:rFonts w:hint="default" w:ascii="Times New Roman" w:hAnsi="Times New Roman" w:eastAsia="黑体" w:cs="Times New Roman"/>
          <w:b w:val="0"/>
          <w:bCs w:val="0"/>
          <w:caps w:val="0"/>
          <w:smallCaps w:val="0"/>
          <w:spacing w:val="0"/>
          <w:w w:val="100"/>
          <w:lang w:eastAsia="zh-CN"/>
        </w:rPr>
        <w:t>8.2.6重点监管的危险化学品对策措施和建议</w:t>
      </w:r>
      <w:bookmarkEnd w:id="360"/>
      <w:bookmarkEnd w:id="361"/>
    </w:p>
    <w:p w14:paraId="20215DF2">
      <w:pPr>
        <w:keepNext/>
        <w:keepLines/>
        <w:snapToGrid/>
        <w:ind w:firstLine="560" w:firstLineChars="200"/>
        <w:rPr>
          <w:rFonts w:hint="default" w:ascii="Times New Roman" w:hAnsi="Times New Roman" w:cs="Times New Roman"/>
          <w:b/>
          <w:caps w:val="0"/>
          <w:smallCaps w:val="0"/>
          <w:spacing w:val="0"/>
          <w:w w:val="100"/>
        </w:rPr>
      </w:pPr>
      <w:r>
        <w:rPr>
          <w:rFonts w:hint="default" w:ascii="Times New Roman" w:hAnsi="Times New Roman" w:cs="Times New Roman"/>
          <w:b/>
          <w:caps w:val="0"/>
          <w:smallCaps w:val="0"/>
          <w:spacing w:val="0"/>
          <w:w w:val="100"/>
        </w:rPr>
        <w:t>针对汽油的安全措施</w:t>
      </w:r>
    </w:p>
    <w:p w14:paraId="3B1DD2AC">
      <w:pPr>
        <w:keepNext/>
        <w:keepLines/>
        <w:snapToGrid/>
        <w:ind w:firstLine="560" w:firstLineChars="200"/>
        <w:rPr>
          <w:rFonts w:hint="default" w:ascii="Times New Roman" w:hAnsi="Times New Roman" w:cs="Times New Roman"/>
          <w:b/>
          <w:caps w:val="0"/>
          <w:smallCaps w:val="0"/>
          <w:spacing w:val="0"/>
          <w:w w:val="100"/>
        </w:rPr>
      </w:pPr>
      <w:bookmarkStart w:id="362" w:name="_Toc402343727"/>
      <w:r>
        <w:rPr>
          <w:rFonts w:hint="default" w:ascii="Times New Roman" w:hAnsi="Times New Roman" w:cs="Times New Roman"/>
          <w:b/>
          <w:caps w:val="0"/>
          <w:smallCaps w:val="0"/>
          <w:spacing w:val="0"/>
          <w:w w:val="100"/>
        </w:rPr>
        <w:t>【一般要求】</w:t>
      </w:r>
      <w:bookmarkEnd w:id="362"/>
    </w:p>
    <w:p w14:paraId="0227EE73">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操作人员必须经过专门培训，严格遵守操作规程，熟练掌握操作技能，具备应急处置知识。</w:t>
      </w:r>
    </w:p>
    <w:p w14:paraId="50F35CB6">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密闭操作，防止泄漏，工作场所全面通风。远离火种、热源，工作场所严禁吸烟。操作人员穿防静电工作服，戴耐油橡胶手套。</w:t>
      </w:r>
    </w:p>
    <w:p w14:paraId="23388F08">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避免与氧化剂接触。</w:t>
      </w:r>
    </w:p>
    <w:p w14:paraId="4BD3F960">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储存区域应设置安全警示标志。装卸时应控制流速，且有接地装置，防止静电积聚。配备相应品种和数量的消防器材及泄漏应急处理设备。</w:t>
      </w:r>
    </w:p>
    <w:p w14:paraId="1E12BF0E">
      <w:pPr>
        <w:pStyle w:val="54"/>
        <w:snapToGrid/>
        <w:rPr>
          <w:rFonts w:hint="default" w:ascii="Times New Roman" w:hAnsi="Times New Roman" w:eastAsia="宋体" w:cs="Times New Roman"/>
          <w:caps w:val="0"/>
          <w:smallCaps w:val="0"/>
          <w:spacing w:val="0"/>
          <w:w w:val="100"/>
        </w:rPr>
      </w:pPr>
      <w:r>
        <w:rPr>
          <w:rFonts w:hint="default" w:ascii="Times New Roman" w:hAnsi="Times New Roman" w:eastAsia="宋体" w:cs="Times New Roman"/>
          <w:caps w:val="0"/>
          <w:smallCaps w:val="0"/>
          <w:spacing w:val="0"/>
          <w:w w:val="100"/>
        </w:rPr>
        <w:t>【特殊要求】</w:t>
      </w:r>
    </w:p>
    <w:p w14:paraId="50383422">
      <w:pPr>
        <w:pStyle w:val="54"/>
        <w:snapToGrid/>
        <w:rPr>
          <w:rFonts w:hint="default" w:ascii="Times New Roman" w:hAnsi="Times New Roman" w:eastAsia="宋体" w:cs="Times New Roman"/>
          <w:caps w:val="0"/>
          <w:smallCaps w:val="0"/>
          <w:spacing w:val="0"/>
          <w:w w:val="100"/>
        </w:rPr>
      </w:pPr>
      <w:r>
        <w:rPr>
          <w:rFonts w:hint="default" w:ascii="Times New Roman" w:hAnsi="Times New Roman" w:eastAsia="宋体" w:cs="Times New Roman"/>
          <w:caps w:val="0"/>
          <w:smallCaps w:val="0"/>
          <w:spacing w:val="0"/>
          <w:w w:val="100"/>
        </w:rPr>
        <w:t>操作安全：</w:t>
      </w:r>
    </w:p>
    <w:p w14:paraId="1734D11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（1）油罐附近要严禁烟火，禁止将汽油与其他易燃物放在一起。</w:t>
      </w:r>
    </w:p>
    <w:p w14:paraId="60467044">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往油罐装油时，输油管要插入油面以下或接近罐的底部，以减少油料的冲击和与空气的摩擦。沾油料的布、油棉纱头、油手套等不要放在油库内，以免发生自燃。不要用铁器工具敲击汽油桶，特别是空汽油桶，因为桶内充满汽油与空气的混合气，而且经常处于爆炸极限之内，一遇明火，就能引起爆炸。</w:t>
      </w:r>
    </w:p>
    <w:p w14:paraId="094DC5C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（3）当进行灌装汽油时，邻近的汽车、拖拉机的排气管要戴上防火帽后才能发动，存汽油地点附近严禁检修车辆。</w:t>
      </w:r>
    </w:p>
    <w:p w14:paraId="07A964C6">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（4）汽油油罐和贮存汽油区的上空，不应有电线、通讯线通过。</w:t>
      </w:r>
    </w:p>
    <w:p w14:paraId="088BAE9D">
      <w:pPr>
        <w:pStyle w:val="54"/>
        <w:snapToGrid/>
        <w:rPr>
          <w:rFonts w:hint="default" w:ascii="Times New Roman" w:hAnsi="Times New Roman" w:eastAsia="宋体" w:cs="Times New Roman"/>
          <w:caps w:val="0"/>
          <w:smallCaps w:val="0"/>
          <w:spacing w:val="0"/>
          <w:w w:val="100"/>
        </w:rPr>
      </w:pPr>
      <w:r>
        <w:rPr>
          <w:rFonts w:hint="default" w:ascii="Times New Roman" w:hAnsi="Times New Roman" w:eastAsia="宋体" w:cs="Times New Roman"/>
          <w:caps w:val="0"/>
          <w:smallCaps w:val="0"/>
          <w:spacing w:val="0"/>
          <w:w w:val="100"/>
        </w:rPr>
        <w:t>储存安全：</w:t>
      </w:r>
    </w:p>
    <w:p w14:paraId="71B676BA">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（1）汽油、柴油应与氧化剂分开存放，切忌混储。用储罐、铁桶等容器盛装，不要用塑料桶来存放汽油。盛装时，切不可充满，要留出必要的安全空间。</w:t>
      </w:r>
    </w:p>
    <w:p w14:paraId="7FF5B886">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（2）采用防爆型照明、通风设施。禁止使用易产生火花的机械设备和工具。储存区应备有泄漏应急处理设备和合适的收容材料。罐储时要有防火防爆技术措施。</w:t>
      </w:r>
    </w:p>
    <w:p w14:paraId="10B4EFBC">
      <w:pPr>
        <w:pStyle w:val="54"/>
        <w:snapToGrid/>
        <w:rPr>
          <w:rFonts w:hint="default" w:ascii="Times New Roman" w:hAnsi="Times New Roman" w:eastAsia="宋体" w:cs="Times New Roman"/>
          <w:caps w:val="0"/>
          <w:smallCaps w:val="0"/>
          <w:spacing w:val="0"/>
          <w:w w:val="100"/>
        </w:rPr>
      </w:pPr>
      <w:r>
        <w:rPr>
          <w:rFonts w:hint="default" w:ascii="Times New Roman" w:hAnsi="Times New Roman" w:eastAsia="宋体" w:cs="Times New Roman"/>
          <w:caps w:val="0"/>
          <w:smallCaps w:val="0"/>
          <w:spacing w:val="0"/>
          <w:w w:val="100"/>
        </w:rPr>
        <w:t>运输安全：</w:t>
      </w:r>
    </w:p>
    <w:p w14:paraId="085DA6F0">
      <w:pPr>
        <w:snapToGrid/>
        <w:ind w:left="57"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（1）运输车辆应有危险货物运输标志、安装具有行驶记录功能的卫星定位装置。未经公安机关批准，运输车辆不得进入危险化学品运输车辆限制通行的区域。</w:t>
      </w:r>
    </w:p>
    <w:p w14:paraId="0BD9FC0A">
      <w:pPr>
        <w:pStyle w:val="12"/>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汽油装于专用的槽车内运输，槽车应定期清理；用其他包装容器运输时，容器须用盖密封。运送汽油的油罐汽车，在到达卸油点后应连结卸油箱内设置的释放静电接地设施，作业人员的则通过手摸静电释放桩上的释放球进行静电释放。运输时运输车辆应配备相应品种和数量的消防器材。装运该物品的车辆排气管必须配备阻火装置，禁止使用易产生火花的机械设备和工具装卸。汽车槽罐内可设孔隔板以减少震荡产生静电。</w:t>
      </w:r>
    </w:p>
    <w:p w14:paraId="44A6BD9C">
      <w:pPr>
        <w:snapToGrid/>
        <w:ind w:left="57"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（3）严禁与氧化剂等混装混运。夏季最好早晚运输，运输途中应防暴晒、防雨淋、防高温。中途停留时应远离火种、热源、高温区及人口密集地段。</w:t>
      </w:r>
    </w:p>
    <w:p w14:paraId="4BC4E96E">
      <w:pPr>
        <w:snapToGrid/>
        <w:ind w:left="57" w:firstLine="560" w:firstLineChars="200"/>
        <w:rPr>
          <w:rFonts w:hint="default" w:ascii="Times New Roman" w:hAnsi="Times New Roman" w:cs="Times New Roman"/>
          <w:b/>
          <w:caps w:val="0"/>
          <w:smallCaps w:val="0"/>
          <w:spacing w:val="0"/>
          <w:w w:val="100"/>
        </w:rPr>
      </w:pPr>
      <w:r>
        <w:rPr>
          <w:rFonts w:hint="default" w:ascii="Times New Roman" w:hAnsi="Times New Roman" w:cs="Times New Roman"/>
          <w:caps w:val="0"/>
          <w:smallCaps w:val="0"/>
          <w:spacing w:val="0"/>
          <w:w w:val="100"/>
        </w:rPr>
        <w:t>（4）输送汽油的管道不应靠近热源敷设；外露汽油管道外壁颜色、标志应执行《工业管道的基本识别色、识别符号和安全标识》（GB 7231-2003）的规定。</w:t>
      </w:r>
    </w:p>
    <w:p w14:paraId="5C3C000B">
      <w:pPr>
        <w:snapToGrid/>
        <w:rPr>
          <w:rFonts w:hint="default" w:ascii="Times New Roman" w:hAnsi="Times New Roman" w:cs="Times New Roman"/>
          <w:b/>
          <w:caps w:val="0"/>
          <w:smallCaps w:val="0"/>
          <w:spacing w:val="0"/>
          <w:w w:val="100"/>
        </w:rPr>
      </w:pPr>
      <w:r>
        <w:rPr>
          <w:rFonts w:hint="default" w:ascii="Times New Roman" w:hAnsi="Times New Roman" w:cs="Times New Roman"/>
          <w:b/>
          <w:caps w:val="0"/>
          <w:smallCaps w:val="0"/>
          <w:spacing w:val="0"/>
          <w:w w:val="100"/>
        </w:rPr>
        <w:t>汽油应急处置原则：</w:t>
      </w:r>
    </w:p>
    <w:p w14:paraId="04DA9318">
      <w:pPr>
        <w:snapToGrid/>
        <w:rPr>
          <w:rFonts w:hint="default" w:ascii="Times New Roman" w:hAnsi="Times New Roman" w:cs="Times New Roman"/>
          <w:b/>
          <w:caps w:val="0"/>
          <w:smallCaps w:val="0"/>
          <w:spacing w:val="0"/>
          <w:w w:val="100"/>
        </w:rPr>
      </w:pPr>
      <w:bookmarkStart w:id="363" w:name="_Toc402343728"/>
      <w:r>
        <w:rPr>
          <w:rFonts w:hint="default" w:ascii="Times New Roman" w:hAnsi="Times New Roman" w:cs="Times New Roman"/>
          <w:b/>
          <w:caps w:val="0"/>
          <w:smallCaps w:val="0"/>
          <w:spacing w:val="0"/>
          <w:w w:val="100"/>
        </w:rPr>
        <w:t>【急救措施】</w:t>
      </w:r>
      <w:bookmarkEnd w:id="363"/>
    </w:p>
    <w:p w14:paraId="5049C52D">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吸入：迅速脱离现场至空气新鲜处；保持呼吸道通畅；如呼吸困难，尽快给氧；如呼吸停止，立即进行人工呼吸，立即就医。</w:t>
      </w:r>
    </w:p>
    <w:p w14:paraId="391E37CC">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食入：给饮牛奶或用植物油洗胃和灌肠；尽快就医。</w:t>
      </w:r>
    </w:p>
    <w:p w14:paraId="574F6EE4">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皮肤接触：立即脱去污染的衣着，用肥皂水和清水彻底冲洗皮肤，尽快就医。</w:t>
      </w:r>
    </w:p>
    <w:p w14:paraId="1D5DFC3E">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眼睛接触：立即提起眼睑，用大量流动清水或生理盐水彻底冲洗至少15min，尽快就医。</w:t>
      </w:r>
    </w:p>
    <w:p w14:paraId="39A2A114">
      <w:pPr>
        <w:pStyle w:val="54"/>
        <w:snapToGrid/>
        <w:rPr>
          <w:rFonts w:hint="default" w:ascii="Times New Roman" w:hAnsi="Times New Roman" w:eastAsia="宋体" w:cs="Times New Roman"/>
          <w:caps w:val="0"/>
          <w:smallCaps w:val="0"/>
          <w:spacing w:val="0"/>
          <w:w w:val="100"/>
        </w:rPr>
      </w:pPr>
      <w:bookmarkStart w:id="364" w:name="_Toc402343729"/>
      <w:r>
        <w:rPr>
          <w:rFonts w:hint="default" w:ascii="Times New Roman" w:hAnsi="Times New Roman" w:eastAsia="宋体" w:cs="Times New Roman"/>
          <w:caps w:val="0"/>
          <w:smallCaps w:val="0"/>
          <w:spacing w:val="0"/>
          <w:w w:val="100"/>
        </w:rPr>
        <w:t>【灭火方法】</w:t>
      </w:r>
      <w:bookmarkEnd w:id="364"/>
    </w:p>
    <w:p w14:paraId="2F0A4BD7">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喷水冷却容器，尽可能将容器从火场移至空旷处。</w:t>
      </w:r>
    </w:p>
    <w:p w14:paraId="390C4D33">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灭火剂：泡沫、干粉、二氧化碳。用水灭火无效。</w:t>
      </w:r>
    </w:p>
    <w:p w14:paraId="27FA6C0E">
      <w:pPr>
        <w:pStyle w:val="54"/>
        <w:snapToGrid/>
        <w:rPr>
          <w:rFonts w:hint="default" w:ascii="Times New Roman" w:hAnsi="Times New Roman" w:eastAsia="宋体" w:cs="Times New Roman"/>
          <w:caps w:val="0"/>
          <w:smallCaps w:val="0"/>
          <w:spacing w:val="0"/>
          <w:w w:val="100"/>
        </w:rPr>
      </w:pPr>
      <w:bookmarkStart w:id="365" w:name="_Toc402343730"/>
      <w:r>
        <w:rPr>
          <w:rFonts w:hint="default" w:ascii="Times New Roman" w:hAnsi="Times New Roman" w:eastAsia="宋体" w:cs="Times New Roman"/>
          <w:caps w:val="0"/>
          <w:smallCaps w:val="0"/>
          <w:spacing w:val="0"/>
          <w:w w:val="100"/>
        </w:rPr>
        <w:t>【泄漏应急处置】</w:t>
      </w:r>
      <w:bookmarkEnd w:id="365"/>
    </w:p>
    <w:p w14:paraId="4D101659">
      <w:pPr>
        <w:pStyle w:val="55"/>
        <w:snapToGrid/>
        <w:rPr>
          <w:rFonts w:hint="default" w:ascii="Times New Roman" w:hAnsi="Times New Roman" w:cs="Times New Roman"/>
          <w:caps w:val="0"/>
          <w:smallCaps w:val="0"/>
          <w:spacing w:val="0"/>
          <w:w w:val="100"/>
        </w:rPr>
      </w:pPr>
      <w:bookmarkStart w:id="366" w:name="_Toc363658294"/>
      <w:bookmarkStart w:id="367" w:name="_Toc363656331"/>
      <w:bookmarkStart w:id="368" w:name="_Toc363644749"/>
      <w:bookmarkStart w:id="369" w:name="_Toc394903370"/>
      <w:bookmarkStart w:id="370" w:name="_Toc385862290"/>
      <w:bookmarkStart w:id="371" w:name="_Toc259390919"/>
      <w:bookmarkStart w:id="372" w:name="_Toc227045873"/>
      <w:bookmarkStart w:id="373" w:name="_Toc259174256"/>
      <w:bookmarkStart w:id="374" w:name="_Toc261072188"/>
      <w:r>
        <w:rPr>
          <w:rFonts w:hint="default" w:ascii="Times New Roman" w:hAnsi="Times New Roman" w:cs="Times New Roman"/>
          <w:caps w:val="0"/>
          <w:smallCaps w:val="0"/>
          <w:spacing w:val="0"/>
          <w:w w:val="100"/>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发生泄漏：用砂土或其他不燃材料吸收。使用洁净的无火花工具（吸油毡）收集。</w:t>
      </w:r>
    </w:p>
    <w:p w14:paraId="7D36362F">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作为一项紧急预防措施，泄漏隔离距离至少为50m。</w:t>
      </w:r>
    </w:p>
    <w:p w14:paraId="23C9B1D2">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75" w:name="_Toc29913"/>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.7加油站油品卸油对策措施</w:t>
      </w:r>
      <w:bookmarkEnd w:id="366"/>
      <w:bookmarkEnd w:id="367"/>
      <w:bookmarkEnd w:id="368"/>
      <w:bookmarkEnd w:id="369"/>
      <w:bookmarkEnd w:id="370"/>
      <w:bookmarkEnd w:id="375"/>
    </w:p>
    <w:p w14:paraId="0BB78BCD">
      <w:pPr>
        <w:snapToGrid/>
        <w:ind w:firstLine="560" w:firstLineChars="200"/>
        <w:rPr>
          <w:rFonts w:hint="default" w:ascii="Times New Roman" w:hAnsi="Times New Roman" w:cs="Times New Roman"/>
          <w:caps w:val="0"/>
          <w:smallCaps w:val="0"/>
          <w:spacing w:val="0"/>
          <w:w w:val="100"/>
          <w:szCs w:val="28"/>
        </w:rPr>
      </w:pPr>
      <w:bookmarkStart w:id="376" w:name="_Toc363656332"/>
      <w:bookmarkStart w:id="377" w:name="_Toc363644750"/>
      <w:bookmarkStart w:id="378" w:name="_Toc363658295"/>
      <w:r>
        <w:rPr>
          <w:rFonts w:hint="default" w:ascii="Times New Roman" w:hAnsi="Times New Roman" w:cs="Times New Roman"/>
          <w:caps w:val="0"/>
          <w:smallCaps w:val="0"/>
          <w:spacing w:val="0"/>
          <w:w w:val="100"/>
          <w:szCs w:val="28"/>
        </w:rPr>
        <w:t>1.基本要求</w:t>
      </w:r>
    </w:p>
    <w:p w14:paraId="1B7AE807">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（1）应具备密闭卸油的条件。</w:t>
      </w:r>
    </w:p>
    <w:p w14:paraId="552422FE">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（2）防静电接地设施完好。</w:t>
      </w:r>
    </w:p>
    <w:p w14:paraId="665F4AEE">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（3）油罐车车辆正常，防火防静电设施完备。</w:t>
      </w:r>
    </w:p>
    <w:p w14:paraId="70CA7270">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（4）卸油作业所需消防器材配备齐全。</w:t>
      </w:r>
    </w:p>
    <w:p w14:paraId="219514B2">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（5）雷雨期间不得进行卸油作业。</w:t>
      </w:r>
    </w:p>
    <w:p w14:paraId="6F47BA9E">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2.卸油</w:t>
      </w:r>
    </w:p>
    <w:p w14:paraId="2DCF23F4">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（1）油罐车进、出加油站或倒车时，应由加油站人员引导、指挥。</w:t>
      </w:r>
    </w:p>
    <w:p w14:paraId="7EA3187C">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（2）油罐车应停放于卸油专用区，熄火并拉上手刹刹车、于车轮处放置轮挡；并使车头向外，以利紧急事故发生时，可迅速驶离。</w:t>
      </w:r>
    </w:p>
    <w:p w14:paraId="51EF4CE0">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（3）卸油过程中，卸油人员和油罐车驾驶员不应离开作业现场，打雷时应停止卸油作业。</w:t>
      </w:r>
    </w:p>
    <w:p w14:paraId="646502B7">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（4）向储罐卸油时，与该罐连接的给油设备应停止使用。卸油前应检查油罐的存油量，以防卸油时溢油。卸油作业中，严禁用量油尺计量油罐。</w:t>
      </w:r>
    </w:p>
    <w:p w14:paraId="1226226A">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（5）卸油作业中，必须有专人在现场监视，并禁止车辆及非工作人员进入卸油区。</w:t>
      </w:r>
    </w:p>
    <w:p w14:paraId="5C03009E">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（6）检查确认油罐计量孔密闭良好。</w:t>
      </w:r>
    </w:p>
    <w:p w14:paraId="7A3B8B81">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（7）油罐车进站后，卸油人员应立即检查油罐车的安全设施是否齐全有效，油罐车的排气管应安装防火罩。检查合格后，引导油罐车进入卸油现场，应先接妥静电接地线夹头接线并确实接触。</w:t>
      </w:r>
    </w:p>
    <w:p w14:paraId="5963D976">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（8）油罐车熄火稳油5min后，卸油员按工艺流程连接卸油管及油气回收管及接头，将接头结合紧密，保持卸油管自然弯曲；经计量后准备接卸；按规定在卸油位置上风处摆放干粉灭火器。</w:t>
      </w:r>
    </w:p>
    <w:p w14:paraId="669A589C">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（9）卸油前，核对罐车与油罐中油品的品名、牌号是否一致，各项准备工作检查无误后，能自流卸油的不泵送卸油。</w:t>
      </w:r>
    </w:p>
    <w:p w14:paraId="4A464338">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（10）油罐车驾驶员缓慢开启卸油阀卸油。卸油员集中精力监视、观察卸油管线、相关闸阀、过滤器等设备的运行情况，随时准备处理可能发生的问题。</w:t>
      </w:r>
    </w:p>
    <w:p w14:paraId="048DA06D">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11）卸油完毕，油罐车驾驶员应关闭卸油阀；卸油员应先拆卸油管与油罐车连接端头，并将卸油管抬高使管内油料流入油罐内并防止溅出。盖严罐口处的卸油帽，收回静电导线。收存卸油管、油气回收管时不可抛摔，以防接头变形。</w:t>
      </w:r>
    </w:p>
    <w:p w14:paraId="48502A59">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（12）卸油完毕罐车静置5min后，卸油员引导油罐车启车、离站，清理卸油现场，将消防器材放回原位。</w:t>
      </w:r>
    </w:p>
    <w:p w14:paraId="46756D60">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（13）待罐内油面静止平稳后，通知加油员开机加油。</w:t>
      </w:r>
    </w:p>
    <w:p w14:paraId="21F1DBEF">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（14）卸油时若发生油料溅溢时，应立即停止卸油并立即处理。</w:t>
      </w:r>
    </w:p>
    <w:p w14:paraId="568F346B">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（15）卸油时如发生交通事故、火灾事故、爆炸事故、破坏事故和伤亡事故等重大事故，应立即停止卸油作业，同时应将油罐车驶离加油站。</w:t>
      </w:r>
    </w:p>
    <w:p w14:paraId="4EDAC97B">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（16）在卸油过程中，严禁擦洗罐车物品、按喇叭、修车等，对器具要轻拿轻放，夜间照明须使用防爆灯具。</w:t>
      </w:r>
    </w:p>
    <w:p w14:paraId="3A706101">
      <w:pPr>
        <w:snapToGrid/>
        <w:ind w:firstLine="560" w:firstLineChars="200"/>
        <w:rPr>
          <w:rFonts w:hint="eastAsia" w:ascii="Times New Roman" w:hAnsi="Times New Roman" w:eastAsia="宋体" w:cs="Times New Roman"/>
          <w:caps w:val="0"/>
          <w:smallCaps w:val="0"/>
          <w:spacing w:val="0"/>
          <w:w w:val="100"/>
          <w:szCs w:val="28"/>
          <w:lang w:eastAsia="zh-CN"/>
        </w:rPr>
      </w:pPr>
      <w:r>
        <w:rPr>
          <w:rFonts w:hint="default" w:ascii="Times New Roman" w:hAnsi="Times New Roman" w:cs="Times New Roman"/>
          <w:caps w:val="0"/>
          <w:smallCaps w:val="0"/>
          <w:spacing w:val="0"/>
          <w:w w:val="100"/>
          <w:szCs w:val="28"/>
        </w:rPr>
        <w:t>（17）卸油口未使用时应加锁</w:t>
      </w:r>
      <w:r>
        <w:rPr>
          <w:rFonts w:hint="eastAsia" w:ascii="Times New Roman" w:cs="Times New Roman"/>
          <w:caps w:val="0"/>
          <w:smallCaps w:val="0"/>
          <w:spacing w:val="0"/>
          <w:w w:val="100"/>
          <w:szCs w:val="28"/>
          <w:lang w:eastAsia="zh-CN"/>
        </w:rPr>
        <w:t>。</w:t>
      </w:r>
    </w:p>
    <w:p w14:paraId="04463DBB">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（18）因加油区离卸油区较近，卸油时禁止加油。</w:t>
      </w:r>
    </w:p>
    <w:p w14:paraId="15BAE4A9">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（19）因距卸油口最近的民房有窗，卸油时加强安全管理并实时在线监测</w:t>
      </w:r>
      <w:r>
        <w:rPr>
          <w:rFonts w:hint="eastAsia" w:ascii="Times New Roman" w:cs="Times New Roman"/>
          <w:caps w:val="0"/>
          <w:smallCaps w:val="0"/>
          <w:spacing w:val="0"/>
          <w:w w:val="100"/>
          <w:szCs w:val="28"/>
          <w:lang w:eastAsia="zh-CN"/>
        </w:rPr>
        <w:t>，</w:t>
      </w:r>
      <w:r>
        <w:rPr>
          <w:rFonts w:hint="eastAsia" w:ascii="Times New Roman" w:cs="Times New Roman"/>
          <w:caps w:val="0"/>
          <w:smallCaps w:val="0"/>
          <w:spacing w:val="0"/>
          <w:w w:val="100"/>
          <w:szCs w:val="28"/>
          <w:lang w:val="en-US" w:eastAsia="zh-CN"/>
        </w:rPr>
        <w:t>严禁无关人员靠近</w:t>
      </w:r>
      <w:r>
        <w:rPr>
          <w:rFonts w:hint="default" w:ascii="Times New Roman" w:hAnsi="Times New Roman" w:cs="Times New Roman"/>
          <w:caps w:val="0"/>
          <w:smallCaps w:val="0"/>
          <w:spacing w:val="0"/>
          <w:w w:val="100"/>
          <w:szCs w:val="28"/>
        </w:rPr>
        <w:t>。</w:t>
      </w:r>
    </w:p>
    <w:p w14:paraId="5DB5B6EC">
      <w:pPr>
        <w:snapToGrid/>
        <w:ind w:firstLine="560" w:firstLineChars="200"/>
        <w:rPr>
          <w:rFonts w:hint="eastAsia" w:ascii="Times New Roman" w:cs="Times New Roman"/>
          <w:caps w:val="0"/>
          <w:smallCaps w:val="0"/>
          <w:spacing w:val="0"/>
          <w:w w:val="100"/>
          <w:szCs w:val="28"/>
          <w:lang w:eastAsia="zh-CN"/>
        </w:rPr>
      </w:pPr>
      <w:r>
        <w:rPr>
          <w:rFonts w:hint="eastAsia" w:ascii="Times New Roman" w:cs="Times New Roman"/>
          <w:caps w:val="0"/>
          <w:smallCaps w:val="0"/>
          <w:spacing w:val="0"/>
          <w:w w:val="100"/>
          <w:szCs w:val="28"/>
          <w:lang w:eastAsia="zh-CN"/>
        </w:rPr>
        <w:t>（</w:t>
      </w:r>
      <w:r>
        <w:rPr>
          <w:rFonts w:hint="eastAsia" w:ascii="Times New Roman" w:cs="Times New Roman"/>
          <w:caps w:val="0"/>
          <w:smallCaps w:val="0"/>
          <w:spacing w:val="0"/>
          <w:w w:val="100"/>
          <w:szCs w:val="28"/>
          <w:lang w:val="en-US" w:eastAsia="zh-CN"/>
        </w:rPr>
        <w:t>20</w:t>
      </w:r>
      <w:r>
        <w:rPr>
          <w:rFonts w:hint="eastAsia" w:ascii="Times New Roman" w:cs="Times New Roman"/>
          <w:caps w:val="0"/>
          <w:smallCaps w:val="0"/>
          <w:spacing w:val="0"/>
          <w:w w:val="100"/>
          <w:szCs w:val="28"/>
          <w:lang w:eastAsia="zh-CN"/>
        </w:rPr>
        <w:t>）卸油区通常涉及到易燃易爆的油品，而电力线则可能带来静电和火花的风险，这可能导致严重的安全事故。接地线是防止静电积累和火花产生的关键措施之一。在卸油区安装接地线可以有效地将静电导入大地，从而减少火灾和爆炸的风险，</w:t>
      </w:r>
      <w:r>
        <w:rPr>
          <w:rFonts w:hint="eastAsia" w:ascii="Times New Roman" w:cs="Times New Roman"/>
          <w:caps w:val="0"/>
          <w:smallCaps w:val="0"/>
          <w:spacing w:val="0"/>
          <w:w w:val="100"/>
          <w:szCs w:val="28"/>
          <w:lang w:val="en-US" w:eastAsia="zh-CN"/>
        </w:rPr>
        <w:t>应确保</w:t>
      </w:r>
      <w:r>
        <w:rPr>
          <w:rFonts w:hint="eastAsia" w:ascii="Times New Roman" w:cs="Times New Roman"/>
          <w:caps w:val="0"/>
          <w:smallCaps w:val="0"/>
          <w:spacing w:val="0"/>
          <w:w w:val="100"/>
          <w:szCs w:val="28"/>
          <w:lang w:eastAsia="zh-CN"/>
        </w:rPr>
        <w:t>确保卸油区接地系统的有效性和安全性。</w:t>
      </w:r>
    </w:p>
    <w:p w14:paraId="3DE2E3F0">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79" w:name="_Toc28091"/>
      <w:bookmarkStart w:id="380" w:name="_Toc385862291"/>
      <w:bookmarkStart w:id="381" w:name="_Toc394903371"/>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.8加油站油品储存对策措施</w:t>
      </w:r>
      <w:bookmarkEnd w:id="376"/>
      <w:bookmarkEnd w:id="377"/>
      <w:bookmarkEnd w:id="378"/>
      <w:bookmarkEnd w:id="379"/>
      <w:bookmarkEnd w:id="380"/>
      <w:bookmarkEnd w:id="381"/>
    </w:p>
    <w:p w14:paraId="444F3F09">
      <w:pPr>
        <w:snapToGrid/>
        <w:ind w:firstLine="560" w:firstLineChars="200"/>
        <w:rPr>
          <w:rFonts w:hint="default" w:ascii="Times New Roman" w:hAnsi="Times New Roman" w:cs="Times New Roman"/>
          <w:caps w:val="0"/>
          <w:smallCaps w:val="0"/>
          <w:spacing w:val="0"/>
          <w:w w:val="100"/>
        </w:rPr>
      </w:pPr>
      <w:bookmarkStart w:id="382" w:name="_Toc394903373"/>
      <w:bookmarkStart w:id="383" w:name="_Toc385862293"/>
      <w:bookmarkStart w:id="384" w:name="_Toc363658297"/>
      <w:bookmarkStart w:id="385" w:name="_Toc363644752"/>
      <w:bookmarkStart w:id="386" w:name="_Toc363656334"/>
      <w:bookmarkStart w:id="387" w:name="_Toc394903372"/>
      <w:bookmarkStart w:id="388" w:name="_Toc385862292"/>
      <w:r>
        <w:rPr>
          <w:rFonts w:hint="default" w:ascii="Times New Roman" w:hAnsi="Times New Roman" w:cs="Times New Roman"/>
          <w:caps w:val="0"/>
          <w:smallCaps w:val="0"/>
          <w:spacing w:val="0"/>
          <w:w w:val="100"/>
        </w:rPr>
        <w:t>1.油品按种类分别储存在相应的油罐中；</w:t>
      </w:r>
    </w:p>
    <w:p w14:paraId="2F3215BC">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2.油罐的通气管保证畅通，阻火器安全性能符合要求；</w:t>
      </w:r>
    </w:p>
    <w:p w14:paraId="2F78A27E">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3.罐区所有设施配置静电接地装置，且符合规范标准要求，进行定期检查、检测；</w:t>
      </w:r>
    </w:p>
    <w:p w14:paraId="41FE836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4.油罐区配备消防器材，定期维护保养；</w:t>
      </w:r>
    </w:p>
    <w:p w14:paraId="5C03F922">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5.油罐区严禁烟火，动火作业必须办理动火作业许可证；</w:t>
      </w:r>
    </w:p>
    <w:p w14:paraId="1F796AB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6.油罐区通道、出入口和通向消防设施的道路保持畅通；</w:t>
      </w:r>
    </w:p>
    <w:p w14:paraId="0FFFAE66">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7.加强对员工安全作业的培训教育，并做到持证上岗；</w:t>
      </w:r>
    </w:p>
    <w:p w14:paraId="5ED23035">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8.做好相应的测量记录。</w:t>
      </w:r>
    </w:p>
    <w:p w14:paraId="40904116">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89" w:name="_Toc196"/>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.9加油站油品计量对策措施</w:t>
      </w:r>
      <w:bookmarkEnd w:id="382"/>
      <w:bookmarkEnd w:id="383"/>
      <w:bookmarkEnd w:id="389"/>
    </w:p>
    <w:p w14:paraId="791DCF0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szCs w:val="28"/>
        </w:rPr>
        <w:t>夜间测量油罐时应使用防爆型照明设备。</w:t>
      </w:r>
    </w:p>
    <w:p w14:paraId="079CC1F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2.编制油品计量安全操作规程，不断加强对员工安全作业的培训教育，并做到持证上岗；做好相应的测量记录。</w:t>
      </w:r>
    </w:p>
    <w:p w14:paraId="23CA335E">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rPr>
        <w:t>3.</w:t>
      </w:r>
      <w:r>
        <w:rPr>
          <w:rFonts w:hint="default" w:ascii="Times New Roman" w:hAnsi="Times New Roman" w:cs="Times New Roman"/>
          <w:caps w:val="0"/>
          <w:smallCaps w:val="0"/>
          <w:spacing w:val="0"/>
          <w:w w:val="100"/>
          <w:szCs w:val="28"/>
        </w:rPr>
        <w:t>停止使用与油罐相连的加油机，卸油后待稳油5min后方可计量。</w:t>
      </w:r>
    </w:p>
    <w:p w14:paraId="1F2162AF">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rPr>
        <w:t>4.</w:t>
      </w:r>
      <w:r>
        <w:rPr>
          <w:rFonts w:hint="default" w:ascii="Times New Roman" w:hAnsi="Times New Roman" w:cs="Times New Roman"/>
          <w:caps w:val="0"/>
          <w:smallCaps w:val="0"/>
          <w:spacing w:val="0"/>
          <w:w w:val="100"/>
          <w:szCs w:val="28"/>
        </w:rPr>
        <w:t>进行油品采样、计量和测温时，不得猛拉快提，上提速度不得大于0.5m/s，下落速度不得大于1m/s。</w:t>
      </w:r>
    </w:p>
    <w:p w14:paraId="5ED39CA1">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90" w:name="_Toc31175"/>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.10加油站加油对策措施</w:t>
      </w:r>
      <w:bookmarkEnd w:id="384"/>
      <w:bookmarkEnd w:id="385"/>
      <w:bookmarkEnd w:id="386"/>
      <w:bookmarkEnd w:id="387"/>
      <w:bookmarkEnd w:id="388"/>
      <w:bookmarkEnd w:id="390"/>
    </w:p>
    <w:p w14:paraId="772CAA25">
      <w:pPr>
        <w:snapToGrid/>
        <w:ind w:firstLine="560" w:firstLineChars="200"/>
        <w:rPr>
          <w:rFonts w:hint="default" w:ascii="Times New Roman" w:hAnsi="Times New Roman" w:cs="Times New Roman"/>
          <w:caps w:val="0"/>
          <w:smallCaps w:val="0"/>
          <w:spacing w:val="0"/>
          <w:w w:val="100"/>
          <w:szCs w:val="28"/>
        </w:rPr>
      </w:pPr>
      <w:bookmarkStart w:id="391" w:name="_Toc363644751"/>
      <w:bookmarkStart w:id="392" w:name="_Toc363656333"/>
      <w:bookmarkStart w:id="393" w:name="_Toc363658296"/>
      <w:r>
        <w:rPr>
          <w:rFonts w:hint="default" w:ascii="Times New Roman" w:hAnsi="Times New Roman" w:cs="Times New Roman"/>
          <w:caps w:val="0"/>
          <w:smallCaps w:val="0"/>
          <w:spacing w:val="0"/>
          <w:w w:val="100"/>
          <w:szCs w:val="28"/>
        </w:rPr>
        <w:t>1.基本要求</w:t>
      </w:r>
    </w:p>
    <w:p w14:paraId="07884F98">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（1）加油机运转时，电机和泵温度应保持正常，计量器和泵的轴封应无明显泄漏，汽油加油流量不应大于50L/min。</w:t>
      </w:r>
    </w:p>
    <w:p w14:paraId="13624154">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加油机机件应保持性能良好，油气分离器及过滤器应保持功能正常，排气管应畅通、无损，泵安全阀应保持压力正常。加油员在使用加油机前，应检查加油机运转是否正常及有无渗漏油品现象，并要保持加油机的整洁。</w:t>
      </w:r>
    </w:p>
    <w:p w14:paraId="3B70F574">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（3）加油岛上不得放置收录音机，电扇、延长线、冷藏设备等一般电气设备及其他杂物。</w:t>
      </w:r>
    </w:p>
    <w:p w14:paraId="778536FB">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（4）有加油车辆进站时，加油人员应站在加油岛上以防被撞，作业人员避免穿过两车中间。</w:t>
      </w:r>
    </w:p>
    <w:p w14:paraId="4C9B453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（5）禁止使用绝缘性容器加注汽油等。</w:t>
      </w:r>
    </w:p>
    <w:p w14:paraId="7BBAA5D7">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2.加油</w:t>
      </w:r>
    </w:p>
    <w:p w14:paraId="42793406">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（1）车辆驶入站时，加油员应主动引导车辆进入加油位置。当进站加油车停稳，发动机熄火后，方可打开油箱盖，加油前加油机计数器回零后，启动加油机开始加油。</w:t>
      </w:r>
    </w:p>
    <w:p w14:paraId="3ECD9B07">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（2）加油作业应由加油员操作，不得由顾客自行处置。</w:t>
      </w:r>
    </w:p>
    <w:p w14:paraId="70C13501">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（3）加油时应避免油料溅出，尤其机车加油时应特别注意不可溅出油料溅及高温引擎及排气管。</w:t>
      </w:r>
    </w:p>
    <w:p w14:paraId="3F1B62EC">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（4）加油时若有油料溢出，应立即擦拭，含有油污布料应妥善收存有盖容器中。</w:t>
      </w:r>
    </w:p>
    <w:p w14:paraId="18AEBF72">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（5）加完油后，应立即将加油枪拉出，以防被拖走。</w:t>
      </w:r>
    </w:p>
    <w:p w14:paraId="02F32560">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（6）加油前及加油后应保持橡皮管放置于加油机上，防止被车辆压坏。</w:t>
      </w:r>
    </w:p>
    <w:p w14:paraId="44ED86C0">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（7）当加油、结算等程序完成后，应及时引导车辆离开加油岛。</w:t>
      </w:r>
    </w:p>
    <w:p w14:paraId="67575A67">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（8）站内有人吸烟或使用移动电话时，应立即停止加油。</w:t>
      </w:r>
    </w:p>
    <w:p w14:paraId="1D340C6B">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（9）加油站上空有高强闪电或雷击频繁时，应停止加油作业，采取防护措施。</w:t>
      </w:r>
    </w:p>
    <w:bookmarkEnd w:id="391"/>
    <w:bookmarkEnd w:id="392"/>
    <w:bookmarkEnd w:id="393"/>
    <w:p w14:paraId="70CD2708">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94" w:name="_Toc424311443"/>
      <w:bookmarkStart w:id="395" w:name="_Toc14041"/>
      <w:bookmarkStart w:id="396" w:name="_Toc433977394"/>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.11特殊作业对策措施和建议</w:t>
      </w:r>
      <w:bookmarkEnd w:id="394"/>
      <w:bookmarkEnd w:id="395"/>
      <w:bookmarkEnd w:id="396"/>
    </w:p>
    <w:p w14:paraId="095F46A9">
      <w:pPr>
        <w:pStyle w:val="7"/>
        <w:snapToGrid/>
        <w:rPr>
          <w:rFonts w:hint="default" w:ascii="Times New Roman" w:hAnsi="Times New Roman" w:cs="Times New Roman"/>
          <w:b w:val="0"/>
          <w:bCs w:val="0"/>
          <w:caps w:val="0"/>
          <w:smallCaps w:val="0"/>
          <w:spacing w:val="0"/>
          <w:w w:val="100"/>
        </w:rPr>
      </w:pPr>
      <w:r>
        <w:rPr>
          <w:rFonts w:hint="default" w:ascii="Times New Roman" w:hAnsi="Times New Roman" w:cs="Times New Roman"/>
          <w:b w:val="0"/>
          <w:bCs w:val="0"/>
          <w:caps w:val="0"/>
          <w:smallCaps w:val="0"/>
          <w:spacing w:val="0"/>
          <w:w w:val="100"/>
          <w:lang w:eastAsia="zh-CN"/>
        </w:rPr>
        <w:t>8.2</w:t>
      </w:r>
      <w:r>
        <w:rPr>
          <w:rFonts w:hint="default" w:ascii="Times New Roman" w:hAnsi="Times New Roman" w:cs="Times New Roman"/>
          <w:b w:val="0"/>
          <w:bCs w:val="0"/>
          <w:caps w:val="0"/>
          <w:smallCaps w:val="0"/>
          <w:spacing w:val="0"/>
          <w:w w:val="100"/>
        </w:rPr>
        <w:t>.11.1针对受限空间作业的安全措施</w:t>
      </w:r>
    </w:p>
    <w:p w14:paraId="27267279">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1.建立健全操作井、阀门井、隔油池等受限空间作业安全管理制度；</w:t>
      </w:r>
    </w:p>
    <w:p w14:paraId="090264D3">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2.进入操作井、阀门井、隔油池等受限空间时，应有效办理受限空间许可证，有效执行。受限空间作业许可证参考《危险化学品企业特殊作业安全规范》（GB 30871-2022）附件A.2《受限空间安全作业证》样式进行编制、填写；</w:t>
      </w:r>
    </w:p>
    <w:p w14:paraId="3BE2B677">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3.应在操作井、阀门井、隔油池等受限空间周边悬挂安全警示标识和安全告知牌，并严禁无关人员接近。受限空间作业安全警示标志和安全告知牌参考《有限空间作业安全指导手册》附件2进行制作；</w:t>
      </w:r>
    </w:p>
    <w:p w14:paraId="037EB579">
      <w:pPr>
        <w:snapToGrid/>
        <w:ind w:firstLine="56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4.作业结束后，作业现场负责人、监护人员应当对作业现场进行清理，撤离作业人员。</w:t>
      </w:r>
    </w:p>
    <w:p w14:paraId="2F0485F3">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5.作业前应对受限空间进行安全隔绝，应根据受限空间盛装（过）的物料特性，对受限空间进行清洗或置换；应保持受限空间空气流通良好，应对受限空间内的气体浓度进行严格的监测，进入有些入限空间作业要采取有效的防护措施。</w:t>
      </w:r>
    </w:p>
    <w:p w14:paraId="5B938E72">
      <w:pPr>
        <w:pStyle w:val="7"/>
        <w:snapToGrid/>
        <w:rPr>
          <w:rFonts w:hint="default" w:ascii="Times New Roman" w:hAnsi="Times New Roman" w:cs="Times New Roman"/>
          <w:b w:val="0"/>
          <w:bCs w:val="0"/>
          <w:caps w:val="0"/>
          <w:smallCaps w:val="0"/>
          <w:spacing w:val="0"/>
          <w:w w:val="100"/>
        </w:rPr>
      </w:pPr>
      <w:r>
        <w:rPr>
          <w:rFonts w:hint="default" w:ascii="Times New Roman" w:hAnsi="Times New Roman" w:cs="Times New Roman"/>
          <w:b w:val="0"/>
          <w:bCs w:val="0"/>
          <w:caps w:val="0"/>
          <w:smallCaps w:val="0"/>
          <w:spacing w:val="0"/>
          <w:w w:val="100"/>
          <w:lang w:eastAsia="zh-CN"/>
        </w:rPr>
        <w:t>8.2</w:t>
      </w:r>
      <w:r>
        <w:rPr>
          <w:rFonts w:hint="default" w:ascii="Times New Roman" w:hAnsi="Times New Roman" w:cs="Times New Roman"/>
          <w:b w:val="0"/>
          <w:bCs w:val="0"/>
          <w:caps w:val="0"/>
          <w:smallCaps w:val="0"/>
          <w:spacing w:val="0"/>
          <w:w w:val="100"/>
        </w:rPr>
        <w:t>.11.2针对高处作业的安全措施</w:t>
      </w:r>
    </w:p>
    <w:p w14:paraId="46CC9D15">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加油站</w:t>
      </w:r>
      <w:r>
        <w:rPr>
          <w:rFonts w:hint="default" w:ascii="Times New Roman" w:hAnsi="Times New Roman" w:cs="Times New Roman"/>
          <w:caps w:val="0"/>
          <w:smallCaps w:val="0"/>
          <w:spacing w:val="0"/>
          <w:w w:val="100"/>
        </w:rPr>
        <w:t>使用零时搭建平台或移动式平台时</w:t>
      </w:r>
      <w:r>
        <w:rPr>
          <w:rFonts w:hint="default" w:ascii="Times New Roman" w:hAnsi="Times New Roman" w:cs="Times New Roman"/>
          <w:caps w:val="0"/>
          <w:smallCaps w:val="0"/>
          <w:spacing w:val="0"/>
          <w:w w:val="100"/>
          <w:szCs w:val="28"/>
        </w:rPr>
        <w:t>，作业人员应正确佩戴符合要求的安全带，高处作业应设专人监护，作业人员不应在作业处休息，特殊天气作业时，应采取可靠的措施。作业使用的工具、材料、零售等应装入工具袋，上下时手中不应持物，不应投掷工具、材料及其他物品。因作业需要，临时拆除或变动安全防护设施时，应经作业审批人员同意，并采取相应的防护措施，作业后应立即恢复。</w:t>
      </w:r>
    </w:p>
    <w:p w14:paraId="32B2F729">
      <w:pPr>
        <w:pStyle w:val="7"/>
        <w:snapToGrid/>
        <w:rPr>
          <w:rFonts w:hint="default" w:ascii="Times New Roman" w:hAnsi="Times New Roman" w:cs="Times New Roman"/>
          <w:b w:val="0"/>
          <w:bCs w:val="0"/>
          <w:caps w:val="0"/>
          <w:smallCaps w:val="0"/>
          <w:spacing w:val="0"/>
          <w:w w:val="100"/>
        </w:rPr>
      </w:pPr>
      <w:r>
        <w:rPr>
          <w:rFonts w:hint="default" w:ascii="Times New Roman" w:hAnsi="Times New Roman" w:cs="Times New Roman"/>
          <w:b w:val="0"/>
          <w:bCs w:val="0"/>
          <w:caps w:val="0"/>
          <w:smallCaps w:val="0"/>
          <w:spacing w:val="0"/>
          <w:w w:val="100"/>
          <w:lang w:eastAsia="zh-CN"/>
        </w:rPr>
        <w:t>8.2</w:t>
      </w:r>
      <w:r>
        <w:rPr>
          <w:rFonts w:hint="default" w:ascii="Times New Roman" w:hAnsi="Times New Roman" w:cs="Times New Roman"/>
          <w:b w:val="0"/>
          <w:bCs w:val="0"/>
          <w:caps w:val="0"/>
          <w:smallCaps w:val="0"/>
          <w:spacing w:val="0"/>
          <w:w w:val="100"/>
        </w:rPr>
        <w:t>.11.3针对临时用电的安全措施</w:t>
      </w:r>
    </w:p>
    <w:p w14:paraId="16C0B325">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在运行的装置、罐区和具有</w:t>
      </w:r>
      <w:r>
        <w:rPr>
          <w:rFonts w:hint="eastAsia" w:ascii="Times New Roman" w:cs="Times New Roman"/>
          <w:caps w:val="0"/>
          <w:smallCaps w:val="0"/>
          <w:spacing w:val="0"/>
          <w:w w:val="100"/>
          <w:szCs w:val="28"/>
          <w:lang w:eastAsia="zh-CN"/>
        </w:rPr>
        <w:t>火灾、爆炸</w:t>
      </w:r>
      <w:r>
        <w:rPr>
          <w:rFonts w:hint="default" w:ascii="Times New Roman" w:hAnsi="Times New Roman" w:cs="Times New Roman"/>
          <w:caps w:val="0"/>
          <w:smallCaps w:val="0"/>
          <w:spacing w:val="0"/>
          <w:w w:val="100"/>
          <w:szCs w:val="28"/>
        </w:rPr>
        <w:t>危险场所内不应接临时用电，确需时应对周围环境进行可燃气体检测分析；各类移动电源及外部自备电源，不应接入电网；动力和照明线路应分路设置；在开头上接引、拆除临时用电线路时，其上级开关应断电上锁并加挂安全警示标志；临时用电应设置保护开关，使用前应检查电气装置和保护设施的可靠性。所有的临时用电均应设置接地保护；临时用电设备和线路应按供电电压等级和容量正确使用；临时用电结束后，用电单位应及时通知供电单位拆除临时用电线路。</w:t>
      </w:r>
    </w:p>
    <w:p w14:paraId="79A53E59">
      <w:pPr>
        <w:pStyle w:val="7"/>
        <w:snapToGrid/>
        <w:rPr>
          <w:rFonts w:hint="default" w:ascii="Times New Roman" w:hAnsi="Times New Roman" w:cs="Times New Roman"/>
          <w:b w:val="0"/>
          <w:bCs w:val="0"/>
          <w:caps w:val="0"/>
          <w:smallCaps w:val="0"/>
          <w:spacing w:val="0"/>
          <w:w w:val="100"/>
        </w:rPr>
      </w:pPr>
      <w:bookmarkStart w:id="397" w:name="_Toc433469789"/>
      <w:r>
        <w:rPr>
          <w:rFonts w:hint="default" w:ascii="Times New Roman" w:hAnsi="Times New Roman" w:cs="Times New Roman"/>
          <w:b w:val="0"/>
          <w:bCs w:val="0"/>
          <w:caps w:val="0"/>
          <w:smallCaps w:val="0"/>
          <w:spacing w:val="0"/>
          <w:w w:val="100"/>
          <w:lang w:eastAsia="zh-CN"/>
        </w:rPr>
        <w:t>8.2</w:t>
      </w:r>
      <w:r>
        <w:rPr>
          <w:rFonts w:hint="default" w:ascii="Times New Roman" w:hAnsi="Times New Roman" w:cs="Times New Roman"/>
          <w:b w:val="0"/>
          <w:bCs w:val="0"/>
          <w:caps w:val="0"/>
          <w:smallCaps w:val="0"/>
          <w:spacing w:val="0"/>
          <w:w w:val="100"/>
        </w:rPr>
        <w:t>.11.4动火作业安全措施</w:t>
      </w:r>
      <w:bookmarkEnd w:id="397"/>
    </w:p>
    <w:p w14:paraId="5355C71B">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1.在爆炸危险区动火时，应按相应管理制度办理动火票。</w:t>
      </w:r>
    </w:p>
    <w:p w14:paraId="1CC42A82">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2.动火作业设置专人监火，动火作业前清除动火现场的易燃品，采取有效的防火措施，配置足够的消防器材。</w:t>
      </w:r>
    </w:p>
    <w:p w14:paraId="2C9F6C95">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3.油罐进行检维修作业时，同时办理受限作业许可，油罐内进行清洗、置换，采样分析合格后，方可进行动火作业。</w:t>
      </w:r>
    </w:p>
    <w:p w14:paraId="7B15622C">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4.严禁违反作业规程盲目动火、收工后留有火种、无现场监理人员在现场时动火。</w:t>
      </w:r>
    </w:p>
    <w:p w14:paraId="7E642E36">
      <w:pPr>
        <w:snapToGrid/>
        <w:ind w:firstLine="560" w:firstLineChars="200"/>
        <w:rPr>
          <w:rFonts w:hint="default" w:ascii="Times New Roman" w:hAnsi="Times New Roman" w:cs="Times New Roman"/>
          <w:caps w:val="0"/>
          <w:smallCaps w:val="0"/>
          <w:spacing w:val="0"/>
          <w:w w:val="100"/>
          <w:szCs w:val="28"/>
        </w:rPr>
      </w:pPr>
      <w:r>
        <w:rPr>
          <w:rFonts w:hint="default" w:ascii="Times New Roman" w:hAnsi="Times New Roman" w:cs="Times New Roman"/>
          <w:caps w:val="0"/>
          <w:smallCaps w:val="0"/>
          <w:spacing w:val="0"/>
          <w:w w:val="100"/>
          <w:szCs w:val="28"/>
        </w:rPr>
        <w:t>5.动火作业完毕，动火人、监火人应清理现场，监火人应确认现场无残留火种后，方可离开。</w:t>
      </w:r>
    </w:p>
    <w:p w14:paraId="644DD41D">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398" w:name="_Toc433977395"/>
      <w:bookmarkStart w:id="399" w:name="_Toc3079"/>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.12针对检维修作业的安全措施和建议</w:t>
      </w:r>
      <w:bookmarkEnd w:id="398"/>
      <w:bookmarkEnd w:id="399"/>
    </w:p>
    <w:p w14:paraId="18CF382D">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（1）资质审核</w:t>
      </w:r>
    </w:p>
    <w:p w14:paraId="60AACF7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外来检修施工单位应具有国家规定的相应资质，并在其等级许可范围内开展检修施工业务。在签订设备检修合同时，应同时签订安全管理协议。</w:t>
      </w:r>
    </w:p>
    <w:p w14:paraId="13E50BA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（2）制定检修方案</w:t>
      </w:r>
    </w:p>
    <w:p w14:paraId="54FBD05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设备检修项目的要求，检修施工单位应制定设备检修方案，检修方案应经设备使用单位审核。检修方案中应有安全技术措施，并明确检修项目安全负责人。检修施工单位应指定专人负责整个检修作业过程的具体安全工作</w:t>
      </w:r>
    </w:p>
    <w:p w14:paraId="5B7483ED">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（3）安全培训教育</w:t>
      </w:r>
    </w:p>
    <w:p w14:paraId="1FF611A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检修前，设备使用单位应对参加检修作业的人员进行安全教育，安全教育主要包括以下内容：有关检修作业的安全规章制度；检修作业现场和检修过程中存在的危险因素和可能出现的问题及相应对策；检修作业过程中所使用的个体防护器具的使用方法及使用注意事项；相关事故案例和经验、教训。</w:t>
      </w:r>
    </w:p>
    <w:p w14:paraId="3E0F5B54">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（4）现场管理</w:t>
      </w:r>
    </w:p>
    <w:p w14:paraId="6E2F796F">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检修现场应</w:t>
      </w:r>
      <w:r>
        <w:rPr>
          <w:rFonts w:hint="default" w:ascii="Times New Roman" w:hAnsi="Times New Roman" w:cs="Times New Roman"/>
        </w:rPr>
        <w:t>根据《安全色和安全标志》（GB2894-2025）的</w:t>
      </w:r>
      <w:r>
        <w:rPr>
          <w:rFonts w:hint="default" w:ascii="Times New Roman" w:hAnsi="Times New Roman" w:cs="Times New Roman"/>
          <w:caps w:val="0"/>
          <w:smallCaps w:val="0"/>
          <w:spacing w:val="0"/>
          <w:w w:val="100"/>
        </w:rPr>
        <w:t>规定设立相应的安全标志；检修项目负责人应组织检修作业人员到现场进行检修方案交底；检修前施工单位要做到检修组织落实、检修人员落实和检修安全措施落实；当设备检修涉及高处、动火、动土、断路、吊装、抽堵盲板、受限空间等作业时，须按相关作业安全规范的规定执行；临时用电应办理用电手续，并按规定安装和架设；设备使用单位负责设备的隔绝、清洗、置换，合格后交出；检修项目负责人应与设备使用单位负责人共同检查，确认设备、工艺处理等满足检修安全要求；应对检修作业使用的脚手架、起重机械、电气焊用具、手持电动工具等各种工器具进行检查；手持式、移动式电气工器具应配有漏电保护装置。凡不符合作业安全要求的工器具不得使用；对检修设备上的电器电源，应采取可靠的断电措施，确认无电后在电源开关处设置安全警示标牌或加锁；对检修作业使用的气体防护器材、消防器材、通信设备、照明设备等应安排专人检查，并保证完好；对检修现场的梯子、栏杆、平台、箅子板、盖板等进行检查，确保安全；对有腐蚀性介质的检修场所应备有人员应急用冲洗水源和相应防护用品；对检修现场存在的可能危及安全的坑、井、沟、孔洞等应采取有效防护措施，设置警告标志，夜间应设警示红灯；应将检修现场影响检修安全的物品清理干净；应检查、清理检修现场的消防通道、行车通道，保证畅通。</w:t>
      </w:r>
    </w:p>
    <w:p w14:paraId="2E5281F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（5）检修中的安全要求</w:t>
      </w:r>
    </w:p>
    <w:p w14:paraId="2E500D0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对作业人员的要求：参加检修作业的人员应按规定正确穿戴劳动保护用品；检修作业人员应遵守本工种安全技术操作规程；从事特种作业的检修人员应持有特种作业操作证。</w:t>
      </w:r>
    </w:p>
    <w:p w14:paraId="5010F03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统一指挥：多工种、多层次交叉作业时，应统一协调，采取相应的防护措施。当装置出现异常情况可能危及检修人员安全时，设备使用单位应立即通知检修人员停止作业，迅速撤离作业场所。经处理，异常情况排除且确认安全后，检修人员方可恢复作业。</w:t>
      </w:r>
    </w:p>
    <w:p w14:paraId="34DCD8B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设立监护人：夜间检修作业及特殊天气的检修作业，须安排专人进行安全监护。</w:t>
      </w:r>
    </w:p>
    <w:p w14:paraId="17735AD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（6）检修结束后的安全要求</w:t>
      </w:r>
    </w:p>
    <w:p w14:paraId="3F70F34D">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现场环境清理：因检修需要而拆移的盖板、箅子板、扶手、栏杆、防护罩等安全设施应恢复其安全使用功能。</w:t>
      </w:r>
    </w:p>
    <w:p w14:paraId="6B329ADA">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工器具的清理：检修所用的工器具、脚手架、临时电源、临时照明设备等应及时撤离现场。</w:t>
      </w:r>
    </w:p>
    <w:p w14:paraId="0F6B7AC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废料的清理：检修完工后所留下的废料、杂物、垃圾、油污等应清理干净。</w:t>
      </w:r>
    </w:p>
    <w:p w14:paraId="29521F8D">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400" w:name="_Toc325830215"/>
      <w:bookmarkStart w:id="401" w:name="_Toc6466"/>
      <w:r>
        <w:rPr>
          <w:rFonts w:hint="default" w:ascii="Times New Roman" w:hAnsi="Times New Roman" w:eastAsia="黑体" w:cs="Times New Roman"/>
          <w:b w:val="0"/>
          <w:bCs w:val="0"/>
          <w:caps w:val="0"/>
          <w:smallCaps w:val="0"/>
          <w:spacing w:val="0"/>
          <w:w w:val="100"/>
          <w:lang w:eastAsia="zh-CN"/>
        </w:rPr>
        <w:t>8.2</w:t>
      </w:r>
      <w:r>
        <w:rPr>
          <w:rFonts w:hint="default" w:ascii="Times New Roman" w:hAnsi="Times New Roman" w:eastAsia="黑体" w:cs="Times New Roman"/>
          <w:b w:val="0"/>
          <w:bCs w:val="0"/>
          <w:caps w:val="0"/>
          <w:smallCaps w:val="0"/>
          <w:spacing w:val="0"/>
          <w:w w:val="100"/>
        </w:rPr>
        <w:t>.13安全管理对策措施</w:t>
      </w:r>
      <w:bookmarkEnd w:id="400"/>
      <w:bookmarkEnd w:id="401"/>
    </w:p>
    <w:p w14:paraId="4E91365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1.健全安全责任制、安全管理制度及安全操作规程</w:t>
      </w:r>
    </w:p>
    <w:p w14:paraId="33DEAACE">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（1）健全安全经营责任制，明确各级各类人员安全职责。</w:t>
      </w:r>
    </w:p>
    <w:p w14:paraId="004B7CB4">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（2）健全各种安全管理制度，使加油站的安全管理工作有据可依，有章可循。</w:t>
      </w:r>
    </w:p>
    <w:p w14:paraId="6AFBAD0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（3）按照岗位设置情况具体制订各岗位安全操作规程，规范作业人员操作行为。</w:t>
      </w:r>
    </w:p>
    <w:p w14:paraId="5429C2C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（4）依据《云南省安全生产条例》的要求完善安全生产责任制。</w:t>
      </w:r>
    </w:p>
    <w:p w14:paraId="61214CD7">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2.安全培训、教育和考核</w:t>
      </w:r>
    </w:p>
    <w:p w14:paraId="558DAF1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（1）加油站主要负责人和安全生产管理人员必须具备相应的安全管理资格，并定期参加教育培训；</w:t>
      </w:r>
    </w:p>
    <w:p w14:paraId="37820CA6">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（2）加油站从业人员为涉危人员，应取得相应资格证后方可上岗。</w:t>
      </w:r>
    </w:p>
    <w:p w14:paraId="132BFE3F">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定期对从业人员进行安全教育培训，包括新进员工的安全教育培训，搞好新职工的安全教育与培训，建设一支注重安全、懂得安全、保证安全的经营职工队伍。落实员工的安全技术培训、岗位技能培训、新工人（含临时工）的“三级安全教育”，保证员工具备必要的安全生产知识，熟悉有关的安全经营规章制度和安全操作规程，掌握本岗位的安全操作技能。主要技术骨干和操作人员在同类企业进行培训，经严格考试后方可上岗；</w:t>
      </w:r>
    </w:p>
    <w:p w14:paraId="19C5645F">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（4）制定职工安全教育年度培训计划，对员工的作业行为加以规范，加强现场管理，确保管理制度落实、执行符合要求；</w:t>
      </w:r>
    </w:p>
    <w:p w14:paraId="44A84DCE">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（5）加油站人员必须全员进行消防培训；</w:t>
      </w:r>
    </w:p>
    <w:p w14:paraId="07BDA1A5">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（6）特种作业人员须经培训持证上岗。</w:t>
      </w:r>
    </w:p>
    <w:p w14:paraId="10EEE73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3.定期演练事故应急预案，并做好记录。</w:t>
      </w:r>
    </w:p>
    <w:p w14:paraId="3828421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4.日常安全管理</w:t>
      </w:r>
    </w:p>
    <w:p w14:paraId="7B7CD095">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（1）定期对储罐、加油机等设施检测，加强对储存设施、消防器材的维护、保养；</w:t>
      </w:r>
    </w:p>
    <w:p w14:paraId="7E5AEEF8">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加强安全管理人员的培训，实行安全生产管理人员跟班作业，进行安全生产教育和员工的岗位技能培训，增强员工的安全意识；当人员有变动后应对其相应的材料进行整理，把已不在此岗位的人名姓名进行相应变更；</w:t>
      </w:r>
    </w:p>
    <w:p w14:paraId="30FB1041">
      <w:pPr>
        <w:pageBreakBefore w:val="0"/>
        <w:kinsoku/>
        <w:topLinePunct w:val="0"/>
        <w:bidi w:val="0"/>
        <w:adjustRightInd/>
        <w:snapToGrid/>
        <w:ind w:firstLine="560" w:firstLineChars="200"/>
        <w:rPr>
          <w:rFonts w:hint="default" w:ascii="Times New Roman" w:hAnsi="Times New Roman" w:cs="Times New Roman"/>
        </w:rPr>
      </w:pPr>
      <w:r>
        <w:rPr>
          <w:rFonts w:hint="default" w:ascii="Times New Roman" w:hAnsi="Times New Roman" w:cs="Times New Roman"/>
        </w:rPr>
        <w:t>（3）加强作业现场管理，杜绝“三违”行为；</w:t>
      </w:r>
    </w:p>
    <w:p w14:paraId="449E00F8">
      <w:pPr>
        <w:pageBreakBefore w:val="0"/>
        <w:kinsoku/>
        <w:topLinePunct w:val="0"/>
        <w:bidi w:val="0"/>
        <w:adjustRightInd/>
        <w:snapToGrid/>
        <w:ind w:firstLine="560" w:firstLineChars="200"/>
        <w:rPr>
          <w:rFonts w:hint="default" w:ascii="Times New Roman" w:hAnsi="Times New Roman" w:cs="Times New Roman"/>
        </w:rPr>
      </w:pPr>
      <w:r>
        <w:rPr>
          <w:rFonts w:hint="default" w:ascii="Times New Roman" w:hAnsi="Times New Roman" w:cs="Times New Roman"/>
        </w:rPr>
        <w:t>（4）严格按照《加油站作业安全规范》（AQ3010-2022）进行清罐作业；</w:t>
      </w:r>
    </w:p>
    <w:p w14:paraId="4102DFD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rPr>
        <w:t>（5）加强经常性的安全教育培训，</w:t>
      </w:r>
      <w:r>
        <w:rPr>
          <w:rFonts w:hint="default" w:ascii="Times New Roman" w:hAnsi="Times New Roman" w:cs="Times New Roman"/>
          <w:lang w:eastAsia="zh-CN"/>
        </w:rPr>
        <w:t>增强</w:t>
      </w:r>
      <w:r>
        <w:rPr>
          <w:rFonts w:hint="default" w:ascii="Times New Roman" w:hAnsi="Times New Roman" w:cs="Times New Roman"/>
        </w:rPr>
        <w:t>全体员工的安全意识。针对本站实际，安全教育内容至少包括以下内容：深入理解危险化学品标识提供的信息；</w:t>
      </w:r>
      <w:r>
        <w:rPr>
          <w:rFonts w:hint="default" w:ascii="Times New Roman" w:hAnsi="Times New Roman" w:cs="Times New Roman"/>
          <w:caps w:val="0"/>
          <w:smallCaps w:val="0"/>
          <w:spacing w:val="0"/>
          <w:w w:val="100"/>
        </w:rPr>
        <w:t>认真学习各项安全管理制度，包括安全生产责任制，安全生产规章制度、岗位安全操作规程，事故应急预案等；</w:t>
      </w:r>
    </w:p>
    <w:p w14:paraId="2651270D">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（6）加强对收、储、发油设施的安全检查和维护，确保设施完好。对消防设施和器材要定期检查，以免失效。对防雷设施要按照规定，定期请检测中心检测；</w:t>
      </w:r>
    </w:p>
    <w:p w14:paraId="1253D433">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（7）结合工作实际，不断总结、完善各项安全管理规章制度和规范，适时修订，以确保安全管理质量和水平的提高；</w:t>
      </w:r>
    </w:p>
    <w:p w14:paraId="35005E07">
      <w:pPr>
        <w:snapToGrid/>
        <w:ind w:left="58"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szCs w:val="28"/>
        </w:rPr>
        <w:t>（8）加油站应</w:t>
      </w:r>
      <w:r>
        <w:rPr>
          <w:rFonts w:hint="default" w:ascii="Times New Roman" w:hAnsi="Times New Roman" w:cs="Times New Roman"/>
          <w:caps w:val="0"/>
          <w:smallCaps w:val="0"/>
          <w:spacing w:val="0"/>
          <w:w w:val="100"/>
        </w:rPr>
        <w:t>规范填写台账、记录，如安全检查记录、劳动防护用品发放记录、安全教育培训记录、事故应急预案演练记录等。</w:t>
      </w:r>
    </w:p>
    <w:p w14:paraId="6A24008B">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5.建立安全专项资金</w:t>
      </w:r>
    </w:p>
    <w:p w14:paraId="0235B1B6">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将安全投入资金单独列项，建立安全专项资金，从根本上保证安全资金的来源。</w:t>
      </w:r>
    </w:p>
    <w:p w14:paraId="60EF451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6.加油站登高作业</w:t>
      </w:r>
    </w:p>
    <w:p w14:paraId="563A897A">
      <w:p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cs="Times New Roman"/>
          <w:caps w:val="0"/>
          <w:smallCaps w:val="0"/>
          <w:spacing w:val="0"/>
          <w:w w:val="100"/>
        </w:rPr>
        <w:t>在对罩棚及罩棚下的照明灯具、呼吸阀、站房、辅助用房</w:t>
      </w:r>
      <w:r>
        <w:rPr>
          <w:rFonts w:hint="default" w:ascii="Times New Roman" w:hAnsi="Times New Roman" w:cs="Times New Roman"/>
          <w:caps w:val="0"/>
          <w:smallCaps w:val="0"/>
          <w:spacing w:val="0"/>
          <w:w w:val="100"/>
          <w:lang w:val="en-US" w:eastAsia="zh-CN"/>
        </w:rPr>
        <w:t>等</w:t>
      </w:r>
      <w:r>
        <w:rPr>
          <w:rFonts w:hint="default" w:ascii="Times New Roman" w:hAnsi="Times New Roman" w:cs="Times New Roman"/>
          <w:caps w:val="0"/>
          <w:smallCaps w:val="0"/>
          <w:spacing w:val="0"/>
          <w:w w:val="100"/>
        </w:rPr>
        <w:t>检修或维</w:t>
      </w:r>
      <w:r>
        <w:rPr>
          <w:rFonts w:hint="default" w:ascii="Times New Roman" w:hAnsi="Times New Roman" w:cs="Times New Roman"/>
          <w:caps w:val="0"/>
          <w:smallCaps w:val="0"/>
          <w:color w:val="000000" w:themeColor="text1"/>
          <w:spacing w:val="0"/>
          <w:w w:val="100"/>
          <w14:textFill>
            <w14:solidFill>
              <w14:schemeClr w14:val="tx1"/>
            </w14:solidFill>
          </w14:textFill>
        </w:rPr>
        <w:t>护时，须采取有效的防护设施或者防护措施，</w:t>
      </w: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进行高空作业等</w:t>
      </w:r>
      <w:r>
        <w:rPr>
          <w:rFonts w:hint="default" w:ascii="Times New Roman" w:hAnsi="Times New Roman" w:cs="Times New Roman"/>
          <w:caps w:val="0"/>
          <w:smallCaps w:val="0"/>
          <w:color w:val="000000" w:themeColor="text1"/>
          <w:spacing w:val="0"/>
          <w:w w:val="100"/>
          <w14:textFill>
            <w14:solidFill>
              <w14:schemeClr w14:val="tx1"/>
            </w14:solidFill>
          </w14:textFill>
        </w:rPr>
        <w:t>危险作业的需办理相应危险作业审批，特种作业人员应取得相应资质证书。</w:t>
      </w:r>
    </w:p>
    <w:p w14:paraId="4B17A7BC">
      <w:pPr>
        <w:numPr>
          <w:ilvl w:val="0"/>
          <w:numId w:val="0"/>
        </w:numPr>
        <w:snapToGrid/>
        <w:ind w:firstLine="560" w:firstLineChars="200"/>
        <w:rPr>
          <w:rStyle w:val="41"/>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lang w:val="en-US" w:eastAsia="zh-CN"/>
          <w14:textFill>
            <w14:solidFill>
              <w14:schemeClr w14:val="tx1"/>
            </w14:solidFill>
          </w14:textFill>
        </w:rPr>
        <w:t>7.</w:t>
      </w:r>
      <w:r>
        <w:rPr>
          <w:rFonts w:hint="default" w:ascii="Times New Roman" w:hAnsi="Times New Roman" w:eastAsia="宋体" w:cs="Times New Roman"/>
          <w:caps w:val="0"/>
          <w:smallCaps w:val="0"/>
          <w:color w:val="000000" w:themeColor="text1"/>
          <w:spacing w:val="0"/>
          <w:w w:val="100"/>
          <w14:textFill>
            <w14:solidFill>
              <w14:schemeClr w14:val="tx1"/>
            </w14:solidFill>
          </w14:textFill>
        </w:rPr>
        <w:t>为解</w:t>
      </w:r>
      <w:r>
        <w:rPr>
          <w:rFonts w:hint="default" w:ascii="Times New Roman" w:hAnsi="Times New Roman" w:cs="Times New Roman"/>
          <w:caps w:val="0"/>
          <w:smallCaps w:val="0"/>
          <w:color w:val="000000" w:themeColor="text1"/>
          <w:spacing w:val="0"/>
          <w:w w:val="100"/>
          <w14:textFill>
            <w14:solidFill>
              <w14:schemeClr w14:val="tx1"/>
            </w14:solidFill>
          </w14:textFill>
        </w:rPr>
        <w:t>决油罐操作井水蒸气聚集造成管道锈蚀的问题</w:t>
      </w:r>
      <w:r>
        <w:rPr>
          <w:rFonts w:hint="default" w:ascii="Times New Roman" w:hAnsi="Times New Roman" w:cs="Times New Roman"/>
          <w:caps w:val="0"/>
          <w:smallCaps w:val="0"/>
          <w:color w:val="000000" w:themeColor="text1"/>
          <w:spacing w:val="0"/>
          <w:w w:val="100"/>
          <w:lang w:eastAsia="zh-CN"/>
          <w14:textFill>
            <w14:solidFill>
              <w14:schemeClr w14:val="tx1"/>
            </w14:solidFill>
          </w14:textFill>
        </w:rPr>
        <w:t>，</w:t>
      </w:r>
      <w:r>
        <w:rPr>
          <w:rFonts w:hint="default" w:ascii="Times New Roman" w:hAnsi="Times New Roman" w:cs="Times New Roman"/>
          <w:caps w:val="0"/>
          <w:smallCaps w:val="0"/>
          <w:color w:val="000000" w:themeColor="text1"/>
          <w:spacing w:val="0"/>
          <w:w w:val="100"/>
          <w14:textFill>
            <w14:solidFill>
              <w14:schemeClr w14:val="tx1"/>
            </w14:solidFill>
          </w14:textFill>
        </w:rPr>
        <w:t>应定期通风、排湿，遇操作井积水、凝水情况，应及时处理，排出积水，保持井内干燥。</w:t>
      </w:r>
    </w:p>
    <w:p w14:paraId="76EA1693">
      <w:pPr>
        <w:numPr>
          <w:ilvl w:val="0"/>
          <w:numId w:val="0"/>
        </w:num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8.</w:t>
      </w:r>
      <w:r>
        <w:rPr>
          <w:rFonts w:hint="default" w:ascii="Times New Roman" w:hAnsi="Times New Roman" w:cs="Times New Roman"/>
          <w:caps w:val="0"/>
          <w:smallCaps w:val="0"/>
          <w:color w:val="000000" w:themeColor="text1"/>
          <w:spacing w:val="0"/>
          <w:w w:val="100"/>
          <w14:textFill>
            <w14:solidFill>
              <w14:schemeClr w14:val="tx1"/>
            </w14:solidFill>
          </w14:textFill>
        </w:rPr>
        <w:t>定期检查并更换油罐、管道法兰连接件、密封垫，确保设备、管线密封，杜绝油气泄漏</w:t>
      </w:r>
      <w:r>
        <w:rPr>
          <w:rFonts w:hint="default" w:ascii="Times New Roman" w:hAnsi="Times New Roman" w:cs="Times New Roman"/>
          <w:caps w:val="0"/>
          <w:smallCaps w:val="0"/>
          <w:color w:val="000000" w:themeColor="text1"/>
          <w:spacing w:val="0"/>
          <w:w w:val="100"/>
          <w:lang w:eastAsia="zh-CN"/>
          <w14:textFill>
            <w14:solidFill>
              <w14:schemeClr w14:val="tx1"/>
            </w14:solidFill>
          </w14:textFill>
        </w:rPr>
        <w:t>。</w:t>
      </w:r>
    </w:p>
    <w:p w14:paraId="3AC490D0">
      <w:pPr>
        <w:numPr>
          <w:ilvl w:val="0"/>
          <w:numId w:val="0"/>
        </w:numPr>
        <w:snapToGrid/>
        <w:ind w:firstLine="560" w:firstLineChars="200"/>
        <w:rPr>
          <w:rFonts w:hint="default" w:ascii="Times New Roman" w:hAnsi="Times New Roman" w:cs="Times New Roman"/>
          <w:caps w:val="0"/>
          <w:smallCaps w:val="0"/>
          <w:color w:val="000000" w:themeColor="text1"/>
          <w:spacing w:val="0"/>
          <w:w w:val="100"/>
          <w14:textFill>
            <w14:solidFill>
              <w14:schemeClr w14:val="tx1"/>
            </w14:solidFill>
          </w14:textFill>
        </w:rPr>
      </w:pPr>
      <w:r>
        <w:rPr>
          <w:rFonts w:hint="default" w:ascii="Times New Roman" w:hAnsi="Times New Roman" w:eastAsia="宋体" w:cs="Times New Roman"/>
          <w:caps w:val="0"/>
          <w:smallCaps w:val="0"/>
          <w:color w:val="000000" w:themeColor="text1"/>
          <w:spacing w:val="0"/>
          <w:w w:val="100"/>
          <w:kern w:val="2"/>
          <w:sz w:val="28"/>
          <w:szCs w:val="21"/>
          <w:lang w:val="en-US" w:eastAsia="zh-CN" w:bidi="ar-SA"/>
          <w14:textFill>
            <w14:solidFill>
              <w14:schemeClr w14:val="tx1"/>
            </w14:solidFill>
          </w14:textFill>
        </w:rPr>
        <w:t>9.</w:t>
      </w:r>
      <w:r>
        <w:rPr>
          <w:rFonts w:hint="default" w:ascii="Times New Roman" w:hAnsi="Times New Roman" w:cs="Times New Roman"/>
          <w:caps w:val="0"/>
          <w:smallCaps w:val="0"/>
          <w:color w:val="000000" w:themeColor="text1"/>
          <w:spacing w:val="0"/>
          <w:w w:val="100"/>
          <w14:textFill>
            <w14:solidFill>
              <w14:schemeClr w14:val="tx1"/>
            </w14:solidFill>
          </w14:textFill>
        </w:rPr>
        <w:t>加油站出入口未设置禁火线。</w:t>
      </w:r>
    </w:p>
    <w:bookmarkEnd w:id="371"/>
    <w:bookmarkEnd w:id="372"/>
    <w:bookmarkEnd w:id="373"/>
    <w:bookmarkEnd w:id="374"/>
    <w:p w14:paraId="21F441D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lang w:val="en-US" w:eastAsia="zh-CN"/>
        </w:rPr>
        <w:t>10</w:t>
      </w:r>
      <w:r>
        <w:rPr>
          <w:rFonts w:hint="default" w:ascii="Times New Roman" w:hAnsi="Times New Roman" w:cs="Times New Roman"/>
          <w:caps w:val="0"/>
          <w:smallCaps w:val="0"/>
          <w:spacing w:val="0"/>
          <w:w w:val="100"/>
        </w:rPr>
        <w:t>.卸油前设置警戒线并配置消防器材，卸油时须有专人监护。</w:t>
      </w:r>
    </w:p>
    <w:p w14:paraId="328EE3D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lang w:val="en-US" w:eastAsia="zh-CN"/>
        </w:rPr>
        <w:t>1</w:t>
      </w:r>
      <w:r>
        <w:rPr>
          <w:rFonts w:hint="default" w:ascii="Times New Roman" w:hAnsi="Times New Roman" w:cs="Times New Roman"/>
          <w:caps w:val="0"/>
          <w:smallCaps w:val="0"/>
          <w:spacing w:val="0"/>
          <w:w w:val="100"/>
        </w:rPr>
        <w:t>.加强计量工作，接卸前通过计量检测确认卸油罐的空容量。</w:t>
      </w:r>
    </w:p>
    <w:p w14:paraId="2EC7B049">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lang w:val="en-US" w:eastAsia="zh-CN"/>
        </w:rPr>
        <w:t>2</w:t>
      </w:r>
      <w:r>
        <w:rPr>
          <w:rFonts w:hint="default" w:ascii="Times New Roman" w:hAnsi="Times New Roman" w:cs="Times New Roman"/>
          <w:caps w:val="0"/>
          <w:smallCaps w:val="0"/>
          <w:spacing w:val="0"/>
          <w:w w:val="100"/>
        </w:rPr>
        <w:t>.特别坚持对油车的监卸操作，卸油过程中，必须专人负责监卸，并且，罐车司机不得远离现场。</w:t>
      </w:r>
    </w:p>
    <w:p w14:paraId="3DC299B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lang w:val="en-US" w:eastAsia="zh-CN"/>
        </w:rPr>
        <w:t>3</w:t>
      </w:r>
      <w:r>
        <w:rPr>
          <w:rFonts w:hint="default" w:ascii="Times New Roman" w:hAnsi="Times New Roman" w:cs="Times New Roman"/>
          <w:caps w:val="0"/>
          <w:smallCaps w:val="0"/>
          <w:spacing w:val="0"/>
          <w:w w:val="100"/>
        </w:rPr>
        <w:t>.加强加油站现场安全管理，消防器材摆放到位，以便应急使用。</w:t>
      </w:r>
    </w:p>
    <w:p w14:paraId="6D8EE57A">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lang w:val="en-US" w:eastAsia="zh-CN"/>
        </w:rPr>
        <w:t>4</w:t>
      </w:r>
      <w:r>
        <w:rPr>
          <w:rFonts w:hint="default" w:ascii="Times New Roman" w:hAnsi="Times New Roman" w:cs="Times New Roman"/>
          <w:caps w:val="0"/>
          <w:smallCaps w:val="0"/>
          <w:spacing w:val="0"/>
          <w:w w:val="100"/>
        </w:rPr>
        <w:t>.加油站应严格落实各项安全管理规章制度，安全管理工作应常抓不懈，确保加油站安全运行。</w:t>
      </w:r>
    </w:p>
    <w:p w14:paraId="1E0672C8">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w:t>
      </w:r>
      <w:r>
        <w:rPr>
          <w:rFonts w:hint="default" w:ascii="Times New Roman" w:hAnsi="Times New Roman" w:cs="Times New Roman"/>
          <w:caps w:val="0"/>
          <w:smallCaps w:val="0"/>
          <w:spacing w:val="0"/>
          <w:w w:val="100"/>
          <w:lang w:val="en-US" w:eastAsia="zh-CN"/>
        </w:rPr>
        <w:t>5</w:t>
      </w:r>
      <w:r>
        <w:rPr>
          <w:rFonts w:hint="default" w:ascii="Times New Roman" w:hAnsi="Times New Roman" w:cs="Times New Roman"/>
          <w:caps w:val="0"/>
          <w:smallCaps w:val="0"/>
          <w:spacing w:val="0"/>
          <w:w w:val="100"/>
        </w:rPr>
        <w:t>.日常经营过程中对加油站东南方上坡排水沟进行观测，确立加油站坡日常观察点，保持东南方坡底部排水沟畅通，对排水沟容易积水处雨水采取有效的汇流措施。</w:t>
      </w:r>
    </w:p>
    <w:p w14:paraId="7C0D17CC">
      <w:pPr>
        <w:pStyle w:val="6"/>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color w:val="000000" w:themeColor="text1"/>
          <w:spacing w:val="0"/>
          <w:w w:val="100"/>
          <w:lang w:val="en-US" w:eastAsia="zh-CN"/>
          <w14:textFill>
            <w14:solidFill>
              <w14:schemeClr w14:val="tx1"/>
            </w14:solidFill>
          </w14:textFill>
        </w:rPr>
      </w:pPr>
      <w:bookmarkStart w:id="402" w:name="_Toc30066"/>
      <w:r>
        <w:rPr>
          <w:rFonts w:hint="default" w:ascii="Times New Roman" w:hAnsi="Times New Roman" w:eastAsia="黑体" w:cs="Times New Roman"/>
          <w:b w:val="0"/>
          <w:bCs w:val="0"/>
          <w:caps w:val="0"/>
          <w:smallCaps w:val="0"/>
          <w:spacing w:val="0"/>
          <w:w w:val="100"/>
          <w:lang w:val="en-US" w:eastAsia="zh-CN"/>
        </w:rPr>
        <w:t>8.2.14其</w:t>
      </w:r>
      <w:r>
        <w:rPr>
          <w:rFonts w:hint="default" w:ascii="Times New Roman" w:hAnsi="Times New Roman" w:eastAsia="黑体" w:cs="Times New Roman"/>
          <w:b w:val="0"/>
          <w:bCs w:val="0"/>
          <w:caps w:val="0"/>
          <w:smallCaps w:val="0"/>
          <w:color w:val="000000" w:themeColor="text1"/>
          <w:spacing w:val="0"/>
          <w:w w:val="100"/>
          <w:lang w:val="en-US" w:eastAsia="zh-CN"/>
          <w14:textFill>
            <w14:solidFill>
              <w14:schemeClr w14:val="tx1"/>
            </w14:solidFill>
          </w14:textFill>
        </w:rPr>
        <w:t>他对策措施</w:t>
      </w:r>
      <w:bookmarkEnd w:id="402"/>
    </w:p>
    <w:p w14:paraId="0E05BCC8">
      <w:pPr>
        <w:snapToGrid/>
        <w:ind w:firstLine="560" w:firstLineChars="200"/>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1.建设单位应按照要求向规划、国土资源主管部门办理建设用地审批手续。</w:t>
      </w:r>
    </w:p>
    <w:p w14:paraId="6AA5F87B">
      <w:pPr>
        <w:snapToGrid/>
        <w:ind w:firstLine="560" w:firstLineChars="200"/>
        <w:rPr>
          <w:rFonts w:hint="default" w:ascii="Times New Roman" w:hAnsi="Times New Roman" w:cs="Times New Roman"/>
          <w:caps w:val="0"/>
          <w:smallCaps w:val="0"/>
          <w:spacing w:val="0"/>
          <w:w w:val="100"/>
          <w:lang w:val="en-US" w:eastAsia="zh-CN"/>
        </w:rPr>
      </w:pPr>
      <w:r>
        <w:rPr>
          <w:rFonts w:hint="default" w:ascii="Times New Roman" w:hAnsi="Times New Roman" w:cs="Times New Roman"/>
          <w:caps w:val="0"/>
          <w:smallCaps w:val="0"/>
          <w:color w:val="000000" w:themeColor="text1"/>
          <w:spacing w:val="0"/>
          <w:w w:val="100"/>
          <w:lang w:val="en-US" w:eastAsia="zh-CN"/>
          <w14:textFill>
            <w14:solidFill>
              <w14:schemeClr w14:val="tx1"/>
            </w14:solidFill>
          </w14:textFill>
        </w:rPr>
        <w:t>2.建设单位应加强与市政、规划</w:t>
      </w:r>
      <w:r>
        <w:rPr>
          <w:rFonts w:hint="default" w:ascii="Times New Roman" w:hAnsi="Times New Roman" w:cs="Times New Roman"/>
          <w:caps w:val="0"/>
          <w:smallCaps w:val="0"/>
          <w:spacing w:val="0"/>
          <w:w w:val="100"/>
          <w:lang w:val="en-US" w:eastAsia="zh-CN"/>
        </w:rPr>
        <w:t>部门的沟通，确保周边新、改、扩建项目与加油站的安全间距符合标准要求。</w:t>
      </w:r>
    </w:p>
    <w:p w14:paraId="469B11DF">
      <w:pPr>
        <w:snapToGrid/>
        <w:ind w:firstLine="560" w:firstLineChars="200"/>
        <w:rPr>
          <w:rFonts w:hint="default" w:ascii="Times New Roman" w:hAnsi="Times New Roman" w:cs="Times New Roman"/>
          <w:caps w:val="0"/>
          <w:smallCaps w:val="0"/>
          <w:spacing w:val="0"/>
          <w:w w:val="100"/>
          <w:lang w:val="en-US" w:eastAsia="zh-CN"/>
        </w:rPr>
      </w:pPr>
      <w:r>
        <w:rPr>
          <w:rFonts w:hint="default" w:ascii="Times New Roman" w:hAnsi="Times New Roman" w:cs="Times New Roman"/>
          <w:caps w:val="0"/>
          <w:smallCaps w:val="0"/>
          <w:spacing w:val="0"/>
          <w:w w:val="100"/>
          <w:lang w:val="en-US" w:eastAsia="zh-CN"/>
        </w:rPr>
        <w:t>3.按要求聘请具备相应资质的单位，尽快完成对液阻、油气回收系统密闭性和气液比的监测并取得报告；</w:t>
      </w:r>
    </w:p>
    <w:p w14:paraId="4EA8419D">
      <w:pPr>
        <w:snapToGrid/>
        <w:ind w:firstLine="560" w:firstLineChars="200"/>
        <w:rPr>
          <w:rFonts w:hint="default" w:ascii="Times New Roman" w:hAnsi="Times New Roman" w:cs="Times New Roman"/>
          <w:caps w:val="0"/>
          <w:smallCaps w:val="0"/>
          <w:spacing w:val="0"/>
          <w:w w:val="100"/>
          <w:lang w:val="en-US" w:eastAsia="zh-CN"/>
        </w:rPr>
      </w:pPr>
      <w:r>
        <w:rPr>
          <w:rFonts w:hint="eastAsia" w:ascii="Times New Roman" w:cs="Times New Roman"/>
          <w:caps w:val="0"/>
          <w:smallCaps w:val="0"/>
          <w:spacing w:val="0"/>
          <w:w w:val="100"/>
          <w:lang w:val="en-US" w:eastAsia="zh-CN"/>
        </w:rPr>
        <w:t>4.</w:t>
      </w:r>
      <w:r>
        <w:rPr>
          <w:rFonts w:hint="default" w:ascii="Times New Roman" w:hAnsi="Times New Roman" w:cs="Times New Roman"/>
          <w:caps w:val="0"/>
          <w:smallCaps w:val="0"/>
          <w:spacing w:val="0"/>
          <w:w w:val="100"/>
          <w:lang w:val="en-US" w:eastAsia="zh-CN"/>
        </w:rPr>
        <w:t>未经主管部门批准、同意，不得开展自助加油服务或不得擅自增加加油枪数量。</w:t>
      </w:r>
    </w:p>
    <w:p w14:paraId="786E2710">
      <w:pPr>
        <w:pStyle w:val="4"/>
        <w:snapToGrid/>
        <w:rPr>
          <w:rFonts w:hint="default" w:ascii="Times New Roman" w:hAnsi="Times New Roman" w:eastAsia="黑体" w:cs="Times New Roman"/>
          <w:caps w:val="0"/>
          <w:smallCaps w:val="0"/>
          <w:spacing w:val="0"/>
          <w:w w:val="100"/>
        </w:rPr>
      </w:pPr>
      <w:r>
        <w:rPr>
          <w:rFonts w:hint="default" w:ascii="Times New Roman" w:hAnsi="Times New Roman" w:eastAsia="宋体" w:cs="Times New Roman"/>
          <w:caps w:val="0"/>
          <w:smallCaps w:val="0"/>
          <w:spacing w:val="0"/>
          <w:w w:val="100"/>
          <w:kern w:val="2"/>
          <w:sz w:val="28"/>
          <w:szCs w:val="21"/>
        </w:rPr>
        <w:br w:type="page"/>
      </w:r>
      <w:bookmarkStart w:id="403" w:name="_Toc5803"/>
      <w:r>
        <w:rPr>
          <w:rFonts w:hint="default" w:ascii="Times New Roman" w:hAnsi="Times New Roman" w:eastAsia="黑体" w:cs="Times New Roman"/>
          <w:caps w:val="0"/>
          <w:smallCaps w:val="0"/>
          <w:spacing w:val="0"/>
          <w:w w:val="100"/>
        </w:rPr>
        <w:t>第</w:t>
      </w:r>
      <w:r>
        <w:rPr>
          <w:rFonts w:hint="default" w:ascii="Times New Roman" w:hAnsi="Times New Roman" w:eastAsia="黑体" w:cs="Times New Roman"/>
          <w:caps w:val="0"/>
          <w:smallCaps w:val="0"/>
          <w:spacing w:val="0"/>
          <w:w w:val="100"/>
          <w:lang w:val="en-US" w:eastAsia="zh-CN"/>
        </w:rPr>
        <w:t>九</w:t>
      </w:r>
      <w:r>
        <w:rPr>
          <w:rFonts w:hint="default" w:ascii="Times New Roman" w:hAnsi="Times New Roman" w:eastAsia="黑体" w:cs="Times New Roman"/>
          <w:caps w:val="0"/>
          <w:smallCaps w:val="0"/>
          <w:spacing w:val="0"/>
          <w:w w:val="100"/>
        </w:rPr>
        <w:t>章  评价结论</w:t>
      </w:r>
      <w:bookmarkEnd w:id="403"/>
    </w:p>
    <w:p w14:paraId="34DD8ACC">
      <w:pPr>
        <w:pStyle w:val="5"/>
        <w:snapToGrid/>
        <w:rPr>
          <w:rFonts w:hint="default" w:ascii="Times New Roman" w:hAnsi="Times New Roman" w:eastAsia="黑体" w:cs="Times New Roman"/>
          <w:b w:val="0"/>
          <w:bCs w:val="0"/>
          <w:caps w:val="0"/>
          <w:smallCaps w:val="0"/>
          <w:spacing w:val="0"/>
          <w:w w:val="100"/>
        </w:rPr>
      </w:pPr>
      <w:bookmarkStart w:id="404" w:name="_Toc3407"/>
      <w:bookmarkStart w:id="405" w:name="_Toc217321207"/>
      <w:r>
        <w:rPr>
          <w:rFonts w:hint="default" w:ascii="Times New Roman" w:hAnsi="Times New Roman" w:eastAsia="黑体" w:cs="Times New Roman"/>
          <w:b w:val="0"/>
          <w:bCs w:val="0"/>
          <w:caps w:val="0"/>
          <w:smallCaps w:val="0"/>
          <w:spacing w:val="0"/>
          <w:w w:val="100"/>
          <w:lang w:val="en-US" w:eastAsia="zh-CN"/>
        </w:rPr>
        <w:t>9</w:t>
      </w:r>
      <w:r>
        <w:rPr>
          <w:rFonts w:hint="default" w:ascii="Times New Roman" w:hAnsi="Times New Roman" w:eastAsia="黑体" w:cs="Times New Roman"/>
          <w:b w:val="0"/>
          <w:bCs w:val="0"/>
          <w:caps w:val="0"/>
          <w:smallCaps w:val="0"/>
          <w:spacing w:val="0"/>
          <w:w w:val="100"/>
        </w:rPr>
        <w:t>.1加油站存在的主要危险有害因素</w:t>
      </w:r>
      <w:bookmarkEnd w:id="404"/>
      <w:bookmarkEnd w:id="405"/>
    </w:p>
    <w:p w14:paraId="61F427EC">
      <w:pPr>
        <w:pageBreakBefore w:val="0"/>
        <w:kinsoku/>
        <w:topLinePunct w:val="0"/>
        <w:bidi w:val="0"/>
        <w:adjustRightInd/>
        <w:snapToGrid/>
        <w:ind w:firstLine="560"/>
        <w:rPr>
          <w:rFonts w:hint="default" w:ascii="Times New Roman" w:hAnsi="Times New Roman" w:cs="Times New Roman"/>
        </w:rPr>
      </w:pPr>
      <w:bookmarkStart w:id="406" w:name="_Toc217321208"/>
      <w:r>
        <w:rPr>
          <w:rFonts w:hint="default" w:ascii="Times New Roman" w:hAnsi="Times New Roman" w:cs="Times New Roman"/>
        </w:rPr>
        <w:t>该加油站涉及的危险化学品是汽油和柴油，主要危险、有害因素有火灾</w:t>
      </w:r>
      <w:r>
        <w:rPr>
          <w:rFonts w:hint="eastAsia"/>
          <w:lang w:eastAsia="zh-CN"/>
        </w:rPr>
        <w:t>、</w:t>
      </w:r>
      <w:r>
        <w:rPr>
          <w:rFonts w:hint="default" w:ascii="Times New Roman" w:hAnsi="Times New Roman" w:cs="Times New Roman"/>
        </w:rPr>
        <w:t>爆炸、</w:t>
      </w:r>
      <w:r>
        <w:rPr>
          <w:rFonts w:hint="eastAsia" w:ascii="Times New Roman" w:hAnsi="Times New Roman" w:cs="Times New Roman"/>
          <w:lang w:val="en-US" w:eastAsia="zh-CN"/>
        </w:rPr>
        <w:t>车辆伤害、</w:t>
      </w:r>
      <w:r>
        <w:rPr>
          <w:rFonts w:hint="default" w:ascii="Times New Roman" w:hAnsi="Times New Roman" w:cs="Times New Roman"/>
        </w:rPr>
        <w:t>机械伤害、</w:t>
      </w:r>
      <w:r>
        <w:rPr>
          <w:rFonts w:hint="eastAsia"/>
          <w:lang w:val="en-US" w:eastAsia="zh-CN"/>
        </w:rPr>
        <w:t>中毒和窒息</w:t>
      </w:r>
      <w:r>
        <w:rPr>
          <w:rFonts w:hint="default" w:ascii="Times New Roman" w:hAnsi="Times New Roman" w:cs="Times New Roman"/>
        </w:rPr>
        <w:t>、雷击、静电、高处坠落</w:t>
      </w:r>
      <w:r>
        <w:rPr>
          <w:rFonts w:hint="eastAsia" w:ascii="Times New Roman" w:hAnsi="Times New Roman" w:cs="Times New Roman"/>
          <w:lang w:eastAsia="zh-CN"/>
        </w:rPr>
        <w:t>、</w:t>
      </w:r>
      <w:r>
        <w:rPr>
          <w:rFonts w:hint="default" w:ascii="Times New Roman" w:hAnsi="Times New Roman" w:cs="Times New Roman"/>
        </w:rPr>
        <w:t>触电危险性等。其中最主要的危险有害因素是火灾、爆炸。</w:t>
      </w:r>
    </w:p>
    <w:p w14:paraId="1C5A2FDA">
      <w:pPr>
        <w:snapToGrid/>
        <w:ind w:firstLine="560"/>
        <w:rPr>
          <w:rFonts w:hint="default" w:ascii="Times New Roman" w:hAnsi="Times New Roman" w:cs="Times New Roman"/>
          <w:caps w:val="0"/>
          <w:smallCaps w:val="0"/>
          <w:spacing w:val="0"/>
          <w:w w:val="100"/>
          <w:lang w:val="zh-CN"/>
        </w:rPr>
      </w:pPr>
      <w:r>
        <w:rPr>
          <w:rFonts w:hint="default" w:ascii="Times New Roman" w:hAnsi="Times New Roman" w:cs="Times New Roman"/>
          <w:caps w:val="0"/>
          <w:smallCaps w:val="0"/>
          <w:spacing w:val="0"/>
          <w:w w:val="100"/>
        </w:rPr>
        <w:t>事故易发及危险点是：加油岛（加油场地及加油机）、配电室、油罐及管道、卸油场所。</w:t>
      </w:r>
    </w:p>
    <w:p w14:paraId="4AEA7B69">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根据《危险化学品重大危险源辨识》（GB 18218-2018）的规定，该项目未构成重大危险源。由于汽油属于国家首批重点监管危险化学品，加油站应根据《生产经营单位生产安全事故应急预案编制导则》（GB/T29639-2020）修订预案，并对预案进行定期演练并做好记录。</w:t>
      </w:r>
    </w:p>
    <w:p w14:paraId="208D5459">
      <w:pPr>
        <w:pStyle w:val="5"/>
        <w:snapToGrid/>
        <w:rPr>
          <w:rFonts w:hint="default" w:ascii="Times New Roman" w:hAnsi="Times New Roman" w:eastAsia="黑体" w:cs="Times New Roman"/>
          <w:b w:val="0"/>
          <w:bCs w:val="0"/>
          <w:caps w:val="0"/>
          <w:smallCaps w:val="0"/>
          <w:spacing w:val="0"/>
          <w:w w:val="100"/>
        </w:rPr>
      </w:pPr>
      <w:bookmarkStart w:id="407" w:name="_Toc26472"/>
      <w:r>
        <w:rPr>
          <w:rFonts w:hint="default" w:ascii="Times New Roman" w:hAnsi="Times New Roman" w:eastAsia="黑体" w:cs="Times New Roman"/>
          <w:b w:val="0"/>
          <w:bCs w:val="0"/>
          <w:caps w:val="0"/>
          <w:smallCaps w:val="0"/>
          <w:spacing w:val="0"/>
          <w:w w:val="100"/>
          <w:lang w:val="en-US" w:eastAsia="zh-CN"/>
        </w:rPr>
        <w:t>9</w:t>
      </w:r>
      <w:r>
        <w:rPr>
          <w:rFonts w:hint="default" w:ascii="Times New Roman" w:hAnsi="Times New Roman" w:eastAsia="黑体" w:cs="Times New Roman"/>
          <w:b w:val="0"/>
          <w:bCs w:val="0"/>
          <w:caps w:val="0"/>
          <w:smallCaps w:val="0"/>
          <w:spacing w:val="0"/>
          <w:w w:val="100"/>
        </w:rPr>
        <w:t>.2单元评价</w:t>
      </w:r>
      <w:bookmarkEnd w:id="406"/>
      <w:r>
        <w:rPr>
          <w:rFonts w:hint="default" w:ascii="Times New Roman" w:hAnsi="Times New Roman" w:eastAsia="黑体" w:cs="Times New Roman"/>
          <w:b w:val="0"/>
          <w:bCs w:val="0"/>
          <w:caps w:val="0"/>
          <w:smallCaps w:val="0"/>
          <w:spacing w:val="0"/>
          <w:w w:val="100"/>
        </w:rPr>
        <w:t>综述</w:t>
      </w:r>
      <w:bookmarkEnd w:id="407"/>
    </w:p>
    <w:bookmarkEnd w:id="345"/>
    <w:p w14:paraId="68E98EB4">
      <w:pPr>
        <w:pStyle w:val="55"/>
        <w:snapToGrid/>
        <w:ind w:firstLine="560" w:firstLineChars="200"/>
        <w:rPr>
          <w:rFonts w:hint="default" w:ascii="Times New Roman" w:hAnsi="Times New Roman" w:cs="Times New Roman"/>
          <w:caps w:val="0"/>
          <w:smallCaps w:val="0"/>
          <w:spacing w:val="0"/>
          <w:w w:val="100"/>
        </w:rPr>
      </w:pPr>
      <w:bookmarkStart w:id="408" w:name="_Toc195176778"/>
      <w:r>
        <w:rPr>
          <w:rFonts w:hint="default" w:ascii="Times New Roman" w:hAnsi="Times New Roman" w:cs="Times New Roman"/>
          <w:caps w:val="0"/>
          <w:smallCaps w:val="0"/>
          <w:spacing w:val="0"/>
          <w:w w:val="100"/>
        </w:rPr>
        <w:t>本报告对西双版纳中闽商贸有限公司勐海勐遮加油站原址改扩建项目的周边环境、总平面布置、工艺系统、安全设备设施、安全管理分别进行评价，评价结果表明：</w:t>
      </w:r>
    </w:p>
    <w:p w14:paraId="63148E51">
      <w:pPr>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1.周边环境及总平面布置单元：西双版纳中闽商贸有限公司勐海勐遮加油站位于云南省西双版纳傣族自治州勐海县勐遮镇曼扫村委会三十公里处，西面紧邻G214道路，交通方便，且远离人口密集区，加油站的总平面布置合理，功能设置分区划分明确，加油站周边环境及总平面布置符合《汽车加油加气加氢站技术标准》（GB 50156-2021）的要求。</w:t>
      </w:r>
    </w:p>
    <w:p w14:paraId="26A4AE17">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2.工艺系统及设备设施单元：加油站油罐埋地设置，卸油方式采用密闭式，加油机设置在罩棚下，采用自封式加油枪加油，该加油站选用的工艺成熟，加油站油罐、工艺管道及加油机为有资质单位提供，设施可靠，符合安全经营的要求。</w:t>
      </w:r>
    </w:p>
    <w:p w14:paraId="16B77B14">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3.公用工程单元：原址改扩建加油站的给排水和供配电等公辅设施符合《汽车加油加气加氢站技术标准》（GB 50156-2021）的要求。</w:t>
      </w:r>
    </w:p>
    <w:p w14:paraId="17F97620">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4.安全设备设施单元：该加油站消防器材配置合理，灭火器材可靠有效，按规范要求配置油罐液位仪、加油机剪切阀、油罐及管道泄漏检测仪、静电接地仪、消防沙池及消防铲；防雷防静电设施经有资质单位检测合格</w:t>
      </w:r>
      <w:r>
        <w:rPr>
          <w:rFonts w:hint="default" w:ascii="Times New Roman" w:hAnsi="Times New Roman" w:eastAsia="宋体" w:cs="Times New Roman"/>
          <w:caps w:val="0"/>
          <w:smallCaps w:val="0"/>
          <w:spacing w:val="0"/>
          <w:w w:val="100"/>
          <w:lang w:val="en-US" w:eastAsia="zh-CN"/>
        </w:rPr>
        <w:t>，并已取</w:t>
      </w:r>
      <w:r>
        <w:rPr>
          <w:rFonts w:hint="default" w:ascii="Times New Roman" w:hAnsi="Times New Roman" w:cs="Times New Roman"/>
          <w:caps w:val="0"/>
          <w:smallCaps w:val="0"/>
          <w:spacing w:val="0"/>
          <w:w w:val="100"/>
          <w:lang w:val="en-US" w:eastAsia="zh-CN"/>
        </w:rPr>
        <w:t>得勐海县住房和城乡建设局颁发的《特殊建设工程消防验收意见书》</w:t>
      </w:r>
      <w:r>
        <w:rPr>
          <w:rFonts w:hint="default" w:ascii="Times New Roman" w:hAnsi="Times New Roman" w:cs="Times New Roman"/>
          <w:caps w:val="0"/>
          <w:smallCaps w:val="0"/>
          <w:spacing w:val="0"/>
          <w:w w:val="100"/>
        </w:rPr>
        <w:t>，安全设备设施单元符合安全要求。</w:t>
      </w:r>
    </w:p>
    <w:p w14:paraId="58356484">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5.安全管理单元：该加油站证照文书齐全，有健全的管理机构和管理制度；安全职责分工细致明确；有事故应急预案；有员工操作规程和培训制度，从业人员已参加相关部门组织的培训，该站安全管理符合安全要求。</w:t>
      </w:r>
    </w:p>
    <w:p w14:paraId="135E1351">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6.重大生产安全事故隐患单元：依据《化工和危险化学品生产经营单位重大生产安全事故隐患判定标准（试行）》（安监总管三【2017】121号）编制安全检查表对加油站进行分析辨识，该加油站不存在危险化学品经营单位重大生产安全事故隐患。</w:t>
      </w:r>
    </w:p>
    <w:bookmarkEnd w:id="408"/>
    <w:p w14:paraId="1B17CB77">
      <w:pPr>
        <w:pStyle w:val="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b w:val="0"/>
          <w:bCs w:val="0"/>
          <w:caps w:val="0"/>
          <w:smallCaps w:val="0"/>
          <w:spacing w:val="0"/>
          <w:w w:val="100"/>
        </w:rPr>
      </w:pPr>
      <w:bookmarkStart w:id="409" w:name="_Toc30783"/>
      <w:bookmarkStart w:id="410" w:name="_Toc217321209"/>
      <w:r>
        <w:rPr>
          <w:rFonts w:hint="default" w:ascii="Times New Roman" w:hAnsi="Times New Roman" w:eastAsia="黑体" w:cs="Times New Roman"/>
          <w:b w:val="0"/>
          <w:bCs w:val="0"/>
          <w:caps w:val="0"/>
          <w:smallCaps w:val="0"/>
          <w:spacing w:val="0"/>
          <w:w w:val="100"/>
          <w:lang w:val="en-US" w:eastAsia="zh-CN"/>
        </w:rPr>
        <w:t>9</w:t>
      </w:r>
      <w:r>
        <w:rPr>
          <w:rFonts w:hint="default" w:ascii="Times New Roman" w:hAnsi="Times New Roman" w:eastAsia="黑体" w:cs="Times New Roman"/>
          <w:b w:val="0"/>
          <w:bCs w:val="0"/>
          <w:caps w:val="0"/>
          <w:smallCaps w:val="0"/>
          <w:spacing w:val="0"/>
          <w:w w:val="100"/>
        </w:rPr>
        <w:t>.3应重点防范的危险有害因素</w:t>
      </w:r>
      <w:bookmarkEnd w:id="409"/>
      <w:bookmarkEnd w:id="410"/>
    </w:p>
    <w:p w14:paraId="7AE5612E">
      <w:pPr>
        <w:pStyle w:val="55"/>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根据《危险化学品重大危险源辨识》（GB 18218-2018）的规定，加油站未构成重大危险源。由于汽油属国家首批重点监管危险化学品，加油站应根据《生产经营单位生产安全事故应急预案编制导则》（GB/T29639-2020）制订预案，并对预案进行评审，定期演练并做好记录。油罐区应按重大危险目标进行管理。</w:t>
      </w:r>
    </w:p>
    <w:p w14:paraId="4CCE1074">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经过危险有害因素分析识别表明，加油站涉及的危险有害因素最主要的是火灾、爆炸。</w:t>
      </w:r>
    </w:p>
    <w:p w14:paraId="185A1DF7">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根据“</w:t>
      </w:r>
      <w:r>
        <w:rPr>
          <w:rFonts w:hint="default" w:ascii="Times New Roman" w:hAnsi="Times New Roman" w:cs="Times New Roman"/>
          <w:bCs/>
          <w:caps w:val="0"/>
          <w:smallCaps w:val="0"/>
          <w:spacing w:val="0"/>
          <w:w w:val="100"/>
          <w:kern w:val="0"/>
          <w:szCs w:val="28"/>
          <w:lang w:val="zh-CN"/>
        </w:rPr>
        <w:t>G·M莱克霍夫计算方法</w:t>
      </w:r>
      <w:r>
        <w:rPr>
          <w:rFonts w:hint="default" w:ascii="Times New Roman" w:hAnsi="Times New Roman" w:cs="Times New Roman"/>
          <w:caps w:val="0"/>
          <w:smallCaps w:val="0"/>
          <w:spacing w:val="0"/>
          <w:w w:val="100"/>
        </w:rPr>
        <w:t>”计算结果表明，汽油贮罐发生蒸汽云雾爆炸后，其对人体的伤害及其对周围的建构筑物的破坏范围覆盖整个加油站及站房，并会波及周边场所，造成的后果是极其严重的。</w:t>
      </w:r>
    </w:p>
    <w:p w14:paraId="543C4ED1">
      <w:pPr>
        <w:pStyle w:val="55"/>
        <w:snapToGrid/>
        <w:ind w:firstLine="560" w:firstLineChars="200"/>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从国内外的有关调查资料统计来看，加油站储油罐爆炸事故发生的概率极低，是可以采取安全管理和安全技术措施预防的。</w:t>
      </w:r>
    </w:p>
    <w:p w14:paraId="28A889B5">
      <w:pPr>
        <w:pStyle w:val="5"/>
        <w:snapToGrid/>
        <w:rPr>
          <w:rFonts w:hint="default" w:ascii="Times New Roman" w:hAnsi="Times New Roman" w:eastAsia="黑体" w:cs="Times New Roman"/>
          <w:b w:val="0"/>
          <w:bCs w:val="0"/>
          <w:caps w:val="0"/>
          <w:smallCaps w:val="0"/>
          <w:spacing w:val="0"/>
          <w:w w:val="100"/>
          <w:kern w:val="28"/>
        </w:rPr>
      </w:pPr>
      <w:bookmarkStart w:id="411" w:name="_Toc217321210"/>
      <w:bookmarkStart w:id="412" w:name="_Toc195176779"/>
      <w:bookmarkStart w:id="413" w:name="_Toc7364"/>
      <w:r>
        <w:rPr>
          <w:rFonts w:hint="default" w:ascii="Times New Roman" w:hAnsi="Times New Roman" w:eastAsia="黑体" w:cs="Times New Roman"/>
          <w:b w:val="0"/>
          <w:bCs w:val="0"/>
          <w:caps w:val="0"/>
          <w:smallCaps w:val="0"/>
          <w:spacing w:val="0"/>
          <w:w w:val="100"/>
          <w:kern w:val="28"/>
          <w:lang w:val="en-US" w:eastAsia="zh-CN"/>
        </w:rPr>
        <w:t>9</w:t>
      </w:r>
      <w:r>
        <w:rPr>
          <w:rFonts w:hint="default" w:ascii="Times New Roman" w:hAnsi="Times New Roman" w:eastAsia="黑体" w:cs="Times New Roman"/>
          <w:b w:val="0"/>
          <w:bCs w:val="0"/>
          <w:caps w:val="0"/>
          <w:smallCaps w:val="0"/>
          <w:spacing w:val="0"/>
          <w:w w:val="100"/>
          <w:kern w:val="28"/>
        </w:rPr>
        <w:t>.4评价结</w:t>
      </w:r>
      <w:bookmarkEnd w:id="411"/>
      <w:bookmarkEnd w:id="412"/>
      <w:r>
        <w:rPr>
          <w:rFonts w:hint="default" w:ascii="Times New Roman" w:hAnsi="Times New Roman" w:eastAsia="黑体" w:cs="Times New Roman"/>
          <w:b w:val="0"/>
          <w:bCs w:val="0"/>
          <w:caps w:val="0"/>
          <w:smallCaps w:val="0"/>
          <w:spacing w:val="0"/>
          <w:w w:val="100"/>
          <w:kern w:val="28"/>
        </w:rPr>
        <w:t>论</w:t>
      </w:r>
      <w:bookmarkEnd w:id="413"/>
    </w:p>
    <w:p w14:paraId="64B7C02A">
      <w:pPr>
        <w:pStyle w:val="55"/>
        <w:snapToGrid/>
        <w:ind w:firstLine="560" w:firstLineChars="200"/>
        <w:rPr>
          <w:rFonts w:hint="default" w:ascii="Times New Roman" w:hAnsi="Times New Roman" w:cs="Times New Roman"/>
          <w:caps w:val="0"/>
          <w:smallCaps w:val="0"/>
          <w:spacing w:val="0"/>
          <w:w w:val="100"/>
          <w:kern w:val="28"/>
          <w:szCs w:val="28"/>
        </w:rPr>
      </w:pPr>
      <w:r>
        <w:rPr>
          <w:rFonts w:hint="default" w:ascii="Times New Roman" w:hAnsi="Times New Roman" w:cs="Times New Roman"/>
          <w:caps w:val="0"/>
          <w:smallCaps w:val="0"/>
          <w:spacing w:val="0"/>
          <w:w w:val="100"/>
          <w:kern w:val="28"/>
        </w:rPr>
        <w:t>根据《中华人民共和国安全生产法》、《中华人民共和国消防法》、《危险化学品安全管理条例》、《云南省安全生产条例》、《危险化学品建设项目安全监督管理办法》等法律、法规的要求，</w:t>
      </w:r>
      <w:r>
        <w:rPr>
          <w:rFonts w:hint="default" w:ascii="Times New Roman" w:hAnsi="Times New Roman" w:cs="Times New Roman"/>
          <w:caps w:val="0"/>
          <w:smallCaps w:val="0"/>
          <w:spacing w:val="0"/>
          <w:w w:val="100"/>
          <w:kern w:val="28"/>
          <w:szCs w:val="28"/>
        </w:rPr>
        <w:t>通过对</w:t>
      </w:r>
      <w:r>
        <w:rPr>
          <w:rFonts w:hint="default" w:ascii="Times New Roman" w:hAnsi="Times New Roman" w:cs="Times New Roman"/>
          <w:caps w:val="0"/>
          <w:smallCaps w:val="0"/>
          <w:spacing w:val="0"/>
          <w:w w:val="100"/>
          <w:kern w:val="28"/>
        </w:rPr>
        <w:t>西双版纳中闽商贸有限公司勐海勐遮加油站原址改扩建项目</w:t>
      </w:r>
      <w:r>
        <w:rPr>
          <w:rFonts w:hint="default" w:ascii="Times New Roman" w:hAnsi="Times New Roman" w:cs="Times New Roman"/>
          <w:caps w:val="0"/>
          <w:smallCaps w:val="0"/>
          <w:spacing w:val="0"/>
          <w:w w:val="100"/>
          <w:kern w:val="28"/>
          <w:szCs w:val="28"/>
        </w:rPr>
        <w:t>周边环境及总平面布置、工艺系统及设备设施、公用工程、安全设备设施、安全管理等方面的综合分析评价后认为：</w:t>
      </w:r>
    </w:p>
    <w:p w14:paraId="7853FC2C">
      <w:pPr>
        <w:pStyle w:val="31"/>
        <w:snapToGrid/>
        <w:ind w:firstLine="560" w:firstLineChars="200"/>
        <w:rPr>
          <w:rFonts w:hint="default" w:ascii="Times New Roman" w:hAnsi="Times New Roman" w:cs="Times New Roman"/>
          <w:caps w:val="0"/>
          <w:smallCaps w:val="0"/>
          <w:color w:val="000000"/>
          <w:spacing w:val="0"/>
          <w:w w:val="100"/>
          <w:kern w:val="28"/>
        </w:rPr>
      </w:pPr>
      <w:r>
        <w:rPr>
          <w:rFonts w:hint="default" w:ascii="Times New Roman" w:hAnsi="Times New Roman" w:cs="Times New Roman"/>
          <w:caps w:val="0"/>
          <w:smallCaps w:val="0"/>
          <w:color w:val="000000"/>
          <w:spacing w:val="0"/>
          <w:w w:val="100"/>
          <w:kern w:val="28"/>
          <w:sz w:val="28"/>
          <w:szCs w:val="20"/>
          <w:lang w:bidi="ar"/>
        </w:rPr>
        <w:t>1.该项目安全设施做到了与主体工程同时设计、同时施工、同时投入生产和使用，符合“三同时”法规的要求。</w:t>
      </w:r>
    </w:p>
    <w:p w14:paraId="48FE19EC">
      <w:pPr>
        <w:pStyle w:val="31"/>
        <w:snapToGrid/>
        <w:ind w:firstLine="560" w:firstLineChars="200"/>
        <w:rPr>
          <w:rFonts w:hint="default" w:ascii="Times New Roman" w:hAnsi="Times New Roman" w:cs="Times New Roman"/>
          <w:caps w:val="0"/>
          <w:smallCaps w:val="0"/>
          <w:color w:val="000000"/>
          <w:spacing w:val="0"/>
          <w:w w:val="100"/>
          <w:kern w:val="28"/>
        </w:rPr>
      </w:pPr>
      <w:r>
        <w:rPr>
          <w:rFonts w:hint="default" w:ascii="Times New Roman" w:hAnsi="Times New Roman" w:cs="Times New Roman"/>
          <w:caps w:val="0"/>
          <w:smallCaps w:val="0"/>
          <w:color w:val="000000"/>
          <w:spacing w:val="0"/>
          <w:w w:val="100"/>
          <w:kern w:val="28"/>
          <w:sz w:val="28"/>
          <w:szCs w:val="20"/>
          <w:lang w:bidi="ar"/>
        </w:rPr>
        <w:t>2.项目总平面布置符合《汽车加油加气加氢站技术标准》（GB50156-2021）等标准、规范的要求。</w:t>
      </w:r>
    </w:p>
    <w:p w14:paraId="573548FA">
      <w:pPr>
        <w:pStyle w:val="31"/>
        <w:snapToGrid/>
        <w:ind w:firstLine="560" w:firstLineChars="200"/>
        <w:rPr>
          <w:rFonts w:hint="default" w:ascii="Times New Roman" w:hAnsi="Times New Roman" w:cs="Times New Roman"/>
          <w:caps w:val="0"/>
          <w:smallCaps w:val="0"/>
          <w:color w:val="000000"/>
          <w:spacing w:val="0"/>
          <w:w w:val="100"/>
          <w:kern w:val="28"/>
        </w:rPr>
      </w:pPr>
      <w:r>
        <w:rPr>
          <w:rFonts w:hint="default" w:ascii="Times New Roman" w:hAnsi="Times New Roman" w:cs="Times New Roman"/>
          <w:caps w:val="0"/>
          <w:smallCaps w:val="0"/>
          <w:color w:val="000000"/>
          <w:spacing w:val="0"/>
          <w:w w:val="100"/>
          <w:kern w:val="28"/>
          <w:sz w:val="28"/>
          <w:szCs w:val="20"/>
          <w:lang w:bidi="ar"/>
        </w:rPr>
        <w:t>3.该项目加油工艺、装置（设施）符合《汽车加油加气加氢站技术标准》（GB50156-2021）等相关文件、法规的要求。</w:t>
      </w:r>
    </w:p>
    <w:p w14:paraId="323D7B48">
      <w:pPr>
        <w:pStyle w:val="31"/>
        <w:snapToGrid/>
        <w:ind w:firstLine="560" w:firstLineChars="200"/>
        <w:rPr>
          <w:rFonts w:hint="default" w:ascii="Times New Roman" w:hAnsi="Times New Roman" w:cs="Times New Roman"/>
          <w:caps w:val="0"/>
          <w:smallCaps w:val="0"/>
          <w:color w:val="000000"/>
          <w:spacing w:val="0"/>
          <w:w w:val="100"/>
          <w:kern w:val="28"/>
        </w:rPr>
      </w:pPr>
      <w:r>
        <w:rPr>
          <w:rFonts w:hint="default" w:ascii="Times New Roman" w:hAnsi="Times New Roman" w:cs="Times New Roman"/>
          <w:caps w:val="0"/>
          <w:smallCaps w:val="0"/>
          <w:color w:val="000000"/>
          <w:spacing w:val="0"/>
          <w:w w:val="100"/>
          <w:kern w:val="28"/>
          <w:sz w:val="28"/>
          <w:szCs w:val="20"/>
          <w:lang w:bidi="ar"/>
        </w:rPr>
        <w:t>4.该项目不涉及使用限制和淘汰类工艺、装置。本项目试生产（使用）中技术、工艺和装置、设备（设施）安全、可靠。</w:t>
      </w:r>
    </w:p>
    <w:p w14:paraId="7BAF5889">
      <w:pPr>
        <w:pStyle w:val="31"/>
        <w:snapToGrid/>
        <w:ind w:firstLine="560" w:firstLineChars="200"/>
        <w:rPr>
          <w:rFonts w:hint="default" w:ascii="Times New Roman" w:hAnsi="Times New Roman" w:cs="Times New Roman"/>
          <w:caps w:val="0"/>
          <w:smallCaps w:val="0"/>
          <w:color w:val="000000"/>
          <w:spacing w:val="0"/>
          <w:w w:val="100"/>
          <w:kern w:val="28"/>
        </w:rPr>
      </w:pPr>
      <w:r>
        <w:rPr>
          <w:rFonts w:hint="default" w:ascii="Times New Roman" w:hAnsi="Times New Roman" w:cs="Times New Roman"/>
          <w:caps w:val="0"/>
          <w:smallCaps w:val="0"/>
          <w:color w:val="000000"/>
          <w:spacing w:val="0"/>
          <w:w w:val="100"/>
          <w:kern w:val="28"/>
          <w:sz w:val="28"/>
          <w:szCs w:val="20"/>
          <w:lang w:bidi="ar"/>
        </w:rPr>
        <w:t>5.安全设施设计提出的安全对策措施已全部落实，并经验收合格，试运行正常。该项目各安全设施符合《汽车加油加气加氢站技术标准》（GB50156-2021）的标准、规范的要求。</w:t>
      </w:r>
    </w:p>
    <w:p w14:paraId="10E488BE">
      <w:pPr>
        <w:pStyle w:val="31"/>
        <w:snapToGrid/>
        <w:ind w:firstLine="560" w:firstLineChars="200"/>
        <w:rPr>
          <w:rFonts w:hint="default" w:ascii="Times New Roman" w:hAnsi="Times New Roman" w:cs="Times New Roman"/>
          <w:caps w:val="0"/>
          <w:smallCaps w:val="0"/>
          <w:color w:val="000000"/>
          <w:spacing w:val="0"/>
          <w:w w:val="100"/>
          <w:kern w:val="28"/>
        </w:rPr>
      </w:pPr>
      <w:r>
        <w:rPr>
          <w:rFonts w:hint="default" w:ascii="Times New Roman" w:hAnsi="Times New Roman" w:cs="Times New Roman"/>
          <w:caps w:val="0"/>
          <w:smallCaps w:val="0"/>
          <w:color w:val="000000"/>
          <w:spacing w:val="0"/>
          <w:w w:val="100"/>
          <w:kern w:val="28"/>
          <w:sz w:val="28"/>
          <w:szCs w:val="20"/>
          <w:lang w:bidi="ar"/>
        </w:rPr>
        <w:t>6.该项目供配电、给排水、消防设施以及防雷防静电设施等公辅设施符合要求，能满足实际运营的需要。</w:t>
      </w:r>
    </w:p>
    <w:p w14:paraId="2A5E9600">
      <w:pPr>
        <w:pStyle w:val="31"/>
        <w:snapToGrid/>
        <w:ind w:firstLine="560" w:firstLineChars="200"/>
        <w:rPr>
          <w:rFonts w:hint="default" w:ascii="Times New Roman" w:hAnsi="Times New Roman" w:cs="Times New Roman"/>
          <w:caps w:val="0"/>
          <w:smallCaps w:val="0"/>
          <w:color w:val="000000"/>
          <w:spacing w:val="0"/>
          <w:w w:val="100"/>
          <w:kern w:val="28"/>
        </w:rPr>
      </w:pPr>
      <w:r>
        <w:rPr>
          <w:rFonts w:hint="default" w:ascii="Times New Roman" w:hAnsi="Times New Roman" w:cs="Times New Roman"/>
          <w:caps w:val="0"/>
          <w:smallCaps w:val="0"/>
          <w:color w:val="000000"/>
          <w:spacing w:val="0"/>
          <w:w w:val="100"/>
          <w:kern w:val="28"/>
          <w:sz w:val="28"/>
          <w:szCs w:val="20"/>
          <w:lang w:bidi="ar"/>
        </w:rPr>
        <w:t>7.企业成立了安全管理机构，</w:t>
      </w:r>
      <w:r>
        <w:rPr>
          <w:rFonts w:hint="default" w:ascii="Times New Roman" w:hAnsi="Times New Roman" w:eastAsia="宋体" w:cs="Times New Roman"/>
          <w:snapToGrid/>
          <w:color w:val="000000"/>
          <w:kern w:val="28"/>
          <w:sz w:val="28"/>
          <w:szCs w:val="20"/>
          <w:lang w:val="en-US" w:eastAsia="zh-CN" w:bidi="ar"/>
        </w:rPr>
        <w:t>任命了安全生产管理人员，</w:t>
      </w:r>
      <w:r>
        <w:rPr>
          <w:rFonts w:hint="default" w:ascii="Times New Roman" w:hAnsi="Times New Roman" w:cs="Times New Roman"/>
          <w:caps w:val="0"/>
          <w:smallCaps w:val="0"/>
          <w:color w:val="000000"/>
          <w:spacing w:val="0"/>
          <w:w w:val="100"/>
          <w:kern w:val="28"/>
          <w:sz w:val="28"/>
          <w:szCs w:val="20"/>
          <w:lang w:bidi="ar"/>
        </w:rPr>
        <w:t>其主要负责人及安全生产管理人员持证上岗，参与安全生产管理工作，配发了相应劳动防护用品。同时，该项目制定了安全生产责任制、安全管理制度、安全操作规程，配备了应急救援物资，编制了生产安全事故应急预案，已到当地应急管理部门备案，并进行了事故应急演练，其安全管理等相关条件符合国家对危险化学品生产单位相关法律、法规、标准、规范的要求。</w:t>
      </w:r>
    </w:p>
    <w:p w14:paraId="09AD4197">
      <w:pPr>
        <w:pStyle w:val="31"/>
        <w:snapToGrid/>
        <w:ind w:firstLine="560" w:firstLineChars="200"/>
        <w:rPr>
          <w:rFonts w:hint="default" w:ascii="Times New Roman" w:hAnsi="Times New Roman" w:cs="Times New Roman"/>
          <w:caps w:val="0"/>
          <w:smallCaps w:val="0"/>
          <w:color w:val="000000"/>
          <w:spacing w:val="0"/>
          <w:w w:val="100"/>
          <w:kern w:val="28"/>
          <w:sz w:val="28"/>
          <w:szCs w:val="20"/>
          <w:lang w:bidi="ar"/>
        </w:rPr>
      </w:pPr>
      <w:r>
        <w:rPr>
          <w:rFonts w:hint="default" w:ascii="Times New Roman" w:hAnsi="Times New Roman" w:cs="Times New Roman"/>
          <w:caps w:val="0"/>
          <w:smallCaps w:val="0"/>
          <w:color w:val="000000"/>
          <w:spacing w:val="0"/>
          <w:w w:val="100"/>
          <w:kern w:val="28"/>
          <w:sz w:val="28"/>
          <w:szCs w:val="20"/>
          <w:lang w:bidi="ar"/>
        </w:rPr>
        <w:t>8.西双版纳中闽商贸有限公司勐海勐遮加油站对该项目现场存在的主要问题进行了整改。</w:t>
      </w:r>
    </w:p>
    <w:p w14:paraId="31766FB7">
      <w:pPr>
        <w:pStyle w:val="55"/>
        <w:pageBreakBefore w:val="0"/>
        <w:kinsoku/>
        <w:topLinePunct w:val="0"/>
        <w:bidi w:val="0"/>
        <w:adjustRightInd/>
        <w:snapToGrid/>
        <w:jc w:val="left"/>
        <w:rPr>
          <w:rFonts w:hint="default" w:ascii="Times New Roman" w:hAnsi="Times New Roman" w:cs="Times New Roman"/>
          <w:kern w:val="28"/>
        </w:rPr>
      </w:pPr>
      <w:r>
        <w:rPr>
          <w:rFonts w:hint="default" w:ascii="Times New Roman" w:hAnsi="Times New Roman" w:cs="Times New Roman"/>
          <w:caps w:val="0"/>
          <w:smallCaps w:val="0"/>
          <w:spacing w:val="0"/>
          <w:w w:val="100"/>
          <w:kern w:val="28"/>
        </w:rPr>
        <w:t>评价组认为：</w:t>
      </w:r>
      <w:r>
        <w:rPr>
          <w:rFonts w:hint="default" w:ascii="Times New Roman" w:hAnsi="Times New Roman" w:cs="Times New Roman"/>
          <w:b/>
          <w:bCs/>
          <w:caps w:val="0"/>
          <w:smallCaps w:val="0"/>
          <w:spacing w:val="0"/>
          <w:w w:val="100"/>
          <w:kern w:val="28"/>
        </w:rPr>
        <w:t>西双版纳中闽商贸有限公司勐海勐遮加油站原址改扩建项目的安全条件和安全生产条件符合国家安全生产有关法律、法规和标准以及部门规章及标准的要求，具备竣工安全验收条件，满足储存、经营汽油、柴油的条件</w:t>
      </w:r>
      <w:bookmarkStart w:id="414" w:name="_Toc195176780"/>
      <w:r>
        <w:rPr>
          <w:rFonts w:hint="default" w:ascii="Times New Roman" w:hAnsi="Times New Roman" w:cs="Times New Roman"/>
          <w:b/>
          <w:bCs/>
          <w:kern w:val="28"/>
        </w:rPr>
        <w:t>。</w:t>
      </w:r>
    </w:p>
    <w:p w14:paraId="35806628">
      <w:pPr>
        <w:pStyle w:val="55"/>
        <w:snapToGrid/>
        <w:jc w:val="left"/>
        <w:rPr>
          <w:rFonts w:hint="default" w:ascii="Times New Roman" w:hAnsi="Times New Roman" w:cs="Times New Roman"/>
          <w:caps w:val="0"/>
          <w:smallCaps w:val="0"/>
          <w:spacing w:val="0"/>
          <w:w w:val="100"/>
        </w:rPr>
        <w:sectPr>
          <w:pgSz w:w="11906" w:h="16838"/>
          <w:pgMar w:top="1361" w:right="1588" w:bottom="1134" w:left="1588" w:header="851" w:footer="851" w:gutter="0"/>
          <w:cols w:space="720" w:num="1"/>
          <w:docGrid w:type="linesAndChars" w:linePitch="312" w:charSpace="0"/>
        </w:sectPr>
      </w:pPr>
      <w:r>
        <w:rPr>
          <w:rFonts w:hint="default" w:ascii="Times New Roman" w:hAnsi="Times New Roman" w:cs="Times New Roman"/>
          <w:caps w:val="0"/>
          <w:smallCaps w:val="0"/>
          <w:spacing w:val="0"/>
          <w:w w:val="100"/>
          <w:kern w:val="28"/>
        </w:rPr>
        <w:t>总之，加油站经营是一个动态的过程，加油站在今后的经营过程中，应根据经营条件的变化，把安全管理工作贯穿于生产的全过程，不断完善加油站安全管理，依靠科技进步提升安全技术水平，防止安全事故的发生，实现本质化安全，切实保障人民生命和财产的安全</w:t>
      </w:r>
      <w:r>
        <w:rPr>
          <w:rFonts w:hint="default" w:ascii="Times New Roman" w:hAnsi="Times New Roman" w:cs="Times New Roman"/>
          <w:caps w:val="0"/>
          <w:smallCaps w:val="0"/>
          <w:spacing w:val="0"/>
          <w:w w:val="100"/>
        </w:rPr>
        <w:t>。</w:t>
      </w:r>
    </w:p>
    <w:p w14:paraId="19DBDE95">
      <w:pPr>
        <w:pStyle w:val="4"/>
        <w:snapToGrid/>
        <w:rPr>
          <w:rFonts w:hint="default" w:ascii="Times New Roman" w:hAnsi="Times New Roman" w:eastAsia="黑体" w:cs="Times New Roman"/>
          <w:caps w:val="0"/>
          <w:smallCaps w:val="0"/>
          <w:spacing w:val="0"/>
          <w:w w:val="100"/>
        </w:rPr>
      </w:pPr>
      <w:bookmarkStart w:id="415" w:name="_Toc19657"/>
      <w:r>
        <w:rPr>
          <w:rFonts w:hint="default" w:ascii="Times New Roman" w:hAnsi="Times New Roman" w:eastAsia="黑体" w:cs="Times New Roman"/>
          <w:caps w:val="0"/>
          <w:smallCaps w:val="0"/>
          <w:spacing w:val="0"/>
          <w:w w:val="100"/>
        </w:rPr>
        <w:t>第</w:t>
      </w:r>
      <w:r>
        <w:rPr>
          <w:rFonts w:hint="default" w:ascii="Times New Roman" w:hAnsi="Times New Roman" w:eastAsia="黑体" w:cs="Times New Roman"/>
          <w:caps w:val="0"/>
          <w:smallCaps w:val="0"/>
          <w:spacing w:val="0"/>
          <w:w w:val="100"/>
          <w:lang w:val="en-US" w:eastAsia="zh-CN"/>
        </w:rPr>
        <w:t>十</w:t>
      </w:r>
      <w:r>
        <w:rPr>
          <w:rFonts w:hint="default" w:ascii="Times New Roman" w:hAnsi="Times New Roman" w:eastAsia="黑体" w:cs="Times New Roman"/>
          <w:caps w:val="0"/>
          <w:smallCaps w:val="0"/>
          <w:spacing w:val="0"/>
          <w:w w:val="100"/>
        </w:rPr>
        <w:t>章  与建设单位交换意见的情况结果</w:t>
      </w:r>
      <w:bookmarkEnd w:id="414"/>
      <w:bookmarkEnd w:id="415"/>
    </w:p>
    <w:p w14:paraId="22F6A9A3">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通过评价组成员对建设项目相关资料认真分析及对现场实地勘察，项目建设严格按照规范要求进行，落实安全预评价报告及安全设施设计专篇提出的各项安全对策措施，由有相关资质的单位进行设计、施工，该建设项目从安全角度评价，符合国家有关安全法律、法规、标准和规范要求。</w:t>
      </w:r>
    </w:p>
    <w:p w14:paraId="6BD68BD5">
      <w:pPr>
        <w:pStyle w:val="55"/>
        <w:snapToGrid/>
        <w:rPr>
          <w:rFonts w:hint="default" w:ascii="Times New Roman" w:hAnsi="Times New Roman" w:cs="Times New Roman"/>
          <w:caps w:val="0"/>
          <w:smallCaps w:val="0"/>
          <w:spacing w:val="0"/>
          <w:w w:val="100"/>
        </w:rPr>
      </w:pPr>
      <w:r>
        <w:rPr>
          <w:rFonts w:hint="default" w:ascii="Times New Roman" w:hAnsi="Times New Roman" w:cs="Times New Roman"/>
          <w:caps w:val="0"/>
          <w:smallCaps w:val="0"/>
          <w:spacing w:val="0"/>
          <w:w w:val="100"/>
        </w:rPr>
        <w:t>同时，针对该加油站的现场检查情况，评价组提出了相应的建议措施，竣工验收后尽快聘请相关部门对加油机进行鉴定及下一步尽快创建安全标准化工作，加油站同意安全验收</w:t>
      </w:r>
      <w:bookmarkStart w:id="416" w:name="_GoBack"/>
      <w:bookmarkEnd w:id="416"/>
      <w:r>
        <w:rPr>
          <w:rFonts w:hint="default" w:ascii="Times New Roman" w:hAnsi="Times New Roman" w:cs="Times New Roman"/>
          <w:caps w:val="0"/>
          <w:smallCaps w:val="0"/>
          <w:spacing w:val="0"/>
          <w:w w:val="100"/>
        </w:rPr>
        <w:t>评价提出的安全措施及建议。</w:t>
      </w:r>
      <w:bookmarkEnd w:id="25"/>
      <w:bookmarkEnd w:id="26"/>
      <w:bookmarkEnd w:id="27"/>
      <w:bookmarkEnd w:id="28"/>
      <w:bookmarkEnd w:id="29"/>
      <w:bookmarkEnd w:id="30"/>
      <w:bookmarkEnd w:id="31"/>
      <w:bookmarkEnd w:id="32"/>
      <w:bookmarkEnd w:id="33"/>
      <w:bookmarkEnd w:id="34"/>
      <w:bookmarkEnd w:id="35"/>
      <w:bookmarkEnd w:id="36"/>
      <w:bookmarkEnd w:id="37"/>
    </w:p>
    <w:sectPr>
      <w:pgSz w:w="11906" w:h="16838"/>
      <w:pgMar w:top="1361" w:right="1588" w:bottom="1134" w:left="1588" w:header="851" w:footer="851"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C787DD-1144-49CD-A80C-0B692EECB5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雅酷黑简">
    <w:altName w:val="黑体"/>
    <w:panose1 w:val="00020600040101010101"/>
    <w:charset w:val="86"/>
    <w:family w:val="auto"/>
    <w:pitch w:val="default"/>
    <w:sig w:usb0="00000000" w:usb1="00000000" w:usb2="00000016"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Therese">
    <w:altName w:val="AMGDT"/>
    <w:panose1 w:val="00000500000000000000"/>
    <w:charset w:val="00"/>
    <w:family w:val="auto"/>
    <w:pitch w:val="default"/>
    <w:sig w:usb0="00000000" w:usb1="00000000" w:usb2="00000000" w:usb3="00000000" w:csb0="00000193" w:csb1="00000000"/>
  </w:font>
  <w:font w:name="方正仿宋_GB2312">
    <w:altName w:val="方正仿宋_GB2312"/>
    <w:panose1 w:val="02000000000000000000"/>
    <w:charset w:val="86"/>
    <w:family w:val="auto"/>
    <w:pitch w:val="default"/>
    <w:sig w:usb0="A00002BF" w:usb1="184F6CFA" w:usb2="00000012" w:usb3="00000000" w:csb0="00040001" w:csb1="00000000"/>
    <w:embedRegular r:id="rId2" w:fontKey="{5C22042C-D14F-47E4-93DD-3D9E82D93DDE}"/>
  </w:font>
  <w:font w:name="楷体">
    <w:panose1 w:val="02010609060101010101"/>
    <w:charset w:val="86"/>
    <w:family w:val="modern"/>
    <w:pitch w:val="default"/>
    <w:sig w:usb0="800002BF" w:usb1="38CF7CFA" w:usb2="00000016" w:usb3="00000000" w:csb0="00040001" w:csb1="00000000"/>
    <w:embedRegular r:id="rId3" w:fontKey="{5AE73493-AD7C-4631-A949-95F9AAEAC5E4}"/>
  </w:font>
  <w:font w:name="新宋体">
    <w:panose1 w:val="02010609030101010101"/>
    <w:charset w:val="86"/>
    <w:family w:val="modern"/>
    <w:pitch w:val="default"/>
    <w:sig w:usb0="00000203" w:usb1="288F0000" w:usb2="00000006" w:usb3="00000000" w:csb0="00040001" w:csb1="00000000"/>
    <w:embedRegular r:id="rId4" w:fontKey="{FE1BB450-DEA1-4674-A8E8-434AC207655B}"/>
  </w:font>
  <w:font w:name="仿宋">
    <w:panose1 w:val="02010609060101010101"/>
    <w:charset w:val="86"/>
    <w:family w:val="auto"/>
    <w:pitch w:val="default"/>
    <w:sig w:usb0="800002BF" w:usb1="38CF7CFA" w:usb2="00000016" w:usb3="00000000" w:csb0="00040001" w:csb1="00000000"/>
  </w:font>
  <w:font w:name="AMGDT">
    <w:panose1 w:val="02000400000000000000"/>
    <w:charset w:val="00"/>
    <w:family w:val="auto"/>
    <w:pitch w:val="default"/>
    <w:sig w:usb0="80000003" w:usb1="10000000" w:usb2="00000000" w:usb3="00000000" w:csb0="00000001" w:csb1="00000000"/>
  </w:font>
  <w:font w:name="WPSEMBED1">
    <w:panose1 w:val="02000000000000000000"/>
    <w:charset w:val="86"/>
    <w:family w:val="auto"/>
    <w:pitch w:val="default"/>
    <w:sig w:usb0="A00002BF" w:usb1="184F6CFA" w:usb2="00000012"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8C962">
    <w:pPr>
      <w:pStyle w:val="21"/>
      <w:pBdr>
        <w:bottom w:val="none" w:color="auto" w:sz="0" w:space="1"/>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573A2">
    <w:pPr>
      <w:pStyle w:val="21"/>
      <w:pBdr>
        <w:bottom w:val="none" w:color="auto" w:sz="0" w:space="1"/>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DB6AE">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455AD180">
                          <w:pPr>
                            <w:pStyle w:val="21"/>
                            <w:pBdr>
                              <w:bottom w:val="none" w:color="auto" w:sz="0" w:space="1"/>
                            </w:pBd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ifdr9MAAAAFAQAADwAAAAAAAAABACAAAAAiAAAAZHJzL2Rv&#10;d25yZXYueG1sUEsBAhQAFAAAAAgAh07iQBhIKKHNAQAAmwMAAA4AAAAAAAAAAQAgAAAAIgEAAGRy&#10;cy9lMm9Eb2MueG1sUEsFBgAAAAAGAAYAWQEAAGEFAAAAAA==&#10;">
              <v:fill on="f" focussize="0,0"/>
              <v:stroke on="f" weight="1pt"/>
              <v:imagedata o:title=""/>
              <o:lock v:ext="edit" aspectratio="f"/>
              <v:textbox inset="0mm,0mm,0mm,0mm" style="mso-fit-shape-to-text:t;">
                <w:txbxContent>
                  <w:p w14:paraId="455AD180">
                    <w:pPr>
                      <w:pStyle w:val="21"/>
                      <w:pBdr>
                        <w:bottom w:val="none" w:color="auto" w:sz="0" w:space="1"/>
                      </w:pBd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399B7">
    <w:pPr>
      <w:pBdr>
        <w:top w:val="single" w:color="auto" w:sz="4" w:space="0"/>
      </w:pBdr>
      <w:tabs>
        <w:tab w:val="center" w:pos="4365"/>
      </w:tabs>
      <w:rPr>
        <w:rFonts w:ascii="Times New Roman"/>
      </w:rPr>
    </w:pPr>
    <w:r>
      <w:rPr>
        <w:rFonts w:ascii="Times New Roman"/>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2922BE47">
                          <w:pPr>
                            <w:pStyle w:val="21"/>
                            <w:pBdr>
                              <w:bottom w:val="none" w:color="auto" w:sz="0" w:space="1"/>
                            </w:pBd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wps:txbx>
                    <wps:bodyPr vert="horz" wrap="none" lIns="0" tIns="0" rIns="0" bIns="0" anchor="t" anchorCtr="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ifdr9MAAAAFAQAADwAAAAAA&#10;AAABACAAAAAiAAAAZHJzL2Rvd25yZXYueG1sUEsBAhQAFAAAAAgAh07iQNLKHOXfAQAAvgMAAA4A&#10;AAAAAAAAAQAgAAAAIgEAAGRycy9lMm9Eb2MueG1sUEsFBgAAAAAGAAYAWQEAAHMFAAAAAA==&#10;">
              <v:fill on="f" focussize="0,0"/>
              <v:stroke on="f" weight="1pt"/>
              <v:imagedata o:title=""/>
              <o:lock v:ext="edit" aspectratio="f"/>
              <v:textbox inset="0mm,0mm,0mm,0mm" style="mso-fit-shape-to-text:t;">
                <w:txbxContent>
                  <w:p w14:paraId="2922BE47">
                    <w:pPr>
                      <w:pStyle w:val="21"/>
                      <w:pBdr>
                        <w:bottom w:val="none" w:color="auto" w:sz="0" w:space="1"/>
                      </w:pBd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v:textbox>
            </v:shape>
          </w:pict>
        </mc:Fallback>
      </mc:AlternateContent>
    </w:r>
    <w:r>
      <w:rPr>
        <w:rFonts w:hint="eastAsia"/>
      </w:rPr>
      <w:drawing>
        <wp:inline distT="0" distB="0" distL="114300" distR="114300">
          <wp:extent cx="361950" cy="133350"/>
          <wp:effectExtent l="0" t="0" r="0" b="0"/>
          <wp:docPr id="139" name="图片 6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64" descr="2"/>
                  <pic:cNvPicPr>
                    <a:picLocks noChangeAspect="1"/>
                  </pic:cNvPicPr>
                </pic:nvPicPr>
                <pic:blipFill>
                  <a:blip r:embed="rId1"/>
                  <a:srcRect t="9578" b="16475"/>
                  <a:stretch>
                    <a:fillRect/>
                  </a:stretch>
                </pic:blipFill>
                <pic:spPr>
                  <a:xfrm>
                    <a:off x="0" y="0"/>
                    <a:ext cx="361950" cy="133350"/>
                  </a:xfrm>
                  <a:prstGeom prst="rect">
                    <a:avLst/>
                  </a:prstGeom>
                  <a:noFill/>
                  <a:ln>
                    <a:noFill/>
                  </a:ln>
                </pic:spPr>
              </pic:pic>
            </a:graphicData>
          </a:graphic>
        </wp:inline>
      </w:drawing>
    </w:r>
    <w:r>
      <w:rPr>
        <w:rFonts w:hint="eastAsia" w:ascii="楷体" w:hAnsi="楷体" w:eastAsia="楷体" w:cs="楷体"/>
        <w:sz w:val="21"/>
      </w:rPr>
      <w:t>辽宁诺诚安全科技有限公司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20EFD">
    <w:pPr>
      <w:pBdr>
        <w:top w:val="single" w:color="auto" w:sz="4" w:space="0"/>
      </w:pBdr>
      <w:tabs>
        <w:tab w:val="center" w:pos="4365"/>
      </w:tabs>
      <w:rPr>
        <w:rFonts w:ascii="Times New Roman"/>
        <w:sz w:val="21"/>
        <w:szCs w:val="16"/>
      </w:rPr>
    </w:pPr>
    <w:r>
      <w:rPr>
        <w:rFonts w:ascii="Times New Roman"/>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E6AAD58">
                          <w:pPr>
                            <w:pStyle w:val="21"/>
                            <w:pBdr>
                              <w:bottom w:val="none" w:color="auto" w:sz="0" w:space="1"/>
                            </w:pBd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wps:txbx>
                    <wps:bodyPr vert="horz" wrap="none" lIns="0" tIns="0" rIns="0" bIns="0" anchor="t" anchorCtr="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ifdr9MAAAAFAQAADwAA&#10;AAAAAAABACAAAAAiAAAAZHJzL2Rvd25yZXYueG1sUEsBAhQAFAAAAAgAh07iQB+zp2HiAQAAwAMA&#10;AA4AAAAAAAAAAQAgAAAAIgEAAGRycy9lMm9Eb2MueG1sUEsFBgAAAAAGAAYAWQEAAHYFAAAAAA==&#10;">
              <v:fill on="f" focussize="0,0"/>
              <v:stroke on="f" weight="1pt"/>
              <v:imagedata o:title=""/>
              <o:lock v:ext="edit" aspectratio="f"/>
              <v:textbox inset="0mm,0mm,0mm,0mm" style="mso-fit-shape-to-text:t;">
                <w:txbxContent>
                  <w:p w14:paraId="1E6AAD58">
                    <w:pPr>
                      <w:pStyle w:val="21"/>
                      <w:pBdr>
                        <w:bottom w:val="none" w:color="auto" w:sz="0" w:space="1"/>
                      </w:pBd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v:textbox>
            </v:shape>
          </w:pict>
        </mc:Fallback>
      </mc:AlternateContent>
    </w:r>
    <w:r>
      <w:rPr>
        <w:rFonts w:hint="eastAsia"/>
      </w:rPr>
      <w:drawing>
        <wp:inline distT="0" distB="0" distL="114300" distR="114300">
          <wp:extent cx="361950" cy="133350"/>
          <wp:effectExtent l="0" t="0" r="0" b="0"/>
          <wp:docPr id="35" name="图片 6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4" descr="2"/>
                  <pic:cNvPicPr>
                    <a:picLocks noChangeAspect="1"/>
                  </pic:cNvPicPr>
                </pic:nvPicPr>
                <pic:blipFill>
                  <a:blip r:embed="rId1"/>
                  <a:srcRect t="9578" b="16475"/>
                  <a:stretch>
                    <a:fillRect/>
                  </a:stretch>
                </pic:blipFill>
                <pic:spPr>
                  <a:xfrm>
                    <a:off x="0" y="0"/>
                    <a:ext cx="361950" cy="133350"/>
                  </a:xfrm>
                  <a:prstGeom prst="rect">
                    <a:avLst/>
                  </a:prstGeom>
                  <a:noFill/>
                  <a:ln>
                    <a:noFill/>
                  </a:ln>
                </pic:spPr>
              </pic:pic>
            </a:graphicData>
          </a:graphic>
        </wp:inline>
      </w:drawing>
    </w:r>
    <w:r>
      <w:rPr>
        <w:rFonts w:hint="eastAsia" w:ascii="楷体" w:hAnsi="楷体" w:eastAsia="楷体" w:cs="楷体"/>
        <w:sz w:val="21"/>
      </w:rPr>
      <w:t>辽宁诺诚安全科技有限公司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41232">
    <w:pPr>
      <w:pBdr>
        <w:top w:val="single" w:color="auto" w:sz="4" w:space="0"/>
      </w:pBdr>
      <w:tabs>
        <w:tab w:val="center" w:pos="4365"/>
      </w:tabs>
      <w:rPr>
        <w:rFonts w:ascii="Times New Roman"/>
        <w:sz w:val="21"/>
      </w:rPr>
    </w:pPr>
    <w:r>
      <w:rPr>
        <w:rFonts w:ascii="Times New Roman"/>
      </w:rPr>
      <w:drawing>
        <wp:inline distT="0" distB="0" distL="114300" distR="114300">
          <wp:extent cx="361950" cy="133350"/>
          <wp:effectExtent l="0" t="0" r="0" b="0"/>
          <wp:docPr id="141" name="图片 6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64" descr="2"/>
                  <pic:cNvPicPr>
                    <a:picLocks noChangeAspect="1"/>
                  </pic:cNvPicPr>
                </pic:nvPicPr>
                <pic:blipFill>
                  <a:blip r:embed="rId1"/>
                  <a:srcRect t="9578" b="16475"/>
                  <a:stretch>
                    <a:fillRect/>
                  </a:stretch>
                </pic:blipFill>
                <pic:spPr>
                  <a:xfrm>
                    <a:off x="0" y="0"/>
                    <a:ext cx="361950" cy="133350"/>
                  </a:xfrm>
                  <a:prstGeom prst="rect">
                    <a:avLst/>
                  </a:prstGeom>
                  <a:noFill/>
                  <a:ln>
                    <a:noFill/>
                  </a:ln>
                </pic:spPr>
              </pic:pic>
            </a:graphicData>
          </a:graphic>
        </wp:inline>
      </w:drawing>
    </w:r>
    <w:r>
      <w:rPr>
        <w:rFonts w:ascii="Times New Roman" w:eastAsia="楷体"/>
        <w:sz w:val="21"/>
      </w:rPr>
      <w:t>辽宁诺诚安全科技有限公司</w:t>
    </w:r>
    <w:r>
      <w:rPr>
        <w:rFonts w:ascii="Times New Roman"/>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4" name="文本框 10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3A09CD9">
                          <w:pPr>
                            <w:pStyle w:val="21"/>
                            <w:pBdr>
                              <w:bottom w:val="none" w:color="auto" w:sz="0" w:space="1"/>
                            </w:pBdr>
                            <w:jc w:val="right"/>
                          </w:pPr>
                          <w:r>
                            <w:fldChar w:fldCharType="begin"/>
                          </w:r>
                          <w:r>
                            <w:instrText xml:space="preserve"> PAGE  \* MERGEFORMAT </w:instrText>
                          </w:r>
                          <w:r>
                            <w:fldChar w:fldCharType="separate"/>
                          </w:r>
                          <w:r>
                            <w:t>5</w:t>
                          </w:r>
                          <w:r>
                            <w:fldChar w:fldCharType="end"/>
                          </w:r>
                        </w:p>
                      </w:txbxContent>
                    </wps:txbx>
                    <wps:bodyPr vert="horz" wrap="none" lIns="0" tIns="0" rIns="0" bIns="0" anchor="t" anchorCtr="0">
                      <a:spAutoFit/>
                    </wps:bodyPr>
                  </wps:wsp>
                </a:graphicData>
              </a:graphic>
            </wp:anchor>
          </w:drawing>
        </mc:Choice>
        <mc:Fallback>
          <w:pict>
            <v:shape id="文本框 1047"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ifdr9MAAAAFAQAADwAA&#10;AAAAAAABACAAAAAiAAAAZHJzL2Rvd25yZXYueG1sUEsBAhQAFAAAAAgAh07iQJdQzMziAQAAwAMA&#10;AA4AAAAAAAAAAQAgAAAAIgEAAGRycy9lMm9Eb2MueG1sUEsFBgAAAAAGAAYAWQEAAHYFAAAAAA==&#10;">
              <v:fill on="f" focussize="0,0"/>
              <v:stroke on="f" weight="1pt"/>
              <v:imagedata o:title=""/>
              <o:lock v:ext="edit" aspectratio="f"/>
              <v:textbox inset="0mm,0mm,0mm,0mm" style="mso-fit-shape-to-text:t;">
                <w:txbxContent>
                  <w:p w14:paraId="03A09CD9">
                    <w:pPr>
                      <w:pStyle w:val="21"/>
                      <w:pBdr>
                        <w:bottom w:val="none" w:color="auto" w:sz="0" w:space="1"/>
                      </w:pBdr>
                      <w:jc w:val="right"/>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DBC4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3950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C9D1B">
    <w:pPr>
      <w:pStyle w:val="22"/>
      <w:rPr>
        <w:sz w:val="21"/>
        <w:szCs w:val="21"/>
      </w:rPr>
    </w:pPr>
    <w:r>
      <w:rPr>
        <w:rFonts w:hint="eastAsia" w:hAnsi="宋体" w:cs="宋体"/>
        <w:sz w:val="21"/>
        <w:szCs w:val="21"/>
      </w:rPr>
      <w:t>西双版纳中闽商贸有限公司勐海勐遮加油站原址改扩建项目</w:t>
    </w:r>
    <w:r>
      <w:rPr>
        <w:rFonts w:hint="eastAsia"/>
        <w:sz w:val="21"/>
        <w:szCs w:val="21"/>
      </w:rPr>
      <w:t>安全验收评价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A37E13"/>
    <w:multiLevelType w:val="multilevel"/>
    <w:tmpl w:val="47A37E13"/>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50C26A1D"/>
    <w:multiLevelType w:val="multilevel"/>
    <w:tmpl w:val="50C26A1D"/>
    <w:lvl w:ilvl="0" w:tentative="0">
      <w:start w:val="1"/>
      <w:numFmt w:val="decimal"/>
      <w:lvlText w:val="（%1）"/>
      <w:lvlJc w:val="left"/>
      <w:pPr>
        <w:ind w:left="981" w:hanging="420"/>
      </w:p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2">
    <w:nsid w:val="591D99ED"/>
    <w:multiLevelType w:val="singleLevel"/>
    <w:tmpl w:val="591D99E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WQwMTQ1NjNmOTA1MTM1YjQ1ZTY3ZTU0NjRkNzcifQ=="/>
  </w:docVars>
  <w:rsids>
    <w:rsidRoot w:val="00172A27"/>
    <w:rsid w:val="0000077A"/>
    <w:rsid w:val="00000E8D"/>
    <w:rsid w:val="00002964"/>
    <w:rsid w:val="00002D6A"/>
    <w:rsid w:val="00004895"/>
    <w:rsid w:val="00004CBA"/>
    <w:rsid w:val="00004E74"/>
    <w:rsid w:val="0000551E"/>
    <w:rsid w:val="00005559"/>
    <w:rsid w:val="00005B68"/>
    <w:rsid w:val="00006D2B"/>
    <w:rsid w:val="00006EB4"/>
    <w:rsid w:val="0000720A"/>
    <w:rsid w:val="000075DB"/>
    <w:rsid w:val="0000763B"/>
    <w:rsid w:val="00007852"/>
    <w:rsid w:val="0000788D"/>
    <w:rsid w:val="00010387"/>
    <w:rsid w:val="0001064D"/>
    <w:rsid w:val="00010664"/>
    <w:rsid w:val="000107C4"/>
    <w:rsid w:val="00010F8A"/>
    <w:rsid w:val="000120BB"/>
    <w:rsid w:val="00012487"/>
    <w:rsid w:val="00012FBB"/>
    <w:rsid w:val="000141CC"/>
    <w:rsid w:val="0001510B"/>
    <w:rsid w:val="000151F7"/>
    <w:rsid w:val="000169AD"/>
    <w:rsid w:val="00016AA1"/>
    <w:rsid w:val="00016AD3"/>
    <w:rsid w:val="00016B1A"/>
    <w:rsid w:val="00016C28"/>
    <w:rsid w:val="00016E8E"/>
    <w:rsid w:val="0001742A"/>
    <w:rsid w:val="00017C06"/>
    <w:rsid w:val="00017CF7"/>
    <w:rsid w:val="00020EA0"/>
    <w:rsid w:val="0002151D"/>
    <w:rsid w:val="000216FB"/>
    <w:rsid w:val="00021F8B"/>
    <w:rsid w:val="00022219"/>
    <w:rsid w:val="0002277E"/>
    <w:rsid w:val="000227DA"/>
    <w:rsid w:val="00022D47"/>
    <w:rsid w:val="00022F3F"/>
    <w:rsid w:val="00023C90"/>
    <w:rsid w:val="00023D76"/>
    <w:rsid w:val="000249FA"/>
    <w:rsid w:val="0002555D"/>
    <w:rsid w:val="00025741"/>
    <w:rsid w:val="00025B97"/>
    <w:rsid w:val="00025D17"/>
    <w:rsid w:val="00025F0B"/>
    <w:rsid w:val="00025FD7"/>
    <w:rsid w:val="000261B6"/>
    <w:rsid w:val="00026FAB"/>
    <w:rsid w:val="000274DD"/>
    <w:rsid w:val="000276B7"/>
    <w:rsid w:val="0002787C"/>
    <w:rsid w:val="0003004E"/>
    <w:rsid w:val="000302B2"/>
    <w:rsid w:val="0003057C"/>
    <w:rsid w:val="0003069F"/>
    <w:rsid w:val="00030883"/>
    <w:rsid w:val="00030978"/>
    <w:rsid w:val="00030B43"/>
    <w:rsid w:val="0003169E"/>
    <w:rsid w:val="000320D5"/>
    <w:rsid w:val="0003280D"/>
    <w:rsid w:val="000328A5"/>
    <w:rsid w:val="00032F90"/>
    <w:rsid w:val="00033313"/>
    <w:rsid w:val="00034217"/>
    <w:rsid w:val="000342D3"/>
    <w:rsid w:val="00034666"/>
    <w:rsid w:val="00034790"/>
    <w:rsid w:val="00034CA0"/>
    <w:rsid w:val="00034E4B"/>
    <w:rsid w:val="00035540"/>
    <w:rsid w:val="0003565B"/>
    <w:rsid w:val="00035777"/>
    <w:rsid w:val="000358E6"/>
    <w:rsid w:val="00035B4A"/>
    <w:rsid w:val="00035BC7"/>
    <w:rsid w:val="000365C9"/>
    <w:rsid w:val="00036CF6"/>
    <w:rsid w:val="00036D8D"/>
    <w:rsid w:val="00036DA3"/>
    <w:rsid w:val="000376EC"/>
    <w:rsid w:val="00037A3F"/>
    <w:rsid w:val="00037BAF"/>
    <w:rsid w:val="00040248"/>
    <w:rsid w:val="0004052D"/>
    <w:rsid w:val="000410C3"/>
    <w:rsid w:val="0004128C"/>
    <w:rsid w:val="000413FB"/>
    <w:rsid w:val="00041683"/>
    <w:rsid w:val="00041C1E"/>
    <w:rsid w:val="000421CC"/>
    <w:rsid w:val="0004248B"/>
    <w:rsid w:val="00042C0C"/>
    <w:rsid w:val="00042D65"/>
    <w:rsid w:val="00042DFC"/>
    <w:rsid w:val="00042E40"/>
    <w:rsid w:val="00043F1D"/>
    <w:rsid w:val="0004417F"/>
    <w:rsid w:val="0004516D"/>
    <w:rsid w:val="00045506"/>
    <w:rsid w:val="00045F83"/>
    <w:rsid w:val="00046619"/>
    <w:rsid w:val="00047243"/>
    <w:rsid w:val="0004754E"/>
    <w:rsid w:val="00050E35"/>
    <w:rsid w:val="00051085"/>
    <w:rsid w:val="00051ED5"/>
    <w:rsid w:val="00052969"/>
    <w:rsid w:val="00052C55"/>
    <w:rsid w:val="0005339C"/>
    <w:rsid w:val="000535E2"/>
    <w:rsid w:val="000539F1"/>
    <w:rsid w:val="00053C1C"/>
    <w:rsid w:val="00053D92"/>
    <w:rsid w:val="00054CC3"/>
    <w:rsid w:val="00054D6B"/>
    <w:rsid w:val="00055644"/>
    <w:rsid w:val="00056130"/>
    <w:rsid w:val="00056186"/>
    <w:rsid w:val="000561D0"/>
    <w:rsid w:val="000565C3"/>
    <w:rsid w:val="0005664C"/>
    <w:rsid w:val="00056845"/>
    <w:rsid w:val="0005766C"/>
    <w:rsid w:val="0005787E"/>
    <w:rsid w:val="0005799E"/>
    <w:rsid w:val="00057EAF"/>
    <w:rsid w:val="00060192"/>
    <w:rsid w:val="000604AA"/>
    <w:rsid w:val="000605EE"/>
    <w:rsid w:val="00060C55"/>
    <w:rsid w:val="0006101D"/>
    <w:rsid w:val="00061A27"/>
    <w:rsid w:val="00061BE0"/>
    <w:rsid w:val="0006213B"/>
    <w:rsid w:val="00062260"/>
    <w:rsid w:val="0006262D"/>
    <w:rsid w:val="00062748"/>
    <w:rsid w:val="000628FB"/>
    <w:rsid w:val="000629AF"/>
    <w:rsid w:val="0006373A"/>
    <w:rsid w:val="00063F6C"/>
    <w:rsid w:val="0006428F"/>
    <w:rsid w:val="000648BF"/>
    <w:rsid w:val="000667E7"/>
    <w:rsid w:val="000676FE"/>
    <w:rsid w:val="000677C6"/>
    <w:rsid w:val="00070050"/>
    <w:rsid w:val="00070B84"/>
    <w:rsid w:val="000711A0"/>
    <w:rsid w:val="00071901"/>
    <w:rsid w:val="00071934"/>
    <w:rsid w:val="00071D35"/>
    <w:rsid w:val="000725D9"/>
    <w:rsid w:val="000734EA"/>
    <w:rsid w:val="00073627"/>
    <w:rsid w:val="000737F1"/>
    <w:rsid w:val="000743CB"/>
    <w:rsid w:val="000749E4"/>
    <w:rsid w:val="00074DF0"/>
    <w:rsid w:val="000756BE"/>
    <w:rsid w:val="00075F7B"/>
    <w:rsid w:val="000764BB"/>
    <w:rsid w:val="000765C0"/>
    <w:rsid w:val="0007679E"/>
    <w:rsid w:val="00076A87"/>
    <w:rsid w:val="00076B7B"/>
    <w:rsid w:val="000804FA"/>
    <w:rsid w:val="00080C17"/>
    <w:rsid w:val="00080C98"/>
    <w:rsid w:val="00081301"/>
    <w:rsid w:val="000813DB"/>
    <w:rsid w:val="0008183A"/>
    <w:rsid w:val="00081883"/>
    <w:rsid w:val="00081977"/>
    <w:rsid w:val="00081E6D"/>
    <w:rsid w:val="0008203B"/>
    <w:rsid w:val="00082204"/>
    <w:rsid w:val="00082748"/>
    <w:rsid w:val="00082955"/>
    <w:rsid w:val="00082AAA"/>
    <w:rsid w:val="00082E48"/>
    <w:rsid w:val="000832D5"/>
    <w:rsid w:val="00083E38"/>
    <w:rsid w:val="00083F3E"/>
    <w:rsid w:val="000842DE"/>
    <w:rsid w:val="00084436"/>
    <w:rsid w:val="00084D9D"/>
    <w:rsid w:val="00084E97"/>
    <w:rsid w:val="00084EA4"/>
    <w:rsid w:val="00085713"/>
    <w:rsid w:val="0008662F"/>
    <w:rsid w:val="00086D83"/>
    <w:rsid w:val="000878EC"/>
    <w:rsid w:val="00087BF5"/>
    <w:rsid w:val="000905DA"/>
    <w:rsid w:val="000906D3"/>
    <w:rsid w:val="00090EA4"/>
    <w:rsid w:val="0009135F"/>
    <w:rsid w:val="000918E4"/>
    <w:rsid w:val="00091986"/>
    <w:rsid w:val="00091BC3"/>
    <w:rsid w:val="00091CE7"/>
    <w:rsid w:val="00092548"/>
    <w:rsid w:val="000925B9"/>
    <w:rsid w:val="000926C9"/>
    <w:rsid w:val="00092A66"/>
    <w:rsid w:val="000934FE"/>
    <w:rsid w:val="0009361C"/>
    <w:rsid w:val="000936B0"/>
    <w:rsid w:val="00094028"/>
    <w:rsid w:val="000946C0"/>
    <w:rsid w:val="00094883"/>
    <w:rsid w:val="000949CE"/>
    <w:rsid w:val="00094CE3"/>
    <w:rsid w:val="00094DA1"/>
    <w:rsid w:val="000953B5"/>
    <w:rsid w:val="000954C6"/>
    <w:rsid w:val="00095704"/>
    <w:rsid w:val="00095714"/>
    <w:rsid w:val="000958B7"/>
    <w:rsid w:val="000963F7"/>
    <w:rsid w:val="000965F6"/>
    <w:rsid w:val="00096755"/>
    <w:rsid w:val="00096E78"/>
    <w:rsid w:val="000971AB"/>
    <w:rsid w:val="00097A44"/>
    <w:rsid w:val="000A0148"/>
    <w:rsid w:val="000A0319"/>
    <w:rsid w:val="000A045B"/>
    <w:rsid w:val="000A086A"/>
    <w:rsid w:val="000A110E"/>
    <w:rsid w:val="000A17FF"/>
    <w:rsid w:val="000A23FE"/>
    <w:rsid w:val="000A2C9B"/>
    <w:rsid w:val="000A49FE"/>
    <w:rsid w:val="000A4B61"/>
    <w:rsid w:val="000A4F68"/>
    <w:rsid w:val="000A5097"/>
    <w:rsid w:val="000A5A1D"/>
    <w:rsid w:val="000A5B89"/>
    <w:rsid w:val="000A5F21"/>
    <w:rsid w:val="000A60F6"/>
    <w:rsid w:val="000A69FA"/>
    <w:rsid w:val="000A6DA0"/>
    <w:rsid w:val="000A6E1D"/>
    <w:rsid w:val="000A6F9F"/>
    <w:rsid w:val="000A795B"/>
    <w:rsid w:val="000B0735"/>
    <w:rsid w:val="000B123D"/>
    <w:rsid w:val="000B158E"/>
    <w:rsid w:val="000B1653"/>
    <w:rsid w:val="000B2362"/>
    <w:rsid w:val="000B260F"/>
    <w:rsid w:val="000B26CB"/>
    <w:rsid w:val="000B4043"/>
    <w:rsid w:val="000B4B21"/>
    <w:rsid w:val="000B4DC8"/>
    <w:rsid w:val="000B50A2"/>
    <w:rsid w:val="000B585E"/>
    <w:rsid w:val="000B5D32"/>
    <w:rsid w:val="000B5DC3"/>
    <w:rsid w:val="000B6281"/>
    <w:rsid w:val="000B70F5"/>
    <w:rsid w:val="000B7A87"/>
    <w:rsid w:val="000B7D03"/>
    <w:rsid w:val="000C14E3"/>
    <w:rsid w:val="000C1747"/>
    <w:rsid w:val="000C1C1E"/>
    <w:rsid w:val="000C2394"/>
    <w:rsid w:val="000C276A"/>
    <w:rsid w:val="000C2DDF"/>
    <w:rsid w:val="000C3410"/>
    <w:rsid w:val="000C38F5"/>
    <w:rsid w:val="000C3904"/>
    <w:rsid w:val="000C3EA5"/>
    <w:rsid w:val="000C3FC5"/>
    <w:rsid w:val="000C5358"/>
    <w:rsid w:val="000C5B3A"/>
    <w:rsid w:val="000C5BF8"/>
    <w:rsid w:val="000C61CD"/>
    <w:rsid w:val="000C6777"/>
    <w:rsid w:val="000C6C26"/>
    <w:rsid w:val="000C6F74"/>
    <w:rsid w:val="000C77DE"/>
    <w:rsid w:val="000D0ACC"/>
    <w:rsid w:val="000D11A8"/>
    <w:rsid w:val="000D123F"/>
    <w:rsid w:val="000D21E0"/>
    <w:rsid w:val="000D2EAE"/>
    <w:rsid w:val="000D30D2"/>
    <w:rsid w:val="000D31C7"/>
    <w:rsid w:val="000D3340"/>
    <w:rsid w:val="000D3D22"/>
    <w:rsid w:val="000D44E0"/>
    <w:rsid w:val="000D50A7"/>
    <w:rsid w:val="000D56E7"/>
    <w:rsid w:val="000D62A9"/>
    <w:rsid w:val="000D665E"/>
    <w:rsid w:val="000D6D8F"/>
    <w:rsid w:val="000E02A3"/>
    <w:rsid w:val="000E02A7"/>
    <w:rsid w:val="000E0B25"/>
    <w:rsid w:val="000E2739"/>
    <w:rsid w:val="000E3216"/>
    <w:rsid w:val="000E339E"/>
    <w:rsid w:val="000E3C09"/>
    <w:rsid w:val="000E413D"/>
    <w:rsid w:val="000E4C3A"/>
    <w:rsid w:val="000E4D74"/>
    <w:rsid w:val="000E4DAB"/>
    <w:rsid w:val="000E5615"/>
    <w:rsid w:val="000E56B9"/>
    <w:rsid w:val="000E56EB"/>
    <w:rsid w:val="000E5B24"/>
    <w:rsid w:val="000E6A2B"/>
    <w:rsid w:val="000E7C18"/>
    <w:rsid w:val="000F1A78"/>
    <w:rsid w:val="000F1B74"/>
    <w:rsid w:val="000F2175"/>
    <w:rsid w:val="000F255A"/>
    <w:rsid w:val="000F2906"/>
    <w:rsid w:val="000F2B9E"/>
    <w:rsid w:val="000F2C6F"/>
    <w:rsid w:val="000F2C81"/>
    <w:rsid w:val="000F4090"/>
    <w:rsid w:val="000F4275"/>
    <w:rsid w:val="000F4FD0"/>
    <w:rsid w:val="000F5446"/>
    <w:rsid w:val="000F583D"/>
    <w:rsid w:val="000F5C96"/>
    <w:rsid w:val="000F6258"/>
    <w:rsid w:val="000F681F"/>
    <w:rsid w:val="000F6B9F"/>
    <w:rsid w:val="000F6E42"/>
    <w:rsid w:val="000F7290"/>
    <w:rsid w:val="000F76B6"/>
    <w:rsid w:val="000F76CC"/>
    <w:rsid w:val="000F7773"/>
    <w:rsid w:val="0010102C"/>
    <w:rsid w:val="001014B7"/>
    <w:rsid w:val="0010299D"/>
    <w:rsid w:val="00102FC0"/>
    <w:rsid w:val="001031CD"/>
    <w:rsid w:val="0010331F"/>
    <w:rsid w:val="001034BE"/>
    <w:rsid w:val="00103758"/>
    <w:rsid w:val="00103D0D"/>
    <w:rsid w:val="00103EA9"/>
    <w:rsid w:val="0010404B"/>
    <w:rsid w:val="00104200"/>
    <w:rsid w:val="00104446"/>
    <w:rsid w:val="00104690"/>
    <w:rsid w:val="00104B03"/>
    <w:rsid w:val="00104D71"/>
    <w:rsid w:val="00105B18"/>
    <w:rsid w:val="0010602D"/>
    <w:rsid w:val="00106191"/>
    <w:rsid w:val="0010634B"/>
    <w:rsid w:val="00106CA1"/>
    <w:rsid w:val="00106CD8"/>
    <w:rsid w:val="00106F6F"/>
    <w:rsid w:val="00107A15"/>
    <w:rsid w:val="00107EC8"/>
    <w:rsid w:val="00110ECF"/>
    <w:rsid w:val="00111010"/>
    <w:rsid w:val="00111090"/>
    <w:rsid w:val="0011138C"/>
    <w:rsid w:val="001114D4"/>
    <w:rsid w:val="0011152F"/>
    <w:rsid w:val="00111860"/>
    <w:rsid w:val="00111B5D"/>
    <w:rsid w:val="00111C5B"/>
    <w:rsid w:val="001134E1"/>
    <w:rsid w:val="00113FB5"/>
    <w:rsid w:val="001144AE"/>
    <w:rsid w:val="00114F6F"/>
    <w:rsid w:val="0011533A"/>
    <w:rsid w:val="00115DEC"/>
    <w:rsid w:val="0011610D"/>
    <w:rsid w:val="00116DE9"/>
    <w:rsid w:val="00117467"/>
    <w:rsid w:val="00117527"/>
    <w:rsid w:val="00117537"/>
    <w:rsid w:val="001178D4"/>
    <w:rsid w:val="00117EFC"/>
    <w:rsid w:val="00120203"/>
    <w:rsid w:val="0012030A"/>
    <w:rsid w:val="00120572"/>
    <w:rsid w:val="001209AB"/>
    <w:rsid w:val="00120C94"/>
    <w:rsid w:val="00121024"/>
    <w:rsid w:val="00121633"/>
    <w:rsid w:val="00121FE7"/>
    <w:rsid w:val="001221E7"/>
    <w:rsid w:val="00122AE0"/>
    <w:rsid w:val="00122DA5"/>
    <w:rsid w:val="00122F34"/>
    <w:rsid w:val="00122F51"/>
    <w:rsid w:val="00123231"/>
    <w:rsid w:val="0012344F"/>
    <w:rsid w:val="00124198"/>
    <w:rsid w:val="00124809"/>
    <w:rsid w:val="00125E3B"/>
    <w:rsid w:val="00126326"/>
    <w:rsid w:val="0012652D"/>
    <w:rsid w:val="00126B6C"/>
    <w:rsid w:val="001271BB"/>
    <w:rsid w:val="00127487"/>
    <w:rsid w:val="00127577"/>
    <w:rsid w:val="00127D48"/>
    <w:rsid w:val="001304B5"/>
    <w:rsid w:val="00130B0E"/>
    <w:rsid w:val="00130BED"/>
    <w:rsid w:val="00130ED4"/>
    <w:rsid w:val="001316E3"/>
    <w:rsid w:val="00131925"/>
    <w:rsid w:val="00132378"/>
    <w:rsid w:val="00132638"/>
    <w:rsid w:val="00132CD3"/>
    <w:rsid w:val="001337D9"/>
    <w:rsid w:val="001338E8"/>
    <w:rsid w:val="001344B4"/>
    <w:rsid w:val="001345DC"/>
    <w:rsid w:val="001347C5"/>
    <w:rsid w:val="001357C5"/>
    <w:rsid w:val="00135B66"/>
    <w:rsid w:val="0013610B"/>
    <w:rsid w:val="001362BD"/>
    <w:rsid w:val="001368B3"/>
    <w:rsid w:val="00137393"/>
    <w:rsid w:val="001400C0"/>
    <w:rsid w:val="001404B2"/>
    <w:rsid w:val="00140867"/>
    <w:rsid w:val="001408F3"/>
    <w:rsid w:val="0014090B"/>
    <w:rsid w:val="00140A61"/>
    <w:rsid w:val="00141577"/>
    <w:rsid w:val="001416C8"/>
    <w:rsid w:val="00141CB2"/>
    <w:rsid w:val="00141EF8"/>
    <w:rsid w:val="00141F3A"/>
    <w:rsid w:val="00142303"/>
    <w:rsid w:val="00142DD9"/>
    <w:rsid w:val="00142F38"/>
    <w:rsid w:val="0014301B"/>
    <w:rsid w:val="0014382A"/>
    <w:rsid w:val="00143A31"/>
    <w:rsid w:val="00143ECE"/>
    <w:rsid w:val="001441E8"/>
    <w:rsid w:val="001444A1"/>
    <w:rsid w:val="00145159"/>
    <w:rsid w:val="0014550A"/>
    <w:rsid w:val="00146A32"/>
    <w:rsid w:val="00147518"/>
    <w:rsid w:val="001504A5"/>
    <w:rsid w:val="001509B6"/>
    <w:rsid w:val="001509E2"/>
    <w:rsid w:val="001512F4"/>
    <w:rsid w:val="001519C3"/>
    <w:rsid w:val="001531F6"/>
    <w:rsid w:val="0015384D"/>
    <w:rsid w:val="00153911"/>
    <w:rsid w:val="00153A09"/>
    <w:rsid w:val="00153CDB"/>
    <w:rsid w:val="00154CD8"/>
    <w:rsid w:val="0015738E"/>
    <w:rsid w:val="00157AD2"/>
    <w:rsid w:val="00157E57"/>
    <w:rsid w:val="00157EF3"/>
    <w:rsid w:val="00160020"/>
    <w:rsid w:val="00160353"/>
    <w:rsid w:val="00160493"/>
    <w:rsid w:val="00160E86"/>
    <w:rsid w:val="001621FB"/>
    <w:rsid w:val="00162D95"/>
    <w:rsid w:val="00163310"/>
    <w:rsid w:val="00164193"/>
    <w:rsid w:val="00164455"/>
    <w:rsid w:val="0016458B"/>
    <w:rsid w:val="00164C4C"/>
    <w:rsid w:val="00164D74"/>
    <w:rsid w:val="00164E68"/>
    <w:rsid w:val="00165397"/>
    <w:rsid w:val="00165D08"/>
    <w:rsid w:val="00165E44"/>
    <w:rsid w:val="0016600C"/>
    <w:rsid w:val="0016633B"/>
    <w:rsid w:val="00166DF6"/>
    <w:rsid w:val="00167538"/>
    <w:rsid w:val="00170449"/>
    <w:rsid w:val="001707F2"/>
    <w:rsid w:val="00170AAA"/>
    <w:rsid w:val="00170BA0"/>
    <w:rsid w:val="00170CC0"/>
    <w:rsid w:val="0017106E"/>
    <w:rsid w:val="00171ADC"/>
    <w:rsid w:val="0017203A"/>
    <w:rsid w:val="00172925"/>
    <w:rsid w:val="00172A27"/>
    <w:rsid w:val="00173F6A"/>
    <w:rsid w:val="00174487"/>
    <w:rsid w:val="0017499F"/>
    <w:rsid w:val="00174D2B"/>
    <w:rsid w:val="0017545F"/>
    <w:rsid w:val="001757D9"/>
    <w:rsid w:val="0017771B"/>
    <w:rsid w:val="00177A2E"/>
    <w:rsid w:val="00177F39"/>
    <w:rsid w:val="001808D8"/>
    <w:rsid w:val="00180DEC"/>
    <w:rsid w:val="00180E71"/>
    <w:rsid w:val="00180F8E"/>
    <w:rsid w:val="001810ED"/>
    <w:rsid w:val="00181188"/>
    <w:rsid w:val="001811A1"/>
    <w:rsid w:val="001813D7"/>
    <w:rsid w:val="00181828"/>
    <w:rsid w:val="00181FD8"/>
    <w:rsid w:val="00182B33"/>
    <w:rsid w:val="0018329E"/>
    <w:rsid w:val="001833E2"/>
    <w:rsid w:val="0018372D"/>
    <w:rsid w:val="0018396E"/>
    <w:rsid w:val="0018483F"/>
    <w:rsid w:val="00184A34"/>
    <w:rsid w:val="00184F03"/>
    <w:rsid w:val="00185CEC"/>
    <w:rsid w:val="00186115"/>
    <w:rsid w:val="00187242"/>
    <w:rsid w:val="0018777E"/>
    <w:rsid w:val="00190051"/>
    <w:rsid w:val="001907E3"/>
    <w:rsid w:val="00190E8F"/>
    <w:rsid w:val="00191435"/>
    <w:rsid w:val="00191B87"/>
    <w:rsid w:val="00191EA6"/>
    <w:rsid w:val="001924CB"/>
    <w:rsid w:val="001926AC"/>
    <w:rsid w:val="001927E7"/>
    <w:rsid w:val="00192E0C"/>
    <w:rsid w:val="00192E2D"/>
    <w:rsid w:val="0019317A"/>
    <w:rsid w:val="00193E70"/>
    <w:rsid w:val="001943EE"/>
    <w:rsid w:val="00194546"/>
    <w:rsid w:val="00194BE6"/>
    <w:rsid w:val="00194DF9"/>
    <w:rsid w:val="00195194"/>
    <w:rsid w:val="001957CC"/>
    <w:rsid w:val="00195C06"/>
    <w:rsid w:val="00195F5D"/>
    <w:rsid w:val="001972D6"/>
    <w:rsid w:val="001973D7"/>
    <w:rsid w:val="0019760A"/>
    <w:rsid w:val="00197A9C"/>
    <w:rsid w:val="001A0028"/>
    <w:rsid w:val="001A03D3"/>
    <w:rsid w:val="001A1FD7"/>
    <w:rsid w:val="001A208F"/>
    <w:rsid w:val="001A2435"/>
    <w:rsid w:val="001A263C"/>
    <w:rsid w:val="001A2C3C"/>
    <w:rsid w:val="001A3343"/>
    <w:rsid w:val="001A3F3F"/>
    <w:rsid w:val="001A45D4"/>
    <w:rsid w:val="001A4B28"/>
    <w:rsid w:val="001A4F2B"/>
    <w:rsid w:val="001A4F92"/>
    <w:rsid w:val="001A5FC9"/>
    <w:rsid w:val="001A7484"/>
    <w:rsid w:val="001A7651"/>
    <w:rsid w:val="001A7969"/>
    <w:rsid w:val="001A7B89"/>
    <w:rsid w:val="001A7EE8"/>
    <w:rsid w:val="001B0070"/>
    <w:rsid w:val="001B1A55"/>
    <w:rsid w:val="001B1AC1"/>
    <w:rsid w:val="001B1FDB"/>
    <w:rsid w:val="001B26DE"/>
    <w:rsid w:val="001B26F3"/>
    <w:rsid w:val="001B38BB"/>
    <w:rsid w:val="001B42A6"/>
    <w:rsid w:val="001B46A3"/>
    <w:rsid w:val="001B480C"/>
    <w:rsid w:val="001B4A7A"/>
    <w:rsid w:val="001B4E94"/>
    <w:rsid w:val="001B53FE"/>
    <w:rsid w:val="001B603D"/>
    <w:rsid w:val="001B6BCB"/>
    <w:rsid w:val="001B6C0A"/>
    <w:rsid w:val="001B70E0"/>
    <w:rsid w:val="001B7F28"/>
    <w:rsid w:val="001C0350"/>
    <w:rsid w:val="001C06C1"/>
    <w:rsid w:val="001C09D8"/>
    <w:rsid w:val="001C0C24"/>
    <w:rsid w:val="001C0CFA"/>
    <w:rsid w:val="001C0DDA"/>
    <w:rsid w:val="001C11E1"/>
    <w:rsid w:val="001C1C14"/>
    <w:rsid w:val="001C1E58"/>
    <w:rsid w:val="001C347C"/>
    <w:rsid w:val="001C51F9"/>
    <w:rsid w:val="001C5597"/>
    <w:rsid w:val="001C569F"/>
    <w:rsid w:val="001C5A9A"/>
    <w:rsid w:val="001C5C3A"/>
    <w:rsid w:val="001C5D38"/>
    <w:rsid w:val="001C75BB"/>
    <w:rsid w:val="001C7A4F"/>
    <w:rsid w:val="001D014F"/>
    <w:rsid w:val="001D0631"/>
    <w:rsid w:val="001D08F0"/>
    <w:rsid w:val="001D11AB"/>
    <w:rsid w:val="001D21E9"/>
    <w:rsid w:val="001D2371"/>
    <w:rsid w:val="001D263F"/>
    <w:rsid w:val="001D2654"/>
    <w:rsid w:val="001D28D2"/>
    <w:rsid w:val="001D294B"/>
    <w:rsid w:val="001D2DF9"/>
    <w:rsid w:val="001D3368"/>
    <w:rsid w:val="001D3E58"/>
    <w:rsid w:val="001D42CA"/>
    <w:rsid w:val="001D4659"/>
    <w:rsid w:val="001D51E1"/>
    <w:rsid w:val="001D5A93"/>
    <w:rsid w:val="001D6420"/>
    <w:rsid w:val="001D68CF"/>
    <w:rsid w:val="001D6C0C"/>
    <w:rsid w:val="001D6C21"/>
    <w:rsid w:val="001E0425"/>
    <w:rsid w:val="001E068B"/>
    <w:rsid w:val="001E0794"/>
    <w:rsid w:val="001E1DDF"/>
    <w:rsid w:val="001E1E1B"/>
    <w:rsid w:val="001E2393"/>
    <w:rsid w:val="001E26EA"/>
    <w:rsid w:val="001E2CBC"/>
    <w:rsid w:val="001E2DDE"/>
    <w:rsid w:val="001E3D57"/>
    <w:rsid w:val="001E3F86"/>
    <w:rsid w:val="001E49BC"/>
    <w:rsid w:val="001E4DE7"/>
    <w:rsid w:val="001E5474"/>
    <w:rsid w:val="001E55BC"/>
    <w:rsid w:val="001E57D1"/>
    <w:rsid w:val="001E67E4"/>
    <w:rsid w:val="001E6AEF"/>
    <w:rsid w:val="001E6E26"/>
    <w:rsid w:val="001E7B44"/>
    <w:rsid w:val="001F036D"/>
    <w:rsid w:val="001F0E5C"/>
    <w:rsid w:val="001F0FC2"/>
    <w:rsid w:val="001F104C"/>
    <w:rsid w:val="001F13C4"/>
    <w:rsid w:val="001F1825"/>
    <w:rsid w:val="001F1B16"/>
    <w:rsid w:val="001F1F18"/>
    <w:rsid w:val="001F2A55"/>
    <w:rsid w:val="001F2B1B"/>
    <w:rsid w:val="001F2CF8"/>
    <w:rsid w:val="001F303B"/>
    <w:rsid w:val="001F35D8"/>
    <w:rsid w:val="001F38A3"/>
    <w:rsid w:val="001F395C"/>
    <w:rsid w:val="001F3B32"/>
    <w:rsid w:val="001F3BA7"/>
    <w:rsid w:val="001F3F85"/>
    <w:rsid w:val="001F437A"/>
    <w:rsid w:val="001F45CD"/>
    <w:rsid w:val="001F5023"/>
    <w:rsid w:val="001F50B3"/>
    <w:rsid w:val="001F578F"/>
    <w:rsid w:val="001F57F6"/>
    <w:rsid w:val="001F590B"/>
    <w:rsid w:val="001F5AB2"/>
    <w:rsid w:val="001F5F49"/>
    <w:rsid w:val="001F6620"/>
    <w:rsid w:val="001F6A58"/>
    <w:rsid w:val="001F6CF7"/>
    <w:rsid w:val="001F6DA7"/>
    <w:rsid w:val="001F6E55"/>
    <w:rsid w:val="001F7554"/>
    <w:rsid w:val="001F783A"/>
    <w:rsid w:val="001F7887"/>
    <w:rsid w:val="001F7A7F"/>
    <w:rsid w:val="001F7B65"/>
    <w:rsid w:val="001F7E06"/>
    <w:rsid w:val="00200638"/>
    <w:rsid w:val="00200D4A"/>
    <w:rsid w:val="00200E45"/>
    <w:rsid w:val="002012C5"/>
    <w:rsid w:val="002017F4"/>
    <w:rsid w:val="00201A02"/>
    <w:rsid w:val="00201AE9"/>
    <w:rsid w:val="00201D00"/>
    <w:rsid w:val="0020241C"/>
    <w:rsid w:val="0020278C"/>
    <w:rsid w:val="00202ED4"/>
    <w:rsid w:val="002032C3"/>
    <w:rsid w:val="002034C2"/>
    <w:rsid w:val="002037D1"/>
    <w:rsid w:val="002041C2"/>
    <w:rsid w:val="0020423D"/>
    <w:rsid w:val="002049F3"/>
    <w:rsid w:val="00204B34"/>
    <w:rsid w:val="00205746"/>
    <w:rsid w:val="00205A10"/>
    <w:rsid w:val="00206DE8"/>
    <w:rsid w:val="00206E2E"/>
    <w:rsid w:val="002073A7"/>
    <w:rsid w:val="002076EE"/>
    <w:rsid w:val="0020770F"/>
    <w:rsid w:val="00207B4A"/>
    <w:rsid w:val="00207D5B"/>
    <w:rsid w:val="002100A9"/>
    <w:rsid w:val="00210363"/>
    <w:rsid w:val="00210389"/>
    <w:rsid w:val="0021160E"/>
    <w:rsid w:val="002118EF"/>
    <w:rsid w:val="002119F7"/>
    <w:rsid w:val="00211AFA"/>
    <w:rsid w:val="00211D50"/>
    <w:rsid w:val="00212453"/>
    <w:rsid w:val="002125CE"/>
    <w:rsid w:val="0021269D"/>
    <w:rsid w:val="00212959"/>
    <w:rsid w:val="002135F5"/>
    <w:rsid w:val="00213625"/>
    <w:rsid w:val="00213793"/>
    <w:rsid w:val="00213916"/>
    <w:rsid w:val="00213AB3"/>
    <w:rsid w:val="00213BA1"/>
    <w:rsid w:val="002150B5"/>
    <w:rsid w:val="00215810"/>
    <w:rsid w:val="00215A45"/>
    <w:rsid w:val="00215AF5"/>
    <w:rsid w:val="00216D44"/>
    <w:rsid w:val="002174D3"/>
    <w:rsid w:val="00217B2C"/>
    <w:rsid w:val="002205AB"/>
    <w:rsid w:val="00220A23"/>
    <w:rsid w:val="0022113F"/>
    <w:rsid w:val="002213FE"/>
    <w:rsid w:val="00221470"/>
    <w:rsid w:val="00221BA5"/>
    <w:rsid w:val="00222898"/>
    <w:rsid w:val="00222925"/>
    <w:rsid w:val="00223188"/>
    <w:rsid w:val="002233AD"/>
    <w:rsid w:val="00223E38"/>
    <w:rsid w:val="00224268"/>
    <w:rsid w:val="002242FF"/>
    <w:rsid w:val="00224342"/>
    <w:rsid w:val="00224A23"/>
    <w:rsid w:val="00225235"/>
    <w:rsid w:val="0022534C"/>
    <w:rsid w:val="0022609F"/>
    <w:rsid w:val="002264F7"/>
    <w:rsid w:val="00226B8E"/>
    <w:rsid w:val="00227917"/>
    <w:rsid w:val="00227A35"/>
    <w:rsid w:val="002306A1"/>
    <w:rsid w:val="002309C9"/>
    <w:rsid w:val="00230AD7"/>
    <w:rsid w:val="00230CA5"/>
    <w:rsid w:val="0023125B"/>
    <w:rsid w:val="0023160E"/>
    <w:rsid w:val="00231735"/>
    <w:rsid w:val="002317F2"/>
    <w:rsid w:val="00231A5B"/>
    <w:rsid w:val="00231B25"/>
    <w:rsid w:val="0023204E"/>
    <w:rsid w:val="00232442"/>
    <w:rsid w:val="0023272D"/>
    <w:rsid w:val="00232CB9"/>
    <w:rsid w:val="00232F7B"/>
    <w:rsid w:val="00233149"/>
    <w:rsid w:val="0023440E"/>
    <w:rsid w:val="00234CC9"/>
    <w:rsid w:val="00235291"/>
    <w:rsid w:val="00235C06"/>
    <w:rsid w:val="00235F98"/>
    <w:rsid w:val="00236203"/>
    <w:rsid w:val="00236F56"/>
    <w:rsid w:val="0023760B"/>
    <w:rsid w:val="0024016A"/>
    <w:rsid w:val="00240864"/>
    <w:rsid w:val="00240A1E"/>
    <w:rsid w:val="00240BF8"/>
    <w:rsid w:val="00240CAF"/>
    <w:rsid w:val="002412AC"/>
    <w:rsid w:val="002416D6"/>
    <w:rsid w:val="00241A61"/>
    <w:rsid w:val="00241F58"/>
    <w:rsid w:val="002425A2"/>
    <w:rsid w:val="00242706"/>
    <w:rsid w:val="00243909"/>
    <w:rsid w:val="00243FF5"/>
    <w:rsid w:val="002446C8"/>
    <w:rsid w:val="002447A2"/>
    <w:rsid w:val="002448BF"/>
    <w:rsid w:val="00244AFA"/>
    <w:rsid w:val="00244CAD"/>
    <w:rsid w:val="00244EC7"/>
    <w:rsid w:val="00245482"/>
    <w:rsid w:val="002454E3"/>
    <w:rsid w:val="00245711"/>
    <w:rsid w:val="00245751"/>
    <w:rsid w:val="0024619B"/>
    <w:rsid w:val="00246894"/>
    <w:rsid w:val="00246D2C"/>
    <w:rsid w:val="00246EB7"/>
    <w:rsid w:val="00247114"/>
    <w:rsid w:val="00247680"/>
    <w:rsid w:val="0024792F"/>
    <w:rsid w:val="00247C0A"/>
    <w:rsid w:val="00250D93"/>
    <w:rsid w:val="002514A7"/>
    <w:rsid w:val="002517E0"/>
    <w:rsid w:val="00251C2B"/>
    <w:rsid w:val="00251EF7"/>
    <w:rsid w:val="00252B87"/>
    <w:rsid w:val="002531AF"/>
    <w:rsid w:val="0025374F"/>
    <w:rsid w:val="00253C06"/>
    <w:rsid w:val="002542C6"/>
    <w:rsid w:val="002546A4"/>
    <w:rsid w:val="00254BCB"/>
    <w:rsid w:val="002552D6"/>
    <w:rsid w:val="00255770"/>
    <w:rsid w:val="002559F3"/>
    <w:rsid w:val="00255F85"/>
    <w:rsid w:val="002573A8"/>
    <w:rsid w:val="0025782F"/>
    <w:rsid w:val="00257B64"/>
    <w:rsid w:val="002607EF"/>
    <w:rsid w:val="0026080C"/>
    <w:rsid w:val="00260BAF"/>
    <w:rsid w:val="00261190"/>
    <w:rsid w:val="00261823"/>
    <w:rsid w:val="00261A53"/>
    <w:rsid w:val="00261E78"/>
    <w:rsid w:val="0026205C"/>
    <w:rsid w:val="00262095"/>
    <w:rsid w:val="002621F3"/>
    <w:rsid w:val="00262901"/>
    <w:rsid w:val="002636D8"/>
    <w:rsid w:val="002639CC"/>
    <w:rsid w:val="00263B26"/>
    <w:rsid w:val="00263B74"/>
    <w:rsid w:val="00263B7C"/>
    <w:rsid w:val="0026404D"/>
    <w:rsid w:val="00264148"/>
    <w:rsid w:val="002641EF"/>
    <w:rsid w:val="002643CC"/>
    <w:rsid w:val="00264493"/>
    <w:rsid w:val="002644A1"/>
    <w:rsid w:val="002649CA"/>
    <w:rsid w:val="00264B94"/>
    <w:rsid w:val="00265004"/>
    <w:rsid w:val="0026686E"/>
    <w:rsid w:val="00267638"/>
    <w:rsid w:val="0026784B"/>
    <w:rsid w:val="002703BE"/>
    <w:rsid w:val="00270553"/>
    <w:rsid w:val="00270B45"/>
    <w:rsid w:val="00270E89"/>
    <w:rsid w:val="002710A0"/>
    <w:rsid w:val="002716E2"/>
    <w:rsid w:val="00272BA8"/>
    <w:rsid w:val="00273835"/>
    <w:rsid w:val="00273E1C"/>
    <w:rsid w:val="002742A9"/>
    <w:rsid w:val="00274486"/>
    <w:rsid w:val="002744FF"/>
    <w:rsid w:val="00274FF2"/>
    <w:rsid w:val="002753BC"/>
    <w:rsid w:val="00275F50"/>
    <w:rsid w:val="00276B34"/>
    <w:rsid w:val="0027745C"/>
    <w:rsid w:val="002806C9"/>
    <w:rsid w:val="0028078A"/>
    <w:rsid w:val="002808F8"/>
    <w:rsid w:val="00281F4C"/>
    <w:rsid w:val="002828C5"/>
    <w:rsid w:val="0028313F"/>
    <w:rsid w:val="00283DB4"/>
    <w:rsid w:val="00284787"/>
    <w:rsid w:val="0028496B"/>
    <w:rsid w:val="002853B2"/>
    <w:rsid w:val="0028550A"/>
    <w:rsid w:val="00285AC6"/>
    <w:rsid w:val="00285AE8"/>
    <w:rsid w:val="00285E6A"/>
    <w:rsid w:val="002874F0"/>
    <w:rsid w:val="00287743"/>
    <w:rsid w:val="00287E42"/>
    <w:rsid w:val="00287EE9"/>
    <w:rsid w:val="00290E28"/>
    <w:rsid w:val="00290F2F"/>
    <w:rsid w:val="00291A0E"/>
    <w:rsid w:val="00291C81"/>
    <w:rsid w:val="00292341"/>
    <w:rsid w:val="00292719"/>
    <w:rsid w:val="002928DD"/>
    <w:rsid w:val="002935F0"/>
    <w:rsid w:val="0029360E"/>
    <w:rsid w:val="002938F3"/>
    <w:rsid w:val="00294027"/>
    <w:rsid w:val="0029589C"/>
    <w:rsid w:val="00295BB1"/>
    <w:rsid w:val="00295C73"/>
    <w:rsid w:val="00295CB0"/>
    <w:rsid w:val="00296E01"/>
    <w:rsid w:val="0029722B"/>
    <w:rsid w:val="002975EA"/>
    <w:rsid w:val="00297F93"/>
    <w:rsid w:val="002A0EB9"/>
    <w:rsid w:val="002A1323"/>
    <w:rsid w:val="002A1943"/>
    <w:rsid w:val="002A1EE6"/>
    <w:rsid w:val="002A2235"/>
    <w:rsid w:val="002A2682"/>
    <w:rsid w:val="002A2B42"/>
    <w:rsid w:val="002A2C44"/>
    <w:rsid w:val="002A2FBC"/>
    <w:rsid w:val="002A3080"/>
    <w:rsid w:val="002A31EB"/>
    <w:rsid w:val="002A3200"/>
    <w:rsid w:val="002A33E7"/>
    <w:rsid w:val="002A39D2"/>
    <w:rsid w:val="002A3A65"/>
    <w:rsid w:val="002A3B34"/>
    <w:rsid w:val="002A403A"/>
    <w:rsid w:val="002A52AA"/>
    <w:rsid w:val="002A5458"/>
    <w:rsid w:val="002A54D1"/>
    <w:rsid w:val="002A5831"/>
    <w:rsid w:val="002A589C"/>
    <w:rsid w:val="002A5CB5"/>
    <w:rsid w:val="002A6331"/>
    <w:rsid w:val="002A6D4D"/>
    <w:rsid w:val="002A72C8"/>
    <w:rsid w:val="002B06B2"/>
    <w:rsid w:val="002B0B7F"/>
    <w:rsid w:val="002B0C38"/>
    <w:rsid w:val="002B1857"/>
    <w:rsid w:val="002B1DF7"/>
    <w:rsid w:val="002B2325"/>
    <w:rsid w:val="002B251E"/>
    <w:rsid w:val="002B26A8"/>
    <w:rsid w:val="002B2E05"/>
    <w:rsid w:val="002B2ED5"/>
    <w:rsid w:val="002B4188"/>
    <w:rsid w:val="002B41F0"/>
    <w:rsid w:val="002B4217"/>
    <w:rsid w:val="002B468C"/>
    <w:rsid w:val="002B4A2D"/>
    <w:rsid w:val="002B4FDC"/>
    <w:rsid w:val="002B5233"/>
    <w:rsid w:val="002B529E"/>
    <w:rsid w:val="002B567F"/>
    <w:rsid w:val="002B5F9D"/>
    <w:rsid w:val="002B6252"/>
    <w:rsid w:val="002B67A4"/>
    <w:rsid w:val="002B7B63"/>
    <w:rsid w:val="002B7CD5"/>
    <w:rsid w:val="002C04BD"/>
    <w:rsid w:val="002C04D5"/>
    <w:rsid w:val="002C2D2C"/>
    <w:rsid w:val="002C2F08"/>
    <w:rsid w:val="002C361B"/>
    <w:rsid w:val="002C3BE9"/>
    <w:rsid w:val="002C4443"/>
    <w:rsid w:val="002C453D"/>
    <w:rsid w:val="002C47D4"/>
    <w:rsid w:val="002C4DD2"/>
    <w:rsid w:val="002C54A8"/>
    <w:rsid w:val="002C5C32"/>
    <w:rsid w:val="002C5D08"/>
    <w:rsid w:val="002C606E"/>
    <w:rsid w:val="002C6E11"/>
    <w:rsid w:val="002C7D7F"/>
    <w:rsid w:val="002D0192"/>
    <w:rsid w:val="002D0997"/>
    <w:rsid w:val="002D0A3D"/>
    <w:rsid w:val="002D0FA5"/>
    <w:rsid w:val="002D10D6"/>
    <w:rsid w:val="002D11B8"/>
    <w:rsid w:val="002D1356"/>
    <w:rsid w:val="002D164E"/>
    <w:rsid w:val="002D1B46"/>
    <w:rsid w:val="002D28E4"/>
    <w:rsid w:val="002D3B8C"/>
    <w:rsid w:val="002D3E6A"/>
    <w:rsid w:val="002D4AD4"/>
    <w:rsid w:val="002D4DF7"/>
    <w:rsid w:val="002D5426"/>
    <w:rsid w:val="002D5590"/>
    <w:rsid w:val="002D5EBB"/>
    <w:rsid w:val="002D6197"/>
    <w:rsid w:val="002D7A8F"/>
    <w:rsid w:val="002E04F6"/>
    <w:rsid w:val="002E04F7"/>
    <w:rsid w:val="002E083E"/>
    <w:rsid w:val="002E2310"/>
    <w:rsid w:val="002E2A38"/>
    <w:rsid w:val="002E2C8A"/>
    <w:rsid w:val="002E2FAB"/>
    <w:rsid w:val="002E3976"/>
    <w:rsid w:val="002E4786"/>
    <w:rsid w:val="002E4824"/>
    <w:rsid w:val="002E49CF"/>
    <w:rsid w:val="002E51AA"/>
    <w:rsid w:val="002E52CC"/>
    <w:rsid w:val="002E5448"/>
    <w:rsid w:val="002E54DC"/>
    <w:rsid w:val="002E5536"/>
    <w:rsid w:val="002E55F1"/>
    <w:rsid w:val="002E5C07"/>
    <w:rsid w:val="002E6297"/>
    <w:rsid w:val="002E65B7"/>
    <w:rsid w:val="002E68B3"/>
    <w:rsid w:val="002E7681"/>
    <w:rsid w:val="002E7ED7"/>
    <w:rsid w:val="002F0347"/>
    <w:rsid w:val="002F1702"/>
    <w:rsid w:val="002F1EC9"/>
    <w:rsid w:val="002F1FAC"/>
    <w:rsid w:val="002F26A1"/>
    <w:rsid w:val="002F2991"/>
    <w:rsid w:val="002F2DF9"/>
    <w:rsid w:val="002F2EA7"/>
    <w:rsid w:val="002F38FE"/>
    <w:rsid w:val="002F39C7"/>
    <w:rsid w:val="002F3ADC"/>
    <w:rsid w:val="002F5822"/>
    <w:rsid w:val="002F5A6B"/>
    <w:rsid w:val="002F5C2C"/>
    <w:rsid w:val="002F6393"/>
    <w:rsid w:val="002F6ECC"/>
    <w:rsid w:val="002F7A11"/>
    <w:rsid w:val="002F7A63"/>
    <w:rsid w:val="00300368"/>
    <w:rsid w:val="0030076F"/>
    <w:rsid w:val="00300A46"/>
    <w:rsid w:val="0030169F"/>
    <w:rsid w:val="00301BD6"/>
    <w:rsid w:val="00301C66"/>
    <w:rsid w:val="003029DE"/>
    <w:rsid w:val="00303060"/>
    <w:rsid w:val="00305054"/>
    <w:rsid w:val="00305260"/>
    <w:rsid w:val="00305411"/>
    <w:rsid w:val="00305FA2"/>
    <w:rsid w:val="00306AC8"/>
    <w:rsid w:val="00306F5B"/>
    <w:rsid w:val="00307405"/>
    <w:rsid w:val="00307423"/>
    <w:rsid w:val="00307C07"/>
    <w:rsid w:val="0031003C"/>
    <w:rsid w:val="003101FD"/>
    <w:rsid w:val="003104A1"/>
    <w:rsid w:val="00310A1F"/>
    <w:rsid w:val="00310A8A"/>
    <w:rsid w:val="00310ECE"/>
    <w:rsid w:val="00311419"/>
    <w:rsid w:val="0031190B"/>
    <w:rsid w:val="00311F01"/>
    <w:rsid w:val="00311F1C"/>
    <w:rsid w:val="00311FAE"/>
    <w:rsid w:val="00312031"/>
    <w:rsid w:val="00312382"/>
    <w:rsid w:val="003131DA"/>
    <w:rsid w:val="0031326D"/>
    <w:rsid w:val="003135C4"/>
    <w:rsid w:val="00313CC8"/>
    <w:rsid w:val="003140FF"/>
    <w:rsid w:val="00314857"/>
    <w:rsid w:val="00314D5E"/>
    <w:rsid w:val="0031529C"/>
    <w:rsid w:val="00315476"/>
    <w:rsid w:val="00315739"/>
    <w:rsid w:val="00315F64"/>
    <w:rsid w:val="00315F68"/>
    <w:rsid w:val="00316151"/>
    <w:rsid w:val="00316722"/>
    <w:rsid w:val="00316B15"/>
    <w:rsid w:val="003174F4"/>
    <w:rsid w:val="0031767C"/>
    <w:rsid w:val="00317CC3"/>
    <w:rsid w:val="00317D9D"/>
    <w:rsid w:val="00320BB8"/>
    <w:rsid w:val="00320C76"/>
    <w:rsid w:val="00320E5B"/>
    <w:rsid w:val="00321279"/>
    <w:rsid w:val="0032154C"/>
    <w:rsid w:val="00321C82"/>
    <w:rsid w:val="00321EEB"/>
    <w:rsid w:val="003229FB"/>
    <w:rsid w:val="0032326C"/>
    <w:rsid w:val="003235CB"/>
    <w:rsid w:val="00323938"/>
    <w:rsid w:val="00323E61"/>
    <w:rsid w:val="003242BB"/>
    <w:rsid w:val="00324BE4"/>
    <w:rsid w:val="003251CB"/>
    <w:rsid w:val="003253C0"/>
    <w:rsid w:val="00325739"/>
    <w:rsid w:val="00325F0C"/>
    <w:rsid w:val="00326251"/>
    <w:rsid w:val="003263E9"/>
    <w:rsid w:val="0032656F"/>
    <w:rsid w:val="00326591"/>
    <w:rsid w:val="00326871"/>
    <w:rsid w:val="0032701C"/>
    <w:rsid w:val="00327EE2"/>
    <w:rsid w:val="00330860"/>
    <w:rsid w:val="00330AB8"/>
    <w:rsid w:val="00331CC9"/>
    <w:rsid w:val="003320E8"/>
    <w:rsid w:val="00332BDC"/>
    <w:rsid w:val="0033329D"/>
    <w:rsid w:val="00334034"/>
    <w:rsid w:val="003342C8"/>
    <w:rsid w:val="00334328"/>
    <w:rsid w:val="00335294"/>
    <w:rsid w:val="003353E3"/>
    <w:rsid w:val="003362CE"/>
    <w:rsid w:val="0033754F"/>
    <w:rsid w:val="00337C42"/>
    <w:rsid w:val="00340F44"/>
    <w:rsid w:val="00341597"/>
    <w:rsid w:val="00341903"/>
    <w:rsid w:val="00342DB0"/>
    <w:rsid w:val="0034373A"/>
    <w:rsid w:val="0034449C"/>
    <w:rsid w:val="003444C8"/>
    <w:rsid w:val="00345153"/>
    <w:rsid w:val="003455BC"/>
    <w:rsid w:val="00345CDE"/>
    <w:rsid w:val="00346164"/>
    <w:rsid w:val="00346E56"/>
    <w:rsid w:val="00347F61"/>
    <w:rsid w:val="00350551"/>
    <w:rsid w:val="003511EC"/>
    <w:rsid w:val="0035163D"/>
    <w:rsid w:val="003516BF"/>
    <w:rsid w:val="0035191B"/>
    <w:rsid w:val="00351AA2"/>
    <w:rsid w:val="00351EB8"/>
    <w:rsid w:val="003521A3"/>
    <w:rsid w:val="003522A3"/>
    <w:rsid w:val="0035237D"/>
    <w:rsid w:val="00352D33"/>
    <w:rsid w:val="00352F78"/>
    <w:rsid w:val="0035313E"/>
    <w:rsid w:val="003533E5"/>
    <w:rsid w:val="00354F0D"/>
    <w:rsid w:val="003555B6"/>
    <w:rsid w:val="00355D3A"/>
    <w:rsid w:val="00356225"/>
    <w:rsid w:val="0035649D"/>
    <w:rsid w:val="00357CC2"/>
    <w:rsid w:val="003602D0"/>
    <w:rsid w:val="0036038B"/>
    <w:rsid w:val="00360392"/>
    <w:rsid w:val="00361466"/>
    <w:rsid w:val="00362341"/>
    <w:rsid w:val="003627F1"/>
    <w:rsid w:val="00362BF8"/>
    <w:rsid w:val="00363236"/>
    <w:rsid w:val="00363BAA"/>
    <w:rsid w:val="00364351"/>
    <w:rsid w:val="00364DC2"/>
    <w:rsid w:val="00364F82"/>
    <w:rsid w:val="00365821"/>
    <w:rsid w:val="00365974"/>
    <w:rsid w:val="003659E3"/>
    <w:rsid w:val="00365A09"/>
    <w:rsid w:val="00366D41"/>
    <w:rsid w:val="00366E29"/>
    <w:rsid w:val="00367545"/>
    <w:rsid w:val="00367741"/>
    <w:rsid w:val="00367AB8"/>
    <w:rsid w:val="00367C71"/>
    <w:rsid w:val="00367CCE"/>
    <w:rsid w:val="00367DBB"/>
    <w:rsid w:val="003701EB"/>
    <w:rsid w:val="0037053E"/>
    <w:rsid w:val="00370734"/>
    <w:rsid w:val="00371255"/>
    <w:rsid w:val="003713B5"/>
    <w:rsid w:val="003722A4"/>
    <w:rsid w:val="003727F3"/>
    <w:rsid w:val="003729B1"/>
    <w:rsid w:val="003730F2"/>
    <w:rsid w:val="00373DD5"/>
    <w:rsid w:val="003746C0"/>
    <w:rsid w:val="00374919"/>
    <w:rsid w:val="00375866"/>
    <w:rsid w:val="00376F1B"/>
    <w:rsid w:val="00377218"/>
    <w:rsid w:val="00377CC6"/>
    <w:rsid w:val="00380562"/>
    <w:rsid w:val="0038071F"/>
    <w:rsid w:val="00380BFA"/>
    <w:rsid w:val="00381459"/>
    <w:rsid w:val="00381694"/>
    <w:rsid w:val="003817CF"/>
    <w:rsid w:val="00381B4D"/>
    <w:rsid w:val="00381DB7"/>
    <w:rsid w:val="003824F4"/>
    <w:rsid w:val="00382A92"/>
    <w:rsid w:val="00382F11"/>
    <w:rsid w:val="00383A98"/>
    <w:rsid w:val="00383CB9"/>
    <w:rsid w:val="00383E20"/>
    <w:rsid w:val="00384AC5"/>
    <w:rsid w:val="00384C67"/>
    <w:rsid w:val="00384E7B"/>
    <w:rsid w:val="00385031"/>
    <w:rsid w:val="00385254"/>
    <w:rsid w:val="003867F6"/>
    <w:rsid w:val="00386D98"/>
    <w:rsid w:val="00386F21"/>
    <w:rsid w:val="0038710A"/>
    <w:rsid w:val="00387CD0"/>
    <w:rsid w:val="00387DE8"/>
    <w:rsid w:val="00391094"/>
    <w:rsid w:val="003932F7"/>
    <w:rsid w:val="00395642"/>
    <w:rsid w:val="003960FE"/>
    <w:rsid w:val="003966A5"/>
    <w:rsid w:val="0039685F"/>
    <w:rsid w:val="00397658"/>
    <w:rsid w:val="00397B34"/>
    <w:rsid w:val="00397CA6"/>
    <w:rsid w:val="00397E3A"/>
    <w:rsid w:val="00397F92"/>
    <w:rsid w:val="00397FF2"/>
    <w:rsid w:val="003A15B4"/>
    <w:rsid w:val="003A1B16"/>
    <w:rsid w:val="003A226D"/>
    <w:rsid w:val="003A2672"/>
    <w:rsid w:val="003A27EC"/>
    <w:rsid w:val="003A29E3"/>
    <w:rsid w:val="003A2C62"/>
    <w:rsid w:val="003A3347"/>
    <w:rsid w:val="003A370B"/>
    <w:rsid w:val="003A43EF"/>
    <w:rsid w:val="003A4E19"/>
    <w:rsid w:val="003A4F12"/>
    <w:rsid w:val="003A52A9"/>
    <w:rsid w:val="003A65E0"/>
    <w:rsid w:val="003A6664"/>
    <w:rsid w:val="003A6C55"/>
    <w:rsid w:val="003A6E4B"/>
    <w:rsid w:val="003A730D"/>
    <w:rsid w:val="003A73C5"/>
    <w:rsid w:val="003A758D"/>
    <w:rsid w:val="003A75BC"/>
    <w:rsid w:val="003A79B2"/>
    <w:rsid w:val="003A7A5E"/>
    <w:rsid w:val="003A7B8D"/>
    <w:rsid w:val="003B0522"/>
    <w:rsid w:val="003B0698"/>
    <w:rsid w:val="003B09FE"/>
    <w:rsid w:val="003B1249"/>
    <w:rsid w:val="003B1C6D"/>
    <w:rsid w:val="003B2851"/>
    <w:rsid w:val="003B2C96"/>
    <w:rsid w:val="003B2E2C"/>
    <w:rsid w:val="003B34A9"/>
    <w:rsid w:val="003B35B2"/>
    <w:rsid w:val="003B39E2"/>
    <w:rsid w:val="003B413D"/>
    <w:rsid w:val="003B4A74"/>
    <w:rsid w:val="003B4E50"/>
    <w:rsid w:val="003B5186"/>
    <w:rsid w:val="003B519B"/>
    <w:rsid w:val="003B51B1"/>
    <w:rsid w:val="003B5DE3"/>
    <w:rsid w:val="003B6A2E"/>
    <w:rsid w:val="003B7447"/>
    <w:rsid w:val="003B7910"/>
    <w:rsid w:val="003B7E30"/>
    <w:rsid w:val="003C0282"/>
    <w:rsid w:val="003C050A"/>
    <w:rsid w:val="003C0E03"/>
    <w:rsid w:val="003C0E0F"/>
    <w:rsid w:val="003C0E98"/>
    <w:rsid w:val="003C0ECB"/>
    <w:rsid w:val="003C10F7"/>
    <w:rsid w:val="003C15CD"/>
    <w:rsid w:val="003C1852"/>
    <w:rsid w:val="003C1865"/>
    <w:rsid w:val="003C188C"/>
    <w:rsid w:val="003C1A39"/>
    <w:rsid w:val="003C1BD9"/>
    <w:rsid w:val="003C227F"/>
    <w:rsid w:val="003C29D3"/>
    <w:rsid w:val="003C328F"/>
    <w:rsid w:val="003C3867"/>
    <w:rsid w:val="003C3C35"/>
    <w:rsid w:val="003C419F"/>
    <w:rsid w:val="003C443C"/>
    <w:rsid w:val="003C446A"/>
    <w:rsid w:val="003C46BD"/>
    <w:rsid w:val="003C4D30"/>
    <w:rsid w:val="003C4DA0"/>
    <w:rsid w:val="003C547B"/>
    <w:rsid w:val="003C554A"/>
    <w:rsid w:val="003C601E"/>
    <w:rsid w:val="003C61F9"/>
    <w:rsid w:val="003C675A"/>
    <w:rsid w:val="003C6ABC"/>
    <w:rsid w:val="003C7165"/>
    <w:rsid w:val="003C7598"/>
    <w:rsid w:val="003C7B4C"/>
    <w:rsid w:val="003C7C3B"/>
    <w:rsid w:val="003C7EB7"/>
    <w:rsid w:val="003D0340"/>
    <w:rsid w:val="003D0828"/>
    <w:rsid w:val="003D0A2D"/>
    <w:rsid w:val="003D16CC"/>
    <w:rsid w:val="003D1985"/>
    <w:rsid w:val="003D1D18"/>
    <w:rsid w:val="003D24B6"/>
    <w:rsid w:val="003D27B3"/>
    <w:rsid w:val="003D292F"/>
    <w:rsid w:val="003D2C25"/>
    <w:rsid w:val="003D360B"/>
    <w:rsid w:val="003D36EA"/>
    <w:rsid w:val="003D40C9"/>
    <w:rsid w:val="003D4AAA"/>
    <w:rsid w:val="003D4D30"/>
    <w:rsid w:val="003D4DB1"/>
    <w:rsid w:val="003D4ED7"/>
    <w:rsid w:val="003D51C7"/>
    <w:rsid w:val="003D545C"/>
    <w:rsid w:val="003D5A14"/>
    <w:rsid w:val="003D5AEA"/>
    <w:rsid w:val="003D6025"/>
    <w:rsid w:val="003D66F7"/>
    <w:rsid w:val="003D684D"/>
    <w:rsid w:val="003D6B46"/>
    <w:rsid w:val="003D6B9D"/>
    <w:rsid w:val="003D7237"/>
    <w:rsid w:val="003D7863"/>
    <w:rsid w:val="003E0537"/>
    <w:rsid w:val="003E0739"/>
    <w:rsid w:val="003E09A3"/>
    <w:rsid w:val="003E0FF5"/>
    <w:rsid w:val="003E1010"/>
    <w:rsid w:val="003E15C0"/>
    <w:rsid w:val="003E15E1"/>
    <w:rsid w:val="003E1CDB"/>
    <w:rsid w:val="003E3B58"/>
    <w:rsid w:val="003E42F7"/>
    <w:rsid w:val="003E4411"/>
    <w:rsid w:val="003E45A8"/>
    <w:rsid w:val="003E4D41"/>
    <w:rsid w:val="003E52A8"/>
    <w:rsid w:val="003E5B99"/>
    <w:rsid w:val="003E6021"/>
    <w:rsid w:val="003E6158"/>
    <w:rsid w:val="003E61E0"/>
    <w:rsid w:val="003E62E0"/>
    <w:rsid w:val="003E68C2"/>
    <w:rsid w:val="003E71EF"/>
    <w:rsid w:val="003E751F"/>
    <w:rsid w:val="003E76B2"/>
    <w:rsid w:val="003E78F2"/>
    <w:rsid w:val="003E7AB8"/>
    <w:rsid w:val="003F0A06"/>
    <w:rsid w:val="003F0D65"/>
    <w:rsid w:val="003F11B8"/>
    <w:rsid w:val="003F14CD"/>
    <w:rsid w:val="003F2A7C"/>
    <w:rsid w:val="003F2EC2"/>
    <w:rsid w:val="003F3595"/>
    <w:rsid w:val="003F38DB"/>
    <w:rsid w:val="003F40D2"/>
    <w:rsid w:val="003F4514"/>
    <w:rsid w:val="003F45CB"/>
    <w:rsid w:val="003F4828"/>
    <w:rsid w:val="003F483F"/>
    <w:rsid w:val="003F4B88"/>
    <w:rsid w:val="003F5BC8"/>
    <w:rsid w:val="003F6185"/>
    <w:rsid w:val="003F6961"/>
    <w:rsid w:val="003F77EA"/>
    <w:rsid w:val="003F79D7"/>
    <w:rsid w:val="003F7F23"/>
    <w:rsid w:val="0040045F"/>
    <w:rsid w:val="00400BD0"/>
    <w:rsid w:val="004012DC"/>
    <w:rsid w:val="00401395"/>
    <w:rsid w:val="00401534"/>
    <w:rsid w:val="00401ACD"/>
    <w:rsid w:val="00401BF9"/>
    <w:rsid w:val="00401C2A"/>
    <w:rsid w:val="00401FD5"/>
    <w:rsid w:val="0040237E"/>
    <w:rsid w:val="004029C1"/>
    <w:rsid w:val="00402C73"/>
    <w:rsid w:val="00402D57"/>
    <w:rsid w:val="004032D5"/>
    <w:rsid w:val="00403B62"/>
    <w:rsid w:val="00404364"/>
    <w:rsid w:val="004046EE"/>
    <w:rsid w:val="00404F25"/>
    <w:rsid w:val="0040555C"/>
    <w:rsid w:val="00405CB3"/>
    <w:rsid w:val="00405E3C"/>
    <w:rsid w:val="00405F61"/>
    <w:rsid w:val="00406D0B"/>
    <w:rsid w:val="0040775F"/>
    <w:rsid w:val="00407834"/>
    <w:rsid w:val="00410ACD"/>
    <w:rsid w:val="00410F3B"/>
    <w:rsid w:val="00411074"/>
    <w:rsid w:val="0041114C"/>
    <w:rsid w:val="004112FB"/>
    <w:rsid w:val="00411BF2"/>
    <w:rsid w:val="00411F7F"/>
    <w:rsid w:val="00412004"/>
    <w:rsid w:val="00412404"/>
    <w:rsid w:val="00412656"/>
    <w:rsid w:val="00412D31"/>
    <w:rsid w:val="00413134"/>
    <w:rsid w:val="00413922"/>
    <w:rsid w:val="00413EBF"/>
    <w:rsid w:val="00414241"/>
    <w:rsid w:val="00414817"/>
    <w:rsid w:val="004148F1"/>
    <w:rsid w:val="004163DB"/>
    <w:rsid w:val="00416926"/>
    <w:rsid w:val="00416DE6"/>
    <w:rsid w:val="00416FC1"/>
    <w:rsid w:val="004172C9"/>
    <w:rsid w:val="00417C83"/>
    <w:rsid w:val="00420233"/>
    <w:rsid w:val="00420728"/>
    <w:rsid w:val="00421195"/>
    <w:rsid w:val="00421BB0"/>
    <w:rsid w:val="00422551"/>
    <w:rsid w:val="004227BA"/>
    <w:rsid w:val="00422FD7"/>
    <w:rsid w:val="00423846"/>
    <w:rsid w:val="00423FEB"/>
    <w:rsid w:val="0042426A"/>
    <w:rsid w:val="00424637"/>
    <w:rsid w:val="004247F8"/>
    <w:rsid w:val="00424A6B"/>
    <w:rsid w:val="00424B6A"/>
    <w:rsid w:val="00424CB5"/>
    <w:rsid w:val="00424CF2"/>
    <w:rsid w:val="004254DF"/>
    <w:rsid w:val="0042567D"/>
    <w:rsid w:val="00425ED8"/>
    <w:rsid w:val="00426B97"/>
    <w:rsid w:val="00426DD3"/>
    <w:rsid w:val="00430224"/>
    <w:rsid w:val="0043055C"/>
    <w:rsid w:val="00430A4A"/>
    <w:rsid w:val="00430C13"/>
    <w:rsid w:val="0043150B"/>
    <w:rsid w:val="0043197E"/>
    <w:rsid w:val="00431D29"/>
    <w:rsid w:val="00431DA6"/>
    <w:rsid w:val="00431DB3"/>
    <w:rsid w:val="00431F42"/>
    <w:rsid w:val="00432610"/>
    <w:rsid w:val="00432F37"/>
    <w:rsid w:val="00433105"/>
    <w:rsid w:val="0043318F"/>
    <w:rsid w:val="004332EC"/>
    <w:rsid w:val="00433664"/>
    <w:rsid w:val="004339A5"/>
    <w:rsid w:val="00433A9B"/>
    <w:rsid w:val="004340B2"/>
    <w:rsid w:val="004341C4"/>
    <w:rsid w:val="0043535B"/>
    <w:rsid w:val="004363B4"/>
    <w:rsid w:val="00436A4C"/>
    <w:rsid w:val="00436DA0"/>
    <w:rsid w:val="00437023"/>
    <w:rsid w:val="00437713"/>
    <w:rsid w:val="00437882"/>
    <w:rsid w:val="004378FC"/>
    <w:rsid w:val="00437CE3"/>
    <w:rsid w:val="00440168"/>
    <w:rsid w:val="004409AB"/>
    <w:rsid w:val="00440E77"/>
    <w:rsid w:val="004411C9"/>
    <w:rsid w:val="00441651"/>
    <w:rsid w:val="004417F0"/>
    <w:rsid w:val="00441F2C"/>
    <w:rsid w:val="00442097"/>
    <w:rsid w:val="004424D0"/>
    <w:rsid w:val="00442517"/>
    <w:rsid w:val="00442877"/>
    <w:rsid w:val="00442ADE"/>
    <w:rsid w:val="00443A77"/>
    <w:rsid w:val="0044460B"/>
    <w:rsid w:val="0044477B"/>
    <w:rsid w:val="004447E1"/>
    <w:rsid w:val="00444DE1"/>
    <w:rsid w:val="00444E92"/>
    <w:rsid w:val="004453E4"/>
    <w:rsid w:val="004454B5"/>
    <w:rsid w:val="00445A91"/>
    <w:rsid w:val="00445D3C"/>
    <w:rsid w:val="00445D92"/>
    <w:rsid w:val="00445E77"/>
    <w:rsid w:val="00446292"/>
    <w:rsid w:val="00446774"/>
    <w:rsid w:val="004472CC"/>
    <w:rsid w:val="00447450"/>
    <w:rsid w:val="0044779A"/>
    <w:rsid w:val="00447C08"/>
    <w:rsid w:val="00447E30"/>
    <w:rsid w:val="0045056A"/>
    <w:rsid w:val="004505E3"/>
    <w:rsid w:val="00450754"/>
    <w:rsid w:val="00451611"/>
    <w:rsid w:val="0045189F"/>
    <w:rsid w:val="00451A9C"/>
    <w:rsid w:val="00451DA7"/>
    <w:rsid w:val="00452140"/>
    <w:rsid w:val="00452B7D"/>
    <w:rsid w:val="00452F8D"/>
    <w:rsid w:val="00453EDC"/>
    <w:rsid w:val="004568ED"/>
    <w:rsid w:val="00456B75"/>
    <w:rsid w:val="00457CA9"/>
    <w:rsid w:val="00457E0D"/>
    <w:rsid w:val="0046067D"/>
    <w:rsid w:val="00460EA8"/>
    <w:rsid w:val="00460ED1"/>
    <w:rsid w:val="00461E52"/>
    <w:rsid w:val="00462788"/>
    <w:rsid w:val="00462A51"/>
    <w:rsid w:val="00463036"/>
    <w:rsid w:val="004631E4"/>
    <w:rsid w:val="004632DD"/>
    <w:rsid w:val="0046341A"/>
    <w:rsid w:val="004644FD"/>
    <w:rsid w:val="004647D3"/>
    <w:rsid w:val="0046542F"/>
    <w:rsid w:val="00465CCA"/>
    <w:rsid w:val="00465E3C"/>
    <w:rsid w:val="00466E17"/>
    <w:rsid w:val="004671B9"/>
    <w:rsid w:val="00467FC2"/>
    <w:rsid w:val="004716E7"/>
    <w:rsid w:val="00471AF9"/>
    <w:rsid w:val="00472249"/>
    <w:rsid w:val="004729FD"/>
    <w:rsid w:val="00473EDB"/>
    <w:rsid w:val="0047440C"/>
    <w:rsid w:val="00474C6A"/>
    <w:rsid w:val="0047519B"/>
    <w:rsid w:val="004752E1"/>
    <w:rsid w:val="0047628D"/>
    <w:rsid w:val="004766F6"/>
    <w:rsid w:val="00476C03"/>
    <w:rsid w:val="00477076"/>
    <w:rsid w:val="00477978"/>
    <w:rsid w:val="00480805"/>
    <w:rsid w:val="00480C04"/>
    <w:rsid w:val="00481684"/>
    <w:rsid w:val="00481979"/>
    <w:rsid w:val="004826BE"/>
    <w:rsid w:val="004828D7"/>
    <w:rsid w:val="00482F25"/>
    <w:rsid w:val="00483AA3"/>
    <w:rsid w:val="00483B20"/>
    <w:rsid w:val="00483BCF"/>
    <w:rsid w:val="00483F4B"/>
    <w:rsid w:val="00483F9E"/>
    <w:rsid w:val="004841A7"/>
    <w:rsid w:val="00484DD5"/>
    <w:rsid w:val="00485159"/>
    <w:rsid w:val="00486539"/>
    <w:rsid w:val="00486899"/>
    <w:rsid w:val="004868DD"/>
    <w:rsid w:val="00486986"/>
    <w:rsid w:val="00487066"/>
    <w:rsid w:val="004877EB"/>
    <w:rsid w:val="00487A70"/>
    <w:rsid w:val="00487C9E"/>
    <w:rsid w:val="00490207"/>
    <w:rsid w:val="00490C94"/>
    <w:rsid w:val="00490E8D"/>
    <w:rsid w:val="00490FBC"/>
    <w:rsid w:val="004913E2"/>
    <w:rsid w:val="00491799"/>
    <w:rsid w:val="00491B37"/>
    <w:rsid w:val="00492756"/>
    <w:rsid w:val="00493204"/>
    <w:rsid w:val="0049337F"/>
    <w:rsid w:val="00493F44"/>
    <w:rsid w:val="004947E7"/>
    <w:rsid w:val="00494821"/>
    <w:rsid w:val="0049491F"/>
    <w:rsid w:val="00494A37"/>
    <w:rsid w:val="00495669"/>
    <w:rsid w:val="00495906"/>
    <w:rsid w:val="0049592A"/>
    <w:rsid w:val="00495ED5"/>
    <w:rsid w:val="00495F21"/>
    <w:rsid w:val="004961F6"/>
    <w:rsid w:val="0049634C"/>
    <w:rsid w:val="0049667A"/>
    <w:rsid w:val="00496AA5"/>
    <w:rsid w:val="0049740C"/>
    <w:rsid w:val="004975E3"/>
    <w:rsid w:val="0049793D"/>
    <w:rsid w:val="00497C03"/>
    <w:rsid w:val="004A02FD"/>
    <w:rsid w:val="004A0F68"/>
    <w:rsid w:val="004A1076"/>
    <w:rsid w:val="004A1388"/>
    <w:rsid w:val="004A2D19"/>
    <w:rsid w:val="004A3F15"/>
    <w:rsid w:val="004A5144"/>
    <w:rsid w:val="004A577B"/>
    <w:rsid w:val="004A5F60"/>
    <w:rsid w:val="004A6E89"/>
    <w:rsid w:val="004A6F21"/>
    <w:rsid w:val="004A739E"/>
    <w:rsid w:val="004A79EA"/>
    <w:rsid w:val="004B0187"/>
    <w:rsid w:val="004B0466"/>
    <w:rsid w:val="004B0C20"/>
    <w:rsid w:val="004B11D0"/>
    <w:rsid w:val="004B1F6E"/>
    <w:rsid w:val="004B25BC"/>
    <w:rsid w:val="004B2764"/>
    <w:rsid w:val="004B2DED"/>
    <w:rsid w:val="004B3253"/>
    <w:rsid w:val="004B3587"/>
    <w:rsid w:val="004B3667"/>
    <w:rsid w:val="004B3BB5"/>
    <w:rsid w:val="004B4107"/>
    <w:rsid w:val="004B447C"/>
    <w:rsid w:val="004B52AD"/>
    <w:rsid w:val="004B57CA"/>
    <w:rsid w:val="004B5C5F"/>
    <w:rsid w:val="004B5D33"/>
    <w:rsid w:val="004B605C"/>
    <w:rsid w:val="004B66CC"/>
    <w:rsid w:val="004B6ACB"/>
    <w:rsid w:val="004B718F"/>
    <w:rsid w:val="004B72E6"/>
    <w:rsid w:val="004B7435"/>
    <w:rsid w:val="004B75E5"/>
    <w:rsid w:val="004B78E7"/>
    <w:rsid w:val="004B798B"/>
    <w:rsid w:val="004B7D90"/>
    <w:rsid w:val="004B7E31"/>
    <w:rsid w:val="004C013E"/>
    <w:rsid w:val="004C1BBF"/>
    <w:rsid w:val="004C2333"/>
    <w:rsid w:val="004C260A"/>
    <w:rsid w:val="004C29BA"/>
    <w:rsid w:val="004C341A"/>
    <w:rsid w:val="004C47A0"/>
    <w:rsid w:val="004C47D0"/>
    <w:rsid w:val="004C4806"/>
    <w:rsid w:val="004C4F03"/>
    <w:rsid w:val="004C574F"/>
    <w:rsid w:val="004C6224"/>
    <w:rsid w:val="004C6A9B"/>
    <w:rsid w:val="004C6DD3"/>
    <w:rsid w:val="004C6E49"/>
    <w:rsid w:val="004C7009"/>
    <w:rsid w:val="004C7372"/>
    <w:rsid w:val="004C7B64"/>
    <w:rsid w:val="004C7F03"/>
    <w:rsid w:val="004D0573"/>
    <w:rsid w:val="004D079E"/>
    <w:rsid w:val="004D0C11"/>
    <w:rsid w:val="004D0CC1"/>
    <w:rsid w:val="004D0D6C"/>
    <w:rsid w:val="004D12EF"/>
    <w:rsid w:val="004D1449"/>
    <w:rsid w:val="004D207F"/>
    <w:rsid w:val="004D24AA"/>
    <w:rsid w:val="004D342E"/>
    <w:rsid w:val="004D3584"/>
    <w:rsid w:val="004D4025"/>
    <w:rsid w:val="004D40CE"/>
    <w:rsid w:val="004D4303"/>
    <w:rsid w:val="004D4BD6"/>
    <w:rsid w:val="004D4EF3"/>
    <w:rsid w:val="004D5087"/>
    <w:rsid w:val="004D5A70"/>
    <w:rsid w:val="004D5C7C"/>
    <w:rsid w:val="004D5EE2"/>
    <w:rsid w:val="004D695D"/>
    <w:rsid w:val="004D7124"/>
    <w:rsid w:val="004D75ED"/>
    <w:rsid w:val="004D7AA0"/>
    <w:rsid w:val="004E1808"/>
    <w:rsid w:val="004E18D6"/>
    <w:rsid w:val="004E2BBE"/>
    <w:rsid w:val="004E2DBC"/>
    <w:rsid w:val="004E32F4"/>
    <w:rsid w:val="004E37B2"/>
    <w:rsid w:val="004E3DBD"/>
    <w:rsid w:val="004E3E6A"/>
    <w:rsid w:val="004E3EE3"/>
    <w:rsid w:val="004E4873"/>
    <w:rsid w:val="004E49C5"/>
    <w:rsid w:val="004E5041"/>
    <w:rsid w:val="004E58F4"/>
    <w:rsid w:val="004E5E4E"/>
    <w:rsid w:val="004E615D"/>
    <w:rsid w:val="004E620E"/>
    <w:rsid w:val="004E641B"/>
    <w:rsid w:val="004E6AD4"/>
    <w:rsid w:val="004E70E9"/>
    <w:rsid w:val="004E7CC4"/>
    <w:rsid w:val="004F0058"/>
    <w:rsid w:val="004F02B3"/>
    <w:rsid w:val="004F09F5"/>
    <w:rsid w:val="004F0E7A"/>
    <w:rsid w:val="004F131F"/>
    <w:rsid w:val="004F1C02"/>
    <w:rsid w:val="004F2B0E"/>
    <w:rsid w:val="004F2D7D"/>
    <w:rsid w:val="004F2E12"/>
    <w:rsid w:val="004F332E"/>
    <w:rsid w:val="004F3791"/>
    <w:rsid w:val="004F3B40"/>
    <w:rsid w:val="004F548D"/>
    <w:rsid w:val="004F54F9"/>
    <w:rsid w:val="004F5BFA"/>
    <w:rsid w:val="004F5C15"/>
    <w:rsid w:val="004F64E2"/>
    <w:rsid w:val="004F65A0"/>
    <w:rsid w:val="004F6654"/>
    <w:rsid w:val="004F6E6C"/>
    <w:rsid w:val="004F70EA"/>
    <w:rsid w:val="00500001"/>
    <w:rsid w:val="005006B1"/>
    <w:rsid w:val="00500B5D"/>
    <w:rsid w:val="00500C94"/>
    <w:rsid w:val="00500C9E"/>
    <w:rsid w:val="00500CF6"/>
    <w:rsid w:val="00500E04"/>
    <w:rsid w:val="00501AB7"/>
    <w:rsid w:val="00501B9A"/>
    <w:rsid w:val="00501E13"/>
    <w:rsid w:val="005024E9"/>
    <w:rsid w:val="00502D03"/>
    <w:rsid w:val="00502E41"/>
    <w:rsid w:val="00502E7C"/>
    <w:rsid w:val="00503CC2"/>
    <w:rsid w:val="00503F28"/>
    <w:rsid w:val="00504133"/>
    <w:rsid w:val="00504398"/>
    <w:rsid w:val="00505494"/>
    <w:rsid w:val="00505708"/>
    <w:rsid w:val="00505DD9"/>
    <w:rsid w:val="00505E15"/>
    <w:rsid w:val="00506D40"/>
    <w:rsid w:val="00506DBA"/>
    <w:rsid w:val="00506E7E"/>
    <w:rsid w:val="00507153"/>
    <w:rsid w:val="0050735B"/>
    <w:rsid w:val="00507EE6"/>
    <w:rsid w:val="005108AC"/>
    <w:rsid w:val="00510D63"/>
    <w:rsid w:val="0051124D"/>
    <w:rsid w:val="00511501"/>
    <w:rsid w:val="0051172E"/>
    <w:rsid w:val="005119CD"/>
    <w:rsid w:val="00511B8B"/>
    <w:rsid w:val="00511C38"/>
    <w:rsid w:val="00511FDF"/>
    <w:rsid w:val="005120F9"/>
    <w:rsid w:val="00512366"/>
    <w:rsid w:val="005126E6"/>
    <w:rsid w:val="00512BD9"/>
    <w:rsid w:val="00512D7B"/>
    <w:rsid w:val="00513002"/>
    <w:rsid w:val="005132C2"/>
    <w:rsid w:val="005133BA"/>
    <w:rsid w:val="00513A55"/>
    <w:rsid w:val="00513A6E"/>
    <w:rsid w:val="00514AB6"/>
    <w:rsid w:val="00514CBF"/>
    <w:rsid w:val="00514E42"/>
    <w:rsid w:val="00514E8D"/>
    <w:rsid w:val="00515370"/>
    <w:rsid w:val="00515553"/>
    <w:rsid w:val="00515A64"/>
    <w:rsid w:val="00515A9F"/>
    <w:rsid w:val="00515FA9"/>
    <w:rsid w:val="00516A64"/>
    <w:rsid w:val="00516A90"/>
    <w:rsid w:val="00517651"/>
    <w:rsid w:val="00517C78"/>
    <w:rsid w:val="00517ECF"/>
    <w:rsid w:val="00520488"/>
    <w:rsid w:val="00521077"/>
    <w:rsid w:val="00521DDA"/>
    <w:rsid w:val="00521EFA"/>
    <w:rsid w:val="005220AF"/>
    <w:rsid w:val="0052265B"/>
    <w:rsid w:val="00522FD6"/>
    <w:rsid w:val="00523A48"/>
    <w:rsid w:val="0052415F"/>
    <w:rsid w:val="005247E8"/>
    <w:rsid w:val="00524C1E"/>
    <w:rsid w:val="00524F48"/>
    <w:rsid w:val="005257F1"/>
    <w:rsid w:val="00527056"/>
    <w:rsid w:val="005277E0"/>
    <w:rsid w:val="00527908"/>
    <w:rsid w:val="00527922"/>
    <w:rsid w:val="00527BFD"/>
    <w:rsid w:val="00527E01"/>
    <w:rsid w:val="00530526"/>
    <w:rsid w:val="0053053D"/>
    <w:rsid w:val="0053128B"/>
    <w:rsid w:val="0053142A"/>
    <w:rsid w:val="00531FB1"/>
    <w:rsid w:val="00532337"/>
    <w:rsid w:val="005327B7"/>
    <w:rsid w:val="00533041"/>
    <w:rsid w:val="00533D4C"/>
    <w:rsid w:val="00535129"/>
    <w:rsid w:val="0053558E"/>
    <w:rsid w:val="00535949"/>
    <w:rsid w:val="00535DD4"/>
    <w:rsid w:val="005367F5"/>
    <w:rsid w:val="0053696A"/>
    <w:rsid w:val="00536D53"/>
    <w:rsid w:val="00537006"/>
    <w:rsid w:val="0053720C"/>
    <w:rsid w:val="00537DE2"/>
    <w:rsid w:val="00537F01"/>
    <w:rsid w:val="00537F8C"/>
    <w:rsid w:val="0054048B"/>
    <w:rsid w:val="00540950"/>
    <w:rsid w:val="00540EA8"/>
    <w:rsid w:val="00540FB3"/>
    <w:rsid w:val="00541421"/>
    <w:rsid w:val="00541564"/>
    <w:rsid w:val="005418C8"/>
    <w:rsid w:val="0054194B"/>
    <w:rsid w:val="00541CBC"/>
    <w:rsid w:val="005422C6"/>
    <w:rsid w:val="00542354"/>
    <w:rsid w:val="00542564"/>
    <w:rsid w:val="0054457F"/>
    <w:rsid w:val="00544C82"/>
    <w:rsid w:val="00544F98"/>
    <w:rsid w:val="00545703"/>
    <w:rsid w:val="00545989"/>
    <w:rsid w:val="00545BD1"/>
    <w:rsid w:val="00545D43"/>
    <w:rsid w:val="005462BA"/>
    <w:rsid w:val="005475E8"/>
    <w:rsid w:val="0054787F"/>
    <w:rsid w:val="00547EC8"/>
    <w:rsid w:val="00547FE2"/>
    <w:rsid w:val="00550903"/>
    <w:rsid w:val="0055161A"/>
    <w:rsid w:val="005520F1"/>
    <w:rsid w:val="0055263E"/>
    <w:rsid w:val="00552BA5"/>
    <w:rsid w:val="00552CC9"/>
    <w:rsid w:val="00552DF4"/>
    <w:rsid w:val="00553365"/>
    <w:rsid w:val="005533DA"/>
    <w:rsid w:val="0055444A"/>
    <w:rsid w:val="0055572A"/>
    <w:rsid w:val="00555737"/>
    <w:rsid w:val="00555BD8"/>
    <w:rsid w:val="00555FD0"/>
    <w:rsid w:val="0055685E"/>
    <w:rsid w:val="00556A03"/>
    <w:rsid w:val="0055776E"/>
    <w:rsid w:val="00557AA2"/>
    <w:rsid w:val="00557CA6"/>
    <w:rsid w:val="0056009B"/>
    <w:rsid w:val="0056015B"/>
    <w:rsid w:val="00562231"/>
    <w:rsid w:val="005624DB"/>
    <w:rsid w:val="0056327D"/>
    <w:rsid w:val="005632CA"/>
    <w:rsid w:val="00563320"/>
    <w:rsid w:val="0056353A"/>
    <w:rsid w:val="00563F91"/>
    <w:rsid w:val="00565B46"/>
    <w:rsid w:val="00565BD7"/>
    <w:rsid w:val="00565C01"/>
    <w:rsid w:val="0056640E"/>
    <w:rsid w:val="00566735"/>
    <w:rsid w:val="0056694F"/>
    <w:rsid w:val="0056699C"/>
    <w:rsid w:val="00566C49"/>
    <w:rsid w:val="0056737F"/>
    <w:rsid w:val="005673A2"/>
    <w:rsid w:val="00567AF0"/>
    <w:rsid w:val="0057026C"/>
    <w:rsid w:val="00570890"/>
    <w:rsid w:val="005710A3"/>
    <w:rsid w:val="00571399"/>
    <w:rsid w:val="00571F24"/>
    <w:rsid w:val="00572330"/>
    <w:rsid w:val="005727D6"/>
    <w:rsid w:val="00572A92"/>
    <w:rsid w:val="00573051"/>
    <w:rsid w:val="005733BC"/>
    <w:rsid w:val="00573A65"/>
    <w:rsid w:val="00573B76"/>
    <w:rsid w:val="0057411A"/>
    <w:rsid w:val="0057456A"/>
    <w:rsid w:val="00574C25"/>
    <w:rsid w:val="00574E1E"/>
    <w:rsid w:val="00574F7D"/>
    <w:rsid w:val="00575677"/>
    <w:rsid w:val="0057595E"/>
    <w:rsid w:val="00575EA8"/>
    <w:rsid w:val="005764C8"/>
    <w:rsid w:val="005765E9"/>
    <w:rsid w:val="00576FB4"/>
    <w:rsid w:val="00577A25"/>
    <w:rsid w:val="00577EF8"/>
    <w:rsid w:val="005806AB"/>
    <w:rsid w:val="00580CD3"/>
    <w:rsid w:val="00580D6E"/>
    <w:rsid w:val="00581726"/>
    <w:rsid w:val="00581B18"/>
    <w:rsid w:val="005821F2"/>
    <w:rsid w:val="00582E91"/>
    <w:rsid w:val="0058387E"/>
    <w:rsid w:val="00583C54"/>
    <w:rsid w:val="005841DD"/>
    <w:rsid w:val="00584AA0"/>
    <w:rsid w:val="00585D0A"/>
    <w:rsid w:val="00585FEC"/>
    <w:rsid w:val="0058690F"/>
    <w:rsid w:val="00586C2D"/>
    <w:rsid w:val="00586C89"/>
    <w:rsid w:val="0058768C"/>
    <w:rsid w:val="00587862"/>
    <w:rsid w:val="00590307"/>
    <w:rsid w:val="0059052F"/>
    <w:rsid w:val="00591918"/>
    <w:rsid w:val="00591D0F"/>
    <w:rsid w:val="005924F0"/>
    <w:rsid w:val="00592595"/>
    <w:rsid w:val="0059315E"/>
    <w:rsid w:val="00593A1C"/>
    <w:rsid w:val="00593EBA"/>
    <w:rsid w:val="005947E9"/>
    <w:rsid w:val="00594953"/>
    <w:rsid w:val="0059498A"/>
    <w:rsid w:val="00595DF8"/>
    <w:rsid w:val="00597AAC"/>
    <w:rsid w:val="005A059E"/>
    <w:rsid w:val="005A0A17"/>
    <w:rsid w:val="005A157D"/>
    <w:rsid w:val="005A1E0F"/>
    <w:rsid w:val="005A246B"/>
    <w:rsid w:val="005A283C"/>
    <w:rsid w:val="005A303A"/>
    <w:rsid w:val="005A3F30"/>
    <w:rsid w:val="005A4698"/>
    <w:rsid w:val="005A46B7"/>
    <w:rsid w:val="005A49D5"/>
    <w:rsid w:val="005A4EED"/>
    <w:rsid w:val="005A559A"/>
    <w:rsid w:val="005A643D"/>
    <w:rsid w:val="005A66BA"/>
    <w:rsid w:val="005A6B37"/>
    <w:rsid w:val="005A6BD4"/>
    <w:rsid w:val="005A6F37"/>
    <w:rsid w:val="005A70F9"/>
    <w:rsid w:val="005A7F7C"/>
    <w:rsid w:val="005B001F"/>
    <w:rsid w:val="005B0E45"/>
    <w:rsid w:val="005B1C0F"/>
    <w:rsid w:val="005B2B47"/>
    <w:rsid w:val="005B3931"/>
    <w:rsid w:val="005B4136"/>
    <w:rsid w:val="005B4567"/>
    <w:rsid w:val="005B58D0"/>
    <w:rsid w:val="005B5E6F"/>
    <w:rsid w:val="005B6B08"/>
    <w:rsid w:val="005B7660"/>
    <w:rsid w:val="005B7C28"/>
    <w:rsid w:val="005B7DA5"/>
    <w:rsid w:val="005C0099"/>
    <w:rsid w:val="005C056A"/>
    <w:rsid w:val="005C0703"/>
    <w:rsid w:val="005C086F"/>
    <w:rsid w:val="005C0C1C"/>
    <w:rsid w:val="005C1513"/>
    <w:rsid w:val="005C164E"/>
    <w:rsid w:val="005C2724"/>
    <w:rsid w:val="005C28D4"/>
    <w:rsid w:val="005C29B7"/>
    <w:rsid w:val="005C29DC"/>
    <w:rsid w:val="005C2AE5"/>
    <w:rsid w:val="005C3193"/>
    <w:rsid w:val="005C329C"/>
    <w:rsid w:val="005C367D"/>
    <w:rsid w:val="005C421A"/>
    <w:rsid w:val="005C42AF"/>
    <w:rsid w:val="005C4DA6"/>
    <w:rsid w:val="005C4DCE"/>
    <w:rsid w:val="005C4E2C"/>
    <w:rsid w:val="005C5020"/>
    <w:rsid w:val="005C504E"/>
    <w:rsid w:val="005C57B3"/>
    <w:rsid w:val="005C5D51"/>
    <w:rsid w:val="005C5DA8"/>
    <w:rsid w:val="005C5FFD"/>
    <w:rsid w:val="005C623A"/>
    <w:rsid w:val="005C6D4F"/>
    <w:rsid w:val="005C770C"/>
    <w:rsid w:val="005C7808"/>
    <w:rsid w:val="005C7DF1"/>
    <w:rsid w:val="005C7E96"/>
    <w:rsid w:val="005D05B4"/>
    <w:rsid w:val="005D0627"/>
    <w:rsid w:val="005D0BFF"/>
    <w:rsid w:val="005D0C1A"/>
    <w:rsid w:val="005D0D1A"/>
    <w:rsid w:val="005D1193"/>
    <w:rsid w:val="005D1E08"/>
    <w:rsid w:val="005D22A2"/>
    <w:rsid w:val="005D2CD8"/>
    <w:rsid w:val="005D3099"/>
    <w:rsid w:val="005D322A"/>
    <w:rsid w:val="005D3294"/>
    <w:rsid w:val="005D3C5C"/>
    <w:rsid w:val="005D3C89"/>
    <w:rsid w:val="005D3D1C"/>
    <w:rsid w:val="005D4A13"/>
    <w:rsid w:val="005D55DE"/>
    <w:rsid w:val="005D5863"/>
    <w:rsid w:val="005D6058"/>
    <w:rsid w:val="005D62F0"/>
    <w:rsid w:val="005D65C9"/>
    <w:rsid w:val="005D7AC5"/>
    <w:rsid w:val="005E0A15"/>
    <w:rsid w:val="005E0FC8"/>
    <w:rsid w:val="005E12A9"/>
    <w:rsid w:val="005E1418"/>
    <w:rsid w:val="005E1733"/>
    <w:rsid w:val="005E1ADA"/>
    <w:rsid w:val="005E1F40"/>
    <w:rsid w:val="005E2513"/>
    <w:rsid w:val="005E2BA0"/>
    <w:rsid w:val="005E2FAF"/>
    <w:rsid w:val="005E395D"/>
    <w:rsid w:val="005E3C4D"/>
    <w:rsid w:val="005E3D4B"/>
    <w:rsid w:val="005E4154"/>
    <w:rsid w:val="005E43BA"/>
    <w:rsid w:val="005E44CF"/>
    <w:rsid w:val="005E4841"/>
    <w:rsid w:val="005E4F31"/>
    <w:rsid w:val="005E5361"/>
    <w:rsid w:val="005E55CB"/>
    <w:rsid w:val="005E5CC4"/>
    <w:rsid w:val="005E5F30"/>
    <w:rsid w:val="005E6D66"/>
    <w:rsid w:val="005E707C"/>
    <w:rsid w:val="005E7898"/>
    <w:rsid w:val="005E7B2B"/>
    <w:rsid w:val="005F3346"/>
    <w:rsid w:val="005F34FE"/>
    <w:rsid w:val="005F3D56"/>
    <w:rsid w:val="005F3DF4"/>
    <w:rsid w:val="005F43D3"/>
    <w:rsid w:val="005F455A"/>
    <w:rsid w:val="005F4583"/>
    <w:rsid w:val="005F56A6"/>
    <w:rsid w:val="005F5E1C"/>
    <w:rsid w:val="005F68F6"/>
    <w:rsid w:val="005F6D52"/>
    <w:rsid w:val="005F7551"/>
    <w:rsid w:val="005F799F"/>
    <w:rsid w:val="005F7F2C"/>
    <w:rsid w:val="00600EC1"/>
    <w:rsid w:val="00600FE4"/>
    <w:rsid w:val="00601414"/>
    <w:rsid w:val="0060173A"/>
    <w:rsid w:val="006017B8"/>
    <w:rsid w:val="00601A05"/>
    <w:rsid w:val="00601F13"/>
    <w:rsid w:val="006024A3"/>
    <w:rsid w:val="00602C62"/>
    <w:rsid w:val="006036F7"/>
    <w:rsid w:val="00604308"/>
    <w:rsid w:val="0060466C"/>
    <w:rsid w:val="006046AD"/>
    <w:rsid w:val="00604B05"/>
    <w:rsid w:val="00604E2F"/>
    <w:rsid w:val="00604F74"/>
    <w:rsid w:val="006054CA"/>
    <w:rsid w:val="006059DB"/>
    <w:rsid w:val="0060678F"/>
    <w:rsid w:val="00606D90"/>
    <w:rsid w:val="00606F27"/>
    <w:rsid w:val="00606F3F"/>
    <w:rsid w:val="00606FFC"/>
    <w:rsid w:val="0060736C"/>
    <w:rsid w:val="00607962"/>
    <w:rsid w:val="00607C4F"/>
    <w:rsid w:val="00610396"/>
    <w:rsid w:val="0061099B"/>
    <w:rsid w:val="00610D02"/>
    <w:rsid w:val="006111F8"/>
    <w:rsid w:val="006115B7"/>
    <w:rsid w:val="00611E53"/>
    <w:rsid w:val="0061240A"/>
    <w:rsid w:val="0061248C"/>
    <w:rsid w:val="00612809"/>
    <w:rsid w:val="0061300B"/>
    <w:rsid w:val="00613785"/>
    <w:rsid w:val="006139DB"/>
    <w:rsid w:val="00613FDC"/>
    <w:rsid w:val="00614299"/>
    <w:rsid w:val="00614912"/>
    <w:rsid w:val="00614B1B"/>
    <w:rsid w:val="00615793"/>
    <w:rsid w:val="0061582C"/>
    <w:rsid w:val="0061594B"/>
    <w:rsid w:val="00616949"/>
    <w:rsid w:val="00616AB9"/>
    <w:rsid w:val="00616B0C"/>
    <w:rsid w:val="00616C00"/>
    <w:rsid w:val="00617D1E"/>
    <w:rsid w:val="00617E8C"/>
    <w:rsid w:val="00620CA3"/>
    <w:rsid w:val="006210EB"/>
    <w:rsid w:val="006215C3"/>
    <w:rsid w:val="006216C9"/>
    <w:rsid w:val="006225B7"/>
    <w:rsid w:val="00622B2E"/>
    <w:rsid w:val="00622D46"/>
    <w:rsid w:val="00623779"/>
    <w:rsid w:val="00623AA1"/>
    <w:rsid w:val="00624ACF"/>
    <w:rsid w:val="00624B07"/>
    <w:rsid w:val="006252D9"/>
    <w:rsid w:val="006256A9"/>
    <w:rsid w:val="00625CE8"/>
    <w:rsid w:val="00625F4A"/>
    <w:rsid w:val="00627AD0"/>
    <w:rsid w:val="00630249"/>
    <w:rsid w:val="00630D1D"/>
    <w:rsid w:val="00630FB4"/>
    <w:rsid w:val="00631431"/>
    <w:rsid w:val="006315D5"/>
    <w:rsid w:val="00631674"/>
    <w:rsid w:val="00631C69"/>
    <w:rsid w:val="00631E55"/>
    <w:rsid w:val="006324B3"/>
    <w:rsid w:val="006324EC"/>
    <w:rsid w:val="00632ACF"/>
    <w:rsid w:val="0063398D"/>
    <w:rsid w:val="00633DF9"/>
    <w:rsid w:val="006345A2"/>
    <w:rsid w:val="006348EE"/>
    <w:rsid w:val="00634915"/>
    <w:rsid w:val="00634D16"/>
    <w:rsid w:val="006350F4"/>
    <w:rsid w:val="006351F3"/>
    <w:rsid w:val="006364FF"/>
    <w:rsid w:val="00636525"/>
    <w:rsid w:val="00636639"/>
    <w:rsid w:val="006375A6"/>
    <w:rsid w:val="00637838"/>
    <w:rsid w:val="00637F83"/>
    <w:rsid w:val="006407C9"/>
    <w:rsid w:val="00640AE7"/>
    <w:rsid w:val="00640B47"/>
    <w:rsid w:val="00641037"/>
    <w:rsid w:val="00641632"/>
    <w:rsid w:val="00641A60"/>
    <w:rsid w:val="00642837"/>
    <w:rsid w:val="00642DE5"/>
    <w:rsid w:val="00642ED6"/>
    <w:rsid w:val="00642EE2"/>
    <w:rsid w:val="006434A8"/>
    <w:rsid w:val="00643726"/>
    <w:rsid w:val="00643979"/>
    <w:rsid w:val="00644959"/>
    <w:rsid w:val="0064517C"/>
    <w:rsid w:val="00645921"/>
    <w:rsid w:val="0064598F"/>
    <w:rsid w:val="00645AC5"/>
    <w:rsid w:val="00646045"/>
    <w:rsid w:val="0064618C"/>
    <w:rsid w:val="006465BD"/>
    <w:rsid w:val="00646698"/>
    <w:rsid w:val="00646822"/>
    <w:rsid w:val="006468E7"/>
    <w:rsid w:val="00647247"/>
    <w:rsid w:val="006509C3"/>
    <w:rsid w:val="00650E84"/>
    <w:rsid w:val="006511C0"/>
    <w:rsid w:val="00651519"/>
    <w:rsid w:val="0065157C"/>
    <w:rsid w:val="00651D08"/>
    <w:rsid w:val="00652867"/>
    <w:rsid w:val="00652E98"/>
    <w:rsid w:val="006536DB"/>
    <w:rsid w:val="00653874"/>
    <w:rsid w:val="006539DA"/>
    <w:rsid w:val="006539F4"/>
    <w:rsid w:val="00653B56"/>
    <w:rsid w:val="0065420F"/>
    <w:rsid w:val="00654CCB"/>
    <w:rsid w:val="0065529E"/>
    <w:rsid w:val="00655439"/>
    <w:rsid w:val="0065554E"/>
    <w:rsid w:val="00655708"/>
    <w:rsid w:val="00656C3A"/>
    <w:rsid w:val="00657711"/>
    <w:rsid w:val="006578FF"/>
    <w:rsid w:val="006607C4"/>
    <w:rsid w:val="00660B98"/>
    <w:rsid w:val="00660E06"/>
    <w:rsid w:val="00660F07"/>
    <w:rsid w:val="00661422"/>
    <w:rsid w:val="0066147D"/>
    <w:rsid w:val="0066220B"/>
    <w:rsid w:val="00662675"/>
    <w:rsid w:val="0066309B"/>
    <w:rsid w:val="006631E8"/>
    <w:rsid w:val="006646F0"/>
    <w:rsid w:val="00664EC7"/>
    <w:rsid w:val="00665267"/>
    <w:rsid w:val="0066547E"/>
    <w:rsid w:val="00665ABE"/>
    <w:rsid w:val="00665D85"/>
    <w:rsid w:val="00666486"/>
    <w:rsid w:val="006669F9"/>
    <w:rsid w:val="00666D91"/>
    <w:rsid w:val="00666F65"/>
    <w:rsid w:val="00667E6E"/>
    <w:rsid w:val="00670579"/>
    <w:rsid w:val="0067058D"/>
    <w:rsid w:val="00670A25"/>
    <w:rsid w:val="00670B80"/>
    <w:rsid w:val="00670D91"/>
    <w:rsid w:val="0067194B"/>
    <w:rsid w:val="00671ABC"/>
    <w:rsid w:val="006722C8"/>
    <w:rsid w:val="006724C6"/>
    <w:rsid w:val="00672D81"/>
    <w:rsid w:val="006733A8"/>
    <w:rsid w:val="0067398C"/>
    <w:rsid w:val="00673F0E"/>
    <w:rsid w:val="00674125"/>
    <w:rsid w:val="00674ABA"/>
    <w:rsid w:val="00675569"/>
    <w:rsid w:val="00675968"/>
    <w:rsid w:val="00675A25"/>
    <w:rsid w:val="00675BE6"/>
    <w:rsid w:val="00675C26"/>
    <w:rsid w:val="00675F18"/>
    <w:rsid w:val="00676C37"/>
    <w:rsid w:val="006771A5"/>
    <w:rsid w:val="006775E7"/>
    <w:rsid w:val="0067762F"/>
    <w:rsid w:val="00677746"/>
    <w:rsid w:val="006779E8"/>
    <w:rsid w:val="00677C97"/>
    <w:rsid w:val="006810B3"/>
    <w:rsid w:val="0068135B"/>
    <w:rsid w:val="00681630"/>
    <w:rsid w:val="0068246E"/>
    <w:rsid w:val="00683024"/>
    <w:rsid w:val="00683A86"/>
    <w:rsid w:val="00683FF5"/>
    <w:rsid w:val="006840DF"/>
    <w:rsid w:val="00684249"/>
    <w:rsid w:val="00684BB0"/>
    <w:rsid w:val="00684E0E"/>
    <w:rsid w:val="00685400"/>
    <w:rsid w:val="00685524"/>
    <w:rsid w:val="00685647"/>
    <w:rsid w:val="006863C6"/>
    <w:rsid w:val="0068741D"/>
    <w:rsid w:val="00687564"/>
    <w:rsid w:val="006877C4"/>
    <w:rsid w:val="00687CC7"/>
    <w:rsid w:val="006903D6"/>
    <w:rsid w:val="0069046B"/>
    <w:rsid w:val="006905C3"/>
    <w:rsid w:val="006905CB"/>
    <w:rsid w:val="00690A4C"/>
    <w:rsid w:val="00690AFC"/>
    <w:rsid w:val="006914BD"/>
    <w:rsid w:val="006920DE"/>
    <w:rsid w:val="006921AF"/>
    <w:rsid w:val="00692299"/>
    <w:rsid w:val="006929F7"/>
    <w:rsid w:val="00692C17"/>
    <w:rsid w:val="00692E8F"/>
    <w:rsid w:val="006932B5"/>
    <w:rsid w:val="006939FE"/>
    <w:rsid w:val="00693A42"/>
    <w:rsid w:val="00693FAF"/>
    <w:rsid w:val="0069449B"/>
    <w:rsid w:val="00694657"/>
    <w:rsid w:val="006953C5"/>
    <w:rsid w:val="006969FE"/>
    <w:rsid w:val="00697DF5"/>
    <w:rsid w:val="00697E2A"/>
    <w:rsid w:val="006A0FA0"/>
    <w:rsid w:val="006A17BF"/>
    <w:rsid w:val="006A18AE"/>
    <w:rsid w:val="006A199D"/>
    <w:rsid w:val="006A1A8F"/>
    <w:rsid w:val="006A201D"/>
    <w:rsid w:val="006A202F"/>
    <w:rsid w:val="006A24F2"/>
    <w:rsid w:val="006A25D6"/>
    <w:rsid w:val="006A26E4"/>
    <w:rsid w:val="006A28F8"/>
    <w:rsid w:val="006A3A36"/>
    <w:rsid w:val="006A40F1"/>
    <w:rsid w:val="006A4A96"/>
    <w:rsid w:val="006A4F80"/>
    <w:rsid w:val="006A5109"/>
    <w:rsid w:val="006A5ECC"/>
    <w:rsid w:val="006A64A6"/>
    <w:rsid w:val="006A65BA"/>
    <w:rsid w:val="006A702D"/>
    <w:rsid w:val="006A71F6"/>
    <w:rsid w:val="006B0344"/>
    <w:rsid w:val="006B06F6"/>
    <w:rsid w:val="006B2485"/>
    <w:rsid w:val="006B24FE"/>
    <w:rsid w:val="006B2729"/>
    <w:rsid w:val="006B2850"/>
    <w:rsid w:val="006B2D03"/>
    <w:rsid w:val="006B2D5B"/>
    <w:rsid w:val="006B2E44"/>
    <w:rsid w:val="006B37CE"/>
    <w:rsid w:val="006B533D"/>
    <w:rsid w:val="006B5470"/>
    <w:rsid w:val="006B57C2"/>
    <w:rsid w:val="006B5C82"/>
    <w:rsid w:val="006B6E90"/>
    <w:rsid w:val="006B72B6"/>
    <w:rsid w:val="006B7963"/>
    <w:rsid w:val="006C0014"/>
    <w:rsid w:val="006C0C1B"/>
    <w:rsid w:val="006C0DCC"/>
    <w:rsid w:val="006C1116"/>
    <w:rsid w:val="006C112E"/>
    <w:rsid w:val="006C13C9"/>
    <w:rsid w:val="006C149B"/>
    <w:rsid w:val="006C1517"/>
    <w:rsid w:val="006C155B"/>
    <w:rsid w:val="006C1DC9"/>
    <w:rsid w:val="006C1EC0"/>
    <w:rsid w:val="006C2062"/>
    <w:rsid w:val="006C26E3"/>
    <w:rsid w:val="006C31BC"/>
    <w:rsid w:val="006C31E4"/>
    <w:rsid w:val="006C31EE"/>
    <w:rsid w:val="006C37F0"/>
    <w:rsid w:val="006C39FF"/>
    <w:rsid w:val="006C3ABD"/>
    <w:rsid w:val="006C4DBC"/>
    <w:rsid w:val="006C5840"/>
    <w:rsid w:val="006C62B0"/>
    <w:rsid w:val="006C66F0"/>
    <w:rsid w:val="006C6FCB"/>
    <w:rsid w:val="006C73A7"/>
    <w:rsid w:val="006C7E56"/>
    <w:rsid w:val="006D07DD"/>
    <w:rsid w:val="006D0E0D"/>
    <w:rsid w:val="006D0F44"/>
    <w:rsid w:val="006D1183"/>
    <w:rsid w:val="006D1491"/>
    <w:rsid w:val="006D18B4"/>
    <w:rsid w:val="006D29D6"/>
    <w:rsid w:val="006D2A9D"/>
    <w:rsid w:val="006D2CEB"/>
    <w:rsid w:val="006D2F8A"/>
    <w:rsid w:val="006D334E"/>
    <w:rsid w:val="006D3561"/>
    <w:rsid w:val="006D360F"/>
    <w:rsid w:val="006D38EB"/>
    <w:rsid w:val="006D3D87"/>
    <w:rsid w:val="006D413A"/>
    <w:rsid w:val="006D590A"/>
    <w:rsid w:val="006D6BC5"/>
    <w:rsid w:val="006D6CB4"/>
    <w:rsid w:val="006D6D05"/>
    <w:rsid w:val="006D745A"/>
    <w:rsid w:val="006D7471"/>
    <w:rsid w:val="006D751A"/>
    <w:rsid w:val="006D7A2B"/>
    <w:rsid w:val="006D7CD1"/>
    <w:rsid w:val="006E0C87"/>
    <w:rsid w:val="006E156C"/>
    <w:rsid w:val="006E15AB"/>
    <w:rsid w:val="006E1891"/>
    <w:rsid w:val="006E1A10"/>
    <w:rsid w:val="006E1C4A"/>
    <w:rsid w:val="006E227D"/>
    <w:rsid w:val="006E24D1"/>
    <w:rsid w:val="006E2609"/>
    <w:rsid w:val="006E2A23"/>
    <w:rsid w:val="006E2AB3"/>
    <w:rsid w:val="006E2AF6"/>
    <w:rsid w:val="006E2D48"/>
    <w:rsid w:val="006E2DEC"/>
    <w:rsid w:val="006E3906"/>
    <w:rsid w:val="006E3B33"/>
    <w:rsid w:val="006E3F10"/>
    <w:rsid w:val="006E4A2B"/>
    <w:rsid w:val="006E51F6"/>
    <w:rsid w:val="006E5D9A"/>
    <w:rsid w:val="006E656D"/>
    <w:rsid w:val="006E6FB7"/>
    <w:rsid w:val="006E711B"/>
    <w:rsid w:val="006E72E8"/>
    <w:rsid w:val="006F081C"/>
    <w:rsid w:val="006F0917"/>
    <w:rsid w:val="006F0AB4"/>
    <w:rsid w:val="006F0C4D"/>
    <w:rsid w:val="006F0F18"/>
    <w:rsid w:val="006F13BE"/>
    <w:rsid w:val="006F1CF2"/>
    <w:rsid w:val="006F1E81"/>
    <w:rsid w:val="006F23B1"/>
    <w:rsid w:val="006F3E54"/>
    <w:rsid w:val="006F4DC0"/>
    <w:rsid w:val="006F4E5E"/>
    <w:rsid w:val="006F5528"/>
    <w:rsid w:val="006F5D32"/>
    <w:rsid w:val="006F5D5E"/>
    <w:rsid w:val="006F5DBD"/>
    <w:rsid w:val="006F624A"/>
    <w:rsid w:val="006F6497"/>
    <w:rsid w:val="006F7C59"/>
    <w:rsid w:val="006F7DE2"/>
    <w:rsid w:val="006F7E23"/>
    <w:rsid w:val="00700144"/>
    <w:rsid w:val="007001B9"/>
    <w:rsid w:val="0070126E"/>
    <w:rsid w:val="00702D9D"/>
    <w:rsid w:val="00704464"/>
    <w:rsid w:val="00704ACA"/>
    <w:rsid w:val="0070504F"/>
    <w:rsid w:val="00705CFE"/>
    <w:rsid w:val="00705EF6"/>
    <w:rsid w:val="0070650B"/>
    <w:rsid w:val="00706B7F"/>
    <w:rsid w:val="007070E9"/>
    <w:rsid w:val="007077D8"/>
    <w:rsid w:val="00711273"/>
    <w:rsid w:val="00711FAC"/>
    <w:rsid w:val="007134FF"/>
    <w:rsid w:val="007139EB"/>
    <w:rsid w:val="00713A5C"/>
    <w:rsid w:val="00713EB2"/>
    <w:rsid w:val="00714856"/>
    <w:rsid w:val="00714984"/>
    <w:rsid w:val="007155D1"/>
    <w:rsid w:val="0071636D"/>
    <w:rsid w:val="00716631"/>
    <w:rsid w:val="00716659"/>
    <w:rsid w:val="00716B97"/>
    <w:rsid w:val="00716F08"/>
    <w:rsid w:val="00717715"/>
    <w:rsid w:val="00717872"/>
    <w:rsid w:val="00717A82"/>
    <w:rsid w:val="00717F9A"/>
    <w:rsid w:val="00720420"/>
    <w:rsid w:val="007205BA"/>
    <w:rsid w:val="00720BC5"/>
    <w:rsid w:val="00720FD6"/>
    <w:rsid w:val="00721064"/>
    <w:rsid w:val="0072155B"/>
    <w:rsid w:val="00721841"/>
    <w:rsid w:val="0072185B"/>
    <w:rsid w:val="00721FAE"/>
    <w:rsid w:val="00722958"/>
    <w:rsid w:val="007235EA"/>
    <w:rsid w:val="007236C3"/>
    <w:rsid w:val="007238B0"/>
    <w:rsid w:val="00723D63"/>
    <w:rsid w:val="00723E0D"/>
    <w:rsid w:val="007243C0"/>
    <w:rsid w:val="0072528B"/>
    <w:rsid w:val="00725A64"/>
    <w:rsid w:val="00725E44"/>
    <w:rsid w:val="00726D0E"/>
    <w:rsid w:val="00726D15"/>
    <w:rsid w:val="00727724"/>
    <w:rsid w:val="007279DF"/>
    <w:rsid w:val="00727BBA"/>
    <w:rsid w:val="00730704"/>
    <w:rsid w:val="00730B6B"/>
    <w:rsid w:val="007310FC"/>
    <w:rsid w:val="00731187"/>
    <w:rsid w:val="007311A5"/>
    <w:rsid w:val="00731F70"/>
    <w:rsid w:val="00732A25"/>
    <w:rsid w:val="00733D1F"/>
    <w:rsid w:val="007340CB"/>
    <w:rsid w:val="00734150"/>
    <w:rsid w:val="0073424F"/>
    <w:rsid w:val="0073481F"/>
    <w:rsid w:val="00734897"/>
    <w:rsid w:val="00734D58"/>
    <w:rsid w:val="0073570D"/>
    <w:rsid w:val="0073574D"/>
    <w:rsid w:val="00735916"/>
    <w:rsid w:val="00735D03"/>
    <w:rsid w:val="0073715D"/>
    <w:rsid w:val="00737915"/>
    <w:rsid w:val="00737916"/>
    <w:rsid w:val="0074020C"/>
    <w:rsid w:val="0074022F"/>
    <w:rsid w:val="00740586"/>
    <w:rsid w:val="00740B7F"/>
    <w:rsid w:val="00740CDC"/>
    <w:rsid w:val="00741094"/>
    <w:rsid w:val="0074198F"/>
    <w:rsid w:val="00741E64"/>
    <w:rsid w:val="00742334"/>
    <w:rsid w:val="007426F8"/>
    <w:rsid w:val="0074276E"/>
    <w:rsid w:val="0074301A"/>
    <w:rsid w:val="007431AB"/>
    <w:rsid w:val="007447E8"/>
    <w:rsid w:val="00744C88"/>
    <w:rsid w:val="00744D5D"/>
    <w:rsid w:val="00745112"/>
    <w:rsid w:val="0074554A"/>
    <w:rsid w:val="00745B7A"/>
    <w:rsid w:val="00746463"/>
    <w:rsid w:val="00746941"/>
    <w:rsid w:val="00746A6B"/>
    <w:rsid w:val="00746DAB"/>
    <w:rsid w:val="00746F3E"/>
    <w:rsid w:val="007471E0"/>
    <w:rsid w:val="0074734F"/>
    <w:rsid w:val="00747617"/>
    <w:rsid w:val="00747B7D"/>
    <w:rsid w:val="00747D68"/>
    <w:rsid w:val="00750AA2"/>
    <w:rsid w:val="0075141E"/>
    <w:rsid w:val="0075163F"/>
    <w:rsid w:val="00751B13"/>
    <w:rsid w:val="007520F1"/>
    <w:rsid w:val="00752A82"/>
    <w:rsid w:val="0075361B"/>
    <w:rsid w:val="007538E0"/>
    <w:rsid w:val="00754404"/>
    <w:rsid w:val="007544B4"/>
    <w:rsid w:val="007545E3"/>
    <w:rsid w:val="00754845"/>
    <w:rsid w:val="00755178"/>
    <w:rsid w:val="00755570"/>
    <w:rsid w:val="007559A3"/>
    <w:rsid w:val="00755FF4"/>
    <w:rsid w:val="00756786"/>
    <w:rsid w:val="00756846"/>
    <w:rsid w:val="007568E8"/>
    <w:rsid w:val="00756B10"/>
    <w:rsid w:val="00756E32"/>
    <w:rsid w:val="007573F5"/>
    <w:rsid w:val="00757B9E"/>
    <w:rsid w:val="00760535"/>
    <w:rsid w:val="00760712"/>
    <w:rsid w:val="0076093B"/>
    <w:rsid w:val="0076121E"/>
    <w:rsid w:val="00761514"/>
    <w:rsid w:val="00761B6D"/>
    <w:rsid w:val="00762175"/>
    <w:rsid w:val="00762A6D"/>
    <w:rsid w:val="00762B9C"/>
    <w:rsid w:val="00762E0E"/>
    <w:rsid w:val="00762EA7"/>
    <w:rsid w:val="00763189"/>
    <w:rsid w:val="00763334"/>
    <w:rsid w:val="0076338F"/>
    <w:rsid w:val="00763F19"/>
    <w:rsid w:val="007646DC"/>
    <w:rsid w:val="00764A17"/>
    <w:rsid w:val="00764BE2"/>
    <w:rsid w:val="00764CB3"/>
    <w:rsid w:val="0076500B"/>
    <w:rsid w:val="00765F06"/>
    <w:rsid w:val="00765F60"/>
    <w:rsid w:val="0076614D"/>
    <w:rsid w:val="0076625F"/>
    <w:rsid w:val="00766537"/>
    <w:rsid w:val="0076684B"/>
    <w:rsid w:val="00767124"/>
    <w:rsid w:val="00767A8B"/>
    <w:rsid w:val="00767B2F"/>
    <w:rsid w:val="00767CA0"/>
    <w:rsid w:val="00767EEC"/>
    <w:rsid w:val="0077187E"/>
    <w:rsid w:val="00772B12"/>
    <w:rsid w:val="00773180"/>
    <w:rsid w:val="00773929"/>
    <w:rsid w:val="00773D35"/>
    <w:rsid w:val="00773EAF"/>
    <w:rsid w:val="00774DC4"/>
    <w:rsid w:val="0077543E"/>
    <w:rsid w:val="0077550C"/>
    <w:rsid w:val="00775880"/>
    <w:rsid w:val="00775935"/>
    <w:rsid w:val="00775974"/>
    <w:rsid w:val="00775E1A"/>
    <w:rsid w:val="007760C7"/>
    <w:rsid w:val="00776222"/>
    <w:rsid w:val="007766FB"/>
    <w:rsid w:val="007769DA"/>
    <w:rsid w:val="00776AE0"/>
    <w:rsid w:val="00776C0D"/>
    <w:rsid w:val="00777278"/>
    <w:rsid w:val="007774DA"/>
    <w:rsid w:val="007775EC"/>
    <w:rsid w:val="00777ED7"/>
    <w:rsid w:val="00780196"/>
    <w:rsid w:val="007802AE"/>
    <w:rsid w:val="0078133B"/>
    <w:rsid w:val="0078172B"/>
    <w:rsid w:val="0078177A"/>
    <w:rsid w:val="00781F3C"/>
    <w:rsid w:val="0078214B"/>
    <w:rsid w:val="007828A6"/>
    <w:rsid w:val="00782F74"/>
    <w:rsid w:val="00783CBF"/>
    <w:rsid w:val="00783FB4"/>
    <w:rsid w:val="00784274"/>
    <w:rsid w:val="007843D8"/>
    <w:rsid w:val="0078518A"/>
    <w:rsid w:val="007852F4"/>
    <w:rsid w:val="00785690"/>
    <w:rsid w:val="0078579C"/>
    <w:rsid w:val="007874CE"/>
    <w:rsid w:val="00787674"/>
    <w:rsid w:val="0078774E"/>
    <w:rsid w:val="0079032E"/>
    <w:rsid w:val="00790358"/>
    <w:rsid w:val="0079093E"/>
    <w:rsid w:val="00790DA5"/>
    <w:rsid w:val="007912C8"/>
    <w:rsid w:val="00792EBB"/>
    <w:rsid w:val="00792F14"/>
    <w:rsid w:val="00792F15"/>
    <w:rsid w:val="0079333C"/>
    <w:rsid w:val="00793D51"/>
    <w:rsid w:val="00794736"/>
    <w:rsid w:val="00794970"/>
    <w:rsid w:val="00794E5D"/>
    <w:rsid w:val="00795430"/>
    <w:rsid w:val="007962B3"/>
    <w:rsid w:val="00796595"/>
    <w:rsid w:val="007972FF"/>
    <w:rsid w:val="007977F8"/>
    <w:rsid w:val="00797C97"/>
    <w:rsid w:val="00797FB7"/>
    <w:rsid w:val="007A08AA"/>
    <w:rsid w:val="007A0A8A"/>
    <w:rsid w:val="007A0DB0"/>
    <w:rsid w:val="007A0E14"/>
    <w:rsid w:val="007A1202"/>
    <w:rsid w:val="007A143E"/>
    <w:rsid w:val="007A14BF"/>
    <w:rsid w:val="007A1C2F"/>
    <w:rsid w:val="007A1E78"/>
    <w:rsid w:val="007A211F"/>
    <w:rsid w:val="007A34FD"/>
    <w:rsid w:val="007A3A8F"/>
    <w:rsid w:val="007A3B3B"/>
    <w:rsid w:val="007A4127"/>
    <w:rsid w:val="007A4250"/>
    <w:rsid w:val="007A4402"/>
    <w:rsid w:val="007A44B2"/>
    <w:rsid w:val="007A484A"/>
    <w:rsid w:val="007A4CE0"/>
    <w:rsid w:val="007A515D"/>
    <w:rsid w:val="007A54EA"/>
    <w:rsid w:val="007A558E"/>
    <w:rsid w:val="007A7829"/>
    <w:rsid w:val="007A7A5B"/>
    <w:rsid w:val="007B0A53"/>
    <w:rsid w:val="007B0C46"/>
    <w:rsid w:val="007B102C"/>
    <w:rsid w:val="007B1480"/>
    <w:rsid w:val="007B1965"/>
    <w:rsid w:val="007B215F"/>
    <w:rsid w:val="007B273E"/>
    <w:rsid w:val="007B2DB0"/>
    <w:rsid w:val="007B3419"/>
    <w:rsid w:val="007B35BC"/>
    <w:rsid w:val="007B4773"/>
    <w:rsid w:val="007B486D"/>
    <w:rsid w:val="007B4BE0"/>
    <w:rsid w:val="007B4C71"/>
    <w:rsid w:val="007B517D"/>
    <w:rsid w:val="007B5463"/>
    <w:rsid w:val="007B5549"/>
    <w:rsid w:val="007B6104"/>
    <w:rsid w:val="007B6D19"/>
    <w:rsid w:val="007B6D45"/>
    <w:rsid w:val="007B749F"/>
    <w:rsid w:val="007B7FFE"/>
    <w:rsid w:val="007C08F2"/>
    <w:rsid w:val="007C192D"/>
    <w:rsid w:val="007C2819"/>
    <w:rsid w:val="007C29BF"/>
    <w:rsid w:val="007C2DA4"/>
    <w:rsid w:val="007C3531"/>
    <w:rsid w:val="007C3873"/>
    <w:rsid w:val="007C3938"/>
    <w:rsid w:val="007C394E"/>
    <w:rsid w:val="007C3B25"/>
    <w:rsid w:val="007C3C42"/>
    <w:rsid w:val="007C46DF"/>
    <w:rsid w:val="007C49D0"/>
    <w:rsid w:val="007C49F1"/>
    <w:rsid w:val="007C4C45"/>
    <w:rsid w:val="007C4D63"/>
    <w:rsid w:val="007C514B"/>
    <w:rsid w:val="007C5A6A"/>
    <w:rsid w:val="007C6244"/>
    <w:rsid w:val="007C6284"/>
    <w:rsid w:val="007C65D0"/>
    <w:rsid w:val="007C68BF"/>
    <w:rsid w:val="007C6DF6"/>
    <w:rsid w:val="007C7281"/>
    <w:rsid w:val="007C7489"/>
    <w:rsid w:val="007C74E2"/>
    <w:rsid w:val="007C75E9"/>
    <w:rsid w:val="007C776D"/>
    <w:rsid w:val="007C7929"/>
    <w:rsid w:val="007C7D04"/>
    <w:rsid w:val="007D014D"/>
    <w:rsid w:val="007D0E1E"/>
    <w:rsid w:val="007D1760"/>
    <w:rsid w:val="007D1DB1"/>
    <w:rsid w:val="007D422C"/>
    <w:rsid w:val="007D52C6"/>
    <w:rsid w:val="007D5351"/>
    <w:rsid w:val="007D589C"/>
    <w:rsid w:val="007D5B44"/>
    <w:rsid w:val="007D644B"/>
    <w:rsid w:val="007D7132"/>
    <w:rsid w:val="007D7B91"/>
    <w:rsid w:val="007D7DA0"/>
    <w:rsid w:val="007D7DD4"/>
    <w:rsid w:val="007D7F1A"/>
    <w:rsid w:val="007E0A55"/>
    <w:rsid w:val="007E0E1E"/>
    <w:rsid w:val="007E1439"/>
    <w:rsid w:val="007E1626"/>
    <w:rsid w:val="007E209C"/>
    <w:rsid w:val="007E2813"/>
    <w:rsid w:val="007E2B80"/>
    <w:rsid w:val="007E2C55"/>
    <w:rsid w:val="007E31D8"/>
    <w:rsid w:val="007E344B"/>
    <w:rsid w:val="007E348A"/>
    <w:rsid w:val="007E37BA"/>
    <w:rsid w:val="007E3DE5"/>
    <w:rsid w:val="007E4328"/>
    <w:rsid w:val="007E4572"/>
    <w:rsid w:val="007E4B26"/>
    <w:rsid w:val="007E4C25"/>
    <w:rsid w:val="007E4F84"/>
    <w:rsid w:val="007E507E"/>
    <w:rsid w:val="007E50A2"/>
    <w:rsid w:val="007E5155"/>
    <w:rsid w:val="007E52D7"/>
    <w:rsid w:val="007E5645"/>
    <w:rsid w:val="007E5AE5"/>
    <w:rsid w:val="007E5B04"/>
    <w:rsid w:val="007E5DB3"/>
    <w:rsid w:val="007E5E8E"/>
    <w:rsid w:val="007E6C11"/>
    <w:rsid w:val="007F0113"/>
    <w:rsid w:val="007F02BE"/>
    <w:rsid w:val="007F031B"/>
    <w:rsid w:val="007F0469"/>
    <w:rsid w:val="007F152E"/>
    <w:rsid w:val="007F1723"/>
    <w:rsid w:val="007F1B88"/>
    <w:rsid w:val="007F2229"/>
    <w:rsid w:val="007F2C44"/>
    <w:rsid w:val="007F2CCF"/>
    <w:rsid w:val="007F3437"/>
    <w:rsid w:val="007F38F1"/>
    <w:rsid w:val="007F3C60"/>
    <w:rsid w:val="007F4345"/>
    <w:rsid w:val="007F436A"/>
    <w:rsid w:val="007F4B89"/>
    <w:rsid w:val="007F4E64"/>
    <w:rsid w:val="007F51CB"/>
    <w:rsid w:val="007F5460"/>
    <w:rsid w:val="007F5A74"/>
    <w:rsid w:val="007F5AFE"/>
    <w:rsid w:val="007F6922"/>
    <w:rsid w:val="007F6B0F"/>
    <w:rsid w:val="007F6F2D"/>
    <w:rsid w:val="007F755C"/>
    <w:rsid w:val="007F762C"/>
    <w:rsid w:val="007F7B1F"/>
    <w:rsid w:val="007F7C98"/>
    <w:rsid w:val="00800AF3"/>
    <w:rsid w:val="00800BF4"/>
    <w:rsid w:val="00800C66"/>
    <w:rsid w:val="00802860"/>
    <w:rsid w:val="00802A8F"/>
    <w:rsid w:val="00802B76"/>
    <w:rsid w:val="00802EC2"/>
    <w:rsid w:val="00802F14"/>
    <w:rsid w:val="008032F0"/>
    <w:rsid w:val="0080373A"/>
    <w:rsid w:val="0080374C"/>
    <w:rsid w:val="00804000"/>
    <w:rsid w:val="008042F3"/>
    <w:rsid w:val="008043FB"/>
    <w:rsid w:val="00805177"/>
    <w:rsid w:val="008052DC"/>
    <w:rsid w:val="008059F0"/>
    <w:rsid w:val="00805B14"/>
    <w:rsid w:val="00806162"/>
    <w:rsid w:val="00806A66"/>
    <w:rsid w:val="0080777B"/>
    <w:rsid w:val="0080796D"/>
    <w:rsid w:val="00807FCB"/>
    <w:rsid w:val="00810B04"/>
    <w:rsid w:val="00810D68"/>
    <w:rsid w:val="00811039"/>
    <w:rsid w:val="008121BA"/>
    <w:rsid w:val="00813DB8"/>
    <w:rsid w:val="008148B4"/>
    <w:rsid w:val="0081591D"/>
    <w:rsid w:val="008165F6"/>
    <w:rsid w:val="008166EA"/>
    <w:rsid w:val="008168FC"/>
    <w:rsid w:val="0081723E"/>
    <w:rsid w:val="0081736D"/>
    <w:rsid w:val="00817A9B"/>
    <w:rsid w:val="00817C17"/>
    <w:rsid w:val="00817CEA"/>
    <w:rsid w:val="00820405"/>
    <w:rsid w:val="008204C3"/>
    <w:rsid w:val="0082066E"/>
    <w:rsid w:val="0082096A"/>
    <w:rsid w:val="00820AC9"/>
    <w:rsid w:val="00821089"/>
    <w:rsid w:val="008215F5"/>
    <w:rsid w:val="00821A4B"/>
    <w:rsid w:val="00821FCB"/>
    <w:rsid w:val="0082221C"/>
    <w:rsid w:val="0082254D"/>
    <w:rsid w:val="00822C61"/>
    <w:rsid w:val="00823658"/>
    <w:rsid w:val="00823989"/>
    <w:rsid w:val="008240BC"/>
    <w:rsid w:val="008240CF"/>
    <w:rsid w:val="0082424D"/>
    <w:rsid w:val="0082484A"/>
    <w:rsid w:val="00824EA4"/>
    <w:rsid w:val="00825182"/>
    <w:rsid w:val="00825E42"/>
    <w:rsid w:val="008264E5"/>
    <w:rsid w:val="00826770"/>
    <w:rsid w:val="008268D8"/>
    <w:rsid w:val="00826C67"/>
    <w:rsid w:val="008270B0"/>
    <w:rsid w:val="008271B1"/>
    <w:rsid w:val="008305AD"/>
    <w:rsid w:val="008309BD"/>
    <w:rsid w:val="00830BBD"/>
    <w:rsid w:val="00830DFB"/>
    <w:rsid w:val="0083154E"/>
    <w:rsid w:val="008316C6"/>
    <w:rsid w:val="00832060"/>
    <w:rsid w:val="008326D6"/>
    <w:rsid w:val="00832AC0"/>
    <w:rsid w:val="008331EA"/>
    <w:rsid w:val="008337D6"/>
    <w:rsid w:val="00833AE3"/>
    <w:rsid w:val="00833F8B"/>
    <w:rsid w:val="00834006"/>
    <w:rsid w:val="00834597"/>
    <w:rsid w:val="00834FDA"/>
    <w:rsid w:val="00835BF8"/>
    <w:rsid w:val="0083694E"/>
    <w:rsid w:val="00836D39"/>
    <w:rsid w:val="0084056A"/>
    <w:rsid w:val="00840901"/>
    <w:rsid w:val="00840B54"/>
    <w:rsid w:val="00841261"/>
    <w:rsid w:val="00841A8D"/>
    <w:rsid w:val="0084211B"/>
    <w:rsid w:val="00842411"/>
    <w:rsid w:val="00842422"/>
    <w:rsid w:val="00842B2E"/>
    <w:rsid w:val="00842EE1"/>
    <w:rsid w:val="00843D5C"/>
    <w:rsid w:val="0084456E"/>
    <w:rsid w:val="00844A5B"/>
    <w:rsid w:val="00845044"/>
    <w:rsid w:val="008461B6"/>
    <w:rsid w:val="008461BE"/>
    <w:rsid w:val="008462D9"/>
    <w:rsid w:val="008463ED"/>
    <w:rsid w:val="00846755"/>
    <w:rsid w:val="00847246"/>
    <w:rsid w:val="00847301"/>
    <w:rsid w:val="008501AC"/>
    <w:rsid w:val="00850F38"/>
    <w:rsid w:val="0085191A"/>
    <w:rsid w:val="00852BA8"/>
    <w:rsid w:val="00853A97"/>
    <w:rsid w:val="00853DEF"/>
    <w:rsid w:val="00853E42"/>
    <w:rsid w:val="008542CA"/>
    <w:rsid w:val="00855942"/>
    <w:rsid w:val="00856333"/>
    <w:rsid w:val="00856E65"/>
    <w:rsid w:val="00857000"/>
    <w:rsid w:val="0085759C"/>
    <w:rsid w:val="008575DB"/>
    <w:rsid w:val="0085791F"/>
    <w:rsid w:val="00857F40"/>
    <w:rsid w:val="00860F0C"/>
    <w:rsid w:val="0086122D"/>
    <w:rsid w:val="0086124D"/>
    <w:rsid w:val="008613E5"/>
    <w:rsid w:val="00861779"/>
    <w:rsid w:val="00862C19"/>
    <w:rsid w:val="008632B9"/>
    <w:rsid w:val="0086368C"/>
    <w:rsid w:val="00863FDA"/>
    <w:rsid w:val="00864066"/>
    <w:rsid w:val="00865720"/>
    <w:rsid w:val="00865826"/>
    <w:rsid w:val="00865ADA"/>
    <w:rsid w:val="0086675F"/>
    <w:rsid w:val="00866B9F"/>
    <w:rsid w:val="00866F3C"/>
    <w:rsid w:val="00867130"/>
    <w:rsid w:val="008673B1"/>
    <w:rsid w:val="00867D05"/>
    <w:rsid w:val="008700BB"/>
    <w:rsid w:val="0087067A"/>
    <w:rsid w:val="00870DCF"/>
    <w:rsid w:val="00871F50"/>
    <w:rsid w:val="00871F91"/>
    <w:rsid w:val="008721F8"/>
    <w:rsid w:val="008725AB"/>
    <w:rsid w:val="00872610"/>
    <w:rsid w:val="0087263C"/>
    <w:rsid w:val="0087270C"/>
    <w:rsid w:val="0087288F"/>
    <w:rsid w:val="00872BEB"/>
    <w:rsid w:val="008733D6"/>
    <w:rsid w:val="0087378E"/>
    <w:rsid w:val="008739A5"/>
    <w:rsid w:val="008739E1"/>
    <w:rsid w:val="00874778"/>
    <w:rsid w:val="008749B4"/>
    <w:rsid w:val="00874CD5"/>
    <w:rsid w:val="00874F9A"/>
    <w:rsid w:val="00875D5C"/>
    <w:rsid w:val="008763B8"/>
    <w:rsid w:val="00876E45"/>
    <w:rsid w:val="00876E84"/>
    <w:rsid w:val="00877048"/>
    <w:rsid w:val="008774A1"/>
    <w:rsid w:val="008800C6"/>
    <w:rsid w:val="00880A70"/>
    <w:rsid w:val="008812AE"/>
    <w:rsid w:val="008813B6"/>
    <w:rsid w:val="008813E1"/>
    <w:rsid w:val="00881F48"/>
    <w:rsid w:val="00882CD4"/>
    <w:rsid w:val="00882FE7"/>
    <w:rsid w:val="008833D7"/>
    <w:rsid w:val="00884554"/>
    <w:rsid w:val="00884582"/>
    <w:rsid w:val="00884B08"/>
    <w:rsid w:val="00884C30"/>
    <w:rsid w:val="00884E05"/>
    <w:rsid w:val="00885C25"/>
    <w:rsid w:val="00885F48"/>
    <w:rsid w:val="00886020"/>
    <w:rsid w:val="00886B24"/>
    <w:rsid w:val="008870E7"/>
    <w:rsid w:val="008877E1"/>
    <w:rsid w:val="00887CB7"/>
    <w:rsid w:val="00887D24"/>
    <w:rsid w:val="00890975"/>
    <w:rsid w:val="0089165A"/>
    <w:rsid w:val="00891DAD"/>
    <w:rsid w:val="00891FF9"/>
    <w:rsid w:val="0089211F"/>
    <w:rsid w:val="0089270E"/>
    <w:rsid w:val="00892BF0"/>
    <w:rsid w:val="008934CE"/>
    <w:rsid w:val="00894BAB"/>
    <w:rsid w:val="0089533F"/>
    <w:rsid w:val="008963A1"/>
    <w:rsid w:val="00896D30"/>
    <w:rsid w:val="00896FC4"/>
    <w:rsid w:val="008973B4"/>
    <w:rsid w:val="00897968"/>
    <w:rsid w:val="008A02E5"/>
    <w:rsid w:val="008A0C8D"/>
    <w:rsid w:val="008A1815"/>
    <w:rsid w:val="008A1FCD"/>
    <w:rsid w:val="008A23C4"/>
    <w:rsid w:val="008A2A0E"/>
    <w:rsid w:val="008A2B18"/>
    <w:rsid w:val="008A31FD"/>
    <w:rsid w:val="008A3370"/>
    <w:rsid w:val="008A3788"/>
    <w:rsid w:val="008A4384"/>
    <w:rsid w:val="008A4500"/>
    <w:rsid w:val="008A4785"/>
    <w:rsid w:val="008A48D1"/>
    <w:rsid w:val="008A4E18"/>
    <w:rsid w:val="008A55B7"/>
    <w:rsid w:val="008A576B"/>
    <w:rsid w:val="008A57F2"/>
    <w:rsid w:val="008A5A36"/>
    <w:rsid w:val="008A5AE1"/>
    <w:rsid w:val="008A647F"/>
    <w:rsid w:val="008A7534"/>
    <w:rsid w:val="008A7998"/>
    <w:rsid w:val="008A7BBB"/>
    <w:rsid w:val="008B08DD"/>
    <w:rsid w:val="008B13AB"/>
    <w:rsid w:val="008B1F41"/>
    <w:rsid w:val="008B2554"/>
    <w:rsid w:val="008B257A"/>
    <w:rsid w:val="008B2798"/>
    <w:rsid w:val="008B27D6"/>
    <w:rsid w:val="008B28C9"/>
    <w:rsid w:val="008B315E"/>
    <w:rsid w:val="008B339B"/>
    <w:rsid w:val="008B3638"/>
    <w:rsid w:val="008B3E49"/>
    <w:rsid w:val="008B3F81"/>
    <w:rsid w:val="008B453D"/>
    <w:rsid w:val="008B4B9A"/>
    <w:rsid w:val="008B512D"/>
    <w:rsid w:val="008B52D7"/>
    <w:rsid w:val="008B5577"/>
    <w:rsid w:val="008B5909"/>
    <w:rsid w:val="008B6AAA"/>
    <w:rsid w:val="008B6C48"/>
    <w:rsid w:val="008B7149"/>
    <w:rsid w:val="008B77EB"/>
    <w:rsid w:val="008B7CD8"/>
    <w:rsid w:val="008B7F78"/>
    <w:rsid w:val="008C042F"/>
    <w:rsid w:val="008C0C56"/>
    <w:rsid w:val="008C0EA8"/>
    <w:rsid w:val="008C1295"/>
    <w:rsid w:val="008C1CCE"/>
    <w:rsid w:val="008C1E0E"/>
    <w:rsid w:val="008C1EBD"/>
    <w:rsid w:val="008C2B6B"/>
    <w:rsid w:val="008C2BF9"/>
    <w:rsid w:val="008C2BFB"/>
    <w:rsid w:val="008C2F55"/>
    <w:rsid w:val="008C30D1"/>
    <w:rsid w:val="008C3933"/>
    <w:rsid w:val="008C3D70"/>
    <w:rsid w:val="008C4188"/>
    <w:rsid w:val="008C4690"/>
    <w:rsid w:val="008C4AF9"/>
    <w:rsid w:val="008C4F03"/>
    <w:rsid w:val="008C4F6F"/>
    <w:rsid w:val="008C505A"/>
    <w:rsid w:val="008C5624"/>
    <w:rsid w:val="008C56C2"/>
    <w:rsid w:val="008C59E2"/>
    <w:rsid w:val="008C5D8B"/>
    <w:rsid w:val="008C675D"/>
    <w:rsid w:val="008C68C8"/>
    <w:rsid w:val="008C7BD6"/>
    <w:rsid w:val="008D0221"/>
    <w:rsid w:val="008D0232"/>
    <w:rsid w:val="008D079F"/>
    <w:rsid w:val="008D1288"/>
    <w:rsid w:val="008D14D6"/>
    <w:rsid w:val="008D212E"/>
    <w:rsid w:val="008D24D6"/>
    <w:rsid w:val="008D25DB"/>
    <w:rsid w:val="008D34CB"/>
    <w:rsid w:val="008D3C4D"/>
    <w:rsid w:val="008D4D68"/>
    <w:rsid w:val="008D507C"/>
    <w:rsid w:val="008D5282"/>
    <w:rsid w:val="008D62BE"/>
    <w:rsid w:val="008D62CA"/>
    <w:rsid w:val="008D63FF"/>
    <w:rsid w:val="008D65E3"/>
    <w:rsid w:val="008D66FC"/>
    <w:rsid w:val="008D6D12"/>
    <w:rsid w:val="008D7DE8"/>
    <w:rsid w:val="008D7F13"/>
    <w:rsid w:val="008E00FA"/>
    <w:rsid w:val="008E0588"/>
    <w:rsid w:val="008E0A3F"/>
    <w:rsid w:val="008E0BF9"/>
    <w:rsid w:val="008E0F61"/>
    <w:rsid w:val="008E0F6A"/>
    <w:rsid w:val="008E0FDF"/>
    <w:rsid w:val="008E115D"/>
    <w:rsid w:val="008E207D"/>
    <w:rsid w:val="008E2367"/>
    <w:rsid w:val="008E29A3"/>
    <w:rsid w:val="008E303E"/>
    <w:rsid w:val="008E3723"/>
    <w:rsid w:val="008E38D9"/>
    <w:rsid w:val="008E3B31"/>
    <w:rsid w:val="008E3E1E"/>
    <w:rsid w:val="008E415E"/>
    <w:rsid w:val="008E4245"/>
    <w:rsid w:val="008E45E8"/>
    <w:rsid w:val="008E4CC4"/>
    <w:rsid w:val="008E4D00"/>
    <w:rsid w:val="008E5008"/>
    <w:rsid w:val="008E5305"/>
    <w:rsid w:val="008E5AD4"/>
    <w:rsid w:val="008E6303"/>
    <w:rsid w:val="008E6ADA"/>
    <w:rsid w:val="008E6DCA"/>
    <w:rsid w:val="008E6F27"/>
    <w:rsid w:val="008E71D6"/>
    <w:rsid w:val="008E71D9"/>
    <w:rsid w:val="008F0074"/>
    <w:rsid w:val="008F0178"/>
    <w:rsid w:val="008F09E3"/>
    <w:rsid w:val="008F1AF9"/>
    <w:rsid w:val="008F1B95"/>
    <w:rsid w:val="008F1F30"/>
    <w:rsid w:val="008F27AA"/>
    <w:rsid w:val="008F2F47"/>
    <w:rsid w:val="008F3C0F"/>
    <w:rsid w:val="008F3E98"/>
    <w:rsid w:val="008F41DB"/>
    <w:rsid w:val="008F4280"/>
    <w:rsid w:val="008F45F5"/>
    <w:rsid w:val="008F4962"/>
    <w:rsid w:val="008F5355"/>
    <w:rsid w:val="008F54EA"/>
    <w:rsid w:val="008F5F37"/>
    <w:rsid w:val="008F6791"/>
    <w:rsid w:val="008F7320"/>
    <w:rsid w:val="00900BCF"/>
    <w:rsid w:val="00900E4D"/>
    <w:rsid w:val="00900ED7"/>
    <w:rsid w:val="00901396"/>
    <w:rsid w:val="0090248F"/>
    <w:rsid w:val="00902A0E"/>
    <w:rsid w:val="00902C6B"/>
    <w:rsid w:val="00902C81"/>
    <w:rsid w:val="00903357"/>
    <w:rsid w:val="00903625"/>
    <w:rsid w:val="00903754"/>
    <w:rsid w:val="00903B18"/>
    <w:rsid w:val="00903FD8"/>
    <w:rsid w:val="00904071"/>
    <w:rsid w:val="0090429E"/>
    <w:rsid w:val="00904CF8"/>
    <w:rsid w:val="00905367"/>
    <w:rsid w:val="009057F5"/>
    <w:rsid w:val="00906776"/>
    <w:rsid w:val="0090720A"/>
    <w:rsid w:val="009078FA"/>
    <w:rsid w:val="00907B19"/>
    <w:rsid w:val="00907B2E"/>
    <w:rsid w:val="009102B1"/>
    <w:rsid w:val="00911068"/>
    <w:rsid w:val="00911BFA"/>
    <w:rsid w:val="00912163"/>
    <w:rsid w:val="00912306"/>
    <w:rsid w:val="00912C42"/>
    <w:rsid w:val="009133FB"/>
    <w:rsid w:val="00913580"/>
    <w:rsid w:val="009135E7"/>
    <w:rsid w:val="00913766"/>
    <w:rsid w:val="0091376B"/>
    <w:rsid w:val="009137F2"/>
    <w:rsid w:val="00913B69"/>
    <w:rsid w:val="009140FD"/>
    <w:rsid w:val="00914400"/>
    <w:rsid w:val="00914F4D"/>
    <w:rsid w:val="009151DE"/>
    <w:rsid w:val="0091655D"/>
    <w:rsid w:val="0091658B"/>
    <w:rsid w:val="0091735F"/>
    <w:rsid w:val="009174C3"/>
    <w:rsid w:val="00921740"/>
    <w:rsid w:val="00921E8B"/>
    <w:rsid w:val="009224CA"/>
    <w:rsid w:val="009227CD"/>
    <w:rsid w:val="009234A8"/>
    <w:rsid w:val="0092365C"/>
    <w:rsid w:val="0092397F"/>
    <w:rsid w:val="00923DEF"/>
    <w:rsid w:val="00924151"/>
    <w:rsid w:val="0092482C"/>
    <w:rsid w:val="00924C78"/>
    <w:rsid w:val="00924EF7"/>
    <w:rsid w:val="00925183"/>
    <w:rsid w:val="00925A53"/>
    <w:rsid w:val="00926595"/>
    <w:rsid w:val="00927056"/>
    <w:rsid w:val="00927719"/>
    <w:rsid w:val="00927B5E"/>
    <w:rsid w:val="0093011A"/>
    <w:rsid w:val="009301A1"/>
    <w:rsid w:val="009302E0"/>
    <w:rsid w:val="009314D4"/>
    <w:rsid w:val="009319CA"/>
    <w:rsid w:val="009320EF"/>
    <w:rsid w:val="00932137"/>
    <w:rsid w:val="0093255A"/>
    <w:rsid w:val="009337B4"/>
    <w:rsid w:val="00933A28"/>
    <w:rsid w:val="00933C41"/>
    <w:rsid w:val="00934056"/>
    <w:rsid w:val="00934ADB"/>
    <w:rsid w:val="009352E2"/>
    <w:rsid w:val="00935774"/>
    <w:rsid w:val="009370D2"/>
    <w:rsid w:val="009377EC"/>
    <w:rsid w:val="009378B2"/>
    <w:rsid w:val="00937AEB"/>
    <w:rsid w:val="00937C30"/>
    <w:rsid w:val="00937D80"/>
    <w:rsid w:val="00940A8C"/>
    <w:rsid w:val="00941067"/>
    <w:rsid w:val="009417FE"/>
    <w:rsid w:val="00941BF6"/>
    <w:rsid w:val="00941D11"/>
    <w:rsid w:val="009420D0"/>
    <w:rsid w:val="009421E2"/>
    <w:rsid w:val="0094265F"/>
    <w:rsid w:val="00942E86"/>
    <w:rsid w:val="00944893"/>
    <w:rsid w:val="00944BD5"/>
    <w:rsid w:val="00944BD9"/>
    <w:rsid w:val="00944BED"/>
    <w:rsid w:val="00944C34"/>
    <w:rsid w:val="0094570D"/>
    <w:rsid w:val="00945D90"/>
    <w:rsid w:val="00946B72"/>
    <w:rsid w:val="00946B99"/>
    <w:rsid w:val="00946FAD"/>
    <w:rsid w:val="00947549"/>
    <w:rsid w:val="00947AAE"/>
    <w:rsid w:val="00947E9A"/>
    <w:rsid w:val="00950198"/>
    <w:rsid w:val="0095037E"/>
    <w:rsid w:val="00950CB3"/>
    <w:rsid w:val="00951027"/>
    <w:rsid w:val="009516CE"/>
    <w:rsid w:val="00951DDD"/>
    <w:rsid w:val="009523B0"/>
    <w:rsid w:val="00952DAC"/>
    <w:rsid w:val="00953140"/>
    <w:rsid w:val="00953867"/>
    <w:rsid w:val="00953BE2"/>
    <w:rsid w:val="00954191"/>
    <w:rsid w:val="00954C64"/>
    <w:rsid w:val="0095526E"/>
    <w:rsid w:val="00955711"/>
    <w:rsid w:val="00956586"/>
    <w:rsid w:val="009566E7"/>
    <w:rsid w:val="0095696F"/>
    <w:rsid w:val="009571D7"/>
    <w:rsid w:val="0096076D"/>
    <w:rsid w:val="00960AC2"/>
    <w:rsid w:val="00960AD2"/>
    <w:rsid w:val="00961644"/>
    <w:rsid w:val="0096196E"/>
    <w:rsid w:val="00961B2E"/>
    <w:rsid w:val="00962898"/>
    <w:rsid w:val="00962ED7"/>
    <w:rsid w:val="0096342D"/>
    <w:rsid w:val="00963FC2"/>
    <w:rsid w:val="009642EC"/>
    <w:rsid w:val="0096431C"/>
    <w:rsid w:val="00964901"/>
    <w:rsid w:val="00965A4B"/>
    <w:rsid w:val="00965DC9"/>
    <w:rsid w:val="00965F51"/>
    <w:rsid w:val="00966830"/>
    <w:rsid w:val="00966DBD"/>
    <w:rsid w:val="00967CF8"/>
    <w:rsid w:val="00967FFE"/>
    <w:rsid w:val="00970832"/>
    <w:rsid w:val="00970891"/>
    <w:rsid w:val="0097096A"/>
    <w:rsid w:val="00971645"/>
    <w:rsid w:val="00972488"/>
    <w:rsid w:val="009726B8"/>
    <w:rsid w:val="009730DE"/>
    <w:rsid w:val="00973228"/>
    <w:rsid w:val="009738AF"/>
    <w:rsid w:val="00974052"/>
    <w:rsid w:val="009741F0"/>
    <w:rsid w:val="00974245"/>
    <w:rsid w:val="00974ACD"/>
    <w:rsid w:val="00974ECC"/>
    <w:rsid w:val="00974F63"/>
    <w:rsid w:val="00975629"/>
    <w:rsid w:val="0097574B"/>
    <w:rsid w:val="00975E52"/>
    <w:rsid w:val="00975F39"/>
    <w:rsid w:val="00976338"/>
    <w:rsid w:val="00976745"/>
    <w:rsid w:val="0097696E"/>
    <w:rsid w:val="00976DF9"/>
    <w:rsid w:val="009772D8"/>
    <w:rsid w:val="009772FD"/>
    <w:rsid w:val="00977557"/>
    <w:rsid w:val="00977625"/>
    <w:rsid w:val="00977972"/>
    <w:rsid w:val="009807E8"/>
    <w:rsid w:val="00980CF7"/>
    <w:rsid w:val="00980FC2"/>
    <w:rsid w:val="00981572"/>
    <w:rsid w:val="00981C5C"/>
    <w:rsid w:val="009820A6"/>
    <w:rsid w:val="00982180"/>
    <w:rsid w:val="00982352"/>
    <w:rsid w:val="00982517"/>
    <w:rsid w:val="009827A8"/>
    <w:rsid w:val="00983324"/>
    <w:rsid w:val="00983634"/>
    <w:rsid w:val="00984D74"/>
    <w:rsid w:val="00985A10"/>
    <w:rsid w:val="00986E3F"/>
    <w:rsid w:val="00986F89"/>
    <w:rsid w:val="0098737E"/>
    <w:rsid w:val="0098746E"/>
    <w:rsid w:val="00987E0E"/>
    <w:rsid w:val="0099026C"/>
    <w:rsid w:val="009902CA"/>
    <w:rsid w:val="00990319"/>
    <w:rsid w:val="00990AD7"/>
    <w:rsid w:val="00990FD9"/>
    <w:rsid w:val="00991513"/>
    <w:rsid w:val="00992A97"/>
    <w:rsid w:val="00992B20"/>
    <w:rsid w:val="009937DC"/>
    <w:rsid w:val="00993C9E"/>
    <w:rsid w:val="00993EED"/>
    <w:rsid w:val="00994153"/>
    <w:rsid w:val="0099441A"/>
    <w:rsid w:val="009946BD"/>
    <w:rsid w:val="00994C5C"/>
    <w:rsid w:val="00995814"/>
    <w:rsid w:val="00996D05"/>
    <w:rsid w:val="009970A4"/>
    <w:rsid w:val="00997146"/>
    <w:rsid w:val="00997218"/>
    <w:rsid w:val="009974AF"/>
    <w:rsid w:val="009A050C"/>
    <w:rsid w:val="009A12BD"/>
    <w:rsid w:val="009A1601"/>
    <w:rsid w:val="009A1806"/>
    <w:rsid w:val="009A189E"/>
    <w:rsid w:val="009A2B2A"/>
    <w:rsid w:val="009A2DCD"/>
    <w:rsid w:val="009A2DF2"/>
    <w:rsid w:val="009A33B1"/>
    <w:rsid w:val="009A3A01"/>
    <w:rsid w:val="009A3E2E"/>
    <w:rsid w:val="009A5409"/>
    <w:rsid w:val="009A5F21"/>
    <w:rsid w:val="009A6498"/>
    <w:rsid w:val="009A68B1"/>
    <w:rsid w:val="009A69F2"/>
    <w:rsid w:val="009A6B5C"/>
    <w:rsid w:val="009A6ED4"/>
    <w:rsid w:val="009A721D"/>
    <w:rsid w:val="009A7B81"/>
    <w:rsid w:val="009A7D99"/>
    <w:rsid w:val="009A7E19"/>
    <w:rsid w:val="009A7E9F"/>
    <w:rsid w:val="009B08C0"/>
    <w:rsid w:val="009B09B5"/>
    <w:rsid w:val="009B0B2A"/>
    <w:rsid w:val="009B13A6"/>
    <w:rsid w:val="009B1E45"/>
    <w:rsid w:val="009B26AC"/>
    <w:rsid w:val="009B26E9"/>
    <w:rsid w:val="009B2B62"/>
    <w:rsid w:val="009B2D1B"/>
    <w:rsid w:val="009B2D2A"/>
    <w:rsid w:val="009B3132"/>
    <w:rsid w:val="009B3250"/>
    <w:rsid w:val="009B3591"/>
    <w:rsid w:val="009B38CC"/>
    <w:rsid w:val="009B39DB"/>
    <w:rsid w:val="009B3E8A"/>
    <w:rsid w:val="009B4019"/>
    <w:rsid w:val="009B4181"/>
    <w:rsid w:val="009B41E2"/>
    <w:rsid w:val="009B4ECD"/>
    <w:rsid w:val="009B5079"/>
    <w:rsid w:val="009B5087"/>
    <w:rsid w:val="009B5126"/>
    <w:rsid w:val="009B5589"/>
    <w:rsid w:val="009B58C5"/>
    <w:rsid w:val="009B77DA"/>
    <w:rsid w:val="009B7A55"/>
    <w:rsid w:val="009C0556"/>
    <w:rsid w:val="009C0747"/>
    <w:rsid w:val="009C0A4D"/>
    <w:rsid w:val="009C0CEF"/>
    <w:rsid w:val="009C0FEE"/>
    <w:rsid w:val="009C1400"/>
    <w:rsid w:val="009C1B6A"/>
    <w:rsid w:val="009C2694"/>
    <w:rsid w:val="009C4333"/>
    <w:rsid w:val="009C44A2"/>
    <w:rsid w:val="009C4550"/>
    <w:rsid w:val="009C467B"/>
    <w:rsid w:val="009C49D2"/>
    <w:rsid w:val="009C4EE1"/>
    <w:rsid w:val="009C515C"/>
    <w:rsid w:val="009C53B5"/>
    <w:rsid w:val="009C544A"/>
    <w:rsid w:val="009C55EB"/>
    <w:rsid w:val="009C5AB7"/>
    <w:rsid w:val="009C63C5"/>
    <w:rsid w:val="009C6474"/>
    <w:rsid w:val="009C67D3"/>
    <w:rsid w:val="009C75CC"/>
    <w:rsid w:val="009D010C"/>
    <w:rsid w:val="009D0146"/>
    <w:rsid w:val="009D0607"/>
    <w:rsid w:val="009D11EA"/>
    <w:rsid w:val="009D1238"/>
    <w:rsid w:val="009D183D"/>
    <w:rsid w:val="009D1935"/>
    <w:rsid w:val="009D1A5A"/>
    <w:rsid w:val="009D1EDC"/>
    <w:rsid w:val="009D22A6"/>
    <w:rsid w:val="009D387A"/>
    <w:rsid w:val="009D38C6"/>
    <w:rsid w:val="009D3DF2"/>
    <w:rsid w:val="009D41FF"/>
    <w:rsid w:val="009D43D1"/>
    <w:rsid w:val="009D4A34"/>
    <w:rsid w:val="009D4C64"/>
    <w:rsid w:val="009D4CA4"/>
    <w:rsid w:val="009D4D05"/>
    <w:rsid w:val="009D4E8D"/>
    <w:rsid w:val="009D58F9"/>
    <w:rsid w:val="009D69D2"/>
    <w:rsid w:val="009D6A90"/>
    <w:rsid w:val="009D7F81"/>
    <w:rsid w:val="009E00E1"/>
    <w:rsid w:val="009E1143"/>
    <w:rsid w:val="009E1B64"/>
    <w:rsid w:val="009E1C4F"/>
    <w:rsid w:val="009E2069"/>
    <w:rsid w:val="009E2541"/>
    <w:rsid w:val="009E28BE"/>
    <w:rsid w:val="009E2FCC"/>
    <w:rsid w:val="009E3001"/>
    <w:rsid w:val="009E40F2"/>
    <w:rsid w:val="009E47E5"/>
    <w:rsid w:val="009E4B22"/>
    <w:rsid w:val="009E56AF"/>
    <w:rsid w:val="009E5F25"/>
    <w:rsid w:val="009E6188"/>
    <w:rsid w:val="009E6213"/>
    <w:rsid w:val="009E6245"/>
    <w:rsid w:val="009E6A1B"/>
    <w:rsid w:val="009E7C1D"/>
    <w:rsid w:val="009F0035"/>
    <w:rsid w:val="009F0542"/>
    <w:rsid w:val="009F0596"/>
    <w:rsid w:val="009F0BF0"/>
    <w:rsid w:val="009F25EC"/>
    <w:rsid w:val="009F2632"/>
    <w:rsid w:val="009F2987"/>
    <w:rsid w:val="009F2CF7"/>
    <w:rsid w:val="009F2EDF"/>
    <w:rsid w:val="009F3125"/>
    <w:rsid w:val="009F396B"/>
    <w:rsid w:val="009F461F"/>
    <w:rsid w:val="009F4B32"/>
    <w:rsid w:val="009F4C7A"/>
    <w:rsid w:val="009F5711"/>
    <w:rsid w:val="009F5EFD"/>
    <w:rsid w:val="009F64BA"/>
    <w:rsid w:val="009F6669"/>
    <w:rsid w:val="009F79F7"/>
    <w:rsid w:val="00A0085D"/>
    <w:rsid w:val="00A009B7"/>
    <w:rsid w:val="00A00D24"/>
    <w:rsid w:val="00A0131B"/>
    <w:rsid w:val="00A0166C"/>
    <w:rsid w:val="00A017DA"/>
    <w:rsid w:val="00A01A6D"/>
    <w:rsid w:val="00A01BEB"/>
    <w:rsid w:val="00A026D8"/>
    <w:rsid w:val="00A029ED"/>
    <w:rsid w:val="00A02F22"/>
    <w:rsid w:val="00A0319D"/>
    <w:rsid w:val="00A03311"/>
    <w:rsid w:val="00A03890"/>
    <w:rsid w:val="00A03BB7"/>
    <w:rsid w:val="00A03CD0"/>
    <w:rsid w:val="00A041D9"/>
    <w:rsid w:val="00A044BA"/>
    <w:rsid w:val="00A05068"/>
    <w:rsid w:val="00A050FB"/>
    <w:rsid w:val="00A0585B"/>
    <w:rsid w:val="00A060E2"/>
    <w:rsid w:val="00A06B54"/>
    <w:rsid w:val="00A076C9"/>
    <w:rsid w:val="00A07D57"/>
    <w:rsid w:val="00A07EC9"/>
    <w:rsid w:val="00A10728"/>
    <w:rsid w:val="00A107FF"/>
    <w:rsid w:val="00A10A57"/>
    <w:rsid w:val="00A10CE3"/>
    <w:rsid w:val="00A10D1F"/>
    <w:rsid w:val="00A117F0"/>
    <w:rsid w:val="00A11FAE"/>
    <w:rsid w:val="00A122B4"/>
    <w:rsid w:val="00A139D0"/>
    <w:rsid w:val="00A146CE"/>
    <w:rsid w:val="00A152C9"/>
    <w:rsid w:val="00A15630"/>
    <w:rsid w:val="00A15A26"/>
    <w:rsid w:val="00A15B9A"/>
    <w:rsid w:val="00A15CF2"/>
    <w:rsid w:val="00A16024"/>
    <w:rsid w:val="00A165F9"/>
    <w:rsid w:val="00A166E8"/>
    <w:rsid w:val="00A16CB2"/>
    <w:rsid w:val="00A16D01"/>
    <w:rsid w:val="00A1758B"/>
    <w:rsid w:val="00A17D86"/>
    <w:rsid w:val="00A17FC2"/>
    <w:rsid w:val="00A20380"/>
    <w:rsid w:val="00A2064F"/>
    <w:rsid w:val="00A2142B"/>
    <w:rsid w:val="00A2189F"/>
    <w:rsid w:val="00A22E18"/>
    <w:rsid w:val="00A236C6"/>
    <w:rsid w:val="00A23E00"/>
    <w:rsid w:val="00A24EEF"/>
    <w:rsid w:val="00A251E5"/>
    <w:rsid w:val="00A25243"/>
    <w:rsid w:val="00A259A2"/>
    <w:rsid w:val="00A25A8E"/>
    <w:rsid w:val="00A260D9"/>
    <w:rsid w:val="00A268E0"/>
    <w:rsid w:val="00A279C3"/>
    <w:rsid w:val="00A27B02"/>
    <w:rsid w:val="00A27D09"/>
    <w:rsid w:val="00A3014A"/>
    <w:rsid w:val="00A30EF2"/>
    <w:rsid w:val="00A3176F"/>
    <w:rsid w:val="00A31976"/>
    <w:rsid w:val="00A3248E"/>
    <w:rsid w:val="00A33131"/>
    <w:rsid w:val="00A33A20"/>
    <w:rsid w:val="00A34070"/>
    <w:rsid w:val="00A340F9"/>
    <w:rsid w:val="00A344A2"/>
    <w:rsid w:val="00A348E8"/>
    <w:rsid w:val="00A3518A"/>
    <w:rsid w:val="00A36332"/>
    <w:rsid w:val="00A36ED4"/>
    <w:rsid w:val="00A3758D"/>
    <w:rsid w:val="00A377A2"/>
    <w:rsid w:val="00A37CD6"/>
    <w:rsid w:val="00A40E2B"/>
    <w:rsid w:val="00A410CF"/>
    <w:rsid w:val="00A41131"/>
    <w:rsid w:val="00A413F1"/>
    <w:rsid w:val="00A4189D"/>
    <w:rsid w:val="00A418AE"/>
    <w:rsid w:val="00A41A32"/>
    <w:rsid w:val="00A42257"/>
    <w:rsid w:val="00A423E0"/>
    <w:rsid w:val="00A42638"/>
    <w:rsid w:val="00A42CC3"/>
    <w:rsid w:val="00A430A8"/>
    <w:rsid w:val="00A432D8"/>
    <w:rsid w:val="00A43809"/>
    <w:rsid w:val="00A439E3"/>
    <w:rsid w:val="00A43E0E"/>
    <w:rsid w:val="00A44B32"/>
    <w:rsid w:val="00A454FD"/>
    <w:rsid w:val="00A456E0"/>
    <w:rsid w:val="00A45D2B"/>
    <w:rsid w:val="00A46531"/>
    <w:rsid w:val="00A4745C"/>
    <w:rsid w:val="00A50673"/>
    <w:rsid w:val="00A50718"/>
    <w:rsid w:val="00A50A51"/>
    <w:rsid w:val="00A50CEC"/>
    <w:rsid w:val="00A5140E"/>
    <w:rsid w:val="00A51463"/>
    <w:rsid w:val="00A51936"/>
    <w:rsid w:val="00A520C4"/>
    <w:rsid w:val="00A52623"/>
    <w:rsid w:val="00A526DF"/>
    <w:rsid w:val="00A5284E"/>
    <w:rsid w:val="00A531B5"/>
    <w:rsid w:val="00A53BC7"/>
    <w:rsid w:val="00A53E32"/>
    <w:rsid w:val="00A53F97"/>
    <w:rsid w:val="00A542F8"/>
    <w:rsid w:val="00A54D58"/>
    <w:rsid w:val="00A55FF7"/>
    <w:rsid w:val="00A56CF2"/>
    <w:rsid w:val="00A5711B"/>
    <w:rsid w:val="00A57DBA"/>
    <w:rsid w:val="00A6019B"/>
    <w:rsid w:val="00A60A3A"/>
    <w:rsid w:val="00A60B2D"/>
    <w:rsid w:val="00A60F6A"/>
    <w:rsid w:val="00A6127E"/>
    <w:rsid w:val="00A618E4"/>
    <w:rsid w:val="00A61F9C"/>
    <w:rsid w:val="00A62311"/>
    <w:rsid w:val="00A623C5"/>
    <w:rsid w:val="00A6244D"/>
    <w:rsid w:val="00A6275B"/>
    <w:rsid w:val="00A62E32"/>
    <w:rsid w:val="00A62F84"/>
    <w:rsid w:val="00A630AF"/>
    <w:rsid w:val="00A638DB"/>
    <w:rsid w:val="00A63AD9"/>
    <w:rsid w:val="00A63ECE"/>
    <w:rsid w:val="00A6433E"/>
    <w:rsid w:val="00A648FA"/>
    <w:rsid w:val="00A64B00"/>
    <w:rsid w:val="00A64D54"/>
    <w:rsid w:val="00A65497"/>
    <w:rsid w:val="00A65527"/>
    <w:rsid w:val="00A65671"/>
    <w:rsid w:val="00A65D07"/>
    <w:rsid w:val="00A65D8C"/>
    <w:rsid w:val="00A65EF3"/>
    <w:rsid w:val="00A66426"/>
    <w:rsid w:val="00A66487"/>
    <w:rsid w:val="00A66F89"/>
    <w:rsid w:val="00A66FA0"/>
    <w:rsid w:val="00A67F2A"/>
    <w:rsid w:val="00A70402"/>
    <w:rsid w:val="00A706CD"/>
    <w:rsid w:val="00A70E88"/>
    <w:rsid w:val="00A710F3"/>
    <w:rsid w:val="00A7133A"/>
    <w:rsid w:val="00A717F2"/>
    <w:rsid w:val="00A71EDD"/>
    <w:rsid w:val="00A71F94"/>
    <w:rsid w:val="00A721E4"/>
    <w:rsid w:val="00A722E9"/>
    <w:rsid w:val="00A727C0"/>
    <w:rsid w:val="00A72949"/>
    <w:rsid w:val="00A72C40"/>
    <w:rsid w:val="00A72CD3"/>
    <w:rsid w:val="00A7346B"/>
    <w:rsid w:val="00A73D6D"/>
    <w:rsid w:val="00A741B1"/>
    <w:rsid w:val="00A742F3"/>
    <w:rsid w:val="00A74E4E"/>
    <w:rsid w:val="00A7575E"/>
    <w:rsid w:val="00A75878"/>
    <w:rsid w:val="00A75C98"/>
    <w:rsid w:val="00A75CE5"/>
    <w:rsid w:val="00A76F70"/>
    <w:rsid w:val="00A80066"/>
    <w:rsid w:val="00A80120"/>
    <w:rsid w:val="00A80170"/>
    <w:rsid w:val="00A806A7"/>
    <w:rsid w:val="00A81877"/>
    <w:rsid w:val="00A81AE6"/>
    <w:rsid w:val="00A821A7"/>
    <w:rsid w:val="00A82AEC"/>
    <w:rsid w:val="00A82BFC"/>
    <w:rsid w:val="00A82F26"/>
    <w:rsid w:val="00A83033"/>
    <w:rsid w:val="00A83957"/>
    <w:rsid w:val="00A83C20"/>
    <w:rsid w:val="00A83C37"/>
    <w:rsid w:val="00A85577"/>
    <w:rsid w:val="00A85F93"/>
    <w:rsid w:val="00A8602D"/>
    <w:rsid w:val="00A86447"/>
    <w:rsid w:val="00A86B0E"/>
    <w:rsid w:val="00A86FC9"/>
    <w:rsid w:val="00A872EC"/>
    <w:rsid w:val="00A87DA6"/>
    <w:rsid w:val="00A9087E"/>
    <w:rsid w:val="00A913EB"/>
    <w:rsid w:val="00A915FC"/>
    <w:rsid w:val="00A91C91"/>
    <w:rsid w:val="00A92029"/>
    <w:rsid w:val="00A921C5"/>
    <w:rsid w:val="00A92F02"/>
    <w:rsid w:val="00A93548"/>
    <w:rsid w:val="00A939BF"/>
    <w:rsid w:val="00A94AF9"/>
    <w:rsid w:val="00A94D4B"/>
    <w:rsid w:val="00A94F30"/>
    <w:rsid w:val="00A9532B"/>
    <w:rsid w:val="00A961FD"/>
    <w:rsid w:val="00A962A8"/>
    <w:rsid w:val="00A962B5"/>
    <w:rsid w:val="00A96889"/>
    <w:rsid w:val="00A96F2D"/>
    <w:rsid w:val="00A96F32"/>
    <w:rsid w:val="00A9707F"/>
    <w:rsid w:val="00A97929"/>
    <w:rsid w:val="00A97AC0"/>
    <w:rsid w:val="00AA0023"/>
    <w:rsid w:val="00AA052B"/>
    <w:rsid w:val="00AA09C5"/>
    <w:rsid w:val="00AA0A49"/>
    <w:rsid w:val="00AA14E6"/>
    <w:rsid w:val="00AA28BD"/>
    <w:rsid w:val="00AA294E"/>
    <w:rsid w:val="00AA2F1E"/>
    <w:rsid w:val="00AA4920"/>
    <w:rsid w:val="00AA4947"/>
    <w:rsid w:val="00AA5317"/>
    <w:rsid w:val="00AA6276"/>
    <w:rsid w:val="00AA65D1"/>
    <w:rsid w:val="00AB0546"/>
    <w:rsid w:val="00AB0C92"/>
    <w:rsid w:val="00AB0FE3"/>
    <w:rsid w:val="00AB14FD"/>
    <w:rsid w:val="00AB179F"/>
    <w:rsid w:val="00AB1C6D"/>
    <w:rsid w:val="00AB24C0"/>
    <w:rsid w:val="00AB2859"/>
    <w:rsid w:val="00AB290D"/>
    <w:rsid w:val="00AB2A04"/>
    <w:rsid w:val="00AB2D6D"/>
    <w:rsid w:val="00AB2E35"/>
    <w:rsid w:val="00AB33DC"/>
    <w:rsid w:val="00AB4EB5"/>
    <w:rsid w:val="00AB517F"/>
    <w:rsid w:val="00AB5447"/>
    <w:rsid w:val="00AB59F2"/>
    <w:rsid w:val="00AB6386"/>
    <w:rsid w:val="00AB63E9"/>
    <w:rsid w:val="00AB6B1B"/>
    <w:rsid w:val="00AB7C57"/>
    <w:rsid w:val="00AC04ED"/>
    <w:rsid w:val="00AC0933"/>
    <w:rsid w:val="00AC0987"/>
    <w:rsid w:val="00AC13E2"/>
    <w:rsid w:val="00AC23DA"/>
    <w:rsid w:val="00AC29DE"/>
    <w:rsid w:val="00AC2EE9"/>
    <w:rsid w:val="00AC32E4"/>
    <w:rsid w:val="00AC3B91"/>
    <w:rsid w:val="00AC5E19"/>
    <w:rsid w:val="00AC5EE4"/>
    <w:rsid w:val="00AC6AD5"/>
    <w:rsid w:val="00AC72D3"/>
    <w:rsid w:val="00AC75A4"/>
    <w:rsid w:val="00AC7DC8"/>
    <w:rsid w:val="00AD03A1"/>
    <w:rsid w:val="00AD0707"/>
    <w:rsid w:val="00AD181F"/>
    <w:rsid w:val="00AD1F41"/>
    <w:rsid w:val="00AD200E"/>
    <w:rsid w:val="00AD25C0"/>
    <w:rsid w:val="00AD26B5"/>
    <w:rsid w:val="00AD296D"/>
    <w:rsid w:val="00AD2D26"/>
    <w:rsid w:val="00AD47A3"/>
    <w:rsid w:val="00AD4AD1"/>
    <w:rsid w:val="00AD4C83"/>
    <w:rsid w:val="00AD4DB6"/>
    <w:rsid w:val="00AD4EA1"/>
    <w:rsid w:val="00AD5290"/>
    <w:rsid w:val="00AD622F"/>
    <w:rsid w:val="00AD63C1"/>
    <w:rsid w:val="00AD64ED"/>
    <w:rsid w:val="00AD65A8"/>
    <w:rsid w:val="00AD65BB"/>
    <w:rsid w:val="00AD6AF4"/>
    <w:rsid w:val="00AD6EA0"/>
    <w:rsid w:val="00AD6FD7"/>
    <w:rsid w:val="00AD7676"/>
    <w:rsid w:val="00AD793D"/>
    <w:rsid w:val="00AE00BE"/>
    <w:rsid w:val="00AE01A7"/>
    <w:rsid w:val="00AE0C33"/>
    <w:rsid w:val="00AE1E07"/>
    <w:rsid w:val="00AE1FCD"/>
    <w:rsid w:val="00AE2623"/>
    <w:rsid w:val="00AE2F5B"/>
    <w:rsid w:val="00AE38C9"/>
    <w:rsid w:val="00AE3C0D"/>
    <w:rsid w:val="00AE430D"/>
    <w:rsid w:val="00AE4DFC"/>
    <w:rsid w:val="00AE4E42"/>
    <w:rsid w:val="00AE4FFD"/>
    <w:rsid w:val="00AE5FB0"/>
    <w:rsid w:val="00AE6FAB"/>
    <w:rsid w:val="00AE79C9"/>
    <w:rsid w:val="00AF0741"/>
    <w:rsid w:val="00AF1EA7"/>
    <w:rsid w:val="00AF2298"/>
    <w:rsid w:val="00AF2435"/>
    <w:rsid w:val="00AF267D"/>
    <w:rsid w:val="00AF27D8"/>
    <w:rsid w:val="00AF347C"/>
    <w:rsid w:val="00AF36A5"/>
    <w:rsid w:val="00AF3F0D"/>
    <w:rsid w:val="00AF4AE1"/>
    <w:rsid w:val="00AF4EFB"/>
    <w:rsid w:val="00AF5B99"/>
    <w:rsid w:val="00AF5F9F"/>
    <w:rsid w:val="00AF6525"/>
    <w:rsid w:val="00AF6748"/>
    <w:rsid w:val="00AF6A23"/>
    <w:rsid w:val="00AF7050"/>
    <w:rsid w:val="00AF7105"/>
    <w:rsid w:val="00AF73F6"/>
    <w:rsid w:val="00AF7480"/>
    <w:rsid w:val="00AF7B21"/>
    <w:rsid w:val="00AF7D30"/>
    <w:rsid w:val="00B00286"/>
    <w:rsid w:val="00B005B0"/>
    <w:rsid w:val="00B009B2"/>
    <w:rsid w:val="00B02014"/>
    <w:rsid w:val="00B020B6"/>
    <w:rsid w:val="00B020E6"/>
    <w:rsid w:val="00B02441"/>
    <w:rsid w:val="00B02465"/>
    <w:rsid w:val="00B02B64"/>
    <w:rsid w:val="00B02C68"/>
    <w:rsid w:val="00B02EE4"/>
    <w:rsid w:val="00B0360E"/>
    <w:rsid w:val="00B03827"/>
    <w:rsid w:val="00B03D51"/>
    <w:rsid w:val="00B03F49"/>
    <w:rsid w:val="00B041F1"/>
    <w:rsid w:val="00B0452E"/>
    <w:rsid w:val="00B05223"/>
    <w:rsid w:val="00B0561E"/>
    <w:rsid w:val="00B05A1E"/>
    <w:rsid w:val="00B068CF"/>
    <w:rsid w:val="00B06D3E"/>
    <w:rsid w:val="00B07738"/>
    <w:rsid w:val="00B101D6"/>
    <w:rsid w:val="00B1036C"/>
    <w:rsid w:val="00B10440"/>
    <w:rsid w:val="00B11B71"/>
    <w:rsid w:val="00B11D32"/>
    <w:rsid w:val="00B120FE"/>
    <w:rsid w:val="00B12605"/>
    <w:rsid w:val="00B12658"/>
    <w:rsid w:val="00B12689"/>
    <w:rsid w:val="00B12AEC"/>
    <w:rsid w:val="00B13277"/>
    <w:rsid w:val="00B132A0"/>
    <w:rsid w:val="00B135DD"/>
    <w:rsid w:val="00B135FC"/>
    <w:rsid w:val="00B13A17"/>
    <w:rsid w:val="00B13BC6"/>
    <w:rsid w:val="00B13EF3"/>
    <w:rsid w:val="00B1446B"/>
    <w:rsid w:val="00B15BCD"/>
    <w:rsid w:val="00B15D23"/>
    <w:rsid w:val="00B15EDE"/>
    <w:rsid w:val="00B16023"/>
    <w:rsid w:val="00B1604A"/>
    <w:rsid w:val="00B1605F"/>
    <w:rsid w:val="00B161BF"/>
    <w:rsid w:val="00B167DD"/>
    <w:rsid w:val="00B1700C"/>
    <w:rsid w:val="00B1735C"/>
    <w:rsid w:val="00B2086A"/>
    <w:rsid w:val="00B20DB0"/>
    <w:rsid w:val="00B2130A"/>
    <w:rsid w:val="00B219C5"/>
    <w:rsid w:val="00B22198"/>
    <w:rsid w:val="00B2250F"/>
    <w:rsid w:val="00B22785"/>
    <w:rsid w:val="00B228F7"/>
    <w:rsid w:val="00B23889"/>
    <w:rsid w:val="00B23ED3"/>
    <w:rsid w:val="00B244BE"/>
    <w:rsid w:val="00B24F1D"/>
    <w:rsid w:val="00B2555F"/>
    <w:rsid w:val="00B2561A"/>
    <w:rsid w:val="00B257B5"/>
    <w:rsid w:val="00B2600B"/>
    <w:rsid w:val="00B26296"/>
    <w:rsid w:val="00B2662F"/>
    <w:rsid w:val="00B269A3"/>
    <w:rsid w:val="00B26C57"/>
    <w:rsid w:val="00B26CB1"/>
    <w:rsid w:val="00B26D17"/>
    <w:rsid w:val="00B26F47"/>
    <w:rsid w:val="00B27548"/>
    <w:rsid w:val="00B27904"/>
    <w:rsid w:val="00B27B98"/>
    <w:rsid w:val="00B27C47"/>
    <w:rsid w:val="00B30C22"/>
    <w:rsid w:val="00B30C89"/>
    <w:rsid w:val="00B31085"/>
    <w:rsid w:val="00B316A8"/>
    <w:rsid w:val="00B3195A"/>
    <w:rsid w:val="00B31ABA"/>
    <w:rsid w:val="00B31D9A"/>
    <w:rsid w:val="00B32AFD"/>
    <w:rsid w:val="00B33179"/>
    <w:rsid w:val="00B33B22"/>
    <w:rsid w:val="00B34515"/>
    <w:rsid w:val="00B34B46"/>
    <w:rsid w:val="00B3551F"/>
    <w:rsid w:val="00B35A9B"/>
    <w:rsid w:val="00B35C8E"/>
    <w:rsid w:val="00B3633B"/>
    <w:rsid w:val="00B373F3"/>
    <w:rsid w:val="00B37952"/>
    <w:rsid w:val="00B40BB4"/>
    <w:rsid w:val="00B40CA0"/>
    <w:rsid w:val="00B412C0"/>
    <w:rsid w:val="00B41383"/>
    <w:rsid w:val="00B4144D"/>
    <w:rsid w:val="00B4149C"/>
    <w:rsid w:val="00B416C4"/>
    <w:rsid w:val="00B41A7C"/>
    <w:rsid w:val="00B41D7A"/>
    <w:rsid w:val="00B41F5E"/>
    <w:rsid w:val="00B43664"/>
    <w:rsid w:val="00B43B9A"/>
    <w:rsid w:val="00B43EAA"/>
    <w:rsid w:val="00B44882"/>
    <w:rsid w:val="00B46A39"/>
    <w:rsid w:val="00B4760F"/>
    <w:rsid w:val="00B47B84"/>
    <w:rsid w:val="00B5025F"/>
    <w:rsid w:val="00B508BB"/>
    <w:rsid w:val="00B5099F"/>
    <w:rsid w:val="00B50BF5"/>
    <w:rsid w:val="00B51192"/>
    <w:rsid w:val="00B511FC"/>
    <w:rsid w:val="00B51589"/>
    <w:rsid w:val="00B516B9"/>
    <w:rsid w:val="00B51D3F"/>
    <w:rsid w:val="00B53516"/>
    <w:rsid w:val="00B53A90"/>
    <w:rsid w:val="00B53F46"/>
    <w:rsid w:val="00B543BF"/>
    <w:rsid w:val="00B55050"/>
    <w:rsid w:val="00B570D7"/>
    <w:rsid w:val="00B578E4"/>
    <w:rsid w:val="00B57F65"/>
    <w:rsid w:val="00B601EE"/>
    <w:rsid w:val="00B601FE"/>
    <w:rsid w:val="00B602EE"/>
    <w:rsid w:val="00B603F4"/>
    <w:rsid w:val="00B6044B"/>
    <w:rsid w:val="00B608FF"/>
    <w:rsid w:val="00B619AD"/>
    <w:rsid w:val="00B61B45"/>
    <w:rsid w:val="00B620D5"/>
    <w:rsid w:val="00B623EF"/>
    <w:rsid w:val="00B62C8A"/>
    <w:rsid w:val="00B62E6D"/>
    <w:rsid w:val="00B630EF"/>
    <w:rsid w:val="00B641BE"/>
    <w:rsid w:val="00B64F4C"/>
    <w:rsid w:val="00B65336"/>
    <w:rsid w:val="00B65504"/>
    <w:rsid w:val="00B65513"/>
    <w:rsid w:val="00B65B26"/>
    <w:rsid w:val="00B65C01"/>
    <w:rsid w:val="00B65E41"/>
    <w:rsid w:val="00B664EF"/>
    <w:rsid w:val="00B66B2E"/>
    <w:rsid w:val="00B66B4A"/>
    <w:rsid w:val="00B66BC9"/>
    <w:rsid w:val="00B66F63"/>
    <w:rsid w:val="00B679C8"/>
    <w:rsid w:val="00B67ABD"/>
    <w:rsid w:val="00B703D1"/>
    <w:rsid w:val="00B70408"/>
    <w:rsid w:val="00B706AB"/>
    <w:rsid w:val="00B70D5B"/>
    <w:rsid w:val="00B71690"/>
    <w:rsid w:val="00B71A0A"/>
    <w:rsid w:val="00B72D87"/>
    <w:rsid w:val="00B7328A"/>
    <w:rsid w:val="00B736FD"/>
    <w:rsid w:val="00B7382B"/>
    <w:rsid w:val="00B738A2"/>
    <w:rsid w:val="00B7471A"/>
    <w:rsid w:val="00B75393"/>
    <w:rsid w:val="00B7583B"/>
    <w:rsid w:val="00B759DB"/>
    <w:rsid w:val="00B759E0"/>
    <w:rsid w:val="00B75C0E"/>
    <w:rsid w:val="00B760C6"/>
    <w:rsid w:val="00B76AD2"/>
    <w:rsid w:val="00B76AF3"/>
    <w:rsid w:val="00B773DB"/>
    <w:rsid w:val="00B77930"/>
    <w:rsid w:val="00B77B9B"/>
    <w:rsid w:val="00B800BE"/>
    <w:rsid w:val="00B806C7"/>
    <w:rsid w:val="00B80D1E"/>
    <w:rsid w:val="00B81387"/>
    <w:rsid w:val="00B82837"/>
    <w:rsid w:val="00B82BF8"/>
    <w:rsid w:val="00B83F00"/>
    <w:rsid w:val="00B84A6E"/>
    <w:rsid w:val="00B85287"/>
    <w:rsid w:val="00B857F7"/>
    <w:rsid w:val="00B8596C"/>
    <w:rsid w:val="00B85DF0"/>
    <w:rsid w:val="00B85ED0"/>
    <w:rsid w:val="00B85F9A"/>
    <w:rsid w:val="00B86289"/>
    <w:rsid w:val="00B86317"/>
    <w:rsid w:val="00B86497"/>
    <w:rsid w:val="00B86BA7"/>
    <w:rsid w:val="00B876CA"/>
    <w:rsid w:val="00B901A8"/>
    <w:rsid w:val="00B90B0F"/>
    <w:rsid w:val="00B91472"/>
    <w:rsid w:val="00B91756"/>
    <w:rsid w:val="00B91BD5"/>
    <w:rsid w:val="00B91EDB"/>
    <w:rsid w:val="00B929C9"/>
    <w:rsid w:val="00B92EB0"/>
    <w:rsid w:val="00B9363C"/>
    <w:rsid w:val="00B939AB"/>
    <w:rsid w:val="00B945AE"/>
    <w:rsid w:val="00B94853"/>
    <w:rsid w:val="00B949E5"/>
    <w:rsid w:val="00B94FDB"/>
    <w:rsid w:val="00B95964"/>
    <w:rsid w:val="00B967DB"/>
    <w:rsid w:val="00B96C62"/>
    <w:rsid w:val="00B978AB"/>
    <w:rsid w:val="00B979C6"/>
    <w:rsid w:val="00B97B66"/>
    <w:rsid w:val="00BA0F21"/>
    <w:rsid w:val="00BA10FF"/>
    <w:rsid w:val="00BA1256"/>
    <w:rsid w:val="00BA1697"/>
    <w:rsid w:val="00BA1C70"/>
    <w:rsid w:val="00BA1CA7"/>
    <w:rsid w:val="00BA26F0"/>
    <w:rsid w:val="00BA2F29"/>
    <w:rsid w:val="00BA3238"/>
    <w:rsid w:val="00BA36E5"/>
    <w:rsid w:val="00BA3918"/>
    <w:rsid w:val="00BA4012"/>
    <w:rsid w:val="00BA458B"/>
    <w:rsid w:val="00BA4ABC"/>
    <w:rsid w:val="00BA5AFD"/>
    <w:rsid w:val="00BA5CA8"/>
    <w:rsid w:val="00BA5F92"/>
    <w:rsid w:val="00BA61AA"/>
    <w:rsid w:val="00BA6581"/>
    <w:rsid w:val="00BA6A1D"/>
    <w:rsid w:val="00BA6FD1"/>
    <w:rsid w:val="00BB03C4"/>
    <w:rsid w:val="00BB0440"/>
    <w:rsid w:val="00BB0492"/>
    <w:rsid w:val="00BB09FC"/>
    <w:rsid w:val="00BB1584"/>
    <w:rsid w:val="00BB1C19"/>
    <w:rsid w:val="00BB27B1"/>
    <w:rsid w:val="00BB2E1A"/>
    <w:rsid w:val="00BB3CF2"/>
    <w:rsid w:val="00BB3F62"/>
    <w:rsid w:val="00BB4228"/>
    <w:rsid w:val="00BB4453"/>
    <w:rsid w:val="00BB499F"/>
    <w:rsid w:val="00BB541F"/>
    <w:rsid w:val="00BB5540"/>
    <w:rsid w:val="00BB58F2"/>
    <w:rsid w:val="00BB65CA"/>
    <w:rsid w:val="00BB67C0"/>
    <w:rsid w:val="00BB6A63"/>
    <w:rsid w:val="00BB71C1"/>
    <w:rsid w:val="00BB71EC"/>
    <w:rsid w:val="00BB7A0F"/>
    <w:rsid w:val="00BB7C04"/>
    <w:rsid w:val="00BB7EB4"/>
    <w:rsid w:val="00BC09B1"/>
    <w:rsid w:val="00BC0F5A"/>
    <w:rsid w:val="00BC2044"/>
    <w:rsid w:val="00BC238E"/>
    <w:rsid w:val="00BC25AA"/>
    <w:rsid w:val="00BC2955"/>
    <w:rsid w:val="00BC2E9D"/>
    <w:rsid w:val="00BC301D"/>
    <w:rsid w:val="00BC37A6"/>
    <w:rsid w:val="00BC39B7"/>
    <w:rsid w:val="00BC3D71"/>
    <w:rsid w:val="00BC3EEC"/>
    <w:rsid w:val="00BC4B05"/>
    <w:rsid w:val="00BC52DD"/>
    <w:rsid w:val="00BC5A75"/>
    <w:rsid w:val="00BC5A94"/>
    <w:rsid w:val="00BC5D7A"/>
    <w:rsid w:val="00BC6515"/>
    <w:rsid w:val="00BC7406"/>
    <w:rsid w:val="00BD0DC6"/>
    <w:rsid w:val="00BD0F81"/>
    <w:rsid w:val="00BD124C"/>
    <w:rsid w:val="00BD1A75"/>
    <w:rsid w:val="00BD1C86"/>
    <w:rsid w:val="00BD1D54"/>
    <w:rsid w:val="00BD23E1"/>
    <w:rsid w:val="00BD3137"/>
    <w:rsid w:val="00BD3327"/>
    <w:rsid w:val="00BD3582"/>
    <w:rsid w:val="00BD36A4"/>
    <w:rsid w:val="00BD36E1"/>
    <w:rsid w:val="00BD41D2"/>
    <w:rsid w:val="00BD44E0"/>
    <w:rsid w:val="00BD4689"/>
    <w:rsid w:val="00BD4978"/>
    <w:rsid w:val="00BD4B9F"/>
    <w:rsid w:val="00BD4C79"/>
    <w:rsid w:val="00BD4F21"/>
    <w:rsid w:val="00BD4FF8"/>
    <w:rsid w:val="00BD5CFE"/>
    <w:rsid w:val="00BD5F0D"/>
    <w:rsid w:val="00BD6536"/>
    <w:rsid w:val="00BD7085"/>
    <w:rsid w:val="00BD7572"/>
    <w:rsid w:val="00BD791B"/>
    <w:rsid w:val="00BE0712"/>
    <w:rsid w:val="00BE0939"/>
    <w:rsid w:val="00BE167C"/>
    <w:rsid w:val="00BE19D7"/>
    <w:rsid w:val="00BE1E8C"/>
    <w:rsid w:val="00BE1FBD"/>
    <w:rsid w:val="00BE28D8"/>
    <w:rsid w:val="00BE3C54"/>
    <w:rsid w:val="00BE3D4F"/>
    <w:rsid w:val="00BE3EAD"/>
    <w:rsid w:val="00BE47A4"/>
    <w:rsid w:val="00BE4C88"/>
    <w:rsid w:val="00BE5C37"/>
    <w:rsid w:val="00BE5EA4"/>
    <w:rsid w:val="00BE5ECE"/>
    <w:rsid w:val="00BE666D"/>
    <w:rsid w:val="00BE707C"/>
    <w:rsid w:val="00BE777E"/>
    <w:rsid w:val="00BE7910"/>
    <w:rsid w:val="00BF032C"/>
    <w:rsid w:val="00BF0F2D"/>
    <w:rsid w:val="00BF0FA9"/>
    <w:rsid w:val="00BF2186"/>
    <w:rsid w:val="00BF2D4D"/>
    <w:rsid w:val="00BF30E0"/>
    <w:rsid w:val="00BF3163"/>
    <w:rsid w:val="00BF31CC"/>
    <w:rsid w:val="00BF4334"/>
    <w:rsid w:val="00BF4703"/>
    <w:rsid w:val="00BF48C0"/>
    <w:rsid w:val="00BF49B5"/>
    <w:rsid w:val="00BF4A5E"/>
    <w:rsid w:val="00BF5704"/>
    <w:rsid w:val="00BF5D23"/>
    <w:rsid w:val="00BF5D75"/>
    <w:rsid w:val="00BF615E"/>
    <w:rsid w:val="00BF6742"/>
    <w:rsid w:val="00BF6AD8"/>
    <w:rsid w:val="00BF7047"/>
    <w:rsid w:val="00BF7115"/>
    <w:rsid w:val="00BF7176"/>
    <w:rsid w:val="00BF71C7"/>
    <w:rsid w:val="00BF7876"/>
    <w:rsid w:val="00BF7B55"/>
    <w:rsid w:val="00C00756"/>
    <w:rsid w:val="00C01D1C"/>
    <w:rsid w:val="00C02412"/>
    <w:rsid w:val="00C025E2"/>
    <w:rsid w:val="00C027B5"/>
    <w:rsid w:val="00C03D49"/>
    <w:rsid w:val="00C040C9"/>
    <w:rsid w:val="00C04132"/>
    <w:rsid w:val="00C049D2"/>
    <w:rsid w:val="00C04B1B"/>
    <w:rsid w:val="00C04EA9"/>
    <w:rsid w:val="00C054BD"/>
    <w:rsid w:val="00C066B4"/>
    <w:rsid w:val="00C0761B"/>
    <w:rsid w:val="00C07E8D"/>
    <w:rsid w:val="00C104C8"/>
    <w:rsid w:val="00C10AC6"/>
    <w:rsid w:val="00C10AD1"/>
    <w:rsid w:val="00C10D45"/>
    <w:rsid w:val="00C115EC"/>
    <w:rsid w:val="00C11771"/>
    <w:rsid w:val="00C118F4"/>
    <w:rsid w:val="00C119D8"/>
    <w:rsid w:val="00C119EF"/>
    <w:rsid w:val="00C12097"/>
    <w:rsid w:val="00C122FD"/>
    <w:rsid w:val="00C12A32"/>
    <w:rsid w:val="00C12A89"/>
    <w:rsid w:val="00C133D1"/>
    <w:rsid w:val="00C13E47"/>
    <w:rsid w:val="00C14727"/>
    <w:rsid w:val="00C14762"/>
    <w:rsid w:val="00C149E5"/>
    <w:rsid w:val="00C14CB5"/>
    <w:rsid w:val="00C14D8F"/>
    <w:rsid w:val="00C14F73"/>
    <w:rsid w:val="00C1530D"/>
    <w:rsid w:val="00C15EFB"/>
    <w:rsid w:val="00C15F88"/>
    <w:rsid w:val="00C160CA"/>
    <w:rsid w:val="00C16273"/>
    <w:rsid w:val="00C16749"/>
    <w:rsid w:val="00C1694C"/>
    <w:rsid w:val="00C1694D"/>
    <w:rsid w:val="00C1697D"/>
    <w:rsid w:val="00C16ABE"/>
    <w:rsid w:val="00C16AE2"/>
    <w:rsid w:val="00C1732E"/>
    <w:rsid w:val="00C17386"/>
    <w:rsid w:val="00C2022C"/>
    <w:rsid w:val="00C204C9"/>
    <w:rsid w:val="00C206E3"/>
    <w:rsid w:val="00C2074D"/>
    <w:rsid w:val="00C20B4E"/>
    <w:rsid w:val="00C20C21"/>
    <w:rsid w:val="00C213A1"/>
    <w:rsid w:val="00C21EE4"/>
    <w:rsid w:val="00C220A4"/>
    <w:rsid w:val="00C2230F"/>
    <w:rsid w:val="00C2284E"/>
    <w:rsid w:val="00C22AFC"/>
    <w:rsid w:val="00C23694"/>
    <w:rsid w:val="00C2407D"/>
    <w:rsid w:val="00C241E5"/>
    <w:rsid w:val="00C2433B"/>
    <w:rsid w:val="00C24996"/>
    <w:rsid w:val="00C25D4F"/>
    <w:rsid w:val="00C26195"/>
    <w:rsid w:val="00C269E7"/>
    <w:rsid w:val="00C27B64"/>
    <w:rsid w:val="00C30269"/>
    <w:rsid w:val="00C308F8"/>
    <w:rsid w:val="00C30D09"/>
    <w:rsid w:val="00C30F33"/>
    <w:rsid w:val="00C318C2"/>
    <w:rsid w:val="00C31C08"/>
    <w:rsid w:val="00C31E8C"/>
    <w:rsid w:val="00C31FBA"/>
    <w:rsid w:val="00C32418"/>
    <w:rsid w:val="00C33176"/>
    <w:rsid w:val="00C3379B"/>
    <w:rsid w:val="00C3382B"/>
    <w:rsid w:val="00C353DE"/>
    <w:rsid w:val="00C35514"/>
    <w:rsid w:val="00C35D15"/>
    <w:rsid w:val="00C37271"/>
    <w:rsid w:val="00C37466"/>
    <w:rsid w:val="00C37B9B"/>
    <w:rsid w:val="00C40208"/>
    <w:rsid w:val="00C4092E"/>
    <w:rsid w:val="00C413E9"/>
    <w:rsid w:val="00C41400"/>
    <w:rsid w:val="00C41B71"/>
    <w:rsid w:val="00C41FE3"/>
    <w:rsid w:val="00C431AB"/>
    <w:rsid w:val="00C43ABB"/>
    <w:rsid w:val="00C44239"/>
    <w:rsid w:val="00C44C2C"/>
    <w:rsid w:val="00C45490"/>
    <w:rsid w:val="00C4597F"/>
    <w:rsid w:val="00C45A24"/>
    <w:rsid w:val="00C45E8D"/>
    <w:rsid w:val="00C46AB0"/>
    <w:rsid w:val="00C46F7D"/>
    <w:rsid w:val="00C4705F"/>
    <w:rsid w:val="00C47B7F"/>
    <w:rsid w:val="00C5033A"/>
    <w:rsid w:val="00C508CC"/>
    <w:rsid w:val="00C50AAA"/>
    <w:rsid w:val="00C516FA"/>
    <w:rsid w:val="00C51C04"/>
    <w:rsid w:val="00C52145"/>
    <w:rsid w:val="00C52370"/>
    <w:rsid w:val="00C526D0"/>
    <w:rsid w:val="00C52716"/>
    <w:rsid w:val="00C52FCD"/>
    <w:rsid w:val="00C53162"/>
    <w:rsid w:val="00C53F0D"/>
    <w:rsid w:val="00C53FB9"/>
    <w:rsid w:val="00C54262"/>
    <w:rsid w:val="00C54913"/>
    <w:rsid w:val="00C54C3A"/>
    <w:rsid w:val="00C56DB8"/>
    <w:rsid w:val="00C56EAB"/>
    <w:rsid w:val="00C57116"/>
    <w:rsid w:val="00C57BAA"/>
    <w:rsid w:val="00C57C29"/>
    <w:rsid w:val="00C603B1"/>
    <w:rsid w:val="00C60B0E"/>
    <w:rsid w:val="00C60BAC"/>
    <w:rsid w:val="00C615EE"/>
    <w:rsid w:val="00C61E44"/>
    <w:rsid w:val="00C62174"/>
    <w:rsid w:val="00C623EE"/>
    <w:rsid w:val="00C637A8"/>
    <w:rsid w:val="00C6391E"/>
    <w:rsid w:val="00C642BC"/>
    <w:rsid w:val="00C6488E"/>
    <w:rsid w:val="00C64B80"/>
    <w:rsid w:val="00C65A9E"/>
    <w:rsid w:val="00C65E7E"/>
    <w:rsid w:val="00C6605D"/>
    <w:rsid w:val="00C665A9"/>
    <w:rsid w:val="00C666BF"/>
    <w:rsid w:val="00C66FD6"/>
    <w:rsid w:val="00C6739B"/>
    <w:rsid w:val="00C67528"/>
    <w:rsid w:val="00C676A6"/>
    <w:rsid w:val="00C67830"/>
    <w:rsid w:val="00C67E01"/>
    <w:rsid w:val="00C70066"/>
    <w:rsid w:val="00C70252"/>
    <w:rsid w:val="00C709FE"/>
    <w:rsid w:val="00C70C8B"/>
    <w:rsid w:val="00C71852"/>
    <w:rsid w:val="00C71B06"/>
    <w:rsid w:val="00C71B33"/>
    <w:rsid w:val="00C71C0D"/>
    <w:rsid w:val="00C71FA3"/>
    <w:rsid w:val="00C72D87"/>
    <w:rsid w:val="00C7307B"/>
    <w:rsid w:val="00C732A5"/>
    <w:rsid w:val="00C73B1D"/>
    <w:rsid w:val="00C73BCD"/>
    <w:rsid w:val="00C73F7A"/>
    <w:rsid w:val="00C74455"/>
    <w:rsid w:val="00C744C5"/>
    <w:rsid w:val="00C74524"/>
    <w:rsid w:val="00C74D2B"/>
    <w:rsid w:val="00C7640B"/>
    <w:rsid w:val="00C76A4F"/>
    <w:rsid w:val="00C76B47"/>
    <w:rsid w:val="00C76C63"/>
    <w:rsid w:val="00C76F1E"/>
    <w:rsid w:val="00C76FA1"/>
    <w:rsid w:val="00C7739B"/>
    <w:rsid w:val="00C77CFC"/>
    <w:rsid w:val="00C80132"/>
    <w:rsid w:val="00C80258"/>
    <w:rsid w:val="00C80818"/>
    <w:rsid w:val="00C80D27"/>
    <w:rsid w:val="00C80EDF"/>
    <w:rsid w:val="00C82018"/>
    <w:rsid w:val="00C8242A"/>
    <w:rsid w:val="00C82DF1"/>
    <w:rsid w:val="00C83232"/>
    <w:rsid w:val="00C83BF1"/>
    <w:rsid w:val="00C844F7"/>
    <w:rsid w:val="00C84B61"/>
    <w:rsid w:val="00C85EFE"/>
    <w:rsid w:val="00C85FB6"/>
    <w:rsid w:val="00C862FD"/>
    <w:rsid w:val="00C863D0"/>
    <w:rsid w:val="00C86882"/>
    <w:rsid w:val="00C874E8"/>
    <w:rsid w:val="00C87632"/>
    <w:rsid w:val="00C87783"/>
    <w:rsid w:val="00C87842"/>
    <w:rsid w:val="00C879E9"/>
    <w:rsid w:val="00C90181"/>
    <w:rsid w:val="00C9040B"/>
    <w:rsid w:val="00C91583"/>
    <w:rsid w:val="00C915B7"/>
    <w:rsid w:val="00C9168E"/>
    <w:rsid w:val="00C91B6C"/>
    <w:rsid w:val="00C9214E"/>
    <w:rsid w:val="00C92B11"/>
    <w:rsid w:val="00C93A07"/>
    <w:rsid w:val="00C93C10"/>
    <w:rsid w:val="00C93C30"/>
    <w:rsid w:val="00C942D4"/>
    <w:rsid w:val="00C947D7"/>
    <w:rsid w:val="00C94AE4"/>
    <w:rsid w:val="00C95814"/>
    <w:rsid w:val="00C95C55"/>
    <w:rsid w:val="00C96AB5"/>
    <w:rsid w:val="00C96B49"/>
    <w:rsid w:val="00C97190"/>
    <w:rsid w:val="00C9740E"/>
    <w:rsid w:val="00CA0215"/>
    <w:rsid w:val="00CA1067"/>
    <w:rsid w:val="00CA20E7"/>
    <w:rsid w:val="00CA217E"/>
    <w:rsid w:val="00CA2E10"/>
    <w:rsid w:val="00CA35E4"/>
    <w:rsid w:val="00CA3617"/>
    <w:rsid w:val="00CA362B"/>
    <w:rsid w:val="00CA3F08"/>
    <w:rsid w:val="00CA4558"/>
    <w:rsid w:val="00CA4B76"/>
    <w:rsid w:val="00CA6CEE"/>
    <w:rsid w:val="00CA6F16"/>
    <w:rsid w:val="00CA70F3"/>
    <w:rsid w:val="00CA7659"/>
    <w:rsid w:val="00CA7F6E"/>
    <w:rsid w:val="00CA7F88"/>
    <w:rsid w:val="00CA7FD7"/>
    <w:rsid w:val="00CB063C"/>
    <w:rsid w:val="00CB0B2E"/>
    <w:rsid w:val="00CB13F8"/>
    <w:rsid w:val="00CB192B"/>
    <w:rsid w:val="00CB2694"/>
    <w:rsid w:val="00CB2B5E"/>
    <w:rsid w:val="00CB2BC7"/>
    <w:rsid w:val="00CB3872"/>
    <w:rsid w:val="00CB3D52"/>
    <w:rsid w:val="00CB43F5"/>
    <w:rsid w:val="00CB44C3"/>
    <w:rsid w:val="00CB4C35"/>
    <w:rsid w:val="00CB4E85"/>
    <w:rsid w:val="00CB50BB"/>
    <w:rsid w:val="00CB5148"/>
    <w:rsid w:val="00CB51C1"/>
    <w:rsid w:val="00CB52AD"/>
    <w:rsid w:val="00CB575B"/>
    <w:rsid w:val="00CB5F78"/>
    <w:rsid w:val="00CB61C5"/>
    <w:rsid w:val="00CB6D87"/>
    <w:rsid w:val="00CB70DE"/>
    <w:rsid w:val="00CB71DA"/>
    <w:rsid w:val="00CB72CF"/>
    <w:rsid w:val="00CB76CF"/>
    <w:rsid w:val="00CC0BD6"/>
    <w:rsid w:val="00CC0E28"/>
    <w:rsid w:val="00CC1342"/>
    <w:rsid w:val="00CC163C"/>
    <w:rsid w:val="00CC1643"/>
    <w:rsid w:val="00CC1CE4"/>
    <w:rsid w:val="00CC229E"/>
    <w:rsid w:val="00CC2E59"/>
    <w:rsid w:val="00CC3FCE"/>
    <w:rsid w:val="00CC4168"/>
    <w:rsid w:val="00CC60E4"/>
    <w:rsid w:val="00CC662D"/>
    <w:rsid w:val="00CC6784"/>
    <w:rsid w:val="00CC76FE"/>
    <w:rsid w:val="00CC773D"/>
    <w:rsid w:val="00CC7C41"/>
    <w:rsid w:val="00CD0285"/>
    <w:rsid w:val="00CD0A36"/>
    <w:rsid w:val="00CD10DD"/>
    <w:rsid w:val="00CD13AD"/>
    <w:rsid w:val="00CD23C3"/>
    <w:rsid w:val="00CD2C47"/>
    <w:rsid w:val="00CD2F08"/>
    <w:rsid w:val="00CD30F5"/>
    <w:rsid w:val="00CD32E7"/>
    <w:rsid w:val="00CD33C4"/>
    <w:rsid w:val="00CD3F8D"/>
    <w:rsid w:val="00CD403D"/>
    <w:rsid w:val="00CD462A"/>
    <w:rsid w:val="00CD4710"/>
    <w:rsid w:val="00CD4726"/>
    <w:rsid w:val="00CD4F8D"/>
    <w:rsid w:val="00CD52ED"/>
    <w:rsid w:val="00CD59E4"/>
    <w:rsid w:val="00CD5D41"/>
    <w:rsid w:val="00CD61DB"/>
    <w:rsid w:val="00CD6ADF"/>
    <w:rsid w:val="00CD6B0D"/>
    <w:rsid w:val="00CD71E9"/>
    <w:rsid w:val="00CD739C"/>
    <w:rsid w:val="00CE0268"/>
    <w:rsid w:val="00CE0AC8"/>
    <w:rsid w:val="00CE0CF2"/>
    <w:rsid w:val="00CE23AC"/>
    <w:rsid w:val="00CE245F"/>
    <w:rsid w:val="00CE293B"/>
    <w:rsid w:val="00CE31E8"/>
    <w:rsid w:val="00CE3925"/>
    <w:rsid w:val="00CE3E4C"/>
    <w:rsid w:val="00CE40B9"/>
    <w:rsid w:val="00CE416E"/>
    <w:rsid w:val="00CE4746"/>
    <w:rsid w:val="00CE47C4"/>
    <w:rsid w:val="00CE5381"/>
    <w:rsid w:val="00CE5504"/>
    <w:rsid w:val="00CE5E16"/>
    <w:rsid w:val="00CE63D4"/>
    <w:rsid w:val="00CE6691"/>
    <w:rsid w:val="00CE6CF9"/>
    <w:rsid w:val="00CE6F24"/>
    <w:rsid w:val="00CF05B8"/>
    <w:rsid w:val="00CF0C4E"/>
    <w:rsid w:val="00CF0D19"/>
    <w:rsid w:val="00CF2110"/>
    <w:rsid w:val="00CF2309"/>
    <w:rsid w:val="00CF27EF"/>
    <w:rsid w:val="00CF29F0"/>
    <w:rsid w:val="00CF2BB5"/>
    <w:rsid w:val="00CF2C01"/>
    <w:rsid w:val="00CF3232"/>
    <w:rsid w:val="00CF3877"/>
    <w:rsid w:val="00CF436A"/>
    <w:rsid w:val="00CF45CC"/>
    <w:rsid w:val="00CF5493"/>
    <w:rsid w:val="00CF61B3"/>
    <w:rsid w:val="00CF6389"/>
    <w:rsid w:val="00CF63EA"/>
    <w:rsid w:val="00CF65F4"/>
    <w:rsid w:val="00D00024"/>
    <w:rsid w:val="00D006A4"/>
    <w:rsid w:val="00D00B62"/>
    <w:rsid w:val="00D00F7C"/>
    <w:rsid w:val="00D00FD8"/>
    <w:rsid w:val="00D01E29"/>
    <w:rsid w:val="00D01F18"/>
    <w:rsid w:val="00D0211F"/>
    <w:rsid w:val="00D02A98"/>
    <w:rsid w:val="00D02B44"/>
    <w:rsid w:val="00D02C62"/>
    <w:rsid w:val="00D02E1F"/>
    <w:rsid w:val="00D02F3C"/>
    <w:rsid w:val="00D03153"/>
    <w:rsid w:val="00D0347E"/>
    <w:rsid w:val="00D03878"/>
    <w:rsid w:val="00D03FDB"/>
    <w:rsid w:val="00D041E9"/>
    <w:rsid w:val="00D04A7E"/>
    <w:rsid w:val="00D04D8F"/>
    <w:rsid w:val="00D050ED"/>
    <w:rsid w:val="00D05303"/>
    <w:rsid w:val="00D0578F"/>
    <w:rsid w:val="00D065A9"/>
    <w:rsid w:val="00D06654"/>
    <w:rsid w:val="00D067AC"/>
    <w:rsid w:val="00D068F6"/>
    <w:rsid w:val="00D06A58"/>
    <w:rsid w:val="00D06EA0"/>
    <w:rsid w:val="00D07978"/>
    <w:rsid w:val="00D07AC6"/>
    <w:rsid w:val="00D10214"/>
    <w:rsid w:val="00D10254"/>
    <w:rsid w:val="00D103D1"/>
    <w:rsid w:val="00D11CFA"/>
    <w:rsid w:val="00D11F9C"/>
    <w:rsid w:val="00D13492"/>
    <w:rsid w:val="00D13956"/>
    <w:rsid w:val="00D13D88"/>
    <w:rsid w:val="00D13FA3"/>
    <w:rsid w:val="00D15174"/>
    <w:rsid w:val="00D1576C"/>
    <w:rsid w:val="00D157DD"/>
    <w:rsid w:val="00D15F72"/>
    <w:rsid w:val="00D15FF3"/>
    <w:rsid w:val="00D160B5"/>
    <w:rsid w:val="00D1651B"/>
    <w:rsid w:val="00D16E08"/>
    <w:rsid w:val="00D17317"/>
    <w:rsid w:val="00D1741B"/>
    <w:rsid w:val="00D1745D"/>
    <w:rsid w:val="00D17462"/>
    <w:rsid w:val="00D177B3"/>
    <w:rsid w:val="00D17E0A"/>
    <w:rsid w:val="00D2082B"/>
    <w:rsid w:val="00D20840"/>
    <w:rsid w:val="00D20CD8"/>
    <w:rsid w:val="00D20CDC"/>
    <w:rsid w:val="00D212EA"/>
    <w:rsid w:val="00D2133F"/>
    <w:rsid w:val="00D213ED"/>
    <w:rsid w:val="00D23721"/>
    <w:rsid w:val="00D2372C"/>
    <w:rsid w:val="00D239A6"/>
    <w:rsid w:val="00D24824"/>
    <w:rsid w:val="00D26B09"/>
    <w:rsid w:val="00D26B5A"/>
    <w:rsid w:val="00D26DDF"/>
    <w:rsid w:val="00D27FA9"/>
    <w:rsid w:val="00D30344"/>
    <w:rsid w:val="00D309A4"/>
    <w:rsid w:val="00D313EE"/>
    <w:rsid w:val="00D31430"/>
    <w:rsid w:val="00D31F5B"/>
    <w:rsid w:val="00D321ED"/>
    <w:rsid w:val="00D324BE"/>
    <w:rsid w:val="00D334BC"/>
    <w:rsid w:val="00D34368"/>
    <w:rsid w:val="00D346A7"/>
    <w:rsid w:val="00D34D97"/>
    <w:rsid w:val="00D35BBF"/>
    <w:rsid w:val="00D36945"/>
    <w:rsid w:val="00D36D46"/>
    <w:rsid w:val="00D36F7F"/>
    <w:rsid w:val="00D37726"/>
    <w:rsid w:val="00D3780A"/>
    <w:rsid w:val="00D37D7B"/>
    <w:rsid w:val="00D40385"/>
    <w:rsid w:val="00D40973"/>
    <w:rsid w:val="00D40E2C"/>
    <w:rsid w:val="00D4141F"/>
    <w:rsid w:val="00D416EB"/>
    <w:rsid w:val="00D44E1F"/>
    <w:rsid w:val="00D4513C"/>
    <w:rsid w:val="00D451C9"/>
    <w:rsid w:val="00D451E4"/>
    <w:rsid w:val="00D457B5"/>
    <w:rsid w:val="00D45C76"/>
    <w:rsid w:val="00D45C99"/>
    <w:rsid w:val="00D45F82"/>
    <w:rsid w:val="00D46047"/>
    <w:rsid w:val="00D46383"/>
    <w:rsid w:val="00D46393"/>
    <w:rsid w:val="00D47CD7"/>
    <w:rsid w:val="00D5036F"/>
    <w:rsid w:val="00D50A1B"/>
    <w:rsid w:val="00D50D11"/>
    <w:rsid w:val="00D513E1"/>
    <w:rsid w:val="00D51480"/>
    <w:rsid w:val="00D517C7"/>
    <w:rsid w:val="00D51CCB"/>
    <w:rsid w:val="00D52B02"/>
    <w:rsid w:val="00D535F4"/>
    <w:rsid w:val="00D537C9"/>
    <w:rsid w:val="00D53836"/>
    <w:rsid w:val="00D53BA1"/>
    <w:rsid w:val="00D53F11"/>
    <w:rsid w:val="00D54C35"/>
    <w:rsid w:val="00D54DAA"/>
    <w:rsid w:val="00D55C7C"/>
    <w:rsid w:val="00D55E0F"/>
    <w:rsid w:val="00D56A7D"/>
    <w:rsid w:val="00D57011"/>
    <w:rsid w:val="00D5703A"/>
    <w:rsid w:val="00D6078C"/>
    <w:rsid w:val="00D610B1"/>
    <w:rsid w:val="00D61330"/>
    <w:rsid w:val="00D623C0"/>
    <w:rsid w:val="00D62566"/>
    <w:rsid w:val="00D626D6"/>
    <w:rsid w:val="00D6276B"/>
    <w:rsid w:val="00D630AF"/>
    <w:rsid w:val="00D630CE"/>
    <w:rsid w:val="00D633F1"/>
    <w:rsid w:val="00D63E1F"/>
    <w:rsid w:val="00D64255"/>
    <w:rsid w:val="00D64809"/>
    <w:rsid w:val="00D65508"/>
    <w:rsid w:val="00D65595"/>
    <w:rsid w:val="00D658C3"/>
    <w:rsid w:val="00D65BBA"/>
    <w:rsid w:val="00D65C0E"/>
    <w:rsid w:val="00D65CF4"/>
    <w:rsid w:val="00D661CB"/>
    <w:rsid w:val="00D668ED"/>
    <w:rsid w:val="00D66C91"/>
    <w:rsid w:val="00D67507"/>
    <w:rsid w:val="00D676BC"/>
    <w:rsid w:val="00D676CB"/>
    <w:rsid w:val="00D67F83"/>
    <w:rsid w:val="00D67FF4"/>
    <w:rsid w:val="00D70816"/>
    <w:rsid w:val="00D70CBB"/>
    <w:rsid w:val="00D70F56"/>
    <w:rsid w:val="00D71195"/>
    <w:rsid w:val="00D716DE"/>
    <w:rsid w:val="00D71EB6"/>
    <w:rsid w:val="00D71FB2"/>
    <w:rsid w:val="00D722A6"/>
    <w:rsid w:val="00D72613"/>
    <w:rsid w:val="00D72BAA"/>
    <w:rsid w:val="00D72D55"/>
    <w:rsid w:val="00D730CB"/>
    <w:rsid w:val="00D734B1"/>
    <w:rsid w:val="00D7366B"/>
    <w:rsid w:val="00D737F8"/>
    <w:rsid w:val="00D73868"/>
    <w:rsid w:val="00D73986"/>
    <w:rsid w:val="00D74DBA"/>
    <w:rsid w:val="00D750DC"/>
    <w:rsid w:val="00D751E5"/>
    <w:rsid w:val="00D75866"/>
    <w:rsid w:val="00D769DB"/>
    <w:rsid w:val="00D76A95"/>
    <w:rsid w:val="00D76DA1"/>
    <w:rsid w:val="00D77D61"/>
    <w:rsid w:val="00D77E10"/>
    <w:rsid w:val="00D801D9"/>
    <w:rsid w:val="00D806DD"/>
    <w:rsid w:val="00D80CB9"/>
    <w:rsid w:val="00D81A5A"/>
    <w:rsid w:val="00D8201D"/>
    <w:rsid w:val="00D8249B"/>
    <w:rsid w:val="00D826BA"/>
    <w:rsid w:val="00D82A34"/>
    <w:rsid w:val="00D839EA"/>
    <w:rsid w:val="00D83F9F"/>
    <w:rsid w:val="00D84003"/>
    <w:rsid w:val="00D84E53"/>
    <w:rsid w:val="00D84FD8"/>
    <w:rsid w:val="00D85201"/>
    <w:rsid w:val="00D85236"/>
    <w:rsid w:val="00D855E4"/>
    <w:rsid w:val="00D868A6"/>
    <w:rsid w:val="00D86A4D"/>
    <w:rsid w:val="00D87541"/>
    <w:rsid w:val="00D87C18"/>
    <w:rsid w:val="00D87F48"/>
    <w:rsid w:val="00D908A6"/>
    <w:rsid w:val="00D91826"/>
    <w:rsid w:val="00D91DF5"/>
    <w:rsid w:val="00D92312"/>
    <w:rsid w:val="00D925F4"/>
    <w:rsid w:val="00D92BFE"/>
    <w:rsid w:val="00D92C86"/>
    <w:rsid w:val="00D937AF"/>
    <w:rsid w:val="00D93AED"/>
    <w:rsid w:val="00D93F1C"/>
    <w:rsid w:val="00D94636"/>
    <w:rsid w:val="00D94AC3"/>
    <w:rsid w:val="00D94B39"/>
    <w:rsid w:val="00D95056"/>
    <w:rsid w:val="00D959A1"/>
    <w:rsid w:val="00D95F93"/>
    <w:rsid w:val="00D96357"/>
    <w:rsid w:val="00D963B7"/>
    <w:rsid w:val="00D964A3"/>
    <w:rsid w:val="00D965F2"/>
    <w:rsid w:val="00D96982"/>
    <w:rsid w:val="00D9716D"/>
    <w:rsid w:val="00D97447"/>
    <w:rsid w:val="00D97992"/>
    <w:rsid w:val="00D97BBA"/>
    <w:rsid w:val="00DA02BB"/>
    <w:rsid w:val="00DA054D"/>
    <w:rsid w:val="00DA1005"/>
    <w:rsid w:val="00DA147D"/>
    <w:rsid w:val="00DA178F"/>
    <w:rsid w:val="00DA207C"/>
    <w:rsid w:val="00DA207F"/>
    <w:rsid w:val="00DA230D"/>
    <w:rsid w:val="00DA2726"/>
    <w:rsid w:val="00DA279A"/>
    <w:rsid w:val="00DA3BA6"/>
    <w:rsid w:val="00DA5025"/>
    <w:rsid w:val="00DA541F"/>
    <w:rsid w:val="00DA564D"/>
    <w:rsid w:val="00DA5D52"/>
    <w:rsid w:val="00DA5F7C"/>
    <w:rsid w:val="00DA6954"/>
    <w:rsid w:val="00DA6C93"/>
    <w:rsid w:val="00DA74F4"/>
    <w:rsid w:val="00DA7CC3"/>
    <w:rsid w:val="00DA7E5F"/>
    <w:rsid w:val="00DA7EB1"/>
    <w:rsid w:val="00DA7F8D"/>
    <w:rsid w:val="00DB02B5"/>
    <w:rsid w:val="00DB0B67"/>
    <w:rsid w:val="00DB0E52"/>
    <w:rsid w:val="00DB0F62"/>
    <w:rsid w:val="00DB1ECD"/>
    <w:rsid w:val="00DB26FA"/>
    <w:rsid w:val="00DB3335"/>
    <w:rsid w:val="00DB33A8"/>
    <w:rsid w:val="00DB3D64"/>
    <w:rsid w:val="00DB431A"/>
    <w:rsid w:val="00DB49C0"/>
    <w:rsid w:val="00DB4A7E"/>
    <w:rsid w:val="00DB5010"/>
    <w:rsid w:val="00DB556D"/>
    <w:rsid w:val="00DB6809"/>
    <w:rsid w:val="00DB75A5"/>
    <w:rsid w:val="00DB7D1A"/>
    <w:rsid w:val="00DC0992"/>
    <w:rsid w:val="00DC126F"/>
    <w:rsid w:val="00DC16E6"/>
    <w:rsid w:val="00DC1F7E"/>
    <w:rsid w:val="00DC2F10"/>
    <w:rsid w:val="00DC3174"/>
    <w:rsid w:val="00DC353E"/>
    <w:rsid w:val="00DC3858"/>
    <w:rsid w:val="00DC3C19"/>
    <w:rsid w:val="00DC3D78"/>
    <w:rsid w:val="00DC54A1"/>
    <w:rsid w:val="00DC57DF"/>
    <w:rsid w:val="00DC604F"/>
    <w:rsid w:val="00DC6633"/>
    <w:rsid w:val="00DC69CF"/>
    <w:rsid w:val="00DC744F"/>
    <w:rsid w:val="00DC75CD"/>
    <w:rsid w:val="00DC7AD9"/>
    <w:rsid w:val="00DD025E"/>
    <w:rsid w:val="00DD058E"/>
    <w:rsid w:val="00DD1216"/>
    <w:rsid w:val="00DD1910"/>
    <w:rsid w:val="00DD1CC6"/>
    <w:rsid w:val="00DD2831"/>
    <w:rsid w:val="00DD2B37"/>
    <w:rsid w:val="00DD2B64"/>
    <w:rsid w:val="00DD2FE3"/>
    <w:rsid w:val="00DD3498"/>
    <w:rsid w:val="00DD35DD"/>
    <w:rsid w:val="00DD3CB3"/>
    <w:rsid w:val="00DD4C55"/>
    <w:rsid w:val="00DD535C"/>
    <w:rsid w:val="00DD578B"/>
    <w:rsid w:val="00DD5C39"/>
    <w:rsid w:val="00DD6D2C"/>
    <w:rsid w:val="00DD6D8D"/>
    <w:rsid w:val="00DD6EE5"/>
    <w:rsid w:val="00DD721B"/>
    <w:rsid w:val="00DD7238"/>
    <w:rsid w:val="00DD754F"/>
    <w:rsid w:val="00DD75F4"/>
    <w:rsid w:val="00DD7F42"/>
    <w:rsid w:val="00DE00C6"/>
    <w:rsid w:val="00DE0148"/>
    <w:rsid w:val="00DE0890"/>
    <w:rsid w:val="00DE0DF6"/>
    <w:rsid w:val="00DE149C"/>
    <w:rsid w:val="00DE169C"/>
    <w:rsid w:val="00DE17BB"/>
    <w:rsid w:val="00DE24DF"/>
    <w:rsid w:val="00DE2720"/>
    <w:rsid w:val="00DE2EF2"/>
    <w:rsid w:val="00DE3035"/>
    <w:rsid w:val="00DE4DA8"/>
    <w:rsid w:val="00DE4F4A"/>
    <w:rsid w:val="00DE4F8B"/>
    <w:rsid w:val="00DE5386"/>
    <w:rsid w:val="00DE5A81"/>
    <w:rsid w:val="00DE5FD4"/>
    <w:rsid w:val="00DE5FD5"/>
    <w:rsid w:val="00DE61DF"/>
    <w:rsid w:val="00DE669F"/>
    <w:rsid w:val="00DE7E20"/>
    <w:rsid w:val="00DE7EE8"/>
    <w:rsid w:val="00DE7F98"/>
    <w:rsid w:val="00DF093D"/>
    <w:rsid w:val="00DF09CD"/>
    <w:rsid w:val="00DF0A89"/>
    <w:rsid w:val="00DF0FBF"/>
    <w:rsid w:val="00DF121A"/>
    <w:rsid w:val="00DF165E"/>
    <w:rsid w:val="00DF1FA8"/>
    <w:rsid w:val="00DF287C"/>
    <w:rsid w:val="00DF3335"/>
    <w:rsid w:val="00DF36E8"/>
    <w:rsid w:val="00DF3EE9"/>
    <w:rsid w:val="00DF4285"/>
    <w:rsid w:val="00DF44D8"/>
    <w:rsid w:val="00DF4890"/>
    <w:rsid w:val="00DF4974"/>
    <w:rsid w:val="00DF4B18"/>
    <w:rsid w:val="00DF4B95"/>
    <w:rsid w:val="00DF4EED"/>
    <w:rsid w:val="00DF56C9"/>
    <w:rsid w:val="00DF5C03"/>
    <w:rsid w:val="00DF6C12"/>
    <w:rsid w:val="00DF756A"/>
    <w:rsid w:val="00DF7848"/>
    <w:rsid w:val="00DF78BE"/>
    <w:rsid w:val="00E00392"/>
    <w:rsid w:val="00E006DA"/>
    <w:rsid w:val="00E007B6"/>
    <w:rsid w:val="00E015FE"/>
    <w:rsid w:val="00E01C89"/>
    <w:rsid w:val="00E01F66"/>
    <w:rsid w:val="00E02257"/>
    <w:rsid w:val="00E02511"/>
    <w:rsid w:val="00E02C2A"/>
    <w:rsid w:val="00E02C77"/>
    <w:rsid w:val="00E032A3"/>
    <w:rsid w:val="00E04515"/>
    <w:rsid w:val="00E046D9"/>
    <w:rsid w:val="00E05404"/>
    <w:rsid w:val="00E059A0"/>
    <w:rsid w:val="00E05A54"/>
    <w:rsid w:val="00E0634E"/>
    <w:rsid w:val="00E073DC"/>
    <w:rsid w:val="00E07A16"/>
    <w:rsid w:val="00E07B63"/>
    <w:rsid w:val="00E07D88"/>
    <w:rsid w:val="00E07E1F"/>
    <w:rsid w:val="00E10023"/>
    <w:rsid w:val="00E10244"/>
    <w:rsid w:val="00E10A16"/>
    <w:rsid w:val="00E10B92"/>
    <w:rsid w:val="00E10BAB"/>
    <w:rsid w:val="00E11358"/>
    <w:rsid w:val="00E11AFE"/>
    <w:rsid w:val="00E11BD7"/>
    <w:rsid w:val="00E1247B"/>
    <w:rsid w:val="00E125BC"/>
    <w:rsid w:val="00E13607"/>
    <w:rsid w:val="00E13861"/>
    <w:rsid w:val="00E13EE1"/>
    <w:rsid w:val="00E14038"/>
    <w:rsid w:val="00E14735"/>
    <w:rsid w:val="00E149C5"/>
    <w:rsid w:val="00E150E0"/>
    <w:rsid w:val="00E1526F"/>
    <w:rsid w:val="00E15F19"/>
    <w:rsid w:val="00E163D0"/>
    <w:rsid w:val="00E166A8"/>
    <w:rsid w:val="00E1691D"/>
    <w:rsid w:val="00E1751D"/>
    <w:rsid w:val="00E17987"/>
    <w:rsid w:val="00E17FD5"/>
    <w:rsid w:val="00E2022B"/>
    <w:rsid w:val="00E2232E"/>
    <w:rsid w:val="00E22656"/>
    <w:rsid w:val="00E22852"/>
    <w:rsid w:val="00E24198"/>
    <w:rsid w:val="00E24284"/>
    <w:rsid w:val="00E24695"/>
    <w:rsid w:val="00E252AD"/>
    <w:rsid w:val="00E2575E"/>
    <w:rsid w:val="00E266B3"/>
    <w:rsid w:val="00E266EF"/>
    <w:rsid w:val="00E269C8"/>
    <w:rsid w:val="00E26A16"/>
    <w:rsid w:val="00E27C83"/>
    <w:rsid w:val="00E27E35"/>
    <w:rsid w:val="00E300EA"/>
    <w:rsid w:val="00E30113"/>
    <w:rsid w:val="00E30AB8"/>
    <w:rsid w:val="00E317BD"/>
    <w:rsid w:val="00E31903"/>
    <w:rsid w:val="00E31B06"/>
    <w:rsid w:val="00E329EF"/>
    <w:rsid w:val="00E336A5"/>
    <w:rsid w:val="00E33C02"/>
    <w:rsid w:val="00E3418E"/>
    <w:rsid w:val="00E35002"/>
    <w:rsid w:val="00E350E0"/>
    <w:rsid w:val="00E353A1"/>
    <w:rsid w:val="00E35C42"/>
    <w:rsid w:val="00E36017"/>
    <w:rsid w:val="00E368DB"/>
    <w:rsid w:val="00E36F22"/>
    <w:rsid w:val="00E37E12"/>
    <w:rsid w:val="00E40508"/>
    <w:rsid w:val="00E40632"/>
    <w:rsid w:val="00E40BF0"/>
    <w:rsid w:val="00E41112"/>
    <w:rsid w:val="00E42562"/>
    <w:rsid w:val="00E43984"/>
    <w:rsid w:val="00E43A61"/>
    <w:rsid w:val="00E4415A"/>
    <w:rsid w:val="00E44980"/>
    <w:rsid w:val="00E44AE5"/>
    <w:rsid w:val="00E44C0F"/>
    <w:rsid w:val="00E44F2F"/>
    <w:rsid w:val="00E45AC6"/>
    <w:rsid w:val="00E4705B"/>
    <w:rsid w:val="00E47319"/>
    <w:rsid w:val="00E47A6B"/>
    <w:rsid w:val="00E47D91"/>
    <w:rsid w:val="00E50011"/>
    <w:rsid w:val="00E501ED"/>
    <w:rsid w:val="00E51151"/>
    <w:rsid w:val="00E5151B"/>
    <w:rsid w:val="00E52E45"/>
    <w:rsid w:val="00E53C75"/>
    <w:rsid w:val="00E544DD"/>
    <w:rsid w:val="00E567C4"/>
    <w:rsid w:val="00E56C9C"/>
    <w:rsid w:val="00E57062"/>
    <w:rsid w:val="00E572E2"/>
    <w:rsid w:val="00E574E1"/>
    <w:rsid w:val="00E60418"/>
    <w:rsid w:val="00E60625"/>
    <w:rsid w:val="00E60F19"/>
    <w:rsid w:val="00E612CF"/>
    <w:rsid w:val="00E613F5"/>
    <w:rsid w:val="00E61A7B"/>
    <w:rsid w:val="00E61AF3"/>
    <w:rsid w:val="00E6293A"/>
    <w:rsid w:val="00E62B92"/>
    <w:rsid w:val="00E62FD6"/>
    <w:rsid w:val="00E6362F"/>
    <w:rsid w:val="00E63B53"/>
    <w:rsid w:val="00E63C40"/>
    <w:rsid w:val="00E63CDB"/>
    <w:rsid w:val="00E648F1"/>
    <w:rsid w:val="00E6552A"/>
    <w:rsid w:val="00E658E1"/>
    <w:rsid w:val="00E65CAF"/>
    <w:rsid w:val="00E66CE9"/>
    <w:rsid w:val="00E67623"/>
    <w:rsid w:val="00E67A16"/>
    <w:rsid w:val="00E7107C"/>
    <w:rsid w:val="00E72037"/>
    <w:rsid w:val="00E7270A"/>
    <w:rsid w:val="00E72815"/>
    <w:rsid w:val="00E729F4"/>
    <w:rsid w:val="00E737D3"/>
    <w:rsid w:val="00E73BDE"/>
    <w:rsid w:val="00E73F21"/>
    <w:rsid w:val="00E742E0"/>
    <w:rsid w:val="00E746F6"/>
    <w:rsid w:val="00E749B5"/>
    <w:rsid w:val="00E75397"/>
    <w:rsid w:val="00E75456"/>
    <w:rsid w:val="00E755A8"/>
    <w:rsid w:val="00E75B89"/>
    <w:rsid w:val="00E75D8A"/>
    <w:rsid w:val="00E76001"/>
    <w:rsid w:val="00E76189"/>
    <w:rsid w:val="00E76253"/>
    <w:rsid w:val="00E764B9"/>
    <w:rsid w:val="00E76827"/>
    <w:rsid w:val="00E76A51"/>
    <w:rsid w:val="00E77D7A"/>
    <w:rsid w:val="00E80182"/>
    <w:rsid w:val="00E80CE4"/>
    <w:rsid w:val="00E82650"/>
    <w:rsid w:val="00E83141"/>
    <w:rsid w:val="00E838B1"/>
    <w:rsid w:val="00E84263"/>
    <w:rsid w:val="00E8446C"/>
    <w:rsid w:val="00E8454A"/>
    <w:rsid w:val="00E84F78"/>
    <w:rsid w:val="00E85174"/>
    <w:rsid w:val="00E853D1"/>
    <w:rsid w:val="00E8598B"/>
    <w:rsid w:val="00E859D1"/>
    <w:rsid w:val="00E85D3A"/>
    <w:rsid w:val="00E8605C"/>
    <w:rsid w:val="00E860B0"/>
    <w:rsid w:val="00E875E1"/>
    <w:rsid w:val="00E91635"/>
    <w:rsid w:val="00E91AAB"/>
    <w:rsid w:val="00E91F6D"/>
    <w:rsid w:val="00E92317"/>
    <w:rsid w:val="00E9237D"/>
    <w:rsid w:val="00E92E25"/>
    <w:rsid w:val="00E938DD"/>
    <w:rsid w:val="00E93E85"/>
    <w:rsid w:val="00E93EE7"/>
    <w:rsid w:val="00E942FF"/>
    <w:rsid w:val="00E9438C"/>
    <w:rsid w:val="00E9560E"/>
    <w:rsid w:val="00E95F26"/>
    <w:rsid w:val="00E96157"/>
    <w:rsid w:val="00E968EC"/>
    <w:rsid w:val="00E97963"/>
    <w:rsid w:val="00E97CB6"/>
    <w:rsid w:val="00E97EA0"/>
    <w:rsid w:val="00EA06A4"/>
    <w:rsid w:val="00EA086C"/>
    <w:rsid w:val="00EA1841"/>
    <w:rsid w:val="00EA1E3F"/>
    <w:rsid w:val="00EA1E82"/>
    <w:rsid w:val="00EA2961"/>
    <w:rsid w:val="00EA2CFA"/>
    <w:rsid w:val="00EA2E94"/>
    <w:rsid w:val="00EA3212"/>
    <w:rsid w:val="00EA3FCD"/>
    <w:rsid w:val="00EA4435"/>
    <w:rsid w:val="00EA47E2"/>
    <w:rsid w:val="00EA5512"/>
    <w:rsid w:val="00EA5B3E"/>
    <w:rsid w:val="00EA6055"/>
    <w:rsid w:val="00EA7A59"/>
    <w:rsid w:val="00EB019A"/>
    <w:rsid w:val="00EB05B0"/>
    <w:rsid w:val="00EB05B6"/>
    <w:rsid w:val="00EB173D"/>
    <w:rsid w:val="00EB2144"/>
    <w:rsid w:val="00EB232B"/>
    <w:rsid w:val="00EB2335"/>
    <w:rsid w:val="00EB38AC"/>
    <w:rsid w:val="00EB394A"/>
    <w:rsid w:val="00EB39B5"/>
    <w:rsid w:val="00EB3EE7"/>
    <w:rsid w:val="00EB43A9"/>
    <w:rsid w:val="00EB4635"/>
    <w:rsid w:val="00EB4865"/>
    <w:rsid w:val="00EB48A3"/>
    <w:rsid w:val="00EB4C50"/>
    <w:rsid w:val="00EB553D"/>
    <w:rsid w:val="00EB5934"/>
    <w:rsid w:val="00EB5E96"/>
    <w:rsid w:val="00EB5EAE"/>
    <w:rsid w:val="00EB5F60"/>
    <w:rsid w:val="00EB6797"/>
    <w:rsid w:val="00EB6991"/>
    <w:rsid w:val="00EB6FBE"/>
    <w:rsid w:val="00EB730A"/>
    <w:rsid w:val="00EB73A9"/>
    <w:rsid w:val="00EB7502"/>
    <w:rsid w:val="00EC0507"/>
    <w:rsid w:val="00EC08D3"/>
    <w:rsid w:val="00EC0955"/>
    <w:rsid w:val="00EC2958"/>
    <w:rsid w:val="00EC2E1D"/>
    <w:rsid w:val="00EC3018"/>
    <w:rsid w:val="00EC3101"/>
    <w:rsid w:val="00EC3782"/>
    <w:rsid w:val="00EC38D6"/>
    <w:rsid w:val="00EC4414"/>
    <w:rsid w:val="00EC47BD"/>
    <w:rsid w:val="00EC54C0"/>
    <w:rsid w:val="00EC5A9C"/>
    <w:rsid w:val="00EC5D08"/>
    <w:rsid w:val="00EC5E23"/>
    <w:rsid w:val="00EC619D"/>
    <w:rsid w:val="00EC74F0"/>
    <w:rsid w:val="00EC7505"/>
    <w:rsid w:val="00ED0631"/>
    <w:rsid w:val="00ED0849"/>
    <w:rsid w:val="00ED1006"/>
    <w:rsid w:val="00ED1615"/>
    <w:rsid w:val="00ED1EF9"/>
    <w:rsid w:val="00ED28AA"/>
    <w:rsid w:val="00ED2AE5"/>
    <w:rsid w:val="00ED2CD8"/>
    <w:rsid w:val="00ED3071"/>
    <w:rsid w:val="00ED3F45"/>
    <w:rsid w:val="00ED4248"/>
    <w:rsid w:val="00ED465E"/>
    <w:rsid w:val="00ED4A21"/>
    <w:rsid w:val="00ED520F"/>
    <w:rsid w:val="00ED569B"/>
    <w:rsid w:val="00ED6517"/>
    <w:rsid w:val="00ED665D"/>
    <w:rsid w:val="00ED6765"/>
    <w:rsid w:val="00ED745C"/>
    <w:rsid w:val="00ED7A62"/>
    <w:rsid w:val="00EE0674"/>
    <w:rsid w:val="00EE07B8"/>
    <w:rsid w:val="00EE0E31"/>
    <w:rsid w:val="00EE113F"/>
    <w:rsid w:val="00EE19E1"/>
    <w:rsid w:val="00EE205C"/>
    <w:rsid w:val="00EE26AD"/>
    <w:rsid w:val="00EE2829"/>
    <w:rsid w:val="00EE3129"/>
    <w:rsid w:val="00EE4083"/>
    <w:rsid w:val="00EE46B4"/>
    <w:rsid w:val="00EE48A2"/>
    <w:rsid w:val="00EE5275"/>
    <w:rsid w:val="00EE668C"/>
    <w:rsid w:val="00EE6CEA"/>
    <w:rsid w:val="00EE7223"/>
    <w:rsid w:val="00EE7A22"/>
    <w:rsid w:val="00EF034D"/>
    <w:rsid w:val="00EF039B"/>
    <w:rsid w:val="00EF0AE6"/>
    <w:rsid w:val="00EF0C2D"/>
    <w:rsid w:val="00EF12EB"/>
    <w:rsid w:val="00EF16C4"/>
    <w:rsid w:val="00EF26D8"/>
    <w:rsid w:val="00EF282A"/>
    <w:rsid w:val="00EF2881"/>
    <w:rsid w:val="00EF28FE"/>
    <w:rsid w:val="00EF2DEB"/>
    <w:rsid w:val="00EF3314"/>
    <w:rsid w:val="00EF34C0"/>
    <w:rsid w:val="00EF3AC0"/>
    <w:rsid w:val="00EF3E79"/>
    <w:rsid w:val="00EF41AF"/>
    <w:rsid w:val="00EF422C"/>
    <w:rsid w:val="00EF4CD2"/>
    <w:rsid w:val="00EF5118"/>
    <w:rsid w:val="00EF52E7"/>
    <w:rsid w:val="00EF54EB"/>
    <w:rsid w:val="00EF5D78"/>
    <w:rsid w:val="00EF67A5"/>
    <w:rsid w:val="00EF6BE4"/>
    <w:rsid w:val="00EF6D1B"/>
    <w:rsid w:val="00F0015E"/>
    <w:rsid w:val="00F00591"/>
    <w:rsid w:val="00F01326"/>
    <w:rsid w:val="00F01D37"/>
    <w:rsid w:val="00F01F44"/>
    <w:rsid w:val="00F0268A"/>
    <w:rsid w:val="00F0386F"/>
    <w:rsid w:val="00F04264"/>
    <w:rsid w:val="00F04D0F"/>
    <w:rsid w:val="00F04FAE"/>
    <w:rsid w:val="00F06161"/>
    <w:rsid w:val="00F063C2"/>
    <w:rsid w:val="00F06419"/>
    <w:rsid w:val="00F06B08"/>
    <w:rsid w:val="00F07992"/>
    <w:rsid w:val="00F106F7"/>
    <w:rsid w:val="00F10FD0"/>
    <w:rsid w:val="00F1119F"/>
    <w:rsid w:val="00F114BA"/>
    <w:rsid w:val="00F11847"/>
    <w:rsid w:val="00F11FE4"/>
    <w:rsid w:val="00F12269"/>
    <w:rsid w:val="00F1240D"/>
    <w:rsid w:val="00F13661"/>
    <w:rsid w:val="00F136C9"/>
    <w:rsid w:val="00F13793"/>
    <w:rsid w:val="00F13945"/>
    <w:rsid w:val="00F13C07"/>
    <w:rsid w:val="00F13D63"/>
    <w:rsid w:val="00F14FF9"/>
    <w:rsid w:val="00F15096"/>
    <w:rsid w:val="00F15587"/>
    <w:rsid w:val="00F159F5"/>
    <w:rsid w:val="00F15F19"/>
    <w:rsid w:val="00F16D7F"/>
    <w:rsid w:val="00F16DD5"/>
    <w:rsid w:val="00F1759A"/>
    <w:rsid w:val="00F178CB"/>
    <w:rsid w:val="00F17AEA"/>
    <w:rsid w:val="00F17BC9"/>
    <w:rsid w:val="00F2107E"/>
    <w:rsid w:val="00F21968"/>
    <w:rsid w:val="00F21B7B"/>
    <w:rsid w:val="00F224D4"/>
    <w:rsid w:val="00F229F7"/>
    <w:rsid w:val="00F22B1E"/>
    <w:rsid w:val="00F23C9E"/>
    <w:rsid w:val="00F23CF8"/>
    <w:rsid w:val="00F2413C"/>
    <w:rsid w:val="00F24594"/>
    <w:rsid w:val="00F24830"/>
    <w:rsid w:val="00F24DB6"/>
    <w:rsid w:val="00F24F66"/>
    <w:rsid w:val="00F254DB"/>
    <w:rsid w:val="00F25B4A"/>
    <w:rsid w:val="00F25E5A"/>
    <w:rsid w:val="00F25F2B"/>
    <w:rsid w:val="00F26E9A"/>
    <w:rsid w:val="00F2742C"/>
    <w:rsid w:val="00F30376"/>
    <w:rsid w:val="00F30E18"/>
    <w:rsid w:val="00F312C1"/>
    <w:rsid w:val="00F3186F"/>
    <w:rsid w:val="00F31AE5"/>
    <w:rsid w:val="00F32041"/>
    <w:rsid w:val="00F3349C"/>
    <w:rsid w:val="00F33A4C"/>
    <w:rsid w:val="00F33D77"/>
    <w:rsid w:val="00F33E92"/>
    <w:rsid w:val="00F34326"/>
    <w:rsid w:val="00F343A3"/>
    <w:rsid w:val="00F34D68"/>
    <w:rsid w:val="00F3696D"/>
    <w:rsid w:val="00F37351"/>
    <w:rsid w:val="00F40788"/>
    <w:rsid w:val="00F41657"/>
    <w:rsid w:val="00F42784"/>
    <w:rsid w:val="00F439DC"/>
    <w:rsid w:val="00F43AD2"/>
    <w:rsid w:val="00F446F9"/>
    <w:rsid w:val="00F449B0"/>
    <w:rsid w:val="00F44ACD"/>
    <w:rsid w:val="00F44F54"/>
    <w:rsid w:val="00F450F7"/>
    <w:rsid w:val="00F451B9"/>
    <w:rsid w:val="00F455C4"/>
    <w:rsid w:val="00F4593C"/>
    <w:rsid w:val="00F45FEF"/>
    <w:rsid w:val="00F50391"/>
    <w:rsid w:val="00F50511"/>
    <w:rsid w:val="00F5053C"/>
    <w:rsid w:val="00F50EE5"/>
    <w:rsid w:val="00F51435"/>
    <w:rsid w:val="00F51D3A"/>
    <w:rsid w:val="00F51FE5"/>
    <w:rsid w:val="00F5226E"/>
    <w:rsid w:val="00F52A5D"/>
    <w:rsid w:val="00F5337E"/>
    <w:rsid w:val="00F53380"/>
    <w:rsid w:val="00F5355F"/>
    <w:rsid w:val="00F537C0"/>
    <w:rsid w:val="00F53A23"/>
    <w:rsid w:val="00F53F31"/>
    <w:rsid w:val="00F548E4"/>
    <w:rsid w:val="00F551FB"/>
    <w:rsid w:val="00F56BB0"/>
    <w:rsid w:val="00F56DE5"/>
    <w:rsid w:val="00F5759B"/>
    <w:rsid w:val="00F579D2"/>
    <w:rsid w:val="00F60957"/>
    <w:rsid w:val="00F60F21"/>
    <w:rsid w:val="00F61386"/>
    <w:rsid w:val="00F614CC"/>
    <w:rsid w:val="00F6167E"/>
    <w:rsid w:val="00F61BC2"/>
    <w:rsid w:val="00F62096"/>
    <w:rsid w:val="00F627DE"/>
    <w:rsid w:val="00F628D3"/>
    <w:rsid w:val="00F64918"/>
    <w:rsid w:val="00F6539F"/>
    <w:rsid w:val="00F658D8"/>
    <w:rsid w:val="00F65B76"/>
    <w:rsid w:val="00F66734"/>
    <w:rsid w:val="00F668CA"/>
    <w:rsid w:val="00F67CF4"/>
    <w:rsid w:val="00F70016"/>
    <w:rsid w:val="00F70225"/>
    <w:rsid w:val="00F710C5"/>
    <w:rsid w:val="00F712BC"/>
    <w:rsid w:val="00F7177D"/>
    <w:rsid w:val="00F72AC3"/>
    <w:rsid w:val="00F74CF3"/>
    <w:rsid w:val="00F74F27"/>
    <w:rsid w:val="00F750CC"/>
    <w:rsid w:val="00F75464"/>
    <w:rsid w:val="00F757C4"/>
    <w:rsid w:val="00F75AA4"/>
    <w:rsid w:val="00F75B3F"/>
    <w:rsid w:val="00F75C35"/>
    <w:rsid w:val="00F75E11"/>
    <w:rsid w:val="00F764B4"/>
    <w:rsid w:val="00F7652D"/>
    <w:rsid w:val="00F77125"/>
    <w:rsid w:val="00F77230"/>
    <w:rsid w:val="00F77A6F"/>
    <w:rsid w:val="00F77B95"/>
    <w:rsid w:val="00F810D1"/>
    <w:rsid w:val="00F81294"/>
    <w:rsid w:val="00F813AF"/>
    <w:rsid w:val="00F82C97"/>
    <w:rsid w:val="00F83145"/>
    <w:rsid w:val="00F832AC"/>
    <w:rsid w:val="00F83BEC"/>
    <w:rsid w:val="00F83DAA"/>
    <w:rsid w:val="00F84230"/>
    <w:rsid w:val="00F843DF"/>
    <w:rsid w:val="00F851DA"/>
    <w:rsid w:val="00F8598E"/>
    <w:rsid w:val="00F85A7A"/>
    <w:rsid w:val="00F85ECE"/>
    <w:rsid w:val="00F860C0"/>
    <w:rsid w:val="00F86232"/>
    <w:rsid w:val="00F865B7"/>
    <w:rsid w:val="00F874FF"/>
    <w:rsid w:val="00F87CFC"/>
    <w:rsid w:val="00F9035C"/>
    <w:rsid w:val="00F90418"/>
    <w:rsid w:val="00F906E0"/>
    <w:rsid w:val="00F906F4"/>
    <w:rsid w:val="00F90FA1"/>
    <w:rsid w:val="00F90FE5"/>
    <w:rsid w:val="00F92C96"/>
    <w:rsid w:val="00F93064"/>
    <w:rsid w:val="00F93809"/>
    <w:rsid w:val="00F93B49"/>
    <w:rsid w:val="00F93CB6"/>
    <w:rsid w:val="00F93CF4"/>
    <w:rsid w:val="00F93E5E"/>
    <w:rsid w:val="00F943C1"/>
    <w:rsid w:val="00F944B6"/>
    <w:rsid w:val="00F945F4"/>
    <w:rsid w:val="00F94E7E"/>
    <w:rsid w:val="00F95176"/>
    <w:rsid w:val="00F96769"/>
    <w:rsid w:val="00F967B4"/>
    <w:rsid w:val="00F96E46"/>
    <w:rsid w:val="00F97339"/>
    <w:rsid w:val="00F976F1"/>
    <w:rsid w:val="00F97962"/>
    <w:rsid w:val="00F97D9C"/>
    <w:rsid w:val="00FA02A8"/>
    <w:rsid w:val="00FA077B"/>
    <w:rsid w:val="00FA0AF1"/>
    <w:rsid w:val="00FA15E9"/>
    <w:rsid w:val="00FA2381"/>
    <w:rsid w:val="00FA2B93"/>
    <w:rsid w:val="00FA2BC1"/>
    <w:rsid w:val="00FA2DC8"/>
    <w:rsid w:val="00FA3231"/>
    <w:rsid w:val="00FA33E3"/>
    <w:rsid w:val="00FA3816"/>
    <w:rsid w:val="00FA3896"/>
    <w:rsid w:val="00FA3AA6"/>
    <w:rsid w:val="00FA3CB2"/>
    <w:rsid w:val="00FA45E2"/>
    <w:rsid w:val="00FA4822"/>
    <w:rsid w:val="00FA4F2B"/>
    <w:rsid w:val="00FA525A"/>
    <w:rsid w:val="00FA5D33"/>
    <w:rsid w:val="00FA6A7A"/>
    <w:rsid w:val="00FA6ECF"/>
    <w:rsid w:val="00FA78FD"/>
    <w:rsid w:val="00FA7BCD"/>
    <w:rsid w:val="00FB0E59"/>
    <w:rsid w:val="00FB13F3"/>
    <w:rsid w:val="00FB149D"/>
    <w:rsid w:val="00FB1642"/>
    <w:rsid w:val="00FB17FB"/>
    <w:rsid w:val="00FB1A25"/>
    <w:rsid w:val="00FB2692"/>
    <w:rsid w:val="00FB27EB"/>
    <w:rsid w:val="00FB280D"/>
    <w:rsid w:val="00FB2DBC"/>
    <w:rsid w:val="00FB2F32"/>
    <w:rsid w:val="00FB3498"/>
    <w:rsid w:val="00FB3BB2"/>
    <w:rsid w:val="00FB3E7D"/>
    <w:rsid w:val="00FB5FB1"/>
    <w:rsid w:val="00FB6065"/>
    <w:rsid w:val="00FB6DBB"/>
    <w:rsid w:val="00FB709F"/>
    <w:rsid w:val="00FB7275"/>
    <w:rsid w:val="00FB7282"/>
    <w:rsid w:val="00FB7636"/>
    <w:rsid w:val="00FB775E"/>
    <w:rsid w:val="00FB7D1B"/>
    <w:rsid w:val="00FB7F5A"/>
    <w:rsid w:val="00FC0677"/>
    <w:rsid w:val="00FC10D9"/>
    <w:rsid w:val="00FC14F3"/>
    <w:rsid w:val="00FC1839"/>
    <w:rsid w:val="00FC185F"/>
    <w:rsid w:val="00FC1871"/>
    <w:rsid w:val="00FC1984"/>
    <w:rsid w:val="00FC2051"/>
    <w:rsid w:val="00FC316E"/>
    <w:rsid w:val="00FC34A6"/>
    <w:rsid w:val="00FC3D23"/>
    <w:rsid w:val="00FC409F"/>
    <w:rsid w:val="00FC4565"/>
    <w:rsid w:val="00FC4871"/>
    <w:rsid w:val="00FC4C53"/>
    <w:rsid w:val="00FC4F15"/>
    <w:rsid w:val="00FC52CE"/>
    <w:rsid w:val="00FC5454"/>
    <w:rsid w:val="00FC59E9"/>
    <w:rsid w:val="00FC59FA"/>
    <w:rsid w:val="00FC5AAC"/>
    <w:rsid w:val="00FC5B36"/>
    <w:rsid w:val="00FC5C34"/>
    <w:rsid w:val="00FC60F9"/>
    <w:rsid w:val="00FC63F8"/>
    <w:rsid w:val="00FC7377"/>
    <w:rsid w:val="00FC7DC5"/>
    <w:rsid w:val="00FC7E0F"/>
    <w:rsid w:val="00FD04C0"/>
    <w:rsid w:val="00FD1022"/>
    <w:rsid w:val="00FD125C"/>
    <w:rsid w:val="00FD130C"/>
    <w:rsid w:val="00FD1EC1"/>
    <w:rsid w:val="00FD3078"/>
    <w:rsid w:val="00FD3370"/>
    <w:rsid w:val="00FD3C98"/>
    <w:rsid w:val="00FD49D3"/>
    <w:rsid w:val="00FD4BE9"/>
    <w:rsid w:val="00FD4D7D"/>
    <w:rsid w:val="00FD59BF"/>
    <w:rsid w:val="00FD6329"/>
    <w:rsid w:val="00FD69B5"/>
    <w:rsid w:val="00FD6F70"/>
    <w:rsid w:val="00FD706A"/>
    <w:rsid w:val="00FD74A9"/>
    <w:rsid w:val="00FD770D"/>
    <w:rsid w:val="00FE0758"/>
    <w:rsid w:val="00FE0C51"/>
    <w:rsid w:val="00FE0C61"/>
    <w:rsid w:val="00FE0DFE"/>
    <w:rsid w:val="00FE12A4"/>
    <w:rsid w:val="00FE2C42"/>
    <w:rsid w:val="00FE2D22"/>
    <w:rsid w:val="00FE2DBA"/>
    <w:rsid w:val="00FE333D"/>
    <w:rsid w:val="00FE359A"/>
    <w:rsid w:val="00FE4AC6"/>
    <w:rsid w:val="00FE4B57"/>
    <w:rsid w:val="00FE5197"/>
    <w:rsid w:val="00FE5493"/>
    <w:rsid w:val="00FE575B"/>
    <w:rsid w:val="00FE59E5"/>
    <w:rsid w:val="00FE5C70"/>
    <w:rsid w:val="00FE6333"/>
    <w:rsid w:val="00FE66AD"/>
    <w:rsid w:val="00FE6CF1"/>
    <w:rsid w:val="00FE6E6B"/>
    <w:rsid w:val="00FE71F6"/>
    <w:rsid w:val="00FE7397"/>
    <w:rsid w:val="00FE776F"/>
    <w:rsid w:val="00FE7E6F"/>
    <w:rsid w:val="00FE7FB4"/>
    <w:rsid w:val="00FF0BA2"/>
    <w:rsid w:val="00FF0BBE"/>
    <w:rsid w:val="00FF13E9"/>
    <w:rsid w:val="00FF157D"/>
    <w:rsid w:val="00FF1599"/>
    <w:rsid w:val="00FF16A8"/>
    <w:rsid w:val="00FF1D65"/>
    <w:rsid w:val="00FF26F6"/>
    <w:rsid w:val="00FF2BD4"/>
    <w:rsid w:val="00FF32B3"/>
    <w:rsid w:val="00FF37F5"/>
    <w:rsid w:val="00FF39C2"/>
    <w:rsid w:val="00FF3ACA"/>
    <w:rsid w:val="00FF3D04"/>
    <w:rsid w:val="00FF3E7A"/>
    <w:rsid w:val="00FF4908"/>
    <w:rsid w:val="00FF4CED"/>
    <w:rsid w:val="00FF4D25"/>
    <w:rsid w:val="00FF4F2C"/>
    <w:rsid w:val="00FF67D0"/>
    <w:rsid w:val="00FF6BD5"/>
    <w:rsid w:val="00FF7055"/>
    <w:rsid w:val="00FF7242"/>
    <w:rsid w:val="00FF7508"/>
    <w:rsid w:val="00FF7705"/>
    <w:rsid w:val="00FF7A4F"/>
    <w:rsid w:val="00FF7DB6"/>
    <w:rsid w:val="011B315F"/>
    <w:rsid w:val="01254B47"/>
    <w:rsid w:val="016D4D19"/>
    <w:rsid w:val="01DC6B4C"/>
    <w:rsid w:val="01E477A0"/>
    <w:rsid w:val="01E778C1"/>
    <w:rsid w:val="01EF3980"/>
    <w:rsid w:val="02254CB1"/>
    <w:rsid w:val="022B0E5C"/>
    <w:rsid w:val="02713324"/>
    <w:rsid w:val="027345B1"/>
    <w:rsid w:val="02977FA8"/>
    <w:rsid w:val="029E1990"/>
    <w:rsid w:val="02BF3386"/>
    <w:rsid w:val="02C3457D"/>
    <w:rsid w:val="02C60B85"/>
    <w:rsid w:val="02ED347A"/>
    <w:rsid w:val="030F12F9"/>
    <w:rsid w:val="03125B78"/>
    <w:rsid w:val="0397575E"/>
    <w:rsid w:val="03BD48C9"/>
    <w:rsid w:val="03CE5F43"/>
    <w:rsid w:val="0402593B"/>
    <w:rsid w:val="041408DB"/>
    <w:rsid w:val="048B3E34"/>
    <w:rsid w:val="049E38E4"/>
    <w:rsid w:val="04AC51BF"/>
    <w:rsid w:val="050575C5"/>
    <w:rsid w:val="051143EE"/>
    <w:rsid w:val="05325030"/>
    <w:rsid w:val="054146AE"/>
    <w:rsid w:val="05636384"/>
    <w:rsid w:val="056A717C"/>
    <w:rsid w:val="05922D97"/>
    <w:rsid w:val="05A41E2B"/>
    <w:rsid w:val="05FA499F"/>
    <w:rsid w:val="06143F69"/>
    <w:rsid w:val="06246AB5"/>
    <w:rsid w:val="06663925"/>
    <w:rsid w:val="06763FF2"/>
    <w:rsid w:val="068E4431"/>
    <w:rsid w:val="069845E6"/>
    <w:rsid w:val="069B6A3E"/>
    <w:rsid w:val="06A63891"/>
    <w:rsid w:val="06AE0568"/>
    <w:rsid w:val="06B849DC"/>
    <w:rsid w:val="07373F93"/>
    <w:rsid w:val="073A2B42"/>
    <w:rsid w:val="0766724D"/>
    <w:rsid w:val="07903FAB"/>
    <w:rsid w:val="07CE5490"/>
    <w:rsid w:val="07DA7D16"/>
    <w:rsid w:val="07DC0AD6"/>
    <w:rsid w:val="07EF7837"/>
    <w:rsid w:val="082645D8"/>
    <w:rsid w:val="084A38C8"/>
    <w:rsid w:val="087D0733"/>
    <w:rsid w:val="08963036"/>
    <w:rsid w:val="08A74FB5"/>
    <w:rsid w:val="094A12D9"/>
    <w:rsid w:val="09784973"/>
    <w:rsid w:val="09843FD9"/>
    <w:rsid w:val="0985301E"/>
    <w:rsid w:val="09D05E45"/>
    <w:rsid w:val="0A0A00B0"/>
    <w:rsid w:val="0A3E36F7"/>
    <w:rsid w:val="0A4F6882"/>
    <w:rsid w:val="0A64709F"/>
    <w:rsid w:val="0A814059"/>
    <w:rsid w:val="0A952305"/>
    <w:rsid w:val="0AE572E7"/>
    <w:rsid w:val="0AF62F1C"/>
    <w:rsid w:val="0B37114E"/>
    <w:rsid w:val="0B7D77F3"/>
    <w:rsid w:val="0B88035F"/>
    <w:rsid w:val="0BFA364D"/>
    <w:rsid w:val="0C003508"/>
    <w:rsid w:val="0C6B7D33"/>
    <w:rsid w:val="0C8538F8"/>
    <w:rsid w:val="0C9F2A55"/>
    <w:rsid w:val="0CA9158B"/>
    <w:rsid w:val="0CBD1FEE"/>
    <w:rsid w:val="0CF14A50"/>
    <w:rsid w:val="0D23137D"/>
    <w:rsid w:val="0D3037CB"/>
    <w:rsid w:val="0D671AAB"/>
    <w:rsid w:val="0D763C46"/>
    <w:rsid w:val="0DC34E14"/>
    <w:rsid w:val="0DC5350B"/>
    <w:rsid w:val="0DEC516A"/>
    <w:rsid w:val="0DFC5CBC"/>
    <w:rsid w:val="0E115C32"/>
    <w:rsid w:val="0E602CB4"/>
    <w:rsid w:val="0ECA1E5F"/>
    <w:rsid w:val="0ECB65FF"/>
    <w:rsid w:val="0EDE78EA"/>
    <w:rsid w:val="0EEE6F7B"/>
    <w:rsid w:val="0F0D619A"/>
    <w:rsid w:val="0F7B4AA5"/>
    <w:rsid w:val="0FAE064F"/>
    <w:rsid w:val="102D27F1"/>
    <w:rsid w:val="102E433D"/>
    <w:rsid w:val="10574271"/>
    <w:rsid w:val="106F4CF2"/>
    <w:rsid w:val="10A647FA"/>
    <w:rsid w:val="11072A94"/>
    <w:rsid w:val="11205A21"/>
    <w:rsid w:val="11286567"/>
    <w:rsid w:val="11290A17"/>
    <w:rsid w:val="115A0E16"/>
    <w:rsid w:val="118E286E"/>
    <w:rsid w:val="11930458"/>
    <w:rsid w:val="11AB209D"/>
    <w:rsid w:val="11C307EF"/>
    <w:rsid w:val="11C725F9"/>
    <w:rsid w:val="11F30C5D"/>
    <w:rsid w:val="120314AE"/>
    <w:rsid w:val="12567DDC"/>
    <w:rsid w:val="12721EF0"/>
    <w:rsid w:val="128E407F"/>
    <w:rsid w:val="129E4BFF"/>
    <w:rsid w:val="137837D5"/>
    <w:rsid w:val="13A1066A"/>
    <w:rsid w:val="13B30CB1"/>
    <w:rsid w:val="13E85A91"/>
    <w:rsid w:val="13F06714"/>
    <w:rsid w:val="14157FB8"/>
    <w:rsid w:val="143E45E2"/>
    <w:rsid w:val="14B572C9"/>
    <w:rsid w:val="14D6007C"/>
    <w:rsid w:val="14DF5994"/>
    <w:rsid w:val="14F1517E"/>
    <w:rsid w:val="150D2891"/>
    <w:rsid w:val="15AC6F6E"/>
    <w:rsid w:val="15C7144D"/>
    <w:rsid w:val="15CA5E3E"/>
    <w:rsid w:val="15D8012E"/>
    <w:rsid w:val="15E275F7"/>
    <w:rsid w:val="15F05D99"/>
    <w:rsid w:val="163363C7"/>
    <w:rsid w:val="16707716"/>
    <w:rsid w:val="168359EB"/>
    <w:rsid w:val="16B94831"/>
    <w:rsid w:val="16BA1B4C"/>
    <w:rsid w:val="16DD1E23"/>
    <w:rsid w:val="174340FA"/>
    <w:rsid w:val="18553D2D"/>
    <w:rsid w:val="18561C0B"/>
    <w:rsid w:val="18575CB1"/>
    <w:rsid w:val="18617891"/>
    <w:rsid w:val="18A5509D"/>
    <w:rsid w:val="18C15C1F"/>
    <w:rsid w:val="18D25D45"/>
    <w:rsid w:val="18D531F9"/>
    <w:rsid w:val="18E05C9A"/>
    <w:rsid w:val="18EA6564"/>
    <w:rsid w:val="19145B32"/>
    <w:rsid w:val="193378B8"/>
    <w:rsid w:val="195F3160"/>
    <w:rsid w:val="197A3028"/>
    <w:rsid w:val="19D96F98"/>
    <w:rsid w:val="19F05ACF"/>
    <w:rsid w:val="19F94F44"/>
    <w:rsid w:val="1A4F5E9C"/>
    <w:rsid w:val="1A5E3492"/>
    <w:rsid w:val="1A71364F"/>
    <w:rsid w:val="1A8C2264"/>
    <w:rsid w:val="1A984B7B"/>
    <w:rsid w:val="1AAE6993"/>
    <w:rsid w:val="1B041D3A"/>
    <w:rsid w:val="1B0A286E"/>
    <w:rsid w:val="1B102525"/>
    <w:rsid w:val="1B520960"/>
    <w:rsid w:val="1B5A79EF"/>
    <w:rsid w:val="1B8F5DF0"/>
    <w:rsid w:val="1BB75806"/>
    <w:rsid w:val="1BEC20F0"/>
    <w:rsid w:val="1C365FDC"/>
    <w:rsid w:val="1C452B8A"/>
    <w:rsid w:val="1C4900D5"/>
    <w:rsid w:val="1C5B133C"/>
    <w:rsid w:val="1C6125B4"/>
    <w:rsid w:val="1CB57E73"/>
    <w:rsid w:val="1CCB0222"/>
    <w:rsid w:val="1CF10D17"/>
    <w:rsid w:val="1D78533D"/>
    <w:rsid w:val="1D8D2573"/>
    <w:rsid w:val="1D9779FD"/>
    <w:rsid w:val="1E052483"/>
    <w:rsid w:val="1E4E0ED2"/>
    <w:rsid w:val="1E5906A7"/>
    <w:rsid w:val="1EAB5BC3"/>
    <w:rsid w:val="1EB145B2"/>
    <w:rsid w:val="1F3651BA"/>
    <w:rsid w:val="1F441ED2"/>
    <w:rsid w:val="1F4945E8"/>
    <w:rsid w:val="1F4E188E"/>
    <w:rsid w:val="1FAA740D"/>
    <w:rsid w:val="1FC211D1"/>
    <w:rsid w:val="1FCE2B76"/>
    <w:rsid w:val="201E62E2"/>
    <w:rsid w:val="2036799E"/>
    <w:rsid w:val="204D7CAC"/>
    <w:rsid w:val="20803427"/>
    <w:rsid w:val="20960FC0"/>
    <w:rsid w:val="20A7394C"/>
    <w:rsid w:val="20B23A58"/>
    <w:rsid w:val="20CD6E18"/>
    <w:rsid w:val="20CD6FAE"/>
    <w:rsid w:val="210777B9"/>
    <w:rsid w:val="210A093E"/>
    <w:rsid w:val="210F5E52"/>
    <w:rsid w:val="213309ED"/>
    <w:rsid w:val="21612F43"/>
    <w:rsid w:val="217E0240"/>
    <w:rsid w:val="21815F4B"/>
    <w:rsid w:val="21A210F1"/>
    <w:rsid w:val="21B57D4B"/>
    <w:rsid w:val="2222067E"/>
    <w:rsid w:val="222D0A85"/>
    <w:rsid w:val="222E1A88"/>
    <w:rsid w:val="22407BB4"/>
    <w:rsid w:val="228C453A"/>
    <w:rsid w:val="22BB76BB"/>
    <w:rsid w:val="22E5075C"/>
    <w:rsid w:val="23194188"/>
    <w:rsid w:val="231A44F4"/>
    <w:rsid w:val="23733FB9"/>
    <w:rsid w:val="238241FC"/>
    <w:rsid w:val="23983979"/>
    <w:rsid w:val="23F23130"/>
    <w:rsid w:val="24056C4A"/>
    <w:rsid w:val="240F3F38"/>
    <w:rsid w:val="24180A2B"/>
    <w:rsid w:val="241D458E"/>
    <w:rsid w:val="24287622"/>
    <w:rsid w:val="24476B70"/>
    <w:rsid w:val="24765B0F"/>
    <w:rsid w:val="24C148B0"/>
    <w:rsid w:val="24DF23F4"/>
    <w:rsid w:val="24EF7670"/>
    <w:rsid w:val="25166B75"/>
    <w:rsid w:val="25424A26"/>
    <w:rsid w:val="25565941"/>
    <w:rsid w:val="25830A22"/>
    <w:rsid w:val="25974403"/>
    <w:rsid w:val="25C02ABC"/>
    <w:rsid w:val="25D5270A"/>
    <w:rsid w:val="263C4341"/>
    <w:rsid w:val="26625224"/>
    <w:rsid w:val="266E7692"/>
    <w:rsid w:val="269B457D"/>
    <w:rsid w:val="26AD00F7"/>
    <w:rsid w:val="26E24F00"/>
    <w:rsid w:val="27423F87"/>
    <w:rsid w:val="276B56D3"/>
    <w:rsid w:val="2773421E"/>
    <w:rsid w:val="27B40BF2"/>
    <w:rsid w:val="28205650"/>
    <w:rsid w:val="284877C3"/>
    <w:rsid w:val="28CF19C9"/>
    <w:rsid w:val="29003BF9"/>
    <w:rsid w:val="293D0829"/>
    <w:rsid w:val="293E4E86"/>
    <w:rsid w:val="294206B6"/>
    <w:rsid w:val="29A747DB"/>
    <w:rsid w:val="29E05F47"/>
    <w:rsid w:val="29F8110E"/>
    <w:rsid w:val="2A102562"/>
    <w:rsid w:val="2A3A6B7E"/>
    <w:rsid w:val="2A5E2DB2"/>
    <w:rsid w:val="2A9D5F4A"/>
    <w:rsid w:val="2AEF3F25"/>
    <w:rsid w:val="2B0F6376"/>
    <w:rsid w:val="2B4E4A6F"/>
    <w:rsid w:val="2B4F567C"/>
    <w:rsid w:val="2B6874B6"/>
    <w:rsid w:val="2B9003C6"/>
    <w:rsid w:val="2B9D2E87"/>
    <w:rsid w:val="2BA7414F"/>
    <w:rsid w:val="2BAA0794"/>
    <w:rsid w:val="2C0D5791"/>
    <w:rsid w:val="2C185A48"/>
    <w:rsid w:val="2C33078A"/>
    <w:rsid w:val="2C842012"/>
    <w:rsid w:val="2C943EDF"/>
    <w:rsid w:val="2CC562E9"/>
    <w:rsid w:val="2CCC160C"/>
    <w:rsid w:val="2D0B5263"/>
    <w:rsid w:val="2D360531"/>
    <w:rsid w:val="2D746EF7"/>
    <w:rsid w:val="2D7C3B82"/>
    <w:rsid w:val="2D8A5C56"/>
    <w:rsid w:val="2D957504"/>
    <w:rsid w:val="2DE06B77"/>
    <w:rsid w:val="2E411AE8"/>
    <w:rsid w:val="2E5073D1"/>
    <w:rsid w:val="2E6865FC"/>
    <w:rsid w:val="2ECE0A3B"/>
    <w:rsid w:val="2ECF32D4"/>
    <w:rsid w:val="2EE758F9"/>
    <w:rsid w:val="2EF20488"/>
    <w:rsid w:val="2EF23420"/>
    <w:rsid w:val="2F18654D"/>
    <w:rsid w:val="2F782627"/>
    <w:rsid w:val="2FAA435C"/>
    <w:rsid w:val="2FC021D1"/>
    <w:rsid w:val="2FE57FED"/>
    <w:rsid w:val="30246934"/>
    <w:rsid w:val="30260FA7"/>
    <w:rsid w:val="30267D71"/>
    <w:rsid w:val="3030051D"/>
    <w:rsid w:val="30752ED5"/>
    <w:rsid w:val="30C85143"/>
    <w:rsid w:val="30E55C9F"/>
    <w:rsid w:val="30F57A2F"/>
    <w:rsid w:val="31024210"/>
    <w:rsid w:val="316B2D83"/>
    <w:rsid w:val="318240A9"/>
    <w:rsid w:val="3186310A"/>
    <w:rsid w:val="319D0F51"/>
    <w:rsid w:val="31BF4C8F"/>
    <w:rsid w:val="31D05365"/>
    <w:rsid w:val="3200141D"/>
    <w:rsid w:val="322F3E02"/>
    <w:rsid w:val="32A83A13"/>
    <w:rsid w:val="32F403E2"/>
    <w:rsid w:val="32FE2BE7"/>
    <w:rsid w:val="330B38C7"/>
    <w:rsid w:val="33294694"/>
    <w:rsid w:val="333C43C8"/>
    <w:rsid w:val="333F7A61"/>
    <w:rsid w:val="33475D95"/>
    <w:rsid w:val="33677758"/>
    <w:rsid w:val="33BB60DF"/>
    <w:rsid w:val="340E684C"/>
    <w:rsid w:val="345C2BF0"/>
    <w:rsid w:val="346E76DC"/>
    <w:rsid w:val="349A4F58"/>
    <w:rsid w:val="3509522A"/>
    <w:rsid w:val="352670DE"/>
    <w:rsid w:val="35386E11"/>
    <w:rsid w:val="353A5C49"/>
    <w:rsid w:val="35654ED5"/>
    <w:rsid w:val="358C7ACB"/>
    <w:rsid w:val="35AA676D"/>
    <w:rsid w:val="35CE5EC5"/>
    <w:rsid w:val="35CF0223"/>
    <w:rsid w:val="35D70E87"/>
    <w:rsid w:val="35E00F44"/>
    <w:rsid w:val="35EA1EB9"/>
    <w:rsid w:val="35FA2066"/>
    <w:rsid w:val="360B655D"/>
    <w:rsid w:val="36317AE8"/>
    <w:rsid w:val="363D0E79"/>
    <w:rsid w:val="369D517D"/>
    <w:rsid w:val="369E56BC"/>
    <w:rsid w:val="36AE5111"/>
    <w:rsid w:val="36BC0067"/>
    <w:rsid w:val="36C56482"/>
    <w:rsid w:val="36CC5A7F"/>
    <w:rsid w:val="36F1243A"/>
    <w:rsid w:val="36F154C9"/>
    <w:rsid w:val="36F23F46"/>
    <w:rsid w:val="37141D1A"/>
    <w:rsid w:val="371F56BF"/>
    <w:rsid w:val="373D150F"/>
    <w:rsid w:val="37442A5C"/>
    <w:rsid w:val="374C0640"/>
    <w:rsid w:val="374C65C3"/>
    <w:rsid w:val="375C0B95"/>
    <w:rsid w:val="377759CE"/>
    <w:rsid w:val="37ED2948"/>
    <w:rsid w:val="38075D09"/>
    <w:rsid w:val="380D51F1"/>
    <w:rsid w:val="3826047B"/>
    <w:rsid w:val="38A81BB8"/>
    <w:rsid w:val="39395570"/>
    <w:rsid w:val="39607229"/>
    <w:rsid w:val="396E2E01"/>
    <w:rsid w:val="397F63D8"/>
    <w:rsid w:val="39A124FA"/>
    <w:rsid w:val="39FB3905"/>
    <w:rsid w:val="3A4A73CA"/>
    <w:rsid w:val="3AFF1664"/>
    <w:rsid w:val="3AFF6407"/>
    <w:rsid w:val="3B1E43B3"/>
    <w:rsid w:val="3B2C6AF7"/>
    <w:rsid w:val="3B8D6AEC"/>
    <w:rsid w:val="3B8E778B"/>
    <w:rsid w:val="3C437055"/>
    <w:rsid w:val="3C4B1D4D"/>
    <w:rsid w:val="3CA8533F"/>
    <w:rsid w:val="3CC13480"/>
    <w:rsid w:val="3CEB0296"/>
    <w:rsid w:val="3CFA5CEA"/>
    <w:rsid w:val="3D037734"/>
    <w:rsid w:val="3D1141CF"/>
    <w:rsid w:val="3D242024"/>
    <w:rsid w:val="3D92066A"/>
    <w:rsid w:val="3D9275F8"/>
    <w:rsid w:val="3DBB44C4"/>
    <w:rsid w:val="3DBE52A4"/>
    <w:rsid w:val="3DBF00CF"/>
    <w:rsid w:val="3DC868CB"/>
    <w:rsid w:val="3E551E69"/>
    <w:rsid w:val="3EB5446B"/>
    <w:rsid w:val="3ECE7979"/>
    <w:rsid w:val="3EEB27FE"/>
    <w:rsid w:val="3F093D5F"/>
    <w:rsid w:val="3FA314D7"/>
    <w:rsid w:val="3FB5178A"/>
    <w:rsid w:val="40085A4F"/>
    <w:rsid w:val="407A02DD"/>
    <w:rsid w:val="411702BD"/>
    <w:rsid w:val="4170101F"/>
    <w:rsid w:val="41756D50"/>
    <w:rsid w:val="418C6C22"/>
    <w:rsid w:val="41A42623"/>
    <w:rsid w:val="41BD1D46"/>
    <w:rsid w:val="41FD5F9B"/>
    <w:rsid w:val="424F2BD5"/>
    <w:rsid w:val="426E79CE"/>
    <w:rsid w:val="42B073CA"/>
    <w:rsid w:val="42B3366D"/>
    <w:rsid w:val="43295DD2"/>
    <w:rsid w:val="43341E21"/>
    <w:rsid w:val="433B514A"/>
    <w:rsid w:val="43546D8B"/>
    <w:rsid w:val="43B835F7"/>
    <w:rsid w:val="43CA157C"/>
    <w:rsid w:val="43D83C99"/>
    <w:rsid w:val="43EB1045"/>
    <w:rsid w:val="43F62371"/>
    <w:rsid w:val="442D06CF"/>
    <w:rsid w:val="44402075"/>
    <w:rsid w:val="444D27A4"/>
    <w:rsid w:val="44652A0F"/>
    <w:rsid w:val="446B77E8"/>
    <w:rsid w:val="447E114D"/>
    <w:rsid w:val="448B0D0B"/>
    <w:rsid w:val="44933587"/>
    <w:rsid w:val="44994DF7"/>
    <w:rsid w:val="44BE68F9"/>
    <w:rsid w:val="44FB7CD3"/>
    <w:rsid w:val="450868E5"/>
    <w:rsid w:val="4527224F"/>
    <w:rsid w:val="45274FA0"/>
    <w:rsid w:val="4587628B"/>
    <w:rsid w:val="45A32084"/>
    <w:rsid w:val="45A36146"/>
    <w:rsid w:val="45A432C9"/>
    <w:rsid w:val="45D3296A"/>
    <w:rsid w:val="45ED67DA"/>
    <w:rsid w:val="45F12DF0"/>
    <w:rsid w:val="45FC2E12"/>
    <w:rsid w:val="46562FE7"/>
    <w:rsid w:val="469D4D26"/>
    <w:rsid w:val="46B02CAB"/>
    <w:rsid w:val="46DB13AA"/>
    <w:rsid w:val="46DB3152"/>
    <w:rsid w:val="46DE1892"/>
    <w:rsid w:val="46FB13BB"/>
    <w:rsid w:val="470B76B1"/>
    <w:rsid w:val="47246815"/>
    <w:rsid w:val="47247030"/>
    <w:rsid w:val="474A1A80"/>
    <w:rsid w:val="474E6020"/>
    <w:rsid w:val="47EC7D13"/>
    <w:rsid w:val="480D7C89"/>
    <w:rsid w:val="48141018"/>
    <w:rsid w:val="48221986"/>
    <w:rsid w:val="484C6A03"/>
    <w:rsid w:val="48934632"/>
    <w:rsid w:val="48B818BC"/>
    <w:rsid w:val="48CD1B9F"/>
    <w:rsid w:val="48D013E2"/>
    <w:rsid w:val="4908303F"/>
    <w:rsid w:val="4938224C"/>
    <w:rsid w:val="49543222"/>
    <w:rsid w:val="49612649"/>
    <w:rsid w:val="49A163D9"/>
    <w:rsid w:val="4A183041"/>
    <w:rsid w:val="4A2D25AF"/>
    <w:rsid w:val="4A314103"/>
    <w:rsid w:val="4A4166E1"/>
    <w:rsid w:val="4A5F13D5"/>
    <w:rsid w:val="4AA558E7"/>
    <w:rsid w:val="4B1B0EA6"/>
    <w:rsid w:val="4B5B4BDA"/>
    <w:rsid w:val="4B995CF1"/>
    <w:rsid w:val="4BD53DCB"/>
    <w:rsid w:val="4BD765E4"/>
    <w:rsid w:val="4BE03C32"/>
    <w:rsid w:val="4C4E0A7F"/>
    <w:rsid w:val="4C9170DB"/>
    <w:rsid w:val="4CEE0089"/>
    <w:rsid w:val="4D29654F"/>
    <w:rsid w:val="4D4F709E"/>
    <w:rsid w:val="4D654D87"/>
    <w:rsid w:val="4D8409ED"/>
    <w:rsid w:val="4DED1665"/>
    <w:rsid w:val="4DF92FCB"/>
    <w:rsid w:val="4E0017E9"/>
    <w:rsid w:val="4E1B78BF"/>
    <w:rsid w:val="4E2A3474"/>
    <w:rsid w:val="4E7C3D94"/>
    <w:rsid w:val="4E807407"/>
    <w:rsid w:val="4E9A2A42"/>
    <w:rsid w:val="4E9A7612"/>
    <w:rsid w:val="4EA21CDD"/>
    <w:rsid w:val="4EB3158A"/>
    <w:rsid w:val="4EC74F50"/>
    <w:rsid w:val="4EE87D7D"/>
    <w:rsid w:val="4F1E4AA4"/>
    <w:rsid w:val="4F224112"/>
    <w:rsid w:val="4FD25A40"/>
    <w:rsid w:val="4FE00202"/>
    <w:rsid w:val="4FFC1D26"/>
    <w:rsid w:val="505C7C96"/>
    <w:rsid w:val="50904EF2"/>
    <w:rsid w:val="50C77502"/>
    <w:rsid w:val="50EE7208"/>
    <w:rsid w:val="515649A8"/>
    <w:rsid w:val="51742759"/>
    <w:rsid w:val="517647E2"/>
    <w:rsid w:val="518D29ED"/>
    <w:rsid w:val="51E657D3"/>
    <w:rsid w:val="51EF5237"/>
    <w:rsid w:val="52217551"/>
    <w:rsid w:val="523C4454"/>
    <w:rsid w:val="52662EDE"/>
    <w:rsid w:val="52A04F92"/>
    <w:rsid w:val="52C74FA4"/>
    <w:rsid w:val="52F13AA8"/>
    <w:rsid w:val="53172497"/>
    <w:rsid w:val="534B6C1F"/>
    <w:rsid w:val="538935EB"/>
    <w:rsid w:val="53CE69FC"/>
    <w:rsid w:val="53D17DBD"/>
    <w:rsid w:val="53F9382B"/>
    <w:rsid w:val="540B325D"/>
    <w:rsid w:val="54132F70"/>
    <w:rsid w:val="5453414C"/>
    <w:rsid w:val="54BD746F"/>
    <w:rsid w:val="55182ABF"/>
    <w:rsid w:val="55191CEB"/>
    <w:rsid w:val="55216BED"/>
    <w:rsid w:val="55681E43"/>
    <w:rsid w:val="55922CF0"/>
    <w:rsid w:val="55AB544A"/>
    <w:rsid w:val="55CB0EED"/>
    <w:rsid w:val="55F62585"/>
    <w:rsid w:val="56312D3B"/>
    <w:rsid w:val="56344675"/>
    <w:rsid w:val="56551179"/>
    <w:rsid w:val="567710EF"/>
    <w:rsid w:val="56B036DD"/>
    <w:rsid w:val="56DC53F6"/>
    <w:rsid w:val="56E61DD1"/>
    <w:rsid w:val="570E2002"/>
    <w:rsid w:val="57340470"/>
    <w:rsid w:val="5748067B"/>
    <w:rsid w:val="577176FD"/>
    <w:rsid w:val="57AF48B9"/>
    <w:rsid w:val="57C91A1B"/>
    <w:rsid w:val="57CC2467"/>
    <w:rsid w:val="58A866E1"/>
    <w:rsid w:val="58C425E6"/>
    <w:rsid w:val="58E23107"/>
    <w:rsid w:val="58E46427"/>
    <w:rsid w:val="58F231D7"/>
    <w:rsid w:val="595A2602"/>
    <w:rsid w:val="59710078"/>
    <w:rsid w:val="59DA70ED"/>
    <w:rsid w:val="59E06EC1"/>
    <w:rsid w:val="59F0369D"/>
    <w:rsid w:val="5A2A4CE2"/>
    <w:rsid w:val="5A345701"/>
    <w:rsid w:val="5A706CCB"/>
    <w:rsid w:val="5A736072"/>
    <w:rsid w:val="5AA1498D"/>
    <w:rsid w:val="5ABE28B2"/>
    <w:rsid w:val="5AD16B5A"/>
    <w:rsid w:val="5AFC7E15"/>
    <w:rsid w:val="5B99702A"/>
    <w:rsid w:val="5BA81D4B"/>
    <w:rsid w:val="5C096445"/>
    <w:rsid w:val="5C106300"/>
    <w:rsid w:val="5C295359"/>
    <w:rsid w:val="5C2A4ADF"/>
    <w:rsid w:val="5C4627CE"/>
    <w:rsid w:val="5C4C1A59"/>
    <w:rsid w:val="5C661319"/>
    <w:rsid w:val="5C7B7423"/>
    <w:rsid w:val="5C87335A"/>
    <w:rsid w:val="5CA222F1"/>
    <w:rsid w:val="5CB52971"/>
    <w:rsid w:val="5CE45005"/>
    <w:rsid w:val="5D0631CD"/>
    <w:rsid w:val="5D2F5C83"/>
    <w:rsid w:val="5D54316D"/>
    <w:rsid w:val="5D573A29"/>
    <w:rsid w:val="5D985698"/>
    <w:rsid w:val="5DE40304"/>
    <w:rsid w:val="5DF40455"/>
    <w:rsid w:val="5DFF73FE"/>
    <w:rsid w:val="5E235108"/>
    <w:rsid w:val="5EF66BAE"/>
    <w:rsid w:val="5F4A0E24"/>
    <w:rsid w:val="5F4A74B9"/>
    <w:rsid w:val="5F5F1938"/>
    <w:rsid w:val="5F9D5761"/>
    <w:rsid w:val="5FA6034F"/>
    <w:rsid w:val="5FA815B2"/>
    <w:rsid w:val="5FC20CC4"/>
    <w:rsid w:val="601C04D1"/>
    <w:rsid w:val="60643254"/>
    <w:rsid w:val="607301CC"/>
    <w:rsid w:val="6099249A"/>
    <w:rsid w:val="60B6509F"/>
    <w:rsid w:val="60C95B72"/>
    <w:rsid w:val="61181721"/>
    <w:rsid w:val="611970D4"/>
    <w:rsid w:val="611F2AAF"/>
    <w:rsid w:val="613059B7"/>
    <w:rsid w:val="61926DDD"/>
    <w:rsid w:val="61A01319"/>
    <w:rsid w:val="61AC338F"/>
    <w:rsid w:val="621B19CB"/>
    <w:rsid w:val="62323777"/>
    <w:rsid w:val="62680348"/>
    <w:rsid w:val="626F35C2"/>
    <w:rsid w:val="62803968"/>
    <w:rsid w:val="62AE14DB"/>
    <w:rsid w:val="62AF7711"/>
    <w:rsid w:val="62C751AC"/>
    <w:rsid w:val="62CD5D69"/>
    <w:rsid w:val="62D44CDF"/>
    <w:rsid w:val="62D505B9"/>
    <w:rsid w:val="62EA0136"/>
    <w:rsid w:val="62EC69C1"/>
    <w:rsid w:val="632E7D7A"/>
    <w:rsid w:val="63414F5F"/>
    <w:rsid w:val="635626C7"/>
    <w:rsid w:val="635901B9"/>
    <w:rsid w:val="63676CF2"/>
    <w:rsid w:val="63DA0F0F"/>
    <w:rsid w:val="63E02250"/>
    <w:rsid w:val="646D1D84"/>
    <w:rsid w:val="649D5B69"/>
    <w:rsid w:val="64E258A3"/>
    <w:rsid w:val="652E31A6"/>
    <w:rsid w:val="653F0AC4"/>
    <w:rsid w:val="659770B8"/>
    <w:rsid w:val="65AC04CD"/>
    <w:rsid w:val="65CD1513"/>
    <w:rsid w:val="65D639CD"/>
    <w:rsid w:val="66160B21"/>
    <w:rsid w:val="6629565E"/>
    <w:rsid w:val="66383EBB"/>
    <w:rsid w:val="663D0DD4"/>
    <w:rsid w:val="6667219F"/>
    <w:rsid w:val="671A2EA7"/>
    <w:rsid w:val="672C55DE"/>
    <w:rsid w:val="673E5311"/>
    <w:rsid w:val="67AB0BF9"/>
    <w:rsid w:val="67CF35B2"/>
    <w:rsid w:val="67D0240D"/>
    <w:rsid w:val="67D35A63"/>
    <w:rsid w:val="68713F49"/>
    <w:rsid w:val="688A6B17"/>
    <w:rsid w:val="689C2C37"/>
    <w:rsid w:val="68BE5097"/>
    <w:rsid w:val="68D46E5A"/>
    <w:rsid w:val="68D66A49"/>
    <w:rsid w:val="691E39C8"/>
    <w:rsid w:val="694806C9"/>
    <w:rsid w:val="695E5850"/>
    <w:rsid w:val="69846869"/>
    <w:rsid w:val="699D29E4"/>
    <w:rsid w:val="69D33AD7"/>
    <w:rsid w:val="69E46644"/>
    <w:rsid w:val="6A024D1C"/>
    <w:rsid w:val="6A3373D4"/>
    <w:rsid w:val="6A6B28C1"/>
    <w:rsid w:val="6A8B68AC"/>
    <w:rsid w:val="6AA52E67"/>
    <w:rsid w:val="6AB55399"/>
    <w:rsid w:val="6ACD65CF"/>
    <w:rsid w:val="6B106FC5"/>
    <w:rsid w:val="6B205CF8"/>
    <w:rsid w:val="6B59087A"/>
    <w:rsid w:val="6B63324D"/>
    <w:rsid w:val="6B684EFC"/>
    <w:rsid w:val="6B841E8D"/>
    <w:rsid w:val="6BAA2831"/>
    <w:rsid w:val="6BEF307E"/>
    <w:rsid w:val="6BF67851"/>
    <w:rsid w:val="6C21147F"/>
    <w:rsid w:val="6C365F3C"/>
    <w:rsid w:val="6C4528B1"/>
    <w:rsid w:val="6C4D30C7"/>
    <w:rsid w:val="6C6F5383"/>
    <w:rsid w:val="6C835236"/>
    <w:rsid w:val="6CCD1611"/>
    <w:rsid w:val="6CCF3A81"/>
    <w:rsid w:val="6D0308C2"/>
    <w:rsid w:val="6D0C05F9"/>
    <w:rsid w:val="6D383862"/>
    <w:rsid w:val="6D544C60"/>
    <w:rsid w:val="6DB97DE8"/>
    <w:rsid w:val="6E182D60"/>
    <w:rsid w:val="6E261B48"/>
    <w:rsid w:val="6E4236B7"/>
    <w:rsid w:val="6E6B0155"/>
    <w:rsid w:val="6E7F1849"/>
    <w:rsid w:val="6E915354"/>
    <w:rsid w:val="6E9B17AC"/>
    <w:rsid w:val="6E9C129B"/>
    <w:rsid w:val="6EBB788C"/>
    <w:rsid w:val="6ECF78C3"/>
    <w:rsid w:val="6ED05575"/>
    <w:rsid w:val="6EFA6624"/>
    <w:rsid w:val="6F2D60E5"/>
    <w:rsid w:val="6F327427"/>
    <w:rsid w:val="6FB46AB9"/>
    <w:rsid w:val="6FF53274"/>
    <w:rsid w:val="70375BDA"/>
    <w:rsid w:val="704936A5"/>
    <w:rsid w:val="706B14E8"/>
    <w:rsid w:val="707711F5"/>
    <w:rsid w:val="707C5B49"/>
    <w:rsid w:val="70F40C63"/>
    <w:rsid w:val="71032E66"/>
    <w:rsid w:val="714037CA"/>
    <w:rsid w:val="71496EC2"/>
    <w:rsid w:val="71A212BE"/>
    <w:rsid w:val="7218332F"/>
    <w:rsid w:val="722717C4"/>
    <w:rsid w:val="722A3062"/>
    <w:rsid w:val="72310E67"/>
    <w:rsid w:val="72707F2B"/>
    <w:rsid w:val="729935A8"/>
    <w:rsid w:val="72D336FA"/>
    <w:rsid w:val="73124910"/>
    <w:rsid w:val="733173E0"/>
    <w:rsid w:val="73593BFF"/>
    <w:rsid w:val="735F5AE6"/>
    <w:rsid w:val="73684D8B"/>
    <w:rsid w:val="73991CA4"/>
    <w:rsid w:val="73BC23A7"/>
    <w:rsid w:val="73F33174"/>
    <w:rsid w:val="74113F05"/>
    <w:rsid w:val="74295FBA"/>
    <w:rsid w:val="7485062F"/>
    <w:rsid w:val="74B011F2"/>
    <w:rsid w:val="74E474F8"/>
    <w:rsid w:val="74FE759E"/>
    <w:rsid w:val="752B5127"/>
    <w:rsid w:val="754D7793"/>
    <w:rsid w:val="75B760A1"/>
    <w:rsid w:val="767D0646"/>
    <w:rsid w:val="768B0D62"/>
    <w:rsid w:val="76A20982"/>
    <w:rsid w:val="76A635E5"/>
    <w:rsid w:val="76CE6F8C"/>
    <w:rsid w:val="77543532"/>
    <w:rsid w:val="777D103F"/>
    <w:rsid w:val="7788609C"/>
    <w:rsid w:val="77903967"/>
    <w:rsid w:val="77C6688D"/>
    <w:rsid w:val="7811634A"/>
    <w:rsid w:val="78320EC2"/>
    <w:rsid w:val="78B638A1"/>
    <w:rsid w:val="78E13A70"/>
    <w:rsid w:val="790B6327"/>
    <w:rsid w:val="79100294"/>
    <w:rsid w:val="79164608"/>
    <w:rsid w:val="7939497B"/>
    <w:rsid w:val="79503DCD"/>
    <w:rsid w:val="796A1A50"/>
    <w:rsid w:val="79782327"/>
    <w:rsid w:val="7A5275FA"/>
    <w:rsid w:val="7A7272EA"/>
    <w:rsid w:val="7A73790A"/>
    <w:rsid w:val="7A805F15"/>
    <w:rsid w:val="7A8208A6"/>
    <w:rsid w:val="7A903103"/>
    <w:rsid w:val="7AA66BC1"/>
    <w:rsid w:val="7AAC4F5C"/>
    <w:rsid w:val="7B226FCC"/>
    <w:rsid w:val="7B567702"/>
    <w:rsid w:val="7B7120FC"/>
    <w:rsid w:val="7B855B76"/>
    <w:rsid w:val="7B931C78"/>
    <w:rsid w:val="7B955588"/>
    <w:rsid w:val="7BAF00FE"/>
    <w:rsid w:val="7BE81ACD"/>
    <w:rsid w:val="7C3A111A"/>
    <w:rsid w:val="7C5E5DE2"/>
    <w:rsid w:val="7C8926D2"/>
    <w:rsid w:val="7CA35EEB"/>
    <w:rsid w:val="7CAB2FF1"/>
    <w:rsid w:val="7CDB4BD7"/>
    <w:rsid w:val="7CDC347D"/>
    <w:rsid w:val="7D250FF6"/>
    <w:rsid w:val="7DD30A52"/>
    <w:rsid w:val="7E1E1F14"/>
    <w:rsid w:val="7E2F5F1F"/>
    <w:rsid w:val="7E4B6EC8"/>
    <w:rsid w:val="7E5606CF"/>
    <w:rsid w:val="7E716F5C"/>
    <w:rsid w:val="7E7A0C20"/>
    <w:rsid w:val="7E8F1BB7"/>
    <w:rsid w:val="7E9A6003"/>
    <w:rsid w:val="7EA66323"/>
    <w:rsid w:val="7ECA724D"/>
    <w:rsid w:val="7EE148B9"/>
    <w:rsid w:val="7F0B1E93"/>
    <w:rsid w:val="7F205AEE"/>
    <w:rsid w:val="7F410DFF"/>
    <w:rsid w:val="7F45772D"/>
    <w:rsid w:val="7F5F07EF"/>
    <w:rsid w:val="7F6605DD"/>
    <w:rsid w:val="7F844279"/>
    <w:rsid w:val="7F9B4656"/>
    <w:rsid w:val="7FA166E7"/>
    <w:rsid w:val="7FA87972"/>
    <w:rsid w:val="7FC20D7E"/>
    <w:rsid w:val="7FE31FB0"/>
    <w:rsid w:val="7FE9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宋体" w:hAnsi="Times New Roman" w:eastAsia="宋体" w:cs="Times New Roman"/>
      <w:kern w:val="2"/>
      <w:sz w:val="28"/>
      <w:szCs w:val="21"/>
      <w:lang w:val="en-US" w:eastAsia="zh-CN" w:bidi="ar-SA"/>
    </w:rPr>
  </w:style>
  <w:style w:type="paragraph" w:styleId="4">
    <w:name w:val="heading 1"/>
    <w:basedOn w:val="1"/>
    <w:next w:val="1"/>
    <w:link w:val="42"/>
    <w:qFormat/>
    <w:uiPriority w:val="0"/>
    <w:pPr>
      <w:keepNext/>
      <w:keepLines/>
      <w:jc w:val="center"/>
      <w:outlineLvl w:val="0"/>
    </w:pPr>
    <w:rPr>
      <w:rFonts w:eastAsia="汉仪雅酷黑简"/>
      <w:b/>
      <w:bCs/>
      <w:kern w:val="44"/>
      <w:sz w:val="32"/>
      <w:szCs w:val="44"/>
    </w:rPr>
  </w:style>
  <w:style w:type="paragraph" w:styleId="5">
    <w:name w:val="heading 2"/>
    <w:basedOn w:val="1"/>
    <w:next w:val="1"/>
    <w:qFormat/>
    <w:uiPriority w:val="0"/>
    <w:pPr>
      <w:keepNext/>
      <w:keepLines/>
      <w:jc w:val="center"/>
      <w:outlineLvl w:val="1"/>
    </w:pPr>
    <w:rPr>
      <w:rFonts w:hAnsi="Arial" w:eastAsia="楷体_GB2312"/>
      <w:b/>
      <w:bCs/>
      <w:sz w:val="32"/>
      <w:szCs w:val="32"/>
    </w:rPr>
  </w:style>
  <w:style w:type="paragraph" w:styleId="6">
    <w:name w:val="heading 3"/>
    <w:basedOn w:val="1"/>
    <w:next w:val="1"/>
    <w:link w:val="43"/>
    <w:qFormat/>
    <w:uiPriority w:val="0"/>
    <w:pPr>
      <w:keepNext/>
      <w:keepLines/>
      <w:jc w:val="left"/>
      <w:outlineLvl w:val="2"/>
    </w:pPr>
    <w:rPr>
      <w:b/>
      <w:bCs/>
      <w:szCs w:val="28"/>
    </w:rPr>
  </w:style>
  <w:style w:type="paragraph" w:styleId="7">
    <w:name w:val="heading 4"/>
    <w:basedOn w:val="1"/>
    <w:next w:val="1"/>
    <w:qFormat/>
    <w:uiPriority w:val="0"/>
    <w:pPr>
      <w:keepNext/>
      <w:outlineLvl w:val="3"/>
    </w:pPr>
    <w:rPr>
      <w:b/>
      <w:bCs/>
      <w:szCs w:val="28"/>
    </w:rPr>
  </w:style>
  <w:style w:type="paragraph" w:styleId="8">
    <w:name w:val="heading 5"/>
    <w:basedOn w:val="1"/>
    <w:next w:val="1"/>
    <w:qFormat/>
    <w:uiPriority w:val="0"/>
    <w:pPr>
      <w:keepNext/>
      <w:keepLines/>
      <w:spacing w:before="280" w:after="290" w:line="376" w:lineRule="auto"/>
      <w:outlineLvl w:val="4"/>
    </w:pPr>
    <w:rPr>
      <w:b/>
      <w:bCs/>
      <w:szCs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qFormat/>
    <w:uiPriority w:val="0"/>
    <w:pPr>
      <w:adjustRightInd w:val="0"/>
    </w:pPr>
    <w:rPr>
      <w:rFonts w:cs="宋体"/>
      <w:color w:val="000000"/>
      <w:sz w:val="24"/>
      <w:lang w:val="en-US"/>
    </w:rPr>
  </w:style>
  <w:style w:type="paragraph" w:customStyle="1" w:styleId="3">
    <w:name w:val="文本"/>
    <w:basedOn w:val="1"/>
    <w:next w:val="1"/>
    <w:qFormat/>
    <w:uiPriority w:val="0"/>
    <w:pPr>
      <w:autoSpaceDE w:val="0"/>
      <w:autoSpaceDN w:val="0"/>
      <w:ind w:firstLine="480"/>
    </w:pPr>
    <w:rPr>
      <w:szCs w:val="24"/>
      <w:lang w:val="zh-CN"/>
    </w:rPr>
  </w:style>
  <w:style w:type="paragraph" w:styleId="9">
    <w:name w:val="toc 7"/>
    <w:basedOn w:val="1"/>
    <w:next w:val="1"/>
    <w:qFormat/>
    <w:uiPriority w:val="39"/>
    <w:pPr>
      <w:ind w:left="1680"/>
      <w:jc w:val="left"/>
    </w:pPr>
    <w:rPr>
      <w:rFonts w:ascii="Times New Roman"/>
      <w:sz w:val="18"/>
      <w:szCs w:val="18"/>
    </w:rPr>
  </w:style>
  <w:style w:type="paragraph" w:styleId="10">
    <w:name w:val="Normal Indent"/>
    <w:basedOn w:val="1"/>
    <w:link w:val="44"/>
    <w:qFormat/>
    <w:uiPriority w:val="0"/>
    <w:pPr>
      <w:snapToGrid/>
      <w:spacing w:line="240" w:lineRule="auto"/>
      <w:ind w:firstLine="420" w:firstLineChars="200"/>
    </w:pPr>
    <w:rPr>
      <w:rFonts w:ascii="Times New Roman"/>
      <w:sz w:val="21"/>
      <w:szCs w:val="24"/>
    </w:rPr>
  </w:style>
  <w:style w:type="paragraph" w:styleId="11">
    <w:name w:val="Document Map"/>
    <w:basedOn w:val="1"/>
    <w:qFormat/>
    <w:uiPriority w:val="0"/>
    <w:pPr>
      <w:shd w:val="clear" w:color="auto" w:fill="000080"/>
    </w:pPr>
  </w:style>
  <w:style w:type="paragraph" w:styleId="12">
    <w:name w:val="annotation text"/>
    <w:basedOn w:val="1"/>
    <w:link w:val="45"/>
    <w:qFormat/>
    <w:uiPriority w:val="0"/>
    <w:pPr>
      <w:jc w:val="left"/>
    </w:pPr>
  </w:style>
  <w:style w:type="paragraph" w:styleId="13">
    <w:name w:val="Body Text"/>
    <w:basedOn w:val="1"/>
    <w:link w:val="46"/>
    <w:qFormat/>
    <w:uiPriority w:val="0"/>
    <w:pPr>
      <w:spacing w:after="120"/>
    </w:pPr>
  </w:style>
  <w:style w:type="paragraph" w:styleId="14">
    <w:name w:val="Body Text Indent"/>
    <w:basedOn w:val="1"/>
    <w:link w:val="47"/>
    <w:qFormat/>
    <w:uiPriority w:val="99"/>
    <w:pPr>
      <w:spacing w:after="120"/>
      <w:ind w:left="420" w:leftChars="200"/>
    </w:pPr>
  </w:style>
  <w:style w:type="paragraph" w:styleId="15">
    <w:name w:val="toc 5"/>
    <w:basedOn w:val="1"/>
    <w:next w:val="1"/>
    <w:qFormat/>
    <w:uiPriority w:val="39"/>
    <w:pPr>
      <w:ind w:left="1120"/>
      <w:jc w:val="left"/>
    </w:pPr>
    <w:rPr>
      <w:rFonts w:ascii="Times New Roman"/>
      <w:sz w:val="18"/>
      <w:szCs w:val="18"/>
    </w:rPr>
  </w:style>
  <w:style w:type="paragraph" w:styleId="16">
    <w:name w:val="toc 3"/>
    <w:basedOn w:val="1"/>
    <w:next w:val="1"/>
    <w:qFormat/>
    <w:uiPriority w:val="39"/>
    <w:pPr>
      <w:tabs>
        <w:tab w:val="right" w:leader="dot" w:pos="8460"/>
      </w:tabs>
      <w:spacing w:line="280" w:lineRule="exact"/>
      <w:ind w:left="560"/>
      <w:jc w:val="left"/>
    </w:pPr>
    <w:rPr>
      <w:rFonts w:ascii="Times New Roman"/>
      <w:iCs/>
      <w:sz w:val="20"/>
      <w:szCs w:val="20"/>
    </w:rPr>
  </w:style>
  <w:style w:type="paragraph" w:styleId="17">
    <w:name w:val="Plain Text"/>
    <w:basedOn w:val="1"/>
    <w:link w:val="48"/>
    <w:qFormat/>
    <w:uiPriority w:val="0"/>
    <w:pPr>
      <w:snapToGrid/>
      <w:spacing w:line="240" w:lineRule="auto"/>
    </w:pPr>
    <w:rPr>
      <w:rFonts w:hAnsi="Courier New"/>
      <w:sz w:val="21"/>
    </w:rPr>
  </w:style>
  <w:style w:type="paragraph" w:styleId="18">
    <w:name w:val="toc 8"/>
    <w:basedOn w:val="1"/>
    <w:next w:val="1"/>
    <w:qFormat/>
    <w:uiPriority w:val="39"/>
    <w:pPr>
      <w:ind w:left="1960"/>
      <w:jc w:val="left"/>
    </w:pPr>
    <w:rPr>
      <w:rFonts w:ascii="Times New Roman"/>
      <w:sz w:val="18"/>
      <w:szCs w:val="18"/>
    </w:rPr>
  </w:style>
  <w:style w:type="paragraph" w:styleId="19">
    <w:name w:val="Body Text Indent 2"/>
    <w:basedOn w:val="1"/>
    <w:qFormat/>
    <w:uiPriority w:val="0"/>
    <w:pPr>
      <w:snapToGrid/>
      <w:spacing w:after="120" w:line="480" w:lineRule="auto"/>
      <w:ind w:left="420" w:leftChars="200"/>
    </w:pPr>
    <w:rPr>
      <w:rFonts w:ascii="Times New Roman"/>
      <w:sz w:val="21"/>
      <w:szCs w:val="20"/>
    </w:rPr>
  </w:style>
  <w:style w:type="paragraph" w:styleId="20">
    <w:name w:val="Balloon Text"/>
    <w:basedOn w:val="1"/>
    <w:qFormat/>
    <w:uiPriority w:val="0"/>
    <w:rPr>
      <w:sz w:val="18"/>
      <w:szCs w:val="18"/>
    </w:rPr>
  </w:style>
  <w:style w:type="paragraph" w:styleId="21">
    <w:name w:val="footer"/>
    <w:basedOn w:val="1"/>
    <w:qFormat/>
    <w:uiPriority w:val="0"/>
    <w:pPr>
      <w:pBdr>
        <w:bottom w:val="single" w:color="auto" w:sz="4" w:space="1"/>
      </w:pBdr>
      <w:tabs>
        <w:tab w:val="center" w:leader="underscore" w:pos="4153"/>
        <w:tab w:val="right" w:leader="middleDot" w:pos="8306"/>
      </w:tabs>
      <w:jc w:val="center"/>
    </w:pPr>
    <w:rPr>
      <w:rFonts w:hAnsi="宋体"/>
      <w:sz w:val="18"/>
      <w:szCs w:val="18"/>
    </w:rPr>
  </w:style>
  <w:style w:type="paragraph" w:styleId="22">
    <w:name w:val="header"/>
    <w:basedOn w:val="1"/>
    <w:qFormat/>
    <w:uiPriority w:val="0"/>
    <w:pPr>
      <w:pBdr>
        <w:bottom w:val="single" w:color="auto" w:sz="6" w:space="1"/>
      </w:pBdr>
      <w:tabs>
        <w:tab w:val="center" w:pos="4153"/>
        <w:tab w:val="right" w:pos="8306"/>
      </w:tabs>
      <w:spacing w:line="240" w:lineRule="auto"/>
      <w:jc w:val="center"/>
    </w:pPr>
    <w:rPr>
      <w:sz w:val="18"/>
      <w:szCs w:val="18"/>
    </w:rPr>
  </w:style>
  <w:style w:type="paragraph" w:styleId="23">
    <w:name w:val="toc 1"/>
    <w:basedOn w:val="1"/>
    <w:next w:val="1"/>
    <w:qFormat/>
    <w:uiPriority w:val="39"/>
    <w:pPr>
      <w:tabs>
        <w:tab w:val="right" w:leader="dot" w:pos="8460"/>
      </w:tabs>
      <w:spacing w:before="120" w:after="120" w:line="280" w:lineRule="exact"/>
      <w:jc w:val="left"/>
    </w:pPr>
    <w:rPr>
      <w:rFonts w:ascii="Times New Roman"/>
      <w:b/>
      <w:bCs/>
      <w:caps/>
      <w:sz w:val="20"/>
      <w:szCs w:val="20"/>
    </w:rPr>
  </w:style>
  <w:style w:type="paragraph" w:styleId="24">
    <w:name w:val="toc 4"/>
    <w:basedOn w:val="1"/>
    <w:next w:val="1"/>
    <w:qFormat/>
    <w:uiPriority w:val="39"/>
    <w:pPr>
      <w:ind w:left="840"/>
      <w:jc w:val="left"/>
    </w:pPr>
    <w:rPr>
      <w:rFonts w:ascii="Times New Roman"/>
      <w:sz w:val="18"/>
      <w:szCs w:val="18"/>
    </w:rPr>
  </w:style>
  <w:style w:type="paragraph" w:styleId="25">
    <w:name w:val="index heading"/>
    <w:basedOn w:val="1"/>
    <w:next w:val="26"/>
    <w:qFormat/>
    <w:uiPriority w:val="0"/>
    <w:rPr>
      <w:rFonts w:ascii="Times New Roman"/>
      <w:sz w:val="21"/>
      <w:szCs w:val="24"/>
    </w:rPr>
  </w:style>
  <w:style w:type="paragraph" w:styleId="26">
    <w:name w:val="index 1"/>
    <w:basedOn w:val="1"/>
    <w:next w:val="1"/>
    <w:qFormat/>
    <w:uiPriority w:val="0"/>
    <w:pPr>
      <w:spacing w:line="400" w:lineRule="exact"/>
      <w:jc w:val="center"/>
    </w:pPr>
  </w:style>
  <w:style w:type="paragraph" w:styleId="27">
    <w:name w:val="toc 6"/>
    <w:basedOn w:val="1"/>
    <w:next w:val="1"/>
    <w:qFormat/>
    <w:uiPriority w:val="39"/>
    <w:pPr>
      <w:ind w:left="1400"/>
      <w:jc w:val="left"/>
    </w:pPr>
    <w:rPr>
      <w:rFonts w:ascii="Times New Roman"/>
      <w:sz w:val="18"/>
      <w:szCs w:val="18"/>
    </w:rPr>
  </w:style>
  <w:style w:type="paragraph" w:styleId="28">
    <w:name w:val="Body Text Indent 3"/>
    <w:basedOn w:val="1"/>
    <w:link w:val="49"/>
    <w:qFormat/>
    <w:uiPriority w:val="0"/>
    <w:pPr>
      <w:spacing w:after="120"/>
      <w:ind w:left="420" w:leftChars="200"/>
    </w:pPr>
    <w:rPr>
      <w:sz w:val="16"/>
      <w:szCs w:val="16"/>
    </w:rPr>
  </w:style>
  <w:style w:type="paragraph" w:styleId="29">
    <w:name w:val="toc 2"/>
    <w:basedOn w:val="1"/>
    <w:next w:val="1"/>
    <w:qFormat/>
    <w:uiPriority w:val="39"/>
    <w:pPr>
      <w:tabs>
        <w:tab w:val="right" w:leader="dot" w:pos="8460"/>
      </w:tabs>
      <w:spacing w:line="280" w:lineRule="exact"/>
      <w:ind w:left="280"/>
      <w:jc w:val="left"/>
    </w:pPr>
    <w:rPr>
      <w:rFonts w:ascii="Times New Roman"/>
      <w:smallCaps/>
      <w:sz w:val="20"/>
      <w:szCs w:val="20"/>
    </w:rPr>
  </w:style>
  <w:style w:type="paragraph" w:styleId="30">
    <w:name w:val="toc 9"/>
    <w:basedOn w:val="1"/>
    <w:next w:val="1"/>
    <w:qFormat/>
    <w:uiPriority w:val="39"/>
    <w:pPr>
      <w:ind w:left="2240"/>
      <w:jc w:val="left"/>
    </w:pPr>
    <w:rPr>
      <w:rFonts w:ascii="Times New Roman"/>
      <w:sz w:val="18"/>
      <w:szCs w:val="18"/>
    </w:rPr>
  </w:style>
  <w:style w:type="paragraph" w:styleId="31">
    <w:name w:val="Normal (Web)"/>
    <w:basedOn w:val="1"/>
    <w:qFormat/>
    <w:uiPriority w:val="0"/>
    <w:rPr>
      <w:rFonts w:ascii="Times New Roman"/>
      <w:sz w:val="24"/>
      <w:szCs w:val="24"/>
    </w:rPr>
  </w:style>
  <w:style w:type="paragraph" w:styleId="32">
    <w:name w:val="annotation subject"/>
    <w:basedOn w:val="12"/>
    <w:next w:val="12"/>
    <w:link w:val="50"/>
    <w:qFormat/>
    <w:uiPriority w:val="0"/>
    <w:rPr>
      <w:b/>
      <w:bCs/>
    </w:rPr>
  </w:style>
  <w:style w:type="paragraph" w:styleId="33">
    <w:name w:val="Body Text First Indent 2"/>
    <w:basedOn w:val="14"/>
    <w:next w:val="1"/>
    <w:qFormat/>
    <w:uiPriority w:val="0"/>
    <w:pPr>
      <w:tabs>
        <w:tab w:val="left" w:pos="0"/>
        <w:tab w:val="left" w:pos="870"/>
        <w:tab w:val="left" w:pos="3150"/>
      </w:tabs>
      <w:autoSpaceDE w:val="0"/>
      <w:autoSpaceDN w:val="0"/>
      <w:adjustRightInd w:val="0"/>
      <w:spacing w:after="0"/>
      <w:ind w:left="0" w:leftChars="0" w:firstLine="527"/>
    </w:pPr>
    <w:rPr>
      <w:sz w:val="24"/>
      <w:szCs w:val="20"/>
    </w:rPr>
  </w:style>
  <w:style w:type="table" w:styleId="35">
    <w:name w:val="Table Grid"/>
    <w:basedOn w:val="34"/>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0"/>
    <w:rPr>
      <w:b/>
    </w:rPr>
  </w:style>
  <w:style w:type="character" w:styleId="38">
    <w:name w:val="page number"/>
    <w:qFormat/>
    <w:uiPriority w:val="0"/>
  </w:style>
  <w:style w:type="character" w:styleId="39">
    <w:name w:val="Emphasis"/>
    <w:basedOn w:val="36"/>
    <w:qFormat/>
    <w:uiPriority w:val="0"/>
    <w:rPr>
      <w:i/>
    </w:rPr>
  </w:style>
  <w:style w:type="character" w:styleId="40">
    <w:name w:val="Hyperlink"/>
    <w:qFormat/>
    <w:uiPriority w:val="99"/>
    <w:rPr>
      <w:color w:val="0000FF"/>
      <w:u w:val="single"/>
    </w:rPr>
  </w:style>
  <w:style w:type="character" w:styleId="41">
    <w:name w:val="annotation reference"/>
    <w:qFormat/>
    <w:uiPriority w:val="0"/>
    <w:rPr>
      <w:sz w:val="21"/>
      <w:szCs w:val="21"/>
    </w:rPr>
  </w:style>
  <w:style w:type="character" w:customStyle="1" w:styleId="42">
    <w:name w:val="标题 1 字符"/>
    <w:link w:val="4"/>
    <w:qFormat/>
    <w:uiPriority w:val="0"/>
    <w:rPr>
      <w:rFonts w:ascii="宋体" w:eastAsia="汉仪雅酷黑简"/>
      <w:b/>
      <w:bCs/>
      <w:kern w:val="44"/>
      <w:sz w:val="32"/>
      <w:szCs w:val="44"/>
      <w:lang w:val="en-US" w:eastAsia="zh-CN" w:bidi="ar-SA"/>
    </w:rPr>
  </w:style>
  <w:style w:type="character" w:customStyle="1" w:styleId="43">
    <w:name w:val="标题 3 字符1"/>
    <w:link w:val="6"/>
    <w:qFormat/>
    <w:uiPriority w:val="0"/>
    <w:rPr>
      <w:rFonts w:ascii="宋体"/>
      <w:b/>
      <w:bCs/>
      <w:kern w:val="2"/>
      <w:sz w:val="28"/>
      <w:szCs w:val="28"/>
    </w:rPr>
  </w:style>
  <w:style w:type="character" w:customStyle="1" w:styleId="44">
    <w:name w:val="正文缩进 字符"/>
    <w:link w:val="10"/>
    <w:qFormat/>
    <w:uiPriority w:val="0"/>
    <w:rPr>
      <w:kern w:val="2"/>
      <w:sz w:val="21"/>
      <w:szCs w:val="24"/>
    </w:rPr>
  </w:style>
  <w:style w:type="character" w:customStyle="1" w:styleId="45">
    <w:name w:val="批注文字 字符"/>
    <w:link w:val="12"/>
    <w:qFormat/>
    <w:uiPriority w:val="0"/>
    <w:rPr>
      <w:rFonts w:ascii="宋体"/>
      <w:kern w:val="2"/>
      <w:sz w:val="28"/>
      <w:szCs w:val="21"/>
    </w:rPr>
  </w:style>
  <w:style w:type="character" w:customStyle="1" w:styleId="46">
    <w:name w:val="正文文本 字符"/>
    <w:link w:val="13"/>
    <w:qFormat/>
    <w:uiPriority w:val="0"/>
    <w:rPr>
      <w:rFonts w:ascii="宋体"/>
      <w:kern w:val="2"/>
      <w:sz w:val="28"/>
      <w:szCs w:val="21"/>
    </w:rPr>
  </w:style>
  <w:style w:type="character" w:customStyle="1" w:styleId="47">
    <w:name w:val="正文文本缩进 字符"/>
    <w:link w:val="14"/>
    <w:qFormat/>
    <w:uiPriority w:val="99"/>
    <w:rPr>
      <w:rFonts w:ascii="宋体"/>
      <w:kern w:val="2"/>
      <w:sz w:val="28"/>
      <w:szCs w:val="21"/>
    </w:rPr>
  </w:style>
  <w:style w:type="character" w:customStyle="1" w:styleId="48">
    <w:name w:val="纯文本 字符"/>
    <w:link w:val="17"/>
    <w:qFormat/>
    <w:uiPriority w:val="0"/>
    <w:rPr>
      <w:rFonts w:ascii="宋体" w:hAnsi="Courier New" w:eastAsia="宋体"/>
      <w:kern w:val="2"/>
      <w:sz w:val="21"/>
      <w:szCs w:val="21"/>
      <w:lang w:val="en-US" w:eastAsia="zh-CN" w:bidi="ar-SA"/>
    </w:rPr>
  </w:style>
  <w:style w:type="character" w:customStyle="1" w:styleId="49">
    <w:name w:val="正文文本缩进 3 字符"/>
    <w:link w:val="28"/>
    <w:qFormat/>
    <w:uiPriority w:val="0"/>
    <w:rPr>
      <w:rFonts w:ascii="宋体"/>
      <w:kern w:val="2"/>
      <w:sz w:val="16"/>
      <w:szCs w:val="16"/>
    </w:rPr>
  </w:style>
  <w:style w:type="character" w:customStyle="1" w:styleId="50">
    <w:name w:val="批注主题 字符"/>
    <w:link w:val="32"/>
    <w:qFormat/>
    <w:uiPriority w:val="0"/>
    <w:rPr>
      <w:rFonts w:ascii="宋体"/>
      <w:b/>
      <w:bCs/>
      <w:kern w:val="2"/>
      <w:sz w:val="28"/>
      <w:szCs w:val="21"/>
    </w:rPr>
  </w:style>
  <w:style w:type="paragraph" w:customStyle="1" w:styleId="51">
    <w:name w:val="标题4"/>
    <w:basedOn w:val="7"/>
    <w:next w:val="52"/>
    <w:qFormat/>
    <w:uiPriority w:val="0"/>
    <w:pPr>
      <w:spacing w:line="600" w:lineRule="exact"/>
      <w:ind w:firstLine="18"/>
    </w:pPr>
  </w:style>
  <w:style w:type="paragraph" w:customStyle="1" w:styleId="52">
    <w:name w:val="Char1"/>
    <w:basedOn w:val="1"/>
    <w:next w:val="53"/>
    <w:qFormat/>
    <w:uiPriority w:val="0"/>
    <w:pPr>
      <w:adjustRightInd w:val="0"/>
      <w:snapToGrid/>
      <w:spacing w:line="360" w:lineRule="atLeast"/>
      <w:jc w:val="left"/>
    </w:pPr>
  </w:style>
  <w:style w:type="paragraph" w:customStyle="1" w:styleId="53">
    <w:name w:val="Char"/>
    <w:basedOn w:val="11"/>
    <w:next w:val="54"/>
    <w:qFormat/>
    <w:uiPriority w:val="0"/>
    <w:pPr>
      <w:snapToGrid/>
      <w:ind w:firstLine="200" w:firstLineChars="200"/>
    </w:pPr>
    <w:rPr>
      <w:rFonts w:ascii="Arial" w:hAnsi="Arial"/>
      <w:kern w:val="0"/>
      <w:sz w:val="20"/>
      <w:szCs w:val="20"/>
    </w:rPr>
  </w:style>
  <w:style w:type="paragraph" w:customStyle="1" w:styleId="54">
    <w:name w:val="首行缩进加粗"/>
    <w:basedOn w:val="55"/>
    <w:next w:val="56"/>
    <w:link w:val="62"/>
    <w:qFormat/>
    <w:uiPriority w:val="0"/>
    <w:rPr>
      <w:rFonts w:eastAsia="汉仪雅酷黑简"/>
      <w:b/>
      <w:bCs/>
    </w:rPr>
  </w:style>
  <w:style w:type="paragraph" w:customStyle="1" w:styleId="55">
    <w:name w:val="首行缩进"/>
    <w:basedOn w:val="1"/>
    <w:link w:val="61"/>
    <w:qFormat/>
    <w:uiPriority w:val="0"/>
    <w:pPr>
      <w:ind w:firstLine="561"/>
    </w:pPr>
    <w:rPr>
      <w:rFonts w:cs="宋体"/>
    </w:rPr>
  </w:style>
  <w:style w:type="paragraph" w:customStyle="1" w:styleId="56">
    <w:name w:val="四级条标题"/>
    <w:basedOn w:val="57"/>
    <w:next w:val="6"/>
    <w:qFormat/>
    <w:uiPriority w:val="0"/>
    <w:pPr>
      <w:tabs>
        <w:tab w:val="left" w:pos="360"/>
      </w:tabs>
      <w:spacing w:before="50" w:after="50"/>
      <w:ind w:left="1080" w:firstLine="14"/>
      <w:outlineLvl w:val="5"/>
    </w:pPr>
  </w:style>
  <w:style w:type="paragraph" w:customStyle="1" w:styleId="57">
    <w:name w:val="三级条标题"/>
    <w:basedOn w:val="58"/>
    <w:next w:val="1"/>
    <w:qFormat/>
    <w:uiPriority w:val="0"/>
    <w:pPr>
      <w:tabs>
        <w:tab w:val="left" w:pos="360"/>
      </w:tabs>
      <w:ind w:left="540"/>
      <w:outlineLvl w:val="4"/>
    </w:pPr>
  </w:style>
  <w:style w:type="paragraph" w:customStyle="1" w:styleId="58">
    <w:name w:val="二级条标题"/>
    <w:basedOn w:val="59"/>
    <w:next w:val="1"/>
    <w:qFormat/>
    <w:uiPriority w:val="0"/>
    <w:pPr>
      <w:jc w:val="left"/>
      <w:outlineLvl w:val="3"/>
    </w:pPr>
    <w:rPr>
      <w:rFonts w:ascii="Times New Roman"/>
    </w:rPr>
  </w:style>
  <w:style w:type="paragraph" w:customStyle="1" w:styleId="59">
    <w:name w:val="一级条标题"/>
    <w:basedOn w:val="60"/>
    <w:next w:val="1"/>
    <w:qFormat/>
    <w:uiPriority w:val="0"/>
    <w:pPr>
      <w:outlineLvl w:val="2"/>
    </w:pPr>
  </w:style>
  <w:style w:type="paragraph" w:customStyle="1" w:styleId="60">
    <w:name w:val="章标题"/>
    <w:next w:val="1"/>
    <w:qFormat/>
    <w:uiPriority w:val="0"/>
    <w:pPr>
      <w:spacing w:before="156" w:beforeLines="50" w:after="156" w:afterLines="50"/>
      <w:jc w:val="both"/>
      <w:outlineLvl w:val="1"/>
    </w:pPr>
    <w:rPr>
      <w:rFonts w:ascii="汉仪雅酷黑简" w:hAnsi="Calibri" w:eastAsia="汉仪雅酷黑简" w:cs="Times New Roman"/>
      <w:sz w:val="21"/>
      <w:lang w:val="en-US" w:eastAsia="zh-CN" w:bidi="ar-SA"/>
    </w:rPr>
  </w:style>
  <w:style w:type="character" w:customStyle="1" w:styleId="61">
    <w:name w:val="首行缩进 Char"/>
    <w:link w:val="55"/>
    <w:qFormat/>
    <w:uiPriority w:val="0"/>
    <w:rPr>
      <w:rFonts w:ascii="宋体" w:eastAsia="宋体" w:cs="宋体"/>
      <w:kern w:val="2"/>
      <w:sz w:val="28"/>
      <w:lang w:val="en-US" w:eastAsia="zh-CN" w:bidi="ar-SA"/>
    </w:rPr>
  </w:style>
  <w:style w:type="character" w:customStyle="1" w:styleId="62">
    <w:name w:val="首行缩进加粗 Char"/>
    <w:link w:val="54"/>
    <w:qFormat/>
    <w:uiPriority w:val="0"/>
    <w:rPr>
      <w:rFonts w:ascii="宋体" w:eastAsia="汉仪雅酷黑简" w:cs="宋体"/>
      <w:b/>
      <w:bCs/>
      <w:kern w:val="2"/>
      <w:sz w:val="28"/>
      <w:szCs w:val="24"/>
      <w:lang w:val="en-US" w:eastAsia="zh-CN" w:bidi="ar-SA"/>
    </w:rPr>
  </w:style>
  <w:style w:type="character" w:customStyle="1" w:styleId="63">
    <w:name w:val="首行缩进 Char Char"/>
    <w:qFormat/>
    <w:uiPriority w:val="0"/>
    <w:rPr>
      <w:rFonts w:ascii="宋体" w:eastAsia="宋体" w:cs="宋体"/>
      <w:kern w:val="2"/>
      <w:sz w:val="28"/>
      <w:lang w:val="en-US" w:eastAsia="zh-CN" w:bidi="ar-SA"/>
    </w:rPr>
  </w:style>
  <w:style w:type="character" w:customStyle="1" w:styleId="64">
    <w:name w:val="填表4小 Char Char"/>
    <w:link w:val="65"/>
    <w:qFormat/>
    <w:uiPriority w:val="0"/>
    <w:rPr>
      <w:rFonts w:ascii="宋体" w:eastAsia="宋体"/>
      <w:kern w:val="2"/>
      <w:sz w:val="24"/>
      <w:lang w:val="en-US" w:eastAsia="zh-CN" w:bidi="ar-SA"/>
    </w:rPr>
  </w:style>
  <w:style w:type="paragraph" w:customStyle="1" w:styleId="65">
    <w:name w:val="填表4小"/>
    <w:basedOn w:val="1"/>
    <w:next w:val="1"/>
    <w:link w:val="64"/>
    <w:qFormat/>
    <w:uiPriority w:val="0"/>
    <w:pPr>
      <w:spacing w:line="240" w:lineRule="auto"/>
    </w:pPr>
    <w:rPr>
      <w:sz w:val="24"/>
    </w:rPr>
  </w:style>
  <w:style w:type="character" w:customStyle="1" w:styleId="66">
    <w:name w:val="标题4缩2 Char Char"/>
    <w:link w:val="67"/>
    <w:qFormat/>
    <w:uiPriority w:val="0"/>
    <w:rPr>
      <w:rFonts w:ascii="宋体" w:eastAsia="汉仪雅酷黑简" w:cs="宋体"/>
      <w:b/>
      <w:bCs/>
      <w:kern w:val="2"/>
      <w:sz w:val="28"/>
      <w:lang w:val="en-US" w:eastAsia="zh-CN" w:bidi="ar-SA"/>
    </w:rPr>
  </w:style>
  <w:style w:type="paragraph" w:customStyle="1" w:styleId="67">
    <w:name w:val="标题4缩2"/>
    <w:basedOn w:val="1"/>
    <w:next w:val="1"/>
    <w:link w:val="66"/>
    <w:qFormat/>
    <w:uiPriority w:val="0"/>
    <w:pPr>
      <w:ind w:firstLine="562" w:firstLineChars="200"/>
      <w:outlineLvl w:val="3"/>
    </w:pPr>
    <w:rPr>
      <w:rFonts w:eastAsia="汉仪雅酷黑简" w:cs="宋体"/>
      <w:b/>
      <w:bCs/>
    </w:rPr>
  </w:style>
  <w:style w:type="character" w:customStyle="1" w:styleId="68">
    <w:name w:val="填表4小中2倍行距 Char Char"/>
    <w:link w:val="69"/>
    <w:qFormat/>
    <w:uiPriority w:val="0"/>
    <w:rPr>
      <w:rFonts w:ascii="宋体" w:eastAsia="宋体" w:cs="宋体"/>
      <w:kern w:val="2"/>
      <w:sz w:val="24"/>
      <w:szCs w:val="28"/>
      <w:lang w:val="en-US" w:eastAsia="zh-CN" w:bidi="ar-SA"/>
    </w:rPr>
  </w:style>
  <w:style w:type="paragraph" w:customStyle="1" w:styleId="69">
    <w:name w:val="填表4小中2倍行距"/>
    <w:basedOn w:val="70"/>
    <w:link w:val="68"/>
    <w:qFormat/>
    <w:uiPriority w:val="0"/>
    <w:pPr>
      <w:snapToGrid/>
      <w:spacing w:line="480" w:lineRule="auto"/>
    </w:pPr>
    <w:rPr>
      <w:sz w:val="24"/>
    </w:rPr>
  </w:style>
  <w:style w:type="paragraph" w:customStyle="1" w:styleId="70">
    <w:name w:val="填表4中"/>
    <w:basedOn w:val="1"/>
    <w:next w:val="1"/>
    <w:qFormat/>
    <w:uiPriority w:val="0"/>
    <w:pPr>
      <w:jc w:val="center"/>
    </w:pPr>
    <w:rPr>
      <w:rFonts w:cs="宋体"/>
      <w:szCs w:val="28"/>
    </w:rPr>
  </w:style>
  <w:style w:type="character" w:customStyle="1" w:styleId="71">
    <w:name w:val="填表5 Char"/>
    <w:qFormat/>
    <w:uiPriority w:val="0"/>
    <w:rPr>
      <w:rFonts w:ascii="宋体" w:eastAsia="宋体"/>
      <w:kern w:val="2"/>
      <w:sz w:val="21"/>
      <w:szCs w:val="21"/>
      <w:lang w:val="en-US" w:eastAsia="zh-CN" w:bidi="ar-SA"/>
    </w:rPr>
  </w:style>
  <w:style w:type="character" w:customStyle="1" w:styleId="72">
    <w:name w:val="正文加粗 Char Char"/>
    <w:link w:val="73"/>
    <w:qFormat/>
    <w:uiPriority w:val="0"/>
    <w:rPr>
      <w:rFonts w:ascii="宋体" w:eastAsia="汉仪雅酷黑简"/>
      <w:b/>
      <w:kern w:val="2"/>
      <w:sz w:val="28"/>
      <w:lang w:val="en-US" w:eastAsia="zh-CN" w:bidi="ar-SA"/>
    </w:rPr>
  </w:style>
  <w:style w:type="paragraph" w:customStyle="1" w:styleId="73">
    <w:name w:val="正文加粗"/>
    <w:basedOn w:val="1"/>
    <w:link w:val="72"/>
    <w:qFormat/>
    <w:uiPriority w:val="0"/>
    <w:rPr>
      <w:rFonts w:eastAsia="汉仪雅酷黑简"/>
      <w:b/>
    </w:rPr>
  </w:style>
  <w:style w:type="character" w:customStyle="1" w:styleId="74">
    <w:name w:val="正文首行缩进2个字 Char"/>
    <w:link w:val="75"/>
    <w:qFormat/>
    <w:uiPriority w:val="0"/>
    <w:rPr>
      <w:kern w:val="2"/>
      <w:sz w:val="28"/>
      <w:szCs w:val="28"/>
    </w:rPr>
  </w:style>
  <w:style w:type="paragraph" w:customStyle="1" w:styleId="75">
    <w:name w:val="正文首行缩进2个字"/>
    <w:basedOn w:val="1"/>
    <w:link w:val="74"/>
    <w:qFormat/>
    <w:uiPriority w:val="0"/>
    <w:pPr>
      <w:snapToGrid/>
      <w:spacing w:line="540" w:lineRule="exact"/>
      <w:ind w:firstLine="200" w:firstLineChars="200"/>
    </w:pPr>
    <w:rPr>
      <w:rFonts w:ascii="Times New Roman"/>
      <w:szCs w:val="28"/>
    </w:rPr>
  </w:style>
  <w:style w:type="character" w:customStyle="1" w:styleId="76">
    <w:name w:val="填表5中 Char"/>
    <w:qFormat/>
    <w:uiPriority w:val="0"/>
    <w:rPr>
      <w:rFonts w:ascii="宋体" w:eastAsia="宋体"/>
      <w:kern w:val="2"/>
      <w:sz w:val="21"/>
      <w:szCs w:val="21"/>
      <w:lang w:val="en-US" w:eastAsia="zh-CN" w:bidi="ar-SA"/>
    </w:rPr>
  </w:style>
  <w:style w:type="character" w:customStyle="1" w:styleId="77">
    <w:name w:val="仿宋四号 Char Char"/>
    <w:link w:val="78"/>
    <w:qFormat/>
    <w:uiPriority w:val="0"/>
    <w:rPr>
      <w:rFonts w:ascii="宋体" w:eastAsia="仿宋_GB2312"/>
      <w:snapToGrid w:val="0"/>
      <w:sz w:val="28"/>
      <w:szCs w:val="28"/>
      <w:lang w:val="en-US" w:eastAsia="zh-CN" w:bidi="ar-SA"/>
    </w:rPr>
  </w:style>
  <w:style w:type="paragraph" w:customStyle="1" w:styleId="78">
    <w:name w:val="仿宋四号"/>
    <w:basedOn w:val="1"/>
    <w:link w:val="77"/>
    <w:qFormat/>
    <w:uiPriority w:val="0"/>
    <w:pPr>
      <w:adjustRightInd w:val="0"/>
      <w:ind w:firstLine="482"/>
    </w:pPr>
    <w:rPr>
      <w:rFonts w:eastAsia="仿宋_GB2312"/>
      <w:snapToGrid w:val="0"/>
      <w:szCs w:val="28"/>
    </w:rPr>
  </w:style>
  <w:style w:type="character" w:customStyle="1" w:styleId="79">
    <w:name w:val="填表5 Char Char"/>
    <w:link w:val="80"/>
    <w:qFormat/>
    <w:uiPriority w:val="0"/>
    <w:rPr>
      <w:rFonts w:ascii="宋体" w:eastAsia="宋体"/>
      <w:kern w:val="2"/>
      <w:sz w:val="24"/>
      <w:szCs w:val="21"/>
      <w:lang w:val="en-US" w:eastAsia="zh-CN" w:bidi="ar-SA"/>
    </w:rPr>
  </w:style>
  <w:style w:type="paragraph" w:customStyle="1" w:styleId="80">
    <w:name w:val="填表5"/>
    <w:basedOn w:val="1"/>
    <w:next w:val="1"/>
    <w:link w:val="79"/>
    <w:qFormat/>
    <w:uiPriority w:val="0"/>
    <w:pPr>
      <w:snapToGrid/>
      <w:spacing w:line="300" w:lineRule="exact"/>
      <w:jc w:val="left"/>
    </w:pPr>
    <w:rPr>
      <w:sz w:val="24"/>
    </w:rPr>
  </w:style>
  <w:style w:type="character" w:customStyle="1" w:styleId="81">
    <w:name w:val="blue1"/>
    <w:qFormat/>
    <w:uiPriority w:val="0"/>
    <w:rPr>
      <w:color w:val="069600"/>
    </w:rPr>
  </w:style>
  <w:style w:type="character" w:customStyle="1" w:styleId="82">
    <w:name w:val="填表4小中红 Char Char"/>
    <w:link w:val="83"/>
    <w:qFormat/>
    <w:uiPriority w:val="0"/>
    <w:rPr>
      <w:rFonts w:ascii="宋体" w:eastAsia="宋体" w:cs="宋体"/>
      <w:color w:val="FF0000"/>
      <w:kern w:val="2"/>
      <w:sz w:val="24"/>
      <w:lang w:val="en-US" w:eastAsia="zh-CN" w:bidi="ar-SA"/>
    </w:rPr>
  </w:style>
  <w:style w:type="paragraph" w:customStyle="1" w:styleId="83">
    <w:name w:val="填表4小中红"/>
    <w:basedOn w:val="84"/>
    <w:next w:val="84"/>
    <w:link w:val="82"/>
    <w:qFormat/>
    <w:uiPriority w:val="0"/>
    <w:pPr>
      <w:spacing w:line="240" w:lineRule="auto"/>
    </w:pPr>
    <w:rPr>
      <w:color w:val="FF0000"/>
    </w:rPr>
  </w:style>
  <w:style w:type="paragraph" w:customStyle="1" w:styleId="84">
    <w:name w:val="填表4小中"/>
    <w:basedOn w:val="1"/>
    <w:next w:val="1"/>
    <w:link w:val="85"/>
    <w:qFormat/>
    <w:uiPriority w:val="0"/>
    <w:pPr>
      <w:snapToGrid/>
      <w:spacing w:line="480" w:lineRule="auto"/>
      <w:jc w:val="center"/>
    </w:pPr>
    <w:rPr>
      <w:rFonts w:cs="宋体"/>
      <w:sz w:val="24"/>
    </w:rPr>
  </w:style>
  <w:style w:type="character" w:customStyle="1" w:styleId="85">
    <w:name w:val="填表4小中 Char Char"/>
    <w:link w:val="84"/>
    <w:qFormat/>
    <w:uiPriority w:val="0"/>
    <w:rPr>
      <w:rFonts w:ascii="宋体" w:eastAsia="宋体" w:cs="宋体"/>
      <w:kern w:val="2"/>
      <w:sz w:val="24"/>
      <w:lang w:val="en-US" w:eastAsia="zh-CN" w:bidi="ar-SA"/>
    </w:rPr>
  </w:style>
  <w:style w:type="character" w:customStyle="1" w:styleId="86">
    <w:name w:val="c lh15"/>
    <w:qFormat/>
    <w:uiPriority w:val="0"/>
  </w:style>
  <w:style w:type="character" w:customStyle="1" w:styleId="87">
    <w:name w:val="填表小5中 Char Char"/>
    <w:link w:val="88"/>
    <w:qFormat/>
    <w:uiPriority w:val="0"/>
    <w:rPr>
      <w:rFonts w:ascii="宋体" w:eastAsia="宋体"/>
      <w:kern w:val="2"/>
      <w:sz w:val="18"/>
      <w:szCs w:val="18"/>
      <w:lang w:val="en-US" w:eastAsia="zh-CN" w:bidi="ar-SA"/>
    </w:rPr>
  </w:style>
  <w:style w:type="paragraph" w:customStyle="1" w:styleId="88">
    <w:name w:val="填表小5中"/>
    <w:basedOn w:val="89"/>
    <w:link w:val="87"/>
    <w:qFormat/>
    <w:uiPriority w:val="0"/>
    <w:rPr>
      <w:sz w:val="18"/>
      <w:szCs w:val="18"/>
    </w:rPr>
  </w:style>
  <w:style w:type="paragraph" w:customStyle="1" w:styleId="89">
    <w:name w:val="填表5中"/>
    <w:basedOn w:val="1"/>
    <w:next w:val="1"/>
    <w:link w:val="90"/>
    <w:qFormat/>
    <w:uiPriority w:val="0"/>
    <w:pPr>
      <w:snapToGrid/>
      <w:spacing w:line="300" w:lineRule="exact"/>
      <w:jc w:val="center"/>
    </w:pPr>
    <w:rPr>
      <w:sz w:val="24"/>
    </w:rPr>
  </w:style>
  <w:style w:type="character" w:customStyle="1" w:styleId="90">
    <w:name w:val="填表5中 Char Char"/>
    <w:link w:val="89"/>
    <w:qFormat/>
    <w:uiPriority w:val="0"/>
    <w:rPr>
      <w:rFonts w:ascii="宋体" w:eastAsia="宋体"/>
      <w:kern w:val="2"/>
      <w:sz w:val="24"/>
      <w:szCs w:val="21"/>
      <w:lang w:val="en-US" w:eastAsia="zh-CN" w:bidi="ar-SA"/>
    </w:rPr>
  </w:style>
  <w:style w:type="character" w:customStyle="1" w:styleId="91">
    <w:name w:val="首行缩进红 Char Char"/>
    <w:link w:val="92"/>
    <w:qFormat/>
    <w:uiPriority w:val="0"/>
    <w:rPr>
      <w:rFonts w:ascii="宋体" w:eastAsia="宋体" w:cs="宋体"/>
      <w:color w:val="FF0000"/>
      <w:kern w:val="2"/>
      <w:sz w:val="28"/>
      <w:lang w:val="en-US" w:eastAsia="zh-CN" w:bidi="ar-SA"/>
    </w:rPr>
  </w:style>
  <w:style w:type="paragraph" w:customStyle="1" w:styleId="92">
    <w:name w:val="首行缩进红"/>
    <w:basedOn w:val="55"/>
    <w:link w:val="91"/>
    <w:qFormat/>
    <w:uiPriority w:val="0"/>
    <w:rPr>
      <w:color w:val="FF0000"/>
    </w:rPr>
  </w:style>
  <w:style w:type="character" w:customStyle="1" w:styleId="93">
    <w:name w:val="标题3缩2 Char Char"/>
    <w:link w:val="94"/>
    <w:qFormat/>
    <w:uiPriority w:val="0"/>
    <w:rPr>
      <w:rFonts w:ascii="宋体" w:eastAsia="汉仪雅酷黑简" w:cs="宋体"/>
      <w:b/>
      <w:bCs/>
      <w:kern w:val="2"/>
      <w:sz w:val="28"/>
      <w:lang w:val="en-US" w:eastAsia="zh-CN" w:bidi="ar-SA"/>
    </w:rPr>
  </w:style>
  <w:style w:type="paragraph" w:customStyle="1" w:styleId="94">
    <w:name w:val="标题3缩2"/>
    <w:basedOn w:val="1"/>
    <w:next w:val="1"/>
    <w:link w:val="93"/>
    <w:qFormat/>
    <w:uiPriority w:val="0"/>
    <w:pPr>
      <w:snapToGrid/>
      <w:ind w:firstLine="562" w:firstLineChars="200"/>
      <w:outlineLvl w:val="2"/>
    </w:pPr>
    <w:rPr>
      <w:rFonts w:eastAsia="汉仪雅酷黑简" w:cs="宋体"/>
      <w:b/>
      <w:bCs/>
    </w:rPr>
  </w:style>
  <w:style w:type="character" w:customStyle="1" w:styleId="95">
    <w:name w:val="正文居中 Char Char"/>
    <w:link w:val="96"/>
    <w:qFormat/>
    <w:uiPriority w:val="0"/>
    <w:rPr>
      <w:rFonts w:ascii="宋体" w:eastAsia="宋体"/>
      <w:kern w:val="2"/>
      <w:sz w:val="28"/>
      <w:lang w:val="en-US" w:eastAsia="zh-CN" w:bidi="ar-SA"/>
    </w:rPr>
  </w:style>
  <w:style w:type="paragraph" w:customStyle="1" w:styleId="96">
    <w:name w:val="正文居中"/>
    <w:basedOn w:val="1"/>
    <w:link w:val="95"/>
    <w:qFormat/>
    <w:uiPriority w:val="0"/>
    <w:pPr>
      <w:jc w:val="center"/>
    </w:pPr>
  </w:style>
  <w:style w:type="character" w:customStyle="1" w:styleId="97">
    <w:name w:val="表头 Char"/>
    <w:qFormat/>
    <w:uiPriority w:val="0"/>
    <w:rPr>
      <w:rFonts w:ascii="宋体" w:eastAsia="宋体"/>
      <w:b/>
      <w:kern w:val="2"/>
      <w:sz w:val="28"/>
      <w:szCs w:val="28"/>
      <w:lang w:val="en-US" w:eastAsia="zh-CN" w:bidi="ar-SA"/>
    </w:rPr>
  </w:style>
  <w:style w:type="character" w:customStyle="1" w:styleId="98">
    <w:name w:val="填表4小中单倍行距 Char Char Char"/>
    <w:qFormat/>
    <w:uiPriority w:val="0"/>
    <w:rPr>
      <w:lang w:val="en-US" w:eastAsia="zh-CN" w:bidi="ar-SA"/>
    </w:rPr>
  </w:style>
  <w:style w:type="character" w:customStyle="1" w:styleId="99">
    <w:name w:val="填表4小中单倍行距 Char Char"/>
    <w:link w:val="100"/>
    <w:qFormat/>
    <w:uiPriority w:val="0"/>
    <w:rPr>
      <w:lang w:val="en-US" w:eastAsia="zh-CN" w:bidi="ar-SA"/>
    </w:rPr>
  </w:style>
  <w:style w:type="paragraph" w:customStyle="1" w:styleId="100">
    <w:name w:val="填表4小中单倍行距"/>
    <w:basedOn w:val="69"/>
    <w:link w:val="99"/>
    <w:qFormat/>
    <w:uiPriority w:val="0"/>
    <w:pPr>
      <w:spacing w:line="240" w:lineRule="auto"/>
    </w:pPr>
  </w:style>
  <w:style w:type="character" w:customStyle="1" w:styleId="101">
    <w:name w:val="font9_height181"/>
    <w:qFormat/>
    <w:uiPriority w:val="0"/>
    <w:rPr>
      <w:rFonts w:hint="default" w:ascii="Tahoma" w:hAnsi="Tahoma" w:cs="Tahoma"/>
      <w:color w:val="000000"/>
      <w:sz w:val="18"/>
      <w:szCs w:val="18"/>
    </w:rPr>
  </w:style>
  <w:style w:type="character" w:customStyle="1" w:styleId="102">
    <w:name w:val="仿宋居中 Char Char"/>
    <w:link w:val="103"/>
    <w:qFormat/>
    <w:uiPriority w:val="0"/>
    <w:rPr>
      <w:rFonts w:ascii="宋体" w:eastAsia="仿宋_GB2312"/>
      <w:kern w:val="2"/>
      <w:sz w:val="32"/>
      <w:szCs w:val="21"/>
      <w:lang w:val="en-US" w:eastAsia="zh-CN" w:bidi="ar-SA"/>
    </w:rPr>
  </w:style>
  <w:style w:type="paragraph" w:customStyle="1" w:styleId="103">
    <w:name w:val="仿宋居中"/>
    <w:basedOn w:val="1"/>
    <w:next w:val="1"/>
    <w:link w:val="102"/>
    <w:qFormat/>
    <w:uiPriority w:val="0"/>
    <w:pPr>
      <w:jc w:val="center"/>
    </w:pPr>
    <w:rPr>
      <w:rFonts w:eastAsia="仿宋_GB2312"/>
      <w:sz w:val="32"/>
    </w:rPr>
  </w:style>
  <w:style w:type="character" w:customStyle="1" w:styleId="104">
    <w:name w:val="正文红 Char Char"/>
    <w:link w:val="105"/>
    <w:qFormat/>
    <w:uiPriority w:val="0"/>
    <w:rPr>
      <w:rFonts w:ascii="宋体" w:eastAsia="宋体"/>
      <w:color w:val="FF0000"/>
      <w:kern w:val="2"/>
      <w:sz w:val="28"/>
      <w:lang w:val="en-US" w:eastAsia="zh-CN" w:bidi="ar-SA"/>
    </w:rPr>
  </w:style>
  <w:style w:type="paragraph" w:customStyle="1" w:styleId="105">
    <w:name w:val="正文红"/>
    <w:basedOn w:val="1"/>
    <w:link w:val="104"/>
    <w:qFormat/>
    <w:uiPriority w:val="0"/>
    <w:rPr>
      <w:color w:val="FF0000"/>
    </w:rPr>
  </w:style>
  <w:style w:type="character" w:customStyle="1" w:styleId="106">
    <w:name w:val="仿宋居中宋体 Char Char"/>
    <w:link w:val="107"/>
    <w:qFormat/>
    <w:uiPriority w:val="0"/>
    <w:rPr>
      <w:rFonts w:ascii="宋体" w:hAnsi="宋体" w:eastAsia="宋体"/>
      <w:kern w:val="2"/>
      <w:sz w:val="32"/>
      <w:szCs w:val="32"/>
      <w:lang w:val="en-US" w:eastAsia="zh-CN" w:bidi="ar-SA"/>
    </w:rPr>
  </w:style>
  <w:style w:type="paragraph" w:customStyle="1" w:styleId="107">
    <w:name w:val="仿宋居中宋体"/>
    <w:basedOn w:val="103"/>
    <w:link w:val="106"/>
    <w:qFormat/>
    <w:uiPriority w:val="0"/>
    <w:rPr>
      <w:rFonts w:hAnsi="宋体" w:eastAsia="宋体"/>
      <w:szCs w:val="32"/>
    </w:rPr>
  </w:style>
  <w:style w:type="character" w:customStyle="1" w:styleId="108">
    <w:name w:val="填表4小单倍行距 Char Char"/>
    <w:link w:val="109"/>
    <w:qFormat/>
    <w:uiPriority w:val="0"/>
    <w:rPr>
      <w:rFonts w:ascii="宋体" w:eastAsia="宋体" w:cs="宋体"/>
      <w:kern w:val="2"/>
      <w:sz w:val="24"/>
      <w:lang w:val="en-US" w:eastAsia="zh-CN" w:bidi="ar-SA"/>
    </w:rPr>
  </w:style>
  <w:style w:type="paragraph" w:customStyle="1" w:styleId="109">
    <w:name w:val="填表4小单倍行距"/>
    <w:basedOn w:val="65"/>
    <w:link w:val="108"/>
    <w:qFormat/>
    <w:uiPriority w:val="0"/>
    <w:rPr>
      <w:rFonts w:cs="宋体"/>
    </w:rPr>
  </w:style>
  <w:style w:type="character" w:customStyle="1" w:styleId="110">
    <w:name w:val="标题3缩2 Char"/>
    <w:qFormat/>
    <w:uiPriority w:val="0"/>
    <w:rPr>
      <w:rFonts w:ascii="宋体" w:eastAsia="汉仪雅酷黑简" w:cs="宋体"/>
      <w:b/>
      <w:bCs/>
      <w:kern w:val="2"/>
      <w:sz w:val="28"/>
      <w:lang w:val="en-US" w:eastAsia="zh-CN" w:bidi="ar-SA"/>
    </w:rPr>
  </w:style>
  <w:style w:type="character" w:customStyle="1" w:styleId="111">
    <w:name w:val="填表4小单倍行距 Char Char Char"/>
    <w:qFormat/>
    <w:uiPriority w:val="0"/>
    <w:rPr>
      <w:rFonts w:ascii="宋体" w:eastAsia="宋体" w:cs="宋体"/>
      <w:kern w:val="2"/>
      <w:sz w:val="24"/>
      <w:lang w:val="en-US" w:eastAsia="zh-CN" w:bidi="ar-SA"/>
    </w:rPr>
  </w:style>
  <w:style w:type="character" w:customStyle="1" w:styleId="112">
    <w:name w:val="表头 Char Char"/>
    <w:link w:val="113"/>
    <w:qFormat/>
    <w:uiPriority w:val="0"/>
    <w:rPr>
      <w:rFonts w:ascii="宋体" w:eastAsia="宋体"/>
      <w:b/>
      <w:kern w:val="2"/>
      <w:sz w:val="28"/>
      <w:szCs w:val="28"/>
      <w:lang w:val="en-US" w:eastAsia="zh-CN" w:bidi="ar-SA"/>
    </w:rPr>
  </w:style>
  <w:style w:type="paragraph" w:customStyle="1" w:styleId="113">
    <w:name w:val="表头"/>
    <w:basedOn w:val="1"/>
    <w:next w:val="1"/>
    <w:link w:val="112"/>
    <w:qFormat/>
    <w:uiPriority w:val="0"/>
    <w:pPr>
      <w:jc w:val="center"/>
    </w:pPr>
    <w:rPr>
      <w:b/>
      <w:szCs w:val="28"/>
    </w:rPr>
  </w:style>
  <w:style w:type="character" w:customStyle="1" w:styleId="114">
    <w:name w:val="DefaultFontStyle"/>
    <w:qFormat/>
    <w:uiPriority w:val="0"/>
    <w:rPr>
      <w:rFonts w:ascii="汉仪雅酷黑简" w:hAnsi="汉仪雅酷黑简" w:cs="汉仪雅酷黑简"/>
      <w:sz w:val="24"/>
      <w:szCs w:val="24"/>
    </w:rPr>
  </w:style>
  <w:style w:type="character" w:customStyle="1" w:styleId="115">
    <w:name w:val="首行缩进加粗 Char Char"/>
    <w:qFormat/>
    <w:uiPriority w:val="0"/>
    <w:rPr>
      <w:rFonts w:ascii="宋体" w:eastAsia="汉仪雅酷黑简" w:cs="宋体"/>
      <w:b/>
      <w:bCs/>
      <w:kern w:val="2"/>
      <w:sz w:val="28"/>
      <w:lang w:val="en-US" w:eastAsia="zh-CN" w:bidi="ar-SA"/>
    </w:rPr>
  </w:style>
  <w:style w:type="character" w:customStyle="1" w:styleId="116">
    <w:name w:val="标题3缩2 Char Char Char"/>
    <w:qFormat/>
    <w:uiPriority w:val="0"/>
    <w:rPr>
      <w:rFonts w:ascii="宋体" w:eastAsia="汉仪雅酷黑简" w:cs="宋体"/>
      <w:b/>
      <w:bCs/>
      <w:kern w:val="2"/>
      <w:sz w:val="28"/>
      <w:lang w:val="en-US" w:eastAsia="zh-CN" w:bidi="ar-SA"/>
    </w:rPr>
  </w:style>
  <w:style w:type="character" w:customStyle="1" w:styleId="117">
    <w:name w:val="填表4小中单倍行距 Char"/>
    <w:qFormat/>
    <w:uiPriority w:val="0"/>
    <w:rPr>
      <w:lang w:val="en-US" w:eastAsia="zh-CN" w:bidi="ar-SA"/>
    </w:rPr>
  </w:style>
  <w:style w:type="character" w:customStyle="1" w:styleId="118">
    <w:name w:val="Char2"/>
    <w:qFormat/>
    <w:uiPriority w:val="0"/>
    <w:rPr>
      <w:rFonts w:ascii="宋体" w:hAnsi="宋体" w:eastAsia="宋体"/>
      <w:sz w:val="24"/>
      <w:lang w:val="en-US" w:eastAsia="zh-CN"/>
    </w:rPr>
  </w:style>
  <w:style w:type="character" w:customStyle="1" w:styleId="119">
    <w:name w:val="正文居中 Char"/>
    <w:qFormat/>
    <w:uiPriority w:val="0"/>
    <w:rPr>
      <w:rFonts w:ascii="宋体" w:eastAsia="宋体"/>
      <w:kern w:val="2"/>
      <w:sz w:val="28"/>
      <w:lang w:val="en-US" w:eastAsia="zh-CN" w:bidi="ar-SA"/>
    </w:rPr>
  </w:style>
  <w:style w:type="paragraph" w:customStyle="1" w:styleId="120">
    <w:name w:val="楷体表头"/>
    <w:basedOn w:val="1"/>
    <w:next w:val="1"/>
    <w:qFormat/>
    <w:uiPriority w:val="0"/>
    <w:pPr>
      <w:spacing w:before="340" w:after="330"/>
      <w:jc w:val="center"/>
    </w:pPr>
    <w:rPr>
      <w:rFonts w:eastAsia="楷体_GB2312"/>
      <w:b/>
      <w:sz w:val="48"/>
    </w:rPr>
  </w:style>
  <w:style w:type="paragraph" w:styleId="121">
    <w:name w:val="List Paragraph"/>
    <w:basedOn w:val="1"/>
    <w:qFormat/>
    <w:uiPriority w:val="34"/>
    <w:pPr>
      <w:snapToGrid/>
      <w:spacing w:line="240" w:lineRule="auto"/>
      <w:ind w:firstLine="420" w:firstLineChars="200"/>
    </w:pPr>
    <w:rPr>
      <w:rFonts w:ascii="Calibri" w:hAnsi="Calibri"/>
      <w:sz w:val="21"/>
      <w:szCs w:val="22"/>
    </w:rPr>
  </w:style>
  <w:style w:type="paragraph" w:customStyle="1" w:styleId="122">
    <w:name w:val="附件封面3"/>
    <w:basedOn w:val="1"/>
    <w:next w:val="1"/>
    <w:qFormat/>
    <w:uiPriority w:val="0"/>
    <w:pPr>
      <w:jc w:val="left"/>
      <w:outlineLvl w:val="6"/>
    </w:pPr>
    <w:rPr>
      <w:b/>
    </w:rPr>
  </w:style>
  <w:style w:type="paragraph" w:customStyle="1" w:styleId="123">
    <w:name w:val="文件抬头"/>
    <w:basedOn w:val="1"/>
    <w:next w:val="1"/>
    <w:qFormat/>
    <w:uiPriority w:val="0"/>
    <w:pPr>
      <w:pBdr>
        <w:bottom w:val="thinThickSmallGap" w:color="auto" w:sz="24" w:space="1"/>
      </w:pBdr>
      <w:spacing w:after="720"/>
      <w:jc w:val="center"/>
      <w:outlineLvl w:val="1"/>
    </w:pPr>
    <w:rPr>
      <w:rFonts w:eastAsia="楷体_GB2312"/>
      <w:b/>
      <w:sz w:val="44"/>
    </w:rPr>
  </w:style>
  <w:style w:type="paragraph" w:customStyle="1" w:styleId="124">
    <w:name w:val="reader-word-layer reader-word-s12-26"/>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25">
    <w:name w:val="填表5中红"/>
    <w:basedOn w:val="89"/>
    <w:qFormat/>
    <w:uiPriority w:val="0"/>
    <w:rPr>
      <w:color w:val="FF0000"/>
    </w:rPr>
  </w:style>
  <w:style w:type="paragraph" w:customStyle="1" w:styleId="126">
    <w:name w:val="reader-word-layer reader-word-s11-8"/>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27">
    <w:name w:val="reader-word-layer reader-word-s12-19"/>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28">
    <w:name w:val="填表4小红单倍行距"/>
    <w:basedOn w:val="129"/>
    <w:qFormat/>
    <w:uiPriority w:val="0"/>
    <w:rPr>
      <w:rFonts w:cs="宋体"/>
    </w:rPr>
  </w:style>
  <w:style w:type="paragraph" w:customStyle="1" w:styleId="129">
    <w:name w:val="填表4小红1.5倍行距"/>
    <w:basedOn w:val="65"/>
    <w:qFormat/>
    <w:uiPriority w:val="0"/>
    <w:rPr>
      <w:color w:val="FF0000"/>
    </w:rPr>
  </w:style>
  <w:style w:type="paragraph" w:customStyle="1" w:styleId="130">
    <w:name w:val="填表4小中红单倍行距"/>
    <w:basedOn w:val="69"/>
    <w:qFormat/>
    <w:uiPriority w:val="0"/>
    <w:pPr>
      <w:spacing w:line="240" w:lineRule="auto"/>
    </w:pPr>
    <w:rPr>
      <w:color w:val="FF0000"/>
    </w:rPr>
  </w:style>
  <w:style w:type="paragraph" w:customStyle="1" w:styleId="131">
    <w:name w:val="reader-word-layer reader-word-s12-13"/>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32">
    <w:name w:val="预案封面落款"/>
    <w:basedOn w:val="133"/>
    <w:qFormat/>
    <w:uiPriority w:val="0"/>
    <w:pPr>
      <w:ind w:left="1120" w:leftChars="400"/>
    </w:pPr>
    <w:rPr>
      <w:rFonts w:ascii="Times New Roman"/>
      <w:szCs w:val="20"/>
    </w:rPr>
  </w:style>
  <w:style w:type="paragraph" w:customStyle="1" w:styleId="133">
    <w:name w:val="仿宋正文"/>
    <w:basedOn w:val="78"/>
    <w:qFormat/>
    <w:uiPriority w:val="0"/>
    <w:pPr>
      <w:ind w:firstLine="0"/>
    </w:pPr>
    <w:rPr>
      <w:rFonts w:cs="宋体"/>
      <w:sz w:val="24"/>
    </w:rPr>
  </w:style>
  <w:style w:type="paragraph" w:customStyle="1" w:styleId="134">
    <w:name w:val="附件封面2"/>
    <w:basedOn w:val="1"/>
    <w:next w:val="1"/>
    <w:qFormat/>
    <w:uiPriority w:val="0"/>
    <w:pPr>
      <w:jc w:val="left"/>
      <w:outlineLvl w:val="5"/>
    </w:pPr>
    <w:rPr>
      <w:b/>
      <w:bCs/>
    </w:rPr>
  </w:style>
  <w:style w:type="paragraph" w:customStyle="1" w:styleId="135">
    <w:name w:val="著录项标题"/>
    <w:basedOn w:val="1"/>
    <w:qFormat/>
    <w:uiPriority w:val="0"/>
    <w:pPr>
      <w:widowControl/>
      <w:spacing w:before="100" w:beforeAutospacing="1" w:after="100" w:afterAutospacing="1"/>
      <w:jc w:val="center"/>
    </w:pPr>
    <w:rPr>
      <w:rFonts w:hAnsi="宋体" w:cs="宋体"/>
      <w:b/>
      <w:bCs/>
      <w:kern w:val="0"/>
      <w:sz w:val="32"/>
      <w:szCs w:val="32"/>
    </w:rPr>
  </w:style>
  <w:style w:type="paragraph" w:customStyle="1" w:styleId="136">
    <w:name w:val="reader-word-layer reader-word-s12-16"/>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37">
    <w:name w:val="预案封面"/>
    <w:basedOn w:val="133"/>
    <w:next w:val="133"/>
    <w:qFormat/>
    <w:uiPriority w:val="0"/>
    <w:pPr>
      <w:jc w:val="center"/>
    </w:pPr>
    <w:rPr>
      <w:rFonts w:ascii="Times New Roman"/>
      <w:b/>
      <w:sz w:val="84"/>
    </w:rPr>
  </w:style>
  <w:style w:type="paragraph" w:customStyle="1" w:styleId="138">
    <w:name w:val="封面1"/>
    <w:basedOn w:val="1"/>
    <w:qFormat/>
    <w:uiPriority w:val="0"/>
    <w:pPr>
      <w:snapToGrid/>
      <w:jc w:val="center"/>
    </w:pPr>
    <w:rPr>
      <w:rFonts w:hAnsi="宋体" w:cs="宋体"/>
      <w:b/>
      <w:bCs/>
      <w:kern w:val="3"/>
      <w:sz w:val="44"/>
      <w:szCs w:val="48"/>
    </w:rPr>
  </w:style>
  <w:style w:type="paragraph" w:customStyle="1" w:styleId="139">
    <w:name w:val="仿宋落款"/>
    <w:basedOn w:val="1"/>
    <w:qFormat/>
    <w:uiPriority w:val="0"/>
    <w:pPr>
      <w:jc w:val="right"/>
    </w:pPr>
    <w:rPr>
      <w:rFonts w:ascii="仿宋_GB2312" w:eastAsia="仿宋_GB2312" w:cs="宋体"/>
      <w:szCs w:val="20"/>
    </w:rPr>
  </w:style>
  <w:style w:type="paragraph" w:customStyle="1" w:styleId="140">
    <w:name w:val="仿宋正文缩进6"/>
    <w:basedOn w:val="1"/>
    <w:qFormat/>
    <w:uiPriority w:val="0"/>
    <w:pPr>
      <w:adjustRightInd w:val="0"/>
      <w:ind w:firstLine="1920" w:firstLineChars="600"/>
    </w:pPr>
    <w:rPr>
      <w:rFonts w:ascii="仿宋_GB2312" w:eastAsia="仿宋_GB2312" w:cs="宋体"/>
      <w:snapToGrid w:val="0"/>
      <w:kern w:val="0"/>
      <w:sz w:val="32"/>
      <w:szCs w:val="20"/>
    </w:rPr>
  </w:style>
  <w:style w:type="paragraph" w:customStyle="1" w:styleId="141">
    <w:name w:val="gra0"/>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42">
    <w:name w:val="表头红2"/>
    <w:basedOn w:val="1"/>
    <w:qFormat/>
    <w:uiPriority w:val="0"/>
    <w:pPr>
      <w:widowControl/>
      <w:spacing w:before="100" w:beforeAutospacing="1" w:after="100" w:afterAutospacing="1"/>
      <w:jc w:val="center"/>
      <w:textAlignment w:val="center"/>
    </w:pPr>
    <w:rPr>
      <w:rFonts w:eastAsia="汉仪雅酷黑简" w:cs="宋体"/>
      <w:b/>
      <w:kern w:val="0"/>
      <w:sz w:val="32"/>
      <w:szCs w:val="28"/>
    </w:rPr>
  </w:style>
  <w:style w:type="paragraph" w:customStyle="1" w:styleId="143">
    <w:name w:val="附件标题"/>
    <w:basedOn w:val="1"/>
    <w:next w:val="1"/>
    <w:qFormat/>
    <w:uiPriority w:val="0"/>
    <w:pPr>
      <w:jc w:val="right"/>
      <w:outlineLvl w:val="3"/>
    </w:pPr>
    <w:rPr>
      <w:b/>
      <w:sz w:val="32"/>
    </w:rPr>
  </w:style>
  <w:style w:type="paragraph" w:customStyle="1" w:styleId="144">
    <w:name w:val="附件封面1"/>
    <w:basedOn w:val="1"/>
    <w:next w:val="1"/>
    <w:qFormat/>
    <w:uiPriority w:val="0"/>
    <w:pPr>
      <w:jc w:val="left"/>
      <w:outlineLvl w:val="4"/>
    </w:pPr>
    <w:rPr>
      <w:b/>
    </w:rPr>
  </w:style>
  <w:style w:type="paragraph" w:customStyle="1" w:styleId="145">
    <w:name w:val="reader-word-layer reader-word-s12-23"/>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46">
    <w:name w:val="仿宋正文缩进4"/>
    <w:basedOn w:val="140"/>
    <w:qFormat/>
    <w:uiPriority w:val="0"/>
    <w:pPr>
      <w:ind w:firstLine="1280" w:firstLineChars="400"/>
    </w:pPr>
  </w:style>
  <w:style w:type="paragraph" w:customStyle="1" w:styleId="147">
    <w:name w:val="reader-word-layer reader-word-s11-6"/>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48">
    <w:name w:val="Char Char Char"/>
    <w:basedOn w:val="1"/>
    <w:qFormat/>
    <w:uiPriority w:val="0"/>
    <w:pPr>
      <w:snapToGrid/>
      <w:ind w:firstLine="200" w:firstLineChars="200"/>
    </w:pPr>
  </w:style>
  <w:style w:type="paragraph" w:customStyle="1" w:styleId="149">
    <w:name w:val="填表4"/>
    <w:basedOn w:val="1"/>
    <w:next w:val="1"/>
    <w:qFormat/>
    <w:uiPriority w:val="0"/>
    <w:pPr>
      <w:spacing w:line="480" w:lineRule="auto"/>
    </w:pPr>
    <w:rPr>
      <w:szCs w:val="28"/>
    </w:rPr>
  </w:style>
  <w:style w:type="paragraph" w:customStyle="1" w:styleId="150">
    <w:name w:val="填表4小13磅"/>
    <w:basedOn w:val="109"/>
    <w:qFormat/>
    <w:uiPriority w:val="0"/>
    <w:pPr>
      <w:spacing w:line="260" w:lineRule="exact"/>
    </w:pPr>
  </w:style>
  <w:style w:type="paragraph" w:customStyle="1" w:styleId="151">
    <w:name w:val="填表4小红"/>
    <w:basedOn w:val="65"/>
    <w:next w:val="65"/>
    <w:qFormat/>
    <w:uiPriority w:val="0"/>
    <w:rPr>
      <w:color w:val="FF0000"/>
    </w:rPr>
  </w:style>
  <w:style w:type="paragraph" w:customStyle="1" w:styleId="152">
    <w:name w:val="首行缩进鲜绿"/>
    <w:basedOn w:val="55"/>
    <w:next w:val="55"/>
    <w:qFormat/>
    <w:uiPriority w:val="0"/>
    <w:rPr>
      <w:color w:val="00FF00"/>
    </w:rPr>
  </w:style>
  <w:style w:type="paragraph" w:customStyle="1" w:styleId="153">
    <w:name w:val="填表4小中行距20磅"/>
    <w:basedOn w:val="100"/>
    <w:qFormat/>
    <w:uiPriority w:val="0"/>
    <w:pPr>
      <w:snapToGrid w:val="0"/>
      <w:spacing w:line="400" w:lineRule="exact"/>
    </w:pPr>
  </w:style>
  <w:style w:type="paragraph" w:customStyle="1" w:styleId="154">
    <w:name w:val="仿宋表头"/>
    <w:basedOn w:val="1"/>
    <w:next w:val="1"/>
    <w:qFormat/>
    <w:uiPriority w:val="0"/>
    <w:pPr>
      <w:spacing w:line="480" w:lineRule="auto"/>
      <w:jc w:val="center"/>
    </w:pPr>
    <w:rPr>
      <w:rFonts w:eastAsia="仿宋_GB2312"/>
      <w:b/>
    </w:rPr>
  </w:style>
  <w:style w:type="paragraph" w:customStyle="1" w:styleId="155">
    <w:name w:val="填表4小中1.5倍行距"/>
    <w:basedOn w:val="69"/>
    <w:qFormat/>
    <w:uiPriority w:val="0"/>
    <w:pPr>
      <w:spacing w:line="360" w:lineRule="auto"/>
    </w:pPr>
  </w:style>
  <w:style w:type="paragraph" w:customStyle="1" w:styleId="156">
    <w:name w:val="附件标题2"/>
    <w:basedOn w:val="1"/>
    <w:next w:val="1"/>
    <w:qFormat/>
    <w:uiPriority w:val="0"/>
    <w:pPr>
      <w:jc w:val="left"/>
    </w:pPr>
    <w:rPr>
      <w:rFonts w:ascii="楷体_GB2312" w:eastAsia="楷体_GB2312"/>
      <w:b/>
      <w:sz w:val="32"/>
      <w:szCs w:val="32"/>
    </w:rPr>
  </w:style>
  <w:style w:type="paragraph" w:customStyle="1" w:styleId="157">
    <w:name w:val="填表小5红"/>
    <w:basedOn w:val="158"/>
    <w:qFormat/>
    <w:uiPriority w:val="0"/>
    <w:rPr>
      <w:rFonts w:eastAsia="仿宋_GB2312"/>
      <w:color w:val="FF0000"/>
    </w:rPr>
  </w:style>
  <w:style w:type="paragraph" w:customStyle="1" w:styleId="158">
    <w:name w:val="填表小5"/>
    <w:basedOn w:val="1"/>
    <w:qFormat/>
    <w:uiPriority w:val="0"/>
    <w:pPr>
      <w:jc w:val="left"/>
    </w:pPr>
    <w:rPr>
      <w:sz w:val="18"/>
      <w:szCs w:val="18"/>
    </w:rPr>
  </w:style>
  <w:style w:type="paragraph" w:customStyle="1" w:styleId="159">
    <w:name w:val="填表小5中红"/>
    <w:basedOn w:val="88"/>
    <w:qFormat/>
    <w:uiPriority w:val="0"/>
    <w:rPr>
      <w:color w:val="FF0000"/>
    </w:rPr>
  </w:style>
  <w:style w:type="paragraph" w:customStyle="1" w:styleId="160">
    <w:name w:val="reader-word-layer reader-word-s12-12"/>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61">
    <w:name w:val="reader-word-layer reader-word-s11-0 reader-word-s11-15"/>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62">
    <w:name w:val="样式 标题 3 + 仿宋_GB2312"/>
    <w:basedOn w:val="6"/>
    <w:qFormat/>
    <w:uiPriority w:val="0"/>
    <w:pPr>
      <w:snapToGrid/>
      <w:spacing w:before="260" w:after="260"/>
      <w:jc w:val="both"/>
    </w:pPr>
    <w:rPr>
      <w:rFonts w:ascii="仿宋_GB2312" w:hAnsi="仿宋_GB2312" w:eastAsia="仿宋_GB2312"/>
      <w:kern w:val="0"/>
      <w:szCs w:val="32"/>
    </w:rPr>
  </w:style>
  <w:style w:type="paragraph" w:customStyle="1" w:styleId="163">
    <w:name w:val="附件标题3"/>
    <w:basedOn w:val="1"/>
    <w:next w:val="1"/>
    <w:qFormat/>
    <w:uiPriority w:val="0"/>
    <w:pPr>
      <w:jc w:val="left"/>
    </w:pPr>
    <w:rPr>
      <w:rFonts w:ascii="楷体_GB2312" w:eastAsia="楷体_GB2312"/>
      <w:b/>
      <w:szCs w:val="28"/>
    </w:rPr>
  </w:style>
  <w:style w:type="paragraph" w:customStyle="1" w:styleId="164">
    <w:name w:val="reader-word-layer reader-word-s12-24"/>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65">
    <w:name w:val="reader-word-layer reader-word-s11-10"/>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66">
    <w:name w:val="4"/>
    <w:basedOn w:val="1"/>
    <w:next w:val="31"/>
    <w:qFormat/>
    <w:uiPriority w:val="0"/>
    <w:pPr>
      <w:widowControl/>
      <w:snapToGrid/>
      <w:spacing w:before="100" w:beforeAutospacing="1" w:after="100" w:afterAutospacing="1" w:line="240" w:lineRule="auto"/>
      <w:jc w:val="left"/>
    </w:pPr>
    <w:rPr>
      <w:rFonts w:hint="eastAsia" w:hAnsi="宋体"/>
      <w:kern w:val="0"/>
      <w:sz w:val="24"/>
      <w:szCs w:val="24"/>
    </w:rPr>
  </w:style>
  <w:style w:type="paragraph" w:customStyle="1" w:styleId="167">
    <w:name w:val="样式 标题 3 + 宋体 四号"/>
    <w:basedOn w:val="6"/>
    <w:qFormat/>
    <w:uiPriority w:val="0"/>
    <w:pPr>
      <w:snapToGrid/>
      <w:spacing w:before="260" w:after="260" w:line="413" w:lineRule="auto"/>
      <w:jc w:val="both"/>
    </w:pPr>
    <w:rPr>
      <w:rFonts w:hAnsi="宋体"/>
      <w:kern w:val="0"/>
      <w:szCs w:val="32"/>
    </w:rPr>
  </w:style>
  <w:style w:type="paragraph" w:customStyle="1" w:styleId="168">
    <w:name w:val="reader-word-layer reader-word-s12-22"/>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69">
    <w:name w:val="填表5中仿宋"/>
    <w:basedOn w:val="1"/>
    <w:qFormat/>
    <w:uiPriority w:val="0"/>
    <w:pPr>
      <w:jc w:val="center"/>
    </w:pPr>
    <w:rPr>
      <w:rFonts w:ascii="仿宋_GB2312" w:eastAsia="仿宋_GB2312"/>
    </w:rPr>
  </w:style>
  <w:style w:type="paragraph" w:customStyle="1" w:styleId="170">
    <w:name w:val="reader-word-layer reader-word-s11-23"/>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71">
    <w:name w:val="著录项2"/>
    <w:basedOn w:val="1"/>
    <w:qFormat/>
    <w:uiPriority w:val="0"/>
    <w:pPr>
      <w:ind w:firstLine="1680" w:firstLineChars="600"/>
      <w:jc w:val="left"/>
    </w:pPr>
    <w:rPr>
      <w:rFonts w:cs="宋体"/>
      <w:szCs w:val="20"/>
    </w:rPr>
  </w:style>
  <w:style w:type="paragraph" w:customStyle="1" w:styleId="172">
    <w:name w:val="附件封面4"/>
    <w:basedOn w:val="122"/>
    <w:next w:val="1"/>
    <w:qFormat/>
    <w:uiPriority w:val="0"/>
    <w:pPr>
      <w:outlineLvl w:val="7"/>
    </w:pPr>
  </w:style>
  <w:style w:type="paragraph" w:customStyle="1" w:styleId="173">
    <w:name w:val="封面3"/>
    <w:basedOn w:val="1"/>
    <w:qFormat/>
    <w:uiPriority w:val="0"/>
    <w:pPr>
      <w:snapToGrid/>
      <w:jc w:val="center"/>
    </w:pPr>
    <w:rPr>
      <w:rFonts w:cs="宋体"/>
      <w:b/>
      <w:sz w:val="30"/>
      <w:szCs w:val="32"/>
    </w:rPr>
  </w:style>
  <w:style w:type="paragraph" w:customStyle="1" w:styleId="174">
    <w:name w:val="填表小512磅"/>
    <w:basedOn w:val="158"/>
    <w:qFormat/>
    <w:uiPriority w:val="0"/>
    <w:pPr>
      <w:spacing w:line="240" w:lineRule="exact"/>
    </w:pPr>
    <w:rPr>
      <w:rFonts w:eastAsia="仿宋_GB2312" w:cs="宋体"/>
      <w:szCs w:val="20"/>
    </w:rPr>
  </w:style>
  <w:style w:type="paragraph" w:customStyle="1" w:styleId="175">
    <w:name w:val="填表5仿宋"/>
    <w:basedOn w:val="80"/>
    <w:qFormat/>
    <w:uiPriority w:val="0"/>
    <w:rPr>
      <w:rFonts w:ascii="仿宋_GB2312" w:eastAsia="仿宋_GB2312"/>
    </w:rPr>
  </w:style>
  <w:style w:type="paragraph" w:customStyle="1" w:styleId="176">
    <w:name w:val="表格标题"/>
    <w:basedOn w:val="1"/>
    <w:next w:val="1"/>
    <w:qFormat/>
    <w:uiPriority w:val="0"/>
    <w:pPr>
      <w:keepNext/>
      <w:widowControl/>
      <w:overflowPunct w:val="0"/>
      <w:adjustRightInd w:val="0"/>
      <w:spacing w:before="360" w:after="120" w:line="480" w:lineRule="exact"/>
      <w:jc w:val="center"/>
      <w:textAlignment w:val="baseline"/>
    </w:pPr>
    <w:rPr>
      <w:rFonts w:ascii="Arial" w:hAnsi="Arial" w:eastAsia="汉仪雅酷黑简" w:cs="Arial"/>
      <w:kern w:val="0"/>
      <w:sz w:val="24"/>
      <w:szCs w:val="24"/>
    </w:rPr>
  </w:style>
  <w:style w:type="paragraph" w:customStyle="1" w:styleId="177">
    <w:name w:val="附件标题1"/>
    <w:basedOn w:val="1"/>
    <w:next w:val="1"/>
    <w:qFormat/>
    <w:uiPriority w:val="0"/>
    <w:pPr>
      <w:spacing w:before="340" w:after="330"/>
      <w:jc w:val="center"/>
    </w:pPr>
    <w:rPr>
      <w:rFonts w:ascii="楷体_GB2312" w:eastAsia="楷体_GB2312"/>
      <w:b/>
      <w:sz w:val="48"/>
      <w:szCs w:val="48"/>
    </w:rPr>
  </w:style>
  <w:style w:type="paragraph" w:customStyle="1" w:styleId="178">
    <w:name w:val="reader-word-layer reader-word-s11-22"/>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79">
    <w:name w:val="reader-word-layer reader-word-s12-21"/>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80">
    <w:name w:val="附件封面5"/>
    <w:basedOn w:val="172"/>
    <w:next w:val="1"/>
    <w:qFormat/>
    <w:uiPriority w:val="0"/>
    <w:pPr>
      <w:outlineLvl w:val="8"/>
    </w:pPr>
  </w:style>
  <w:style w:type="paragraph" w:customStyle="1" w:styleId="181">
    <w:name w:val="填表4小中红1.5 倍行距"/>
    <w:basedOn w:val="130"/>
    <w:qFormat/>
    <w:uiPriority w:val="0"/>
    <w:pPr>
      <w:spacing w:line="360" w:lineRule="auto"/>
    </w:pPr>
    <w:rPr>
      <w:szCs w:val="20"/>
    </w:rPr>
  </w:style>
  <w:style w:type="paragraph" w:customStyle="1" w:styleId="182">
    <w:name w:val="正文 + 宋体"/>
    <w:basedOn w:val="1"/>
    <w:qFormat/>
    <w:uiPriority w:val="0"/>
    <w:pPr>
      <w:snapToGrid/>
      <w:spacing w:line="240" w:lineRule="auto"/>
      <w:ind w:firstLine="570"/>
      <w:jc w:val="left"/>
    </w:pPr>
    <w:rPr>
      <w:rFonts w:hAnsi="Arial"/>
      <w:kern w:val="0"/>
      <w:szCs w:val="20"/>
    </w:rPr>
  </w:style>
  <w:style w:type="paragraph" w:customStyle="1" w:styleId="183">
    <w:name w:val="首行缩进6"/>
    <w:basedOn w:val="1"/>
    <w:qFormat/>
    <w:uiPriority w:val="0"/>
    <w:pPr>
      <w:ind w:firstLine="1644"/>
    </w:pPr>
    <w:rPr>
      <w:rFonts w:cs="宋体"/>
      <w:szCs w:val="20"/>
    </w:rPr>
  </w:style>
  <w:style w:type="paragraph" w:customStyle="1" w:styleId="184">
    <w:name w:val="reader-word-layer reader-word-s12-18"/>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85">
    <w:name w:val="reader-word-layer reader-word-s12-20"/>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86">
    <w:name w:val="正文1"/>
    <w:basedOn w:val="1"/>
    <w:qFormat/>
    <w:uiPriority w:val="0"/>
    <w:pPr>
      <w:snapToGrid/>
      <w:ind w:firstLine="200" w:firstLineChars="200"/>
    </w:pPr>
    <w:rPr>
      <w:rFonts w:ascii="Times New Roman"/>
      <w:sz w:val="24"/>
      <w:szCs w:val="24"/>
    </w:rPr>
  </w:style>
  <w:style w:type="paragraph" w:customStyle="1" w:styleId="187">
    <w:name w:val="正文居中加粗"/>
    <w:basedOn w:val="96"/>
    <w:qFormat/>
    <w:uiPriority w:val="0"/>
    <w:rPr>
      <w:b/>
      <w:bCs/>
      <w:sz w:val="24"/>
    </w:rPr>
  </w:style>
  <w:style w:type="paragraph" w:customStyle="1" w:styleId="188">
    <w:name w:val="reader-word-layer reader-word-s11-20"/>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89">
    <w:name w:val="Char Char Char Char"/>
    <w:basedOn w:val="1"/>
    <w:qFormat/>
    <w:uiPriority w:val="0"/>
    <w:pPr>
      <w:snapToGrid/>
      <w:spacing w:line="240" w:lineRule="auto"/>
    </w:pPr>
    <w:rPr>
      <w:rFonts w:ascii="Times New Roman"/>
      <w:sz w:val="21"/>
    </w:rPr>
  </w:style>
  <w:style w:type="paragraph" w:customStyle="1" w:styleId="190">
    <w:name w:val="正文25磅"/>
    <w:basedOn w:val="1"/>
    <w:qFormat/>
    <w:uiPriority w:val="0"/>
    <w:pPr>
      <w:spacing w:line="500" w:lineRule="exact"/>
    </w:pPr>
    <w:rPr>
      <w:rFonts w:cs="宋体"/>
      <w:szCs w:val="20"/>
    </w:rPr>
  </w:style>
  <w:style w:type="paragraph" w:customStyle="1" w:styleId="191">
    <w:name w:val="reader-word-layer reader-word-s11-0"/>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92">
    <w:name w:val="落款"/>
    <w:basedOn w:val="1"/>
    <w:qFormat/>
    <w:uiPriority w:val="0"/>
    <w:pPr>
      <w:widowControl/>
      <w:jc w:val="right"/>
    </w:pPr>
    <w:rPr>
      <w:rFonts w:hAnsi="宋体" w:cs="宋体"/>
      <w:kern w:val="0"/>
      <w:szCs w:val="20"/>
    </w:rPr>
  </w:style>
  <w:style w:type="paragraph" w:customStyle="1" w:styleId="193">
    <w:name w:val="reader-word-layer reader-word-s12-15"/>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94">
    <w:name w:val="reader-word-layer reader-word-s12-10 reader-word-s12-12"/>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95">
    <w:name w:val="表头红1"/>
    <w:basedOn w:val="1"/>
    <w:qFormat/>
    <w:uiPriority w:val="0"/>
    <w:pPr>
      <w:widowControl/>
      <w:spacing w:before="100" w:beforeAutospacing="1" w:after="100" w:afterAutospacing="1"/>
      <w:jc w:val="center"/>
      <w:textAlignment w:val="center"/>
    </w:pPr>
    <w:rPr>
      <w:rFonts w:eastAsia="汉仪雅酷黑简" w:cs="宋体"/>
      <w:b/>
      <w:bCs/>
      <w:color w:val="FF0000"/>
      <w:kern w:val="0"/>
      <w:szCs w:val="32"/>
    </w:rPr>
  </w:style>
  <w:style w:type="paragraph" w:customStyle="1" w:styleId="196">
    <w:name w:val="样式 标题 2 + 仿宋_GB2312"/>
    <w:basedOn w:val="5"/>
    <w:qFormat/>
    <w:uiPriority w:val="0"/>
    <w:pPr>
      <w:snapToGrid/>
      <w:spacing w:before="260" w:after="260"/>
      <w:jc w:val="both"/>
    </w:pPr>
    <w:rPr>
      <w:rFonts w:ascii="仿宋_GB2312" w:hAnsi="仿宋_GB2312" w:eastAsia="仿宋_GB2312"/>
      <w:kern w:val="0"/>
    </w:rPr>
  </w:style>
  <w:style w:type="paragraph" w:customStyle="1" w:styleId="197">
    <w:name w:val="附件标题白"/>
    <w:basedOn w:val="1"/>
    <w:next w:val="1"/>
    <w:qFormat/>
    <w:uiPriority w:val="0"/>
    <w:pPr>
      <w:jc w:val="right"/>
    </w:pPr>
    <w:rPr>
      <w:rFonts w:cs="宋体"/>
      <w:b/>
      <w:bCs/>
      <w:color w:val="FFFFFF"/>
      <w:sz w:val="32"/>
      <w:szCs w:val="20"/>
    </w:rPr>
  </w:style>
  <w:style w:type="paragraph" w:customStyle="1" w:styleId="198">
    <w:name w:val="reader-word-layer reader-word-s11-5"/>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199">
    <w:name w:val="填表4小中13磅"/>
    <w:basedOn w:val="69"/>
    <w:qFormat/>
    <w:uiPriority w:val="0"/>
    <w:pPr>
      <w:spacing w:line="260" w:lineRule="exact"/>
    </w:pPr>
    <w:rPr>
      <w:szCs w:val="20"/>
    </w:rPr>
  </w:style>
  <w:style w:type="paragraph" w:customStyle="1" w:styleId="200">
    <w:name w:val="标题5缩2"/>
    <w:basedOn w:val="1"/>
    <w:next w:val="1"/>
    <w:qFormat/>
    <w:uiPriority w:val="0"/>
    <w:pPr>
      <w:ind w:firstLine="562" w:firstLineChars="200"/>
      <w:outlineLvl w:val="4"/>
    </w:pPr>
    <w:rPr>
      <w:rFonts w:eastAsia="汉仪雅酷黑简" w:cs="宋体"/>
      <w:b/>
      <w:bCs/>
      <w:szCs w:val="20"/>
    </w:rPr>
  </w:style>
  <w:style w:type="paragraph" w:customStyle="1" w:styleId="201">
    <w:name w:val="仿宋项目"/>
    <w:basedOn w:val="78"/>
    <w:qFormat/>
    <w:uiPriority w:val="0"/>
    <w:pPr>
      <w:tabs>
        <w:tab w:val="left" w:pos="851"/>
      </w:tabs>
      <w:ind w:left="851" w:hanging="369"/>
    </w:pPr>
  </w:style>
  <w:style w:type="paragraph" w:customStyle="1" w:styleId="202">
    <w:name w:val="填表4小中鲜绿"/>
    <w:basedOn w:val="130"/>
    <w:qFormat/>
    <w:uiPriority w:val="0"/>
    <w:rPr>
      <w:color w:val="00FF00"/>
    </w:rPr>
  </w:style>
  <w:style w:type="paragraph" w:customStyle="1" w:styleId="203">
    <w:name w:val="reader-word-layer reader-word-s11-12"/>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204">
    <w:name w:val="填表小5中12磅"/>
    <w:basedOn w:val="88"/>
    <w:qFormat/>
    <w:uiPriority w:val="0"/>
    <w:pPr>
      <w:spacing w:line="240" w:lineRule="exact"/>
    </w:pPr>
    <w:rPr>
      <w:rFonts w:eastAsia="仿宋_GB2312" w:cs="宋体"/>
      <w:szCs w:val="20"/>
    </w:rPr>
  </w:style>
  <w:style w:type="paragraph" w:customStyle="1" w:styleId="205">
    <w:name w:val="reader-word-layer reader-word-s11-18"/>
    <w:basedOn w:val="1"/>
    <w:qFormat/>
    <w:uiPriority w:val="0"/>
    <w:pPr>
      <w:widowControl/>
      <w:snapToGrid/>
      <w:spacing w:before="100" w:beforeAutospacing="1" w:after="100" w:afterAutospacing="1" w:line="240" w:lineRule="auto"/>
      <w:jc w:val="left"/>
    </w:pPr>
    <w:rPr>
      <w:rFonts w:hAnsi="宋体" w:cs="宋体"/>
      <w:kern w:val="0"/>
      <w:sz w:val="24"/>
      <w:szCs w:val="24"/>
    </w:rPr>
  </w:style>
  <w:style w:type="paragraph" w:customStyle="1" w:styleId="206">
    <w:name w:val="仿宋正文缩进2"/>
    <w:basedOn w:val="1"/>
    <w:qFormat/>
    <w:uiPriority w:val="0"/>
    <w:pPr>
      <w:snapToGrid/>
      <w:ind w:firstLine="561"/>
    </w:pPr>
    <w:rPr>
      <w:rFonts w:eastAsia="仿宋_GB2312" w:cs="宋体"/>
      <w:sz w:val="32"/>
      <w:szCs w:val="20"/>
    </w:rPr>
  </w:style>
  <w:style w:type="paragraph" w:customStyle="1" w:styleId="207">
    <w:name w:val="著录项1"/>
    <w:basedOn w:val="1"/>
    <w:qFormat/>
    <w:uiPriority w:val="0"/>
    <w:rPr>
      <w:bCs/>
      <w:kern w:val="3"/>
      <w:szCs w:val="30"/>
    </w:rPr>
  </w:style>
  <w:style w:type="paragraph" w:customStyle="1" w:styleId="208">
    <w:name w:val="封面2"/>
    <w:basedOn w:val="1"/>
    <w:qFormat/>
    <w:uiPriority w:val="0"/>
    <w:pPr>
      <w:snapToGrid/>
      <w:jc w:val="center"/>
    </w:pPr>
    <w:rPr>
      <w:rFonts w:hAnsi="宋体" w:eastAsia="汉仪雅酷黑简" w:cs="宋体"/>
      <w:b/>
      <w:bCs/>
      <w:kern w:val="3"/>
      <w:sz w:val="52"/>
      <w:szCs w:val="84"/>
    </w:rPr>
  </w:style>
  <w:style w:type="character" w:customStyle="1" w:styleId="209">
    <w:name w:val="fontstyle01"/>
    <w:qFormat/>
    <w:uiPriority w:val="0"/>
    <w:rPr>
      <w:rFonts w:hint="eastAsia" w:ascii="宋体" w:hAnsi="宋体" w:eastAsia="宋体"/>
      <w:color w:val="000000"/>
      <w:sz w:val="28"/>
      <w:szCs w:val="28"/>
    </w:rPr>
  </w:style>
  <w:style w:type="character" w:customStyle="1" w:styleId="210">
    <w:name w:val="fontstyle21"/>
    <w:qFormat/>
    <w:uiPriority w:val="0"/>
    <w:rPr>
      <w:rFonts w:hint="default" w:ascii="Therese" w:hAnsi="Therese"/>
      <w:color w:val="000000"/>
      <w:sz w:val="28"/>
      <w:szCs w:val="28"/>
    </w:rPr>
  </w:style>
  <w:style w:type="character" w:customStyle="1" w:styleId="211">
    <w:name w:val="NormalCharacter"/>
    <w:semiHidden/>
    <w:qFormat/>
    <w:uiPriority w:val="0"/>
  </w:style>
  <w:style w:type="character" w:customStyle="1" w:styleId="212">
    <w:name w:val="标题 3 字符"/>
    <w:qFormat/>
    <w:uiPriority w:val="0"/>
    <w:rPr>
      <w:rFonts w:ascii="宋体"/>
      <w:b/>
      <w:bCs/>
      <w:kern w:val="2"/>
      <w:sz w:val="28"/>
      <w:szCs w:val="28"/>
    </w:rPr>
  </w:style>
  <w:style w:type="paragraph" w:customStyle="1" w:styleId="213">
    <w:name w:val="表头，图名"/>
    <w:basedOn w:val="1"/>
    <w:next w:val="1"/>
    <w:qFormat/>
    <w:uiPriority w:val="0"/>
    <w:pPr>
      <w:jc w:val="center"/>
    </w:pPr>
    <w:rPr>
      <w:b/>
      <w:color w:val="000000"/>
      <w:sz w:val="24"/>
    </w:rPr>
  </w:style>
  <w:style w:type="paragraph" w:customStyle="1" w:styleId="214">
    <w:name w:val="图片"/>
    <w:basedOn w:val="1"/>
    <w:qFormat/>
    <w:uiPriority w:val="0"/>
    <w:pPr>
      <w:spacing w:after="50" w:afterLines="50" w:line="240" w:lineRule="auto"/>
      <w:jc w:val="center"/>
    </w:pPr>
    <w:rPr>
      <w:b/>
      <w:sz w:val="21"/>
      <w:szCs w:val="28"/>
    </w:rPr>
  </w:style>
  <w:style w:type="paragraph" w:customStyle="1" w:styleId="215">
    <w:name w:val="填表5中加粗"/>
    <w:basedOn w:val="89"/>
    <w:next w:val="89"/>
    <w:qFormat/>
    <w:uiPriority w:val="0"/>
    <w:rPr>
      <w:b/>
    </w:rPr>
  </w:style>
  <w:style w:type="paragraph" w:customStyle="1" w:styleId="216">
    <w:name w:val="表内文字"/>
    <w:basedOn w:val="1"/>
    <w:qFormat/>
    <w:uiPriority w:val="0"/>
    <w:pPr>
      <w:tabs>
        <w:tab w:val="left" w:pos="5296"/>
      </w:tabs>
      <w:spacing w:line="240" w:lineRule="auto"/>
      <w:jc w:val="left"/>
    </w:pPr>
    <w:rPr>
      <w:kern w:val="0"/>
      <w:sz w:val="21"/>
    </w:rPr>
  </w:style>
  <w:style w:type="paragraph" w:customStyle="1" w:styleId="217">
    <w:name w:val="Char Char Char Char Char Char Char Char"/>
    <w:basedOn w:val="1"/>
    <w:qFormat/>
    <w:uiPriority w:val="0"/>
    <w:pPr>
      <w:widowControl/>
      <w:spacing w:after="160" w:line="240" w:lineRule="exact"/>
      <w:jc w:val="left"/>
    </w:pPr>
    <w:rPr>
      <w:szCs w:val="20"/>
    </w:rPr>
  </w:style>
  <w:style w:type="character" w:customStyle="1" w:styleId="218">
    <w:name w:val="仿宋居中宋体 Char"/>
    <w:qFormat/>
    <w:uiPriority w:val="0"/>
    <w:rPr>
      <w:rFonts w:ascii="宋体" w:hAnsi="宋体" w:eastAsia="宋体" w:cs="Times New Roman"/>
      <w:sz w:val="32"/>
      <w:szCs w:val="32"/>
    </w:rPr>
  </w:style>
  <w:style w:type="character" w:customStyle="1" w:styleId="219">
    <w:name w:val="_Style 217"/>
    <w:unhideWhenUsed/>
    <w:qFormat/>
    <w:uiPriority w:val="99"/>
    <w:rPr>
      <w:color w:val="605E5C"/>
      <w:shd w:val="clear" w:color="auto" w:fill="E1DFDD"/>
    </w:rPr>
  </w:style>
  <w:style w:type="character" w:customStyle="1" w:styleId="220">
    <w:name w:val="标题 1 Char"/>
    <w:qFormat/>
    <w:uiPriority w:val="0"/>
    <w:rPr>
      <w:rFonts w:eastAsia="汉仪雅酷黑简"/>
      <w:b/>
      <w:bCs/>
      <w:kern w:val="44"/>
      <w:sz w:val="36"/>
      <w:szCs w:val="48"/>
    </w:rPr>
  </w:style>
  <w:style w:type="character" w:customStyle="1" w:styleId="221">
    <w:name w:val="正文文本首行缩进 2 字符"/>
    <w:qFormat/>
    <w:uiPriority w:val="0"/>
    <w:rPr>
      <w:kern w:val="2"/>
      <w:sz w:val="21"/>
      <w:szCs w:val="24"/>
    </w:rPr>
  </w:style>
  <w:style w:type="character" w:customStyle="1" w:styleId="222">
    <w:name w:val="logtext1"/>
    <w:qFormat/>
    <w:uiPriority w:val="0"/>
    <w:rPr>
      <w:color w:val="000000"/>
      <w:sz w:val="22"/>
      <w:szCs w:val="22"/>
    </w:rPr>
  </w:style>
  <w:style w:type="paragraph" w:customStyle="1" w:styleId="223">
    <w:name w:val="样式 样式 正文22 + 首行缩进:  2 字符 + 首行缩进:  2 字符"/>
    <w:basedOn w:val="224"/>
    <w:qFormat/>
    <w:uiPriority w:val="0"/>
    <w:rPr>
      <w:rFonts w:hAnsi="Times New Roman"/>
    </w:rPr>
  </w:style>
  <w:style w:type="paragraph" w:customStyle="1" w:styleId="224">
    <w:name w:val="样式 正文22 + 首行缩进:  2 字符"/>
    <w:basedOn w:val="225"/>
    <w:qFormat/>
    <w:uiPriority w:val="0"/>
    <w:rPr>
      <w:rFonts w:ascii="宋体" w:cs="宋体"/>
    </w:rPr>
  </w:style>
  <w:style w:type="paragraph" w:customStyle="1" w:styleId="225">
    <w:name w:val="正文22"/>
    <w:qFormat/>
    <w:uiPriority w:val="0"/>
    <w:pPr>
      <w:widowControl w:val="0"/>
      <w:adjustRightInd w:val="0"/>
      <w:snapToGrid w:val="0"/>
      <w:spacing w:line="360" w:lineRule="auto"/>
      <w:ind w:firstLine="560" w:firstLineChars="200"/>
    </w:pPr>
    <w:rPr>
      <w:rFonts w:ascii="Times New Roman" w:hAnsi="宋体" w:eastAsia="宋体" w:cs="Times New Roman"/>
      <w:kern w:val="28"/>
      <w:sz w:val="28"/>
      <w:szCs w:val="28"/>
      <w:lang w:val="en-US" w:eastAsia="zh-CN" w:bidi="ar-SA"/>
    </w:rPr>
  </w:style>
  <w:style w:type="character" w:customStyle="1" w:styleId="226">
    <w:name w:val="标题 2 Char Char1"/>
    <w:qFormat/>
    <w:uiPriority w:val="0"/>
    <w:rPr>
      <w:rFonts w:ascii="Arial" w:hAnsi="Arial" w:eastAsia="汉仪雅酷黑简"/>
      <w:b/>
      <w:bCs/>
      <w:kern w:val="2"/>
      <w:sz w:val="32"/>
      <w:szCs w:val="32"/>
      <w:lang w:val="en-US" w:eastAsia="zh-CN" w:bidi="ar-SA"/>
    </w:rPr>
  </w:style>
  <w:style w:type="character" w:customStyle="1" w:styleId="227">
    <w:name w:val="标题 2 Char Char"/>
    <w:qFormat/>
    <w:uiPriority w:val="0"/>
    <w:rPr>
      <w:rFonts w:ascii="Arial" w:hAnsi="Arial" w:eastAsia="汉仪雅酷黑简"/>
      <w:b/>
      <w:bCs/>
      <w:kern w:val="2"/>
      <w:sz w:val="32"/>
      <w:szCs w:val="32"/>
      <w:lang w:val="en-US" w:eastAsia="zh-CN" w:bidi="ar-SA"/>
    </w:rPr>
  </w:style>
  <w:style w:type="paragraph" w:customStyle="1" w:styleId="228">
    <w:name w:val="Table Text"/>
    <w:basedOn w:val="1"/>
    <w:semiHidden/>
    <w:qFormat/>
    <w:uiPriority w:val="0"/>
    <w:rPr>
      <w:rFonts w:hAnsi="宋体" w:cs="宋体"/>
      <w:sz w:val="6"/>
      <w:szCs w:val="6"/>
      <w:lang w:eastAsia="en-US"/>
    </w:rPr>
  </w:style>
  <w:style w:type="table" w:customStyle="1" w:styleId="229">
    <w:name w:val="Table Normal"/>
    <w:unhideWhenUsed/>
    <w:qFormat/>
    <w:uiPriority w:val="0"/>
    <w:tblPr>
      <w:tblCellMar>
        <w:top w:w="0" w:type="dxa"/>
        <w:left w:w="0" w:type="dxa"/>
        <w:bottom w:w="0" w:type="dxa"/>
        <w:right w:w="0" w:type="dxa"/>
      </w:tblCellMar>
    </w:tblPr>
  </w:style>
  <w:style w:type="paragraph" w:customStyle="1" w:styleId="230">
    <w:name w:val="正文11"/>
    <w:qFormat/>
    <w:uiPriority w:val="0"/>
    <w:pPr>
      <w:widowControl w:val="0"/>
      <w:adjustRightInd w:val="0"/>
      <w:snapToGrid w:val="0"/>
      <w:spacing w:line="360" w:lineRule="auto"/>
      <w:ind w:firstLine="480" w:firstLineChars="200"/>
      <w:jc w:val="both"/>
    </w:pPr>
    <w:rPr>
      <w:rFonts w:ascii="Times New Roman" w:hAnsi="Times New Roman" w:eastAsia="宋体" w:cs="宋体"/>
      <w:snapToGrid w:val="0"/>
      <w:kern w:val="24"/>
      <w:sz w:val="24"/>
      <w:szCs w:val="24"/>
      <w:lang w:val="en-US" w:eastAsia="zh-CN" w:bidi="ar-SA"/>
    </w:rPr>
  </w:style>
  <w:style w:type="paragraph" w:customStyle="1" w:styleId="231">
    <w:name w:val="正文首行缩进 21"/>
    <w:basedOn w:val="14"/>
    <w:qFormat/>
    <w:uiPriority w:val="0"/>
    <w:pPr>
      <w:autoSpaceDE w:val="0"/>
      <w:autoSpaceDN w:val="0"/>
      <w:ind w:firstLine="420" w:firstLineChars="200"/>
    </w:pPr>
    <w:rPr>
      <w:rFonts w:cs="宋体"/>
      <w:sz w:val="21"/>
      <w:szCs w:val="24"/>
      <w:lang w:val="zh-CN" w:bidi="zh-CN"/>
    </w:rPr>
  </w:style>
  <w:style w:type="character" w:customStyle="1" w:styleId="232">
    <w:name w:val="font31"/>
    <w:basedOn w:val="36"/>
    <w:qFormat/>
    <w:uiPriority w:val="0"/>
    <w:rPr>
      <w:rFonts w:ascii="宋体" w:hAnsi="宋体" w:eastAsia="宋体" w:cs="宋体"/>
      <w:color w:val="000000"/>
      <w:sz w:val="26"/>
      <w:szCs w:val="26"/>
      <w:u w:val="none"/>
    </w:rPr>
  </w:style>
  <w:style w:type="character" w:customStyle="1" w:styleId="233">
    <w:name w:val="font41"/>
    <w:basedOn w:val="36"/>
    <w:qFormat/>
    <w:uiPriority w:val="0"/>
    <w:rPr>
      <w:rFonts w:ascii="Arial" w:hAnsi="Arial" w:cs="Arial"/>
      <w:color w:val="000000"/>
      <w:sz w:val="22"/>
      <w:szCs w:val="22"/>
      <w:u w:val="none"/>
    </w:rPr>
  </w:style>
  <w:style w:type="character" w:customStyle="1" w:styleId="234">
    <w:name w:val="font51"/>
    <w:basedOn w:val="36"/>
    <w:qFormat/>
    <w:uiPriority w:val="0"/>
    <w:rPr>
      <w:rFonts w:hint="default" w:ascii="Arial" w:hAnsi="Arial" w:cs="Arial"/>
      <w:color w:val="000000"/>
      <w:sz w:val="19"/>
      <w:szCs w:val="19"/>
      <w:u w:val="none"/>
    </w:rPr>
  </w:style>
  <w:style w:type="character" w:customStyle="1" w:styleId="235">
    <w:name w:val="font61"/>
    <w:basedOn w:val="36"/>
    <w:qFormat/>
    <w:uiPriority w:val="0"/>
    <w:rPr>
      <w:rFonts w:hint="default" w:ascii="Arial" w:hAnsi="Arial" w:cs="Arial"/>
      <w:color w:val="000000"/>
      <w:sz w:val="13"/>
      <w:szCs w:val="13"/>
      <w:u w:val="none"/>
    </w:rPr>
  </w:style>
  <w:style w:type="character" w:customStyle="1" w:styleId="236">
    <w:name w:val="font21"/>
    <w:basedOn w:val="36"/>
    <w:qFormat/>
    <w:uiPriority w:val="0"/>
    <w:rPr>
      <w:rFonts w:ascii="宋体" w:hAnsi="宋体" w:eastAsia="宋体" w:cs="宋体"/>
      <w:color w:val="406060"/>
      <w:sz w:val="26"/>
      <w:szCs w:val="26"/>
      <w:u w:val="none"/>
    </w:rPr>
  </w:style>
  <w:style w:type="character" w:customStyle="1" w:styleId="237">
    <w:name w:val="font71"/>
    <w:basedOn w:val="36"/>
    <w:qFormat/>
    <w:uiPriority w:val="0"/>
    <w:rPr>
      <w:rFonts w:hint="default" w:ascii="Arial" w:hAnsi="Arial" w:cs="Arial"/>
      <w:color w:val="000000"/>
      <w:sz w:val="15"/>
      <w:szCs w:val="15"/>
      <w:u w:val="none"/>
    </w:rPr>
  </w:style>
  <w:style w:type="character" w:customStyle="1" w:styleId="238">
    <w:name w:val="font81"/>
    <w:basedOn w:val="36"/>
    <w:qFormat/>
    <w:uiPriority w:val="0"/>
    <w:rPr>
      <w:rFonts w:hint="default" w:ascii="Arial" w:hAnsi="Arial" w:cs="Arial"/>
      <w:color w:val="000000"/>
      <w:sz w:val="6"/>
      <w:szCs w:val="6"/>
      <w:u w:val="none"/>
    </w:rPr>
  </w:style>
  <w:style w:type="character" w:customStyle="1" w:styleId="239">
    <w:name w:val="font91"/>
    <w:basedOn w:val="36"/>
    <w:qFormat/>
    <w:uiPriority w:val="0"/>
    <w:rPr>
      <w:rFonts w:hint="default" w:ascii="Arial" w:hAnsi="Arial" w:cs="Arial"/>
      <w:color w:val="000000"/>
      <w:sz w:val="10"/>
      <w:szCs w:val="10"/>
      <w:u w:val="none"/>
    </w:rPr>
  </w:style>
  <w:style w:type="character" w:customStyle="1" w:styleId="240">
    <w:name w:val="font101"/>
    <w:basedOn w:val="36"/>
    <w:qFormat/>
    <w:uiPriority w:val="0"/>
    <w:rPr>
      <w:rFonts w:hint="default" w:ascii="Arial" w:hAnsi="Arial" w:cs="Arial"/>
      <w:color w:val="000000"/>
      <w:sz w:val="16"/>
      <w:szCs w:val="16"/>
      <w:u w:val="none"/>
    </w:rPr>
  </w:style>
  <w:style w:type="character" w:customStyle="1" w:styleId="241">
    <w:name w:val="font11"/>
    <w:basedOn w:val="36"/>
    <w:qFormat/>
    <w:uiPriority w:val="0"/>
    <w:rPr>
      <w:rFonts w:ascii="宋体" w:hAnsi="宋体" w:eastAsia="宋体" w:cs="宋体"/>
      <w:color w:val="606060"/>
      <w:sz w:val="28"/>
      <w:szCs w:val="28"/>
      <w:u w:val="none"/>
    </w:rPr>
  </w:style>
  <w:style w:type="character" w:customStyle="1" w:styleId="242">
    <w:name w:val="font112"/>
    <w:basedOn w:val="36"/>
    <w:qFormat/>
    <w:uiPriority w:val="0"/>
    <w:rPr>
      <w:rFonts w:hint="default" w:ascii="Arial" w:hAnsi="Arial" w:cs="Arial"/>
      <w:color w:val="000000"/>
      <w:sz w:val="16"/>
      <w:szCs w:val="16"/>
      <w:u w:val="none"/>
    </w:rPr>
  </w:style>
  <w:style w:type="character" w:customStyle="1" w:styleId="243">
    <w:name w:val="font121"/>
    <w:basedOn w:val="36"/>
    <w:qFormat/>
    <w:uiPriority w:val="0"/>
    <w:rPr>
      <w:rFonts w:hint="default" w:ascii="Arial" w:hAnsi="Arial" w:cs="Arial"/>
      <w:color w:val="000000"/>
      <w:sz w:val="22"/>
      <w:szCs w:val="22"/>
      <w:u w:val="none"/>
    </w:rPr>
  </w:style>
  <w:style w:type="character" w:customStyle="1" w:styleId="244">
    <w:name w:val="font131"/>
    <w:basedOn w:val="36"/>
    <w:qFormat/>
    <w:uiPriority w:val="0"/>
    <w:rPr>
      <w:rFonts w:hint="default" w:ascii="Arial" w:hAnsi="Arial" w:cs="Arial"/>
      <w:color w:val="000000"/>
      <w:sz w:val="10"/>
      <w:szCs w:val="10"/>
      <w:u w:val="none"/>
    </w:rPr>
  </w:style>
  <w:style w:type="character" w:customStyle="1" w:styleId="245">
    <w:name w:val="font141"/>
    <w:basedOn w:val="36"/>
    <w:qFormat/>
    <w:uiPriority w:val="0"/>
    <w:rPr>
      <w:rFonts w:ascii="宋体" w:hAnsi="宋体" w:eastAsia="宋体" w:cs="宋体"/>
      <w:color w:val="000000"/>
      <w:sz w:val="22"/>
      <w:szCs w:val="22"/>
      <w:u w:val="none"/>
    </w:rPr>
  </w:style>
  <w:style w:type="character" w:customStyle="1" w:styleId="246">
    <w:name w:val="font151"/>
    <w:basedOn w:val="36"/>
    <w:qFormat/>
    <w:uiPriority w:val="0"/>
    <w:rPr>
      <w:rFonts w:hint="default" w:ascii="Arial" w:hAnsi="Arial" w:cs="Arial"/>
      <w:color w:val="000000"/>
      <w:sz w:val="12"/>
      <w:szCs w:val="12"/>
      <w:u w:val="none"/>
    </w:rPr>
  </w:style>
  <w:style w:type="character" w:customStyle="1" w:styleId="247">
    <w:name w:val="font161"/>
    <w:basedOn w:val="36"/>
    <w:qFormat/>
    <w:uiPriority w:val="0"/>
    <w:rPr>
      <w:rFonts w:hint="default" w:ascii="Arial" w:hAnsi="Arial" w:cs="Arial"/>
      <w:color w:val="000000"/>
      <w:sz w:val="6"/>
      <w:szCs w:val="6"/>
      <w:u w:val="none"/>
    </w:rPr>
  </w:style>
  <w:style w:type="character" w:customStyle="1" w:styleId="248">
    <w:name w:val="font271"/>
    <w:basedOn w:val="36"/>
    <w:qFormat/>
    <w:uiPriority w:val="0"/>
    <w:rPr>
      <w:rFonts w:ascii="宋体" w:hAnsi="宋体" w:eastAsia="宋体" w:cs="宋体"/>
      <w:b/>
      <w:bCs/>
      <w:color w:val="000000"/>
      <w:sz w:val="26"/>
      <w:szCs w:val="26"/>
      <w:u w:val="none"/>
    </w:rPr>
  </w:style>
  <w:style w:type="character" w:customStyle="1" w:styleId="249">
    <w:name w:val="font181"/>
    <w:basedOn w:val="36"/>
    <w:qFormat/>
    <w:uiPriority w:val="0"/>
    <w:rPr>
      <w:rFonts w:ascii="宋体" w:hAnsi="宋体" w:eastAsia="宋体" w:cs="宋体"/>
      <w:color w:val="000000"/>
      <w:sz w:val="26"/>
      <w:szCs w:val="26"/>
      <w:u w:val="none"/>
    </w:rPr>
  </w:style>
  <w:style w:type="character" w:customStyle="1" w:styleId="250">
    <w:name w:val="font281"/>
    <w:basedOn w:val="36"/>
    <w:qFormat/>
    <w:uiPriority w:val="0"/>
    <w:rPr>
      <w:rFonts w:ascii="Arial" w:hAnsi="Arial" w:cs="Arial"/>
      <w:color w:val="000000"/>
      <w:sz w:val="12"/>
      <w:szCs w:val="12"/>
      <w:u w:val="none"/>
    </w:rPr>
  </w:style>
  <w:style w:type="character" w:customStyle="1" w:styleId="251">
    <w:name w:val="font291"/>
    <w:basedOn w:val="36"/>
    <w:qFormat/>
    <w:uiPriority w:val="0"/>
    <w:rPr>
      <w:rFonts w:hint="default" w:ascii="Arial" w:hAnsi="Arial" w:cs="Arial"/>
      <w:color w:val="000000"/>
      <w:sz w:val="16"/>
      <w:szCs w:val="16"/>
      <w:u w:val="none"/>
    </w:rPr>
  </w:style>
  <w:style w:type="character" w:customStyle="1" w:styleId="252">
    <w:name w:val="font301"/>
    <w:basedOn w:val="36"/>
    <w:qFormat/>
    <w:uiPriority w:val="0"/>
    <w:rPr>
      <w:rFonts w:hint="default" w:ascii="Arial" w:hAnsi="Arial" w:cs="Arial"/>
      <w:color w:val="000000"/>
      <w:sz w:val="19"/>
      <w:szCs w:val="19"/>
      <w:u w:val="none"/>
    </w:rPr>
  </w:style>
  <w:style w:type="character" w:customStyle="1" w:styleId="253">
    <w:name w:val="font312"/>
    <w:basedOn w:val="36"/>
    <w:qFormat/>
    <w:uiPriority w:val="0"/>
    <w:rPr>
      <w:rFonts w:ascii="宋体" w:hAnsi="宋体" w:eastAsia="宋体" w:cs="宋体"/>
      <w:color w:val="606060"/>
      <w:sz w:val="26"/>
      <w:szCs w:val="26"/>
      <w:u w:val="none"/>
    </w:rPr>
  </w:style>
  <w:style w:type="character" w:customStyle="1" w:styleId="254">
    <w:name w:val="font321"/>
    <w:basedOn w:val="36"/>
    <w:qFormat/>
    <w:uiPriority w:val="0"/>
    <w:rPr>
      <w:rFonts w:ascii="宋体" w:hAnsi="宋体" w:eastAsia="宋体" w:cs="宋体"/>
      <w:color w:val="505040"/>
      <w:sz w:val="26"/>
      <w:szCs w:val="26"/>
      <w:u w:val="none"/>
    </w:rPr>
  </w:style>
  <w:style w:type="character" w:customStyle="1" w:styleId="255">
    <w:name w:val="font331"/>
    <w:basedOn w:val="36"/>
    <w:qFormat/>
    <w:uiPriority w:val="0"/>
    <w:rPr>
      <w:rFonts w:hint="default" w:ascii="Arial" w:hAnsi="Arial" w:cs="Arial"/>
      <w:color w:val="000000"/>
      <w:sz w:val="13"/>
      <w:szCs w:val="13"/>
      <w:u w:val="none"/>
    </w:rPr>
  </w:style>
  <w:style w:type="character" w:customStyle="1" w:styleId="256">
    <w:name w:val="font341"/>
    <w:basedOn w:val="36"/>
    <w:qFormat/>
    <w:uiPriority w:val="0"/>
    <w:rPr>
      <w:rFonts w:ascii="宋体" w:hAnsi="宋体" w:eastAsia="宋体" w:cs="宋体"/>
      <w:color w:val="505050"/>
      <w:sz w:val="26"/>
      <w:szCs w:val="26"/>
      <w:u w:val="none"/>
    </w:rPr>
  </w:style>
  <w:style w:type="character" w:customStyle="1" w:styleId="257">
    <w:name w:val="font351"/>
    <w:basedOn w:val="36"/>
    <w:qFormat/>
    <w:uiPriority w:val="0"/>
    <w:rPr>
      <w:rFonts w:hint="default" w:ascii="Arial" w:hAnsi="Arial" w:cs="Arial"/>
      <w:color w:val="000000"/>
      <w:sz w:val="15"/>
      <w:szCs w:val="15"/>
      <w:u w:val="none"/>
    </w:rPr>
  </w:style>
  <w:style w:type="character" w:customStyle="1" w:styleId="258">
    <w:name w:val="font361"/>
    <w:basedOn w:val="36"/>
    <w:qFormat/>
    <w:uiPriority w:val="0"/>
    <w:rPr>
      <w:rFonts w:ascii="宋体" w:hAnsi="宋体" w:eastAsia="宋体" w:cs="宋体"/>
      <w:color w:val="606070"/>
      <w:sz w:val="26"/>
      <w:szCs w:val="26"/>
      <w:u w:val="none"/>
    </w:rPr>
  </w:style>
  <w:style w:type="character" w:customStyle="1" w:styleId="259">
    <w:name w:val="font371"/>
    <w:basedOn w:val="36"/>
    <w:qFormat/>
    <w:uiPriority w:val="0"/>
    <w:rPr>
      <w:rFonts w:ascii="Calibri" w:hAnsi="Calibri" w:cs="Calibri"/>
      <w:color w:val="000000"/>
      <w:sz w:val="26"/>
      <w:szCs w:val="26"/>
      <w:u w:val="none"/>
    </w:rPr>
  </w:style>
  <w:style w:type="paragraph" w:customStyle="1" w:styleId="260">
    <w:name w:val="表内容"/>
    <w:basedOn w:val="1"/>
    <w:qFormat/>
    <w:uiPriority w:val="0"/>
    <w:pPr>
      <w:adjustRightInd w:val="0"/>
      <w:snapToGrid w:val="0"/>
      <w:spacing w:line="320" w:lineRule="exact"/>
      <w:ind w:firstLine="0" w:firstLineChars="0"/>
      <w:jc w:val="center"/>
    </w:pPr>
    <w:rPr>
      <w:rFonts w:hint="eastAsia"/>
      <w:color w:val="auto"/>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90</Pages>
  <Words>62738</Words>
  <Characters>68400</Characters>
  <Lines>3276</Lines>
  <Paragraphs>3281</Paragraphs>
  <TotalTime>18</TotalTime>
  <ScaleCrop>false</ScaleCrop>
  <LinksUpToDate>false</LinksUpToDate>
  <CharactersWithSpaces>68789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2021-10-08T03:30:00Z</dcterms:created>
  <dc:creator>kmyg</dc:creator>
  <cp:lastModifiedBy>赵健威</cp:lastModifiedBy>
  <cp:lastPrinted>2025-10-24T16:17:00Z</cp:lastPrinted>
  <dcterms:modified xsi:type="dcterms:W3CDTF">2026-08-05T08:08:20Z</dcterms:modified>
  <dc:title>加油站</dc:title>
  <cp:revision>216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5E457656FE234A5F8734D682FCFCEC37_13</vt:lpwstr>
  </property>
  <property fmtid="{D5CDD505-2E9C-101B-9397-08002B2CF9AE}" pid="4" name="KSOTemplateDocerSaveRecord">
    <vt:lpwstr>eyJoZGlkIjoiYTBiZWQwMTQ1NjNmOTA1MTM1YjQ1ZTY3ZTU0NjRkNzciLCJ1c2VySWQiOiI0MDE3ODY4MDgifQ==</vt:lpwstr>
  </property>
</Properties>
</file>