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97CF87">
      <w:pPr>
        <w:adjustRightInd/>
        <w:snapToGrid/>
        <w:ind w:firstLine="0" w:firstLineChars="0"/>
        <w:jc w:val="center"/>
        <w:rPr>
          <w:b/>
          <w:sz w:val="36"/>
          <w:szCs w:val="36"/>
        </w:rPr>
      </w:pPr>
      <w:bookmarkStart w:id="0" w:name="OLE_LINK39"/>
      <w:bookmarkStart w:id="1" w:name="_Toc11475"/>
      <w:bookmarkStart w:id="2" w:name="_Toc4616"/>
      <w:bookmarkStart w:id="3" w:name="_Toc233462296"/>
      <w:bookmarkStart w:id="4" w:name="_Toc31423"/>
      <w:bookmarkStart w:id="5" w:name="_Toc28699"/>
      <w:bookmarkStart w:id="6" w:name="_Toc28689"/>
      <w:bookmarkStart w:id="7" w:name="_Toc124926600"/>
      <w:bookmarkStart w:id="8" w:name="_Toc145125127"/>
      <w:bookmarkStart w:id="9" w:name="_Toc111601635"/>
    </w:p>
    <w:p w14:paraId="2C011681">
      <w:pPr>
        <w:adjustRightInd/>
        <w:snapToGrid/>
        <w:spacing w:after="120" w:line="520" w:lineRule="exact"/>
        <w:ind w:firstLine="0" w:firstLineChars="0"/>
      </w:pPr>
    </w:p>
    <w:p w14:paraId="40C93000">
      <w:pPr>
        <w:ind w:firstLine="0" w:firstLineChars="0"/>
        <w:jc w:val="center"/>
        <w:rPr>
          <w:b/>
          <w:sz w:val="44"/>
          <w:szCs w:val="44"/>
          <w:lang w:val="sq-AL"/>
        </w:rPr>
      </w:pPr>
      <w:r>
        <w:rPr>
          <w:b/>
          <w:sz w:val="44"/>
          <w:szCs w:val="44"/>
          <w:lang w:val="sq-AL"/>
        </w:rPr>
        <w:t>永善润佳制造有限责任公司</w:t>
      </w:r>
    </w:p>
    <w:p w14:paraId="01434160">
      <w:pPr>
        <w:ind w:firstLine="0" w:firstLineChars="0"/>
        <w:jc w:val="center"/>
        <w:rPr>
          <w:b/>
          <w:sz w:val="44"/>
          <w:szCs w:val="44"/>
          <w:lang w:val="sq-AL"/>
        </w:rPr>
      </w:pPr>
      <w:r>
        <w:rPr>
          <w:b/>
          <w:sz w:val="44"/>
          <w:szCs w:val="44"/>
          <w:lang w:val="sq-AL"/>
        </w:rPr>
        <w:t>永善县茂林镇松林村海子采石场50万t／a</w:t>
      </w:r>
    </w:p>
    <w:p w14:paraId="0C2FBD65">
      <w:pPr>
        <w:ind w:firstLine="0" w:firstLineChars="0"/>
        <w:jc w:val="center"/>
        <w:rPr>
          <w:b/>
          <w:sz w:val="44"/>
          <w:szCs w:val="44"/>
          <w:lang w:val="sq-AL"/>
        </w:rPr>
      </w:pPr>
      <w:r>
        <w:rPr>
          <w:b/>
          <w:sz w:val="44"/>
          <w:szCs w:val="44"/>
          <w:lang w:val="sq-AL"/>
        </w:rPr>
        <w:t>露天采矿工程</w:t>
      </w:r>
    </w:p>
    <w:p w14:paraId="1E81840B">
      <w:pPr>
        <w:adjustRightInd/>
        <w:snapToGrid/>
        <w:ind w:firstLine="537" w:firstLineChars="192"/>
        <w:rPr>
          <w:szCs w:val="24"/>
          <w:lang w:val="sq-AL"/>
        </w:rPr>
      </w:pPr>
    </w:p>
    <w:p w14:paraId="69B34963">
      <w:pPr>
        <w:ind w:firstLine="0" w:firstLineChars="0"/>
        <w:jc w:val="center"/>
        <w:rPr>
          <w:rFonts w:eastAsia="黑体"/>
          <w:b/>
          <w:bCs/>
          <w:snapToGrid w:val="0"/>
          <w:kern w:val="0"/>
          <w:sz w:val="52"/>
          <w:szCs w:val="52"/>
        </w:rPr>
      </w:pPr>
      <w:r>
        <w:rPr>
          <w:rFonts w:eastAsia="黑体"/>
          <w:b/>
          <w:bCs/>
          <w:snapToGrid w:val="0"/>
          <w:kern w:val="0"/>
          <w:sz w:val="52"/>
          <w:szCs w:val="52"/>
        </w:rPr>
        <w:t>安全设施验收评价报告</w:t>
      </w:r>
    </w:p>
    <w:bookmarkEnd w:id="0"/>
    <w:p w14:paraId="1E1343AE">
      <w:pPr>
        <w:autoSpaceDE w:val="0"/>
        <w:autoSpaceDN w:val="0"/>
        <w:snapToGrid/>
        <w:ind w:firstLine="0" w:firstLineChars="0"/>
        <w:jc w:val="center"/>
        <w:rPr>
          <w:b/>
          <w:bCs/>
          <w:kern w:val="0"/>
          <w:sz w:val="32"/>
          <w:szCs w:val="32"/>
        </w:rPr>
      </w:pPr>
    </w:p>
    <w:p w14:paraId="64182ACC">
      <w:pPr>
        <w:autoSpaceDE w:val="0"/>
        <w:autoSpaceDN w:val="0"/>
        <w:snapToGrid/>
        <w:ind w:firstLine="0" w:firstLineChars="0"/>
        <w:jc w:val="center"/>
        <w:rPr>
          <w:kern w:val="0"/>
          <w:sz w:val="30"/>
          <w:szCs w:val="30"/>
        </w:rPr>
      </w:pPr>
    </w:p>
    <w:p w14:paraId="0E2EC3FB">
      <w:pPr>
        <w:autoSpaceDE w:val="0"/>
        <w:autoSpaceDN w:val="0"/>
        <w:snapToGrid/>
        <w:ind w:firstLine="0" w:firstLineChars="0"/>
        <w:jc w:val="center"/>
        <w:rPr>
          <w:kern w:val="0"/>
          <w:sz w:val="30"/>
          <w:szCs w:val="30"/>
        </w:rPr>
      </w:pPr>
      <w:r>
        <w:drawing>
          <wp:inline distT="0" distB="0" distL="114300" distR="114300">
            <wp:extent cx="2656840" cy="1630045"/>
            <wp:effectExtent l="0" t="0" r="10160" b="8255"/>
            <wp:docPr id="10" name="图片 40" descr="aa21e77fe407a0da11c082e736ee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0" descr="aa21e77fe407a0da11c082e736ee588"/>
                    <pic:cNvPicPr>
                      <a:picLocks noChangeAspect="1"/>
                    </pic:cNvPicPr>
                  </pic:nvPicPr>
                  <pic:blipFill>
                    <a:blip r:embed="rId19"/>
                    <a:stretch>
                      <a:fillRect/>
                    </a:stretch>
                  </pic:blipFill>
                  <pic:spPr>
                    <a:xfrm>
                      <a:off x="0" y="0"/>
                      <a:ext cx="2656840" cy="1630045"/>
                    </a:xfrm>
                    <a:prstGeom prst="rect">
                      <a:avLst/>
                    </a:prstGeom>
                    <a:noFill/>
                    <a:ln>
                      <a:noFill/>
                    </a:ln>
                  </pic:spPr>
                </pic:pic>
              </a:graphicData>
            </a:graphic>
          </wp:inline>
        </w:drawing>
      </w:r>
    </w:p>
    <w:p w14:paraId="33212EEE">
      <w:pPr>
        <w:autoSpaceDE w:val="0"/>
        <w:autoSpaceDN w:val="0"/>
        <w:snapToGrid/>
        <w:ind w:firstLine="0" w:firstLineChars="0"/>
        <w:jc w:val="center"/>
        <w:rPr>
          <w:kern w:val="0"/>
          <w:sz w:val="30"/>
          <w:szCs w:val="30"/>
        </w:rPr>
      </w:pPr>
    </w:p>
    <w:p w14:paraId="1B122386">
      <w:pPr>
        <w:pStyle w:val="2"/>
        <w:ind w:firstLine="210"/>
      </w:pPr>
    </w:p>
    <w:p w14:paraId="21E994F6">
      <w:pPr>
        <w:autoSpaceDE w:val="0"/>
        <w:autoSpaceDN w:val="0"/>
        <w:snapToGrid/>
        <w:ind w:firstLine="0" w:firstLineChars="0"/>
        <w:jc w:val="center"/>
        <w:rPr>
          <w:kern w:val="0"/>
          <w:sz w:val="30"/>
          <w:szCs w:val="30"/>
        </w:rPr>
      </w:pPr>
    </w:p>
    <w:p w14:paraId="19046D92">
      <w:pPr>
        <w:adjustRightInd/>
        <w:snapToGrid/>
        <w:ind w:left="-188" w:leftChars="-67" w:right="-417" w:rightChars="-149" w:firstLine="0" w:firstLineChars="0"/>
        <w:jc w:val="center"/>
        <w:rPr>
          <w:b/>
          <w:sz w:val="44"/>
          <w:szCs w:val="44"/>
        </w:rPr>
      </w:pPr>
      <w:r>
        <w:rPr>
          <w:b/>
          <w:sz w:val="44"/>
          <w:szCs w:val="44"/>
        </w:rPr>
        <w:t>辽宁诺诚安全科技有限公司</w:t>
      </w:r>
    </w:p>
    <w:p w14:paraId="59EC4976">
      <w:pPr>
        <w:adjustRightInd/>
        <w:snapToGrid/>
        <w:ind w:firstLine="0" w:firstLineChars="0"/>
        <w:jc w:val="center"/>
        <w:rPr>
          <w:b/>
          <w:sz w:val="32"/>
          <w:szCs w:val="32"/>
        </w:rPr>
      </w:pPr>
      <w:r>
        <w:rPr>
          <w:b/>
          <w:sz w:val="32"/>
          <w:szCs w:val="32"/>
        </w:rPr>
        <w:t>资质证书编号：APJ-（辽）-021</w:t>
      </w:r>
    </w:p>
    <w:p w14:paraId="58CB2263">
      <w:pPr>
        <w:adjustRightInd/>
        <w:snapToGrid/>
        <w:ind w:firstLine="0" w:firstLineChars="0"/>
        <w:jc w:val="center"/>
        <w:rPr>
          <w:b/>
          <w:sz w:val="32"/>
          <w:szCs w:val="32"/>
        </w:rPr>
      </w:pPr>
      <w:r>
        <w:rPr>
          <w:b/>
          <w:sz w:val="32"/>
          <w:szCs w:val="32"/>
        </w:rPr>
        <w:t>2025年5月</w:t>
      </w:r>
    </w:p>
    <w:p w14:paraId="03F306BC">
      <w:pPr>
        <w:adjustRightInd/>
        <w:snapToGrid/>
        <w:ind w:firstLine="0" w:firstLineChars="0"/>
        <w:jc w:val="center"/>
        <w:rPr>
          <w:b/>
          <w:szCs w:val="28"/>
        </w:rPr>
        <w:sectPr>
          <w:headerReference r:id="rId7" w:type="first"/>
          <w:footerReference r:id="rId10" w:type="first"/>
          <w:headerReference r:id="rId5" w:type="default"/>
          <w:footerReference r:id="rId8" w:type="default"/>
          <w:headerReference r:id="rId6" w:type="even"/>
          <w:footerReference r:id="rId9" w:type="even"/>
          <w:type w:val="oddPage"/>
          <w:pgSz w:w="11907" w:h="16840"/>
          <w:pgMar w:top="1417" w:right="1134" w:bottom="1134" w:left="1587" w:header="850" w:footer="992" w:gutter="0"/>
          <w:pgNumType w:start="1"/>
          <w:cols w:space="720" w:num="1"/>
          <w:docGrid w:type="lines" w:linePitch="309" w:charSpace="0"/>
        </w:sectPr>
      </w:pPr>
    </w:p>
    <w:p w14:paraId="1D561AD0">
      <w:pPr>
        <w:autoSpaceDE w:val="0"/>
        <w:autoSpaceDN w:val="0"/>
        <w:snapToGrid/>
        <w:ind w:firstLine="0" w:firstLineChars="0"/>
        <w:jc w:val="right"/>
        <w:rPr>
          <w:b/>
          <w:kern w:val="0"/>
          <w:szCs w:val="28"/>
        </w:rPr>
      </w:pPr>
      <w:r>
        <w:rPr>
          <w:b/>
          <w:kern w:val="0"/>
          <w:szCs w:val="28"/>
        </w:rPr>
        <w:t>NCAP/KS-YS-2025-011</w:t>
      </w:r>
    </w:p>
    <w:p w14:paraId="0B4F601A">
      <w:pPr>
        <w:pStyle w:val="21"/>
        <w:ind w:left="560" w:firstLine="560"/>
        <w:rPr>
          <w:rFonts w:ascii="Times New Roman" w:hAnsi="Times New Roman"/>
          <w:szCs w:val="21"/>
        </w:rPr>
      </w:pPr>
    </w:p>
    <w:p w14:paraId="7F26844E">
      <w:pPr>
        <w:adjustRightInd/>
        <w:snapToGrid/>
        <w:ind w:firstLine="0" w:firstLineChars="0"/>
        <w:jc w:val="center"/>
        <w:rPr>
          <w:b/>
          <w:sz w:val="32"/>
          <w:szCs w:val="32"/>
          <w:lang w:val="sq-AL"/>
        </w:rPr>
      </w:pPr>
      <w:r>
        <w:rPr>
          <w:b/>
          <w:sz w:val="32"/>
          <w:szCs w:val="32"/>
          <w:lang w:val="sq-AL"/>
        </w:rPr>
        <w:t>永善润佳制造有限责任公司</w:t>
      </w:r>
    </w:p>
    <w:p w14:paraId="03AEB3C1">
      <w:pPr>
        <w:adjustRightInd/>
        <w:snapToGrid/>
        <w:ind w:firstLine="0" w:firstLineChars="0"/>
        <w:jc w:val="center"/>
        <w:rPr>
          <w:b/>
          <w:sz w:val="32"/>
          <w:szCs w:val="32"/>
          <w:lang w:val="sq-AL"/>
        </w:rPr>
      </w:pPr>
      <w:r>
        <w:rPr>
          <w:b/>
          <w:sz w:val="32"/>
          <w:szCs w:val="32"/>
          <w:lang w:val="sq-AL"/>
        </w:rPr>
        <w:t>永善县茂林镇松林村海子采石场50万t／a露天采矿工程</w:t>
      </w:r>
    </w:p>
    <w:p w14:paraId="603299B3">
      <w:pPr>
        <w:adjustRightInd/>
        <w:snapToGrid/>
        <w:ind w:firstLine="537" w:firstLineChars="192"/>
        <w:rPr>
          <w:szCs w:val="24"/>
          <w:lang w:val="sq-AL"/>
        </w:rPr>
      </w:pPr>
    </w:p>
    <w:p w14:paraId="103F56C6">
      <w:pPr>
        <w:adjustRightInd/>
        <w:snapToGrid/>
        <w:ind w:firstLine="0" w:firstLineChars="0"/>
        <w:jc w:val="center"/>
        <w:rPr>
          <w:b/>
          <w:sz w:val="44"/>
          <w:szCs w:val="44"/>
        </w:rPr>
      </w:pPr>
      <w:r>
        <w:rPr>
          <w:b/>
          <w:bCs/>
          <w:snapToGrid w:val="0"/>
          <w:kern w:val="0"/>
          <w:sz w:val="44"/>
          <w:szCs w:val="44"/>
        </w:rPr>
        <w:t>安全设施验收评价报告</w:t>
      </w:r>
    </w:p>
    <w:p w14:paraId="68F0AF3C">
      <w:pPr>
        <w:adjustRightInd/>
        <w:snapToGrid/>
        <w:ind w:firstLine="0" w:firstLineChars="0"/>
        <w:jc w:val="center"/>
        <w:rPr>
          <w:b/>
          <w:sz w:val="32"/>
          <w:szCs w:val="32"/>
        </w:rPr>
      </w:pPr>
    </w:p>
    <w:p w14:paraId="747F91AC">
      <w:pPr>
        <w:adjustRightInd/>
        <w:snapToGrid/>
        <w:ind w:firstLine="0" w:firstLineChars="0"/>
        <w:jc w:val="center"/>
        <w:rPr>
          <w:b/>
          <w:sz w:val="32"/>
          <w:szCs w:val="32"/>
        </w:rPr>
      </w:pPr>
    </w:p>
    <w:p w14:paraId="5D045D82">
      <w:pPr>
        <w:adjustRightInd/>
        <w:snapToGrid/>
        <w:ind w:firstLine="0" w:firstLineChars="0"/>
        <w:rPr>
          <w:b/>
          <w:sz w:val="32"/>
          <w:szCs w:val="32"/>
        </w:rPr>
      </w:pPr>
    </w:p>
    <w:p w14:paraId="0B841EF8">
      <w:pPr>
        <w:autoSpaceDE w:val="0"/>
        <w:autoSpaceDN w:val="0"/>
        <w:snapToGrid/>
        <w:ind w:firstLine="0" w:firstLineChars="0"/>
        <w:jc w:val="left"/>
        <w:rPr>
          <w:kern w:val="0"/>
          <w:sz w:val="24"/>
          <w:szCs w:val="24"/>
        </w:rPr>
      </w:pPr>
    </w:p>
    <w:p w14:paraId="66A4C24B">
      <w:pPr>
        <w:pStyle w:val="21"/>
        <w:ind w:left="560" w:firstLine="560"/>
        <w:rPr>
          <w:rFonts w:ascii="Times New Roman" w:hAnsi="Times New Roman"/>
          <w:szCs w:val="21"/>
        </w:rPr>
      </w:pPr>
    </w:p>
    <w:p w14:paraId="59BEABE8">
      <w:pPr>
        <w:autoSpaceDE w:val="0"/>
        <w:autoSpaceDN w:val="0"/>
        <w:snapToGrid/>
        <w:ind w:firstLine="0" w:firstLineChars="0"/>
        <w:jc w:val="left"/>
        <w:rPr>
          <w:kern w:val="0"/>
          <w:sz w:val="24"/>
          <w:szCs w:val="24"/>
        </w:rPr>
      </w:pPr>
    </w:p>
    <w:p w14:paraId="02D5DC5F">
      <w:pPr>
        <w:adjustRightInd/>
        <w:snapToGrid/>
        <w:ind w:firstLine="0" w:firstLineChars="0"/>
        <w:jc w:val="center"/>
        <w:rPr>
          <w:b/>
          <w:sz w:val="32"/>
          <w:szCs w:val="32"/>
        </w:rPr>
      </w:pPr>
    </w:p>
    <w:p w14:paraId="6173CA01">
      <w:pPr>
        <w:adjustRightInd/>
        <w:snapToGrid/>
        <w:ind w:firstLine="0" w:firstLineChars="0"/>
        <w:jc w:val="center"/>
        <w:rPr>
          <w:bCs/>
          <w:szCs w:val="28"/>
        </w:rPr>
      </w:pPr>
      <w:r>
        <w:rPr>
          <w:bCs/>
          <w:szCs w:val="28"/>
        </w:rPr>
        <w:t>法定代表人：孙同辉</w:t>
      </w:r>
    </w:p>
    <w:p w14:paraId="321969A0">
      <w:pPr>
        <w:adjustRightInd/>
        <w:snapToGrid/>
        <w:ind w:firstLine="0" w:firstLineChars="0"/>
        <w:jc w:val="center"/>
        <w:rPr>
          <w:bCs/>
          <w:szCs w:val="28"/>
        </w:rPr>
      </w:pPr>
      <w:r>
        <w:rPr>
          <w:bCs/>
          <w:szCs w:val="28"/>
        </w:rPr>
        <w:t>技术负责人：张廷辉</w:t>
      </w:r>
    </w:p>
    <w:p w14:paraId="13F5E0C4">
      <w:pPr>
        <w:adjustRightInd/>
        <w:snapToGrid/>
        <w:ind w:firstLine="0" w:firstLineChars="0"/>
        <w:jc w:val="center"/>
        <w:rPr>
          <w:bCs/>
          <w:szCs w:val="28"/>
        </w:rPr>
      </w:pPr>
      <w:r>
        <w:rPr>
          <w:bCs/>
          <w:szCs w:val="28"/>
        </w:rPr>
        <w:t>评价项目负责人：杨会明</w:t>
      </w:r>
    </w:p>
    <w:p w14:paraId="5ABC772C">
      <w:pPr>
        <w:adjustRightInd/>
        <w:snapToGrid/>
        <w:ind w:firstLine="3520" w:firstLineChars="1100"/>
        <w:jc w:val="left"/>
        <w:rPr>
          <w:bCs/>
          <w:sz w:val="32"/>
          <w:szCs w:val="32"/>
        </w:rPr>
      </w:pPr>
    </w:p>
    <w:p w14:paraId="0B34C720">
      <w:pPr>
        <w:autoSpaceDE w:val="0"/>
        <w:autoSpaceDN w:val="0"/>
        <w:snapToGrid/>
        <w:ind w:firstLine="0" w:firstLineChars="0"/>
        <w:jc w:val="left"/>
        <w:rPr>
          <w:kern w:val="0"/>
          <w:sz w:val="24"/>
          <w:szCs w:val="24"/>
        </w:rPr>
      </w:pPr>
    </w:p>
    <w:p w14:paraId="02C7DEEF">
      <w:pPr>
        <w:autoSpaceDE w:val="0"/>
        <w:autoSpaceDN w:val="0"/>
        <w:snapToGrid/>
        <w:ind w:firstLine="0" w:firstLineChars="0"/>
        <w:jc w:val="left"/>
        <w:rPr>
          <w:kern w:val="0"/>
          <w:sz w:val="24"/>
          <w:szCs w:val="24"/>
        </w:rPr>
      </w:pPr>
    </w:p>
    <w:p w14:paraId="48C0352A">
      <w:pPr>
        <w:adjustRightInd/>
        <w:snapToGrid/>
        <w:ind w:firstLine="0" w:firstLineChars="0"/>
        <w:jc w:val="center"/>
        <w:rPr>
          <w:b/>
          <w:sz w:val="32"/>
          <w:szCs w:val="32"/>
        </w:rPr>
      </w:pPr>
      <w:r>
        <w:rPr>
          <w:b/>
          <w:sz w:val="24"/>
          <w:szCs w:val="24"/>
        </w:rPr>
        <w:t>2025年5月</w:t>
      </w:r>
    </w:p>
    <w:p w14:paraId="10C46AE6">
      <w:pPr>
        <w:adjustRightInd/>
        <w:snapToGrid/>
        <w:ind w:firstLine="0" w:firstLineChars="0"/>
        <w:jc w:val="center"/>
        <w:rPr>
          <w:bCs/>
          <w:sz w:val="24"/>
          <w:szCs w:val="24"/>
        </w:rPr>
      </w:pPr>
      <w:r>
        <w:rPr>
          <w:sz w:val="21"/>
          <w:szCs w:val="21"/>
        </w:rPr>
        <w:t>（安全评价机构公章）</w:t>
      </w:r>
    </w:p>
    <w:p w14:paraId="5A45AD7B">
      <w:pPr>
        <w:adjustRightInd/>
        <w:snapToGrid/>
        <w:ind w:firstLine="0" w:firstLineChars="0"/>
        <w:jc w:val="center"/>
        <w:rPr>
          <w:sz w:val="32"/>
          <w:szCs w:val="32"/>
        </w:rPr>
        <w:sectPr>
          <w:footerReference r:id="rId11" w:type="default"/>
          <w:pgSz w:w="11907" w:h="16840"/>
          <w:pgMar w:top="1417" w:right="1134" w:bottom="1134" w:left="1587" w:header="850" w:footer="992" w:gutter="0"/>
          <w:pgNumType w:start="1"/>
          <w:cols w:space="720" w:num="1"/>
          <w:docGrid w:type="lines" w:linePitch="309" w:charSpace="0"/>
        </w:sectPr>
      </w:pPr>
    </w:p>
    <w:p w14:paraId="3E1D1CCD">
      <w:pPr>
        <w:adjustRightInd/>
        <w:snapToGrid/>
        <w:ind w:firstLine="0" w:firstLineChars="0"/>
        <w:jc w:val="center"/>
        <w:rPr>
          <w:b/>
          <w:sz w:val="32"/>
          <w:szCs w:val="32"/>
        </w:rPr>
      </w:pPr>
      <w:r>
        <w:rPr>
          <w:b/>
          <w:sz w:val="32"/>
          <w:szCs w:val="32"/>
        </w:rPr>
        <w:t>评 价 人 员</w:t>
      </w:r>
    </w:p>
    <w:tbl>
      <w:tblPr>
        <w:tblStyle w:val="44"/>
        <w:tblW w:w="98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0"/>
        <w:gridCol w:w="1140"/>
        <w:gridCol w:w="1387"/>
        <w:gridCol w:w="2434"/>
        <w:gridCol w:w="1746"/>
        <w:gridCol w:w="1594"/>
      </w:tblGrid>
      <w:tr w14:paraId="6899D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540" w:type="dxa"/>
            <w:tcBorders>
              <w:top w:val="single" w:color="auto" w:sz="4" w:space="0"/>
              <w:left w:val="single" w:color="auto" w:sz="4" w:space="0"/>
              <w:bottom w:val="single" w:color="auto" w:sz="4" w:space="0"/>
              <w:right w:val="single" w:color="auto" w:sz="4" w:space="0"/>
            </w:tcBorders>
            <w:vAlign w:val="center"/>
          </w:tcPr>
          <w:p w14:paraId="7DE6CB7F">
            <w:pPr>
              <w:adjustRightInd/>
              <w:snapToGrid/>
              <w:spacing w:line="440" w:lineRule="exact"/>
              <w:ind w:firstLine="0" w:firstLineChars="0"/>
              <w:jc w:val="center"/>
              <w:rPr>
                <w:sz w:val="24"/>
                <w:szCs w:val="24"/>
              </w:rPr>
            </w:pPr>
            <w:r>
              <w:rPr>
                <w:sz w:val="24"/>
                <w:szCs w:val="24"/>
              </w:rPr>
              <w:t>评价单位</w:t>
            </w:r>
          </w:p>
        </w:tc>
        <w:tc>
          <w:tcPr>
            <w:tcW w:w="8301" w:type="dxa"/>
            <w:gridSpan w:val="5"/>
            <w:tcBorders>
              <w:top w:val="single" w:color="auto" w:sz="4" w:space="0"/>
              <w:left w:val="single" w:color="auto" w:sz="4" w:space="0"/>
              <w:bottom w:val="single" w:color="auto" w:sz="4" w:space="0"/>
              <w:right w:val="single" w:color="auto" w:sz="4" w:space="0"/>
            </w:tcBorders>
            <w:vAlign w:val="center"/>
          </w:tcPr>
          <w:p w14:paraId="1A19BDFA">
            <w:pPr>
              <w:adjustRightInd/>
              <w:snapToGrid/>
              <w:spacing w:line="440" w:lineRule="exact"/>
              <w:ind w:firstLine="0" w:firstLineChars="0"/>
              <w:jc w:val="center"/>
              <w:rPr>
                <w:sz w:val="24"/>
                <w:szCs w:val="24"/>
              </w:rPr>
            </w:pPr>
            <w:r>
              <w:rPr>
                <w:sz w:val="24"/>
                <w:szCs w:val="24"/>
              </w:rPr>
              <w:t>辽宁诺诚安全科技有限公司</w:t>
            </w:r>
          </w:p>
        </w:tc>
      </w:tr>
      <w:tr w14:paraId="57038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540" w:type="dxa"/>
            <w:tcBorders>
              <w:top w:val="single" w:color="auto" w:sz="4" w:space="0"/>
              <w:left w:val="single" w:color="auto" w:sz="4" w:space="0"/>
              <w:bottom w:val="single" w:color="auto" w:sz="4" w:space="0"/>
              <w:right w:val="single" w:color="auto" w:sz="4" w:space="0"/>
            </w:tcBorders>
            <w:vAlign w:val="center"/>
          </w:tcPr>
          <w:p w14:paraId="70CA5697">
            <w:pPr>
              <w:adjustRightInd/>
              <w:snapToGrid/>
              <w:spacing w:line="440" w:lineRule="exact"/>
              <w:ind w:firstLine="0" w:firstLineChars="0"/>
              <w:jc w:val="center"/>
              <w:rPr>
                <w:sz w:val="24"/>
                <w:szCs w:val="24"/>
              </w:rPr>
            </w:pPr>
            <w:r>
              <w:rPr>
                <w:sz w:val="24"/>
                <w:szCs w:val="24"/>
              </w:rPr>
              <w:t>项目名称</w:t>
            </w:r>
          </w:p>
        </w:tc>
        <w:tc>
          <w:tcPr>
            <w:tcW w:w="8301" w:type="dxa"/>
            <w:gridSpan w:val="5"/>
            <w:tcBorders>
              <w:top w:val="single" w:color="auto" w:sz="4" w:space="0"/>
              <w:left w:val="single" w:color="auto" w:sz="4" w:space="0"/>
              <w:bottom w:val="single" w:color="auto" w:sz="4" w:space="0"/>
              <w:right w:val="single" w:color="auto" w:sz="4" w:space="0"/>
            </w:tcBorders>
            <w:vAlign w:val="center"/>
          </w:tcPr>
          <w:p w14:paraId="1D68C2BD">
            <w:pPr>
              <w:spacing w:line="500" w:lineRule="exact"/>
              <w:ind w:firstLine="0" w:firstLineChars="0"/>
              <w:jc w:val="center"/>
              <w:rPr>
                <w:sz w:val="24"/>
                <w:szCs w:val="24"/>
              </w:rPr>
            </w:pPr>
            <w:bookmarkStart w:id="10" w:name="_Hlk165036601"/>
            <w:r>
              <w:rPr>
                <w:sz w:val="24"/>
                <w:szCs w:val="24"/>
              </w:rPr>
              <w:t>永善润佳制造有限责任公司永善县茂林镇松林村海子采石场50万t／a露天采矿工程安全设施验收评价报告</w:t>
            </w:r>
            <w:bookmarkEnd w:id="10"/>
          </w:p>
        </w:tc>
      </w:tr>
      <w:tr w14:paraId="1EE7B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540" w:type="dxa"/>
            <w:tcBorders>
              <w:top w:val="single" w:color="auto" w:sz="4" w:space="0"/>
              <w:left w:val="single" w:color="auto" w:sz="4" w:space="0"/>
              <w:bottom w:val="single" w:color="auto" w:sz="4" w:space="0"/>
              <w:right w:val="single" w:color="auto" w:sz="4" w:space="0"/>
            </w:tcBorders>
            <w:vAlign w:val="center"/>
          </w:tcPr>
          <w:p w14:paraId="3D1547DA">
            <w:pPr>
              <w:adjustRightInd/>
              <w:snapToGrid/>
              <w:spacing w:line="440" w:lineRule="exact"/>
              <w:ind w:firstLine="0" w:firstLineChars="0"/>
              <w:jc w:val="center"/>
              <w:rPr>
                <w:sz w:val="24"/>
                <w:szCs w:val="24"/>
              </w:rPr>
            </w:pPr>
            <w:r>
              <w:rPr>
                <w:sz w:val="24"/>
                <w:szCs w:val="24"/>
              </w:rPr>
              <w:t>评价人员</w:t>
            </w:r>
          </w:p>
        </w:tc>
        <w:tc>
          <w:tcPr>
            <w:tcW w:w="1140" w:type="dxa"/>
            <w:tcBorders>
              <w:top w:val="single" w:color="auto" w:sz="4" w:space="0"/>
              <w:left w:val="single" w:color="auto" w:sz="4" w:space="0"/>
              <w:bottom w:val="single" w:color="auto" w:sz="4" w:space="0"/>
              <w:right w:val="single" w:color="auto" w:sz="4" w:space="0"/>
            </w:tcBorders>
            <w:vAlign w:val="center"/>
          </w:tcPr>
          <w:p w14:paraId="74724C23">
            <w:pPr>
              <w:adjustRightInd/>
              <w:snapToGrid/>
              <w:spacing w:line="440" w:lineRule="exact"/>
              <w:ind w:firstLine="0" w:firstLineChars="0"/>
              <w:jc w:val="center"/>
              <w:rPr>
                <w:sz w:val="24"/>
                <w:szCs w:val="24"/>
              </w:rPr>
            </w:pPr>
            <w:r>
              <w:rPr>
                <w:sz w:val="24"/>
                <w:szCs w:val="24"/>
              </w:rPr>
              <w:t>姓  名</w:t>
            </w:r>
          </w:p>
        </w:tc>
        <w:tc>
          <w:tcPr>
            <w:tcW w:w="1387" w:type="dxa"/>
            <w:tcBorders>
              <w:top w:val="single" w:color="auto" w:sz="4" w:space="0"/>
              <w:left w:val="single" w:color="auto" w:sz="4" w:space="0"/>
              <w:bottom w:val="single" w:color="auto" w:sz="4" w:space="0"/>
              <w:right w:val="single" w:color="auto" w:sz="4" w:space="0"/>
            </w:tcBorders>
            <w:vAlign w:val="center"/>
          </w:tcPr>
          <w:p w14:paraId="5FDFC1AA">
            <w:pPr>
              <w:adjustRightInd/>
              <w:snapToGrid/>
              <w:spacing w:line="440" w:lineRule="exact"/>
              <w:ind w:firstLine="0" w:firstLineChars="0"/>
              <w:jc w:val="center"/>
              <w:rPr>
                <w:sz w:val="24"/>
                <w:szCs w:val="24"/>
              </w:rPr>
            </w:pPr>
            <w:r>
              <w:rPr>
                <w:sz w:val="24"/>
                <w:szCs w:val="24"/>
              </w:rPr>
              <w:t>专业能力</w:t>
            </w:r>
          </w:p>
        </w:tc>
        <w:tc>
          <w:tcPr>
            <w:tcW w:w="2434" w:type="dxa"/>
            <w:tcBorders>
              <w:top w:val="single" w:color="auto" w:sz="4" w:space="0"/>
              <w:left w:val="single" w:color="auto" w:sz="4" w:space="0"/>
              <w:bottom w:val="single" w:color="auto" w:sz="4" w:space="0"/>
              <w:right w:val="single" w:color="auto" w:sz="4" w:space="0"/>
            </w:tcBorders>
            <w:vAlign w:val="center"/>
          </w:tcPr>
          <w:p w14:paraId="261586C7">
            <w:pPr>
              <w:adjustRightInd/>
              <w:snapToGrid/>
              <w:spacing w:line="440" w:lineRule="exact"/>
              <w:ind w:firstLine="0" w:firstLineChars="0"/>
              <w:jc w:val="center"/>
              <w:rPr>
                <w:sz w:val="24"/>
                <w:szCs w:val="24"/>
              </w:rPr>
            </w:pPr>
            <w:r>
              <w:rPr>
                <w:sz w:val="24"/>
                <w:szCs w:val="24"/>
              </w:rPr>
              <w:t>资格证书号</w:t>
            </w:r>
          </w:p>
        </w:tc>
        <w:tc>
          <w:tcPr>
            <w:tcW w:w="1746" w:type="dxa"/>
            <w:tcBorders>
              <w:top w:val="single" w:color="auto" w:sz="4" w:space="0"/>
              <w:left w:val="single" w:color="auto" w:sz="4" w:space="0"/>
              <w:bottom w:val="single" w:color="auto" w:sz="4" w:space="0"/>
              <w:right w:val="single" w:color="auto" w:sz="4" w:space="0"/>
            </w:tcBorders>
            <w:vAlign w:val="center"/>
          </w:tcPr>
          <w:p w14:paraId="22E048FA">
            <w:pPr>
              <w:adjustRightInd/>
              <w:snapToGrid/>
              <w:spacing w:line="440" w:lineRule="exact"/>
              <w:ind w:firstLine="0" w:firstLineChars="0"/>
              <w:jc w:val="center"/>
              <w:rPr>
                <w:sz w:val="24"/>
                <w:szCs w:val="24"/>
              </w:rPr>
            </w:pPr>
            <w:r>
              <w:rPr>
                <w:sz w:val="24"/>
                <w:szCs w:val="24"/>
              </w:rPr>
              <w:t>从业登记编号</w:t>
            </w:r>
          </w:p>
        </w:tc>
        <w:tc>
          <w:tcPr>
            <w:tcW w:w="1594" w:type="dxa"/>
            <w:tcBorders>
              <w:top w:val="single" w:color="auto" w:sz="4" w:space="0"/>
              <w:left w:val="single" w:color="auto" w:sz="4" w:space="0"/>
              <w:bottom w:val="single" w:color="auto" w:sz="4" w:space="0"/>
              <w:right w:val="single" w:color="auto" w:sz="4" w:space="0"/>
            </w:tcBorders>
            <w:vAlign w:val="center"/>
          </w:tcPr>
          <w:p w14:paraId="115C59A4">
            <w:pPr>
              <w:adjustRightInd/>
              <w:snapToGrid/>
              <w:ind w:firstLine="0" w:firstLineChars="0"/>
              <w:jc w:val="center"/>
              <w:rPr>
                <w:sz w:val="24"/>
                <w:szCs w:val="24"/>
              </w:rPr>
            </w:pPr>
            <w:r>
              <w:rPr>
                <w:sz w:val="24"/>
                <w:szCs w:val="24"/>
              </w:rPr>
              <w:t>签  字</w:t>
            </w:r>
          </w:p>
        </w:tc>
      </w:tr>
      <w:tr w14:paraId="65D2E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540" w:type="dxa"/>
            <w:tcBorders>
              <w:top w:val="single" w:color="auto" w:sz="4" w:space="0"/>
              <w:left w:val="single" w:color="auto" w:sz="4" w:space="0"/>
              <w:bottom w:val="single" w:color="auto" w:sz="4" w:space="0"/>
              <w:right w:val="single" w:color="auto" w:sz="4" w:space="0"/>
            </w:tcBorders>
            <w:vAlign w:val="center"/>
          </w:tcPr>
          <w:p w14:paraId="39BBCFD5">
            <w:pPr>
              <w:adjustRightInd/>
              <w:snapToGrid/>
              <w:spacing w:line="400" w:lineRule="exact"/>
              <w:ind w:firstLine="0" w:firstLineChars="0"/>
              <w:jc w:val="center"/>
              <w:rPr>
                <w:sz w:val="24"/>
                <w:szCs w:val="24"/>
              </w:rPr>
            </w:pPr>
            <w:r>
              <w:rPr>
                <w:sz w:val="24"/>
                <w:szCs w:val="24"/>
              </w:rPr>
              <w:t>项目负责人</w:t>
            </w:r>
          </w:p>
        </w:tc>
        <w:tc>
          <w:tcPr>
            <w:tcW w:w="1140" w:type="dxa"/>
            <w:tcBorders>
              <w:top w:val="single" w:color="auto" w:sz="4" w:space="0"/>
              <w:left w:val="single" w:color="auto" w:sz="4" w:space="0"/>
              <w:bottom w:val="single" w:color="auto" w:sz="4" w:space="0"/>
              <w:right w:val="single" w:color="auto" w:sz="4" w:space="0"/>
            </w:tcBorders>
            <w:vAlign w:val="center"/>
          </w:tcPr>
          <w:p w14:paraId="7520EAF4">
            <w:pPr>
              <w:keepNext/>
              <w:keepLines/>
              <w:adjustRightInd/>
              <w:spacing w:line="400" w:lineRule="exact"/>
              <w:ind w:firstLine="0" w:firstLineChars="0"/>
              <w:jc w:val="center"/>
              <w:rPr>
                <w:sz w:val="24"/>
                <w:szCs w:val="24"/>
              </w:rPr>
            </w:pPr>
            <w:r>
              <w:rPr>
                <w:sz w:val="24"/>
                <w:szCs w:val="24"/>
              </w:rPr>
              <w:t>杨会明</w:t>
            </w:r>
          </w:p>
        </w:tc>
        <w:tc>
          <w:tcPr>
            <w:tcW w:w="1387" w:type="dxa"/>
            <w:tcBorders>
              <w:top w:val="single" w:color="auto" w:sz="4" w:space="0"/>
              <w:left w:val="single" w:color="auto" w:sz="4" w:space="0"/>
              <w:bottom w:val="single" w:color="auto" w:sz="4" w:space="0"/>
              <w:right w:val="single" w:color="auto" w:sz="4" w:space="0"/>
            </w:tcBorders>
            <w:vAlign w:val="center"/>
          </w:tcPr>
          <w:p w14:paraId="0AE284E9">
            <w:pPr>
              <w:keepNext/>
              <w:keepLines/>
              <w:adjustRightInd/>
              <w:spacing w:line="400" w:lineRule="exact"/>
              <w:ind w:firstLine="0" w:firstLineChars="0"/>
              <w:jc w:val="center"/>
              <w:rPr>
                <w:sz w:val="24"/>
                <w:szCs w:val="24"/>
              </w:rPr>
            </w:pPr>
            <w:r>
              <w:rPr>
                <w:sz w:val="24"/>
                <w:szCs w:val="24"/>
              </w:rPr>
              <w:t>通风</w:t>
            </w:r>
          </w:p>
        </w:tc>
        <w:tc>
          <w:tcPr>
            <w:tcW w:w="2434" w:type="dxa"/>
            <w:tcBorders>
              <w:top w:val="single" w:color="auto" w:sz="4" w:space="0"/>
              <w:left w:val="single" w:color="auto" w:sz="4" w:space="0"/>
              <w:bottom w:val="single" w:color="auto" w:sz="4" w:space="0"/>
              <w:right w:val="single" w:color="auto" w:sz="4" w:space="0"/>
            </w:tcBorders>
            <w:vAlign w:val="center"/>
          </w:tcPr>
          <w:p w14:paraId="2F119246">
            <w:pPr>
              <w:keepNext/>
              <w:keepLines/>
              <w:adjustRightInd/>
              <w:spacing w:line="400" w:lineRule="exact"/>
              <w:ind w:firstLine="0" w:firstLineChars="0"/>
              <w:jc w:val="center"/>
              <w:rPr>
                <w:sz w:val="24"/>
                <w:szCs w:val="24"/>
                <w:lang w:val="zh-CN"/>
              </w:rPr>
            </w:pPr>
            <w:r>
              <w:fldChar w:fldCharType="begin"/>
            </w:r>
            <w:r>
              <w:instrText xml:space="preserve"> HYPERLINK "http://cydj.5anquan.com/Admin/AprySearch/path=/Files/Image/ApryImg/Profession/Edit4239/" \o "http://cydj.5anquan.com/Admin/AprySearch/path=/Files/Image/ApryImg/Profession/Edit4239/" </w:instrText>
            </w:r>
            <w:r>
              <w:fldChar w:fldCharType="separate"/>
            </w:r>
            <w:r>
              <w:rPr>
                <w:sz w:val="24"/>
                <w:szCs w:val="24"/>
              </w:rPr>
              <w:t>S011053000110192003194</w:t>
            </w:r>
            <w:r>
              <w:rPr>
                <w:sz w:val="24"/>
                <w:szCs w:val="24"/>
              </w:rPr>
              <w:fldChar w:fldCharType="end"/>
            </w:r>
          </w:p>
        </w:tc>
        <w:tc>
          <w:tcPr>
            <w:tcW w:w="1746" w:type="dxa"/>
            <w:tcBorders>
              <w:top w:val="single" w:color="auto" w:sz="4" w:space="0"/>
              <w:left w:val="single" w:color="auto" w:sz="4" w:space="0"/>
              <w:bottom w:val="single" w:color="auto" w:sz="4" w:space="0"/>
              <w:right w:val="single" w:color="auto" w:sz="4" w:space="0"/>
            </w:tcBorders>
            <w:vAlign w:val="center"/>
          </w:tcPr>
          <w:p w14:paraId="502540AD">
            <w:pPr>
              <w:keepNext/>
              <w:keepLines/>
              <w:adjustRightInd/>
              <w:spacing w:line="400" w:lineRule="exact"/>
              <w:ind w:firstLine="0" w:firstLineChars="0"/>
              <w:jc w:val="center"/>
              <w:rPr>
                <w:sz w:val="24"/>
                <w:szCs w:val="24"/>
                <w:lang w:val="zh-CN"/>
              </w:rPr>
            </w:pPr>
            <w:r>
              <w:rPr>
                <w:sz w:val="24"/>
                <w:szCs w:val="24"/>
              </w:rPr>
              <w:t>024910</w:t>
            </w:r>
          </w:p>
        </w:tc>
        <w:tc>
          <w:tcPr>
            <w:tcW w:w="1594" w:type="dxa"/>
            <w:tcBorders>
              <w:top w:val="single" w:color="auto" w:sz="4" w:space="0"/>
              <w:left w:val="single" w:color="auto" w:sz="4" w:space="0"/>
              <w:bottom w:val="single" w:color="auto" w:sz="4" w:space="0"/>
              <w:right w:val="single" w:color="auto" w:sz="4" w:space="0"/>
            </w:tcBorders>
            <w:vAlign w:val="center"/>
          </w:tcPr>
          <w:p w14:paraId="402EFDFF">
            <w:pPr>
              <w:keepNext/>
              <w:keepLines/>
              <w:adjustRightInd/>
              <w:ind w:firstLine="0" w:firstLineChars="0"/>
              <w:jc w:val="center"/>
              <w:rPr>
                <w:sz w:val="24"/>
                <w:szCs w:val="24"/>
              </w:rPr>
            </w:pPr>
          </w:p>
        </w:tc>
      </w:tr>
      <w:tr w14:paraId="125A5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540" w:type="dxa"/>
            <w:vMerge w:val="restart"/>
            <w:tcBorders>
              <w:left w:val="single" w:color="auto" w:sz="4" w:space="0"/>
              <w:right w:val="single" w:color="auto" w:sz="4" w:space="0"/>
            </w:tcBorders>
            <w:vAlign w:val="center"/>
          </w:tcPr>
          <w:p w14:paraId="6818C1BE">
            <w:pPr>
              <w:adjustRightInd/>
              <w:spacing w:line="400" w:lineRule="exact"/>
              <w:ind w:firstLine="0" w:firstLineChars="0"/>
              <w:jc w:val="center"/>
              <w:rPr>
                <w:sz w:val="24"/>
                <w:szCs w:val="24"/>
              </w:rPr>
            </w:pPr>
            <w:r>
              <w:rPr>
                <w:sz w:val="24"/>
                <w:szCs w:val="24"/>
              </w:rPr>
              <w:t>项目组成员</w:t>
            </w:r>
          </w:p>
        </w:tc>
        <w:tc>
          <w:tcPr>
            <w:tcW w:w="1140" w:type="dxa"/>
            <w:tcBorders>
              <w:top w:val="single" w:color="auto" w:sz="4" w:space="0"/>
              <w:left w:val="single" w:color="auto" w:sz="4" w:space="0"/>
              <w:bottom w:val="single" w:color="auto" w:sz="4" w:space="0"/>
              <w:right w:val="single" w:color="auto" w:sz="4" w:space="0"/>
            </w:tcBorders>
            <w:vAlign w:val="center"/>
          </w:tcPr>
          <w:p w14:paraId="18CD8585">
            <w:pPr>
              <w:widowControl/>
              <w:adjustRightInd/>
              <w:snapToGrid/>
              <w:spacing w:line="400" w:lineRule="exact"/>
              <w:ind w:firstLine="0" w:firstLineChars="0"/>
              <w:jc w:val="center"/>
              <w:textAlignment w:val="center"/>
              <w:rPr>
                <w:sz w:val="24"/>
                <w:szCs w:val="24"/>
                <w:lang w:val="zh-CN"/>
              </w:rPr>
            </w:pPr>
            <w:r>
              <w:rPr>
                <w:sz w:val="24"/>
              </w:rPr>
              <w:t>李欣泽</w:t>
            </w:r>
          </w:p>
        </w:tc>
        <w:tc>
          <w:tcPr>
            <w:tcW w:w="1387" w:type="dxa"/>
            <w:tcBorders>
              <w:top w:val="single" w:color="auto" w:sz="4" w:space="0"/>
              <w:left w:val="single" w:color="auto" w:sz="4" w:space="0"/>
              <w:bottom w:val="single" w:color="auto" w:sz="4" w:space="0"/>
              <w:right w:val="single" w:color="auto" w:sz="4" w:space="0"/>
            </w:tcBorders>
            <w:vAlign w:val="center"/>
          </w:tcPr>
          <w:p w14:paraId="1F87FD96">
            <w:pPr>
              <w:adjustRightInd/>
              <w:snapToGrid/>
              <w:spacing w:line="400" w:lineRule="exact"/>
              <w:ind w:firstLine="0" w:firstLineChars="0"/>
              <w:jc w:val="center"/>
              <w:rPr>
                <w:sz w:val="24"/>
                <w:szCs w:val="24"/>
              </w:rPr>
            </w:pPr>
            <w:r>
              <w:rPr>
                <w:sz w:val="24"/>
              </w:rPr>
              <w:t>安全</w:t>
            </w:r>
          </w:p>
        </w:tc>
        <w:tc>
          <w:tcPr>
            <w:tcW w:w="2434" w:type="dxa"/>
            <w:tcBorders>
              <w:top w:val="single" w:color="auto" w:sz="4" w:space="0"/>
              <w:left w:val="single" w:color="auto" w:sz="4" w:space="0"/>
              <w:bottom w:val="single" w:color="auto" w:sz="4" w:space="0"/>
              <w:right w:val="single" w:color="auto" w:sz="4" w:space="0"/>
            </w:tcBorders>
            <w:vAlign w:val="center"/>
          </w:tcPr>
          <w:p w14:paraId="3F1814CC">
            <w:pPr>
              <w:adjustRightInd/>
              <w:snapToGrid/>
              <w:spacing w:line="400" w:lineRule="exact"/>
              <w:ind w:firstLine="0" w:firstLineChars="0"/>
              <w:jc w:val="center"/>
              <w:rPr>
                <w:sz w:val="24"/>
                <w:szCs w:val="24"/>
                <w:lang w:val="zh-CN"/>
              </w:rPr>
            </w:pPr>
            <w:r>
              <w:rPr>
                <w:sz w:val="24"/>
              </w:rPr>
              <w:t>1600000000200299</w:t>
            </w:r>
          </w:p>
        </w:tc>
        <w:tc>
          <w:tcPr>
            <w:tcW w:w="1746" w:type="dxa"/>
            <w:tcBorders>
              <w:top w:val="single" w:color="auto" w:sz="4" w:space="0"/>
              <w:left w:val="single" w:color="auto" w:sz="4" w:space="0"/>
              <w:bottom w:val="single" w:color="auto" w:sz="4" w:space="0"/>
              <w:right w:val="single" w:color="auto" w:sz="4" w:space="0"/>
            </w:tcBorders>
            <w:vAlign w:val="center"/>
          </w:tcPr>
          <w:p w14:paraId="19E29D85">
            <w:pPr>
              <w:keepNext/>
              <w:keepLines/>
              <w:adjustRightInd/>
              <w:spacing w:line="400" w:lineRule="exact"/>
              <w:ind w:firstLine="0" w:firstLineChars="0"/>
              <w:jc w:val="center"/>
              <w:rPr>
                <w:sz w:val="24"/>
                <w:szCs w:val="24"/>
                <w:lang w:val="zh-CN"/>
              </w:rPr>
            </w:pPr>
            <w:r>
              <w:rPr>
                <w:sz w:val="24"/>
                <w:szCs w:val="24"/>
              </w:rPr>
              <w:t>019600</w:t>
            </w:r>
          </w:p>
        </w:tc>
        <w:tc>
          <w:tcPr>
            <w:tcW w:w="1594" w:type="dxa"/>
            <w:tcBorders>
              <w:top w:val="single" w:color="auto" w:sz="4" w:space="0"/>
              <w:left w:val="single" w:color="auto" w:sz="4" w:space="0"/>
              <w:bottom w:val="single" w:color="auto" w:sz="4" w:space="0"/>
              <w:right w:val="single" w:color="auto" w:sz="4" w:space="0"/>
            </w:tcBorders>
            <w:vAlign w:val="center"/>
          </w:tcPr>
          <w:p w14:paraId="25C1AEC4">
            <w:pPr>
              <w:keepNext/>
              <w:keepLines/>
              <w:adjustRightInd/>
              <w:ind w:firstLine="0" w:firstLineChars="0"/>
              <w:jc w:val="center"/>
              <w:rPr>
                <w:sz w:val="24"/>
                <w:szCs w:val="24"/>
              </w:rPr>
            </w:pPr>
          </w:p>
        </w:tc>
      </w:tr>
      <w:tr w14:paraId="15C10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540" w:type="dxa"/>
            <w:vMerge w:val="continue"/>
            <w:tcBorders>
              <w:left w:val="single" w:color="auto" w:sz="4" w:space="0"/>
              <w:right w:val="single" w:color="auto" w:sz="4" w:space="0"/>
            </w:tcBorders>
            <w:vAlign w:val="center"/>
          </w:tcPr>
          <w:p w14:paraId="2F047178">
            <w:pPr>
              <w:adjustRightInd/>
              <w:spacing w:line="400" w:lineRule="exact"/>
              <w:ind w:firstLine="0" w:firstLineChars="0"/>
              <w:jc w:val="center"/>
              <w:rPr>
                <w:sz w:val="24"/>
                <w:szCs w:val="24"/>
              </w:rPr>
            </w:pPr>
          </w:p>
        </w:tc>
        <w:tc>
          <w:tcPr>
            <w:tcW w:w="1140" w:type="dxa"/>
            <w:tcBorders>
              <w:top w:val="single" w:color="auto" w:sz="4" w:space="0"/>
              <w:left w:val="single" w:color="auto" w:sz="4" w:space="0"/>
              <w:bottom w:val="single" w:color="auto" w:sz="4" w:space="0"/>
              <w:right w:val="single" w:color="auto" w:sz="4" w:space="0"/>
            </w:tcBorders>
            <w:vAlign w:val="center"/>
          </w:tcPr>
          <w:p w14:paraId="5881C44F">
            <w:pPr>
              <w:keepNext/>
              <w:keepLines/>
              <w:adjustRightInd/>
              <w:spacing w:line="400" w:lineRule="exact"/>
              <w:ind w:firstLine="0" w:firstLineChars="0"/>
              <w:jc w:val="center"/>
              <w:rPr>
                <w:sz w:val="20"/>
              </w:rPr>
            </w:pPr>
            <w:r>
              <w:rPr>
                <w:sz w:val="24"/>
                <w:szCs w:val="24"/>
              </w:rPr>
              <w:t>侯岗</w:t>
            </w:r>
          </w:p>
        </w:tc>
        <w:tc>
          <w:tcPr>
            <w:tcW w:w="1387" w:type="dxa"/>
            <w:tcBorders>
              <w:top w:val="single" w:color="auto" w:sz="4" w:space="0"/>
              <w:left w:val="single" w:color="auto" w:sz="4" w:space="0"/>
              <w:bottom w:val="single" w:color="auto" w:sz="4" w:space="0"/>
              <w:right w:val="single" w:color="auto" w:sz="4" w:space="0"/>
            </w:tcBorders>
            <w:vAlign w:val="center"/>
          </w:tcPr>
          <w:p w14:paraId="055501FD">
            <w:pPr>
              <w:keepNext/>
              <w:keepLines/>
              <w:adjustRightInd/>
              <w:spacing w:line="400" w:lineRule="exact"/>
              <w:ind w:firstLine="0" w:firstLineChars="0"/>
              <w:jc w:val="center"/>
              <w:rPr>
                <w:sz w:val="24"/>
                <w:szCs w:val="24"/>
              </w:rPr>
            </w:pPr>
            <w:r>
              <w:rPr>
                <w:sz w:val="24"/>
                <w:szCs w:val="24"/>
              </w:rPr>
              <w:t>电气</w:t>
            </w:r>
          </w:p>
        </w:tc>
        <w:tc>
          <w:tcPr>
            <w:tcW w:w="2434" w:type="dxa"/>
            <w:tcBorders>
              <w:top w:val="single" w:color="auto" w:sz="4" w:space="0"/>
              <w:left w:val="single" w:color="auto" w:sz="4" w:space="0"/>
              <w:bottom w:val="single" w:color="auto" w:sz="4" w:space="0"/>
              <w:right w:val="single" w:color="auto" w:sz="4" w:space="0"/>
            </w:tcBorders>
            <w:vAlign w:val="center"/>
          </w:tcPr>
          <w:p w14:paraId="293A00FB">
            <w:pPr>
              <w:keepNext/>
              <w:keepLines/>
              <w:adjustRightInd/>
              <w:spacing w:line="400" w:lineRule="exact"/>
              <w:ind w:firstLine="0" w:firstLineChars="0"/>
              <w:jc w:val="center"/>
              <w:rPr>
                <w:sz w:val="24"/>
                <w:szCs w:val="24"/>
              </w:rPr>
            </w:pPr>
            <w:r>
              <w:rPr>
                <w:sz w:val="24"/>
                <w:szCs w:val="24"/>
              </w:rPr>
              <w:t>1500000000302693</w:t>
            </w:r>
          </w:p>
        </w:tc>
        <w:tc>
          <w:tcPr>
            <w:tcW w:w="1746" w:type="dxa"/>
            <w:tcBorders>
              <w:top w:val="single" w:color="auto" w:sz="4" w:space="0"/>
              <w:left w:val="single" w:color="auto" w:sz="4" w:space="0"/>
              <w:bottom w:val="single" w:color="auto" w:sz="4" w:space="0"/>
              <w:right w:val="single" w:color="auto" w:sz="4" w:space="0"/>
            </w:tcBorders>
            <w:vAlign w:val="center"/>
          </w:tcPr>
          <w:p w14:paraId="31446E42">
            <w:pPr>
              <w:keepNext/>
              <w:keepLines/>
              <w:adjustRightInd/>
              <w:spacing w:line="400" w:lineRule="exact"/>
              <w:ind w:firstLine="0" w:firstLineChars="0"/>
              <w:jc w:val="center"/>
              <w:rPr>
                <w:sz w:val="24"/>
                <w:szCs w:val="24"/>
              </w:rPr>
            </w:pPr>
            <w:r>
              <w:rPr>
                <w:sz w:val="24"/>
                <w:szCs w:val="24"/>
              </w:rPr>
              <w:t>026194</w:t>
            </w:r>
          </w:p>
        </w:tc>
        <w:tc>
          <w:tcPr>
            <w:tcW w:w="1594" w:type="dxa"/>
            <w:tcBorders>
              <w:top w:val="single" w:color="auto" w:sz="4" w:space="0"/>
              <w:left w:val="single" w:color="auto" w:sz="4" w:space="0"/>
              <w:bottom w:val="single" w:color="auto" w:sz="4" w:space="0"/>
              <w:right w:val="single" w:color="auto" w:sz="4" w:space="0"/>
            </w:tcBorders>
            <w:vAlign w:val="center"/>
          </w:tcPr>
          <w:p w14:paraId="2946A1FC">
            <w:pPr>
              <w:keepNext/>
              <w:keepLines/>
              <w:adjustRightInd/>
              <w:ind w:firstLine="0" w:firstLineChars="0"/>
              <w:jc w:val="center"/>
              <w:rPr>
                <w:sz w:val="24"/>
                <w:szCs w:val="24"/>
              </w:rPr>
            </w:pPr>
          </w:p>
        </w:tc>
      </w:tr>
      <w:tr w14:paraId="37886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540" w:type="dxa"/>
            <w:vMerge w:val="continue"/>
            <w:tcBorders>
              <w:left w:val="single" w:color="auto" w:sz="4" w:space="0"/>
              <w:right w:val="single" w:color="auto" w:sz="4" w:space="0"/>
            </w:tcBorders>
            <w:vAlign w:val="center"/>
          </w:tcPr>
          <w:p w14:paraId="299196FF">
            <w:pPr>
              <w:adjustRightInd/>
              <w:spacing w:line="400" w:lineRule="exact"/>
              <w:ind w:firstLine="0" w:firstLineChars="0"/>
              <w:jc w:val="center"/>
              <w:rPr>
                <w:sz w:val="24"/>
                <w:szCs w:val="24"/>
              </w:rPr>
            </w:pPr>
          </w:p>
        </w:tc>
        <w:tc>
          <w:tcPr>
            <w:tcW w:w="1140" w:type="dxa"/>
            <w:tcBorders>
              <w:top w:val="single" w:color="auto" w:sz="4" w:space="0"/>
              <w:left w:val="single" w:color="auto" w:sz="4" w:space="0"/>
              <w:bottom w:val="single" w:color="auto" w:sz="4" w:space="0"/>
              <w:right w:val="single" w:color="auto" w:sz="4" w:space="0"/>
            </w:tcBorders>
            <w:vAlign w:val="center"/>
          </w:tcPr>
          <w:p w14:paraId="515A766C">
            <w:pPr>
              <w:keepNext/>
              <w:keepLines/>
              <w:adjustRightInd/>
              <w:spacing w:line="400" w:lineRule="exact"/>
              <w:ind w:firstLine="0" w:firstLineChars="0"/>
              <w:jc w:val="center"/>
              <w:rPr>
                <w:sz w:val="24"/>
                <w:szCs w:val="24"/>
                <w:lang w:val="zh-CN"/>
              </w:rPr>
            </w:pPr>
            <w:r>
              <w:rPr>
                <w:sz w:val="24"/>
                <w:szCs w:val="24"/>
              </w:rPr>
              <w:t>安东亮</w:t>
            </w:r>
          </w:p>
        </w:tc>
        <w:tc>
          <w:tcPr>
            <w:tcW w:w="1387" w:type="dxa"/>
            <w:tcBorders>
              <w:top w:val="single" w:color="auto" w:sz="4" w:space="0"/>
              <w:left w:val="single" w:color="auto" w:sz="4" w:space="0"/>
              <w:bottom w:val="single" w:color="auto" w:sz="4" w:space="0"/>
              <w:right w:val="single" w:color="auto" w:sz="4" w:space="0"/>
            </w:tcBorders>
            <w:vAlign w:val="center"/>
          </w:tcPr>
          <w:p w14:paraId="167DF982">
            <w:pPr>
              <w:keepNext/>
              <w:keepLines/>
              <w:adjustRightInd/>
              <w:spacing w:line="400" w:lineRule="exact"/>
              <w:ind w:firstLine="0" w:firstLineChars="0"/>
              <w:jc w:val="center"/>
              <w:rPr>
                <w:sz w:val="24"/>
                <w:szCs w:val="24"/>
              </w:rPr>
            </w:pPr>
            <w:r>
              <w:rPr>
                <w:sz w:val="24"/>
                <w:szCs w:val="24"/>
              </w:rPr>
              <w:t>采矿</w:t>
            </w:r>
          </w:p>
        </w:tc>
        <w:tc>
          <w:tcPr>
            <w:tcW w:w="2434" w:type="dxa"/>
            <w:tcBorders>
              <w:top w:val="single" w:color="auto" w:sz="4" w:space="0"/>
              <w:left w:val="single" w:color="auto" w:sz="4" w:space="0"/>
              <w:bottom w:val="single" w:color="auto" w:sz="4" w:space="0"/>
              <w:right w:val="single" w:color="auto" w:sz="4" w:space="0"/>
            </w:tcBorders>
            <w:vAlign w:val="center"/>
          </w:tcPr>
          <w:p w14:paraId="79D9B5C2">
            <w:pPr>
              <w:keepNext/>
              <w:keepLines/>
              <w:adjustRightInd/>
              <w:spacing w:line="400" w:lineRule="exact"/>
              <w:ind w:firstLine="0" w:firstLineChars="0"/>
              <w:jc w:val="center"/>
              <w:rPr>
                <w:sz w:val="24"/>
                <w:szCs w:val="24"/>
                <w:lang w:val="zh-CN"/>
              </w:rPr>
            </w:pPr>
            <w:r>
              <w:rPr>
                <w:sz w:val="24"/>
                <w:szCs w:val="24"/>
              </w:rPr>
              <w:t>S011053000110203001658</w:t>
            </w:r>
          </w:p>
        </w:tc>
        <w:tc>
          <w:tcPr>
            <w:tcW w:w="1746" w:type="dxa"/>
            <w:tcBorders>
              <w:top w:val="single" w:color="auto" w:sz="4" w:space="0"/>
              <w:left w:val="single" w:color="auto" w:sz="4" w:space="0"/>
              <w:bottom w:val="single" w:color="auto" w:sz="4" w:space="0"/>
              <w:right w:val="single" w:color="auto" w:sz="4" w:space="0"/>
            </w:tcBorders>
            <w:vAlign w:val="center"/>
          </w:tcPr>
          <w:p w14:paraId="301EC2E5">
            <w:pPr>
              <w:keepNext/>
              <w:keepLines/>
              <w:adjustRightInd/>
              <w:spacing w:line="400" w:lineRule="exact"/>
              <w:ind w:firstLine="0" w:firstLineChars="0"/>
              <w:jc w:val="center"/>
              <w:rPr>
                <w:sz w:val="24"/>
                <w:szCs w:val="24"/>
                <w:lang w:val="zh-CN"/>
              </w:rPr>
            </w:pPr>
            <w:r>
              <w:rPr>
                <w:sz w:val="24"/>
                <w:szCs w:val="24"/>
              </w:rPr>
              <w:t>042539</w:t>
            </w:r>
          </w:p>
        </w:tc>
        <w:tc>
          <w:tcPr>
            <w:tcW w:w="1594" w:type="dxa"/>
            <w:tcBorders>
              <w:top w:val="single" w:color="auto" w:sz="4" w:space="0"/>
              <w:left w:val="single" w:color="auto" w:sz="4" w:space="0"/>
              <w:bottom w:val="single" w:color="auto" w:sz="4" w:space="0"/>
              <w:right w:val="single" w:color="auto" w:sz="4" w:space="0"/>
            </w:tcBorders>
            <w:vAlign w:val="center"/>
          </w:tcPr>
          <w:p w14:paraId="2727A8EE">
            <w:pPr>
              <w:keepNext/>
              <w:keepLines/>
              <w:adjustRightInd/>
              <w:ind w:firstLine="0" w:firstLineChars="0"/>
              <w:jc w:val="center"/>
              <w:rPr>
                <w:sz w:val="24"/>
                <w:szCs w:val="24"/>
              </w:rPr>
            </w:pPr>
          </w:p>
        </w:tc>
      </w:tr>
      <w:tr w14:paraId="4BDEF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540" w:type="dxa"/>
            <w:vMerge w:val="continue"/>
            <w:tcBorders>
              <w:left w:val="single" w:color="auto" w:sz="4" w:space="0"/>
              <w:right w:val="single" w:color="auto" w:sz="4" w:space="0"/>
            </w:tcBorders>
            <w:vAlign w:val="center"/>
          </w:tcPr>
          <w:p w14:paraId="08118A79">
            <w:pPr>
              <w:adjustRightInd/>
              <w:spacing w:line="400" w:lineRule="exact"/>
              <w:ind w:firstLine="0" w:firstLineChars="0"/>
              <w:jc w:val="center"/>
              <w:rPr>
                <w:sz w:val="24"/>
                <w:szCs w:val="24"/>
              </w:rPr>
            </w:pPr>
          </w:p>
        </w:tc>
        <w:tc>
          <w:tcPr>
            <w:tcW w:w="1140" w:type="dxa"/>
            <w:tcBorders>
              <w:top w:val="single" w:color="auto" w:sz="4" w:space="0"/>
              <w:left w:val="single" w:color="auto" w:sz="4" w:space="0"/>
              <w:bottom w:val="single" w:color="auto" w:sz="4" w:space="0"/>
              <w:right w:val="single" w:color="auto" w:sz="4" w:space="0"/>
            </w:tcBorders>
            <w:vAlign w:val="center"/>
          </w:tcPr>
          <w:p w14:paraId="23F9FF4D">
            <w:pPr>
              <w:keepNext/>
              <w:keepLines/>
              <w:adjustRightInd/>
              <w:spacing w:line="400" w:lineRule="exact"/>
              <w:ind w:firstLine="0" w:firstLineChars="0"/>
              <w:jc w:val="center"/>
              <w:rPr>
                <w:sz w:val="24"/>
                <w:szCs w:val="24"/>
              </w:rPr>
            </w:pPr>
            <w:r>
              <w:rPr>
                <w:sz w:val="24"/>
                <w:szCs w:val="24"/>
              </w:rPr>
              <w:t>杨  伍</w:t>
            </w:r>
          </w:p>
        </w:tc>
        <w:tc>
          <w:tcPr>
            <w:tcW w:w="1387" w:type="dxa"/>
            <w:tcBorders>
              <w:top w:val="single" w:color="auto" w:sz="4" w:space="0"/>
              <w:left w:val="single" w:color="auto" w:sz="4" w:space="0"/>
              <w:bottom w:val="single" w:color="auto" w:sz="4" w:space="0"/>
              <w:right w:val="single" w:color="auto" w:sz="4" w:space="0"/>
            </w:tcBorders>
            <w:vAlign w:val="center"/>
          </w:tcPr>
          <w:p w14:paraId="48C4016B">
            <w:pPr>
              <w:keepNext/>
              <w:keepLines/>
              <w:adjustRightInd/>
              <w:spacing w:line="400" w:lineRule="exact"/>
              <w:ind w:firstLine="0" w:firstLineChars="0"/>
              <w:jc w:val="center"/>
              <w:rPr>
                <w:sz w:val="24"/>
                <w:szCs w:val="24"/>
              </w:rPr>
            </w:pPr>
            <w:r>
              <w:rPr>
                <w:sz w:val="24"/>
                <w:szCs w:val="24"/>
              </w:rPr>
              <w:t>水工结构</w:t>
            </w:r>
          </w:p>
        </w:tc>
        <w:tc>
          <w:tcPr>
            <w:tcW w:w="2434" w:type="dxa"/>
            <w:tcBorders>
              <w:top w:val="single" w:color="auto" w:sz="4" w:space="0"/>
              <w:left w:val="single" w:color="auto" w:sz="4" w:space="0"/>
              <w:bottom w:val="single" w:color="auto" w:sz="4" w:space="0"/>
              <w:right w:val="single" w:color="auto" w:sz="4" w:space="0"/>
            </w:tcBorders>
            <w:vAlign w:val="center"/>
          </w:tcPr>
          <w:p w14:paraId="2277348C">
            <w:pPr>
              <w:keepNext/>
              <w:keepLines/>
              <w:adjustRightInd/>
              <w:spacing w:line="400" w:lineRule="exact"/>
              <w:ind w:firstLine="0" w:firstLineChars="0"/>
              <w:jc w:val="center"/>
              <w:rPr>
                <w:sz w:val="24"/>
                <w:szCs w:val="24"/>
              </w:rPr>
            </w:pPr>
            <w:r>
              <w:fldChar w:fldCharType="begin"/>
            </w:r>
            <w:r>
              <w:instrText xml:space="preserve"> HYPERLINK "http://cydj.5anquan.com/Admin/AprySearch/path=/Files/Image/ApryImg/Profession/Edit9607/" \o "http://cydj.5anquan.com/Admin/AprySearch/path=/Files/Image/ApryImg/Profession/Edit9607/" </w:instrText>
            </w:r>
            <w:r>
              <w:fldChar w:fldCharType="separate"/>
            </w:r>
            <w:r>
              <w:rPr>
                <w:sz w:val="24"/>
                <w:szCs w:val="24"/>
              </w:rPr>
              <w:t>1100000000302455</w:t>
            </w:r>
            <w:r>
              <w:rPr>
                <w:sz w:val="24"/>
                <w:szCs w:val="24"/>
              </w:rPr>
              <w:fldChar w:fldCharType="end"/>
            </w:r>
          </w:p>
        </w:tc>
        <w:tc>
          <w:tcPr>
            <w:tcW w:w="1746" w:type="dxa"/>
            <w:tcBorders>
              <w:top w:val="single" w:color="auto" w:sz="4" w:space="0"/>
              <w:left w:val="single" w:color="auto" w:sz="4" w:space="0"/>
              <w:bottom w:val="single" w:color="auto" w:sz="4" w:space="0"/>
              <w:right w:val="single" w:color="auto" w:sz="4" w:space="0"/>
            </w:tcBorders>
            <w:vAlign w:val="center"/>
          </w:tcPr>
          <w:p w14:paraId="5227AE0F">
            <w:pPr>
              <w:keepNext/>
              <w:keepLines/>
              <w:adjustRightInd/>
              <w:spacing w:line="400" w:lineRule="exact"/>
              <w:ind w:firstLine="0" w:firstLineChars="0"/>
              <w:jc w:val="center"/>
              <w:rPr>
                <w:sz w:val="24"/>
                <w:szCs w:val="24"/>
              </w:rPr>
            </w:pPr>
            <w:r>
              <w:rPr>
                <w:sz w:val="24"/>
                <w:szCs w:val="24"/>
              </w:rPr>
              <w:t>020433</w:t>
            </w:r>
          </w:p>
        </w:tc>
        <w:tc>
          <w:tcPr>
            <w:tcW w:w="1594" w:type="dxa"/>
            <w:tcBorders>
              <w:top w:val="single" w:color="auto" w:sz="4" w:space="0"/>
              <w:left w:val="single" w:color="auto" w:sz="4" w:space="0"/>
              <w:bottom w:val="single" w:color="auto" w:sz="4" w:space="0"/>
              <w:right w:val="single" w:color="auto" w:sz="4" w:space="0"/>
            </w:tcBorders>
            <w:vAlign w:val="center"/>
          </w:tcPr>
          <w:p w14:paraId="574D4F10">
            <w:pPr>
              <w:keepNext/>
              <w:keepLines/>
              <w:adjustRightInd/>
              <w:ind w:firstLine="0" w:firstLineChars="0"/>
              <w:jc w:val="center"/>
              <w:rPr>
                <w:sz w:val="24"/>
                <w:szCs w:val="24"/>
              </w:rPr>
            </w:pPr>
          </w:p>
        </w:tc>
      </w:tr>
      <w:tr w14:paraId="3C79C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540" w:type="dxa"/>
            <w:vMerge w:val="continue"/>
            <w:tcBorders>
              <w:left w:val="single" w:color="auto" w:sz="4" w:space="0"/>
              <w:right w:val="single" w:color="auto" w:sz="4" w:space="0"/>
            </w:tcBorders>
            <w:vAlign w:val="center"/>
          </w:tcPr>
          <w:p w14:paraId="4474324E">
            <w:pPr>
              <w:adjustRightInd/>
              <w:spacing w:line="400" w:lineRule="exact"/>
              <w:ind w:firstLine="0" w:firstLineChars="0"/>
              <w:jc w:val="center"/>
              <w:rPr>
                <w:sz w:val="24"/>
                <w:szCs w:val="24"/>
              </w:rPr>
            </w:pPr>
          </w:p>
        </w:tc>
        <w:tc>
          <w:tcPr>
            <w:tcW w:w="1140" w:type="dxa"/>
            <w:tcBorders>
              <w:top w:val="single" w:color="auto" w:sz="4" w:space="0"/>
              <w:left w:val="single" w:color="auto" w:sz="4" w:space="0"/>
              <w:bottom w:val="single" w:color="auto" w:sz="4" w:space="0"/>
              <w:right w:val="single" w:color="auto" w:sz="4" w:space="0"/>
            </w:tcBorders>
            <w:vAlign w:val="center"/>
          </w:tcPr>
          <w:p w14:paraId="38BAA770">
            <w:pPr>
              <w:keepNext/>
              <w:keepLines/>
              <w:adjustRightInd/>
              <w:spacing w:line="400" w:lineRule="exact"/>
              <w:ind w:firstLine="0" w:firstLineChars="0"/>
              <w:jc w:val="center"/>
              <w:rPr>
                <w:sz w:val="24"/>
                <w:szCs w:val="24"/>
              </w:rPr>
            </w:pPr>
            <w:r>
              <w:rPr>
                <w:sz w:val="24"/>
                <w:szCs w:val="24"/>
              </w:rPr>
              <w:t>王英楠</w:t>
            </w:r>
          </w:p>
        </w:tc>
        <w:tc>
          <w:tcPr>
            <w:tcW w:w="1387" w:type="dxa"/>
            <w:tcBorders>
              <w:top w:val="single" w:color="auto" w:sz="4" w:space="0"/>
              <w:left w:val="single" w:color="auto" w:sz="4" w:space="0"/>
              <w:bottom w:val="single" w:color="auto" w:sz="4" w:space="0"/>
              <w:right w:val="single" w:color="auto" w:sz="4" w:space="0"/>
            </w:tcBorders>
            <w:vAlign w:val="center"/>
          </w:tcPr>
          <w:p w14:paraId="6BB64A01">
            <w:pPr>
              <w:keepNext/>
              <w:keepLines/>
              <w:adjustRightInd/>
              <w:spacing w:line="400" w:lineRule="exact"/>
              <w:ind w:firstLine="0" w:firstLineChars="0"/>
              <w:jc w:val="center"/>
              <w:rPr>
                <w:sz w:val="24"/>
                <w:szCs w:val="24"/>
              </w:rPr>
            </w:pPr>
            <w:r>
              <w:rPr>
                <w:sz w:val="24"/>
                <w:szCs w:val="24"/>
              </w:rPr>
              <w:t>地质</w:t>
            </w:r>
          </w:p>
        </w:tc>
        <w:tc>
          <w:tcPr>
            <w:tcW w:w="2434" w:type="dxa"/>
            <w:tcBorders>
              <w:top w:val="single" w:color="auto" w:sz="4" w:space="0"/>
              <w:left w:val="single" w:color="auto" w:sz="4" w:space="0"/>
              <w:bottom w:val="single" w:color="auto" w:sz="4" w:space="0"/>
              <w:right w:val="single" w:color="auto" w:sz="4" w:space="0"/>
            </w:tcBorders>
            <w:vAlign w:val="center"/>
          </w:tcPr>
          <w:p w14:paraId="4B41EBCB">
            <w:pPr>
              <w:keepNext/>
              <w:keepLines/>
              <w:adjustRightInd/>
              <w:spacing w:line="400" w:lineRule="exact"/>
              <w:ind w:firstLine="0" w:firstLineChars="0"/>
              <w:jc w:val="center"/>
              <w:rPr>
                <w:sz w:val="24"/>
                <w:szCs w:val="24"/>
              </w:rPr>
            </w:pPr>
            <w:r>
              <w:rPr>
                <w:sz w:val="24"/>
                <w:szCs w:val="24"/>
              </w:rPr>
              <w:t>1100000000302557</w:t>
            </w:r>
          </w:p>
        </w:tc>
        <w:tc>
          <w:tcPr>
            <w:tcW w:w="1746" w:type="dxa"/>
            <w:tcBorders>
              <w:top w:val="single" w:color="auto" w:sz="4" w:space="0"/>
              <w:left w:val="single" w:color="auto" w:sz="4" w:space="0"/>
              <w:bottom w:val="single" w:color="auto" w:sz="4" w:space="0"/>
              <w:right w:val="single" w:color="auto" w:sz="4" w:space="0"/>
            </w:tcBorders>
            <w:vAlign w:val="center"/>
          </w:tcPr>
          <w:p w14:paraId="3AFFA616">
            <w:pPr>
              <w:keepNext/>
              <w:keepLines/>
              <w:adjustRightInd/>
              <w:spacing w:line="400" w:lineRule="exact"/>
              <w:ind w:firstLine="0" w:firstLineChars="0"/>
              <w:jc w:val="center"/>
              <w:rPr>
                <w:sz w:val="24"/>
                <w:szCs w:val="24"/>
              </w:rPr>
            </w:pPr>
            <w:r>
              <w:rPr>
                <w:sz w:val="24"/>
                <w:szCs w:val="24"/>
              </w:rPr>
              <w:t>020437</w:t>
            </w:r>
          </w:p>
        </w:tc>
        <w:tc>
          <w:tcPr>
            <w:tcW w:w="1594" w:type="dxa"/>
            <w:tcBorders>
              <w:top w:val="single" w:color="auto" w:sz="4" w:space="0"/>
              <w:left w:val="single" w:color="auto" w:sz="4" w:space="0"/>
              <w:bottom w:val="single" w:color="auto" w:sz="4" w:space="0"/>
              <w:right w:val="single" w:color="auto" w:sz="4" w:space="0"/>
            </w:tcBorders>
            <w:vAlign w:val="center"/>
          </w:tcPr>
          <w:p w14:paraId="7C935D93">
            <w:pPr>
              <w:keepNext/>
              <w:keepLines/>
              <w:adjustRightInd/>
              <w:ind w:firstLine="0" w:firstLineChars="0"/>
              <w:jc w:val="center"/>
              <w:rPr>
                <w:sz w:val="24"/>
                <w:szCs w:val="24"/>
              </w:rPr>
            </w:pPr>
          </w:p>
        </w:tc>
      </w:tr>
      <w:tr w14:paraId="77DD7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540" w:type="dxa"/>
            <w:vMerge w:val="continue"/>
            <w:tcBorders>
              <w:left w:val="single" w:color="auto" w:sz="4" w:space="0"/>
              <w:right w:val="single" w:color="auto" w:sz="4" w:space="0"/>
            </w:tcBorders>
            <w:vAlign w:val="center"/>
          </w:tcPr>
          <w:p w14:paraId="2758E6A9">
            <w:pPr>
              <w:adjustRightInd/>
              <w:spacing w:line="400" w:lineRule="exact"/>
              <w:ind w:firstLine="0" w:firstLineChars="0"/>
              <w:jc w:val="center"/>
              <w:rPr>
                <w:sz w:val="24"/>
                <w:szCs w:val="24"/>
              </w:rPr>
            </w:pPr>
          </w:p>
        </w:tc>
        <w:tc>
          <w:tcPr>
            <w:tcW w:w="1140" w:type="dxa"/>
            <w:tcBorders>
              <w:top w:val="single" w:color="auto" w:sz="4" w:space="0"/>
              <w:left w:val="single" w:color="auto" w:sz="4" w:space="0"/>
              <w:bottom w:val="single" w:color="auto" w:sz="4" w:space="0"/>
              <w:right w:val="single" w:color="auto" w:sz="4" w:space="0"/>
            </w:tcBorders>
            <w:vAlign w:val="center"/>
          </w:tcPr>
          <w:p w14:paraId="1895BA69">
            <w:pPr>
              <w:keepNext/>
              <w:keepLines/>
              <w:adjustRightInd/>
              <w:spacing w:line="400" w:lineRule="exact"/>
              <w:ind w:firstLine="0" w:firstLineChars="0"/>
              <w:jc w:val="center"/>
              <w:rPr>
                <w:sz w:val="24"/>
                <w:szCs w:val="24"/>
                <w:lang w:val="zh-CN"/>
              </w:rPr>
            </w:pPr>
            <w:r>
              <w:rPr>
                <w:sz w:val="24"/>
                <w:szCs w:val="24"/>
              </w:rPr>
              <w:t>于贺苓</w:t>
            </w:r>
          </w:p>
        </w:tc>
        <w:tc>
          <w:tcPr>
            <w:tcW w:w="1387" w:type="dxa"/>
            <w:tcBorders>
              <w:top w:val="single" w:color="auto" w:sz="4" w:space="0"/>
              <w:left w:val="single" w:color="auto" w:sz="4" w:space="0"/>
              <w:bottom w:val="single" w:color="auto" w:sz="4" w:space="0"/>
              <w:right w:val="single" w:color="auto" w:sz="4" w:space="0"/>
            </w:tcBorders>
            <w:vAlign w:val="center"/>
          </w:tcPr>
          <w:p w14:paraId="431D1FE4">
            <w:pPr>
              <w:keepNext/>
              <w:keepLines/>
              <w:adjustRightInd/>
              <w:spacing w:line="400" w:lineRule="exact"/>
              <w:ind w:firstLine="0" w:firstLineChars="0"/>
              <w:jc w:val="center"/>
              <w:rPr>
                <w:sz w:val="24"/>
                <w:szCs w:val="24"/>
              </w:rPr>
            </w:pPr>
            <w:r>
              <w:rPr>
                <w:sz w:val="24"/>
                <w:szCs w:val="24"/>
              </w:rPr>
              <w:t>机械</w:t>
            </w:r>
          </w:p>
        </w:tc>
        <w:tc>
          <w:tcPr>
            <w:tcW w:w="2434" w:type="dxa"/>
            <w:tcBorders>
              <w:top w:val="single" w:color="auto" w:sz="4" w:space="0"/>
              <w:left w:val="single" w:color="auto" w:sz="4" w:space="0"/>
              <w:bottom w:val="single" w:color="auto" w:sz="4" w:space="0"/>
              <w:right w:val="single" w:color="auto" w:sz="4" w:space="0"/>
            </w:tcBorders>
            <w:vAlign w:val="center"/>
          </w:tcPr>
          <w:p w14:paraId="4F5D4E2F">
            <w:pPr>
              <w:spacing w:line="400" w:lineRule="exact"/>
              <w:ind w:firstLine="0" w:firstLineChars="0"/>
              <w:jc w:val="center"/>
              <w:rPr>
                <w:sz w:val="24"/>
                <w:szCs w:val="24"/>
                <w:lang w:val="zh-CN"/>
              </w:rPr>
            </w:pPr>
            <w:r>
              <w:rPr>
                <w:sz w:val="24"/>
              </w:rPr>
              <w:t>1500000000302540</w:t>
            </w:r>
          </w:p>
        </w:tc>
        <w:tc>
          <w:tcPr>
            <w:tcW w:w="1746" w:type="dxa"/>
            <w:tcBorders>
              <w:top w:val="single" w:color="auto" w:sz="4" w:space="0"/>
              <w:left w:val="single" w:color="auto" w:sz="4" w:space="0"/>
              <w:bottom w:val="single" w:color="auto" w:sz="4" w:space="0"/>
              <w:right w:val="single" w:color="auto" w:sz="4" w:space="0"/>
            </w:tcBorders>
            <w:vAlign w:val="center"/>
          </w:tcPr>
          <w:p w14:paraId="498D518B">
            <w:pPr>
              <w:keepNext/>
              <w:keepLines/>
              <w:adjustRightInd/>
              <w:spacing w:line="400" w:lineRule="exact"/>
              <w:ind w:firstLine="0" w:firstLineChars="0"/>
              <w:jc w:val="center"/>
              <w:rPr>
                <w:sz w:val="24"/>
                <w:szCs w:val="24"/>
                <w:lang w:val="zh-CN"/>
              </w:rPr>
            </w:pPr>
            <w:r>
              <w:rPr>
                <w:sz w:val="24"/>
                <w:szCs w:val="24"/>
              </w:rPr>
              <w:t>026191</w:t>
            </w:r>
          </w:p>
        </w:tc>
        <w:tc>
          <w:tcPr>
            <w:tcW w:w="1594" w:type="dxa"/>
            <w:tcBorders>
              <w:top w:val="single" w:color="auto" w:sz="4" w:space="0"/>
              <w:left w:val="single" w:color="auto" w:sz="4" w:space="0"/>
              <w:bottom w:val="single" w:color="auto" w:sz="4" w:space="0"/>
              <w:right w:val="single" w:color="auto" w:sz="4" w:space="0"/>
            </w:tcBorders>
            <w:vAlign w:val="center"/>
          </w:tcPr>
          <w:p w14:paraId="4D7E0D9F">
            <w:pPr>
              <w:keepNext/>
              <w:keepLines/>
              <w:adjustRightInd/>
              <w:ind w:firstLine="0" w:firstLineChars="0"/>
              <w:jc w:val="center"/>
              <w:rPr>
                <w:sz w:val="24"/>
                <w:szCs w:val="24"/>
              </w:rPr>
            </w:pPr>
          </w:p>
        </w:tc>
      </w:tr>
      <w:tr w14:paraId="22B4C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540" w:type="dxa"/>
            <w:vMerge w:val="restart"/>
            <w:tcBorders>
              <w:top w:val="single" w:color="auto" w:sz="4" w:space="0"/>
              <w:left w:val="single" w:color="auto" w:sz="4" w:space="0"/>
              <w:right w:val="single" w:color="auto" w:sz="4" w:space="0"/>
            </w:tcBorders>
            <w:vAlign w:val="center"/>
          </w:tcPr>
          <w:p w14:paraId="06DACF69">
            <w:pPr>
              <w:adjustRightInd/>
              <w:spacing w:line="400" w:lineRule="exact"/>
              <w:ind w:firstLine="0" w:firstLineChars="0"/>
              <w:jc w:val="center"/>
              <w:rPr>
                <w:sz w:val="24"/>
                <w:szCs w:val="24"/>
              </w:rPr>
            </w:pPr>
            <w:r>
              <w:rPr>
                <w:sz w:val="24"/>
                <w:szCs w:val="24"/>
              </w:rPr>
              <w:t>报告编制人</w:t>
            </w:r>
          </w:p>
        </w:tc>
        <w:tc>
          <w:tcPr>
            <w:tcW w:w="1140" w:type="dxa"/>
            <w:tcBorders>
              <w:top w:val="single" w:color="auto" w:sz="4" w:space="0"/>
              <w:left w:val="single" w:color="auto" w:sz="4" w:space="0"/>
              <w:bottom w:val="single" w:color="auto" w:sz="4" w:space="0"/>
              <w:right w:val="single" w:color="auto" w:sz="4" w:space="0"/>
            </w:tcBorders>
            <w:vAlign w:val="center"/>
          </w:tcPr>
          <w:p w14:paraId="13539F54">
            <w:pPr>
              <w:keepNext/>
              <w:keepLines/>
              <w:adjustRightInd/>
              <w:spacing w:line="400" w:lineRule="exact"/>
              <w:ind w:firstLine="0" w:firstLineChars="0"/>
              <w:jc w:val="center"/>
              <w:rPr>
                <w:sz w:val="24"/>
                <w:szCs w:val="24"/>
              </w:rPr>
            </w:pPr>
            <w:r>
              <w:rPr>
                <w:sz w:val="24"/>
                <w:szCs w:val="24"/>
              </w:rPr>
              <w:t>杨会明</w:t>
            </w:r>
          </w:p>
        </w:tc>
        <w:tc>
          <w:tcPr>
            <w:tcW w:w="1387" w:type="dxa"/>
            <w:tcBorders>
              <w:top w:val="single" w:color="auto" w:sz="4" w:space="0"/>
              <w:left w:val="single" w:color="auto" w:sz="4" w:space="0"/>
              <w:bottom w:val="single" w:color="auto" w:sz="4" w:space="0"/>
              <w:right w:val="single" w:color="auto" w:sz="4" w:space="0"/>
            </w:tcBorders>
            <w:vAlign w:val="center"/>
          </w:tcPr>
          <w:p w14:paraId="0A140521">
            <w:pPr>
              <w:keepNext/>
              <w:keepLines/>
              <w:adjustRightInd/>
              <w:spacing w:line="400" w:lineRule="exact"/>
              <w:ind w:firstLine="0" w:firstLineChars="0"/>
              <w:jc w:val="center"/>
              <w:rPr>
                <w:sz w:val="24"/>
                <w:szCs w:val="24"/>
              </w:rPr>
            </w:pPr>
            <w:r>
              <w:rPr>
                <w:sz w:val="24"/>
                <w:szCs w:val="24"/>
              </w:rPr>
              <w:t>通风</w:t>
            </w:r>
          </w:p>
        </w:tc>
        <w:tc>
          <w:tcPr>
            <w:tcW w:w="2434" w:type="dxa"/>
            <w:tcBorders>
              <w:top w:val="single" w:color="auto" w:sz="4" w:space="0"/>
              <w:left w:val="single" w:color="auto" w:sz="4" w:space="0"/>
              <w:bottom w:val="single" w:color="auto" w:sz="4" w:space="0"/>
              <w:right w:val="single" w:color="auto" w:sz="4" w:space="0"/>
            </w:tcBorders>
            <w:vAlign w:val="center"/>
          </w:tcPr>
          <w:p w14:paraId="3D156B86">
            <w:pPr>
              <w:keepNext/>
              <w:keepLines/>
              <w:adjustRightInd/>
              <w:spacing w:line="400" w:lineRule="exact"/>
              <w:ind w:firstLine="0" w:firstLineChars="0"/>
              <w:jc w:val="center"/>
              <w:rPr>
                <w:sz w:val="24"/>
                <w:szCs w:val="24"/>
                <w:lang w:val="zh-CN"/>
              </w:rPr>
            </w:pPr>
            <w:r>
              <w:fldChar w:fldCharType="begin"/>
            </w:r>
            <w:r>
              <w:instrText xml:space="preserve"> HYPERLINK "http://cydj.5anquan.com/Admin/AprySearch/path=/Files/Image/ApryImg/Profession/Edit4239/" \o "http://cydj.5anquan.com/Admin/AprySearch/path=/Files/Image/ApryImg/Profession/Edit4239/" </w:instrText>
            </w:r>
            <w:r>
              <w:fldChar w:fldCharType="separate"/>
            </w:r>
            <w:r>
              <w:rPr>
                <w:sz w:val="24"/>
                <w:szCs w:val="24"/>
              </w:rPr>
              <w:t>S011053000110192003194</w:t>
            </w:r>
            <w:r>
              <w:rPr>
                <w:sz w:val="24"/>
                <w:szCs w:val="24"/>
              </w:rPr>
              <w:fldChar w:fldCharType="end"/>
            </w:r>
          </w:p>
        </w:tc>
        <w:tc>
          <w:tcPr>
            <w:tcW w:w="1746" w:type="dxa"/>
            <w:tcBorders>
              <w:top w:val="single" w:color="auto" w:sz="4" w:space="0"/>
              <w:left w:val="single" w:color="auto" w:sz="4" w:space="0"/>
              <w:bottom w:val="single" w:color="auto" w:sz="4" w:space="0"/>
              <w:right w:val="single" w:color="auto" w:sz="4" w:space="0"/>
            </w:tcBorders>
            <w:vAlign w:val="center"/>
          </w:tcPr>
          <w:p w14:paraId="79CAD7C8">
            <w:pPr>
              <w:keepNext/>
              <w:keepLines/>
              <w:adjustRightInd/>
              <w:spacing w:line="400" w:lineRule="exact"/>
              <w:ind w:firstLine="0" w:firstLineChars="0"/>
              <w:jc w:val="center"/>
              <w:rPr>
                <w:sz w:val="24"/>
                <w:szCs w:val="24"/>
                <w:lang w:val="zh-CN"/>
              </w:rPr>
            </w:pPr>
            <w:r>
              <w:rPr>
                <w:sz w:val="24"/>
                <w:szCs w:val="24"/>
              </w:rPr>
              <w:t>024910</w:t>
            </w:r>
          </w:p>
        </w:tc>
        <w:tc>
          <w:tcPr>
            <w:tcW w:w="1594" w:type="dxa"/>
            <w:tcBorders>
              <w:top w:val="single" w:color="auto" w:sz="4" w:space="0"/>
              <w:left w:val="single" w:color="auto" w:sz="4" w:space="0"/>
              <w:bottom w:val="single" w:color="auto" w:sz="4" w:space="0"/>
              <w:right w:val="single" w:color="auto" w:sz="4" w:space="0"/>
            </w:tcBorders>
            <w:vAlign w:val="center"/>
          </w:tcPr>
          <w:p w14:paraId="75C50745">
            <w:pPr>
              <w:keepNext/>
              <w:keepLines/>
              <w:adjustRightInd/>
              <w:ind w:firstLine="0" w:firstLineChars="0"/>
              <w:jc w:val="center"/>
              <w:rPr>
                <w:sz w:val="24"/>
                <w:szCs w:val="24"/>
              </w:rPr>
            </w:pPr>
          </w:p>
        </w:tc>
      </w:tr>
      <w:tr w14:paraId="1C679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540" w:type="dxa"/>
            <w:vMerge w:val="continue"/>
            <w:tcBorders>
              <w:left w:val="single" w:color="auto" w:sz="4" w:space="0"/>
              <w:bottom w:val="single" w:color="auto" w:sz="4" w:space="0"/>
              <w:right w:val="single" w:color="auto" w:sz="4" w:space="0"/>
            </w:tcBorders>
            <w:vAlign w:val="center"/>
          </w:tcPr>
          <w:p w14:paraId="0C2BF2ED">
            <w:pPr>
              <w:adjustRightInd/>
              <w:spacing w:line="400" w:lineRule="exact"/>
              <w:ind w:firstLine="0" w:firstLineChars="0"/>
              <w:jc w:val="center"/>
              <w:rPr>
                <w:sz w:val="24"/>
                <w:szCs w:val="24"/>
              </w:rPr>
            </w:pPr>
          </w:p>
        </w:tc>
        <w:tc>
          <w:tcPr>
            <w:tcW w:w="1140" w:type="dxa"/>
            <w:tcBorders>
              <w:top w:val="single" w:color="auto" w:sz="4" w:space="0"/>
              <w:left w:val="single" w:color="auto" w:sz="4" w:space="0"/>
              <w:bottom w:val="single" w:color="auto" w:sz="4" w:space="0"/>
              <w:right w:val="single" w:color="auto" w:sz="4" w:space="0"/>
            </w:tcBorders>
            <w:vAlign w:val="center"/>
          </w:tcPr>
          <w:p w14:paraId="0D132699">
            <w:pPr>
              <w:keepNext/>
              <w:keepLines/>
              <w:adjustRightInd/>
              <w:spacing w:line="400" w:lineRule="exact"/>
              <w:ind w:firstLine="0" w:firstLineChars="0"/>
              <w:jc w:val="center"/>
              <w:rPr>
                <w:sz w:val="24"/>
                <w:szCs w:val="24"/>
              </w:rPr>
            </w:pPr>
            <w:r>
              <w:rPr>
                <w:sz w:val="24"/>
                <w:szCs w:val="24"/>
              </w:rPr>
              <w:t>安东亮</w:t>
            </w:r>
          </w:p>
        </w:tc>
        <w:tc>
          <w:tcPr>
            <w:tcW w:w="1387" w:type="dxa"/>
            <w:tcBorders>
              <w:top w:val="single" w:color="auto" w:sz="4" w:space="0"/>
              <w:left w:val="single" w:color="auto" w:sz="4" w:space="0"/>
              <w:bottom w:val="single" w:color="auto" w:sz="4" w:space="0"/>
              <w:right w:val="single" w:color="auto" w:sz="4" w:space="0"/>
            </w:tcBorders>
            <w:vAlign w:val="center"/>
          </w:tcPr>
          <w:p w14:paraId="32BC6D69">
            <w:pPr>
              <w:keepNext/>
              <w:keepLines/>
              <w:adjustRightInd/>
              <w:spacing w:line="400" w:lineRule="exact"/>
              <w:ind w:firstLine="0" w:firstLineChars="0"/>
              <w:jc w:val="center"/>
              <w:rPr>
                <w:sz w:val="24"/>
                <w:szCs w:val="24"/>
              </w:rPr>
            </w:pPr>
            <w:r>
              <w:rPr>
                <w:sz w:val="24"/>
                <w:szCs w:val="24"/>
              </w:rPr>
              <w:t>采矿</w:t>
            </w:r>
          </w:p>
        </w:tc>
        <w:tc>
          <w:tcPr>
            <w:tcW w:w="2434" w:type="dxa"/>
            <w:tcBorders>
              <w:top w:val="single" w:color="auto" w:sz="4" w:space="0"/>
              <w:left w:val="single" w:color="auto" w:sz="4" w:space="0"/>
              <w:bottom w:val="single" w:color="auto" w:sz="4" w:space="0"/>
              <w:right w:val="single" w:color="auto" w:sz="4" w:space="0"/>
            </w:tcBorders>
            <w:vAlign w:val="center"/>
          </w:tcPr>
          <w:p w14:paraId="01BE26F8">
            <w:pPr>
              <w:keepNext/>
              <w:keepLines/>
              <w:adjustRightInd/>
              <w:spacing w:line="400" w:lineRule="exact"/>
              <w:ind w:firstLine="0" w:firstLineChars="0"/>
              <w:jc w:val="center"/>
              <w:rPr>
                <w:sz w:val="24"/>
                <w:szCs w:val="24"/>
              </w:rPr>
            </w:pPr>
            <w:r>
              <w:rPr>
                <w:sz w:val="24"/>
                <w:szCs w:val="24"/>
              </w:rPr>
              <w:t>S011053000110203001658</w:t>
            </w:r>
          </w:p>
        </w:tc>
        <w:tc>
          <w:tcPr>
            <w:tcW w:w="1746" w:type="dxa"/>
            <w:tcBorders>
              <w:top w:val="single" w:color="auto" w:sz="4" w:space="0"/>
              <w:left w:val="single" w:color="auto" w:sz="4" w:space="0"/>
              <w:bottom w:val="single" w:color="auto" w:sz="4" w:space="0"/>
              <w:right w:val="single" w:color="auto" w:sz="4" w:space="0"/>
            </w:tcBorders>
            <w:vAlign w:val="center"/>
          </w:tcPr>
          <w:p w14:paraId="76E9B90E">
            <w:pPr>
              <w:keepNext/>
              <w:keepLines/>
              <w:adjustRightInd/>
              <w:spacing w:line="400" w:lineRule="exact"/>
              <w:ind w:firstLine="0" w:firstLineChars="0"/>
              <w:jc w:val="center"/>
              <w:rPr>
                <w:sz w:val="24"/>
                <w:szCs w:val="24"/>
              </w:rPr>
            </w:pPr>
            <w:r>
              <w:rPr>
                <w:sz w:val="24"/>
                <w:szCs w:val="24"/>
              </w:rPr>
              <w:t>042539</w:t>
            </w:r>
          </w:p>
        </w:tc>
        <w:tc>
          <w:tcPr>
            <w:tcW w:w="1594" w:type="dxa"/>
            <w:tcBorders>
              <w:top w:val="single" w:color="auto" w:sz="4" w:space="0"/>
              <w:left w:val="single" w:color="auto" w:sz="4" w:space="0"/>
              <w:bottom w:val="single" w:color="auto" w:sz="4" w:space="0"/>
              <w:right w:val="single" w:color="auto" w:sz="4" w:space="0"/>
            </w:tcBorders>
            <w:vAlign w:val="center"/>
          </w:tcPr>
          <w:p w14:paraId="7F6D3A6E">
            <w:pPr>
              <w:keepNext/>
              <w:keepLines/>
              <w:adjustRightInd/>
              <w:ind w:firstLine="0" w:firstLineChars="0"/>
              <w:jc w:val="center"/>
              <w:rPr>
                <w:sz w:val="24"/>
                <w:szCs w:val="24"/>
              </w:rPr>
            </w:pPr>
          </w:p>
        </w:tc>
      </w:tr>
      <w:tr w14:paraId="0EA4A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540" w:type="dxa"/>
            <w:tcBorders>
              <w:top w:val="single" w:color="auto" w:sz="4" w:space="0"/>
              <w:left w:val="single" w:color="auto" w:sz="4" w:space="0"/>
              <w:bottom w:val="single" w:color="auto" w:sz="4" w:space="0"/>
              <w:right w:val="single" w:color="auto" w:sz="4" w:space="0"/>
            </w:tcBorders>
            <w:vAlign w:val="center"/>
          </w:tcPr>
          <w:p w14:paraId="4D3B6231">
            <w:pPr>
              <w:adjustRightInd/>
              <w:spacing w:line="400" w:lineRule="exact"/>
              <w:ind w:firstLine="0" w:firstLineChars="0"/>
              <w:jc w:val="center"/>
              <w:rPr>
                <w:sz w:val="24"/>
                <w:szCs w:val="24"/>
              </w:rPr>
            </w:pPr>
            <w:r>
              <w:rPr>
                <w:sz w:val="24"/>
                <w:szCs w:val="24"/>
              </w:rPr>
              <w:t>报告审核人</w:t>
            </w:r>
          </w:p>
        </w:tc>
        <w:tc>
          <w:tcPr>
            <w:tcW w:w="1140" w:type="dxa"/>
            <w:tcBorders>
              <w:top w:val="single" w:color="auto" w:sz="4" w:space="0"/>
              <w:left w:val="single" w:color="auto" w:sz="4" w:space="0"/>
              <w:bottom w:val="single" w:color="auto" w:sz="4" w:space="0"/>
              <w:right w:val="single" w:color="auto" w:sz="4" w:space="0"/>
            </w:tcBorders>
            <w:vAlign w:val="center"/>
          </w:tcPr>
          <w:p w14:paraId="7A32D381">
            <w:pPr>
              <w:keepNext/>
              <w:keepLines/>
              <w:adjustRightInd/>
              <w:spacing w:line="400" w:lineRule="exact"/>
              <w:ind w:firstLine="0" w:firstLineChars="0"/>
              <w:jc w:val="center"/>
              <w:rPr>
                <w:sz w:val="24"/>
                <w:szCs w:val="24"/>
                <w:lang w:val="zh-CN"/>
              </w:rPr>
            </w:pPr>
            <w:r>
              <w:rPr>
                <w:sz w:val="24"/>
                <w:szCs w:val="24"/>
              </w:rPr>
              <w:t>李  超</w:t>
            </w:r>
          </w:p>
        </w:tc>
        <w:tc>
          <w:tcPr>
            <w:tcW w:w="1387" w:type="dxa"/>
            <w:tcBorders>
              <w:top w:val="single" w:color="auto" w:sz="4" w:space="0"/>
              <w:left w:val="single" w:color="auto" w:sz="4" w:space="0"/>
              <w:bottom w:val="single" w:color="auto" w:sz="4" w:space="0"/>
              <w:right w:val="single" w:color="auto" w:sz="4" w:space="0"/>
            </w:tcBorders>
            <w:vAlign w:val="center"/>
          </w:tcPr>
          <w:p w14:paraId="0AE8F6AD">
            <w:pPr>
              <w:keepNext/>
              <w:keepLines/>
              <w:adjustRightInd/>
              <w:spacing w:line="400" w:lineRule="exact"/>
              <w:ind w:firstLine="0" w:firstLineChars="0"/>
              <w:jc w:val="center"/>
              <w:rPr>
                <w:sz w:val="24"/>
                <w:szCs w:val="24"/>
              </w:rPr>
            </w:pPr>
            <w:r>
              <w:rPr>
                <w:sz w:val="24"/>
                <w:szCs w:val="24"/>
              </w:rPr>
              <w:t>安全</w:t>
            </w:r>
          </w:p>
        </w:tc>
        <w:tc>
          <w:tcPr>
            <w:tcW w:w="2434" w:type="dxa"/>
            <w:tcBorders>
              <w:top w:val="single" w:color="auto" w:sz="4" w:space="0"/>
              <w:left w:val="single" w:color="auto" w:sz="4" w:space="0"/>
              <w:bottom w:val="single" w:color="auto" w:sz="4" w:space="0"/>
              <w:right w:val="single" w:color="auto" w:sz="4" w:space="0"/>
            </w:tcBorders>
            <w:vAlign w:val="center"/>
          </w:tcPr>
          <w:p w14:paraId="264BF33C">
            <w:pPr>
              <w:keepNext/>
              <w:keepLines/>
              <w:adjustRightInd/>
              <w:spacing w:line="400" w:lineRule="exact"/>
              <w:ind w:firstLine="0" w:firstLineChars="0"/>
              <w:jc w:val="center"/>
              <w:rPr>
                <w:sz w:val="24"/>
                <w:szCs w:val="24"/>
                <w:lang w:val="zh-CN"/>
              </w:rPr>
            </w:pPr>
            <w:r>
              <w:rPr>
                <w:sz w:val="24"/>
                <w:szCs w:val="24"/>
              </w:rPr>
              <w:t>S011021000110202000521</w:t>
            </w:r>
          </w:p>
        </w:tc>
        <w:tc>
          <w:tcPr>
            <w:tcW w:w="1746" w:type="dxa"/>
            <w:tcBorders>
              <w:top w:val="single" w:color="auto" w:sz="4" w:space="0"/>
              <w:left w:val="single" w:color="auto" w:sz="4" w:space="0"/>
              <w:bottom w:val="single" w:color="auto" w:sz="4" w:space="0"/>
              <w:right w:val="single" w:color="auto" w:sz="4" w:space="0"/>
            </w:tcBorders>
            <w:vAlign w:val="center"/>
          </w:tcPr>
          <w:p w14:paraId="4ABF1AF7">
            <w:pPr>
              <w:keepNext/>
              <w:keepLines/>
              <w:adjustRightInd/>
              <w:spacing w:line="400" w:lineRule="exact"/>
              <w:ind w:firstLine="0" w:firstLineChars="0"/>
              <w:jc w:val="center"/>
              <w:rPr>
                <w:sz w:val="24"/>
                <w:szCs w:val="24"/>
                <w:lang w:val="zh-CN"/>
              </w:rPr>
            </w:pPr>
            <w:r>
              <w:rPr>
                <w:sz w:val="24"/>
                <w:szCs w:val="24"/>
              </w:rPr>
              <w:t>041289</w:t>
            </w:r>
          </w:p>
        </w:tc>
        <w:tc>
          <w:tcPr>
            <w:tcW w:w="1594" w:type="dxa"/>
            <w:tcBorders>
              <w:top w:val="single" w:color="auto" w:sz="4" w:space="0"/>
              <w:left w:val="single" w:color="auto" w:sz="4" w:space="0"/>
              <w:bottom w:val="single" w:color="auto" w:sz="4" w:space="0"/>
              <w:right w:val="single" w:color="auto" w:sz="4" w:space="0"/>
            </w:tcBorders>
            <w:vAlign w:val="center"/>
          </w:tcPr>
          <w:p w14:paraId="207A4B3A">
            <w:pPr>
              <w:keepNext/>
              <w:keepLines/>
              <w:adjustRightInd/>
              <w:ind w:firstLine="0" w:firstLineChars="0"/>
              <w:jc w:val="center"/>
              <w:rPr>
                <w:sz w:val="24"/>
                <w:szCs w:val="24"/>
              </w:rPr>
            </w:pPr>
          </w:p>
        </w:tc>
      </w:tr>
      <w:tr w14:paraId="25C89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540" w:type="dxa"/>
            <w:tcBorders>
              <w:top w:val="single" w:color="auto" w:sz="4" w:space="0"/>
              <w:left w:val="single" w:color="auto" w:sz="4" w:space="0"/>
              <w:bottom w:val="single" w:color="auto" w:sz="4" w:space="0"/>
              <w:right w:val="single" w:color="auto" w:sz="4" w:space="0"/>
            </w:tcBorders>
            <w:vAlign w:val="center"/>
          </w:tcPr>
          <w:p w14:paraId="5E95D2D9">
            <w:pPr>
              <w:adjustRightInd/>
              <w:spacing w:line="400" w:lineRule="exact"/>
              <w:ind w:firstLine="0" w:firstLineChars="0"/>
              <w:jc w:val="center"/>
              <w:rPr>
                <w:sz w:val="24"/>
                <w:szCs w:val="24"/>
              </w:rPr>
            </w:pPr>
            <w:r>
              <w:rPr>
                <w:sz w:val="24"/>
                <w:szCs w:val="24"/>
              </w:rPr>
              <w:t>过程控制</w:t>
            </w:r>
          </w:p>
          <w:p w14:paraId="34C6ADB1">
            <w:pPr>
              <w:adjustRightInd/>
              <w:spacing w:line="400" w:lineRule="exact"/>
              <w:ind w:firstLine="0" w:firstLineChars="0"/>
              <w:jc w:val="center"/>
              <w:rPr>
                <w:sz w:val="24"/>
                <w:szCs w:val="24"/>
              </w:rPr>
            </w:pPr>
            <w:r>
              <w:rPr>
                <w:sz w:val="24"/>
                <w:szCs w:val="24"/>
              </w:rPr>
              <w:t>负责人</w:t>
            </w:r>
          </w:p>
        </w:tc>
        <w:tc>
          <w:tcPr>
            <w:tcW w:w="1140" w:type="dxa"/>
            <w:tcBorders>
              <w:top w:val="single" w:color="auto" w:sz="4" w:space="0"/>
              <w:left w:val="single" w:color="auto" w:sz="4" w:space="0"/>
              <w:bottom w:val="single" w:color="auto" w:sz="4" w:space="0"/>
              <w:right w:val="single" w:color="auto" w:sz="4" w:space="0"/>
            </w:tcBorders>
            <w:vAlign w:val="center"/>
          </w:tcPr>
          <w:p w14:paraId="4502377E">
            <w:pPr>
              <w:keepNext/>
              <w:keepLines/>
              <w:adjustRightInd/>
              <w:spacing w:line="400" w:lineRule="exact"/>
              <w:ind w:firstLine="0" w:firstLineChars="0"/>
              <w:jc w:val="center"/>
              <w:rPr>
                <w:sz w:val="24"/>
                <w:szCs w:val="24"/>
                <w:lang w:val="zh-CN"/>
              </w:rPr>
            </w:pPr>
            <w:r>
              <w:rPr>
                <w:sz w:val="24"/>
                <w:szCs w:val="24"/>
              </w:rPr>
              <w:t>吴家辉</w:t>
            </w:r>
          </w:p>
        </w:tc>
        <w:tc>
          <w:tcPr>
            <w:tcW w:w="1387" w:type="dxa"/>
            <w:tcBorders>
              <w:top w:val="single" w:color="auto" w:sz="4" w:space="0"/>
              <w:left w:val="single" w:color="auto" w:sz="4" w:space="0"/>
              <w:bottom w:val="single" w:color="auto" w:sz="4" w:space="0"/>
              <w:right w:val="single" w:color="auto" w:sz="4" w:space="0"/>
            </w:tcBorders>
            <w:vAlign w:val="center"/>
          </w:tcPr>
          <w:p w14:paraId="0117AE99">
            <w:pPr>
              <w:keepNext/>
              <w:keepLines/>
              <w:adjustRightInd/>
              <w:spacing w:line="400" w:lineRule="exact"/>
              <w:ind w:firstLine="0" w:firstLineChars="0"/>
              <w:jc w:val="center"/>
              <w:rPr>
                <w:sz w:val="24"/>
                <w:szCs w:val="24"/>
              </w:rPr>
            </w:pPr>
            <w:r>
              <w:rPr>
                <w:sz w:val="24"/>
                <w:szCs w:val="24"/>
              </w:rPr>
              <w:t>/</w:t>
            </w:r>
          </w:p>
        </w:tc>
        <w:tc>
          <w:tcPr>
            <w:tcW w:w="2434" w:type="dxa"/>
            <w:tcBorders>
              <w:top w:val="single" w:color="auto" w:sz="4" w:space="0"/>
              <w:left w:val="single" w:color="auto" w:sz="4" w:space="0"/>
              <w:bottom w:val="single" w:color="auto" w:sz="4" w:space="0"/>
              <w:right w:val="single" w:color="auto" w:sz="4" w:space="0"/>
            </w:tcBorders>
            <w:vAlign w:val="center"/>
          </w:tcPr>
          <w:p w14:paraId="0491E48C">
            <w:pPr>
              <w:keepNext/>
              <w:keepLines/>
              <w:adjustRightInd/>
              <w:spacing w:line="400" w:lineRule="exact"/>
              <w:ind w:firstLine="0" w:firstLineChars="0"/>
              <w:jc w:val="center"/>
              <w:rPr>
                <w:sz w:val="24"/>
                <w:szCs w:val="24"/>
                <w:lang w:val="zh-CN"/>
              </w:rPr>
            </w:pPr>
            <w:r>
              <w:rPr>
                <w:sz w:val="24"/>
                <w:szCs w:val="24"/>
                <w:lang w:val="zh-CN"/>
              </w:rPr>
              <w:t>CAWS210000230300034</w:t>
            </w:r>
          </w:p>
        </w:tc>
        <w:tc>
          <w:tcPr>
            <w:tcW w:w="1746" w:type="dxa"/>
            <w:tcBorders>
              <w:top w:val="single" w:color="auto" w:sz="4" w:space="0"/>
              <w:left w:val="single" w:color="auto" w:sz="4" w:space="0"/>
              <w:bottom w:val="single" w:color="auto" w:sz="4" w:space="0"/>
              <w:right w:val="single" w:color="auto" w:sz="4" w:space="0"/>
            </w:tcBorders>
            <w:vAlign w:val="center"/>
          </w:tcPr>
          <w:p w14:paraId="6BF994D7">
            <w:pPr>
              <w:keepNext/>
              <w:keepLines/>
              <w:adjustRightInd/>
              <w:spacing w:line="400" w:lineRule="exact"/>
              <w:ind w:firstLine="0" w:firstLineChars="0"/>
              <w:jc w:val="center"/>
              <w:rPr>
                <w:sz w:val="24"/>
                <w:szCs w:val="24"/>
                <w:lang w:val="zh-CN"/>
              </w:rPr>
            </w:pPr>
            <w:r>
              <w:rPr>
                <w:sz w:val="24"/>
                <w:szCs w:val="24"/>
              </w:rPr>
              <w:t>043015</w:t>
            </w:r>
          </w:p>
        </w:tc>
        <w:tc>
          <w:tcPr>
            <w:tcW w:w="1594" w:type="dxa"/>
            <w:tcBorders>
              <w:top w:val="single" w:color="auto" w:sz="4" w:space="0"/>
              <w:left w:val="single" w:color="auto" w:sz="4" w:space="0"/>
              <w:bottom w:val="single" w:color="auto" w:sz="4" w:space="0"/>
              <w:right w:val="single" w:color="auto" w:sz="4" w:space="0"/>
            </w:tcBorders>
            <w:vAlign w:val="center"/>
          </w:tcPr>
          <w:p w14:paraId="60CFFA77">
            <w:pPr>
              <w:keepNext/>
              <w:keepLines/>
              <w:adjustRightInd/>
              <w:ind w:firstLine="0" w:firstLineChars="0"/>
              <w:jc w:val="center"/>
              <w:rPr>
                <w:sz w:val="24"/>
                <w:szCs w:val="24"/>
              </w:rPr>
            </w:pPr>
          </w:p>
        </w:tc>
      </w:tr>
      <w:tr w14:paraId="6A52A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540" w:type="dxa"/>
            <w:tcBorders>
              <w:top w:val="single" w:color="auto" w:sz="4" w:space="0"/>
              <w:left w:val="single" w:color="auto" w:sz="4" w:space="0"/>
              <w:bottom w:val="single" w:color="auto" w:sz="4" w:space="0"/>
              <w:right w:val="single" w:color="auto" w:sz="4" w:space="0"/>
            </w:tcBorders>
            <w:vAlign w:val="center"/>
          </w:tcPr>
          <w:p w14:paraId="1BBB36CB">
            <w:pPr>
              <w:adjustRightInd/>
              <w:spacing w:line="400" w:lineRule="exact"/>
              <w:ind w:firstLine="0" w:firstLineChars="0"/>
              <w:jc w:val="center"/>
              <w:rPr>
                <w:sz w:val="24"/>
                <w:szCs w:val="24"/>
              </w:rPr>
            </w:pPr>
            <w:r>
              <w:rPr>
                <w:sz w:val="24"/>
                <w:szCs w:val="24"/>
              </w:rPr>
              <w:t>技术负责人</w:t>
            </w:r>
          </w:p>
        </w:tc>
        <w:tc>
          <w:tcPr>
            <w:tcW w:w="1140" w:type="dxa"/>
            <w:tcBorders>
              <w:top w:val="single" w:color="auto" w:sz="4" w:space="0"/>
              <w:left w:val="single" w:color="auto" w:sz="4" w:space="0"/>
              <w:bottom w:val="single" w:color="auto" w:sz="4" w:space="0"/>
              <w:right w:val="single" w:color="auto" w:sz="4" w:space="0"/>
            </w:tcBorders>
            <w:vAlign w:val="center"/>
          </w:tcPr>
          <w:p w14:paraId="7831DA24">
            <w:pPr>
              <w:keepNext/>
              <w:keepLines/>
              <w:adjustRightInd/>
              <w:spacing w:line="400" w:lineRule="exact"/>
              <w:ind w:firstLine="0" w:firstLineChars="0"/>
              <w:jc w:val="center"/>
              <w:rPr>
                <w:sz w:val="24"/>
                <w:szCs w:val="24"/>
              </w:rPr>
            </w:pPr>
            <w:r>
              <w:rPr>
                <w:sz w:val="24"/>
                <w:szCs w:val="24"/>
              </w:rPr>
              <w:t>张廷辉</w:t>
            </w:r>
          </w:p>
        </w:tc>
        <w:tc>
          <w:tcPr>
            <w:tcW w:w="1387" w:type="dxa"/>
            <w:tcBorders>
              <w:top w:val="single" w:color="auto" w:sz="4" w:space="0"/>
              <w:left w:val="single" w:color="auto" w:sz="4" w:space="0"/>
              <w:bottom w:val="single" w:color="auto" w:sz="4" w:space="0"/>
              <w:right w:val="single" w:color="auto" w:sz="4" w:space="0"/>
            </w:tcBorders>
            <w:vAlign w:val="center"/>
          </w:tcPr>
          <w:p w14:paraId="2B8A9376">
            <w:pPr>
              <w:keepNext/>
              <w:keepLines/>
              <w:adjustRightInd/>
              <w:spacing w:line="400" w:lineRule="exact"/>
              <w:ind w:firstLine="0" w:firstLineChars="0"/>
              <w:jc w:val="center"/>
              <w:rPr>
                <w:sz w:val="24"/>
                <w:szCs w:val="24"/>
              </w:rPr>
            </w:pPr>
            <w:r>
              <w:rPr>
                <w:sz w:val="24"/>
                <w:szCs w:val="24"/>
              </w:rPr>
              <w:t>安全</w:t>
            </w:r>
          </w:p>
        </w:tc>
        <w:tc>
          <w:tcPr>
            <w:tcW w:w="2434" w:type="dxa"/>
            <w:tcBorders>
              <w:top w:val="single" w:color="auto" w:sz="4" w:space="0"/>
              <w:left w:val="single" w:color="auto" w:sz="4" w:space="0"/>
              <w:bottom w:val="single" w:color="auto" w:sz="4" w:space="0"/>
              <w:right w:val="single" w:color="auto" w:sz="4" w:space="0"/>
            </w:tcBorders>
            <w:vAlign w:val="center"/>
          </w:tcPr>
          <w:p w14:paraId="7E47DD6C">
            <w:pPr>
              <w:keepNext/>
              <w:keepLines/>
              <w:adjustRightInd/>
              <w:spacing w:line="400" w:lineRule="exact"/>
              <w:ind w:firstLine="0" w:firstLineChars="0"/>
              <w:jc w:val="center"/>
              <w:rPr>
                <w:sz w:val="24"/>
                <w:szCs w:val="24"/>
              </w:rPr>
            </w:pPr>
            <w:r>
              <w:rPr>
                <w:sz w:val="24"/>
                <w:szCs w:val="24"/>
              </w:rPr>
              <w:t>1200000000100119</w:t>
            </w:r>
          </w:p>
        </w:tc>
        <w:tc>
          <w:tcPr>
            <w:tcW w:w="1746" w:type="dxa"/>
            <w:tcBorders>
              <w:top w:val="single" w:color="auto" w:sz="4" w:space="0"/>
              <w:left w:val="single" w:color="auto" w:sz="4" w:space="0"/>
              <w:bottom w:val="single" w:color="auto" w:sz="4" w:space="0"/>
              <w:right w:val="single" w:color="auto" w:sz="4" w:space="0"/>
            </w:tcBorders>
            <w:vAlign w:val="center"/>
          </w:tcPr>
          <w:p w14:paraId="260663FC">
            <w:pPr>
              <w:keepNext/>
              <w:keepLines/>
              <w:adjustRightInd/>
              <w:spacing w:line="400" w:lineRule="exact"/>
              <w:ind w:firstLine="0" w:firstLineChars="0"/>
              <w:jc w:val="center"/>
              <w:rPr>
                <w:sz w:val="24"/>
                <w:szCs w:val="24"/>
              </w:rPr>
            </w:pPr>
            <w:r>
              <w:rPr>
                <w:sz w:val="24"/>
                <w:szCs w:val="24"/>
              </w:rPr>
              <w:t>009798</w:t>
            </w:r>
          </w:p>
        </w:tc>
        <w:tc>
          <w:tcPr>
            <w:tcW w:w="1594" w:type="dxa"/>
            <w:tcBorders>
              <w:top w:val="single" w:color="auto" w:sz="4" w:space="0"/>
              <w:left w:val="single" w:color="auto" w:sz="4" w:space="0"/>
              <w:bottom w:val="single" w:color="auto" w:sz="4" w:space="0"/>
              <w:right w:val="single" w:color="auto" w:sz="4" w:space="0"/>
            </w:tcBorders>
            <w:vAlign w:val="center"/>
          </w:tcPr>
          <w:p w14:paraId="5E3675D0">
            <w:pPr>
              <w:keepNext/>
              <w:keepLines/>
              <w:adjustRightInd/>
              <w:ind w:firstLine="0" w:firstLineChars="0"/>
              <w:jc w:val="center"/>
              <w:rPr>
                <w:sz w:val="24"/>
                <w:szCs w:val="24"/>
              </w:rPr>
            </w:pPr>
          </w:p>
        </w:tc>
      </w:tr>
    </w:tbl>
    <w:p w14:paraId="7EE06236">
      <w:pPr>
        <w:pStyle w:val="2"/>
        <w:ind w:firstLine="210"/>
        <w:sectPr>
          <w:pgSz w:w="11907" w:h="16840"/>
          <w:pgMar w:top="1417" w:right="1134" w:bottom="1134" w:left="1587" w:header="850" w:footer="992" w:gutter="0"/>
          <w:pgNumType w:start="1"/>
          <w:cols w:space="720" w:num="1"/>
          <w:docGrid w:type="lines" w:linePitch="309" w:charSpace="0"/>
        </w:sectPr>
      </w:pPr>
    </w:p>
    <w:p w14:paraId="0124A6CF">
      <w:pPr>
        <w:pStyle w:val="4"/>
        <w:rPr>
          <w:rFonts w:eastAsia="华文中宋"/>
          <w:kern w:val="0"/>
          <w:szCs w:val="28"/>
        </w:rPr>
      </w:pPr>
      <w:bookmarkStart w:id="11" w:name="_Toc1697"/>
      <w:bookmarkStart w:id="12" w:name="_Toc17450"/>
      <w:bookmarkStart w:id="13" w:name="_Toc9177"/>
      <w:r>
        <w:t>前  言</w:t>
      </w:r>
      <w:bookmarkEnd w:id="1"/>
      <w:bookmarkEnd w:id="2"/>
      <w:bookmarkEnd w:id="3"/>
      <w:bookmarkEnd w:id="4"/>
      <w:bookmarkEnd w:id="5"/>
      <w:bookmarkEnd w:id="6"/>
      <w:bookmarkEnd w:id="11"/>
      <w:bookmarkEnd w:id="12"/>
      <w:bookmarkEnd w:id="13"/>
    </w:p>
    <w:p w14:paraId="762009F8">
      <w:pPr>
        <w:pStyle w:val="123"/>
        <w:snapToGrid w:val="0"/>
        <w:spacing w:line="360" w:lineRule="auto"/>
        <w:ind w:firstLine="560" w:firstLineChars="200"/>
        <w:jc w:val="both"/>
        <w:rPr>
          <w:rFonts w:hint="default" w:ascii="Times New Roman" w:hAnsi="Times New Roman" w:cs="Times New Roman"/>
          <w:color w:val="auto"/>
          <w:sz w:val="28"/>
          <w:szCs w:val="28"/>
        </w:rPr>
      </w:pPr>
      <w:bookmarkStart w:id="14" w:name="_Hlk144305543"/>
      <w:r>
        <w:rPr>
          <w:rFonts w:hint="default" w:ascii="Times New Roman" w:hAnsi="Times New Roman" w:cs="Times New Roman"/>
          <w:color w:val="auto"/>
          <w:sz w:val="28"/>
          <w:szCs w:val="28"/>
        </w:rPr>
        <w:t>永善县茂林镇松林村海子采石场采矿权人为永善润佳制造有限责任公司，该公司成立于</w:t>
      </w:r>
      <w:r>
        <w:rPr>
          <w:rFonts w:hint="default" w:ascii="Times New Roman" w:hAnsi="Times New Roman" w:cs="Times New Roman"/>
          <w:color w:val="auto"/>
          <w:sz w:val="28"/>
        </w:rPr>
        <w:t>2018年01月31日</w:t>
      </w:r>
      <w:r>
        <w:rPr>
          <w:rFonts w:hint="default" w:ascii="Times New Roman" w:hAnsi="Times New Roman" w:cs="Times New Roman"/>
          <w:color w:val="auto"/>
          <w:sz w:val="28"/>
          <w:szCs w:val="28"/>
        </w:rPr>
        <w:t>，是一家有限责任公司（自然人投资或控股），法定代表人：</w:t>
      </w:r>
      <w:r>
        <w:rPr>
          <w:rFonts w:hint="default" w:ascii="Times New Roman" w:hAnsi="Times New Roman" w:cs="Times New Roman"/>
          <w:color w:val="auto"/>
          <w:sz w:val="28"/>
        </w:rPr>
        <w:t>张永波</w:t>
      </w:r>
      <w:r>
        <w:rPr>
          <w:rFonts w:hint="default" w:ascii="Times New Roman" w:hAnsi="Times New Roman" w:cs="Times New Roman"/>
          <w:color w:val="auto"/>
          <w:sz w:val="28"/>
          <w:szCs w:val="28"/>
        </w:rPr>
        <w:t>，住所：</w:t>
      </w:r>
      <w:r>
        <w:rPr>
          <w:rFonts w:hint="default" w:ascii="Times New Roman" w:hAnsi="Times New Roman" w:cs="Times New Roman"/>
          <w:color w:val="auto"/>
          <w:sz w:val="28"/>
        </w:rPr>
        <w:t>云南省昭通市</w:t>
      </w:r>
      <w:r>
        <w:rPr>
          <w:rFonts w:hint="default" w:ascii="Times New Roman" w:hAnsi="Times New Roman" w:cs="Times New Roman"/>
          <w:color w:val="auto"/>
          <w:sz w:val="28"/>
          <w:szCs w:val="28"/>
        </w:rPr>
        <w:t>永善县茂林镇松林村官寨社。</w:t>
      </w:r>
      <w:r>
        <w:rPr>
          <w:rFonts w:hint="default" w:ascii="Times New Roman" w:hAnsi="Times New Roman" w:cs="Times New Roman"/>
          <w:color w:val="auto"/>
          <w:sz w:val="28"/>
        </w:rPr>
        <w:t>永善县茂林镇松林村海子采石场</w:t>
      </w:r>
      <w:r>
        <w:rPr>
          <w:rFonts w:hint="default" w:ascii="Times New Roman" w:hAnsi="Times New Roman" w:cs="Times New Roman"/>
          <w:color w:val="auto"/>
          <w:spacing w:val="4"/>
          <w:sz w:val="28"/>
          <w:szCs w:val="28"/>
        </w:rPr>
        <w:t>开采矿种：建筑石料用灰岩，开采方式：露天开采，采矿许可证证载生产规模：30万t/a</w:t>
      </w:r>
      <w:r>
        <w:rPr>
          <w:rFonts w:hint="default" w:ascii="Times New Roman" w:hAnsi="Times New Roman" w:cs="Times New Roman"/>
          <w:color w:val="auto"/>
          <w:sz w:val="28"/>
        </w:rPr>
        <w:t>。2022年8月，矿权人</w:t>
      </w:r>
      <w:r>
        <w:rPr>
          <w:rFonts w:hint="default" w:ascii="Times New Roman" w:hAnsi="Times New Roman" w:cs="Times New Roman"/>
          <w:color w:val="auto"/>
          <w:sz w:val="28"/>
          <w:szCs w:val="28"/>
        </w:rPr>
        <w:t>向有关部门申请扩大生产规模，2022年11月24日取得了永善县发展和改革局颁发的投资备案证，</w:t>
      </w:r>
      <w:r>
        <w:rPr>
          <w:rFonts w:hint="default" w:ascii="Times New Roman" w:hAnsi="Times New Roman" w:cs="Times New Roman"/>
          <w:color w:val="auto"/>
          <w:sz w:val="28"/>
        </w:rPr>
        <w:t>永善县茂林镇松林村海子采石场项目投资备案建设规模变更为50万t/a</w:t>
      </w:r>
      <w:r>
        <w:rPr>
          <w:rFonts w:hint="default" w:ascii="Times New Roman" w:hAnsi="Times New Roman" w:cs="Times New Roman"/>
          <w:color w:val="auto"/>
          <w:sz w:val="28"/>
          <w:szCs w:val="28"/>
        </w:rPr>
        <w:t>。</w:t>
      </w:r>
    </w:p>
    <w:p w14:paraId="462B66D5">
      <w:pPr>
        <w:pStyle w:val="123"/>
        <w:snapToGrid w:val="0"/>
        <w:spacing w:line="360" w:lineRule="auto"/>
        <w:ind w:firstLine="560" w:firstLineChars="200"/>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t>永善县茂林镇松林村海子采石场为已建矿山，矿山最早于2020年12月1日设立采矿权，采矿许可证证号为C5306252020127100151009，矿区由7个拐点圈定，开采面积为0.0673km</w:t>
      </w:r>
      <w:r>
        <w:rPr>
          <w:rFonts w:hint="default" w:ascii="Times New Roman" w:hAnsi="Times New Roman" w:cs="Times New Roman"/>
          <w:color w:val="auto"/>
          <w:sz w:val="28"/>
          <w:szCs w:val="28"/>
          <w:vertAlign w:val="superscript"/>
        </w:rPr>
        <w:t>2</w:t>
      </w:r>
      <w:r>
        <w:rPr>
          <w:rFonts w:hint="default" w:ascii="Times New Roman" w:hAnsi="Times New Roman" w:cs="Times New Roman"/>
          <w:color w:val="auto"/>
          <w:sz w:val="28"/>
          <w:szCs w:val="28"/>
        </w:rPr>
        <w:t>，有效期为：2020年12月1日至2026年12月1日，开采矿种：建筑石料用灰岩；开采方式：露天开采；开采规模：30万t/年；开采标高2790m</w:t>
      </w:r>
      <w:r>
        <w:rPr>
          <w:rFonts w:ascii="Times New Roman" w:hAnsi="Times New Roman" w:cs="Times New Roman"/>
          <w:color w:val="auto"/>
          <w:sz w:val="28"/>
          <w:szCs w:val="28"/>
        </w:rPr>
        <w:t>—</w:t>
      </w:r>
      <w:r>
        <w:rPr>
          <w:rFonts w:hint="default" w:ascii="Times New Roman" w:hAnsi="Times New Roman" w:cs="Times New Roman"/>
          <w:color w:val="auto"/>
          <w:sz w:val="28"/>
          <w:szCs w:val="28"/>
        </w:rPr>
        <w:t>2700m。2021年矿山已履行“三同时”手续，于2021年11月26日取得安全生产许可证，有效期自2021年11月26日至2024年11月25日，编号为（昭）FM安许证字【2021】001号，发证机关昭通市应急管理局。2022年8月，矿权人考虑自身发展需求，向有关部门申请扩大生产规模，并于2022年11月24日取得了永善县发展和改革局颁发的投资备案证，矿山生产规模由原来的30万t/年变更为50万t/年</w:t>
      </w:r>
      <w:bookmarkEnd w:id="14"/>
      <w:r>
        <w:rPr>
          <w:rFonts w:hint="default" w:ascii="Times New Roman" w:hAnsi="Times New Roman" w:cs="Times New Roman"/>
          <w:color w:val="auto"/>
          <w:sz w:val="28"/>
          <w:szCs w:val="28"/>
        </w:rPr>
        <w:t>。</w:t>
      </w:r>
    </w:p>
    <w:p w14:paraId="0A14C270">
      <w:pPr>
        <w:pStyle w:val="123"/>
        <w:snapToGrid w:val="0"/>
        <w:spacing w:line="360" w:lineRule="auto"/>
        <w:ind w:firstLine="560" w:firstLineChars="200"/>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t>企业委托云南德成规划设计有限公司于2024年9月出具的《永善润佳制造有限责任公司永善县茂林镇松林村海子采石场50万t/年露天采矿工程初步设计》和2024年11月出具的《永善润佳制造有限责任公司永善县茂林镇松林村海子采石场50万t/年露天采矿工程安全设施设计》，设计采用露天开采，公路开拓汽车运输，设计台阶高度15m，工作台阶坡面角75°，安全平台宽度5m，清扫平台宽度8m。采用中深孔爆破，挖掘机铲装，汽车运输的采矿方式。该设计于2024年10月30日由昭通市应急管理局组织相关专家审查通过，于2024年12月24日取得昭通市应急管理局颁发的《应急管理部门审查意见》。</w:t>
      </w:r>
    </w:p>
    <w:p w14:paraId="5973F9FC">
      <w:pPr>
        <w:pStyle w:val="123"/>
        <w:snapToGrid w:val="0"/>
        <w:spacing w:line="360" w:lineRule="auto"/>
        <w:ind w:firstLine="560" w:firstLineChars="200"/>
        <w:jc w:val="both"/>
        <w:rPr>
          <w:rFonts w:hint="default" w:ascii="Times New Roman" w:hAnsi="Times New Roman" w:cs="Times New Roman"/>
          <w:color w:val="auto"/>
          <w:sz w:val="28"/>
          <w:szCs w:val="28"/>
        </w:rPr>
      </w:pPr>
      <w:bookmarkStart w:id="15" w:name="_Hlk161236153"/>
      <w:r>
        <w:rPr>
          <w:rFonts w:hint="default" w:ascii="Times New Roman" w:hAnsi="Times New Roman" w:cs="Times New Roman"/>
          <w:color w:val="auto"/>
          <w:sz w:val="28"/>
          <w:szCs w:val="28"/>
        </w:rPr>
        <w:t>矿山</w:t>
      </w:r>
      <w:bookmarkEnd w:id="15"/>
      <w:r>
        <w:rPr>
          <w:rFonts w:hint="default" w:ascii="Times New Roman" w:hAnsi="Times New Roman" w:cs="Times New Roman"/>
          <w:color w:val="auto"/>
          <w:sz w:val="28"/>
          <w:szCs w:val="28"/>
        </w:rPr>
        <w:t>于202</w:t>
      </w:r>
      <w:r>
        <w:rPr>
          <w:rFonts w:ascii="Times New Roman" w:hAnsi="Times New Roman" w:cs="Times New Roman"/>
          <w:color w:val="auto"/>
          <w:sz w:val="28"/>
          <w:szCs w:val="28"/>
        </w:rPr>
        <w:t>5</w:t>
      </w:r>
      <w:r>
        <w:rPr>
          <w:rFonts w:hint="default" w:ascii="Times New Roman" w:hAnsi="Times New Roman" w:cs="Times New Roman"/>
          <w:color w:val="auto"/>
          <w:sz w:val="28"/>
          <w:szCs w:val="28"/>
        </w:rPr>
        <w:t>年1月5日开始动工，至2025年4月5日完成基建建设，基建工程周期为3个月，施工单位为中翌（河南）建筑有限公司，监理单位为成都交大工程建设集团有限公司，完成相应基建工程的建设后，矿山组织开展项目试运行工作，试运行时间为2025年4月6日至2025年5月6日，矿山各系统运行正常，安全设施运行效果良好，未发生安全生产事故。</w:t>
      </w:r>
    </w:p>
    <w:p w14:paraId="514A1455">
      <w:pPr>
        <w:ind w:firstLine="560"/>
        <w:rPr>
          <w:spacing w:val="-6"/>
          <w:lang w:val="zh-CN"/>
        </w:rPr>
      </w:pPr>
      <w:r>
        <w:rPr>
          <w:lang w:val="zh-CN"/>
        </w:rPr>
        <w:t>根据</w:t>
      </w:r>
      <w:r>
        <w:t>《建设项目安全设施“三同时”监督管理办法》</w:t>
      </w:r>
      <w:r>
        <w:rPr>
          <w:lang w:val="zh-CN"/>
        </w:rPr>
        <w:t>（</w:t>
      </w:r>
      <w:r>
        <w:rPr>
          <w:lang w:val="sq-AL"/>
        </w:rPr>
        <w:t>原</w:t>
      </w:r>
      <w:r>
        <w:rPr>
          <w:lang w:val="zh-CN"/>
        </w:rPr>
        <w:t>国家安全生产监管总局令</w:t>
      </w:r>
      <w:r>
        <w:t>[2011]</w:t>
      </w:r>
      <w:r>
        <w:rPr>
          <w:lang w:val="zh-CN"/>
        </w:rPr>
        <w:t>第36号，</w:t>
      </w:r>
      <w:r>
        <w:rPr>
          <w:lang w:eastAsia="zh-Hans"/>
        </w:rPr>
        <w:t>原</w:t>
      </w:r>
      <w:r>
        <w:rPr>
          <w:lang w:val="zh-CN"/>
        </w:rPr>
        <w:t>国家安全生产监管总局令</w:t>
      </w:r>
      <w:r>
        <w:t>2015</w:t>
      </w:r>
      <w:r>
        <w:rPr>
          <w:lang w:eastAsia="zh-Hans"/>
        </w:rPr>
        <w:t>年</w:t>
      </w:r>
      <w:r>
        <w:rPr>
          <w:lang w:val="zh-CN"/>
        </w:rPr>
        <w:t>第77号第一次修订</w:t>
      </w:r>
      <w:r>
        <w:rPr>
          <w:lang w:val="sq-AL"/>
        </w:rPr>
        <w:t>）</w:t>
      </w:r>
      <w:r>
        <w:t>的要求，</w:t>
      </w:r>
      <w:r>
        <w:rPr>
          <w:lang w:val="zh-CN"/>
        </w:rPr>
        <w:t>需对建设项目进行安全设施验收评价。</w:t>
      </w:r>
      <w:r>
        <w:t>企业</w:t>
      </w:r>
      <w:r>
        <w:rPr>
          <w:lang w:val="zh-CN"/>
        </w:rPr>
        <w:t>于</w:t>
      </w:r>
      <w:r>
        <w:rPr>
          <w:bCs/>
          <w:color w:val="000000"/>
          <w:szCs w:val="28"/>
        </w:rPr>
        <w:t>2025年3</w:t>
      </w:r>
      <w:r>
        <w:rPr>
          <w:bCs/>
          <w:szCs w:val="28"/>
        </w:rPr>
        <w:t>月</w:t>
      </w:r>
      <w:r>
        <w:rPr>
          <w:lang w:val="zh-CN"/>
        </w:rPr>
        <w:t>委托我公司（</w:t>
      </w:r>
      <w:r>
        <w:t>辽宁诺诚安全科技有限公司</w:t>
      </w:r>
      <w:r>
        <w:rPr>
          <w:lang w:val="zh-CN"/>
        </w:rPr>
        <w:t>）对</w:t>
      </w:r>
      <w:r>
        <w:rPr>
          <w:szCs w:val="28"/>
        </w:rPr>
        <w:t>永善县茂林镇松林村海子采石场50万t/a露天采矿工程</w:t>
      </w:r>
      <w:r>
        <w:rPr>
          <w:lang w:val="zh-CN"/>
        </w:rPr>
        <w:t>进行安全设施验收评价，我公司接受委托后立即组建了安全评价项目组</w:t>
      </w:r>
      <w:r>
        <w:t>，项目组于</w:t>
      </w:r>
      <w:r>
        <w:rPr>
          <w:bCs/>
          <w:szCs w:val="28"/>
        </w:rPr>
        <w:t>2025年3月24日、2025年4月15日</w:t>
      </w:r>
      <w:r>
        <w:t>进场服务，评价人员在现场踏勘，收集整理验收有关资料，并跟踪工程进展；</w:t>
      </w:r>
      <w:r>
        <w:rPr>
          <w:lang w:val="zh-CN"/>
        </w:rPr>
        <w:t>根据</w:t>
      </w:r>
      <w:r>
        <w:t>该建设项目的</w:t>
      </w:r>
      <w:r>
        <w:rPr>
          <w:lang w:val="zh-CN"/>
        </w:rPr>
        <w:t>初步设计、安全设施设计以及相关法律、法规和有关标准规范等要求，</w:t>
      </w:r>
      <w:r>
        <w:t>及时向企业提出了现场存在问题及整改建议，矿山企业根据我公司提出的现场问题及整改建议进行了认真的整改落实。</w:t>
      </w:r>
      <w:r>
        <w:rPr>
          <w:lang w:val="zh-CN"/>
        </w:rPr>
        <w:t>根据《安全验收评价导则》</w:t>
      </w:r>
      <w:r>
        <w:t>（AQ8003-2007）</w:t>
      </w:r>
      <w:r>
        <w:rPr>
          <w:lang w:val="zh-CN"/>
        </w:rPr>
        <w:t>、《国家安全监管总局关于印发〈金属非金属矿山建设项目安全评价报告编写提纲〉的通知》</w:t>
      </w:r>
      <w:r>
        <w:rPr>
          <w:spacing w:val="-6"/>
        </w:rPr>
        <w:t>（原安监总管一</w:t>
      </w:r>
      <w:r>
        <w:t>〔</w:t>
      </w:r>
      <w:r>
        <w:rPr>
          <w:spacing w:val="-6"/>
        </w:rPr>
        <w:t>2016</w:t>
      </w:r>
      <w:r>
        <w:t>〕</w:t>
      </w:r>
      <w:r>
        <w:rPr>
          <w:spacing w:val="-6"/>
        </w:rPr>
        <w:t>49号）等文件的要求，</w:t>
      </w:r>
      <w:r>
        <w:rPr>
          <w:spacing w:val="-6"/>
          <w:lang w:val="zh-CN"/>
        </w:rPr>
        <w:t>对本项目投产后的生产过程中实际存在和潜在的危险有害因素进行辨识与分析，主要运用安全检查表评价方法，对本项目可能存在的危险、有害因素的种类和程度进行客观、科学的评价，并提出相应的对策措施和建议，得出评价结论，最终形成《永善县茂林镇松林村海子采石场50万t/a露天采矿工程安全设施验收评价报告》。</w:t>
      </w:r>
    </w:p>
    <w:p w14:paraId="21FAEE47">
      <w:pPr>
        <w:ind w:firstLine="560"/>
      </w:pPr>
      <w:r>
        <w:t>在本次</w:t>
      </w:r>
      <w:r>
        <w:rPr>
          <w:spacing w:val="-6"/>
          <w:lang w:val="zh-CN"/>
        </w:rPr>
        <w:t>安全设施验收评价</w:t>
      </w:r>
      <w:r>
        <w:t>过程中，得到了</w:t>
      </w:r>
      <w:r>
        <w:rPr>
          <w:szCs w:val="28"/>
        </w:rPr>
        <w:t>永善润佳制造有限责任公司</w:t>
      </w:r>
      <w:r>
        <w:t>给予了积极配合，谨在此一并表示感谢！</w:t>
      </w:r>
    </w:p>
    <w:p w14:paraId="3293D4C3">
      <w:pPr>
        <w:ind w:firstLine="560"/>
        <w:sectPr>
          <w:headerReference r:id="rId12" w:type="default"/>
          <w:footerReference r:id="rId13" w:type="default"/>
          <w:pgSz w:w="11905" w:h="16838"/>
          <w:pgMar w:top="1417" w:right="1134" w:bottom="1134" w:left="1587" w:header="850" w:footer="850" w:gutter="0"/>
          <w:pgNumType w:start="1"/>
          <w:cols w:space="720" w:num="1"/>
          <w:docGrid w:type="lines" w:linePitch="386" w:charSpace="0"/>
        </w:sectPr>
      </w:pPr>
    </w:p>
    <w:bookmarkEnd w:id="7"/>
    <w:bookmarkEnd w:id="8"/>
    <w:bookmarkEnd w:id="9"/>
    <w:p w14:paraId="6C5614CE">
      <w:pPr>
        <w:pStyle w:val="4"/>
      </w:pPr>
      <w:bookmarkStart w:id="16" w:name="_Toc25351"/>
      <w:bookmarkStart w:id="17" w:name="_Toc23941"/>
      <w:bookmarkStart w:id="18" w:name="_Toc27274"/>
      <w:bookmarkStart w:id="19" w:name="_Toc297117574"/>
      <w:r>
        <w:t>目  录</w:t>
      </w:r>
      <w:bookmarkEnd w:id="16"/>
      <w:bookmarkEnd w:id="17"/>
      <w:bookmarkEnd w:id="18"/>
    </w:p>
    <w:p w14:paraId="3D69061E">
      <w:pPr>
        <w:pStyle w:val="31"/>
        <w:tabs>
          <w:tab w:val="right" w:leader="dot" w:pos="9184"/>
        </w:tabs>
        <w:ind w:firstLine="420"/>
      </w:pPr>
      <w:r>
        <w:rPr>
          <w:b w:val="0"/>
          <w:bCs/>
          <w:i/>
          <w:sz w:val="21"/>
          <w:szCs w:val="21"/>
        </w:rPr>
        <w:fldChar w:fldCharType="begin"/>
      </w:r>
      <w:r>
        <w:rPr>
          <w:b w:val="0"/>
          <w:bCs/>
          <w:i/>
          <w:sz w:val="21"/>
          <w:szCs w:val="21"/>
        </w:rPr>
        <w:instrText xml:space="preserve"> TOC \o "1-2" \h \z \u </w:instrText>
      </w:r>
      <w:r>
        <w:rPr>
          <w:b w:val="0"/>
          <w:bCs/>
          <w:i/>
          <w:sz w:val="21"/>
          <w:szCs w:val="21"/>
        </w:rPr>
        <w:fldChar w:fldCharType="separate"/>
      </w:r>
      <w:r>
        <w:fldChar w:fldCharType="begin"/>
      </w:r>
      <w:r>
        <w:instrText xml:space="preserve"> HYPERLINK \l "_Toc26214" </w:instrText>
      </w:r>
      <w:r>
        <w:fldChar w:fldCharType="separate"/>
      </w:r>
      <w:r>
        <w:t>1 评价范围与依据</w:t>
      </w:r>
      <w:r>
        <w:tab/>
      </w:r>
      <w:r>
        <w:fldChar w:fldCharType="begin"/>
      </w:r>
      <w:r>
        <w:instrText xml:space="preserve"> PAGEREF _Toc26214 \h </w:instrText>
      </w:r>
      <w:r>
        <w:fldChar w:fldCharType="separate"/>
      </w:r>
      <w:r>
        <w:t>1</w:t>
      </w:r>
      <w:r>
        <w:fldChar w:fldCharType="end"/>
      </w:r>
      <w:r>
        <w:fldChar w:fldCharType="end"/>
      </w:r>
    </w:p>
    <w:p w14:paraId="011C7A4E">
      <w:pPr>
        <w:pStyle w:val="36"/>
        <w:tabs>
          <w:tab w:val="right" w:leader="dot" w:pos="9184"/>
        </w:tabs>
        <w:ind w:left="560" w:firstLine="560"/>
      </w:pPr>
      <w:r>
        <w:fldChar w:fldCharType="begin"/>
      </w:r>
      <w:r>
        <w:instrText xml:space="preserve"> HYPERLINK \l "_Toc18484" </w:instrText>
      </w:r>
      <w:r>
        <w:fldChar w:fldCharType="separate"/>
      </w:r>
      <w:r>
        <w:t>1.1评价对象和范围</w:t>
      </w:r>
      <w:r>
        <w:tab/>
      </w:r>
      <w:r>
        <w:fldChar w:fldCharType="begin"/>
      </w:r>
      <w:r>
        <w:instrText xml:space="preserve"> PAGEREF _Toc18484 \h </w:instrText>
      </w:r>
      <w:r>
        <w:fldChar w:fldCharType="separate"/>
      </w:r>
      <w:r>
        <w:t>1</w:t>
      </w:r>
      <w:r>
        <w:fldChar w:fldCharType="end"/>
      </w:r>
      <w:r>
        <w:fldChar w:fldCharType="end"/>
      </w:r>
    </w:p>
    <w:p w14:paraId="3C8CA7CD">
      <w:pPr>
        <w:pStyle w:val="36"/>
        <w:tabs>
          <w:tab w:val="right" w:leader="dot" w:pos="9184"/>
        </w:tabs>
        <w:ind w:left="560" w:firstLine="560"/>
      </w:pPr>
      <w:r>
        <w:fldChar w:fldCharType="begin"/>
      </w:r>
      <w:r>
        <w:instrText xml:space="preserve"> HYPERLINK \l "_Toc4886" </w:instrText>
      </w:r>
      <w:r>
        <w:fldChar w:fldCharType="separate"/>
      </w:r>
      <w:r>
        <w:t>1.2评价依据</w:t>
      </w:r>
      <w:r>
        <w:tab/>
      </w:r>
      <w:r>
        <w:fldChar w:fldCharType="begin"/>
      </w:r>
      <w:r>
        <w:instrText xml:space="preserve"> PAGEREF _Toc4886 \h </w:instrText>
      </w:r>
      <w:r>
        <w:fldChar w:fldCharType="separate"/>
      </w:r>
      <w:r>
        <w:t>3</w:t>
      </w:r>
      <w:r>
        <w:fldChar w:fldCharType="end"/>
      </w:r>
      <w:r>
        <w:fldChar w:fldCharType="end"/>
      </w:r>
    </w:p>
    <w:p w14:paraId="7B0E366B">
      <w:pPr>
        <w:pStyle w:val="31"/>
        <w:tabs>
          <w:tab w:val="right" w:leader="dot" w:pos="9184"/>
        </w:tabs>
        <w:ind w:firstLine="562"/>
      </w:pPr>
      <w:r>
        <w:fldChar w:fldCharType="begin"/>
      </w:r>
      <w:r>
        <w:instrText xml:space="preserve"> HYPERLINK \l "_Toc20540" </w:instrText>
      </w:r>
      <w:r>
        <w:fldChar w:fldCharType="separate"/>
      </w:r>
      <w:r>
        <w:t>2 建设项目概述</w:t>
      </w:r>
      <w:r>
        <w:tab/>
      </w:r>
      <w:r>
        <w:fldChar w:fldCharType="begin"/>
      </w:r>
      <w:r>
        <w:instrText xml:space="preserve"> PAGEREF _Toc20540 \h </w:instrText>
      </w:r>
      <w:r>
        <w:fldChar w:fldCharType="separate"/>
      </w:r>
      <w:r>
        <w:t>15</w:t>
      </w:r>
      <w:r>
        <w:fldChar w:fldCharType="end"/>
      </w:r>
      <w:r>
        <w:fldChar w:fldCharType="end"/>
      </w:r>
    </w:p>
    <w:p w14:paraId="6B4A8F18">
      <w:pPr>
        <w:pStyle w:val="36"/>
        <w:tabs>
          <w:tab w:val="right" w:leader="dot" w:pos="9184"/>
        </w:tabs>
        <w:ind w:left="560" w:firstLine="560"/>
      </w:pPr>
      <w:r>
        <w:fldChar w:fldCharType="begin"/>
      </w:r>
      <w:r>
        <w:instrText xml:space="preserve"> HYPERLINK \l "_Toc13142" </w:instrText>
      </w:r>
      <w:r>
        <w:fldChar w:fldCharType="separate"/>
      </w:r>
      <w:r>
        <w:t>2.1建设单位概况</w:t>
      </w:r>
      <w:r>
        <w:tab/>
      </w:r>
      <w:r>
        <w:fldChar w:fldCharType="begin"/>
      </w:r>
      <w:r>
        <w:instrText xml:space="preserve"> PAGEREF _Toc13142 \h </w:instrText>
      </w:r>
      <w:r>
        <w:fldChar w:fldCharType="separate"/>
      </w:r>
      <w:r>
        <w:t>15</w:t>
      </w:r>
      <w:r>
        <w:fldChar w:fldCharType="end"/>
      </w:r>
      <w:r>
        <w:fldChar w:fldCharType="end"/>
      </w:r>
    </w:p>
    <w:p w14:paraId="26607F09">
      <w:pPr>
        <w:pStyle w:val="36"/>
        <w:tabs>
          <w:tab w:val="right" w:leader="dot" w:pos="9184"/>
        </w:tabs>
        <w:ind w:left="560" w:firstLine="560"/>
      </w:pPr>
      <w:r>
        <w:fldChar w:fldCharType="begin"/>
      </w:r>
      <w:r>
        <w:instrText xml:space="preserve"> HYPERLINK \l "_Toc7830" </w:instrText>
      </w:r>
      <w:r>
        <w:fldChar w:fldCharType="separate"/>
      </w:r>
      <w:r>
        <w:t>2.2自然环境概况</w:t>
      </w:r>
      <w:r>
        <w:tab/>
      </w:r>
      <w:r>
        <w:fldChar w:fldCharType="begin"/>
      </w:r>
      <w:r>
        <w:instrText xml:space="preserve"> PAGEREF _Toc7830 \h </w:instrText>
      </w:r>
      <w:r>
        <w:fldChar w:fldCharType="separate"/>
      </w:r>
      <w:r>
        <w:t>22</w:t>
      </w:r>
      <w:r>
        <w:fldChar w:fldCharType="end"/>
      </w:r>
      <w:r>
        <w:fldChar w:fldCharType="end"/>
      </w:r>
    </w:p>
    <w:p w14:paraId="5EF644B9">
      <w:pPr>
        <w:pStyle w:val="36"/>
        <w:tabs>
          <w:tab w:val="right" w:leader="dot" w:pos="9184"/>
        </w:tabs>
        <w:ind w:left="560" w:firstLine="560"/>
      </w:pPr>
      <w:r>
        <w:fldChar w:fldCharType="begin"/>
      </w:r>
      <w:r>
        <w:instrText xml:space="preserve"> HYPERLINK \l "_Toc12957" </w:instrText>
      </w:r>
      <w:r>
        <w:fldChar w:fldCharType="separate"/>
      </w:r>
      <w:r>
        <w:t>2.3地质概况</w:t>
      </w:r>
      <w:r>
        <w:tab/>
      </w:r>
      <w:r>
        <w:fldChar w:fldCharType="begin"/>
      </w:r>
      <w:r>
        <w:instrText xml:space="preserve"> PAGEREF _Toc12957 \h </w:instrText>
      </w:r>
      <w:r>
        <w:fldChar w:fldCharType="separate"/>
      </w:r>
      <w:r>
        <w:t>23</w:t>
      </w:r>
      <w:r>
        <w:fldChar w:fldCharType="end"/>
      </w:r>
      <w:r>
        <w:fldChar w:fldCharType="end"/>
      </w:r>
    </w:p>
    <w:p w14:paraId="28B75FD9">
      <w:pPr>
        <w:pStyle w:val="36"/>
        <w:tabs>
          <w:tab w:val="right" w:leader="dot" w:pos="9184"/>
        </w:tabs>
        <w:ind w:left="560" w:firstLine="560"/>
      </w:pPr>
      <w:r>
        <w:fldChar w:fldCharType="begin"/>
      </w:r>
      <w:r>
        <w:instrText xml:space="preserve"> HYPERLINK \l "_Toc31462" </w:instrText>
      </w:r>
      <w:r>
        <w:fldChar w:fldCharType="separate"/>
      </w:r>
      <w:r>
        <w:t>2.4建设概况</w:t>
      </w:r>
      <w:r>
        <w:tab/>
      </w:r>
      <w:r>
        <w:fldChar w:fldCharType="begin"/>
      </w:r>
      <w:r>
        <w:instrText xml:space="preserve"> PAGEREF _Toc31462 \h </w:instrText>
      </w:r>
      <w:r>
        <w:fldChar w:fldCharType="separate"/>
      </w:r>
      <w:r>
        <w:t>31</w:t>
      </w:r>
      <w:r>
        <w:fldChar w:fldCharType="end"/>
      </w:r>
      <w:r>
        <w:fldChar w:fldCharType="end"/>
      </w:r>
    </w:p>
    <w:p w14:paraId="1DE4DE3A">
      <w:pPr>
        <w:pStyle w:val="36"/>
        <w:tabs>
          <w:tab w:val="right" w:leader="dot" w:pos="9184"/>
        </w:tabs>
        <w:ind w:left="560" w:firstLine="560"/>
      </w:pPr>
      <w:r>
        <w:fldChar w:fldCharType="begin"/>
      </w:r>
      <w:r>
        <w:instrText xml:space="preserve"> HYPERLINK \l "_Toc17373" </w:instrText>
      </w:r>
      <w:r>
        <w:fldChar w:fldCharType="separate"/>
      </w:r>
      <w:r>
        <w:t>2.5施工及监理概况</w:t>
      </w:r>
      <w:r>
        <w:tab/>
      </w:r>
      <w:r>
        <w:fldChar w:fldCharType="begin"/>
      </w:r>
      <w:r>
        <w:instrText xml:space="preserve"> PAGEREF _Toc17373 \h </w:instrText>
      </w:r>
      <w:r>
        <w:fldChar w:fldCharType="separate"/>
      </w:r>
      <w:r>
        <w:t>58</w:t>
      </w:r>
      <w:r>
        <w:fldChar w:fldCharType="end"/>
      </w:r>
      <w:r>
        <w:fldChar w:fldCharType="end"/>
      </w:r>
    </w:p>
    <w:p w14:paraId="702E1B1A">
      <w:pPr>
        <w:pStyle w:val="36"/>
        <w:tabs>
          <w:tab w:val="right" w:leader="dot" w:pos="9184"/>
        </w:tabs>
        <w:ind w:left="560" w:firstLine="560"/>
      </w:pPr>
      <w:r>
        <w:fldChar w:fldCharType="begin"/>
      </w:r>
      <w:r>
        <w:instrText xml:space="preserve"> HYPERLINK \l "_Toc13999" </w:instrText>
      </w:r>
      <w:r>
        <w:fldChar w:fldCharType="separate"/>
      </w:r>
      <w:r>
        <w:t>2.6试运行概况</w:t>
      </w:r>
      <w:r>
        <w:tab/>
      </w:r>
      <w:r>
        <w:fldChar w:fldCharType="begin"/>
      </w:r>
      <w:r>
        <w:instrText xml:space="preserve"> PAGEREF _Toc13999 \h </w:instrText>
      </w:r>
      <w:r>
        <w:fldChar w:fldCharType="separate"/>
      </w:r>
      <w:r>
        <w:t>60</w:t>
      </w:r>
      <w:r>
        <w:fldChar w:fldCharType="end"/>
      </w:r>
      <w:r>
        <w:fldChar w:fldCharType="end"/>
      </w:r>
    </w:p>
    <w:p w14:paraId="33D2B1F4">
      <w:pPr>
        <w:pStyle w:val="36"/>
        <w:tabs>
          <w:tab w:val="right" w:leader="dot" w:pos="9184"/>
        </w:tabs>
        <w:ind w:left="560" w:firstLine="560"/>
      </w:pPr>
      <w:r>
        <w:fldChar w:fldCharType="begin"/>
      </w:r>
      <w:r>
        <w:instrText xml:space="preserve"> HYPERLINK \l "_Toc7044" </w:instrText>
      </w:r>
      <w:r>
        <w:fldChar w:fldCharType="separate"/>
      </w:r>
      <w:r>
        <w:t>2.7安全设施概况</w:t>
      </w:r>
      <w:r>
        <w:tab/>
      </w:r>
      <w:r>
        <w:fldChar w:fldCharType="begin"/>
      </w:r>
      <w:r>
        <w:instrText xml:space="preserve"> PAGEREF _Toc7044 \h </w:instrText>
      </w:r>
      <w:r>
        <w:fldChar w:fldCharType="separate"/>
      </w:r>
      <w:r>
        <w:t>60</w:t>
      </w:r>
      <w:r>
        <w:fldChar w:fldCharType="end"/>
      </w:r>
      <w:r>
        <w:fldChar w:fldCharType="end"/>
      </w:r>
    </w:p>
    <w:p w14:paraId="35019AB5">
      <w:pPr>
        <w:pStyle w:val="36"/>
        <w:tabs>
          <w:tab w:val="right" w:leader="dot" w:pos="9184"/>
        </w:tabs>
        <w:ind w:left="560" w:firstLine="560"/>
      </w:pPr>
      <w:r>
        <w:fldChar w:fldCharType="begin"/>
      </w:r>
      <w:r>
        <w:instrText xml:space="preserve"> HYPERLINK \l "_Toc467" </w:instrText>
      </w:r>
      <w:r>
        <w:fldChar w:fldCharType="separate"/>
      </w:r>
      <w:r>
        <w:t>2.8矿山建设情况图片</w:t>
      </w:r>
      <w:r>
        <w:tab/>
      </w:r>
      <w:r>
        <w:fldChar w:fldCharType="begin"/>
      </w:r>
      <w:r>
        <w:instrText xml:space="preserve"> PAGEREF _Toc467 \h </w:instrText>
      </w:r>
      <w:r>
        <w:fldChar w:fldCharType="separate"/>
      </w:r>
      <w:r>
        <w:t>61</w:t>
      </w:r>
      <w:r>
        <w:fldChar w:fldCharType="end"/>
      </w:r>
      <w:r>
        <w:fldChar w:fldCharType="end"/>
      </w:r>
    </w:p>
    <w:p w14:paraId="1998ED05">
      <w:pPr>
        <w:pStyle w:val="31"/>
        <w:tabs>
          <w:tab w:val="right" w:leader="dot" w:pos="9184"/>
        </w:tabs>
        <w:ind w:firstLine="562"/>
      </w:pPr>
      <w:r>
        <w:fldChar w:fldCharType="begin"/>
      </w:r>
      <w:r>
        <w:instrText xml:space="preserve"> HYPERLINK \l "_Toc27246" </w:instrText>
      </w:r>
      <w:r>
        <w:fldChar w:fldCharType="separate"/>
      </w:r>
      <w:r>
        <w:t>3 安全设施符合性评价</w:t>
      </w:r>
      <w:r>
        <w:tab/>
      </w:r>
      <w:r>
        <w:fldChar w:fldCharType="begin"/>
      </w:r>
      <w:r>
        <w:instrText xml:space="preserve"> PAGEREF _Toc27246 \h </w:instrText>
      </w:r>
      <w:r>
        <w:fldChar w:fldCharType="separate"/>
      </w:r>
      <w:r>
        <w:t>66</w:t>
      </w:r>
      <w:r>
        <w:fldChar w:fldCharType="end"/>
      </w:r>
      <w:r>
        <w:fldChar w:fldCharType="end"/>
      </w:r>
    </w:p>
    <w:p w14:paraId="1AC99570">
      <w:pPr>
        <w:pStyle w:val="36"/>
        <w:tabs>
          <w:tab w:val="right" w:leader="dot" w:pos="9184"/>
        </w:tabs>
        <w:ind w:left="560" w:firstLine="560"/>
      </w:pPr>
      <w:r>
        <w:fldChar w:fldCharType="begin"/>
      </w:r>
      <w:r>
        <w:instrText xml:space="preserve"> HYPERLINK \l "_Toc4153" </w:instrText>
      </w:r>
      <w:r>
        <w:fldChar w:fldCharType="separate"/>
      </w:r>
      <w:r>
        <w:t>3.1安全设施“三同时”程序单元</w:t>
      </w:r>
      <w:r>
        <w:tab/>
      </w:r>
      <w:r>
        <w:fldChar w:fldCharType="begin"/>
      </w:r>
      <w:r>
        <w:instrText xml:space="preserve"> PAGEREF _Toc4153 \h </w:instrText>
      </w:r>
      <w:r>
        <w:fldChar w:fldCharType="separate"/>
      </w:r>
      <w:r>
        <w:t>68</w:t>
      </w:r>
      <w:r>
        <w:fldChar w:fldCharType="end"/>
      </w:r>
      <w:r>
        <w:fldChar w:fldCharType="end"/>
      </w:r>
    </w:p>
    <w:p w14:paraId="42769B24">
      <w:pPr>
        <w:pStyle w:val="36"/>
        <w:tabs>
          <w:tab w:val="right" w:leader="dot" w:pos="9184"/>
        </w:tabs>
        <w:ind w:left="560" w:firstLine="560"/>
      </w:pPr>
      <w:r>
        <w:fldChar w:fldCharType="begin"/>
      </w:r>
      <w:r>
        <w:instrText xml:space="preserve"> HYPERLINK \l "_Toc10611" </w:instrText>
      </w:r>
      <w:r>
        <w:fldChar w:fldCharType="separate"/>
      </w:r>
      <w:r>
        <w:t>3.2露天采场单元</w:t>
      </w:r>
      <w:r>
        <w:tab/>
      </w:r>
      <w:r>
        <w:fldChar w:fldCharType="begin"/>
      </w:r>
      <w:r>
        <w:instrText xml:space="preserve"> PAGEREF _Toc10611 \h </w:instrText>
      </w:r>
      <w:r>
        <w:fldChar w:fldCharType="separate"/>
      </w:r>
      <w:r>
        <w:t>71</w:t>
      </w:r>
      <w:r>
        <w:fldChar w:fldCharType="end"/>
      </w:r>
      <w:r>
        <w:fldChar w:fldCharType="end"/>
      </w:r>
    </w:p>
    <w:p w14:paraId="5B2A896C">
      <w:pPr>
        <w:pStyle w:val="36"/>
        <w:tabs>
          <w:tab w:val="right" w:leader="dot" w:pos="9184"/>
        </w:tabs>
        <w:ind w:left="560" w:firstLine="560"/>
      </w:pPr>
      <w:r>
        <w:fldChar w:fldCharType="begin"/>
      </w:r>
      <w:r>
        <w:instrText xml:space="preserve"> HYPERLINK \l "_Toc414" </w:instrText>
      </w:r>
      <w:r>
        <w:fldChar w:fldCharType="separate"/>
      </w:r>
      <w:r>
        <w:t>3.3防排水单元</w:t>
      </w:r>
      <w:r>
        <w:tab/>
      </w:r>
      <w:r>
        <w:fldChar w:fldCharType="begin"/>
      </w:r>
      <w:r>
        <w:instrText xml:space="preserve"> PAGEREF _Toc414 \h </w:instrText>
      </w:r>
      <w:r>
        <w:fldChar w:fldCharType="separate"/>
      </w:r>
      <w:r>
        <w:t>75</w:t>
      </w:r>
      <w:r>
        <w:fldChar w:fldCharType="end"/>
      </w:r>
      <w:r>
        <w:fldChar w:fldCharType="end"/>
      </w:r>
    </w:p>
    <w:p w14:paraId="09E6C9CE">
      <w:pPr>
        <w:pStyle w:val="36"/>
        <w:tabs>
          <w:tab w:val="right" w:leader="dot" w:pos="9184"/>
        </w:tabs>
        <w:ind w:left="560" w:firstLine="560"/>
      </w:pPr>
      <w:r>
        <w:fldChar w:fldCharType="begin"/>
      </w:r>
      <w:r>
        <w:instrText xml:space="preserve"> HYPERLINK \l "_Toc643" </w:instrText>
      </w:r>
      <w:r>
        <w:fldChar w:fldCharType="separate"/>
      </w:r>
      <w:r>
        <w:t>3.4矿岩运输系统单元</w:t>
      </w:r>
      <w:r>
        <w:tab/>
      </w:r>
      <w:r>
        <w:fldChar w:fldCharType="begin"/>
      </w:r>
      <w:r>
        <w:instrText xml:space="preserve"> PAGEREF _Toc643 \h </w:instrText>
      </w:r>
      <w:r>
        <w:fldChar w:fldCharType="separate"/>
      </w:r>
      <w:r>
        <w:t>76</w:t>
      </w:r>
      <w:r>
        <w:fldChar w:fldCharType="end"/>
      </w:r>
      <w:r>
        <w:fldChar w:fldCharType="end"/>
      </w:r>
    </w:p>
    <w:p w14:paraId="75D8A7F1">
      <w:pPr>
        <w:pStyle w:val="36"/>
        <w:tabs>
          <w:tab w:val="right" w:leader="dot" w:pos="9184"/>
        </w:tabs>
        <w:ind w:left="560" w:firstLine="560"/>
      </w:pPr>
      <w:r>
        <w:fldChar w:fldCharType="begin"/>
      </w:r>
      <w:r>
        <w:instrText xml:space="preserve"> HYPERLINK \l "_Toc17617" </w:instrText>
      </w:r>
      <w:r>
        <w:fldChar w:fldCharType="separate"/>
      </w:r>
      <w:r>
        <w:t>3.5供配电单元</w:t>
      </w:r>
      <w:r>
        <w:tab/>
      </w:r>
      <w:r>
        <w:fldChar w:fldCharType="begin"/>
      </w:r>
      <w:r>
        <w:instrText xml:space="preserve"> PAGEREF _Toc17617 \h </w:instrText>
      </w:r>
      <w:r>
        <w:fldChar w:fldCharType="separate"/>
      </w:r>
      <w:r>
        <w:t>78</w:t>
      </w:r>
      <w:r>
        <w:fldChar w:fldCharType="end"/>
      </w:r>
      <w:r>
        <w:fldChar w:fldCharType="end"/>
      </w:r>
    </w:p>
    <w:p w14:paraId="13AFCD07">
      <w:pPr>
        <w:pStyle w:val="36"/>
        <w:tabs>
          <w:tab w:val="right" w:leader="dot" w:pos="9184"/>
        </w:tabs>
        <w:ind w:left="560" w:firstLine="560"/>
      </w:pPr>
      <w:r>
        <w:fldChar w:fldCharType="begin"/>
      </w:r>
      <w:r>
        <w:instrText xml:space="preserve"> HYPERLINK \l "_Toc19300" </w:instrText>
      </w:r>
      <w:r>
        <w:fldChar w:fldCharType="separate"/>
      </w:r>
      <w:r>
        <w:t>3.6总平面布置单元</w:t>
      </w:r>
      <w:r>
        <w:tab/>
      </w:r>
      <w:r>
        <w:fldChar w:fldCharType="begin"/>
      </w:r>
      <w:r>
        <w:instrText xml:space="preserve"> PAGEREF _Toc19300 \h </w:instrText>
      </w:r>
      <w:r>
        <w:fldChar w:fldCharType="separate"/>
      </w:r>
      <w:r>
        <w:t>80</w:t>
      </w:r>
      <w:r>
        <w:fldChar w:fldCharType="end"/>
      </w:r>
      <w:r>
        <w:fldChar w:fldCharType="end"/>
      </w:r>
    </w:p>
    <w:p w14:paraId="5A593E6A">
      <w:pPr>
        <w:pStyle w:val="36"/>
        <w:tabs>
          <w:tab w:val="right" w:leader="dot" w:pos="9184"/>
        </w:tabs>
        <w:ind w:left="560" w:firstLine="560"/>
      </w:pPr>
      <w:r>
        <w:fldChar w:fldCharType="begin"/>
      </w:r>
      <w:r>
        <w:instrText xml:space="preserve"> HYPERLINK \l "_Toc14827" </w:instrText>
      </w:r>
      <w:r>
        <w:fldChar w:fldCharType="separate"/>
      </w:r>
      <w:r>
        <w:t>3.7通信系统单元</w:t>
      </w:r>
      <w:r>
        <w:tab/>
      </w:r>
      <w:r>
        <w:fldChar w:fldCharType="begin"/>
      </w:r>
      <w:r>
        <w:instrText xml:space="preserve"> PAGEREF _Toc14827 \h </w:instrText>
      </w:r>
      <w:r>
        <w:fldChar w:fldCharType="separate"/>
      </w:r>
      <w:r>
        <w:t>83</w:t>
      </w:r>
      <w:r>
        <w:fldChar w:fldCharType="end"/>
      </w:r>
      <w:r>
        <w:fldChar w:fldCharType="end"/>
      </w:r>
    </w:p>
    <w:p w14:paraId="2CBC3D2E">
      <w:pPr>
        <w:pStyle w:val="36"/>
        <w:tabs>
          <w:tab w:val="right" w:leader="dot" w:pos="9184"/>
        </w:tabs>
        <w:ind w:left="560" w:firstLine="560"/>
      </w:pPr>
      <w:r>
        <w:fldChar w:fldCharType="begin"/>
      </w:r>
      <w:r>
        <w:instrText xml:space="preserve"> HYPERLINK \l "_Toc26503" </w:instrText>
      </w:r>
      <w:r>
        <w:fldChar w:fldCharType="separate"/>
      </w:r>
      <w:r>
        <w:t>3.8个人安全防护单元</w:t>
      </w:r>
      <w:r>
        <w:tab/>
      </w:r>
      <w:r>
        <w:fldChar w:fldCharType="begin"/>
      </w:r>
      <w:r>
        <w:instrText xml:space="preserve"> PAGEREF _Toc26503 \h </w:instrText>
      </w:r>
      <w:r>
        <w:fldChar w:fldCharType="separate"/>
      </w:r>
      <w:r>
        <w:t>83</w:t>
      </w:r>
      <w:r>
        <w:fldChar w:fldCharType="end"/>
      </w:r>
      <w:r>
        <w:fldChar w:fldCharType="end"/>
      </w:r>
    </w:p>
    <w:p w14:paraId="4C83CAED">
      <w:pPr>
        <w:pStyle w:val="36"/>
        <w:tabs>
          <w:tab w:val="right" w:leader="dot" w:pos="9184"/>
        </w:tabs>
        <w:ind w:left="560" w:firstLine="560"/>
      </w:pPr>
      <w:r>
        <w:fldChar w:fldCharType="begin"/>
      </w:r>
      <w:r>
        <w:instrText xml:space="preserve"> HYPERLINK \l "_Toc13130" </w:instrText>
      </w:r>
      <w:r>
        <w:fldChar w:fldCharType="separate"/>
      </w:r>
      <w:r>
        <w:t>3.9安全标志单元</w:t>
      </w:r>
      <w:r>
        <w:tab/>
      </w:r>
      <w:r>
        <w:fldChar w:fldCharType="begin"/>
      </w:r>
      <w:r>
        <w:instrText xml:space="preserve"> PAGEREF _Toc13130 \h </w:instrText>
      </w:r>
      <w:r>
        <w:fldChar w:fldCharType="separate"/>
      </w:r>
      <w:r>
        <w:t>84</w:t>
      </w:r>
      <w:r>
        <w:fldChar w:fldCharType="end"/>
      </w:r>
      <w:r>
        <w:fldChar w:fldCharType="end"/>
      </w:r>
    </w:p>
    <w:p w14:paraId="770CCF4B">
      <w:pPr>
        <w:pStyle w:val="36"/>
        <w:tabs>
          <w:tab w:val="right" w:leader="dot" w:pos="9184"/>
        </w:tabs>
        <w:ind w:left="560" w:firstLine="560"/>
      </w:pPr>
      <w:r>
        <w:fldChar w:fldCharType="begin"/>
      </w:r>
      <w:r>
        <w:instrText xml:space="preserve"> HYPERLINK \l "_Toc20902" </w:instrText>
      </w:r>
      <w:r>
        <w:fldChar w:fldCharType="separate"/>
      </w:r>
      <w:r>
        <w:t>3.10安全管理单元</w:t>
      </w:r>
      <w:r>
        <w:tab/>
      </w:r>
      <w:r>
        <w:fldChar w:fldCharType="begin"/>
      </w:r>
      <w:r>
        <w:instrText xml:space="preserve"> PAGEREF _Toc20902 \h </w:instrText>
      </w:r>
      <w:r>
        <w:fldChar w:fldCharType="separate"/>
      </w:r>
      <w:r>
        <w:t>85</w:t>
      </w:r>
      <w:r>
        <w:fldChar w:fldCharType="end"/>
      </w:r>
      <w:r>
        <w:fldChar w:fldCharType="end"/>
      </w:r>
    </w:p>
    <w:p w14:paraId="41797159">
      <w:pPr>
        <w:pStyle w:val="36"/>
        <w:tabs>
          <w:tab w:val="right" w:leader="dot" w:pos="9184"/>
        </w:tabs>
        <w:ind w:left="560" w:firstLine="560"/>
      </w:pPr>
      <w:r>
        <w:fldChar w:fldCharType="begin"/>
      </w:r>
      <w:r>
        <w:instrText xml:space="preserve"> HYPERLINK \l "_Toc13140" </w:instrText>
      </w:r>
      <w:r>
        <w:fldChar w:fldCharType="separate"/>
      </w:r>
      <w:r>
        <w:rPr>
          <w:szCs w:val="30"/>
        </w:rPr>
        <w:t>3.11 重大事故隐患判定单元</w:t>
      </w:r>
      <w:r>
        <w:tab/>
      </w:r>
      <w:r>
        <w:fldChar w:fldCharType="begin"/>
      </w:r>
      <w:r>
        <w:instrText xml:space="preserve"> PAGEREF _Toc13140 \h </w:instrText>
      </w:r>
      <w:r>
        <w:fldChar w:fldCharType="separate"/>
      </w:r>
      <w:r>
        <w:t>89</w:t>
      </w:r>
      <w:r>
        <w:fldChar w:fldCharType="end"/>
      </w:r>
      <w:r>
        <w:fldChar w:fldCharType="end"/>
      </w:r>
    </w:p>
    <w:p w14:paraId="6AFE3BF8">
      <w:pPr>
        <w:pStyle w:val="31"/>
        <w:tabs>
          <w:tab w:val="right" w:leader="dot" w:pos="9184"/>
        </w:tabs>
        <w:ind w:firstLine="562"/>
      </w:pPr>
      <w:r>
        <w:fldChar w:fldCharType="begin"/>
      </w:r>
      <w:r>
        <w:instrText xml:space="preserve"> HYPERLINK \l "_Toc21236" </w:instrText>
      </w:r>
      <w:r>
        <w:fldChar w:fldCharType="separate"/>
      </w:r>
      <w:r>
        <w:t>4 安全对策措施建议</w:t>
      </w:r>
      <w:r>
        <w:tab/>
      </w:r>
      <w:r>
        <w:fldChar w:fldCharType="begin"/>
      </w:r>
      <w:r>
        <w:instrText xml:space="preserve"> PAGEREF _Toc21236 \h </w:instrText>
      </w:r>
      <w:r>
        <w:fldChar w:fldCharType="separate"/>
      </w:r>
      <w:r>
        <w:t>92</w:t>
      </w:r>
      <w:r>
        <w:fldChar w:fldCharType="end"/>
      </w:r>
      <w:r>
        <w:fldChar w:fldCharType="end"/>
      </w:r>
    </w:p>
    <w:p w14:paraId="364F94BA">
      <w:pPr>
        <w:pStyle w:val="36"/>
        <w:tabs>
          <w:tab w:val="right" w:leader="dot" w:pos="9184"/>
        </w:tabs>
        <w:ind w:left="560" w:firstLine="560"/>
      </w:pPr>
      <w:r>
        <w:fldChar w:fldCharType="begin"/>
      </w:r>
      <w:r>
        <w:instrText xml:space="preserve"> HYPERLINK \l "_Toc30023" </w:instrText>
      </w:r>
      <w:r>
        <w:fldChar w:fldCharType="separate"/>
      </w:r>
      <w:r>
        <w:t>4.1企业整改完成落实情况</w:t>
      </w:r>
      <w:r>
        <w:tab/>
      </w:r>
      <w:r>
        <w:fldChar w:fldCharType="begin"/>
      </w:r>
      <w:r>
        <w:instrText xml:space="preserve"> PAGEREF _Toc30023 \h </w:instrText>
      </w:r>
      <w:r>
        <w:fldChar w:fldCharType="separate"/>
      </w:r>
      <w:r>
        <w:t>92</w:t>
      </w:r>
      <w:r>
        <w:fldChar w:fldCharType="end"/>
      </w:r>
      <w:r>
        <w:fldChar w:fldCharType="end"/>
      </w:r>
    </w:p>
    <w:p w14:paraId="26097252">
      <w:pPr>
        <w:pStyle w:val="36"/>
        <w:tabs>
          <w:tab w:val="right" w:leader="dot" w:pos="9184"/>
        </w:tabs>
        <w:ind w:left="560" w:firstLine="560"/>
      </w:pPr>
      <w:r>
        <w:fldChar w:fldCharType="begin"/>
      </w:r>
      <w:r>
        <w:instrText xml:space="preserve"> HYPERLINK \l "_Toc23848" </w:instrText>
      </w:r>
      <w:r>
        <w:fldChar w:fldCharType="separate"/>
      </w:r>
      <w:r>
        <w:t>4.2安全对策措施建议</w:t>
      </w:r>
      <w:r>
        <w:tab/>
      </w:r>
      <w:r>
        <w:fldChar w:fldCharType="begin"/>
      </w:r>
      <w:r>
        <w:instrText xml:space="preserve"> PAGEREF _Toc23848 \h </w:instrText>
      </w:r>
      <w:r>
        <w:fldChar w:fldCharType="separate"/>
      </w:r>
      <w:r>
        <w:t>93</w:t>
      </w:r>
      <w:r>
        <w:fldChar w:fldCharType="end"/>
      </w:r>
      <w:r>
        <w:fldChar w:fldCharType="end"/>
      </w:r>
    </w:p>
    <w:p w14:paraId="537389F5">
      <w:pPr>
        <w:pStyle w:val="31"/>
        <w:tabs>
          <w:tab w:val="right" w:leader="dot" w:pos="9184"/>
        </w:tabs>
        <w:ind w:firstLine="562"/>
      </w:pPr>
      <w:r>
        <w:fldChar w:fldCharType="begin"/>
      </w:r>
      <w:r>
        <w:instrText xml:space="preserve"> HYPERLINK \l "_Toc423" </w:instrText>
      </w:r>
      <w:r>
        <w:fldChar w:fldCharType="separate"/>
      </w:r>
      <w:r>
        <w:t>5 安全验收评价结论</w:t>
      </w:r>
      <w:r>
        <w:tab/>
      </w:r>
      <w:r>
        <w:fldChar w:fldCharType="begin"/>
      </w:r>
      <w:r>
        <w:instrText xml:space="preserve"> PAGEREF _Toc423 \h </w:instrText>
      </w:r>
      <w:r>
        <w:fldChar w:fldCharType="separate"/>
      </w:r>
      <w:r>
        <w:t>99</w:t>
      </w:r>
      <w:r>
        <w:fldChar w:fldCharType="end"/>
      </w:r>
      <w:r>
        <w:fldChar w:fldCharType="end"/>
      </w:r>
    </w:p>
    <w:p w14:paraId="12805180">
      <w:pPr>
        <w:pStyle w:val="36"/>
        <w:tabs>
          <w:tab w:val="right" w:leader="dot" w:pos="9184"/>
        </w:tabs>
        <w:ind w:left="560" w:firstLine="560"/>
      </w:pPr>
      <w:r>
        <w:fldChar w:fldCharType="begin"/>
      </w:r>
      <w:r>
        <w:instrText xml:space="preserve"> HYPERLINK \l "_Toc21257" </w:instrText>
      </w:r>
      <w:r>
        <w:fldChar w:fldCharType="separate"/>
      </w:r>
      <w:r>
        <w:t>5.1验收检查项总结</w:t>
      </w:r>
      <w:r>
        <w:tab/>
      </w:r>
      <w:r>
        <w:fldChar w:fldCharType="begin"/>
      </w:r>
      <w:r>
        <w:instrText xml:space="preserve"> PAGEREF _Toc21257 \h </w:instrText>
      </w:r>
      <w:r>
        <w:fldChar w:fldCharType="separate"/>
      </w:r>
      <w:r>
        <w:t>99</w:t>
      </w:r>
      <w:r>
        <w:fldChar w:fldCharType="end"/>
      </w:r>
      <w:r>
        <w:fldChar w:fldCharType="end"/>
      </w:r>
    </w:p>
    <w:p w14:paraId="5FC358A4">
      <w:pPr>
        <w:pStyle w:val="36"/>
        <w:tabs>
          <w:tab w:val="right" w:leader="dot" w:pos="9184"/>
        </w:tabs>
        <w:ind w:left="560" w:firstLine="560"/>
      </w:pPr>
      <w:r>
        <w:fldChar w:fldCharType="begin"/>
      </w:r>
      <w:r>
        <w:instrText xml:space="preserve"> HYPERLINK \l "_Toc21492" </w:instrText>
      </w:r>
      <w:r>
        <w:fldChar w:fldCharType="separate"/>
      </w:r>
      <w:r>
        <w:t>5.2验收评价结论</w:t>
      </w:r>
      <w:r>
        <w:tab/>
      </w:r>
      <w:r>
        <w:fldChar w:fldCharType="begin"/>
      </w:r>
      <w:r>
        <w:instrText xml:space="preserve"> PAGEREF _Toc21492 \h </w:instrText>
      </w:r>
      <w:r>
        <w:fldChar w:fldCharType="separate"/>
      </w:r>
      <w:r>
        <w:t>99</w:t>
      </w:r>
      <w:r>
        <w:fldChar w:fldCharType="end"/>
      </w:r>
      <w:r>
        <w:fldChar w:fldCharType="end"/>
      </w:r>
    </w:p>
    <w:p w14:paraId="642C6DCF">
      <w:pPr>
        <w:pStyle w:val="31"/>
        <w:tabs>
          <w:tab w:val="right" w:leader="dot" w:pos="9184"/>
        </w:tabs>
        <w:ind w:firstLine="562"/>
      </w:pPr>
      <w:r>
        <w:fldChar w:fldCharType="begin"/>
      </w:r>
      <w:r>
        <w:instrText xml:space="preserve"> HYPERLINK \l "_Toc30286" </w:instrText>
      </w:r>
      <w:r>
        <w:fldChar w:fldCharType="separate"/>
      </w:r>
      <w:r>
        <w:t>6 附件及附图</w:t>
      </w:r>
      <w:r>
        <w:tab/>
      </w:r>
      <w:r>
        <w:fldChar w:fldCharType="begin"/>
      </w:r>
      <w:r>
        <w:instrText xml:space="preserve"> PAGEREF _Toc30286 \h </w:instrText>
      </w:r>
      <w:r>
        <w:fldChar w:fldCharType="separate"/>
      </w:r>
      <w:r>
        <w:t>101</w:t>
      </w:r>
      <w:r>
        <w:fldChar w:fldCharType="end"/>
      </w:r>
      <w:r>
        <w:fldChar w:fldCharType="end"/>
      </w:r>
    </w:p>
    <w:p w14:paraId="177D7D10">
      <w:pPr>
        <w:pStyle w:val="36"/>
        <w:tabs>
          <w:tab w:val="right" w:leader="dot" w:pos="9184"/>
        </w:tabs>
        <w:ind w:left="560" w:firstLine="560"/>
      </w:pPr>
      <w:r>
        <w:fldChar w:fldCharType="begin"/>
      </w:r>
      <w:r>
        <w:instrText xml:space="preserve"> HYPERLINK \l "_Toc24798" </w:instrText>
      </w:r>
      <w:r>
        <w:fldChar w:fldCharType="separate"/>
      </w:r>
      <w:r>
        <w:t>6.1 附件</w:t>
      </w:r>
      <w:r>
        <w:tab/>
      </w:r>
      <w:r>
        <w:fldChar w:fldCharType="begin"/>
      </w:r>
      <w:r>
        <w:instrText xml:space="preserve"> PAGEREF _Toc24798 \h </w:instrText>
      </w:r>
      <w:r>
        <w:fldChar w:fldCharType="separate"/>
      </w:r>
      <w:r>
        <w:t>101</w:t>
      </w:r>
      <w:r>
        <w:fldChar w:fldCharType="end"/>
      </w:r>
      <w:r>
        <w:fldChar w:fldCharType="end"/>
      </w:r>
    </w:p>
    <w:p w14:paraId="443380A4">
      <w:pPr>
        <w:pStyle w:val="36"/>
        <w:tabs>
          <w:tab w:val="right" w:leader="dot" w:pos="9184"/>
        </w:tabs>
        <w:ind w:left="560" w:firstLine="560"/>
        <w:rPr>
          <w:iCs/>
        </w:rPr>
      </w:pPr>
      <w:r>
        <w:fldChar w:fldCharType="begin"/>
      </w:r>
      <w:r>
        <w:instrText xml:space="preserve"> HYPERLINK \l "_Toc10629" </w:instrText>
      </w:r>
      <w:r>
        <w:fldChar w:fldCharType="separate"/>
      </w:r>
      <w:r>
        <w:t>6.2 附图</w:t>
      </w:r>
      <w:r>
        <w:tab/>
      </w:r>
      <w:r>
        <w:fldChar w:fldCharType="begin"/>
      </w:r>
      <w:r>
        <w:instrText xml:space="preserve"> PAGEREF _Toc10629 \h </w:instrText>
      </w:r>
      <w:r>
        <w:fldChar w:fldCharType="separate"/>
      </w:r>
      <w:r>
        <w:t>102</w:t>
      </w:r>
      <w:r>
        <w:fldChar w:fldCharType="end"/>
      </w:r>
      <w:r>
        <w:fldChar w:fldCharType="end"/>
      </w:r>
    </w:p>
    <w:p w14:paraId="06DAE567">
      <w:pPr>
        <w:pStyle w:val="24"/>
        <w:tabs>
          <w:tab w:val="right" w:leader="dot" w:pos="8306"/>
        </w:tabs>
        <w:ind w:left="1120" w:firstLine="0" w:firstLineChars="0"/>
        <w:rPr>
          <w:bCs/>
          <w:i/>
          <w:sz w:val="21"/>
          <w:szCs w:val="21"/>
        </w:rPr>
        <w:sectPr>
          <w:headerReference r:id="rId14" w:type="default"/>
          <w:footerReference r:id="rId15" w:type="default"/>
          <w:type w:val="oddPage"/>
          <w:pgSz w:w="11905" w:h="16838"/>
          <w:pgMar w:top="1417" w:right="1134" w:bottom="1134" w:left="1587" w:header="850" w:footer="850" w:gutter="0"/>
          <w:pgNumType w:fmt="upperRoman" w:start="1"/>
          <w:cols w:space="720" w:num="1"/>
          <w:docGrid w:type="lines" w:linePitch="386" w:charSpace="0"/>
        </w:sectPr>
      </w:pPr>
      <w:r>
        <w:rPr>
          <w:bCs/>
          <w:i/>
          <w:szCs w:val="21"/>
        </w:rPr>
        <w:fldChar w:fldCharType="end"/>
      </w:r>
    </w:p>
    <w:bookmarkEnd w:id="19"/>
    <w:p w14:paraId="169F6162">
      <w:pPr>
        <w:pStyle w:val="4"/>
        <w:rPr>
          <w:b/>
          <w:bCs w:val="0"/>
          <w:szCs w:val="36"/>
        </w:rPr>
      </w:pPr>
      <w:bookmarkStart w:id="20" w:name="_Toc7053"/>
      <w:bookmarkStart w:id="21" w:name="_Toc17732"/>
      <w:bookmarkStart w:id="22" w:name="_Toc26214"/>
      <w:bookmarkStart w:id="23" w:name="_Toc32229"/>
      <w:bookmarkStart w:id="24" w:name="_Toc19767"/>
      <w:bookmarkStart w:id="25" w:name="_Toc19271"/>
      <w:bookmarkStart w:id="26" w:name="_Toc15573"/>
      <w:bookmarkStart w:id="27" w:name="_Toc454614231"/>
      <w:bookmarkStart w:id="28" w:name="_Toc19452"/>
      <w:bookmarkStart w:id="29" w:name="_Toc59420488"/>
      <w:bookmarkStart w:id="30" w:name="_Toc384121528"/>
      <w:r>
        <w:rPr>
          <w:b/>
          <w:bCs w:val="0"/>
        </w:rPr>
        <w:t>1 评价范围与依据</w:t>
      </w:r>
      <w:bookmarkEnd w:id="20"/>
      <w:bookmarkEnd w:id="21"/>
      <w:bookmarkEnd w:id="22"/>
      <w:bookmarkEnd w:id="23"/>
      <w:bookmarkEnd w:id="24"/>
      <w:bookmarkEnd w:id="25"/>
      <w:bookmarkEnd w:id="26"/>
      <w:bookmarkEnd w:id="27"/>
      <w:bookmarkEnd w:id="28"/>
      <w:bookmarkEnd w:id="29"/>
      <w:bookmarkEnd w:id="30"/>
    </w:p>
    <w:p w14:paraId="7B67B295">
      <w:pPr>
        <w:pStyle w:val="5"/>
        <w:spacing w:before="0" w:beforeLines="0"/>
        <w:rPr>
          <w:b/>
          <w:bCs w:val="0"/>
        </w:rPr>
      </w:pPr>
      <w:bookmarkStart w:id="31" w:name="_Toc332357203"/>
      <w:bookmarkStart w:id="32" w:name="_Toc384121529"/>
      <w:bookmarkStart w:id="33" w:name="_Toc332786032"/>
      <w:bookmarkStart w:id="34" w:name="_Toc13651"/>
      <w:bookmarkStart w:id="35" w:name="_Toc59420489"/>
      <w:bookmarkStart w:id="36" w:name="_Toc18484"/>
      <w:bookmarkStart w:id="37" w:name="_Toc25140"/>
      <w:bookmarkStart w:id="38" w:name="_Toc14781"/>
      <w:bookmarkStart w:id="39" w:name="_Toc20204"/>
      <w:bookmarkStart w:id="40" w:name="_Toc227"/>
      <w:bookmarkStart w:id="41" w:name="_Toc31663"/>
      <w:bookmarkStart w:id="42" w:name="_Toc454614232"/>
      <w:bookmarkStart w:id="43" w:name="_Toc18682"/>
      <w:r>
        <w:rPr>
          <w:b/>
          <w:bCs w:val="0"/>
        </w:rPr>
        <w:t>1.1评价</w:t>
      </w:r>
      <w:bookmarkEnd w:id="31"/>
      <w:bookmarkEnd w:id="32"/>
      <w:bookmarkEnd w:id="33"/>
      <w:r>
        <w:rPr>
          <w:b/>
          <w:bCs w:val="0"/>
        </w:rPr>
        <w:t>对象和范围</w:t>
      </w:r>
      <w:bookmarkEnd w:id="34"/>
      <w:bookmarkEnd w:id="35"/>
      <w:bookmarkEnd w:id="36"/>
      <w:bookmarkEnd w:id="37"/>
      <w:bookmarkEnd w:id="38"/>
      <w:bookmarkEnd w:id="39"/>
      <w:bookmarkEnd w:id="40"/>
      <w:bookmarkEnd w:id="41"/>
      <w:bookmarkEnd w:id="42"/>
      <w:bookmarkEnd w:id="43"/>
    </w:p>
    <w:p w14:paraId="543AF0FE">
      <w:pPr>
        <w:pStyle w:val="6"/>
        <w:ind w:firstLine="562"/>
        <w:rPr>
          <w:rFonts w:eastAsia="宋体"/>
          <w:b/>
          <w:bCs w:val="0"/>
        </w:rPr>
      </w:pPr>
      <w:bookmarkStart w:id="44" w:name="_Toc14016"/>
      <w:bookmarkStart w:id="45" w:name="_Toc454614233"/>
      <w:bookmarkStart w:id="46" w:name="_Toc12378"/>
      <w:bookmarkStart w:id="47" w:name="_Toc59420490"/>
      <w:bookmarkStart w:id="48" w:name="_Toc32212"/>
      <w:bookmarkStart w:id="49" w:name="_Toc17212"/>
      <w:r>
        <w:rPr>
          <w:rFonts w:eastAsia="宋体"/>
          <w:b/>
          <w:bCs w:val="0"/>
        </w:rPr>
        <w:t>1.1.1评价对象</w:t>
      </w:r>
      <w:bookmarkEnd w:id="44"/>
      <w:bookmarkEnd w:id="45"/>
      <w:bookmarkEnd w:id="46"/>
      <w:bookmarkEnd w:id="47"/>
      <w:bookmarkEnd w:id="48"/>
      <w:bookmarkEnd w:id="49"/>
    </w:p>
    <w:p w14:paraId="743C2BA5">
      <w:pPr>
        <w:ind w:firstLine="560"/>
      </w:pPr>
      <w:r>
        <w:t>本次验收评价对象：</w:t>
      </w:r>
      <w:r>
        <w:rPr>
          <w:bCs/>
        </w:rPr>
        <w:t>永善县茂林镇松林村海子采石场50万t/a露天采矿工程</w:t>
      </w:r>
      <w:r>
        <w:t>。</w:t>
      </w:r>
    </w:p>
    <w:p w14:paraId="43633DF2">
      <w:pPr>
        <w:pStyle w:val="6"/>
        <w:ind w:firstLine="562"/>
        <w:rPr>
          <w:rFonts w:eastAsia="宋体"/>
          <w:b/>
          <w:bCs w:val="0"/>
        </w:rPr>
      </w:pPr>
      <w:bookmarkStart w:id="50" w:name="_Toc11414"/>
      <w:bookmarkStart w:id="51" w:name="_Toc454614234"/>
      <w:bookmarkStart w:id="52" w:name="_Toc32508"/>
      <w:bookmarkStart w:id="53" w:name="_Toc5141"/>
      <w:bookmarkStart w:id="54" w:name="_Toc10878"/>
      <w:bookmarkStart w:id="55" w:name="_Toc59420491"/>
      <w:r>
        <w:rPr>
          <w:rFonts w:eastAsia="宋体"/>
          <w:b/>
          <w:bCs w:val="0"/>
        </w:rPr>
        <w:t>1.1.2评价范围</w:t>
      </w:r>
      <w:bookmarkEnd w:id="50"/>
      <w:bookmarkEnd w:id="51"/>
      <w:bookmarkEnd w:id="52"/>
      <w:bookmarkEnd w:id="53"/>
      <w:bookmarkEnd w:id="54"/>
      <w:bookmarkEnd w:id="55"/>
    </w:p>
    <w:p w14:paraId="514C410F">
      <w:pPr>
        <w:pStyle w:val="20"/>
        <w:ind w:firstLine="560"/>
        <w:rPr>
          <w:snapToGrid w:val="0"/>
          <w:kern w:val="0"/>
          <w:szCs w:val="28"/>
        </w:rPr>
      </w:pPr>
      <w:r>
        <w:rPr>
          <w:snapToGrid w:val="0"/>
          <w:kern w:val="0"/>
          <w:szCs w:val="28"/>
        </w:rPr>
        <w:t>本次安全设施验收评价范围是根据</w:t>
      </w:r>
      <w:r>
        <w:rPr>
          <w:bCs/>
          <w:szCs w:val="28"/>
        </w:rPr>
        <w:t>永善县茂林镇松林村海子采石场</w:t>
      </w:r>
      <w:r>
        <w:rPr>
          <w:snapToGrid w:val="0"/>
          <w:kern w:val="0"/>
          <w:szCs w:val="28"/>
        </w:rPr>
        <w:t>的采矿许可范围和设计范围确定；评价范围包括露天开采生产系统、辅助生产系统的安全设施及安全生产管理进行安全验收评价。主要包括：总平面布置、露天采场、防排水、供配电、矿岩运输、</w:t>
      </w:r>
      <w:r>
        <w:rPr>
          <w:rFonts w:hint="eastAsia"/>
          <w:snapToGrid w:val="0"/>
          <w:kern w:val="0"/>
          <w:szCs w:val="28"/>
        </w:rPr>
        <w:t>边坡监测系统、</w:t>
      </w:r>
      <w:r>
        <w:rPr>
          <w:snapToGrid w:val="0"/>
          <w:kern w:val="0"/>
          <w:szCs w:val="28"/>
        </w:rPr>
        <w:t>通信系统、个人安全防护、安全标志和安全管理等。</w:t>
      </w:r>
    </w:p>
    <w:p w14:paraId="7568B59C">
      <w:pPr>
        <w:pStyle w:val="20"/>
        <w:ind w:firstLine="560"/>
        <w:rPr>
          <w:szCs w:val="28"/>
        </w:rPr>
      </w:pPr>
      <w:r>
        <w:rPr>
          <w:szCs w:val="28"/>
        </w:rPr>
        <w:t>（1）安全设施验收评价空间范围</w:t>
      </w:r>
    </w:p>
    <w:p w14:paraId="4D0C27B8">
      <w:pPr>
        <w:pStyle w:val="20"/>
        <w:ind w:firstLine="560"/>
        <w:rPr>
          <w:szCs w:val="28"/>
        </w:rPr>
      </w:pPr>
      <w:r>
        <w:rPr>
          <w:szCs w:val="28"/>
        </w:rPr>
        <w:t>①矿区范围</w:t>
      </w:r>
    </w:p>
    <w:p w14:paraId="665C9608">
      <w:pPr>
        <w:ind w:firstLine="560"/>
        <w:rPr>
          <w:color w:val="000000"/>
          <w:szCs w:val="28"/>
        </w:rPr>
      </w:pPr>
      <w:r>
        <w:rPr>
          <w:bCs/>
          <w:color w:val="000000"/>
          <w:szCs w:val="28"/>
          <w:lang w:val="en-GB"/>
        </w:rPr>
        <w:t>永善县茂林镇松林村海子采石场</w:t>
      </w:r>
      <w:r>
        <w:rPr>
          <w:bCs/>
          <w:color w:val="000000"/>
          <w:szCs w:val="28"/>
        </w:rPr>
        <w:t>采矿权人永善润佳制造有限责任公司于2020年12月1日取得最新采矿许可证，证号为</w:t>
      </w:r>
      <w:r>
        <w:rPr>
          <w:color w:val="000000" w:themeColor="text1"/>
          <w14:textFill>
            <w14:solidFill>
              <w14:schemeClr w14:val="tx1"/>
            </w14:solidFill>
          </w14:textFill>
        </w:rPr>
        <w:t>C5306252020127100151009</w:t>
      </w:r>
      <w:r>
        <w:rPr>
          <w:bCs/>
          <w:color w:val="000000"/>
          <w:szCs w:val="28"/>
        </w:rPr>
        <w:t>，开采矿种为建筑石料用灰岩，开采方式为露天开采，生产规模为30万t/a，有效期限，自2020年12月1日至2026年12月1日，矿区面积为0.0673km</w:t>
      </w:r>
      <w:r>
        <w:rPr>
          <w:bCs/>
          <w:color w:val="000000"/>
          <w:szCs w:val="28"/>
          <w:vertAlign w:val="superscript"/>
        </w:rPr>
        <w:t>2</w:t>
      </w:r>
      <w:r>
        <w:rPr>
          <w:bCs/>
          <w:color w:val="000000"/>
          <w:szCs w:val="28"/>
        </w:rPr>
        <w:t>，开采深度为2790m</w:t>
      </w:r>
      <w:r>
        <w:rPr>
          <w:rFonts w:hint="eastAsia"/>
          <w:bCs/>
          <w:color w:val="000000"/>
          <w:szCs w:val="28"/>
        </w:rPr>
        <w:t>—</w:t>
      </w:r>
      <w:r>
        <w:rPr>
          <w:bCs/>
          <w:color w:val="000000"/>
          <w:szCs w:val="28"/>
        </w:rPr>
        <w:t>2700m，采矿权范围由7个拐点圈定</w:t>
      </w:r>
      <w:r>
        <w:rPr>
          <w:color w:val="000000"/>
          <w:szCs w:val="28"/>
        </w:rPr>
        <w:t>，矿区范围拐点坐标详见表1.1-1。</w:t>
      </w:r>
    </w:p>
    <w:p w14:paraId="08F4A918">
      <w:pPr>
        <w:spacing w:line="240" w:lineRule="auto"/>
        <w:ind w:firstLine="480"/>
        <w:jc w:val="center"/>
        <w:rPr>
          <w:bCs/>
          <w:color w:val="000000"/>
          <w:kern w:val="0"/>
          <w:sz w:val="24"/>
          <w:szCs w:val="24"/>
        </w:rPr>
      </w:pPr>
      <w:r>
        <w:rPr>
          <w:bCs/>
          <w:color w:val="000000"/>
          <w:kern w:val="0"/>
          <w:sz w:val="24"/>
          <w:szCs w:val="24"/>
        </w:rPr>
        <w:t>表1.1-1  矿区范围拐点坐标表</w:t>
      </w:r>
    </w:p>
    <w:tbl>
      <w:tblPr>
        <w:tblStyle w:val="195"/>
        <w:tblW w:w="5000"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2000"/>
        <w:gridCol w:w="3516"/>
        <w:gridCol w:w="3674"/>
      </w:tblGrid>
      <w:tr w14:paraId="16810B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21" w:hRule="atLeast"/>
          <w:tblHeader/>
          <w:jc w:val="center"/>
        </w:trPr>
        <w:tc>
          <w:tcPr>
            <w:tcW w:w="1088" w:type="pct"/>
            <w:vMerge w:val="restart"/>
            <w:tcBorders>
              <w:bottom w:val="nil"/>
            </w:tcBorders>
            <w:vAlign w:val="center"/>
          </w:tcPr>
          <w:p w14:paraId="2D07BEAF">
            <w:pPr>
              <w:spacing w:line="240" w:lineRule="auto"/>
              <w:ind w:firstLine="0" w:firstLineChars="0"/>
              <w:jc w:val="center"/>
              <w:rPr>
                <w:rFonts w:ascii="Arial" w:hAnsi="Arial" w:cs="Arial" w:eastAsiaTheme="minorEastAsia"/>
                <w:b/>
                <w:bCs/>
                <w:color w:val="000000"/>
                <w:sz w:val="21"/>
                <w:szCs w:val="21"/>
              </w:rPr>
            </w:pPr>
            <w:r>
              <w:rPr>
                <w:rFonts w:ascii="Arial" w:hAnsi="Arial" w:cs="Arial" w:eastAsiaTheme="minorEastAsia"/>
                <w:b/>
                <w:bCs/>
                <w:color w:val="000000"/>
                <w:sz w:val="21"/>
                <w:szCs w:val="21"/>
              </w:rPr>
              <w:t>拐点编号</w:t>
            </w:r>
          </w:p>
        </w:tc>
        <w:tc>
          <w:tcPr>
            <w:tcW w:w="3912" w:type="pct"/>
            <w:gridSpan w:val="2"/>
            <w:vAlign w:val="center"/>
          </w:tcPr>
          <w:p w14:paraId="1D2B058F">
            <w:pPr>
              <w:spacing w:line="240" w:lineRule="auto"/>
              <w:ind w:firstLine="0" w:firstLineChars="0"/>
              <w:jc w:val="center"/>
              <w:rPr>
                <w:rFonts w:ascii="Arial" w:hAnsi="Arial" w:cs="Arial" w:eastAsiaTheme="minorEastAsia"/>
                <w:b/>
                <w:bCs/>
                <w:color w:val="000000"/>
                <w:sz w:val="21"/>
                <w:szCs w:val="21"/>
              </w:rPr>
            </w:pPr>
            <w:r>
              <w:rPr>
                <w:rFonts w:ascii="Arial" w:hAnsi="Arial" w:cs="Arial" w:eastAsiaTheme="minorEastAsia"/>
                <w:b/>
                <w:bCs/>
                <w:color w:val="000000"/>
                <w:sz w:val="21"/>
                <w:szCs w:val="21"/>
              </w:rPr>
              <w:t>2000国家大地坐标系</w:t>
            </w:r>
          </w:p>
        </w:tc>
      </w:tr>
      <w:tr w14:paraId="431FF1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blHeader/>
          <w:jc w:val="center"/>
        </w:trPr>
        <w:tc>
          <w:tcPr>
            <w:tcW w:w="1088" w:type="pct"/>
            <w:vMerge w:val="continue"/>
            <w:tcBorders>
              <w:top w:val="nil"/>
            </w:tcBorders>
            <w:vAlign w:val="center"/>
          </w:tcPr>
          <w:p w14:paraId="6FA12612">
            <w:pPr>
              <w:spacing w:line="240" w:lineRule="auto"/>
              <w:ind w:firstLine="0" w:firstLineChars="0"/>
              <w:jc w:val="center"/>
              <w:rPr>
                <w:rFonts w:ascii="Arial" w:hAnsi="Arial" w:cs="Arial" w:eastAsiaTheme="minorEastAsia"/>
                <w:b/>
                <w:bCs/>
                <w:color w:val="000000"/>
                <w:sz w:val="21"/>
                <w:szCs w:val="21"/>
              </w:rPr>
            </w:pPr>
          </w:p>
        </w:tc>
        <w:tc>
          <w:tcPr>
            <w:tcW w:w="1913" w:type="pct"/>
            <w:vAlign w:val="center"/>
          </w:tcPr>
          <w:p w14:paraId="143E84F1">
            <w:pPr>
              <w:spacing w:line="240" w:lineRule="auto"/>
              <w:ind w:firstLine="0" w:firstLineChars="0"/>
              <w:jc w:val="center"/>
              <w:rPr>
                <w:rFonts w:ascii="Arial" w:hAnsi="Arial" w:cs="Arial" w:eastAsiaTheme="minorEastAsia"/>
                <w:b/>
                <w:bCs/>
                <w:color w:val="000000"/>
                <w:sz w:val="21"/>
                <w:szCs w:val="21"/>
              </w:rPr>
            </w:pPr>
            <w:r>
              <w:rPr>
                <w:rFonts w:ascii="Arial" w:hAnsi="Arial" w:cs="Arial" w:eastAsiaTheme="minorEastAsia"/>
                <w:b/>
                <w:bCs/>
                <w:color w:val="000000"/>
                <w:sz w:val="21"/>
                <w:szCs w:val="21"/>
              </w:rPr>
              <w:t>X</w:t>
            </w:r>
          </w:p>
        </w:tc>
        <w:tc>
          <w:tcPr>
            <w:tcW w:w="1999" w:type="pct"/>
            <w:vAlign w:val="center"/>
          </w:tcPr>
          <w:p w14:paraId="3D7EC387">
            <w:pPr>
              <w:spacing w:line="240" w:lineRule="auto"/>
              <w:ind w:firstLine="0" w:firstLineChars="0"/>
              <w:jc w:val="center"/>
              <w:rPr>
                <w:rFonts w:ascii="Arial" w:hAnsi="Arial" w:cs="Arial" w:eastAsiaTheme="minorEastAsia"/>
                <w:b/>
                <w:bCs/>
                <w:color w:val="000000"/>
                <w:sz w:val="21"/>
                <w:szCs w:val="21"/>
              </w:rPr>
            </w:pPr>
            <w:r>
              <w:rPr>
                <w:rFonts w:ascii="Arial" w:hAnsi="Arial" w:cs="Arial" w:eastAsiaTheme="minorEastAsia"/>
                <w:b/>
                <w:bCs/>
                <w:color w:val="000000"/>
                <w:sz w:val="21"/>
                <w:szCs w:val="21"/>
              </w:rPr>
              <w:t>Y</w:t>
            </w:r>
          </w:p>
        </w:tc>
      </w:tr>
      <w:tr w14:paraId="6E2E46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5" w:hRule="atLeast"/>
          <w:jc w:val="center"/>
        </w:trPr>
        <w:tc>
          <w:tcPr>
            <w:tcW w:w="1088" w:type="pct"/>
            <w:vAlign w:val="center"/>
          </w:tcPr>
          <w:p w14:paraId="3B8C248F">
            <w:pPr>
              <w:spacing w:line="240" w:lineRule="auto"/>
              <w:ind w:firstLine="0" w:firstLineChars="0"/>
              <w:jc w:val="center"/>
              <w:rPr>
                <w:rFonts w:ascii="Arial" w:hAnsi="Arial" w:cs="Arial" w:eastAsiaTheme="minorEastAsia"/>
                <w:color w:val="000000"/>
                <w:sz w:val="21"/>
                <w:szCs w:val="21"/>
              </w:rPr>
            </w:pPr>
            <w:r>
              <w:rPr>
                <w:rFonts w:ascii="Arial" w:hAnsi="Arial" w:cs="Arial" w:eastAsiaTheme="minorEastAsia"/>
                <w:color w:val="000000"/>
                <w:sz w:val="21"/>
                <w:szCs w:val="21"/>
              </w:rPr>
              <w:t>1</w:t>
            </w:r>
          </w:p>
        </w:tc>
        <w:tc>
          <w:tcPr>
            <w:tcW w:w="1913" w:type="pct"/>
            <w:vAlign w:val="center"/>
          </w:tcPr>
          <w:p w14:paraId="0A6348AF">
            <w:pPr>
              <w:spacing w:line="240" w:lineRule="auto"/>
              <w:ind w:firstLine="0" w:firstLineChars="0"/>
              <w:jc w:val="center"/>
              <w:rPr>
                <w:rFonts w:ascii="Arial" w:hAnsi="Arial" w:cs="Arial" w:eastAsiaTheme="minorEastAsia"/>
                <w:color w:val="000000"/>
                <w:sz w:val="21"/>
                <w:szCs w:val="21"/>
              </w:rPr>
            </w:pPr>
            <w:r>
              <w:rPr>
                <w:rFonts w:ascii="Arial" w:hAnsi="Arial" w:cs="Arial" w:eastAsiaTheme="minorEastAsia"/>
                <w:color w:val="000000"/>
                <w:sz w:val="21"/>
                <w:szCs w:val="21"/>
              </w:rPr>
              <w:t>3068376.42</w:t>
            </w:r>
          </w:p>
        </w:tc>
        <w:tc>
          <w:tcPr>
            <w:tcW w:w="1999" w:type="pct"/>
            <w:vAlign w:val="center"/>
          </w:tcPr>
          <w:p w14:paraId="1DE82709">
            <w:pPr>
              <w:spacing w:line="240" w:lineRule="auto"/>
              <w:ind w:firstLine="0" w:firstLineChars="0"/>
              <w:jc w:val="center"/>
              <w:rPr>
                <w:rFonts w:ascii="Arial" w:hAnsi="Arial" w:cs="Arial" w:eastAsiaTheme="minorEastAsia"/>
                <w:color w:val="000000"/>
                <w:sz w:val="21"/>
                <w:szCs w:val="21"/>
              </w:rPr>
            </w:pPr>
            <w:r>
              <w:rPr>
                <w:rFonts w:ascii="Arial" w:hAnsi="Arial" w:cs="Arial" w:eastAsiaTheme="minorEastAsia"/>
                <w:color w:val="000000"/>
                <w:sz w:val="21"/>
                <w:szCs w:val="21"/>
              </w:rPr>
              <w:t>35355405.51</w:t>
            </w:r>
          </w:p>
        </w:tc>
      </w:tr>
      <w:tr w14:paraId="66A82F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jc w:val="center"/>
        </w:trPr>
        <w:tc>
          <w:tcPr>
            <w:tcW w:w="1088" w:type="pct"/>
            <w:vAlign w:val="center"/>
          </w:tcPr>
          <w:p w14:paraId="004DF2D8">
            <w:pPr>
              <w:spacing w:line="240" w:lineRule="auto"/>
              <w:ind w:firstLine="0" w:firstLineChars="0"/>
              <w:jc w:val="center"/>
              <w:rPr>
                <w:rFonts w:ascii="Arial" w:hAnsi="Arial" w:cs="Arial" w:eastAsiaTheme="minorEastAsia"/>
                <w:color w:val="000000"/>
                <w:sz w:val="21"/>
                <w:szCs w:val="21"/>
              </w:rPr>
            </w:pPr>
            <w:r>
              <w:rPr>
                <w:rFonts w:ascii="Arial" w:hAnsi="Arial" w:cs="Arial" w:eastAsiaTheme="minorEastAsia"/>
                <w:color w:val="000000"/>
                <w:sz w:val="21"/>
                <w:szCs w:val="21"/>
              </w:rPr>
              <w:t>2</w:t>
            </w:r>
          </w:p>
        </w:tc>
        <w:tc>
          <w:tcPr>
            <w:tcW w:w="1913" w:type="pct"/>
            <w:vAlign w:val="center"/>
          </w:tcPr>
          <w:p w14:paraId="4969FD98">
            <w:pPr>
              <w:spacing w:line="240" w:lineRule="auto"/>
              <w:ind w:firstLine="0" w:firstLineChars="0"/>
              <w:jc w:val="center"/>
              <w:rPr>
                <w:rFonts w:ascii="Arial" w:hAnsi="Arial" w:cs="Arial" w:eastAsiaTheme="minorEastAsia"/>
                <w:color w:val="000000"/>
                <w:sz w:val="21"/>
                <w:szCs w:val="21"/>
              </w:rPr>
            </w:pPr>
            <w:r>
              <w:rPr>
                <w:rFonts w:ascii="Arial" w:hAnsi="Arial" w:cs="Arial" w:eastAsiaTheme="minorEastAsia"/>
                <w:color w:val="000000"/>
                <w:sz w:val="21"/>
                <w:szCs w:val="21"/>
              </w:rPr>
              <w:t>3068230.37</w:t>
            </w:r>
          </w:p>
        </w:tc>
        <w:tc>
          <w:tcPr>
            <w:tcW w:w="1999" w:type="pct"/>
            <w:vAlign w:val="center"/>
          </w:tcPr>
          <w:p w14:paraId="023281BF">
            <w:pPr>
              <w:spacing w:line="240" w:lineRule="auto"/>
              <w:ind w:firstLine="0" w:firstLineChars="0"/>
              <w:jc w:val="center"/>
              <w:rPr>
                <w:rFonts w:ascii="Arial" w:hAnsi="Arial" w:cs="Arial" w:eastAsiaTheme="minorEastAsia"/>
                <w:color w:val="000000"/>
                <w:sz w:val="21"/>
                <w:szCs w:val="21"/>
              </w:rPr>
            </w:pPr>
            <w:r>
              <w:rPr>
                <w:rFonts w:ascii="Arial" w:hAnsi="Arial" w:cs="Arial" w:eastAsiaTheme="minorEastAsia"/>
                <w:color w:val="000000"/>
                <w:sz w:val="21"/>
                <w:szCs w:val="21"/>
              </w:rPr>
              <w:t>35355452.50</w:t>
            </w:r>
          </w:p>
        </w:tc>
      </w:tr>
      <w:tr w14:paraId="7B7649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4" w:hRule="atLeast"/>
          <w:jc w:val="center"/>
        </w:trPr>
        <w:tc>
          <w:tcPr>
            <w:tcW w:w="1088" w:type="pct"/>
            <w:vAlign w:val="center"/>
          </w:tcPr>
          <w:p w14:paraId="5D4102F5">
            <w:pPr>
              <w:spacing w:line="240" w:lineRule="auto"/>
              <w:ind w:firstLine="0" w:firstLineChars="0"/>
              <w:jc w:val="center"/>
              <w:rPr>
                <w:rFonts w:ascii="Arial" w:hAnsi="Arial" w:cs="Arial" w:eastAsiaTheme="minorEastAsia"/>
                <w:color w:val="000000"/>
                <w:sz w:val="21"/>
                <w:szCs w:val="21"/>
              </w:rPr>
            </w:pPr>
            <w:r>
              <w:rPr>
                <w:rFonts w:ascii="Arial" w:hAnsi="Arial" w:cs="Arial" w:eastAsiaTheme="minorEastAsia"/>
                <w:color w:val="000000"/>
                <w:sz w:val="21"/>
                <w:szCs w:val="21"/>
              </w:rPr>
              <w:t>3</w:t>
            </w:r>
          </w:p>
        </w:tc>
        <w:tc>
          <w:tcPr>
            <w:tcW w:w="1913" w:type="pct"/>
            <w:vAlign w:val="center"/>
          </w:tcPr>
          <w:p w14:paraId="221B6166">
            <w:pPr>
              <w:spacing w:line="240" w:lineRule="auto"/>
              <w:ind w:firstLine="0" w:firstLineChars="0"/>
              <w:jc w:val="center"/>
              <w:rPr>
                <w:rFonts w:ascii="Arial" w:hAnsi="Arial" w:cs="Arial" w:eastAsiaTheme="minorEastAsia"/>
                <w:color w:val="000000"/>
                <w:sz w:val="21"/>
                <w:szCs w:val="21"/>
              </w:rPr>
            </w:pPr>
            <w:r>
              <w:rPr>
                <w:rFonts w:ascii="Arial" w:hAnsi="Arial" w:cs="Arial" w:eastAsiaTheme="minorEastAsia"/>
                <w:color w:val="000000"/>
                <w:sz w:val="21"/>
                <w:szCs w:val="21"/>
              </w:rPr>
              <w:t>3068187.19</w:t>
            </w:r>
          </w:p>
        </w:tc>
        <w:tc>
          <w:tcPr>
            <w:tcW w:w="1999" w:type="pct"/>
            <w:vAlign w:val="center"/>
          </w:tcPr>
          <w:p w14:paraId="0F744B37">
            <w:pPr>
              <w:spacing w:line="240" w:lineRule="auto"/>
              <w:ind w:firstLine="0" w:firstLineChars="0"/>
              <w:jc w:val="center"/>
              <w:rPr>
                <w:rFonts w:ascii="Arial" w:hAnsi="Arial" w:cs="Arial" w:eastAsiaTheme="minorEastAsia"/>
                <w:color w:val="000000"/>
                <w:sz w:val="21"/>
                <w:szCs w:val="21"/>
              </w:rPr>
            </w:pPr>
            <w:r>
              <w:rPr>
                <w:rFonts w:ascii="Arial" w:hAnsi="Arial" w:cs="Arial" w:eastAsiaTheme="minorEastAsia"/>
                <w:color w:val="000000"/>
                <w:sz w:val="21"/>
                <w:szCs w:val="21"/>
              </w:rPr>
              <w:t>35355298.83</w:t>
            </w:r>
          </w:p>
        </w:tc>
      </w:tr>
      <w:tr w14:paraId="55312F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jc w:val="center"/>
        </w:trPr>
        <w:tc>
          <w:tcPr>
            <w:tcW w:w="1088" w:type="pct"/>
            <w:vAlign w:val="center"/>
          </w:tcPr>
          <w:p w14:paraId="03F0BEDB">
            <w:pPr>
              <w:spacing w:line="240" w:lineRule="auto"/>
              <w:ind w:firstLine="0" w:firstLineChars="0"/>
              <w:jc w:val="center"/>
              <w:rPr>
                <w:rFonts w:ascii="Arial" w:hAnsi="Arial" w:cs="Arial" w:eastAsiaTheme="minorEastAsia"/>
                <w:color w:val="000000"/>
                <w:sz w:val="21"/>
                <w:szCs w:val="21"/>
              </w:rPr>
            </w:pPr>
            <w:r>
              <w:rPr>
                <w:rFonts w:ascii="Arial" w:hAnsi="Arial" w:cs="Arial" w:eastAsiaTheme="minorEastAsia"/>
                <w:color w:val="000000"/>
                <w:sz w:val="21"/>
                <w:szCs w:val="21"/>
              </w:rPr>
              <w:t>4</w:t>
            </w:r>
          </w:p>
        </w:tc>
        <w:tc>
          <w:tcPr>
            <w:tcW w:w="1913" w:type="pct"/>
            <w:vAlign w:val="center"/>
          </w:tcPr>
          <w:p w14:paraId="45D68B2F">
            <w:pPr>
              <w:spacing w:line="240" w:lineRule="auto"/>
              <w:ind w:firstLine="0" w:firstLineChars="0"/>
              <w:jc w:val="center"/>
              <w:rPr>
                <w:rFonts w:ascii="Arial" w:hAnsi="Arial" w:cs="Arial" w:eastAsiaTheme="minorEastAsia"/>
                <w:color w:val="000000"/>
                <w:sz w:val="21"/>
                <w:szCs w:val="21"/>
              </w:rPr>
            </w:pPr>
            <w:r>
              <w:rPr>
                <w:rFonts w:ascii="Arial" w:hAnsi="Arial" w:cs="Arial" w:eastAsiaTheme="minorEastAsia"/>
                <w:color w:val="000000"/>
                <w:sz w:val="21"/>
                <w:szCs w:val="21"/>
              </w:rPr>
              <w:t>3067967.48</w:t>
            </w:r>
          </w:p>
        </w:tc>
        <w:tc>
          <w:tcPr>
            <w:tcW w:w="1999" w:type="pct"/>
            <w:vAlign w:val="center"/>
          </w:tcPr>
          <w:p w14:paraId="52A669AF">
            <w:pPr>
              <w:spacing w:line="240" w:lineRule="auto"/>
              <w:ind w:firstLine="0" w:firstLineChars="0"/>
              <w:jc w:val="center"/>
              <w:rPr>
                <w:rFonts w:ascii="Arial" w:hAnsi="Arial" w:cs="Arial" w:eastAsiaTheme="minorEastAsia"/>
                <w:color w:val="000000"/>
                <w:sz w:val="21"/>
                <w:szCs w:val="21"/>
              </w:rPr>
            </w:pPr>
            <w:r>
              <w:rPr>
                <w:rFonts w:ascii="Arial" w:hAnsi="Arial" w:cs="Arial" w:eastAsiaTheme="minorEastAsia"/>
                <w:color w:val="000000"/>
                <w:sz w:val="21"/>
                <w:szCs w:val="21"/>
              </w:rPr>
              <w:t>35355275.97</w:t>
            </w:r>
          </w:p>
        </w:tc>
      </w:tr>
      <w:tr w14:paraId="2C946C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4" w:hRule="atLeast"/>
          <w:jc w:val="center"/>
        </w:trPr>
        <w:tc>
          <w:tcPr>
            <w:tcW w:w="1088" w:type="pct"/>
            <w:vAlign w:val="center"/>
          </w:tcPr>
          <w:p w14:paraId="5B009B2E">
            <w:pPr>
              <w:spacing w:line="240" w:lineRule="auto"/>
              <w:ind w:firstLine="0" w:firstLineChars="0"/>
              <w:jc w:val="center"/>
              <w:rPr>
                <w:rFonts w:ascii="Arial" w:hAnsi="Arial" w:cs="Arial" w:eastAsiaTheme="minorEastAsia"/>
                <w:color w:val="000000"/>
                <w:sz w:val="21"/>
                <w:szCs w:val="21"/>
              </w:rPr>
            </w:pPr>
            <w:r>
              <w:rPr>
                <w:rFonts w:ascii="Arial" w:hAnsi="Arial" w:cs="Arial" w:eastAsiaTheme="minorEastAsia"/>
                <w:color w:val="000000"/>
                <w:sz w:val="21"/>
                <w:szCs w:val="21"/>
              </w:rPr>
              <w:t>5</w:t>
            </w:r>
          </w:p>
        </w:tc>
        <w:tc>
          <w:tcPr>
            <w:tcW w:w="1913" w:type="pct"/>
            <w:vAlign w:val="center"/>
          </w:tcPr>
          <w:p w14:paraId="414E1EC9">
            <w:pPr>
              <w:spacing w:line="240" w:lineRule="auto"/>
              <w:ind w:firstLine="0" w:firstLineChars="0"/>
              <w:jc w:val="center"/>
              <w:rPr>
                <w:rFonts w:ascii="Arial" w:hAnsi="Arial" w:cs="Arial" w:eastAsiaTheme="minorEastAsia"/>
                <w:color w:val="000000"/>
                <w:sz w:val="21"/>
                <w:szCs w:val="21"/>
              </w:rPr>
            </w:pPr>
            <w:r>
              <w:rPr>
                <w:rFonts w:ascii="Arial" w:hAnsi="Arial" w:cs="Arial" w:eastAsiaTheme="minorEastAsia"/>
                <w:color w:val="000000"/>
                <w:sz w:val="21"/>
                <w:szCs w:val="21"/>
              </w:rPr>
              <w:t>3067972.56</w:t>
            </w:r>
          </w:p>
        </w:tc>
        <w:tc>
          <w:tcPr>
            <w:tcW w:w="1999" w:type="pct"/>
            <w:vAlign w:val="center"/>
          </w:tcPr>
          <w:p w14:paraId="6CFFCE26">
            <w:pPr>
              <w:spacing w:line="240" w:lineRule="auto"/>
              <w:ind w:firstLine="0" w:firstLineChars="0"/>
              <w:jc w:val="center"/>
              <w:rPr>
                <w:rFonts w:ascii="Arial" w:hAnsi="Arial" w:cs="Arial" w:eastAsiaTheme="minorEastAsia"/>
                <w:color w:val="000000"/>
                <w:sz w:val="21"/>
                <w:szCs w:val="21"/>
              </w:rPr>
            </w:pPr>
            <w:r>
              <w:rPr>
                <w:rFonts w:ascii="Arial" w:hAnsi="Arial" w:cs="Arial" w:eastAsiaTheme="minorEastAsia"/>
                <w:color w:val="000000"/>
                <w:sz w:val="21"/>
                <w:szCs w:val="21"/>
              </w:rPr>
              <w:t>35355150.23</w:t>
            </w:r>
          </w:p>
        </w:tc>
      </w:tr>
      <w:tr w14:paraId="75A6DE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jc w:val="center"/>
        </w:trPr>
        <w:tc>
          <w:tcPr>
            <w:tcW w:w="1088" w:type="pct"/>
            <w:vAlign w:val="center"/>
          </w:tcPr>
          <w:p w14:paraId="5510B610">
            <w:pPr>
              <w:spacing w:line="240" w:lineRule="auto"/>
              <w:ind w:firstLine="0" w:firstLineChars="0"/>
              <w:jc w:val="center"/>
              <w:rPr>
                <w:rFonts w:ascii="Arial" w:hAnsi="Arial" w:cs="Arial" w:eastAsiaTheme="minorEastAsia"/>
                <w:color w:val="000000"/>
                <w:sz w:val="21"/>
                <w:szCs w:val="21"/>
              </w:rPr>
            </w:pPr>
            <w:r>
              <w:rPr>
                <w:rFonts w:ascii="Arial" w:hAnsi="Arial" w:cs="Arial" w:eastAsiaTheme="minorEastAsia"/>
                <w:color w:val="000000"/>
                <w:sz w:val="21"/>
                <w:szCs w:val="21"/>
              </w:rPr>
              <w:t>6</w:t>
            </w:r>
          </w:p>
        </w:tc>
        <w:tc>
          <w:tcPr>
            <w:tcW w:w="1913" w:type="pct"/>
            <w:vAlign w:val="center"/>
          </w:tcPr>
          <w:p w14:paraId="7D25788C">
            <w:pPr>
              <w:spacing w:line="240" w:lineRule="auto"/>
              <w:ind w:firstLine="0" w:firstLineChars="0"/>
              <w:jc w:val="center"/>
              <w:rPr>
                <w:rFonts w:ascii="Arial" w:hAnsi="Arial" w:cs="Arial" w:eastAsiaTheme="minorEastAsia"/>
                <w:color w:val="000000"/>
                <w:sz w:val="21"/>
                <w:szCs w:val="21"/>
              </w:rPr>
            </w:pPr>
            <w:r>
              <w:rPr>
                <w:rFonts w:ascii="Arial" w:hAnsi="Arial" w:cs="Arial" w:eastAsiaTheme="minorEastAsia"/>
                <w:color w:val="000000"/>
                <w:sz w:val="21"/>
                <w:szCs w:val="21"/>
              </w:rPr>
              <w:t>3068262.12</w:t>
            </w:r>
          </w:p>
        </w:tc>
        <w:tc>
          <w:tcPr>
            <w:tcW w:w="1999" w:type="pct"/>
            <w:vAlign w:val="center"/>
          </w:tcPr>
          <w:p w14:paraId="218E92EA">
            <w:pPr>
              <w:spacing w:line="240" w:lineRule="auto"/>
              <w:ind w:firstLine="0" w:firstLineChars="0"/>
              <w:jc w:val="center"/>
              <w:rPr>
                <w:rFonts w:ascii="Arial" w:hAnsi="Arial" w:cs="Arial" w:eastAsiaTheme="minorEastAsia"/>
                <w:color w:val="000000"/>
                <w:sz w:val="21"/>
                <w:szCs w:val="21"/>
              </w:rPr>
            </w:pPr>
            <w:r>
              <w:rPr>
                <w:rFonts w:ascii="Arial" w:hAnsi="Arial" w:cs="Arial" w:eastAsiaTheme="minorEastAsia"/>
                <w:color w:val="000000"/>
                <w:sz w:val="21"/>
                <w:szCs w:val="21"/>
              </w:rPr>
              <w:t>35355093.08</w:t>
            </w:r>
          </w:p>
        </w:tc>
      </w:tr>
      <w:tr w14:paraId="1D0E2C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4" w:hRule="atLeast"/>
          <w:jc w:val="center"/>
        </w:trPr>
        <w:tc>
          <w:tcPr>
            <w:tcW w:w="1088" w:type="pct"/>
            <w:vAlign w:val="center"/>
          </w:tcPr>
          <w:p w14:paraId="1DBEE087">
            <w:pPr>
              <w:spacing w:line="240" w:lineRule="auto"/>
              <w:ind w:firstLine="0" w:firstLineChars="0"/>
              <w:jc w:val="center"/>
              <w:rPr>
                <w:rFonts w:ascii="Arial" w:hAnsi="Arial" w:cs="Arial" w:eastAsiaTheme="minorEastAsia"/>
                <w:color w:val="000000"/>
                <w:sz w:val="21"/>
                <w:szCs w:val="21"/>
              </w:rPr>
            </w:pPr>
            <w:r>
              <w:rPr>
                <w:rFonts w:ascii="Arial" w:hAnsi="Arial" w:cs="Arial" w:eastAsiaTheme="minorEastAsia"/>
                <w:color w:val="000000"/>
                <w:sz w:val="21"/>
                <w:szCs w:val="21"/>
              </w:rPr>
              <w:t>7</w:t>
            </w:r>
          </w:p>
        </w:tc>
        <w:tc>
          <w:tcPr>
            <w:tcW w:w="1913" w:type="pct"/>
            <w:vAlign w:val="center"/>
          </w:tcPr>
          <w:p w14:paraId="3EB86466">
            <w:pPr>
              <w:spacing w:line="240" w:lineRule="auto"/>
              <w:ind w:firstLine="0" w:firstLineChars="0"/>
              <w:jc w:val="center"/>
              <w:rPr>
                <w:rFonts w:ascii="Arial" w:hAnsi="Arial" w:cs="Arial" w:eastAsiaTheme="minorEastAsia"/>
                <w:color w:val="000000"/>
                <w:sz w:val="21"/>
                <w:szCs w:val="21"/>
              </w:rPr>
            </w:pPr>
            <w:r>
              <w:rPr>
                <w:rFonts w:ascii="Arial" w:hAnsi="Arial" w:cs="Arial" w:eastAsiaTheme="minorEastAsia"/>
                <w:color w:val="000000"/>
                <w:sz w:val="21"/>
                <w:szCs w:val="21"/>
              </w:rPr>
              <w:t>3068253.23</w:t>
            </w:r>
          </w:p>
        </w:tc>
        <w:tc>
          <w:tcPr>
            <w:tcW w:w="1999" w:type="pct"/>
            <w:vAlign w:val="center"/>
          </w:tcPr>
          <w:p w14:paraId="42F0703A">
            <w:pPr>
              <w:spacing w:line="240" w:lineRule="auto"/>
              <w:ind w:firstLine="0" w:firstLineChars="0"/>
              <w:jc w:val="center"/>
              <w:rPr>
                <w:rFonts w:ascii="Arial" w:hAnsi="Arial" w:cs="Arial" w:eastAsiaTheme="minorEastAsia"/>
                <w:color w:val="000000"/>
                <w:sz w:val="21"/>
                <w:szCs w:val="21"/>
              </w:rPr>
            </w:pPr>
            <w:r>
              <w:rPr>
                <w:rFonts w:ascii="Arial" w:hAnsi="Arial" w:cs="Arial" w:eastAsiaTheme="minorEastAsia"/>
                <w:color w:val="000000"/>
                <w:sz w:val="21"/>
                <w:szCs w:val="21"/>
              </w:rPr>
              <w:t>35355242.94</w:t>
            </w:r>
          </w:p>
        </w:tc>
      </w:tr>
      <w:tr w14:paraId="7FB0A2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5" w:hRule="atLeast"/>
          <w:jc w:val="center"/>
        </w:trPr>
        <w:tc>
          <w:tcPr>
            <w:tcW w:w="1088" w:type="pct"/>
            <w:vAlign w:val="center"/>
          </w:tcPr>
          <w:p w14:paraId="43C92768">
            <w:pPr>
              <w:spacing w:line="240" w:lineRule="auto"/>
              <w:ind w:firstLine="0" w:firstLineChars="0"/>
              <w:jc w:val="center"/>
              <w:rPr>
                <w:rFonts w:ascii="Arial" w:hAnsi="Arial" w:cs="Arial" w:eastAsiaTheme="minorEastAsia"/>
                <w:color w:val="000000"/>
                <w:sz w:val="21"/>
                <w:szCs w:val="21"/>
              </w:rPr>
            </w:pPr>
            <w:r>
              <w:rPr>
                <w:rFonts w:ascii="Arial" w:hAnsi="Arial" w:cs="Arial" w:eastAsiaTheme="minorEastAsia"/>
                <w:color w:val="000000"/>
                <w:sz w:val="21"/>
                <w:szCs w:val="21"/>
              </w:rPr>
              <w:t>面积</w:t>
            </w:r>
          </w:p>
        </w:tc>
        <w:tc>
          <w:tcPr>
            <w:tcW w:w="3912" w:type="pct"/>
            <w:gridSpan w:val="2"/>
            <w:vAlign w:val="center"/>
          </w:tcPr>
          <w:p w14:paraId="16F99408">
            <w:pPr>
              <w:spacing w:line="240" w:lineRule="auto"/>
              <w:ind w:firstLine="0" w:firstLineChars="0"/>
              <w:jc w:val="center"/>
              <w:rPr>
                <w:rFonts w:ascii="Arial" w:hAnsi="Arial" w:cs="Arial" w:eastAsiaTheme="minorEastAsia"/>
                <w:color w:val="000000"/>
                <w:sz w:val="21"/>
                <w:szCs w:val="21"/>
              </w:rPr>
            </w:pPr>
            <w:r>
              <w:rPr>
                <w:rFonts w:ascii="Arial" w:hAnsi="Arial" w:cs="Arial" w:eastAsiaTheme="minorEastAsia"/>
                <w:color w:val="000000"/>
                <w:sz w:val="21"/>
                <w:szCs w:val="21"/>
              </w:rPr>
              <w:t>0.0673km</w:t>
            </w:r>
            <w:r>
              <w:rPr>
                <w:rFonts w:ascii="Arial" w:hAnsi="Arial" w:cs="Arial" w:eastAsiaTheme="minorEastAsia"/>
                <w:color w:val="000000"/>
                <w:sz w:val="21"/>
                <w:szCs w:val="21"/>
                <w:vertAlign w:val="superscript"/>
              </w:rPr>
              <w:t>2</w:t>
            </w:r>
          </w:p>
        </w:tc>
      </w:tr>
      <w:tr w14:paraId="136A5A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jc w:val="center"/>
        </w:trPr>
        <w:tc>
          <w:tcPr>
            <w:tcW w:w="1088" w:type="pct"/>
            <w:vAlign w:val="center"/>
          </w:tcPr>
          <w:p w14:paraId="3662F056">
            <w:pPr>
              <w:spacing w:line="240" w:lineRule="auto"/>
              <w:ind w:firstLine="0" w:firstLineChars="0"/>
              <w:jc w:val="center"/>
              <w:rPr>
                <w:rFonts w:ascii="Arial" w:hAnsi="Arial" w:cs="Arial" w:eastAsiaTheme="minorEastAsia"/>
                <w:color w:val="000000"/>
                <w:sz w:val="21"/>
                <w:szCs w:val="21"/>
              </w:rPr>
            </w:pPr>
            <w:r>
              <w:rPr>
                <w:rFonts w:ascii="Arial" w:hAnsi="Arial" w:cs="Arial" w:eastAsiaTheme="minorEastAsia"/>
                <w:color w:val="000000"/>
                <w:sz w:val="21"/>
                <w:szCs w:val="21"/>
              </w:rPr>
              <w:t>标高</w:t>
            </w:r>
          </w:p>
        </w:tc>
        <w:tc>
          <w:tcPr>
            <w:tcW w:w="3912" w:type="pct"/>
            <w:gridSpan w:val="2"/>
            <w:vAlign w:val="center"/>
          </w:tcPr>
          <w:p w14:paraId="0CAAE6F1">
            <w:pPr>
              <w:spacing w:line="240" w:lineRule="auto"/>
              <w:ind w:firstLine="0" w:firstLineChars="0"/>
              <w:jc w:val="center"/>
              <w:rPr>
                <w:rFonts w:ascii="Arial" w:hAnsi="Arial" w:cs="Arial" w:eastAsiaTheme="minorEastAsia"/>
                <w:color w:val="000000"/>
                <w:sz w:val="21"/>
                <w:szCs w:val="21"/>
              </w:rPr>
            </w:pPr>
            <w:r>
              <w:rPr>
                <w:rFonts w:ascii="Arial" w:hAnsi="Arial" w:cs="Arial" w:eastAsiaTheme="minorEastAsia"/>
                <w:color w:val="000000"/>
                <w:sz w:val="21"/>
                <w:szCs w:val="21"/>
              </w:rPr>
              <w:t>2790m</w:t>
            </w:r>
            <w:r>
              <w:rPr>
                <w:rFonts w:hint="eastAsia" w:ascii="Arial" w:hAnsi="Arial" w:cs="Arial" w:eastAsiaTheme="minorEastAsia"/>
                <w:color w:val="000000"/>
                <w:sz w:val="21"/>
                <w:szCs w:val="21"/>
              </w:rPr>
              <w:t>—</w:t>
            </w:r>
            <w:r>
              <w:rPr>
                <w:rFonts w:ascii="Arial" w:hAnsi="Arial" w:cs="Arial" w:eastAsiaTheme="minorEastAsia"/>
                <w:color w:val="000000"/>
                <w:sz w:val="21"/>
                <w:szCs w:val="21"/>
              </w:rPr>
              <w:t>2700m</w:t>
            </w:r>
          </w:p>
        </w:tc>
      </w:tr>
    </w:tbl>
    <w:p w14:paraId="722E4853">
      <w:pPr>
        <w:pStyle w:val="20"/>
        <w:ind w:firstLine="560"/>
        <w:rPr>
          <w:szCs w:val="28"/>
        </w:rPr>
      </w:pPr>
      <w:r>
        <w:rPr>
          <w:szCs w:val="28"/>
        </w:rPr>
        <w:t>②设计范围</w:t>
      </w:r>
    </w:p>
    <w:p w14:paraId="74999461">
      <w:pPr>
        <w:ind w:firstLine="560"/>
        <w:rPr>
          <w:color w:val="000000" w:themeColor="text1"/>
          <w14:textFill>
            <w14:solidFill>
              <w14:schemeClr w14:val="tx1"/>
            </w14:solidFill>
          </w14:textFill>
        </w:rPr>
      </w:pPr>
      <w:r>
        <w:rPr>
          <w:color w:val="000000" w:themeColor="text1"/>
          <w14:textFill>
            <w14:solidFill>
              <w14:schemeClr w14:val="tx1"/>
            </w14:solidFill>
          </w14:textFill>
        </w:rPr>
        <w:t>1、矿区东北角存在1.227公顷天然牧草地，因政策调整，暂不能办理草地使用审批手续（详见附件</w:t>
      </w:r>
      <w:r>
        <w:rPr>
          <w:rFonts w:hint="eastAsia"/>
          <w:color w:val="000000" w:themeColor="text1"/>
          <w14:textFill>
            <w14:solidFill>
              <w14:schemeClr w14:val="tx1"/>
            </w14:solidFill>
          </w14:textFill>
        </w:rPr>
        <w:t>14</w:t>
      </w:r>
      <w:r>
        <w:rPr>
          <w:color w:val="000000" w:themeColor="text1"/>
          <w14:textFill>
            <w14:solidFill>
              <w14:schemeClr w14:val="tx1"/>
            </w14:solidFill>
          </w14:textFill>
        </w:rPr>
        <w:t>），设计对该区域留设禁采区。</w:t>
      </w:r>
    </w:p>
    <w:p w14:paraId="42DE53BC">
      <w:pPr>
        <w:ind w:firstLine="560"/>
        <w:rPr>
          <w:color w:val="000000" w:themeColor="text1"/>
          <w14:textFill>
            <w14:solidFill>
              <w14:schemeClr w14:val="tx1"/>
            </w14:solidFill>
          </w14:textFill>
        </w:rPr>
      </w:pPr>
      <w:r>
        <w:rPr>
          <w:color w:val="000000" w:themeColor="text1"/>
          <w14:textFill>
            <w14:solidFill>
              <w14:schemeClr w14:val="tx1"/>
            </w14:solidFill>
          </w14:textFill>
        </w:rPr>
        <w:t>2、矿山已建破碎站位于矿区内矿5拐点附近，为保护破碎站安全，设计留设50m范围禁采区。</w:t>
      </w:r>
    </w:p>
    <w:p w14:paraId="663F2EEF">
      <w:pPr>
        <w:ind w:firstLine="560"/>
        <w:rPr>
          <w:bCs/>
          <w:color w:val="000000"/>
          <w:szCs w:val="28"/>
          <w:lang w:val="en-GB"/>
        </w:rPr>
      </w:pPr>
      <w:r>
        <w:rPr>
          <w:color w:val="000000" w:themeColor="text1"/>
          <w14:textFill>
            <w14:solidFill>
              <w14:schemeClr w14:val="tx1"/>
            </w14:solidFill>
          </w14:textFill>
        </w:rPr>
        <w:t>3、矿权东南方向有松林村下设的官寨村民小组，距矿山设计开采区域最近约212m，目前矿山已对靠矿权较近的几户民房进行了租赁（详见附件）。并考虑安全，退让出未租赁民房300m范围再进行开采，并留设禁采区</w:t>
      </w:r>
      <w:r>
        <w:rPr>
          <w:bCs/>
          <w:color w:val="000000"/>
          <w:szCs w:val="28"/>
          <w:lang w:val="en-GB"/>
        </w:rPr>
        <w:t>，</w:t>
      </w:r>
      <w:r>
        <w:rPr>
          <w:color w:val="000000" w:themeColor="text1"/>
          <w14:textFill>
            <w14:solidFill>
              <w14:schemeClr w14:val="tx1"/>
            </w14:solidFill>
          </w14:textFill>
        </w:rPr>
        <w:t>禁采区拐点</w:t>
      </w:r>
      <w:r>
        <w:rPr>
          <w:bCs/>
          <w:color w:val="000000"/>
          <w:szCs w:val="28"/>
          <w:lang w:val="en-GB"/>
        </w:rPr>
        <w:t>坐标表见下表。</w:t>
      </w:r>
    </w:p>
    <w:p w14:paraId="20F86649">
      <w:pPr>
        <w:ind w:firstLine="0" w:firstLineChars="0"/>
        <w:jc w:val="center"/>
        <w:rPr>
          <w:bCs/>
          <w:color w:val="000000"/>
          <w:kern w:val="0"/>
          <w:sz w:val="24"/>
          <w:szCs w:val="24"/>
        </w:rPr>
      </w:pPr>
      <w:r>
        <w:rPr>
          <w:bCs/>
          <w:color w:val="000000"/>
          <w:kern w:val="0"/>
          <w:sz w:val="24"/>
          <w:szCs w:val="24"/>
        </w:rPr>
        <w:t>表1.1-2禁采区拐点坐标表</w:t>
      </w:r>
    </w:p>
    <w:tbl>
      <w:tblPr>
        <w:tblStyle w:val="44"/>
        <w:tblW w:w="5000" w:type="pct"/>
        <w:jc w:val="center"/>
        <w:tblLayout w:type="autofit"/>
        <w:tblCellMar>
          <w:top w:w="0" w:type="dxa"/>
          <w:left w:w="30" w:type="dxa"/>
          <w:bottom w:w="0" w:type="dxa"/>
          <w:right w:w="30" w:type="dxa"/>
        </w:tblCellMar>
      </w:tblPr>
      <w:tblGrid>
        <w:gridCol w:w="1403"/>
        <w:gridCol w:w="2773"/>
        <w:gridCol w:w="2773"/>
        <w:gridCol w:w="2295"/>
      </w:tblGrid>
      <w:tr w14:paraId="455EB829">
        <w:tblPrEx>
          <w:tblCellMar>
            <w:top w:w="0" w:type="dxa"/>
            <w:left w:w="30" w:type="dxa"/>
            <w:bottom w:w="0" w:type="dxa"/>
            <w:right w:w="30" w:type="dxa"/>
          </w:tblCellMar>
        </w:tblPrEx>
        <w:trPr>
          <w:trHeight w:val="397" w:hRule="atLeast"/>
          <w:jc w:val="center"/>
        </w:trPr>
        <w:tc>
          <w:tcPr>
            <w:tcW w:w="759" w:type="pct"/>
            <w:vMerge w:val="restart"/>
            <w:tcBorders>
              <w:top w:val="single" w:color="auto" w:sz="6" w:space="0"/>
              <w:left w:val="single" w:color="auto" w:sz="6" w:space="0"/>
              <w:right w:val="single" w:color="auto" w:sz="6" w:space="0"/>
            </w:tcBorders>
            <w:vAlign w:val="center"/>
          </w:tcPr>
          <w:p w14:paraId="7478C1BA">
            <w:pPr>
              <w:spacing w:line="240" w:lineRule="auto"/>
              <w:ind w:firstLine="0" w:firstLineChars="0"/>
              <w:jc w:val="center"/>
              <w:rPr>
                <w:b/>
                <w:bCs/>
                <w:color w:val="000000"/>
                <w:sz w:val="21"/>
                <w:szCs w:val="21"/>
              </w:rPr>
            </w:pPr>
            <w:r>
              <w:rPr>
                <w:b/>
                <w:bCs/>
                <w:color w:val="000000"/>
                <w:sz w:val="21"/>
                <w:szCs w:val="21"/>
              </w:rPr>
              <w:t>拐点编号</w:t>
            </w:r>
          </w:p>
        </w:tc>
        <w:tc>
          <w:tcPr>
            <w:tcW w:w="1500" w:type="pct"/>
            <w:gridSpan w:val="2"/>
            <w:tcBorders>
              <w:top w:val="single" w:color="auto" w:sz="6" w:space="0"/>
              <w:left w:val="single" w:color="auto" w:sz="6" w:space="0"/>
              <w:bottom w:val="single" w:color="auto" w:sz="6" w:space="0"/>
              <w:right w:val="single" w:color="auto" w:sz="6" w:space="0"/>
            </w:tcBorders>
            <w:vAlign w:val="center"/>
          </w:tcPr>
          <w:p w14:paraId="57ACFA26">
            <w:pPr>
              <w:spacing w:line="240" w:lineRule="auto"/>
              <w:ind w:firstLine="0" w:firstLineChars="0"/>
              <w:jc w:val="center"/>
              <w:rPr>
                <w:b/>
                <w:bCs/>
                <w:color w:val="000000"/>
                <w:sz w:val="21"/>
                <w:szCs w:val="21"/>
              </w:rPr>
            </w:pPr>
            <w:r>
              <w:rPr>
                <w:b/>
                <w:bCs/>
                <w:color w:val="000000"/>
                <w:sz w:val="21"/>
                <w:szCs w:val="21"/>
              </w:rPr>
              <w:t>2000国家大地坐标系</w:t>
            </w:r>
          </w:p>
        </w:tc>
        <w:tc>
          <w:tcPr>
            <w:tcW w:w="2366" w:type="pct"/>
            <w:vMerge w:val="restart"/>
            <w:tcBorders>
              <w:top w:val="single" w:color="auto" w:sz="6" w:space="0"/>
              <w:left w:val="single" w:color="auto" w:sz="6" w:space="0"/>
              <w:right w:val="single" w:color="auto" w:sz="6" w:space="0"/>
            </w:tcBorders>
            <w:vAlign w:val="center"/>
          </w:tcPr>
          <w:p w14:paraId="22056E21">
            <w:pPr>
              <w:spacing w:line="240" w:lineRule="auto"/>
              <w:ind w:firstLine="0" w:firstLineChars="0"/>
              <w:jc w:val="center"/>
              <w:rPr>
                <w:color w:val="000000"/>
                <w:sz w:val="21"/>
                <w:szCs w:val="21"/>
              </w:rPr>
            </w:pPr>
            <w:r>
              <w:rPr>
                <w:b/>
                <w:bCs/>
                <w:color w:val="000000"/>
                <w:sz w:val="21"/>
                <w:szCs w:val="21"/>
              </w:rPr>
              <w:t>备注</w:t>
            </w:r>
          </w:p>
        </w:tc>
      </w:tr>
      <w:tr w14:paraId="43003F36">
        <w:tblPrEx>
          <w:tblCellMar>
            <w:top w:w="0" w:type="dxa"/>
            <w:left w:w="30" w:type="dxa"/>
            <w:bottom w:w="0" w:type="dxa"/>
            <w:right w:w="30" w:type="dxa"/>
          </w:tblCellMar>
        </w:tblPrEx>
        <w:trPr>
          <w:trHeight w:val="397" w:hRule="atLeast"/>
          <w:jc w:val="center"/>
        </w:trPr>
        <w:tc>
          <w:tcPr>
            <w:tcW w:w="759" w:type="pct"/>
            <w:vMerge w:val="continue"/>
            <w:tcBorders>
              <w:left w:val="single" w:color="auto" w:sz="6" w:space="0"/>
              <w:bottom w:val="single" w:color="auto" w:sz="6" w:space="0"/>
              <w:right w:val="single" w:color="auto" w:sz="6" w:space="0"/>
            </w:tcBorders>
            <w:vAlign w:val="center"/>
          </w:tcPr>
          <w:p w14:paraId="5DCBE45E">
            <w:pPr>
              <w:spacing w:line="240" w:lineRule="auto"/>
              <w:ind w:firstLine="0" w:firstLineChars="0"/>
              <w:jc w:val="center"/>
              <w:rPr>
                <w:b/>
                <w:bCs/>
                <w:color w:val="000000"/>
                <w:sz w:val="21"/>
                <w:szCs w:val="21"/>
              </w:rPr>
            </w:pPr>
          </w:p>
        </w:tc>
        <w:tc>
          <w:tcPr>
            <w:tcW w:w="1500" w:type="pct"/>
            <w:tcBorders>
              <w:top w:val="single" w:color="auto" w:sz="6" w:space="0"/>
              <w:left w:val="single" w:color="auto" w:sz="6" w:space="0"/>
              <w:bottom w:val="single" w:color="auto" w:sz="6" w:space="0"/>
              <w:right w:val="single" w:color="auto" w:sz="6" w:space="0"/>
            </w:tcBorders>
            <w:vAlign w:val="center"/>
          </w:tcPr>
          <w:p w14:paraId="7204E46E">
            <w:pPr>
              <w:spacing w:line="240" w:lineRule="auto"/>
              <w:ind w:firstLine="0" w:firstLineChars="0"/>
              <w:jc w:val="center"/>
              <w:rPr>
                <w:b/>
                <w:bCs/>
                <w:color w:val="000000"/>
                <w:sz w:val="21"/>
                <w:szCs w:val="21"/>
              </w:rPr>
            </w:pPr>
            <w:r>
              <w:rPr>
                <w:b/>
                <w:bCs/>
                <w:color w:val="000000"/>
                <w:sz w:val="21"/>
                <w:szCs w:val="21"/>
              </w:rPr>
              <w:t>X</w:t>
            </w:r>
          </w:p>
        </w:tc>
        <w:tc>
          <w:tcPr>
            <w:tcW w:w="1500" w:type="pct"/>
            <w:tcBorders>
              <w:top w:val="single" w:color="auto" w:sz="6" w:space="0"/>
              <w:left w:val="single" w:color="auto" w:sz="6" w:space="0"/>
              <w:bottom w:val="single" w:color="auto" w:sz="6" w:space="0"/>
              <w:right w:val="single" w:color="auto" w:sz="6" w:space="0"/>
            </w:tcBorders>
            <w:vAlign w:val="center"/>
          </w:tcPr>
          <w:p w14:paraId="40BC3A96">
            <w:pPr>
              <w:spacing w:line="240" w:lineRule="auto"/>
              <w:ind w:firstLine="0" w:firstLineChars="0"/>
              <w:jc w:val="center"/>
              <w:rPr>
                <w:b/>
                <w:bCs/>
                <w:color w:val="000000"/>
                <w:sz w:val="21"/>
                <w:szCs w:val="21"/>
              </w:rPr>
            </w:pPr>
            <w:r>
              <w:rPr>
                <w:b/>
                <w:bCs/>
                <w:color w:val="000000"/>
                <w:sz w:val="21"/>
                <w:szCs w:val="21"/>
              </w:rPr>
              <w:t>Y</w:t>
            </w:r>
          </w:p>
        </w:tc>
        <w:tc>
          <w:tcPr>
            <w:tcW w:w="2366" w:type="pct"/>
            <w:vMerge w:val="continue"/>
            <w:tcBorders>
              <w:left w:val="single" w:color="auto" w:sz="6" w:space="0"/>
              <w:bottom w:val="single" w:color="auto" w:sz="6" w:space="0"/>
              <w:right w:val="single" w:color="auto" w:sz="6" w:space="0"/>
            </w:tcBorders>
            <w:vAlign w:val="center"/>
          </w:tcPr>
          <w:p w14:paraId="10205241">
            <w:pPr>
              <w:spacing w:line="240" w:lineRule="auto"/>
              <w:ind w:firstLine="0" w:firstLineChars="0"/>
              <w:jc w:val="center"/>
              <w:rPr>
                <w:color w:val="000000"/>
                <w:sz w:val="21"/>
                <w:szCs w:val="21"/>
              </w:rPr>
            </w:pPr>
          </w:p>
        </w:tc>
      </w:tr>
      <w:tr w14:paraId="5F43C60F">
        <w:tblPrEx>
          <w:tblCellMar>
            <w:top w:w="0" w:type="dxa"/>
            <w:left w:w="30" w:type="dxa"/>
            <w:bottom w:w="0" w:type="dxa"/>
            <w:right w:w="30" w:type="dxa"/>
          </w:tblCellMar>
        </w:tblPrEx>
        <w:trPr>
          <w:trHeight w:val="397" w:hRule="atLeast"/>
          <w:jc w:val="center"/>
        </w:trPr>
        <w:tc>
          <w:tcPr>
            <w:tcW w:w="759" w:type="pct"/>
            <w:tcBorders>
              <w:top w:val="single" w:color="auto" w:sz="6" w:space="0"/>
              <w:left w:val="single" w:color="auto" w:sz="6" w:space="0"/>
              <w:bottom w:val="single" w:color="auto" w:sz="6" w:space="0"/>
              <w:right w:val="single" w:color="auto" w:sz="6" w:space="0"/>
            </w:tcBorders>
            <w:vAlign w:val="center"/>
          </w:tcPr>
          <w:p w14:paraId="7B85CBE9">
            <w:pPr>
              <w:spacing w:line="240" w:lineRule="auto"/>
              <w:ind w:firstLine="0" w:firstLineChars="0"/>
              <w:jc w:val="center"/>
              <w:rPr>
                <w:color w:val="000000"/>
                <w:sz w:val="21"/>
                <w:szCs w:val="21"/>
              </w:rPr>
            </w:pPr>
            <w:r>
              <w:rPr>
                <w:color w:val="000000"/>
                <w:sz w:val="21"/>
                <w:szCs w:val="21"/>
              </w:rPr>
              <w:t>禁1</w:t>
            </w:r>
          </w:p>
        </w:tc>
        <w:tc>
          <w:tcPr>
            <w:tcW w:w="1500" w:type="pct"/>
            <w:tcBorders>
              <w:top w:val="single" w:color="auto" w:sz="6" w:space="0"/>
              <w:left w:val="single" w:color="auto" w:sz="6" w:space="0"/>
              <w:bottom w:val="single" w:color="auto" w:sz="6" w:space="0"/>
              <w:right w:val="single" w:color="auto" w:sz="6" w:space="0"/>
            </w:tcBorders>
            <w:vAlign w:val="center"/>
          </w:tcPr>
          <w:p w14:paraId="56ECACEB">
            <w:pPr>
              <w:spacing w:line="240" w:lineRule="auto"/>
              <w:ind w:firstLine="0" w:firstLineChars="0"/>
              <w:jc w:val="center"/>
              <w:rPr>
                <w:color w:val="000000"/>
                <w:sz w:val="21"/>
                <w:szCs w:val="21"/>
              </w:rPr>
            </w:pPr>
            <w:r>
              <w:rPr>
                <w:color w:val="000000"/>
                <w:sz w:val="21"/>
                <w:szCs w:val="21"/>
              </w:rPr>
              <w:t>3068376.42</w:t>
            </w:r>
          </w:p>
        </w:tc>
        <w:tc>
          <w:tcPr>
            <w:tcW w:w="1500" w:type="pct"/>
            <w:tcBorders>
              <w:top w:val="single" w:color="auto" w:sz="6" w:space="0"/>
              <w:left w:val="single" w:color="auto" w:sz="6" w:space="0"/>
              <w:bottom w:val="single" w:color="auto" w:sz="6" w:space="0"/>
              <w:right w:val="single" w:color="auto" w:sz="6" w:space="0"/>
            </w:tcBorders>
            <w:vAlign w:val="center"/>
          </w:tcPr>
          <w:p w14:paraId="50B29633">
            <w:pPr>
              <w:spacing w:line="240" w:lineRule="auto"/>
              <w:ind w:firstLine="0" w:firstLineChars="0"/>
              <w:jc w:val="center"/>
              <w:rPr>
                <w:color w:val="000000"/>
                <w:sz w:val="21"/>
                <w:szCs w:val="21"/>
              </w:rPr>
            </w:pPr>
            <w:r>
              <w:rPr>
                <w:color w:val="000000"/>
                <w:sz w:val="21"/>
                <w:szCs w:val="21"/>
              </w:rPr>
              <w:t>35355405.51</w:t>
            </w:r>
          </w:p>
        </w:tc>
        <w:tc>
          <w:tcPr>
            <w:tcW w:w="2366" w:type="pct"/>
            <w:vMerge w:val="restart"/>
            <w:tcBorders>
              <w:top w:val="single" w:color="auto" w:sz="6" w:space="0"/>
              <w:left w:val="single" w:color="auto" w:sz="6" w:space="0"/>
              <w:right w:val="single" w:color="auto" w:sz="6" w:space="0"/>
            </w:tcBorders>
            <w:vAlign w:val="center"/>
          </w:tcPr>
          <w:p w14:paraId="6E3912C4">
            <w:pPr>
              <w:spacing w:line="240" w:lineRule="auto"/>
              <w:ind w:firstLine="0" w:firstLineChars="0"/>
              <w:jc w:val="center"/>
              <w:rPr>
                <w:color w:val="000000"/>
                <w:sz w:val="21"/>
                <w:szCs w:val="21"/>
              </w:rPr>
            </w:pPr>
            <w:r>
              <w:rPr>
                <w:color w:val="000000"/>
                <w:sz w:val="21"/>
                <w:szCs w:val="21"/>
              </w:rPr>
              <w:t>保护天然</w:t>
            </w:r>
          </w:p>
          <w:p w14:paraId="1E91ED27">
            <w:pPr>
              <w:spacing w:line="240" w:lineRule="auto"/>
              <w:ind w:firstLine="0" w:firstLineChars="0"/>
              <w:jc w:val="center"/>
              <w:rPr>
                <w:color w:val="000000"/>
                <w:sz w:val="21"/>
                <w:szCs w:val="21"/>
              </w:rPr>
            </w:pPr>
            <w:r>
              <w:rPr>
                <w:color w:val="000000"/>
                <w:sz w:val="21"/>
                <w:szCs w:val="21"/>
              </w:rPr>
              <w:t>牧草地留设</w:t>
            </w:r>
          </w:p>
        </w:tc>
      </w:tr>
      <w:tr w14:paraId="2B331E08">
        <w:tblPrEx>
          <w:tblCellMar>
            <w:top w:w="0" w:type="dxa"/>
            <w:left w:w="30" w:type="dxa"/>
            <w:bottom w:w="0" w:type="dxa"/>
            <w:right w:w="30" w:type="dxa"/>
          </w:tblCellMar>
        </w:tblPrEx>
        <w:trPr>
          <w:trHeight w:val="397" w:hRule="atLeast"/>
          <w:jc w:val="center"/>
        </w:trPr>
        <w:tc>
          <w:tcPr>
            <w:tcW w:w="759" w:type="pct"/>
            <w:tcBorders>
              <w:top w:val="single" w:color="auto" w:sz="6" w:space="0"/>
              <w:left w:val="single" w:color="auto" w:sz="6" w:space="0"/>
              <w:bottom w:val="single" w:color="auto" w:sz="6" w:space="0"/>
              <w:right w:val="single" w:color="auto" w:sz="6" w:space="0"/>
            </w:tcBorders>
            <w:vAlign w:val="center"/>
          </w:tcPr>
          <w:p w14:paraId="461225EF">
            <w:pPr>
              <w:spacing w:line="240" w:lineRule="auto"/>
              <w:ind w:firstLine="0" w:firstLineChars="0"/>
              <w:jc w:val="center"/>
              <w:rPr>
                <w:color w:val="000000"/>
                <w:sz w:val="21"/>
                <w:szCs w:val="21"/>
              </w:rPr>
            </w:pPr>
            <w:r>
              <w:rPr>
                <w:color w:val="000000"/>
                <w:sz w:val="21"/>
                <w:szCs w:val="21"/>
              </w:rPr>
              <w:t>禁2</w:t>
            </w:r>
          </w:p>
        </w:tc>
        <w:tc>
          <w:tcPr>
            <w:tcW w:w="1500" w:type="pct"/>
            <w:tcBorders>
              <w:top w:val="single" w:color="auto" w:sz="6" w:space="0"/>
              <w:left w:val="single" w:color="auto" w:sz="6" w:space="0"/>
              <w:bottom w:val="single" w:color="auto" w:sz="6" w:space="0"/>
              <w:right w:val="single" w:color="auto" w:sz="6" w:space="0"/>
            </w:tcBorders>
            <w:vAlign w:val="center"/>
          </w:tcPr>
          <w:p w14:paraId="41461EA9">
            <w:pPr>
              <w:spacing w:line="240" w:lineRule="auto"/>
              <w:ind w:firstLine="0" w:firstLineChars="0"/>
              <w:jc w:val="center"/>
              <w:rPr>
                <w:color w:val="000000"/>
                <w:sz w:val="21"/>
                <w:szCs w:val="21"/>
              </w:rPr>
            </w:pPr>
            <w:r>
              <w:rPr>
                <w:color w:val="000000"/>
                <w:sz w:val="21"/>
                <w:szCs w:val="21"/>
              </w:rPr>
              <w:t>3068230.37</w:t>
            </w:r>
          </w:p>
        </w:tc>
        <w:tc>
          <w:tcPr>
            <w:tcW w:w="1500" w:type="pct"/>
            <w:tcBorders>
              <w:top w:val="single" w:color="auto" w:sz="6" w:space="0"/>
              <w:left w:val="single" w:color="auto" w:sz="6" w:space="0"/>
              <w:bottom w:val="single" w:color="auto" w:sz="6" w:space="0"/>
              <w:right w:val="single" w:color="auto" w:sz="6" w:space="0"/>
            </w:tcBorders>
            <w:vAlign w:val="center"/>
          </w:tcPr>
          <w:p w14:paraId="3A131542">
            <w:pPr>
              <w:spacing w:line="240" w:lineRule="auto"/>
              <w:ind w:firstLine="0" w:firstLineChars="0"/>
              <w:jc w:val="center"/>
              <w:rPr>
                <w:color w:val="000000"/>
                <w:sz w:val="21"/>
                <w:szCs w:val="21"/>
              </w:rPr>
            </w:pPr>
            <w:r>
              <w:rPr>
                <w:color w:val="000000"/>
                <w:sz w:val="21"/>
                <w:szCs w:val="21"/>
              </w:rPr>
              <w:t>35355452.50</w:t>
            </w:r>
          </w:p>
        </w:tc>
        <w:tc>
          <w:tcPr>
            <w:tcW w:w="2366" w:type="pct"/>
            <w:vMerge w:val="continue"/>
            <w:tcBorders>
              <w:left w:val="single" w:color="auto" w:sz="6" w:space="0"/>
              <w:right w:val="single" w:color="auto" w:sz="6" w:space="0"/>
            </w:tcBorders>
            <w:vAlign w:val="center"/>
          </w:tcPr>
          <w:p w14:paraId="092352FB">
            <w:pPr>
              <w:spacing w:line="240" w:lineRule="auto"/>
              <w:ind w:firstLine="0" w:firstLineChars="0"/>
              <w:jc w:val="center"/>
              <w:rPr>
                <w:color w:val="000000"/>
                <w:sz w:val="21"/>
                <w:szCs w:val="21"/>
              </w:rPr>
            </w:pPr>
          </w:p>
        </w:tc>
      </w:tr>
      <w:tr w14:paraId="25178241">
        <w:tblPrEx>
          <w:tblCellMar>
            <w:top w:w="0" w:type="dxa"/>
            <w:left w:w="30" w:type="dxa"/>
            <w:bottom w:w="0" w:type="dxa"/>
            <w:right w:w="30" w:type="dxa"/>
          </w:tblCellMar>
        </w:tblPrEx>
        <w:trPr>
          <w:trHeight w:val="397" w:hRule="atLeast"/>
          <w:jc w:val="center"/>
        </w:trPr>
        <w:tc>
          <w:tcPr>
            <w:tcW w:w="759" w:type="pct"/>
            <w:tcBorders>
              <w:top w:val="single" w:color="auto" w:sz="6" w:space="0"/>
              <w:left w:val="single" w:color="auto" w:sz="6" w:space="0"/>
              <w:bottom w:val="single" w:color="auto" w:sz="6" w:space="0"/>
              <w:right w:val="single" w:color="auto" w:sz="6" w:space="0"/>
            </w:tcBorders>
            <w:vAlign w:val="center"/>
          </w:tcPr>
          <w:p w14:paraId="6313F13F">
            <w:pPr>
              <w:spacing w:line="240" w:lineRule="auto"/>
              <w:ind w:firstLine="0" w:firstLineChars="0"/>
              <w:jc w:val="center"/>
              <w:rPr>
                <w:color w:val="000000"/>
                <w:sz w:val="21"/>
                <w:szCs w:val="21"/>
              </w:rPr>
            </w:pPr>
            <w:r>
              <w:rPr>
                <w:color w:val="000000"/>
                <w:sz w:val="21"/>
                <w:szCs w:val="21"/>
              </w:rPr>
              <w:t>禁3</w:t>
            </w:r>
          </w:p>
        </w:tc>
        <w:tc>
          <w:tcPr>
            <w:tcW w:w="1500" w:type="pct"/>
            <w:tcBorders>
              <w:top w:val="single" w:color="auto" w:sz="6" w:space="0"/>
              <w:left w:val="single" w:color="auto" w:sz="6" w:space="0"/>
              <w:bottom w:val="single" w:color="auto" w:sz="6" w:space="0"/>
              <w:right w:val="single" w:color="auto" w:sz="6" w:space="0"/>
            </w:tcBorders>
            <w:vAlign w:val="center"/>
          </w:tcPr>
          <w:p w14:paraId="0F1ADDA6">
            <w:pPr>
              <w:spacing w:line="240" w:lineRule="auto"/>
              <w:ind w:firstLine="0" w:firstLineChars="0"/>
              <w:jc w:val="center"/>
              <w:rPr>
                <w:color w:val="000000"/>
                <w:sz w:val="21"/>
                <w:szCs w:val="21"/>
              </w:rPr>
            </w:pPr>
            <w:r>
              <w:rPr>
                <w:color w:val="000000"/>
                <w:sz w:val="21"/>
                <w:szCs w:val="21"/>
              </w:rPr>
              <w:t>3068198.03</w:t>
            </w:r>
          </w:p>
        </w:tc>
        <w:tc>
          <w:tcPr>
            <w:tcW w:w="1500" w:type="pct"/>
            <w:tcBorders>
              <w:top w:val="single" w:color="auto" w:sz="6" w:space="0"/>
              <w:left w:val="single" w:color="auto" w:sz="6" w:space="0"/>
              <w:bottom w:val="single" w:color="auto" w:sz="6" w:space="0"/>
              <w:right w:val="single" w:color="auto" w:sz="6" w:space="0"/>
            </w:tcBorders>
            <w:vAlign w:val="center"/>
          </w:tcPr>
          <w:p w14:paraId="14B5E207">
            <w:pPr>
              <w:spacing w:line="240" w:lineRule="auto"/>
              <w:ind w:firstLine="0" w:firstLineChars="0"/>
              <w:jc w:val="center"/>
              <w:rPr>
                <w:color w:val="000000"/>
                <w:sz w:val="21"/>
                <w:szCs w:val="21"/>
              </w:rPr>
            </w:pPr>
            <w:r>
              <w:rPr>
                <w:color w:val="000000"/>
                <w:sz w:val="21"/>
                <w:szCs w:val="21"/>
              </w:rPr>
              <w:t>35355337.43</w:t>
            </w:r>
          </w:p>
        </w:tc>
        <w:tc>
          <w:tcPr>
            <w:tcW w:w="2366" w:type="pct"/>
            <w:vMerge w:val="continue"/>
            <w:tcBorders>
              <w:left w:val="single" w:color="auto" w:sz="6" w:space="0"/>
              <w:right w:val="single" w:color="auto" w:sz="6" w:space="0"/>
            </w:tcBorders>
            <w:vAlign w:val="center"/>
          </w:tcPr>
          <w:p w14:paraId="20ACED47">
            <w:pPr>
              <w:spacing w:line="240" w:lineRule="auto"/>
              <w:ind w:firstLine="0" w:firstLineChars="0"/>
              <w:jc w:val="center"/>
              <w:rPr>
                <w:color w:val="000000"/>
                <w:sz w:val="21"/>
                <w:szCs w:val="21"/>
              </w:rPr>
            </w:pPr>
          </w:p>
        </w:tc>
      </w:tr>
      <w:tr w14:paraId="1E464A6F">
        <w:tblPrEx>
          <w:tblCellMar>
            <w:top w:w="0" w:type="dxa"/>
            <w:left w:w="30" w:type="dxa"/>
            <w:bottom w:w="0" w:type="dxa"/>
            <w:right w:w="30" w:type="dxa"/>
          </w:tblCellMar>
        </w:tblPrEx>
        <w:trPr>
          <w:trHeight w:val="397" w:hRule="atLeast"/>
          <w:jc w:val="center"/>
        </w:trPr>
        <w:tc>
          <w:tcPr>
            <w:tcW w:w="759" w:type="pct"/>
            <w:tcBorders>
              <w:top w:val="single" w:color="auto" w:sz="6" w:space="0"/>
              <w:left w:val="single" w:color="auto" w:sz="6" w:space="0"/>
              <w:bottom w:val="single" w:color="auto" w:sz="6" w:space="0"/>
              <w:right w:val="single" w:color="auto" w:sz="6" w:space="0"/>
            </w:tcBorders>
            <w:vAlign w:val="center"/>
          </w:tcPr>
          <w:p w14:paraId="11ECB9B4">
            <w:pPr>
              <w:spacing w:line="240" w:lineRule="auto"/>
              <w:ind w:firstLine="0" w:firstLineChars="0"/>
              <w:jc w:val="center"/>
              <w:rPr>
                <w:color w:val="000000"/>
                <w:sz w:val="21"/>
                <w:szCs w:val="21"/>
              </w:rPr>
            </w:pPr>
            <w:r>
              <w:rPr>
                <w:color w:val="000000"/>
                <w:sz w:val="21"/>
                <w:szCs w:val="21"/>
              </w:rPr>
              <w:t>禁4</w:t>
            </w:r>
          </w:p>
        </w:tc>
        <w:tc>
          <w:tcPr>
            <w:tcW w:w="1500" w:type="pct"/>
            <w:tcBorders>
              <w:top w:val="single" w:color="auto" w:sz="6" w:space="0"/>
              <w:left w:val="single" w:color="auto" w:sz="6" w:space="0"/>
              <w:bottom w:val="single" w:color="auto" w:sz="6" w:space="0"/>
              <w:right w:val="single" w:color="auto" w:sz="6" w:space="0"/>
            </w:tcBorders>
            <w:vAlign w:val="center"/>
          </w:tcPr>
          <w:p w14:paraId="419CE9CF">
            <w:pPr>
              <w:spacing w:line="240" w:lineRule="auto"/>
              <w:ind w:firstLine="0" w:firstLineChars="0"/>
              <w:jc w:val="center"/>
              <w:rPr>
                <w:color w:val="000000"/>
                <w:sz w:val="21"/>
                <w:szCs w:val="21"/>
              </w:rPr>
            </w:pPr>
            <w:r>
              <w:rPr>
                <w:color w:val="000000"/>
                <w:sz w:val="21"/>
                <w:szCs w:val="21"/>
              </w:rPr>
              <w:t>3068290.00</w:t>
            </w:r>
          </w:p>
        </w:tc>
        <w:tc>
          <w:tcPr>
            <w:tcW w:w="1500" w:type="pct"/>
            <w:tcBorders>
              <w:top w:val="single" w:color="auto" w:sz="6" w:space="0"/>
              <w:left w:val="single" w:color="auto" w:sz="6" w:space="0"/>
              <w:bottom w:val="single" w:color="auto" w:sz="6" w:space="0"/>
              <w:right w:val="single" w:color="auto" w:sz="6" w:space="0"/>
            </w:tcBorders>
            <w:vAlign w:val="center"/>
          </w:tcPr>
          <w:p w14:paraId="3BC2859D">
            <w:pPr>
              <w:spacing w:line="240" w:lineRule="auto"/>
              <w:ind w:firstLine="0" w:firstLineChars="0"/>
              <w:jc w:val="center"/>
              <w:rPr>
                <w:color w:val="000000"/>
                <w:sz w:val="21"/>
                <w:szCs w:val="21"/>
              </w:rPr>
            </w:pPr>
            <w:r>
              <w:rPr>
                <w:color w:val="000000"/>
                <w:sz w:val="21"/>
                <w:szCs w:val="21"/>
              </w:rPr>
              <w:t>35355291.46</w:t>
            </w:r>
          </w:p>
        </w:tc>
        <w:tc>
          <w:tcPr>
            <w:tcW w:w="2366" w:type="pct"/>
            <w:vMerge w:val="continue"/>
            <w:tcBorders>
              <w:left w:val="single" w:color="auto" w:sz="6" w:space="0"/>
              <w:bottom w:val="single" w:color="auto" w:sz="6" w:space="0"/>
              <w:right w:val="single" w:color="auto" w:sz="6" w:space="0"/>
            </w:tcBorders>
            <w:vAlign w:val="center"/>
          </w:tcPr>
          <w:p w14:paraId="308CA297">
            <w:pPr>
              <w:spacing w:line="240" w:lineRule="auto"/>
              <w:ind w:firstLine="0" w:firstLineChars="0"/>
              <w:jc w:val="center"/>
              <w:rPr>
                <w:color w:val="000000"/>
                <w:sz w:val="21"/>
                <w:szCs w:val="21"/>
              </w:rPr>
            </w:pPr>
          </w:p>
        </w:tc>
      </w:tr>
      <w:tr w14:paraId="3FE11878">
        <w:tblPrEx>
          <w:tblCellMar>
            <w:top w:w="0" w:type="dxa"/>
            <w:left w:w="30" w:type="dxa"/>
            <w:bottom w:w="0" w:type="dxa"/>
            <w:right w:w="30" w:type="dxa"/>
          </w:tblCellMar>
        </w:tblPrEx>
        <w:trPr>
          <w:trHeight w:val="397" w:hRule="atLeast"/>
          <w:jc w:val="center"/>
        </w:trPr>
        <w:tc>
          <w:tcPr>
            <w:tcW w:w="759" w:type="pct"/>
            <w:tcBorders>
              <w:top w:val="single" w:color="auto" w:sz="6" w:space="0"/>
              <w:left w:val="single" w:color="auto" w:sz="6" w:space="0"/>
              <w:bottom w:val="single" w:color="auto" w:sz="6" w:space="0"/>
              <w:right w:val="single" w:color="auto" w:sz="6" w:space="0"/>
            </w:tcBorders>
            <w:vAlign w:val="center"/>
          </w:tcPr>
          <w:p w14:paraId="09A2340F">
            <w:pPr>
              <w:spacing w:line="240" w:lineRule="auto"/>
              <w:ind w:firstLine="0" w:firstLineChars="0"/>
              <w:jc w:val="center"/>
              <w:rPr>
                <w:color w:val="000000"/>
                <w:sz w:val="21"/>
                <w:szCs w:val="21"/>
              </w:rPr>
            </w:pPr>
            <w:r>
              <w:rPr>
                <w:color w:val="000000"/>
                <w:sz w:val="21"/>
                <w:szCs w:val="21"/>
              </w:rPr>
              <w:t>禁5</w:t>
            </w:r>
          </w:p>
        </w:tc>
        <w:tc>
          <w:tcPr>
            <w:tcW w:w="1500" w:type="pct"/>
            <w:tcBorders>
              <w:top w:val="single" w:color="auto" w:sz="6" w:space="0"/>
              <w:left w:val="single" w:color="auto" w:sz="6" w:space="0"/>
              <w:bottom w:val="single" w:color="auto" w:sz="6" w:space="0"/>
              <w:right w:val="single" w:color="auto" w:sz="6" w:space="0"/>
            </w:tcBorders>
            <w:vAlign w:val="center"/>
          </w:tcPr>
          <w:p w14:paraId="2EB3CB9D">
            <w:pPr>
              <w:spacing w:line="240" w:lineRule="auto"/>
              <w:ind w:firstLine="0" w:firstLineChars="0"/>
              <w:jc w:val="center"/>
              <w:rPr>
                <w:color w:val="000000"/>
                <w:sz w:val="21"/>
                <w:szCs w:val="21"/>
              </w:rPr>
            </w:pPr>
            <w:r>
              <w:rPr>
                <w:color w:val="000000"/>
                <w:sz w:val="21"/>
                <w:szCs w:val="21"/>
              </w:rPr>
              <w:t>3068054.16</w:t>
            </w:r>
          </w:p>
        </w:tc>
        <w:tc>
          <w:tcPr>
            <w:tcW w:w="1500" w:type="pct"/>
            <w:tcBorders>
              <w:top w:val="single" w:color="auto" w:sz="6" w:space="0"/>
              <w:left w:val="single" w:color="auto" w:sz="6" w:space="0"/>
              <w:bottom w:val="single" w:color="auto" w:sz="6" w:space="0"/>
              <w:right w:val="single" w:color="auto" w:sz="6" w:space="0"/>
            </w:tcBorders>
            <w:vAlign w:val="center"/>
          </w:tcPr>
          <w:p w14:paraId="4297074C">
            <w:pPr>
              <w:spacing w:line="240" w:lineRule="auto"/>
              <w:ind w:firstLine="0" w:firstLineChars="0"/>
              <w:jc w:val="center"/>
              <w:rPr>
                <w:color w:val="000000"/>
                <w:sz w:val="21"/>
                <w:szCs w:val="21"/>
              </w:rPr>
            </w:pPr>
            <w:r>
              <w:rPr>
                <w:color w:val="000000"/>
                <w:sz w:val="21"/>
                <w:szCs w:val="21"/>
              </w:rPr>
              <w:t>35355284.98</w:t>
            </w:r>
          </w:p>
        </w:tc>
        <w:tc>
          <w:tcPr>
            <w:tcW w:w="2366" w:type="pct"/>
            <w:vMerge w:val="restart"/>
            <w:tcBorders>
              <w:top w:val="single" w:color="auto" w:sz="6" w:space="0"/>
              <w:left w:val="single" w:color="auto" w:sz="6" w:space="0"/>
              <w:right w:val="single" w:color="auto" w:sz="6" w:space="0"/>
            </w:tcBorders>
            <w:vAlign w:val="center"/>
          </w:tcPr>
          <w:p w14:paraId="36FFD077">
            <w:pPr>
              <w:spacing w:line="240" w:lineRule="auto"/>
              <w:ind w:firstLine="0" w:firstLineChars="0"/>
              <w:jc w:val="center"/>
              <w:rPr>
                <w:color w:val="000000"/>
                <w:sz w:val="21"/>
                <w:szCs w:val="21"/>
              </w:rPr>
            </w:pPr>
            <w:r>
              <w:rPr>
                <w:color w:val="000000"/>
                <w:sz w:val="21"/>
                <w:szCs w:val="21"/>
              </w:rPr>
              <w:t>保护破碎站及</w:t>
            </w:r>
          </w:p>
          <w:p w14:paraId="0EED479D">
            <w:pPr>
              <w:spacing w:line="240" w:lineRule="auto"/>
              <w:ind w:firstLine="0" w:firstLineChars="0"/>
              <w:jc w:val="center"/>
              <w:rPr>
                <w:color w:val="000000"/>
                <w:sz w:val="21"/>
                <w:szCs w:val="21"/>
              </w:rPr>
            </w:pPr>
            <w:r>
              <w:rPr>
                <w:color w:val="000000"/>
                <w:sz w:val="21"/>
                <w:szCs w:val="21"/>
              </w:rPr>
              <w:t>未租赁民房留设</w:t>
            </w:r>
          </w:p>
        </w:tc>
      </w:tr>
      <w:tr w14:paraId="4FD4629C">
        <w:tblPrEx>
          <w:tblCellMar>
            <w:top w:w="0" w:type="dxa"/>
            <w:left w:w="30" w:type="dxa"/>
            <w:bottom w:w="0" w:type="dxa"/>
            <w:right w:w="30" w:type="dxa"/>
          </w:tblCellMar>
        </w:tblPrEx>
        <w:trPr>
          <w:trHeight w:val="397" w:hRule="atLeast"/>
          <w:jc w:val="center"/>
        </w:trPr>
        <w:tc>
          <w:tcPr>
            <w:tcW w:w="759" w:type="pct"/>
            <w:tcBorders>
              <w:top w:val="single" w:color="auto" w:sz="6" w:space="0"/>
              <w:left w:val="single" w:color="auto" w:sz="6" w:space="0"/>
              <w:bottom w:val="single" w:color="auto" w:sz="6" w:space="0"/>
              <w:right w:val="single" w:color="auto" w:sz="6" w:space="0"/>
            </w:tcBorders>
            <w:vAlign w:val="center"/>
          </w:tcPr>
          <w:p w14:paraId="3974838B">
            <w:pPr>
              <w:spacing w:line="240" w:lineRule="auto"/>
              <w:ind w:firstLine="0" w:firstLineChars="0"/>
              <w:jc w:val="center"/>
              <w:rPr>
                <w:color w:val="000000"/>
                <w:sz w:val="21"/>
                <w:szCs w:val="21"/>
              </w:rPr>
            </w:pPr>
            <w:r>
              <w:rPr>
                <w:color w:val="000000"/>
                <w:sz w:val="21"/>
                <w:szCs w:val="21"/>
              </w:rPr>
              <w:t>禁6</w:t>
            </w:r>
          </w:p>
        </w:tc>
        <w:tc>
          <w:tcPr>
            <w:tcW w:w="1500" w:type="pct"/>
            <w:tcBorders>
              <w:top w:val="single" w:color="auto" w:sz="6" w:space="0"/>
              <w:left w:val="single" w:color="auto" w:sz="6" w:space="0"/>
              <w:bottom w:val="single" w:color="auto" w:sz="6" w:space="0"/>
              <w:right w:val="single" w:color="auto" w:sz="6" w:space="0"/>
            </w:tcBorders>
            <w:vAlign w:val="center"/>
          </w:tcPr>
          <w:p w14:paraId="45E73E11">
            <w:pPr>
              <w:spacing w:line="240" w:lineRule="auto"/>
              <w:ind w:firstLine="0" w:firstLineChars="0"/>
              <w:jc w:val="center"/>
              <w:rPr>
                <w:color w:val="000000"/>
                <w:sz w:val="21"/>
                <w:szCs w:val="21"/>
              </w:rPr>
            </w:pPr>
            <w:r>
              <w:rPr>
                <w:color w:val="000000"/>
                <w:sz w:val="21"/>
                <w:szCs w:val="21"/>
              </w:rPr>
              <w:t>3067967.48</w:t>
            </w:r>
          </w:p>
        </w:tc>
        <w:tc>
          <w:tcPr>
            <w:tcW w:w="1500" w:type="pct"/>
            <w:tcBorders>
              <w:top w:val="single" w:color="auto" w:sz="6" w:space="0"/>
              <w:left w:val="single" w:color="auto" w:sz="6" w:space="0"/>
              <w:bottom w:val="single" w:color="auto" w:sz="6" w:space="0"/>
              <w:right w:val="single" w:color="auto" w:sz="6" w:space="0"/>
            </w:tcBorders>
            <w:vAlign w:val="center"/>
          </w:tcPr>
          <w:p w14:paraId="5344F275">
            <w:pPr>
              <w:spacing w:line="240" w:lineRule="auto"/>
              <w:ind w:firstLine="0" w:firstLineChars="0"/>
              <w:jc w:val="center"/>
              <w:rPr>
                <w:color w:val="000000"/>
                <w:sz w:val="21"/>
                <w:szCs w:val="21"/>
              </w:rPr>
            </w:pPr>
            <w:r>
              <w:rPr>
                <w:color w:val="000000"/>
                <w:sz w:val="21"/>
                <w:szCs w:val="21"/>
              </w:rPr>
              <w:t>35355275.97</w:t>
            </w:r>
          </w:p>
        </w:tc>
        <w:tc>
          <w:tcPr>
            <w:tcW w:w="2366" w:type="pct"/>
            <w:vMerge w:val="continue"/>
            <w:tcBorders>
              <w:left w:val="single" w:color="auto" w:sz="6" w:space="0"/>
              <w:right w:val="single" w:color="auto" w:sz="6" w:space="0"/>
            </w:tcBorders>
            <w:vAlign w:val="center"/>
          </w:tcPr>
          <w:p w14:paraId="17165C01">
            <w:pPr>
              <w:spacing w:line="240" w:lineRule="auto"/>
              <w:ind w:firstLine="0" w:firstLineChars="0"/>
              <w:jc w:val="center"/>
              <w:rPr>
                <w:color w:val="000000"/>
                <w:sz w:val="21"/>
                <w:szCs w:val="21"/>
              </w:rPr>
            </w:pPr>
          </w:p>
        </w:tc>
      </w:tr>
      <w:tr w14:paraId="50B0DD1F">
        <w:tblPrEx>
          <w:tblCellMar>
            <w:top w:w="0" w:type="dxa"/>
            <w:left w:w="30" w:type="dxa"/>
            <w:bottom w:w="0" w:type="dxa"/>
            <w:right w:w="30" w:type="dxa"/>
          </w:tblCellMar>
        </w:tblPrEx>
        <w:trPr>
          <w:trHeight w:val="397" w:hRule="atLeast"/>
          <w:jc w:val="center"/>
        </w:trPr>
        <w:tc>
          <w:tcPr>
            <w:tcW w:w="759" w:type="pct"/>
            <w:tcBorders>
              <w:top w:val="single" w:color="auto" w:sz="6" w:space="0"/>
              <w:left w:val="single" w:color="auto" w:sz="6" w:space="0"/>
              <w:bottom w:val="single" w:color="auto" w:sz="6" w:space="0"/>
              <w:right w:val="single" w:color="auto" w:sz="6" w:space="0"/>
            </w:tcBorders>
            <w:vAlign w:val="center"/>
          </w:tcPr>
          <w:p w14:paraId="21D7E91E">
            <w:pPr>
              <w:spacing w:line="240" w:lineRule="auto"/>
              <w:ind w:firstLine="0" w:firstLineChars="0"/>
              <w:jc w:val="center"/>
              <w:rPr>
                <w:color w:val="000000"/>
                <w:sz w:val="21"/>
                <w:szCs w:val="21"/>
              </w:rPr>
            </w:pPr>
            <w:r>
              <w:rPr>
                <w:color w:val="000000"/>
                <w:sz w:val="21"/>
                <w:szCs w:val="21"/>
              </w:rPr>
              <w:t>禁7</w:t>
            </w:r>
          </w:p>
        </w:tc>
        <w:tc>
          <w:tcPr>
            <w:tcW w:w="1500" w:type="pct"/>
            <w:tcBorders>
              <w:top w:val="single" w:color="auto" w:sz="6" w:space="0"/>
              <w:left w:val="single" w:color="auto" w:sz="6" w:space="0"/>
              <w:bottom w:val="single" w:color="auto" w:sz="6" w:space="0"/>
              <w:right w:val="single" w:color="auto" w:sz="6" w:space="0"/>
            </w:tcBorders>
            <w:vAlign w:val="center"/>
          </w:tcPr>
          <w:p w14:paraId="7316F3B2">
            <w:pPr>
              <w:spacing w:line="240" w:lineRule="auto"/>
              <w:ind w:firstLine="0" w:firstLineChars="0"/>
              <w:jc w:val="center"/>
              <w:rPr>
                <w:color w:val="000000"/>
                <w:sz w:val="21"/>
                <w:szCs w:val="21"/>
              </w:rPr>
            </w:pPr>
            <w:r>
              <w:rPr>
                <w:color w:val="000000"/>
                <w:sz w:val="21"/>
                <w:szCs w:val="21"/>
              </w:rPr>
              <w:t>3067972.56</w:t>
            </w:r>
          </w:p>
        </w:tc>
        <w:tc>
          <w:tcPr>
            <w:tcW w:w="1500" w:type="pct"/>
            <w:tcBorders>
              <w:top w:val="single" w:color="auto" w:sz="6" w:space="0"/>
              <w:left w:val="single" w:color="auto" w:sz="6" w:space="0"/>
              <w:bottom w:val="single" w:color="auto" w:sz="6" w:space="0"/>
              <w:right w:val="single" w:color="auto" w:sz="6" w:space="0"/>
            </w:tcBorders>
            <w:vAlign w:val="center"/>
          </w:tcPr>
          <w:p w14:paraId="528FDEA9">
            <w:pPr>
              <w:spacing w:line="240" w:lineRule="auto"/>
              <w:ind w:firstLine="0" w:firstLineChars="0"/>
              <w:jc w:val="center"/>
              <w:rPr>
                <w:color w:val="000000"/>
                <w:sz w:val="21"/>
                <w:szCs w:val="21"/>
              </w:rPr>
            </w:pPr>
            <w:r>
              <w:rPr>
                <w:color w:val="000000"/>
                <w:sz w:val="21"/>
                <w:szCs w:val="21"/>
              </w:rPr>
              <w:t>35355150.23</w:t>
            </w:r>
          </w:p>
        </w:tc>
        <w:tc>
          <w:tcPr>
            <w:tcW w:w="2366" w:type="pct"/>
            <w:vMerge w:val="continue"/>
            <w:tcBorders>
              <w:left w:val="single" w:color="auto" w:sz="6" w:space="0"/>
              <w:right w:val="single" w:color="auto" w:sz="6" w:space="0"/>
            </w:tcBorders>
            <w:vAlign w:val="center"/>
          </w:tcPr>
          <w:p w14:paraId="745DE1EB">
            <w:pPr>
              <w:spacing w:line="240" w:lineRule="auto"/>
              <w:ind w:firstLine="0" w:firstLineChars="0"/>
              <w:jc w:val="center"/>
              <w:rPr>
                <w:color w:val="000000"/>
                <w:sz w:val="21"/>
                <w:szCs w:val="21"/>
              </w:rPr>
            </w:pPr>
          </w:p>
        </w:tc>
      </w:tr>
      <w:tr w14:paraId="1BEE361E">
        <w:tblPrEx>
          <w:tblCellMar>
            <w:top w:w="0" w:type="dxa"/>
            <w:left w:w="30" w:type="dxa"/>
            <w:bottom w:w="0" w:type="dxa"/>
            <w:right w:w="30" w:type="dxa"/>
          </w:tblCellMar>
        </w:tblPrEx>
        <w:trPr>
          <w:trHeight w:val="397" w:hRule="atLeast"/>
          <w:jc w:val="center"/>
        </w:trPr>
        <w:tc>
          <w:tcPr>
            <w:tcW w:w="759" w:type="pct"/>
            <w:tcBorders>
              <w:top w:val="single" w:color="auto" w:sz="6" w:space="0"/>
              <w:left w:val="single" w:color="auto" w:sz="6" w:space="0"/>
              <w:bottom w:val="single" w:color="auto" w:sz="6" w:space="0"/>
              <w:right w:val="single" w:color="auto" w:sz="6" w:space="0"/>
            </w:tcBorders>
            <w:vAlign w:val="center"/>
          </w:tcPr>
          <w:p w14:paraId="2C1FC5B4">
            <w:pPr>
              <w:spacing w:line="240" w:lineRule="auto"/>
              <w:ind w:firstLine="0" w:firstLineChars="0"/>
              <w:jc w:val="center"/>
              <w:rPr>
                <w:color w:val="000000"/>
                <w:sz w:val="21"/>
                <w:szCs w:val="21"/>
              </w:rPr>
            </w:pPr>
            <w:r>
              <w:rPr>
                <w:color w:val="000000"/>
                <w:sz w:val="21"/>
                <w:szCs w:val="21"/>
              </w:rPr>
              <w:t>禁8</w:t>
            </w:r>
          </w:p>
        </w:tc>
        <w:tc>
          <w:tcPr>
            <w:tcW w:w="1500" w:type="pct"/>
            <w:tcBorders>
              <w:top w:val="single" w:color="auto" w:sz="6" w:space="0"/>
              <w:left w:val="single" w:color="auto" w:sz="6" w:space="0"/>
              <w:bottom w:val="single" w:color="auto" w:sz="6" w:space="0"/>
              <w:right w:val="single" w:color="auto" w:sz="6" w:space="0"/>
            </w:tcBorders>
            <w:vAlign w:val="center"/>
          </w:tcPr>
          <w:p w14:paraId="59F06341">
            <w:pPr>
              <w:spacing w:line="240" w:lineRule="auto"/>
              <w:ind w:firstLine="0" w:firstLineChars="0"/>
              <w:jc w:val="center"/>
              <w:rPr>
                <w:color w:val="000000"/>
                <w:sz w:val="21"/>
                <w:szCs w:val="21"/>
              </w:rPr>
            </w:pPr>
            <w:r>
              <w:rPr>
                <w:color w:val="000000"/>
                <w:sz w:val="21"/>
                <w:szCs w:val="21"/>
              </w:rPr>
              <w:t>3068041.79</w:t>
            </w:r>
          </w:p>
        </w:tc>
        <w:tc>
          <w:tcPr>
            <w:tcW w:w="1500" w:type="pct"/>
            <w:tcBorders>
              <w:top w:val="single" w:color="auto" w:sz="6" w:space="0"/>
              <w:left w:val="single" w:color="auto" w:sz="6" w:space="0"/>
              <w:bottom w:val="single" w:color="auto" w:sz="6" w:space="0"/>
              <w:right w:val="single" w:color="auto" w:sz="6" w:space="0"/>
            </w:tcBorders>
            <w:vAlign w:val="center"/>
          </w:tcPr>
          <w:p w14:paraId="761C9EC9">
            <w:pPr>
              <w:spacing w:line="240" w:lineRule="auto"/>
              <w:ind w:firstLine="0" w:firstLineChars="0"/>
              <w:jc w:val="center"/>
              <w:rPr>
                <w:color w:val="000000"/>
                <w:sz w:val="21"/>
                <w:szCs w:val="21"/>
              </w:rPr>
            </w:pPr>
            <w:r>
              <w:rPr>
                <w:color w:val="000000"/>
                <w:sz w:val="21"/>
                <w:szCs w:val="21"/>
              </w:rPr>
              <w:t>35355136.56</w:t>
            </w:r>
          </w:p>
        </w:tc>
        <w:tc>
          <w:tcPr>
            <w:tcW w:w="2366" w:type="pct"/>
            <w:vMerge w:val="continue"/>
            <w:tcBorders>
              <w:left w:val="single" w:color="auto" w:sz="6" w:space="0"/>
              <w:bottom w:val="single" w:color="auto" w:sz="6" w:space="0"/>
              <w:right w:val="single" w:color="auto" w:sz="6" w:space="0"/>
            </w:tcBorders>
            <w:vAlign w:val="center"/>
          </w:tcPr>
          <w:p w14:paraId="43046D9F">
            <w:pPr>
              <w:spacing w:line="240" w:lineRule="auto"/>
              <w:ind w:firstLine="0" w:firstLineChars="0"/>
              <w:jc w:val="center"/>
              <w:rPr>
                <w:color w:val="000000"/>
                <w:sz w:val="21"/>
                <w:szCs w:val="21"/>
              </w:rPr>
            </w:pPr>
          </w:p>
        </w:tc>
      </w:tr>
    </w:tbl>
    <w:p w14:paraId="1C9EF012">
      <w:pPr>
        <w:pStyle w:val="20"/>
        <w:ind w:firstLine="560"/>
        <w:rPr>
          <w:szCs w:val="28"/>
        </w:rPr>
      </w:pPr>
      <w:r>
        <w:rPr>
          <w:szCs w:val="28"/>
        </w:rPr>
        <w:t>③安全验收评价范围</w:t>
      </w:r>
    </w:p>
    <w:p w14:paraId="186CADD8">
      <w:pPr>
        <w:pStyle w:val="20"/>
        <w:ind w:firstLine="560"/>
        <w:rPr>
          <w:szCs w:val="28"/>
        </w:rPr>
      </w:pPr>
      <w:r>
        <w:rPr>
          <w:szCs w:val="28"/>
        </w:rPr>
        <w:t>本次安全设施验收评价平面范围与设计范围一致，验收垂直范围为现状开采标高为2</w:t>
      </w:r>
      <w:r>
        <w:rPr>
          <w:rFonts w:hint="eastAsia"/>
          <w:szCs w:val="28"/>
        </w:rPr>
        <w:t>760</w:t>
      </w:r>
      <w:r>
        <w:rPr>
          <w:szCs w:val="28"/>
          <w:lang w:eastAsia="zh-TW"/>
        </w:rPr>
        <w:t>m-</w:t>
      </w:r>
      <w:r>
        <w:rPr>
          <w:szCs w:val="28"/>
        </w:rPr>
        <w:t>2</w:t>
      </w:r>
      <w:r>
        <w:rPr>
          <w:rFonts w:hint="eastAsia"/>
          <w:szCs w:val="28"/>
        </w:rPr>
        <w:t>745</w:t>
      </w:r>
      <w:r>
        <w:rPr>
          <w:szCs w:val="28"/>
          <w:lang w:eastAsia="zh-TW"/>
        </w:rPr>
        <w:t>m</w:t>
      </w:r>
      <w:r>
        <w:rPr>
          <w:szCs w:val="28"/>
        </w:rPr>
        <w:t>。</w:t>
      </w:r>
    </w:p>
    <w:p w14:paraId="1C560000">
      <w:pPr>
        <w:pStyle w:val="20"/>
        <w:ind w:firstLine="560"/>
        <w:rPr>
          <w:szCs w:val="28"/>
        </w:rPr>
      </w:pPr>
      <w:r>
        <w:rPr>
          <w:szCs w:val="28"/>
        </w:rPr>
        <w:t>①基建工程</w:t>
      </w:r>
    </w:p>
    <w:p w14:paraId="2A4AD33F">
      <w:pPr>
        <w:pStyle w:val="20"/>
        <w:ind w:firstLine="560"/>
        <w:rPr>
          <w:snapToGrid w:val="0"/>
          <w:kern w:val="0"/>
          <w:szCs w:val="28"/>
        </w:rPr>
      </w:pPr>
      <w:r>
        <w:rPr>
          <w:snapToGrid w:val="0"/>
          <w:kern w:val="0"/>
          <w:szCs w:val="28"/>
        </w:rPr>
        <w:t>1、卸矿平台至2745m平台开拓运输道路修建的道路工程340m；</w:t>
      </w:r>
    </w:p>
    <w:p w14:paraId="1396EA29">
      <w:pPr>
        <w:pStyle w:val="20"/>
        <w:ind w:firstLine="560"/>
        <w:rPr>
          <w:snapToGrid w:val="0"/>
          <w:kern w:val="0"/>
          <w:szCs w:val="28"/>
        </w:rPr>
      </w:pPr>
      <w:r>
        <w:rPr>
          <w:snapToGrid w:val="0"/>
          <w:kern w:val="0"/>
          <w:szCs w:val="28"/>
        </w:rPr>
        <w:t>2、在矿区北部基建形成的2760m平台靠帮和</w:t>
      </w:r>
      <w:r>
        <w:rPr>
          <w:color w:val="000000" w:themeColor="text1"/>
          <w14:textFill>
            <w14:solidFill>
              <w14:schemeClr w14:val="tx1"/>
            </w14:solidFill>
          </w14:textFill>
        </w:rPr>
        <w:t>2745m平台形成采矿工作面</w:t>
      </w:r>
      <w:r>
        <w:rPr>
          <w:snapToGrid w:val="0"/>
          <w:kern w:val="0"/>
          <w:szCs w:val="28"/>
        </w:rPr>
        <w:t>；</w:t>
      </w:r>
    </w:p>
    <w:p w14:paraId="1FA1EB4E">
      <w:pPr>
        <w:pStyle w:val="20"/>
        <w:ind w:firstLine="560"/>
        <w:rPr>
          <w:szCs w:val="28"/>
        </w:rPr>
      </w:pPr>
      <w:r>
        <w:rPr>
          <w:snapToGrid w:val="0"/>
          <w:kern w:val="0"/>
          <w:szCs w:val="28"/>
        </w:rPr>
        <w:t>3、新建道路排水沟、采场边界围栏、防滚石安全挡墙等设施</w:t>
      </w:r>
      <w:r>
        <w:rPr>
          <w:szCs w:val="28"/>
        </w:rPr>
        <w:t>。</w:t>
      </w:r>
    </w:p>
    <w:p w14:paraId="21CCE2F5">
      <w:pPr>
        <w:pStyle w:val="20"/>
        <w:ind w:firstLine="560"/>
        <w:rPr>
          <w:szCs w:val="28"/>
        </w:rPr>
      </w:pPr>
      <w:r>
        <w:rPr>
          <w:szCs w:val="28"/>
        </w:rPr>
        <w:t>②安全设施</w:t>
      </w:r>
    </w:p>
    <w:p w14:paraId="4C2B9FC1">
      <w:pPr>
        <w:pStyle w:val="20"/>
        <w:ind w:firstLine="560"/>
        <w:rPr>
          <w:szCs w:val="28"/>
        </w:rPr>
      </w:pPr>
      <w:r>
        <w:rPr>
          <w:szCs w:val="28"/>
        </w:rPr>
        <w:t>本次安全设施验收评价的安全设施包括基本安全设施和专用安全设施，基本安全设施主要包括露天采场、防排水、通信系统和供配电设施，专用安全设施主要包括露天采场、汽车运输、供配电设施、矿山应急救援器材及设备、个人安全防护用品和矿山、交通安全标志等。</w:t>
      </w:r>
    </w:p>
    <w:p w14:paraId="409C8548">
      <w:pPr>
        <w:pStyle w:val="20"/>
        <w:ind w:firstLine="560"/>
      </w:pPr>
      <w:r>
        <w:rPr>
          <w:snapToGrid w:val="0"/>
          <w:kern w:val="0"/>
        </w:rPr>
        <w:t>凡涉及本项目职业病及防治、环保、地质灾害、破碎系统评估问题，不在本次评价范围之内</w:t>
      </w:r>
      <w:r>
        <w:rPr>
          <w:szCs w:val="21"/>
        </w:rPr>
        <w:t>，</w:t>
      </w:r>
      <w:r>
        <w:rPr>
          <w:snapToGrid w:val="0"/>
          <w:kern w:val="0"/>
        </w:rPr>
        <w:t>但评价报告中会</w:t>
      </w:r>
      <w:r>
        <w:rPr>
          <w:rFonts w:hint="eastAsia"/>
          <w:snapToGrid w:val="0"/>
          <w:kern w:val="0"/>
        </w:rPr>
        <w:t>涉及</w:t>
      </w:r>
      <w:r>
        <w:rPr>
          <w:snapToGrid w:val="0"/>
          <w:kern w:val="0"/>
        </w:rPr>
        <w:t>相关内容，企业应执行国家相关法律、法规、标准和规范要求。</w:t>
      </w:r>
    </w:p>
    <w:p w14:paraId="4FB1F0A6">
      <w:pPr>
        <w:pStyle w:val="5"/>
        <w:spacing w:before="0" w:beforeLines="0"/>
        <w:rPr>
          <w:b/>
          <w:bCs w:val="0"/>
        </w:rPr>
      </w:pPr>
      <w:bookmarkStart w:id="56" w:name="_Toc332786033"/>
      <w:bookmarkStart w:id="57" w:name="_Toc323820644"/>
      <w:bookmarkStart w:id="58" w:name="_Toc327020768"/>
      <w:bookmarkStart w:id="59" w:name="_Toc332357204"/>
      <w:bookmarkStart w:id="60" w:name="_Toc384121530"/>
      <w:bookmarkStart w:id="61" w:name="_Toc52"/>
      <w:bookmarkStart w:id="62" w:name="_Toc454614235"/>
      <w:bookmarkStart w:id="63" w:name="_Toc59420492"/>
      <w:bookmarkStart w:id="64" w:name="_Toc22295"/>
      <w:bookmarkStart w:id="65" w:name="_Toc778"/>
      <w:bookmarkStart w:id="66" w:name="_Toc26817"/>
      <w:bookmarkStart w:id="67" w:name="_Toc4886"/>
      <w:bookmarkStart w:id="68" w:name="_Toc809"/>
      <w:bookmarkStart w:id="69" w:name="_Toc9155"/>
      <w:bookmarkStart w:id="70" w:name="_Toc5664"/>
      <w:r>
        <w:rPr>
          <w:b/>
          <w:bCs w:val="0"/>
        </w:rPr>
        <w:t>1.2评价</w:t>
      </w:r>
      <w:bookmarkEnd w:id="56"/>
      <w:bookmarkEnd w:id="57"/>
      <w:bookmarkEnd w:id="58"/>
      <w:bookmarkEnd w:id="59"/>
      <w:bookmarkEnd w:id="60"/>
      <w:r>
        <w:rPr>
          <w:b/>
          <w:bCs w:val="0"/>
        </w:rPr>
        <w:t>依据</w:t>
      </w:r>
      <w:bookmarkEnd w:id="61"/>
      <w:bookmarkEnd w:id="62"/>
      <w:bookmarkEnd w:id="63"/>
      <w:bookmarkEnd w:id="64"/>
      <w:bookmarkEnd w:id="65"/>
      <w:bookmarkEnd w:id="66"/>
      <w:bookmarkEnd w:id="67"/>
      <w:bookmarkEnd w:id="68"/>
      <w:bookmarkEnd w:id="69"/>
      <w:bookmarkEnd w:id="70"/>
    </w:p>
    <w:p w14:paraId="7869F3CE">
      <w:pPr>
        <w:pStyle w:val="6"/>
        <w:ind w:firstLine="562"/>
        <w:rPr>
          <w:rFonts w:eastAsia="宋体"/>
          <w:b/>
          <w:bCs w:val="0"/>
        </w:rPr>
      </w:pPr>
      <w:bookmarkStart w:id="71" w:name="_Toc103418720"/>
      <w:bookmarkStart w:id="72" w:name="_Toc90281958"/>
      <w:bookmarkStart w:id="73" w:name="_Toc384121531"/>
      <w:bookmarkStart w:id="74" w:name="_Toc136406247"/>
      <w:bookmarkStart w:id="75" w:name="_Toc297117575"/>
      <w:bookmarkStart w:id="76" w:name="_Toc111601636"/>
      <w:bookmarkStart w:id="77" w:name="_Toc90283482"/>
      <w:bookmarkStart w:id="78" w:name="_Toc27779"/>
      <w:bookmarkStart w:id="79" w:name="_Toc9176"/>
      <w:bookmarkStart w:id="80" w:name="_Toc59420493"/>
      <w:bookmarkStart w:id="81" w:name="_Toc11151"/>
      <w:bookmarkStart w:id="82" w:name="_Toc32673"/>
      <w:bookmarkStart w:id="83" w:name="_Toc454614236"/>
      <w:bookmarkStart w:id="84" w:name="_Toc7577"/>
      <w:bookmarkStart w:id="85" w:name="_Toc27860"/>
      <w:bookmarkStart w:id="86" w:name="_Toc384121537"/>
      <w:bookmarkStart w:id="87" w:name="_Toc332786038"/>
      <w:bookmarkStart w:id="88" w:name="_Toc332357209"/>
      <w:bookmarkStart w:id="89" w:name="_Toc29821"/>
      <w:bookmarkStart w:id="90" w:name="_Toc14166"/>
      <w:bookmarkStart w:id="91" w:name="_Toc454614237"/>
      <w:bookmarkStart w:id="92" w:name="_Toc30324"/>
      <w:bookmarkStart w:id="93" w:name="_Toc327020772"/>
      <w:bookmarkStart w:id="94" w:name="_Toc323820648"/>
      <w:r>
        <w:rPr>
          <w:rFonts w:eastAsia="宋体"/>
          <w:b/>
          <w:bCs w:val="0"/>
        </w:rPr>
        <w:t>1.2.1</w:t>
      </w:r>
      <w:bookmarkEnd w:id="71"/>
      <w:bookmarkEnd w:id="72"/>
      <w:bookmarkEnd w:id="73"/>
      <w:bookmarkEnd w:id="74"/>
      <w:bookmarkEnd w:id="75"/>
      <w:bookmarkEnd w:id="76"/>
      <w:bookmarkEnd w:id="77"/>
      <w:r>
        <w:rPr>
          <w:rFonts w:eastAsia="宋体"/>
          <w:b/>
          <w:bCs w:val="0"/>
        </w:rPr>
        <w:t>法律法规</w:t>
      </w:r>
      <w:bookmarkEnd w:id="78"/>
      <w:bookmarkEnd w:id="79"/>
      <w:bookmarkEnd w:id="80"/>
      <w:bookmarkEnd w:id="81"/>
      <w:bookmarkEnd w:id="82"/>
      <w:bookmarkEnd w:id="83"/>
      <w:bookmarkEnd w:id="84"/>
      <w:bookmarkEnd w:id="85"/>
    </w:p>
    <w:p w14:paraId="13BB2E6F">
      <w:pPr>
        <w:pStyle w:val="7"/>
        <w:ind w:firstLine="560"/>
      </w:pPr>
      <w:bookmarkStart w:id="95" w:name="_Toc501120261"/>
      <w:bookmarkStart w:id="96" w:name="_Toc79"/>
      <w:r>
        <w:t>1.2.1.1法律</w:t>
      </w:r>
      <w:bookmarkEnd w:id="95"/>
      <w:bookmarkEnd w:id="96"/>
    </w:p>
    <w:p w14:paraId="0EF110E6">
      <w:pPr>
        <w:pStyle w:val="20"/>
        <w:ind w:firstLine="560"/>
        <w:rPr>
          <w:szCs w:val="28"/>
        </w:rPr>
      </w:pPr>
      <w:r>
        <w:rPr>
          <w:szCs w:val="28"/>
        </w:rPr>
        <w:t>（1）《中华人民共和国安全生产法》（中华人民共和国主席令第七十号，2002年11月1日起施行；中华人民共和国主席令第八十八号，中华人民共和国第十三届全国人民代表大会常务委员会第二十九次会议于通过《全国人民代表大会常务委员会关于修改〈中华人民共和国安全生产法〉的决定》，自2021年9月1日起施行）；</w:t>
      </w:r>
    </w:p>
    <w:p w14:paraId="5122005A">
      <w:pPr>
        <w:pStyle w:val="20"/>
        <w:ind w:firstLine="560"/>
        <w:rPr>
          <w:szCs w:val="28"/>
        </w:rPr>
      </w:pPr>
      <w:r>
        <w:rPr>
          <w:szCs w:val="28"/>
        </w:rPr>
        <w:t>（2）《中华人民共和国矿产资源法》（中华人民共和国主席令第三十六号，1986年3月19日第六届全国人民代表大会常务委员会第十五次会议通过 根据1996年8月29日第八届全国人民代表大会常务委员会第二十一次会议《关于修改〈中华人民共和国矿产资源法〉的决定》第一次修正 根据2009年8月27日第十一届全国人民代表大会常务委员会第十次会议《关于修改部分法律的决定》第二次修正 2024年11月8日第十四届全国人民代表大会常务委员会第十二次会议修订，自2025年7月1日起施行）；</w:t>
      </w:r>
    </w:p>
    <w:p w14:paraId="20744A66">
      <w:pPr>
        <w:pStyle w:val="20"/>
        <w:ind w:firstLine="560"/>
        <w:rPr>
          <w:szCs w:val="28"/>
        </w:rPr>
      </w:pPr>
      <w:r>
        <w:rPr>
          <w:szCs w:val="28"/>
        </w:rPr>
        <w:t>（3）《中华人民共和国矿山安全法》</w:t>
      </w:r>
      <w:r>
        <w:rPr>
          <w:szCs w:val="28"/>
          <w:lang w:val="sq-AL"/>
        </w:rPr>
        <w:t>（中华人民共和国主席令第</w:t>
      </w:r>
      <w:r>
        <w:rPr>
          <w:szCs w:val="28"/>
        </w:rPr>
        <w:t>六十五</w:t>
      </w:r>
      <w:r>
        <w:rPr>
          <w:szCs w:val="28"/>
          <w:lang w:val="sq-AL"/>
        </w:rPr>
        <w:t>号，</w:t>
      </w:r>
      <w:r>
        <w:rPr>
          <w:szCs w:val="28"/>
        </w:rPr>
        <w:t>自1993年5月1日起施行；</w:t>
      </w:r>
      <w:r>
        <w:rPr>
          <w:szCs w:val="28"/>
          <w:lang w:val="sq-AL"/>
        </w:rPr>
        <w:t>中华人民共和国主席令第</w:t>
      </w:r>
      <w:r>
        <w:rPr>
          <w:szCs w:val="28"/>
        </w:rPr>
        <w:t>十八</w:t>
      </w:r>
      <w:r>
        <w:rPr>
          <w:szCs w:val="28"/>
          <w:lang w:val="sq-AL"/>
        </w:rPr>
        <w:t>号，根据2009年8月27日第十一届全国人民代表大会常务委员会第十次会议《全国人民代表大会常务委员会关于修改部分法律的决定》修正，自20</w:t>
      </w:r>
      <w:r>
        <w:rPr>
          <w:szCs w:val="28"/>
        </w:rPr>
        <w:t>09</w:t>
      </w:r>
      <w:r>
        <w:rPr>
          <w:szCs w:val="28"/>
          <w:lang w:val="sq-AL"/>
        </w:rPr>
        <w:t>年</w:t>
      </w:r>
      <w:r>
        <w:rPr>
          <w:szCs w:val="28"/>
        </w:rPr>
        <w:t>8</w:t>
      </w:r>
      <w:r>
        <w:rPr>
          <w:szCs w:val="28"/>
          <w:lang w:val="sq-AL"/>
        </w:rPr>
        <w:t>月</w:t>
      </w:r>
      <w:r>
        <w:rPr>
          <w:szCs w:val="28"/>
        </w:rPr>
        <w:t>27</w:t>
      </w:r>
      <w:r>
        <w:rPr>
          <w:szCs w:val="28"/>
          <w:lang w:val="sq-AL"/>
        </w:rPr>
        <w:t>日</w:t>
      </w:r>
      <w:r>
        <w:rPr>
          <w:szCs w:val="28"/>
        </w:rPr>
        <w:t>起</w:t>
      </w:r>
      <w:r>
        <w:rPr>
          <w:szCs w:val="28"/>
          <w:lang w:val="sq-AL"/>
        </w:rPr>
        <w:t>施行）</w:t>
      </w:r>
      <w:r>
        <w:rPr>
          <w:szCs w:val="28"/>
        </w:rPr>
        <w:t>；</w:t>
      </w:r>
    </w:p>
    <w:p w14:paraId="2856EC65">
      <w:pPr>
        <w:pStyle w:val="20"/>
        <w:ind w:firstLine="560"/>
        <w:rPr>
          <w:szCs w:val="28"/>
        </w:rPr>
      </w:pPr>
      <w:r>
        <w:rPr>
          <w:szCs w:val="28"/>
        </w:rPr>
        <w:t>（4）</w:t>
      </w:r>
      <w:r>
        <w:rPr>
          <w:szCs w:val="28"/>
          <w:lang w:val="sq-AL"/>
        </w:rPr>
        <w:t>《中华人民共和国劳动法》（中华人民共和国主席令</w:t>
      </w:r>
      <w:r>
        <w:rPr>
          <w:szCs w:val="28"/>
        </w:rPr>
        <w:t>第二十八</w:t>
      </w:r>
      <w:r>
        <w:rPr>
          <w:szCs w:val="28"/>
          <w:lang w:val="sq-AL"/>
        </w:rPr>
        <w:t>号，199</w:t>
      </w:r>
      <w:r>
        <w:rPr>
          <w:szCs w:val="28"/>
        </w:rPr>
        <w:t>5</w:t>
      </w:r>
      <w:r>
        <w:rPr>
          <w:szCs w:val="28"/>
          <w:lang w:val="sq-AL"/>
        </w:rPr>
        <w:t>年</w:t>
      </w:r>
      <w:r>
        <w:rPr>
          <w:szCs w:val="28"/>
        </w:rPr>
        <w:t>1</w:t>
      </w:r>
      <w:r>
        <w:rPr>
          <w:szCs w:val="28"/>
          <w:lang w:val="sq-AL"/>
        </w:rPr>
        <w:t>月</w:t>
      </w:r>
      <w:r>
        <w:rPr>
          <w:szCs w:val="28"/>
        </w:rPr>
        <w:t>1</w:t>
      </w:r>
      <w:r>
        <w:rPr>
          <w:szCs w:val="28"/>
          <w:lang w:val="sq-AL"/>
        </w:rPr>
        <w:t>日</w:t>
      </w:r>
      <w:r>
        <w:rPr>
          <w:szCs w:val="28"/>
        </w:rPr>
        <w:t>起实施</w:t>
      </w:r>
      <w:r>
        <w:rPr>
          <w:szCs w:val="28"/>
          <w:lang w:val="sq-AL"/>
        </w:rPr>
        <w:t>；根据2018年12月29日第十三届全国人民代表大会常务委员会第七次会议《关于修改〈中华人民共和国劳动法〉等七部法律的决定》第二次修正，</w:t>
      </w:r>
      <w:r>
        <w:rPr>
          <w:szCs w:val="28"/>
        </w:rPr>
        <w:t>自</w:t>
      </w:r>
      <w:r>
        <w:rPr>
          <w:szCs w:val="28"/>
          <w:lang w:val="sq-AL"/>
        </w:rPr>
        <w:t>2018年12月29日</w:t>
      </w:r>
      <w:r>
        <w:rPr>
          <w:szCs w:val="28"/>
        </w:rPr>
        <w:t>起施行</w:t>
      </w:r>
      <w:r>
        <w:rPr>
          <w:szCs w:val="28"/>
          <w:lang w:val="sq-AL"/>
        </w:rPr>
        <w:t>）</w:t>
      </w:r>
      <w:r>
        <w:rPr>
          <w:szCs w:val="28"/>
        </w:rPr>
        <w:t>；</w:t>
      </w:r>
    </w:p>
    <w:p w14:paraId="29B7A128">
      <w:pPr>
        <w:pStyle w:val="20"/>
        <w:ind w:firstLine="560"/>
        <w:rPr>
          <w:szCs w:val="28"/>
        </w:rPr>
      </w:pPr>
      <w:r>
        <w:rPr>
          <w:szCs w:val="28"/>
        </w:rPr>
        <w:t>（5）</w:t>
      </w:r>
      <w:r>
        <w:rPr>
          <w:szCs w:val="28"/>
          <w:lang w:val="sq-AL"/>
        </w:rPr>
        <w:t>《</w:t>
      </w:r>
      <w:bookmarkStart w:id="97" w:name="OLE_LINK12"/>
      <w:r>
        <w:rPr>
          <w:szCs w:val="28"/>
          <w:lang w:val="sq-AL"/>
        </w:rPr>
        <w:t>中华人民共和国消防法</w:t>
      </w:r>
      <w:bookmarkEnd w:id="97"/>
      <w:r>
        <w:rPr>
          <w:szCs w:val="28"/>
          <w:lang w:val="sq-AL"/>
        </w:rPr>
        <w:t>》（中华人民共和国主席令第</w:t>
      </w:r>
      <w:r>
        <w:rPr>
          <w:szCs w:val="28"/>
        </w:rPr>
        <w:t>八十一</w:t>
      </w:r>
      <w:r>
        <w:rPr>
          <w:szCs w:val="28"/>
          <w:lang w:val="sq-AL"/>
        </w:rPr>
        <w:t>号，根据20</w:t>
      </w:r>
      <w:r>
        <w:rPr>
          <w:szCs w:val="28"/>
        </w:rPr>
        <w:t>21</w:t>
      </w:r>
      <w:r>
        <w:rPr>
          <w:szCs w:val="28"/>
          <w:lang w:val="sq-AL"/>
        </w:rPr>
        <w:t>年4月2</w:t>
      </w:r>
      <w:r>
        <w:rPr>
          <w:szCs w:val="28"/>
        </w:rPr>
        <w:t>9</w:t>
      </w:r>
      <w:r>
        <w:rPr>
          <w:szCs w:val="28"/>
          <w:lang w:val="sq-AL"/>
        </w:rPr>
        <w:t>日第十三届全国人民代表大会常务委员会第</w:t>
      </w:r>
      <w:r>
        <w:rPr>
          <w:szCs w:val="28"/>
        </w:rPr>
        <w:t>二</w:t>
      </w:r>
      <w:r>
        <w:rPr>
          <w:szCs w:val="28"/>
          <w:lang w:val="sq-AL"/>
        </w:rPr>
        <w:t>十</w:t>
      </w:r>
      <w:r>
        <w:rPr>
          <w:szCs w:val="28"/>
        </w:rPr>
        <w:t>八</w:t>
      </w:r>
      <w:r>
        <w:rPr>
          <w:szCs w:val="28"/>
          <w:lang w:val="sq-AL"/>
        </w:rPr>
        <w:t>次会议</w:t>
      </w:r>
      <w:r>
        <w:rPr>
          <w:szCs w:val="28"/>
        </w:rPr>
        <w:t>通过</w:t>
      </w:r>
      <w:r>
        <w:rPr>
          <w:szCs w:val="28"/>
          <w:lang w:val="sq-AL"/>
        </w:rPr>
        <w:t>《全国人民代表大会常务委员会关于修改〈中华人民共和国道路交通安全法〉等八部法律的决定》，</w:t>
      </w:r>
      <w:r>
        <w:rPr>
          <w:szCs w:val="28"/>
        </w:rPr>
        <w:t>2021年4月29日实施</w:t>
      </w:r>
      <w:r>
        <w:rPr>
          <w:szCs w:val="28"/>
          <w:lang w:val="sq-AL"/>
        </w:rPr>
        <w:t>）</w:t>
      </w:r>
      <w:r>
        <w:rPr>
          <w:szCs w:val="28"/>
        </w:rPr>
        <w:t>；</w:t>
      </w:r>
    </w:p>
    <w:p w14:paraId="04AE336F">
      <w:pPr>
        <w:pStyle w:val="20"/>
        <w:ind w:firstLine="560"/>
        <w:rPr>
          <w:szCs w:val="28"/>
        </w:rPr>
      </w:pPr>
      <w:r>
        <w:rPr>
          <w:szCs w:val="28"/>
        </w:rPr>
        <w:t>（6）《</w:t>
      </w:r>
      <w:bookmarkStart w:id="98" w:name="OLE_LINK17"/>
      <w:r>
        <w:rPr>
          <w:szCs w:val="28"/>
        </w:rPr>
        <w:t>中华人民共和国特种设备安全法</w:t>
      </w:r>
      <w:bookmarkEnd w:id="98"/>
      <w:r>
        <w:rPr>
          <w:szCs w:val="28"/>
        </w:rPr>
        <w:t>》（中华人民共和国主席令第四号，2014年1月1日起施行）；</w:t>
      </w:r>
    </w:p>
    <w:p w14:paraId="29F7C9C5">
      <w:pPr>
        <w:pStyle w:val="20"/>
        <w:ind w:firstLine="560"/>
        <w:rPr>
          <w:szCs w:val="28"/>
          <w:lang w:val="sq-AL"/>
        </w:rPr>
      </w:pPr>
      <w:r>
        <w:rPr>
          <w:szCs w:val="28"/>
          <w:lang w:val="sq-AL"/>
        </w:rPr>
        <w:t>（7）</w:t>
      </w:r>
      <w:r>
        <w:rPr>
          <w:szCs w:val="28"/>
        </w:rPr>
        <w:t>《中华人民共和国职业病防治法》（</w:t>
      </w:r>
      <w:r>
        <w:rPr>
          <w:szCs w:val="28"/>
          <w:lang w:val="sq-AL"/>
        </w:rPr>
        <w:t>中华人民共和国主席令第</w:t>
      </w:r>
      <w:r>
        <w:rPr>
          <w:szCs w:val="28"/>
        </w:rPr>
        <w:t>六十</w:t>
      </w:r>
      <w:r>
        <w:rPr>
          <w:szCs w:val="28"/>
          <w:lang w:val="sq-AL"/>
        </w:rPr>
        <w:t>号，自2002年5月1日起施行；2018年12月29日第十三届全国人民代表大会常务委员会第七次会议《关于修改等七部法律的决定》第四次修正，2018年12月30日起施行</w:t>
      </w:r>
      <w:r>
        <w:rPr>
          <w:szCs w:val="28"/>
        </w:rPr>
        <w:t>）；</w:t>
      </w:r>
    </w:p>
    <w:p w14:paraId="220456FF">
      <w:pPr>
        <w:pStyle w:val="20"/>
        <w:ind w:firstLine="560"/>
        <w:rPr>
          <w:szCs w:val="28"/>
          <w:lang w:val="sq-AL"/>
        </w:rPr>
      </w:pPr>
      <w:r>
        <w:rPr>
          <w:szCs w:val="28"/>
          <w:lang w:val="sq-AL"/>
        </w:rPr>
        <w:t>（8）</w:t>
      </w:r>
      <w:r>
        <w:rPr>
          <w:szCs w:val="28"/>
        </w:rPr>
        <w:t>《中华人民共和国突发事件应对法》（中华人民共和国主席令第六十九号，2007年11月1日起施行；中华人民共和国主席令第二十五号，2024年6月28日第十四届全国人民代表大会常务委员会第十次会议修订，2024年11月1日起施行）；</w:t>
      </w:r>
    </w:p>
    <w:p w14:paraId="1B8A329B">
      <w:pPr>
        <w:pStyle w:val="20"/>
        <w:ind w:firstLine="560"/>
        <w:rPr>
          <w:szCs w:val="28"/>
          <w:lang w:val="sq-AL"/>
        </w:rPr>
      </w:pPr>
      <w:r>
        <w:rPr>
          <w:szCs w:val="28"/>
          <w:lang w:val="sq-AL"/>
        </w:rPr>
        <w:t>（9）《中华人民共和国道路交通安全法》（根据2021年4月29日第十三届全国人民代表大会常务委员会第二十八次会议《关于修改〈中华人民共和国道路交通安全法〉等八部法律的决定》第三次修正）。</w:t>
      </w:r>
    </w:p>
    <w:p w14:paraId="1FC4201B">
      <w:pPr>
        <w:pStyle w:val="7"/>
        <w:ind w:firstLine="560"/>
      </w:pPr>
      <w:r>
        <w:t>1.2.1.2法规</w:t>
      </w:r>
    </w:p>
    <w:p w14:paraId="42105D56">
      <w:pPr>
        <w:numPr>
          <w:ilvl w:val="0"/>
          <w:numId w:val="5"/>
        </w:numPr>
        <w:ind w:firstLine="560"/>
      </w:pPr>
      <w:bookmarkStart w:id="99" w:name="_Hlk501312820"/>
      <w:r>
        <w:t>《中华人民共和国矿产资源法实施细则》（国务院令第152号，1994年3月26日施行）；</w:t>
      </w:r>
    </w:p>
    <w:p w14:paraId="08D9888F">
      <w:pPr>
        <w:numPr>
          <w:ilvl w:val="0"/>
          <w:numId w:val="5"/>
        </w:numPr>
        <w:ind w:firstLine="560"/>
        <w:rPr>
          <w:lang w:val="sq-AL"/>
        </w:rPr>
      </w:pPr>
      <w:r>
        <w:rPr>
          <w:lang w:val="sq-AL"/>
        </w:rPr>
        <w:t>《中华人民共和国矿山安全法实施条例》（中华人民共和国劳动部令第4号，1996年10月30日施行）；</w:t>
      </w:r>
    </w:p>
    <w:p w14:paraId="1C588109">
      <w:pPr>
        <w:numPr>
          <w:ilvl w:val="0"/>
          <w:numId w:val="5"/>
        </w:numPr>
        <w:ind w:firstLine="560"/>
        <w:rPr>
          <w:lang w:val="sq-AL"/>
        </w:rPr>
      </w:pPr>
      <w:r>
        <w:rPr>
          <w:lang w:val="sq-AL"/>
        </w:rPr>
        <w:t>《建设工程安全生产管理条例》（中华人民共和国国务院令第393号，2003年11月12日国务院第28次常务会议通过，自2004年2月1日起施行）；</w:t>
      </w:r>
    </w:p>
    <w:p w14:paraId="0A5AFAC2">
      <w:pPr>
        <w:numPr>
          <w:ilvl w:val="0"/>
          <w:numId w:val="5"/>
        </w:numPr>
        <w:ind w:firstLine="560"/>
        <w:rPr>
          <w:lang w:val="sq-AL"/>
        </w:rPr>
      </w:pPr>
      <w:r>
        <w:rPr>
          <w:lang w:val="sq-AL"/>
        </w:rPr>
        <w:t>《地质灾害防治条例》（中华人民共和国国务院令第394号，自2004年3月1日起施行）；</w:t>
      </w:r>
    </w:p>
    <w:p w14:paraId="5F5298B3">
      <w:pPr>
        <w:numPr>
          <w:ilvl w:val="0"/>
          <w:numId w:val="5"/>
        </w:numPr>
        <w:ind w:firstLine="560"/>
        <w:rPr>
          <w:lang w:val="sq-AL"/>
        </w:rPr>
      </w:pPr>
      <w:r>
        <w:rPr>
          <w:lang w:val="sq-AL"/>
        </w:rPr>
        <w:t>《生产安全事故报告和调查处理条例》（中华人民共和国国务院令第493号，2007年6月1日起施行）；</w:t>
      </w:r>
    </w:p>
    <w:p w14:paraId="7EB8FC04">
      <w:pPr>
        <w:numPr>
          <w:ilvl w:val="0"/>
          <w:numId w:val="5"/>
        </w:numPr>
        <w:ind w:firstLine="560"/>
        <w:rPr>
          <w:lang w:val="sq-AL"/>
        </w:rPr>
      </w:pPr>
      <w:r>
        <w:rPr>
          <w:lang w:val="sq-AL"/>
        </w:rPr>
        <w:t>《特种设备安全监察条例》（中华人民共和国国务院令第549号修订，2009年5月1日起施行）；</w:t>
      </w:r>
    </w:p>
    <w:p w14:paraId="19A9225C">
      <w:pPr>
        <w:numPr>
          <w:ilvl w:val="0"/>
          <w:numId w:val="5"/>
        </w:numPr>
        <w:ind w:firstLine="560"/>
        <w:rPr>
          <w:lang w:val="sq-AL"/>
        </w:rPr>
      </w:pPr>
      <w:r>
        <w:rPr>
          <w:lang w:val="sq-AL"/>
        </w:rPr>
        <w:t>《工伤保险条例》（中华人民共和国国务院令[201</w:t>
      </w:r>
      <w:r>
        <w:t>0</w:t>
      </w:r>
      <w:r>
        <w:rPr>
          <w:lang w:val="sq-AL"/>
        </w:rPr>
        <w:t>]586号，2011年1月1日起施行）；</w:t>
      </w:r>
    </w:p>
    <w:p w14:paraId="0897F579">
      <w:pPr>
        <w:numPr>
          <w:ilvl w:val="0"/>
          <w:numId w:val="5"/>
        </w:numPr>
        <w:ind w:firstLine="560"/>
        <w:rPr>
          <w:lang w:val="sq-AL"/>
        </w:rPr>
      </w:pPr>
      <w:r>
        <w:rPr>
          <w:lang w:val="sq-AL"/>
        </w:rPr>
        <w:t>《电力设施保护条例》（</w:t>
      </w:r>
      <w:r>
        <w:fldChar w:fldCharType="begin"/>
      </w:r>
      <w:r>
        <w:instrText xml:space="preserve"> HYPERLINK "https://baike.so.com/doc/6420484-6634156.html" \t "https://baike.so.com/doc/_blank" </w:instrText>
      </w:r>
      <w:r>
        <w:fldChar w:fldCharType="separate"/>
      </w:r>
      <w:r>
        <w:rPr>
          <w:lang w:val="sq-AL"/>
        </w:rPr>
        <w:t>中华人民共和国国务院</w:t>
      </w:r>
      <w:r>
        <w:rPr>
          <w:lang w:val="sq-AL"/>
        </w:rPr>
        <w:fldChar w:fldCharType="end"/>
      </w:r>
      <w:r>
        <w:rPr>
          <w:lang w:val="sq-AL"/>
        </w:rPr>
        <w:t>令第239号，根据1998年1月7日《国务院关于修改〈电力设施保护条例〉的决定》第一次修订；根据2011年1月8日《国务院关于废止和修改部分行政法规的决定》第二次修订，自2011年1月8日起施行）；</w:t>
      </w:r>
    </w:p>
    <w:p w14:paraId="48B0D276">
      <w:pPr>
        <w:numPr>
          <w:ilvl w:val="0"/>
          <w:numId w:val="5"/>
        </w:numPr>
        <w:ind w:firstLine="560"/>
        <w:rPr>
          <w:lang w:val="sq-AL"/>
        </w:rPr>
      </w:pPr>
      <w:r>
        <w:rPr>
          <w:lang w:val="sq-AL"/>
        </w:rPr>
        <w:t>《公路安全保护条例》（中华人民共和国国务院令第593号，2011年2月16日国务院第144次常务会议通过；2011年3月7日中华人民共和国国务院令第593号公布；自2011年7月1日起施行）；</w:t>
      </w:r>
    </w:p>
    <w:p w14:paraId="4286D8DA">
      <w:pPr>
        <w:numPr>
          <w:ilvl w:val="0"/>
          <w:numId w:val="5"/>
        </w:numPr>
        <w:ind w:firstLine="560"/>
        <w:rPr>
          <w:lang w:val="sq-AL"/>
        </w:rPr>
      </w:pPr>
      <w:r>
        <w:rPr>
          <w:lang w:val="sq-AL"/>
        </w:rPr>
        <w:t>《安全生产许可证条例》（中华人民共和国国务院令397号，2004年1月13日；根据2013年7月18日《国务院关于废止和修改部分行政法规的决定》第一次修订；根据2014年7月29日《国务院关于修改部分行政法规的决定》第二次修订，2014年7月29日起施行）；</w:t>
      </w:r>
    </w:p>
    <w:p w14:paraId="4A39F0D2">
      <w:pPr>
        <w:numPr>
          <w:ilvl w:val="0"/>
          <w:numId w:val="5"/>
        </w:numPr>
        <w:ind w:firstLine="560"/>
        <w:rPr>
          <w:lang w:val="sq-AL"/>
        </w:rPr>
      </w:pPr>
      <w:r>
        <w:rPr>
          <w:lang w:val="sq-AL"/>
        </w:rPr>
        <w:t>《生产安全事故应急条例》（中华人民共和国国务院令第708号，2019年4月1日起施行）；</w:t>
      </w:r>
    </w:p>
    <w:p w14:paraId="2BD88906">
      <w:pPr>
        <w:numPr>
          <w:ilvl w:val="0"/>
          <w:numId w:val="5"/>
        </w:numPr>
        <w:ind w:firstLine="560"/>
      </w:pPr>
      <w:r>
        <w:rPr>
          <w:lang w:val="sq-AL"/>
        </w:rPr>
        <w:t>《民用爆炸物品安全管理条例》（国务院令第466号颁布，国务院令第653号修订，修订后自2014年7月29日起施行）；</w:t>
      </w:r>
    </w:p>
    <w:p w14:paraId="2D0D71C3">
      <w:pPr>
        <w:numPr>
          <w:ilvl w:val="0"/>
          <w:numId w:val="5"/>
        </w:numPr>
        <w:ind w:firstLine="560"/>
      </w:pPr>
      <w:r>
        <w:rPr>
          <w:snapToGrid w:val="0"/>
          <w:kern w:val="0"/>
          <w:szCs w:val="24"/>
          <w:lang w:val="sq-AL"/>
        </w:rPr>
        <w:t>《中共中央办公厅 国务院办公厅关于进一步加强矿山安全生产工作的意见》（厅字〔2023〕21号，2023年8月25日）</w:t>
      </w:r>
      <w:r>
        <w:t>。</w:t>
      </w:r>
      <w:bookmarkEnd w:id="99"/>
    </w:p>
    <w:p w14:paraId="77D223B9">
      <w:pPr>
        <w:pStyle w:val="7"/>
        <w:ind w:firstLine="560"/>
      </w:pPr>
      <w:bookmarkStart w:id="100" w:name="_Toc20399"/>
      <w:bookmarkStart w:id="101" w:name="_Toc501120262"/>
      <w:r>
        <w:t>1.2.1.3部门规章</w:t>
      </w:r>
      <w:bookmarkEnd w:id="100"/>
      <w:bookmarkEnd w:id="101"/>
    </w:p>
    <w:p w14:paraId="53B160E6">
      <w:pPr>
        <w:numPr>
          <w:ilvl w:val="0"/>
          <w:numId w:val="6"/>
        </w:numPr>
        <w:ind w:firstLine="560"/>
        <w:rPr>
          <w:snapToGrid w:val="0"/>
          <w:kern w:val="0"/>
          <w:szCs w:val="24"/>
          <w:lang w:val="sq-AL"/>
        </w:rPr>
      </w:pPr>
      <w:r>
        <w:rPr>
          <w:snapToGrid w:val="0"/>
          <w:kern w:val="0"/>
          <w:szCs w:val="24"/>
          <w:lang w:val="sq-AL"/>
        </w:rPr>
        <w:t>《生产安全事故信息报告和处置办法》（原国家安全生产监督管理总局令第21号，2009年7月1日实施）；</w:t>
      </w:r>
    </w:p>
    <w:p w14:paraId="56DF3896">
      <w:pPr>
        <w:numPr>
          <w:ilvl w:val="0"/>
          <w:numId w:val="6"/>
        </w:numPr>
        <w:ind w:firstLine="560"/>
        <w:rPr>
          <w:snapToGrid w:val="0"/>
          <w:kern w:val="0"/>
          <w:szCs w:val="24"/>
          <w:lang w:val="sq-AL"/>
        </w:rPr>
      </w:pPr>
      <w:r>
        <w:rPr>
          <w:snapToGrid w:val="0"/>
          <w:kern w:val="0"/>
          <w:szCs w:val="24"/>
          <w:lang w:val="sq-AL"/>
        </w:rPr>
        <w:t>《企业安全生产费用提取和使用管理办法》（财资〔2022〕136号，2022年11月21日实施）；</w:t>
      </w:r>
    </w:p>
    <w:p w14:paraId="4C8AB4F3">
      <w:pPr>
        <w:numPr>
          <w:ilvl w:val="0"/>
          <w:numId w:val="6"/>
        </w:numPr>
        <w:ind w:firstLine="560"/>
        <w:rPr>
          <w:snapToGrid w:val="0"/>
          <w:kern w:val="0"/>
          <w:szCs w:val="24"/>
          <w:lang w:val="sq-AL"/>
        </w:rPr>
      </w:pPr>
      <w:r>
        <w:rPr>
          <w:snapToGrid w:val="0"/>
          <w:kern w:val="0"/>
          <w:szCs w:val="24"/>
          <w:lang w:val="sq-AL"/>
        </w:rPr>
        <w:t>《国家安全监管总局关于修改〈生产安全事故报告和调查处理条例〉罚款处罚暂行规定》等四部规章的决定（原国家安全生产监督管理总局令第77号，2015年5月1日实施）；</w:t>
      </w:r>
    </w:p>
    <w:p w14:paraId="004C9BAF">
      <w:pPr>
        <w:numPr>
          <w:ilvl w:val="0"/>
          <w:numId w:val="6"/>
        </w:numPr>
        <w:ind w:firstLine="560"/>
        <w:rPr>
          <w:snapToGrid w:val="0"/>
          <w:kern w:val="0"/>
          <w:szCs w:val="24"/>
          <w:lang w:val="sq-AL"/>
        </w:rPr>
      </w:pPr>
      <w:r>
        <w:rPr>
          <w:snapToGrid w:val="0"/>
          <w:kern w:val="0"/>
          <w:szCs w:val="24"/>
          <w:lang w:val="sq-AL"/>
        </w:rPr>
        <w:t>《非煤矿矿山企业安全生产许可证实施办法》（原国家安全生产监督管理总局第20号令，自2009年6月8日起实施；原国家安全生产监管总局令第78号《国家安全监管总局关于废止和修改非煤矿矿山领域九部规章的决定》修正，自2015年7月1日起实施）；</w:t>
      </w:r>
    </w:p>
    <w:p w14:paraId="15FD2E0B">
      <w:pPr>
        <w:numPr>
          <w:ilvl w:val="0"/>
          <w:numId w:val="6"/>
        </w:numPr>
        <w:ind w:firstLine="560"/>
        <w:rPr>
          <w:snapToGrid w:val="0"/>
          <w:kern w:val="0"/>
          <w:szCs w:val="24"/>
          <w:lang w:val="sq-AL"/>
        </w:rPr>
      </w:pPr>
      <w:r>
        <w:rPr>
          <w:snapToGrid w:val="0"/>
          <w:kern w:val="0"/>
          <w:szCs w:val="24"/>
          <w:lang w:val="sq-AL"/>
        </w:rPr>
        <w:t>《建设项目安全设施“三同时”监督管理办法》（原国家安全生产监督管理总局令第36号，原国家安全生产监督管理总局令第77号修正，自2015年5月1日起施行）；</w:t>
      </w:r>
    </w:p>
    <w:p w14:paraId="2CDC0895">
      <w:pPr>
        <w:numPr>
          <w:ilvl w:val="0"/>
          <w:numId w:val="6"/>
        </w:numPr>
        <w:ind w:firstLine="560"/>
        <w:rPr>
          <w:snapToGrid w:val="0"/>
          <w:kern w:val="0"/>
          <w:szCs w:val="24"/>
          <w:lang w:val="sq-AL"/>
        </w:rPr>
      </w:pPr>
      <w:r>
        <w:rPr>
          <w:snapToGrid w:val="0"/>
          <w:kern w:val="0"/>
          <w:szCs w:val="24"/>
          <w:lang w:val="sq-AL"/>
        </w:rPr>
        <w:t>《国家安全监管总局〈关于发布金属非金属矿山禁止使用的设备及工艺目录（第二批）〉的通知》（安监总管13号，2015年2月13日）；</w:t>
      </w:r>
    </w:p>
    <w:p w14:paraId="104200E6">
      <w:pPr>
        <w:numPr>
          <w:ilvl w:val="0"/>
          <w:numId w:val="6"/>
        </w:numPr>
        <w:ind w:firstLine="560"/>
        <w:rPr>
          <w:snapToGrid w:val="0"/>
          <w:kern w:val="0"/>
          <w:szCs w:val="24"/>
          <w:lang w:val="sq-AL"/>
        </w:rPr>
      </w:pPr>
      <w:r>
        <w:rPr>
          <w:snapToGrid w:val="0"/>
          <w:kern w:val="0"/>
          <w:szCs w:val="24"/>
          <w:lang w:val="sq-AL"/>
        </w:rPr>
        <w:t>《特种作业人员安全技术考核管理规定》（原国家安全监管总局令第30号，2013年8月29日原国家安全监管总局令第63号第一次修正，2015年5月29日原国家安全监管总局令第80号第二次修正，2015年7月1日施行）；</w:t>
      </w:r>
    </w:p>
    <w:p w14:paraId="4F292928">
      <w:pPr>
        <w:numPr>
          <w:ilvl w:val="0"/>
          <w:numId w:val="6"/>
        </w:numPr>
        <w:ind w:firstLine="560"/>
        <w:rPr>
          <w:snapToGrid w:val="0"/>
          <w:kern w:val="0"/>
          <w:szCs w:val="24"/>
          <w:lang w:val="sq-AL"/>
        </w:rPr>
      </w:pPr>
      <w:r>
        <w:rPr>
          <w:snapToGrid w:val="0"/>
          <w:kern w:val="0"/>
          <w:szCs w:val="24"/>
          <w:lang w:val="sq-AL"/>
        </w:rPr>
        <w:t>《安全生产培训管理办法》（原国家安全生产监督管理总局令第44号，原国家安全生产监督管理总局令第80号修正，2015年7月1日起施行）；</w:t>
      </w:r>
    </w:p>
    <w:p w14:paraId="791CC6CF">
      <w:pPr>
        <w:numPr>
          <w:ilvl w:val="0"/>
          <w:numId w:val="6"/>
        </w:numPr>
        <w:ind w:firstLine="560"/>
        <w:rPr>
          <w:snapToGrid w:val="0"/>
          <w:kern w:val="0"/>
          <w:szCs w:val="24"/>
          <w:lang w:val="sq-AL"/>
        </w:rPr>
      </w:pPr>
      <w:r>
        <w:rPr>
          <w:snapToGrid w:val="0"/>
          <w:kern w:val="0"/>
          <w:szCs w:val="24"/>
          <w:lang w:val="sq-AL"/>
        </w:rPr>
        <w:t>《金属非金属矿山建设项目安全设施目录（试行）》（原安监总管—〔2015〕75号，2015年7月1日起施行）；</w:t>
      </w:r>
    </w:p>
    <w:p w14:paraId="6003E6E3">
      <w:pPr>
        <w:numPr>
          <w:ilvl w:val="0"/>
          <w:numId w:val="6"/>
        </w:numPr>
        <w:ind w:firstLine="560"/>
        <w:rPr>
          <w:snapToGrid w:val="0"/>
          <w:kern w:val="0"/>
          <w:szCs w:val="24"/>
          <w:lang w:val="sq-AL"/>
        </w:rPr>
      </w:pPr>
      <w:r>
        <w:rPr>
          <w:snapToGrid w:val="0"/>
          <w:kern w:val="0"/>
          <w:szCs w:val="24"/>
          <w:lang w:val="sq-AL"/>
        </w:rPr>
        <w:t>《国家矿山安全监察局关于印发〈非煤矿山建设项目安全设施重大变更范围〉的通知》（矿安〔2023〕147号，2023年11月14日施行）；</w:t>
      </w:r>
    </w:p>
    <w:p w14:paraId="10BD7DB1">
      <w:pPr>
        <w:numPr>
          <w:ilvl w:val="0"/>
          <w:numId w:val="6"/>
        </w:numPr>
        <w:ind w:firstLine="560"/>
        <w:rPr>
          <w:snapToGrid w:val="0"/>
          <w:kern w:val="0"/>
          <w:szCs w:val="24"/>
          <w:lang w:val="sq-AL"/>
        </w:rPr>
      </w:pPr>
      <w:r>
        <w:rPr>
          <w:snapToGrid w:val="0"/>
          <w:kern w:val="0"/>
          <w:szCs w:val="24"/>
          <w:lang w:val="sq-AL"/>
        </w:rPr>
        <w:t>《国家安全监管总局关于印发金属非金属矿山建设项目安全评价报告编写提纲的通知》（原安监总管一〔2016〕第49号）《附件2：金属非金属露天矿山建设项目安全设施验收评价报告编写提纲，2016年5月30日》；</w:t>
      </w:r>
    </w:p>
    <w:p w14:paraId="508BA001">
      <w:pPr>
        <w:numPr>
          <w:ilvl w:val="0"/>
          <w:numId w:val="6"/>
        </w:numPr>
        <w:ind w:firstLine="560"/>
        <w:rPr>
          <w:snapToGrid w:val="0"/>
          <w:kern w:val="0"/>
          <w:szCs w:val="24"/>
          <w:lang w:val="sq-AL"/>
        </w:rPr>
      </w:pPr>
      <w:r>
        <w:rPr>
          <w:snapToGrid w:val="0"/>
          <w:kern w:val="0"/>
          <w:szCs w:val="24"/>
          <w:lang w:val="sq-AL"/>
        </w:rPr>
        <w:t>《国家安全监管总局关于印发非煤矿山领域遏制重特大事故工作方案的通知》（原安监总管一〔2016〕60号，2016年5月27日）；</w:t>
      </w:r>
    </w:p>
    <w:p w14:paraId="178622C1">
      <w:pPr>
        <w:numPr>
          <w:ilvl w:val="0"/>
          <w:numId w:val="6"/>
        </w:numPr>
        <w:ind w:firstLine="560"/>
        <w:rPr>
          <w:snapToGrid w:val="0"/>
          <w:color w:val="000000" w:themeColor="text1"/>
          <w:kern w:val="0"/>
          <w:szCs w:val="24"/>
          <w:lang w:val="sq-AL"/>
          <w14:textFill>
            <w14:solidFill>
              <w14:schemeClr w14:val="tx1"/>
            </w14:solidFill>
          </w14:textFill>
        </w:rPr>
      </w:pPr>
      <w:r>
        <w:rPr>
          <w:snapToGrid w:val="0"/>
          <w:kern w:val="0"/>
          <w:szCs w:val="24"/>
          <w:lang w:val="sq-AL"/>
        </w:rPr>
        <w:t>《安全生产责任保险实施办法》（应急〔2025〕27号，自20</w:t>
      </w:r>
      <w:r>
        <w:rPr>
          <w:rFonts w:hint="eastAsia"/>
          <w:snapToGrid w:val="0"/>
          <w:kern w:val="0"/>
          <w:szCs w:val="24"/>
        </w:rPr>
        <w:t>25</w:t>
      </w:r>
      <w:r>
        <w:rPr>
          <w:snapToGrid w:val="0"/>
          <w:kern w:val="0"/>
          <w:szCs w:val="24"/>
          <w:lang w:val="sq-AL"/>
        </w:rPr>
        <w:t>年</w:t>
      </w:r>
      <w:r>
        <w:rPr>
          <w:rFonts w:hint="eastAsia"/>
          <w:snapToGrid w:val="0"/>
          <w:kern w:val="0"/>
          <w:szCs w:val="24"/>
        </w:rPr>
        <w:t>3</w:t>
      </w:r>
      <w:r>
        <w:rPr>
          <w:snapToGrid w:val="0"/>
          <w:kern w:val="0"/>
          <w:szCs w:val="24"/>
          <w:lang w:val="sq-AL"/>
        </w:rPr>
        <w:t>月</w:t>
      </w:r>
      <w:r>
        <w:rPr>
          <w:rFonts w:hint="eastAsia"/>
          <w:snapToGrid w:val="0"/>
          <w:kern w:val="0"/>
          <w:szCs w:val="24"/>
        </w:rPr>
        <w:t>29</w:t>
      </w:r>
      <w:r>
        <w:rPr>
          <w:snapToGrid w:val="0"/>
          <w:kern w:val="0"/>
          <w:szCs w:val="24"/>
          <w:lang w:val="sq-AL"/>
        </w:rPr>
        <w:t>日起施行）；</w:t>
      </w:r>
    </w:p>
    <w:p w14:paraId="0FEFF82B">
      <w:pPr>
        <w:numPr>
          <w:ilvl w:val="0"/>
          <w:numId w:val="6"/>
        </w:numPr>
        <w:ind w:firstLine="560"/>
        <w:rPr>
          <w:snapToGrid w:val="0"/>
          <w:kern w:val="0"/>
          <w:szCs w:val="24"/>
          <w:lang w:val="sq-AL"/>
        </w:rPr>
      </w:pPr>
      <w:r>
        <w:rPr>
          <w:snapToGrid w:val="0"/>
          <w:kern w:val="0"/>
          <w:szCs w:val="24"/>
          <w:lang w:val="sq-AL"/>
        </w:rPr>
        <w:t>《生产安全事故应急预案管理办法》（2016年6月3日原国家安全生产监督管理总局令第88号公布，自2016年7月1日起施行；根据2019年7月11日应急管理部令第2号修正，2019年9月1日施行）；</w:t>
      </w:r>
    </w:p>
    <w:p w14:paraId="041049FD">
      <w:pPr>
        <w:numPr>
          <w:ilvl w:val="0"/>
          <w:numId w:val="6"/>
        </w:numPr>
        <w:ind w:firstLine="560"/>
        <w:rPr>
          <w:snapToGrid w:val="0"/>
          <w:kern w:val="0"/>
          <w:szCs w:val="24"/>
          <w:lang w:val="sq-AL"/>
        </w:rPr>
      </w:pPr>
      <w:r>
        <w:rPr>
          <w:snapToGrid w:val="0"/>
          <w:kern w:val="0"/>
          <w:szCs w:val="24"/>
          <w:lang w:val="sq-AL"/>
        </w:rPr>
        <w:t>《国家矿山安全监察局关于印发〈矿山重大隐患调查处理办法（试行）〉的通知》（矿安〔2021〕49号）；</w:t>
      </w:r>
    </w:p>
    <w:p w14:paraId="7FF32382">
      <w:pPr>
        <w:numPr>
          <w:ilvl w:val="0"/>
          <w:numId w:val="6"/>
        </w:numPr>
        <w:ind w:firstLine="560"/>
        <w:rPr>
          <w:snapToGrid w:val="0"/>
          <w:kern w:val="0"/>
          <w:szCs w:val="24"/>
          <w:lang w:val="sq-AL"/>
        </w:rPr>
      </w:pPr>
      <w:r>
        <w:rPr>
          <w:snapToGrid w:val="0"/>
          <w:kern w:val="0"/>
          <w:szCs w:val="24"/>
          <w:lang w:val="sq-AL"/>
        </w:rPr>
        <w:t>《国家矿山安全监察局关于印发〈关于加强非煤矿山安全生产工作的指导意见》（矿安〔2022〕4号，自2022年2月8日起实施）；</w:t>
      </w:r>
    </w:p>
    <w:p w14:paraId="2DA61FB3">
      <w:pPr>
        <w:numPr>
          <w:ilvl w:val="0"/>
          <w:numId w:val="6"/>
        </w:numPr>
        <w:ind w:firstLine="560"/>
        <w:rPr>
          <w:snapToGrid w:val="0"/>
          <w:kern w:val="0"/>
          <w:szCs w:val="24"/>
          <w:lang w:val="sq-AL"/>
        </w:rPr>
      </w:pPr>
      <w:r>
        <w:rPr>
          <w:snapToGrid w:val="0"/>
          <w:kern w:val="0"/>
          <w:szCs w:val="24"/>
          <w:lang w:val="sq-AL"/>
        </w:rPr>
        <w:t>《国家矿山安全监察局关于印发〈金属非金属矿山重大事故隐患判定标准〉的通知》（矿安〔2022〕88号，自2022年9月1日起施行）；</w:t>
      </w:r>
    </w:p>
    <w:p w14:paraId="591AD80A">
      <w:pPr>
        <w:numPr>
          <w:ilvl w:val="0"/>
          <w:numId w:val="6"/>
        </w:numPr>
        <w:ind w:firstLine="560"/>
        <w:rPr>
          <w:snapToGrid w:val="0"/>
          <w:kern w:val="0"/>
          <w:szCs w:val="24"/>
          <w:lang w:val="sq-AL"/>
        </w:rPr>
      </w:pPr>
      <w:r>
        <w:rPr>
          <w:snapToGrid w:val="0"/>
          <w:kern w:val="0"/>
          <w:szCs w:val="24"/>
          <w:lang w:val="sq-AL"/>
        </w:rPr>
        <w:t>《国家矿山安全监察局关于开展露天矿山安全生产专项整治的通知》（矿安〔2023〕16号，2023年2月27日施行）；</w:t>
      </w:r>
    </w:p>
    <w:p w14:paraId="75DED271">
      <w:pPr>
        <w:numPr>
          <w:ilvl w:val="0"/>
          <w:numId w:val="6"/>
        </w:numPr>
        <w:ind w:firstLine="560"/>
        <w:rPr>
          <w:snapToGrid w:val="0"/>
          <w:kern w:val="0"/>
          <w:szCs w:val="24"/>
          <w:lang w:val="sq-AL"/>
        </w:rPr>
      </w:pPr>
      <w:r>
        <w:rPr>
          <w:snapToGrid w:val="0"/>
          <w:kern w:val="0"/>
          <w:szCs w:val="24"/>
          <w:lang w:val="sq-AL"/>
        </w:rPr>
        <w:t>《国务院安委会办公室关于学习宣传贯彻〈中共中央办公厅 国务院办公厅关于进一步加强矿山安全生产工作的意见〉的通知》（安委办〔2023〕7号，2023年9月9日）；</w:t>
      </w:r>
    </w:p>
    <w:p w14:paraId="003C3EF4">
      <w:pPr>
        <w:numPr>
          <w:ilvl w:val="0"/>
          <w:numId w:val="6"/>
        </w:numPr>
        <w:ind w:firstLine="560"/>
        <w:rPr>
          <w:snapToGrid w:val="0"/>
          <w:kern w:val="0"/>
          <w:szCs w:val="24"/>
          <w:lang w:val="sq-AL"/>
        </w:rPr>
      </w:pPr>
      <w:r>
        <w:rPr>
          <w:snapToGrid w:val="0"/>
          <w:kern w:val="0"/>
          <w:szCs w:val="24"/>
          <w:lang w:val="sq-AL"/>
        </w:rPr>
        <w:t>《国家矿山安全监察局关于印发〈防范非煤矿山典型多发事故六十条措施〉的通知》（矿安〔2023〕124号，2023年9月12日）；</w:t>
      </w:r>
    </w:p>
    <w:p w14:paraId="2247BA89">
      <w:pPr>
        <w:numPr>
          <w:ilvl w:val="0"/>
          <w:numId w:val="6"/>
        </w:numPr>
        <w:ind w:firstLine="560"/>
        <w:rPr>
          <w:snapToGrid w:val="0"/>
          <w:kern w:val="0"/>
          <w:szCs w:val="24"/>
          <w:lang w:val="sq-AL"/>
        </w:rPr>
      </w:pPr>
      <w:r>
        <w:rPr>
          <w:snapToGrid w:val="0"/>
          <w:kern w:val="0"/>
          <w:szCs w:val="24"/>
          <w:lang w:val="sq-AL"/>
        </w:rPr>
        <w:t>《应急管理部关于进一步加强安全评价机构监管的指导意见》（应急〔2023〕99号，2023年9月29日）；</w:t>
      </w:r>
    </w:p>
    <w:p w14:paraId="34CBCD79">
      <w:pPr>
        <w:numPr>
          <w:ilvl w:val="0"/>
          <w:numId w:val="6"/>
        </w:numPr>
        <w:ind w:firstLine="560"/>
        <w:rPr>
          <w:snapToGrid w:val="0"/>
          <w:kern w:val="0"/>
          <w:szCs w:val="24"/>
          <w:lang w:val="sq-AL"/>
        </w:rPr>
      </w:pPr>
      <w:r>
        <w:rPr>
          <w:snapToGrid w:val="0"/>
          <w:kern w:val="0"/>
          <w:szCs w:val="24"/>
          <w:lang w:val="sq-AL"/>
        </w:rPr>
        <w:t>《国家矿山安全监察局关于开展露天矿山边坡监测系统建设及联网工作的通知》（矿安〔2023〕119号）；</w:t>
      </w:r>
    </w:p>
    <w:p w14:paraId="0996698F">
      <w:pPr>
        <w:numPr>
          <w:ilvl w:val="0"/>
          <w:numId w:val="6"/>
        </w:numPr>
        <w:ind w:firstLine="560"/>
        <w:rPr>
          <w:snapToGrid w:val="0"/>
          <w:kern w:val="0"/>
          <w:szCs w:val="24"/>
          <w:lang w:val="sq-AL"/>
        </w:rPr>
      </w:pPr>
      <w:r>
        <w:rPr>
          <w:snapToGrid w:val="0"/>
          <w:kern w:val="0"/>
          <w:szCs w:val="24"/>
          <w:lang w:val="sq-AL"/>
        </w:rPr>
        <w:t>《国务院安全生产委员会印发〈关于防范遏制矿山领域重特大生产安全事故的硬措施〉的通知》（安委〔2024〕1号，2024年1月16日施行）</w:t>
      </w:r>
    </w:p>
    <w:p w14:paraId="6A5C5B2E">
      <w:pPr>
        <w:numPr>
          <w:ilvl w:val="0"/>
          <w:numId w:val="6"/>
        </w:numPr>
        <w:ind w:firstLine="560"/>
        <w:rPr>
          <w:snapToGrid w:val="0"/>
          <w:kern w:val="0"/>
          <w:szCs w:val="24"/>
          <w:lang w:val="sq-AL"/>
        </w:rPr>
      </w:pPr>
      <w:r>
        <w:rPr>
          <w:snapToGrid w:val="0"/>
          <w:kern w:val="0"/>
          <w:szCs w:val="24"/>
          <w:lang w:val="sq-AL"/>
        </w:rPr>
        <w:t>《国家矿山安全监察局关于印发〈金属非金属矿山重大事故隐患判定标准补充情形〉的通知》（矿安〔2024〕41号，2024年4月23日）；</w:t>
      </w:r>
    </w:p>
    <w:p w14:paraId="7422D172">
      <w:pPr>
        <w:numPr>
          <w:ilvl w:val="0"/>
          <w:numId w:val="6"/>
        </w:numPr>
        <w:ind w:firstLine="560"/>
        <w:rPr>
          <w:snapToGrid w:val="0"/>
          <w:kern w:val="0"/>
          <w:szCs w:val="24"/>
          <w:lang w:val="sq-AL"/>
        </w:rPr>
      </w:pPr>
      <w:r>
        <w:rPr>
          <w:snapToGrid w:val="0"/>
          <w:kern w:val="0"/>
          <w:szCs w:val="24"/>
          <w:lang w:val="sq-AL"/>
        </w:rPr>
        <w:t>《国家矿山安全监察局关于进一步加强非煤矿山安全生产行政许可工作的通知》（矿安〔2024〕70号，2024年6月28日）；</w:t>
      </w:r>
    </w:p>
    <w:p w14:paraId="76C9E52B">
      <w:pPr>
        <w:numPr>
          <w:ilvl w:val="0"/>
          <w:numId w:val="6"/>
        </w:numPr>
        <w:ind w:firstLine="560"/>
        <w:rPr>
          <w:lang w:val="sq-AL"/>
        </w:rPr>
      </w:pPr>
      <w:r>
        <w:rPr>
          <w:snapToGrid w:val="0"/>
          <w:kern w:val="0"/>
          <w:szCs w:val="24"/>
          <w:lang w:val="sq-AL"/>
        </w:rPr>
        <w:t>《国家矿山安全监察局关于印发〈“学铁规、明责任、硬落实、保安全”专项活动方案〉的通知》（矿安〔2024〕72号，2024年7月14日）；</w:t>
      </w:r>
    </w:p>
    <w:p w14:paraId="3A698C0C">
      <w:pPr>
        <w:numPr>
          <w:ilvl w:val="0"/>
          <w:numId w:val="6"/>
        </w:numPr>
        <w:ind w:firstLine="560"/>
        <w:rPr>
          <w:lang w:val="sq-AL"/>
        </w:rPr>
      </w:pPr>
      <w:r>
        <w:rPr>
          <w:snapToGrid w:val="0"/>
          <w:color w:val="000000" w:themeColor="text1"/>
          <w:kern w:val="0"/>
          <w:szCs w:val="24"/>
          <w:lang w:val="sq-AL"/>
          <w14:textFill>
            <w14:solidFill>
              <w14:schemeClr w14:val="tx1"/>
            </w14:solidFill>
          </w14:textFill>
        </w:rPr>
        <w:t>《矿山救援规程》</w:t>
      </w:r>
      <w:r>
        <w:rPr>
          <w:snapToGrid w:val="0"/>
          <w:color w:val="0000FF"/>
          <w:kern w:val="0"/>
          <w:szCs w:val="24"/>
          <w:lang w:val="sq-AL"/>
        </w:rPr>
        <w:t>（</w:t>
      </w:r>
      <w:r>
        <w:rPr>
          <w:snapToGrid w:val="0"/>
          <w:kern w:val="0"/>
          <w:szCs w:val="24"/>
          <w:lang w:val="sq-AL"/>
        </w:rPr>
        <w:t>中华人民共和国应急管理部令第16号，2024年4月15日应急管理部第12次部务会议审议通过，自2024年7月1日起施行）。</w:t>
      </w:r>
    </w:p>
    <w:p w14:paraId="7E2E71B6">
      <w:pPr>
        <w:pStyle w:val="7"/>
        <w:keepNext w:val="0"/>
        <w:keepLines w:val="0"/>
        <w:ind w:firstLine="560"/>
      </w:pPr>
      <w:bookmarkStart w:id="102" w:name="_Toc374352220"/>
      <w:bookmarkStart w:id="103" w:name="_Toc31208"/>
      <w:bookmarkStart w:id="104" w:name="_Toc444458069"/>
      <w:bookmarkStart w:id="105" w:name="_Toc501120263"/>
      <w:r>
        <w:t>1.2.1.4</w:t>
      </w:r>
      <w:bookmarkEnd w:id="102"/>
      <w:bookmarkEnd w:id="103"/>
      <w:bookmarkEnd w:id="104"/>
      <w:r>
        <w:t>地方性法规、政府规章和有关规范性文件</w:t>
      </w:r>
    </w:p>
    <w:p w14:paraId="56CD4CA6">
      <w:pPr>
        <w:pStyle w:val="161"/>
        <w:numPr>
          <w:ilvl w:val="0"/>
          <w:numId w:val="7"/>
        </w:numPr>
        <w:ind w:firstLine="560" w:firstLineChars="200"/>
        <w:rPr>
          <w:lang w:val="sq-AL"/>
        </w:rPr>
      </w:pPr>
      <w:r>
        <w:rPr>
          <w:snapToGrid w:val="0"/>
          <w:kern w:val="0"/>
        </w:rPr>
        <w:t>《云南省电力设施保护条例》（2007年9月29日云南省第十届人民代表大会常务委员会第三十一次会议通过，根据2012年3月31日云南省第十一届人民代表大会常务委员会第三十次会议《云南省人民代表大会常务委员会关于修改25件涉及行政强制的地方性法规的决定》修正，根据2024年11月28日云南省第十四届人民代表大会常务委员会第十三次会议《云南省人民代表大会常务委员会关于废止和修改部分地方性法规的决定》修正）</w:t>
      </w:r>
      <w:r>
        <w:rPr>
          <w:lang w:val="sq-AL"/>
        </w:rPr>
        <w:t>；</w:t>
      </w:r>
    </w:p>
    <w:p w14:paraId="1D026E20">
      <w:pPr>
        <w:pStyle w:val="161"/>
        <w:numPr>
          <w:ilvl w:val="0"/>
          <w:numId w:val="7"/>
        </w:numPr>
        <w:ind w:firstLine="560" w:firstLineChars="200"/>
        <w:rPr>
          <w:lang w:val="sq-AL"/>
        </w:rPr>
      </w:pPr>
      <w:r>
        <w:rPr>
          <w:lang w:val="sq-AL"/>
        </w:rPr>
        <w:t>《云南省人民政府关于进一步加强安全生产工作的决定》（云政发〔2011〕229号，自2011年11月14日起施行）；</w:t>
      </w:r>
    </w:p>
    <w:p w14:paraId="014771BC">
      <w:pPr>
        <w:pStyle w:val="161"/>
        <w:numPr>
          <w:ilvl w:val="0"/>
          <w:numId w:val="7"/>
        </w:numPr>
        <w:ind w:firstLine="560" w:firstLineChars="200"/>
        <w:rPr>
          <w:lang w:val="sq-AL"/>
        </w:rPr>
      </w:pPr>
      <w:r>
        <w:rPr>
          <w:lang w:val="sq-AL"/>
        </w:rPr>
        <w:t>《云南省安全生产委员会关于贯彻落实云南省人民政府进一步加强安全生产工作决定的通知》（云安发电〔2011〕12号，自2011年11月15日起施行）；</w:t>
      </w:r>
    </w:p>
    <w:p w14:paraId="2CE2DDF0">
      <w:pPr>
        <w:pStyle w:val="161"/>
        <w:numPr>
          <w:ilvl w:val="0"/>
          <w:numId w:val="7"/>
        </w:numPr>
        <w:ind w:firstLine="560" w:firstLineChars="200"/>
        <w:rPr>
          <w:lang w:val="sq-AL"/>
        </w:rPr>
      </w:pPr>
      <w:r>
        <w:rPr>
          <w:lang w:val="sq-AL"/>
        </w:rPr>
        <w:t>《云南省安全生产监督管理局〈关于进一步夯实非煤矿山安全生产基础的意见〉》（原云南省安全生产监督管理局，自2013年3月19日起施行）；</w:t>
      </w:r>
    </w:p>
    <w:p w14:paraId="16691336">
      <w:pPr>
        <w:pStyle w:val="161"/>
        <w:numPr>
          <w:ilvl w:val="0"/>
          <w:numId w:val="7"/>
        </w:numPr>
        <w:ind w:firstLine="560" w:firstLineChars="200"/>
        <w:rPr>
          <w:lang w:val="sq-AL"/>
        </w:rPr>
      </w:pPr>
      <w:r>
        <w:rPr>
          <w:lang w:val="sq-AL"/>
        </w:rPr>
        <w:t>《云南省人民政府关于促进非煤矿山转型升级的实施意见》（云政发〔2015〕38号，自2015年5月29日起施行）；</w:t>
      </w:r>
    </w:p>
    <w:p w14:paraId="5812C77C">
      <w:pPr>
        <w:pStyle w:val="161"/>
        <w:numPr>
          <w:ilvl w:val="0"/>
          <w:numId w:val="7"/>
        </w:numPr>
        <w:ind w:firstLine="560" w:firstLineChars="200"/>
        <w:rPr>
          <w:lang w:val="sq-AL"/>
        </w:rPr>
      </w:pPr>
      <w:r>
        <w:rPr>
          <w:lang w:val="sq-AL"/>
        </w:rPr>
        <w:t>《云南省安全生产监督管理局〈关于进一步规范金属非金属矿山建设项目安全“三同时”工作的通知〉》（原云南省安全生产监督管理局，自2016年3月21日起施行）；</w:t>
      </w:r>
    </w:p>
    <w:p w14:paraId="637BBF77">
      <w:pPr>
        <w:pStyle w:val="161"/>
        <w:numPr>
          <w:ilvl w:val="0"/>
          <w:numId w:val="7"/>
        </w:numPr>
        <w:ind w:firstLine="560" w:firstLineChars="200"/>
        <w:rPr>
          <w:lang w:val="sq-AL"/>
        </w:rPr>
      </w:pPr>
      <w:r>
        <w:rPr>
          <w:lang w:val="sq-AL"/>
        </w:rPr>
        <w:t>《云南省安全生产条例》（云南省第十二届人民代表大会常务委员会第三十八次会议于2017年11月30日修订，云南省十二届人民代表大会常务委员会公告第63号，自2018年1月1日施行）；</w:t>
      </w:r>
    </w:p>
    <w:p w14:paraId="1D6D3178">
      <w:pPr>
        <w:pStyle w:val="161"/>
        <w:numPr>
          <w:ilvl w:val="0"/>
          <w:numId w:val="7"/>
        </w:numPr>
        <w:ind w:firstLine="560" w:firstLineChars="200"/>
        <w:rPr>
          <w:lang w:val="sq-AL"/>
        </w:rPr>
      </w:pPr>
      <w:r>
        <w:rPr>
          <w:lang w:val="sq-AL"/>
        </w:rPr>
        <w:t>《云南省安委会办公室〈关于进一步夯实安全基础坚决防范遏制非煤矿山重特大事故的通知〉》（云安办〔2019〕7号，自2019年3月1日起施行）；</w:t>
      </w:r>
    </w:p>
    <w:p w14:paraId="010F7807">
      <w:pPr>
        <w:pStyle w:val="161"/>
        <w:numPr>
          <w:ilvl w:val="0"/>
          <w:numId w:val="7"/>
        </w:numPr>
        <w:ind w:firstLine="560" w:firstLineChars="200"/>
        <w:rPr>
          <w:lang w:val="sq-AL"/>
        </w:rPr>
      </w:pPr>
      <w:r>
        <w:rPr>
          <w:lang w:val="sq-AL"/>
        </w:rPr>
        <w:t>《云南省应急管理厅云南银保监局关于规范推进安全生产责任保险工作的通知》（云应急〔2022〕48号，2022年4月26日）</w:t>
      </w:r>
    </w:p>
    <w:p w14:paraId="497C5732">
      <w:pPr>
        <w:pStyle w:val="161"/>
        <w:numPr>
          <w:ilvl w:val="0"/>
          <w:numId w:val="7"/>
        </w:numPr>
        <w:ind w:firstLine="560" w:firstLineChars="200"/>
        <w:rPr>
          <w:lang w:val="sq-AL"/>
        </w:rPr>
      </w:pPr>
      <w:r>
        <w:rPr>
          <w:lang w:val="sq-AL"/>
        </w:rPr>
        <w:t>《云南省安全生产委员会办公室关于切实做好当前矿山安全生产工作的紧急通知》（云安办函〔2023〕16号，2023年2月23日）</w:t>
      </w:r>
    </w:p>
    <w:p w14:paraId="4229EAEA">
      <w:pPr>
        <w:pStyle w:val="161"/>
        <w:numPr>
          <w:ilvl w:val="0"/>
          <w:numId w:val="7"/>
        </w:numPr>
        <w:ind w:firstLine="560" w:firstLineChars="200"/>
        <w:rPr>
          <w:lang w:val="sq-AL"/>
        </w:rPr>
      </w:pPr>
      <w:r>
        <w:rPr>
          <w:lang w:val="sq-AL"/>
        </w:rPr>
        <w:t>《云南省应急管理厅 国家矿山安全监察局云南局〈关于开展非煤露天矿山安全生产专项整治的通知〉》（云应急[2023]31号，2023年3月9日）；</w:t>
      </w:r>
    </w:p>
    <w:p w14:paraId="5D25D877">
      <w:pPr>
        <w:pStyle w:val="161"/>
        <w:numPr>
          <w:ilvl w:val="0"/>
          <w:numId w:val="7"/>
        </w:numPr>
        <w:ind w:firstLine="560" w:firstLineChars="200"/>
        <w:rPr>
          <w:lang w:val="sq-AL"/>
        </w:rPr>
      </w:pPr>
      <w:r>
        <w:rPr>
          <w:lang w:val="sq-AL"/>
        </w:rPr>
        <w:t>《云南省全面加强非煤矿山安全生产工作若干措施》（云政办发〔2024〕44号，2024年7月23日）；</w:t>
      </w:r>
    </w:p>
    <w:p w14:paraId="0FEE35AF">
      <w:pPr>
        <w:pStyle w:val="161"/>
        <w:numPr>
          <w:ilvl w:val="0"/>
          <w:numId w:val="7"/>
        </w:numPr>
        <w:ind w:firstLine="560" w:firstLineChars="200"/>
        <w:rPr>
          <w:lang w:val="sq-AL"/>
        </w:rPr>
      </w:pPr>
      <w:r>
        <w:rPr>
          <w:lang w:val="sq-AL"/>
        </w:rPr>
        <w:t>《云南省安全生产治本攻坚三年行动方案（2024—2026年）》（</w:t>
      </w:r>
      <w:r>
        <w:t>云南省安委会</w:t>
      </w:r>
      <w:r>
        <w:rPr>
          <w:lang w:val="sq-AL"/>
        </w:rPr>
        <w:t>）；</w:t>
      </w:r>
    </w:p>
    <w:p w14:paraId="408E35FE">
      <w:pPr>
        <w:pStyle w:val="161"/>
        <w:numPr>
          <w:ilvl w:val="0"/>
          <w:numId w:val="7"/>
        </w:numPr>
        <w:ind w:firstLine="560" w:firstLineChars="200"/>
        <w:rPr>
          <w:lang w:val="sq-AL"/>
        </w:rPr>
      </w:pPr>
      <w:r>
        <w:rPr>
          <w:lang w:val="sq-AL"/>
        </w:rPr>
        <w:t>《云南省</w:t>
      </w:r>
      <w:r>
        <w:t>非煤矿山</w:t>
      </w:r>
      <w:r>
        <w:rPr>
          <w:lang w:val="sq-AL"/>
        </w:rPr>
        <w:t>安全生产治本攻坚三年行动方案（2024—2026年）》（</w:t>
      </w:r>
      <w:r>
        <w:t>国家矿山安全监察局云南局，2024年3月1日</w:t>
      </w:r>
      <w:r>
        <w:rPr>
          <w:lang w:val="sq-AL"/>
        </w:rPr>
        <w:t>）。</w:t>
      </w:r>
    </w:p>
    <w:bookmarkEnd w:id="105"/>
    <w:p w14:paraId="2ABA2CB0">
      <w:pPr>
        <w:pStyle w:val="6"/>
        <w:ind w:firstLine="562"/>
        <w:rPr>
          <w:rFonts w:eastAsia="宋体"/>
          <w:b/>
          <w:bCs w:val="0"/>
        </w:rPr>
      </w:pPr>
      <w:bookmarkStart w:id="106" w:name="_Toc59420494"/>
      <w:bookmarkStart w:id="107" w:name="_Toc28462"/>
      <w:bookmarkStart w:id="108" w:name="_Toc442"/>
      <w:bookmarkStart w:id="109" w:name="_Toc2881"/>
      <w:r>
        <w:rPr>
          <w:rFonts w:eastAsia="宋体"/>
          <w:b/>
          <w:bCs w:val="0"/>
        </w:rPr>
        <w:t>1.2.2标准和规范</w:t>
      </w:r>
      <w:bookmarkEnd w:id="86"/>
      <w:bookmarkEnd w:id="87"/>
      <w:bookmarkEnd w:id="88"/>
      <w:bookmarkEnd w:id="89"/>
      <w:bookmarkEnd w:id="90"/>
      <w:bookmarkEnd w:id="91"/>
      <w:bookmarkEnd w:id="92"/>
      <w:bookmarkEnd w:id="93"/>
      <w:bookmarkEnd w:id="94"/>
      <w:bookmarkEnd w:id="106"/>
      <w:bookmarkEnd w:id="107"/>
      <w:bookmarkEnd w:id="108"/>
      <w:bookmarkEnd w:id="109"/>
    </w:p>
    <w:p w14:paraId="4351267E">
      <w:pPr>
        <w:numPr>
          <w:ilvl w:val="0"/>
          <w:numId w:val="8"/>
        </w:numPr>
        <w:ind w:firstLine="560"/>
      </w:pPr>
      <w:bookmarkStart w:id="110" w:name="_Toc332786039"/>
      <w:bookmarkStart w:id="111" w:name="_Toc332357210"/>
      <w:bookmarkStart w:id="112" w:name="_Toc384121538"/>
      <w:r>
        <w:t>《企业职工伤亡事故分类》（</w:t>
      </w:r>
      <w:r>
        <w:rPr>
          <w:rFonts w:hint="eastAsia"/>
        </w:rPr>
        <w:t>GB6441-1986</w:t>
      </w:r>
      <w:r>
        <w:t>）；</w:t>
      </w:r>
    </w:p>
    <w:p w14:paraId="1B3E7F5A">
      <w:pPr>
        <w:numPr>
          <w:ilvl w:val="0"/>
          <w:numId w:val="8"/>
        </w:numPr>
        <w:ind w:firstLine="560"/>
      </w:pPr>
      <w:r>
        <w:t>《厂矿道路设计规范》（GBJ22-1987，1988年8月1日实施）；</w:t>
      </w:r>
    </w:p>
    <w:p w14:paraId="47A84F6D">
      <w:pPr>
        <w:numPr>
          <w:ilvl w:val="0"/>
          <w:numId w:val="8"/>
        </w:numPr>
        <w:ind w:firstLine="560"/>
      </w:pPr>
      <w:r>
        <w:t>《生产设备安全卫生设计总则》（GB5083-2023，2025年1月1日实施）；</w:t>
      </w:r>
    </w:p>
    <w:p w14:paraId="1EFBD720">
      <w:pPr>
        <w:numPr>
          <w:ilvl w:val="0"/>
          <w:numId w:val="8"/>
        </w:numPr>
        <w:ind w:firstLine="560"/>
      </w:pPr>
      <w:r>
        <w:t>《建筑灭火器配置设计规范》（GB50140-2005，2005年10月1日实施）；</w:t>
      </w:r>
    </w:p>
    <w:p w14:paraId="3E78A7E3">
      <w:pPr>
        <w:numPr>
          <w:ilvl w:val="0"/>
          <w:numId w:val="8"/>
        </w:numPr>
        <w:ind w:firstLine="560"/>
      </w:pPr>
      <w:r>
        <w:t>《高处作业分级》（GB/T3608-2008，2009年6月1日实施）；</w:t>
      </w:r>
    </w:p>
    <w:p w14:paraId="35CD9152">
      <w:pPr>
        <w:numPr>
          <w:ilvl w:val="0"/>
          <w:numId w:val="8"/>
        </w:numPr>
        <w:ind w:firstLine="560"/>
      </w:pPr>
      <w:r>
        <w:t>《安全标志及其使用导则》（GB2894-2008，2009年10月1日实施）；</w:t>
      </w:r>
    </w:p>
    <w:p w14:paraId="2A4CD92C">
      <w:pPr>
        <w:numPr>
          <w:ilvl w:val="0"/>
          <w:numId w:val="8"/>
        </w:numPr>
        <w:ind w:firstLine="560"/>
      </w:pPr>
      <w:r>
        <w:t>《生产过程安全卫生要求总则》（GB/T12801-2008，2009年10月1日实施）；</w:t>
      </w:r>
    </w:p>
    <w:p w14:paraId="6134336A">
      <w:pPr>
        <w:numPr>
          <w:ilvl w:val="0"/>
          <w:numId w:val="8"/>
        </w:numPr>
        <w:ind w:firstLine="560"/>
      </w:pPr>
      <w:r>
        <w:t>《工业企业厂内铁路、道路运输安全规程》（GB4387-2008，2009年10月1日实施）；</w:t>
      </w:r>
    </w:p>
    <w:p w14:paraId="2AA55FD2">
      <w:pPr>
        <w:numPr>
          <w:ilvl w:val="0"/>
          <w:numId w:val="8"/>
        </w:numPr>
        <w:ind w:firstLine="560"/>
      </w:pPr>
      <w:r>
        <w:t>《电气设备安全设计导则》（GB/T25295-2010，2011年5月1日实施）；</w:t>
      </w:r>
    </w:p>
    <w:p w14:paraId="2559CDDD">
      <w:pPr>
        <w:numPr>
          <w:ilvl w:val="0"/>
          <w:numId w:val="8"/>
        </w:numPr>
        <w:ind w:firstLine="560"/>
      </w:pPr>
      <w:r>
        <w:t>《</w:t>
      </w:r>
      <w:r>
        <w:rPr>
          <w:rFonts w:hint="eastAsia"/>
        </w:rPr>
        <w:t>建筑抗震设计标准</w:t>
      </w:r>
      <w:r>
        <w:t>》（</w:t>
      </w:r>
      <w:r>
        <w:rPr>
          <w:rFonts w:hint="eastAsia"/>
        </w:rPr>
        <w:t>GB/T 50011-2010[2024年版]</w:t>
      </w:r>
      <w:r>
        <w:t>）；</w:t>
      </w:r>
    </w:p>
    <w:p w14:paraId="013B5135">
      <w:pPr>
        <w:numPr>
          <w:ilvl w:val="0"/>
          <w:numId w:val="8"/>
        </w:numPr>
        <w:ind w:firstLine="560"/>
      </w:pPr>
      <w:r>
        <w:t>《建筑物防雷设计规范》（GB50057-2010，2011年10月1日实施）；</w:t>
      </w:r>
    </w:p>
    <w:p w14:paraId="5BA72163">
      <w:pPr>
        <w:numPr>
          <w:ilvl w:val="0"/>
          <w:numId w:val="8"/>
        </w:numPr>
        <w:ind w:firstLine="560"/>
      </w:pPr>
      <w:r>
        <w:t>《工业企业总平面设计规范》（GB50187-2012，2012年8月1日实施）；</w:t>
      </w:r>
    </w:p>
    <w:p w14:paraId="35B8C994">
      <w:pPr>
        <w:numPr>
          <w:ilvl w:val="0"/>
          <w:numId w:val="8"/>
        </w:numPr>
        <w:ind w:firstLine="560"/>
      </w:pPr>
      <w:r>
        <w:t>《建筑工程施工验收统一标准》（</w:t>
      </w:r>
      <w:r>
        <w:rPr>
          <w:rFonts w:eastAsia="Times New Roman"/>
        </w:rPr>
        <w:t>GB50300-2013</w:t>
      </w:r>
      <w:r>
        <w:t>，2014年6月1日实施）；</w:t>
      </w:r>
    </w:p>
    <w:p w14:paraId="0D1A0650">
      <w:pPr>
        <w:numPr>
          <w:ilvl w:val="0"/>
          <w:numId w:val="8"/>
        </w:numPr>
        <w:ind w:firstLine="560"/>
      </w:pPr>
      <w:r>
        <w:t>《非煤露天矿边坡工程技术规范》（GB51016-2014</w:t>
      </w:r>
      <w:r>
        <w:rPr>
          <w:lang w:val="sq-AL"/>
        </w:rPr>
        <w:t>，2014年7月13日发布</w:t>
      </w:r>
      <w:r>
        <w:t>）；</w:t>
      </w:r>
    </w:p>
    <w:p w14:paraId="3A70F2D8">
      <w:pPr>
        <w:numPr>
          <w:ilvl w:val="0"/>
          <w:numId w:val="8"/>
        </w:numPr>
        <w:ind w:firstLine="560"/>
      </w:pPr>
      <w:r>
        <w:t>《爆破安全规程》（GB6722-2014，GB6722-2014/XG1-2016，2016年1月3日实施）；</w:t>
      </w:r>
    </w:p>
    <w:p w14:paraId="1A2122C3">
      <w:pPr>
        <w:numPr>
          <w:ilvl w:val="0"/>
          <w:numId w:val="8"/>
        </w:numPr>
        <w:ind w:firstLine="560"/>
      </w:pPr>
      <w:r>
        <w:t>《建筑设计防火规范（2018年版）》（GB50016-2014，2018年10月1日实施）；</w:t>
      </w:r>
    </w:p>
    <w:p w14:paraId="043F4199">
      <w:pPr>
        <w:numPr>
          <w:ilvl w:val="0"/>
          <w:numId w:val="8"/>
        </w:numPr>
        <w:ind w:firstLine="560"/>
      </w:pPr>
      <w:r>
        <w:t>《中国地震动参数区划图》（GB18306-2015，2016年6月1日实施）；</w:t>
      </w:r>
    </w:p>
    <w:p w14:paraId="09C44B40">
      <w:pPr>
        <w:numPr>
          <w:ilvl w:val="0"/>
          <w:numId w:val="8"/>
        </w:numPr>
        <w:ind w:firstLine="560"/>
      </w:pPr>
      <w:r>
        <w:t>《危险化学品重大危险源辨识》（GB18218-2018，2018年3月1日实施）；</w:t>
      </w:r>
    </w:p>
    <w:p w14:paraId="4A87805C">
      <w:pPr>
        <w:numPr>
          <w:ilvl w:val="0"/>
          <w:numId w:val="8"/>
        </w:numPr>
        <w:ind w:firstLine="560"/>
      </w:pPr>
      <w:r>
        <w:t>《机械安全 防护装置 固定式和活动式防护装置的设计与制造一般要求》（GB/T 8196-2018，2019年7月1日实施）；</w:t>
      </w:r>
    </w:p>
    <w:p w14:paraId="4B542668">
      <w:pPr>
        <w:numPr>
          <w:ilvl w:val="0"/>
          <w:numId w:val="8"/>
        </w:numPr>
        <w:ind w:firstLine="560"/>
      </w:pPr>
      <w:r>
        <w:t>《头部防护 安全帽》（GB2811-2019，2020年7月1日实施）；</w:t>
      </w:r>
    </w:p>
    <w:p w14:paraId="76524D94">
      <w:pPr>
        <w:numPr>
          <w:ilvl w:val="0"/>
          <w:numId w:val="8"/>
        </w:numPr>
        <w:ind w:firstLine="560"/>
      </w:pPr>
      <w:r>
        <w:t>《矿山电力设计标准》（GB 50070-2020，2020年10月1日实施）；</w:t>
      </w:r>
    </w:p>
    <w:p w14:paraId="4E7712E3">
      <w:pPr>
        <w:numPr>
          <w:ilvl w:val="0"/>
          <w:numId w:val="8"/>
        </w:numPr>
        <w:ind w:firstLine="560"/>
      </w:pPr>
      <w:r>
        <w:t>《图形符号 安全色和安全标志 第5部分：安全标志使用原则与要求》（GB/T2893.5-2020，2020年10月1日实施）</w:t>
      </w:r>
    </w:p>
    <w:p w14:paraId="491C6C80">
      <w:pPr>
        <w:numPr>
          <w:ilvl w:val="0"/>
          <w:numId w:val="8"/>
        </w:numPr>
        <w:ind w:firstLine="560"/>
      </w:pPr>
      <w:r>
        <w:t>《生产经营单位生产安全事故应急预案编制导则》（GB/T 29639-2020，2021年4月1日实施）；</w:t>
      </w:r>
    </w:p>
    <w:p w14:paraId="627B42C4">
      <w:pPr>
        <w:numPr>
          <w:ilvl w:val="0"/>
          <w:numId w:val="8"/>
        </w:numPr>
        <w:ind w:firstLine="560"/>
      </w:pPr>
      <w:r>
        <w:t>《金属非金属矿山安全规程》（GB16423-2020，2021年9月1日实施）；</w:t>
      </w:r>
    </w:p>
    <w:p w14:paraId="2DBD31FF">
      <w:pPr>
        <w:numPr>
          <w:ilvl w:val="0"/>
          <w:numId w:val="8"/>
        </w:numPr>
        <w:ind w:firstLine="560"/>
      </w:pPr>
      <w:r>
        <w:t>《机械安全 防止人体部位挤压的最小间距》（GB/T 12265-2021，2021年12月1日实施）；</w:t>
      </w:r>
    </w:p>
    <w:p w14:paraId="4E33C07A">
      <w:pPr>
        <w:numPr>
          <w:ilvl w:val="0"/>
          <w:numId w:val="8"/>
        </w:numPr>
        <w:ind w:firstLine="560"/>
      </w:pPr>
      <w:r>
        <w:t>《生产过程危险和有害因素分类与代码》（GB/T13861-2022，2021年12月1日实施）；</w:t>
      </w:r>
    </w:p>
    <w:p w14:paraId="326BF50B">
      <w:pPr>
        <w:numPr>
          <w:ilvl w:val="0"/>
          <w:numId w:val="8"/>
        </w:numPr>
        <w:ind w:firstLine="560"/>
      </w:pPr>
      <w:r>
        <w:t>《个体防护装备配备规范 第4部分：非煤矿山》（GB 39800.4-2020，2022年1月1日实施）；</w:t>
      </w:r>
    </w:p>
    <w:p w14:paraId="72A46FF9">
      <w:pPr>
        <w:numPr>
          <w:ilvl w:val="0"/>
          <w:numId w:val="8"/>
        </w:numPr>
        <w:ind w:firstLine="560"/>
      </w:pPr>
      <w:r>
        <w:t>《机械安全防止上下肢触及危险区的安全距离》（GB/T23821-2022，2022年11月8日实施）；</w:t>
      </w:r>
    </w:p>
    <w:p w14:paraId="2968A084">
      <w:pPr>
        <w:numPr>
          <w:ilvl w:val="0"/>
          <w:numId w:val="8"/>
        </w:numPr>
        <w:ind w:firstLine="560"/>
      </w:pPr>
      <w:r>
        <w:t>《安全评价通则》（AQ8001-2007，2007年4月1日实施）；</w:t>
      </w:r>
    </w:p>
    <w:p w14:paraId="2DE2A193">
      <w:pPr>
        <w:numPr>
          <w:ilvl w:val="0"/>
          <w:numId w:val="8"/>
        </w:numPr>
        <w:ind w:firstLine="560"/>
      </w:pPr>
      <w:r>
        <w:t>《安全验收评价导则》（AQ8003-2007，2007年4月1日实施）；</w:t>
      </w:r>
    </w:p>
    <w:p w14:paraId="6A5D5207">
      <w:pPr>
        <w:numPr>
          <w:ilvl w:val="0"/>
          <w:numId w:val="8"/>
        </w:numPr>
        <w:ind w:firstLine="560"/>
      </w:pPr>
      <w:r>
        <w:t>《生产经营单位生产安全事故应急预案评估指南》（</w:t>
      </w:r>
      <w:r>
        <w:rPr>
          <w:rFonts w:hint="eastAsia"/>
        </w:rPr>
        <w:t>YJ/T 9011-2019</w:t>
      </w:r>
      <w:r>
        <w:t>）；</w:t>
      </w:r>
    </w:p>
    <w:p w14:paraId="1920B747">
      <w:pPr>
        <w:numPr>
          <w:ilvl w:val="0"/>
          <w:numId w:val="8"/>
        </w:numPr>
        <w:ind w:firstLine="560"/>
      </w:pPr>
      <w:r>
        <w:t>《生产安全事故应急演练基本规范》（</w:t>
      </w:r>
      <w:r>
        <w:rPr>
          <w:rFonts w:hint="eastAsia"/>
        </w:rPr>
        <w:t>YJ/T 9007-2019</w:t>
      </w:r>
      <w:r>
        <w:t>）；</w:t>
      </w:r>
    </w:p>
    <w:p w14:paraId="1723E561">
      <w:pPr>
        <w:numPr>
          <w:ilvl w:val="0"/>
          <w:numId w:val="8"/>
        </w:numPr>
        <w:ind w:firstLine="560"/>
      </w:pPr>
      <w:r>
        <w:t>《矿山隐蔽致灾因素普查规范 第1部分：总则》（KA/T 22.1-2024，2024年11月1日实施）；</w:t>
      </w:r>
    </w:p>
    <w:p w14:paraId="572371C2">
      <w:pPr>
        <w:numPr>
          <w:ilvl w:val="0"/>
          <w:numId w:val="8"/>
        </w:numPr>
        <w:ind w:firstLine="560"/>
      </w:pPr>
      <w:r>
        <w:t>《矿山隐蔽致灾因素普查规范 第3部分：金属非金属矿山及尾矿库》（KA/T 22.3-2024，2024年11月1日实施）。</w:t>
      </w:r>
    </w:p>
    <w:p w14:paraId="05D0102C">
      <w:pPr>
        <w:pStyle w:val="6"/>
        <w:ind w:firstLine="562"/>
        <w:rPr>
          <w:rFonts w:eastAsia="宋体"/>
          <w:b/>
          <w:bCs w:val="0"/>
        </w:rPr>
      </w:pPr>
      <w:bookmarkStart w:id="113" w:name="_Toc30096"/>
      <w:bookmarkStart w:id="114" w:name="_Toc15845"/>
      <w:bookmarkStart w:id="115" w:name="_Toc454614238"/>
      <w:bookmarkStart w:id="116" w:name="_Toc22474"/>
      <w:bookmarkStart w:id="117" w:name="_Toc59420495"/>
      <w:bookmarkStart w:id="118" w:name="_Toc19583"/>
      <w:bookmarkStart w:id="119" w:name="_Toc17038"/>
      <w:bookmarkStart w:id="120" w:name="_Toc31720"/>
      <w:r>
        <w:rPr>
          <w:rFonts w:eastAsia="宋体"/>
          <w:b/>
          <w:bCs w:val="0"/>
        </w:rPr>
        <w:t>1.2.3建设项目合法证明文件</w:t>
      </w:r>
      <w:bookmarkEnd w:id="110"/>
      <w:bookmarkEnd w:id="111"/>
      <w:bookmarkEnd w:id="112"/>
      <w:bookmarkEnd w:id="113"/>
      <w:bookmarkEnd w:id="114"/>
      <w:bookmarkEnd w:id="115"/>
      <w:bookmarkEnd w:id="116"/>
      <w:bookmarkEnd w:id="117"/>
      <w:bookmarkEnd w:id="118"/>
      <w:bookmarkEnd w:id="119"/>
      <w:bookmarkEnd w:id="120"/>
    </w:p>
    <w:p w14:paraId="1A0922A8">
      <w:pPr>
        <w:numPr>
          <w:ilvl w:val="0"/>
          <w:numId w:val="9"/>
        </w:numPr>
        <w:ind w:firstLine="560"/>
      </w:pPr>
      <w:bookmarkStart w:id="121" w:name="_Toc332786040"/>
      <w:bookmarkStart w:id="122" w:name="_Toc332357211"/>
      <w:r>
        <w:t>营业执照；</w:t>
      </w:r>
    </w:p>
    <w:p w14:paraId="6B83431F">
      <w:pPr>
        <w:numPr>
          <w:ilvl w:val="0"/>
          <w:numId w:val="9"/>
        </w:numPr>
        <w:ind w:firstLine="560"/>
      </w:pPr>
      <w:r>
        <w:t>采矿许可证；</w:t>
      </w:r>
    </w:p>
    <w:p w14:paraId="25B2F007">
      <w:pPr>
        <w:numPr>
          <w:ilvl w:val="0"/>
          <w:numId w:val="10"/>
        </w:numPr>
        <w:ind w:firstLine="560"/>
        <w:rPr>
          <w:lang w:val="sq-AL"/>
        </w:rPr>
      </w:pPr>
      <w:r>
        <w:rPr>
          <w:szCs w:val="28"/>
          <w:lang w:val="zh-CN"/>
        </w:rPr>
        <w:t>《永善县茂林镇松林村海子采石场建筑石料用灰岩矿资源储量核实报告》（2020年）矿产资源储量评审备案证明</w:t>
      </w:r>
      <w:r>
        <w:rPr>
          <w:szCs w:val="28"/>
        </w:rPr>
        <w:t>（昭市自然资矿储备字[2020]12号）</w:t>
      </w:r>
      <w:r>
        <w:rPr>
          <w:lang w:val="sq-AL"/>
        </w:rPr>
        <w:t>；</w:t>
      </w:r>
    </w:p>
    <w:p w14:paraId="5CAF0872">
      <w:pPr>
        <w:numPr>
          <w:ilvl w:val="0"/>
          <w:numId w:val="10"/>
        </w:numPr>
        <w:ind w:firstLine="560"/>
        <w:rPr>
          <w:lang w:val="sq-AL"/>
        </w:rPr>
      </w:pPr>
      <w:r>
        <w:rPr>
          <w:szCs w:val="28"/>
        </w:rPr>
        <w:t>《永善县茂林镇松林村海子采石场建筑石料用灰岩矿资源储量核实报告》（2020年）评审意见书（云地总公司矿评储字〔2020〕10号）；</w:t>
      </w:r>
    </w:p>
    <w:p w14:paraId="41E3D754">
      <w:pPr>
        <w:numPr>
          <w:ilvl w:val="0"/>
          <w:numId w:val="9"/>
        </w:numPr>
        <w:ind w:firstLine="560"/>
      </w:pPr>
      <w:bookmarkStart w:id="123" w:name="_Hlk58575576"/>
      <w:r>
        <w:t>《永善润佳制造有限责任公司永善县茂林镇松林村海子采石场50万t/a露天采矿工程安全设施设计》</w:t>
      </w:r>
      <w:bookmarkEnd w:id="123"/>
      <w:r>
        <w:t>专家组审查意见；</w:t>
      </w:r>
    </w:p>
    <w:p w14:paraId="5CC88A28">
      <w:pPr>
        <w:numPr>
          <w:ilvl w:val="0"/>
          <w:numId w:val="9"/>
        </w:numPr>
        <w:ind w:firstLine="560"/>
      </w:pPr>
      <w:r>
        <w:rPr>
          <w:rFonts w:hint="eastAsia"/>
          <w:szCs w:val="28"/>
        </w:rPr>
        <w:t>《永善润佳制造有限责任公司永善县茂林镇松林村海子采石场50万t/a露天采矿工程安全设施设计》</w:t>
      </w:r>
      <w:r>
        <w:rPr>
          <w:szCs w:val="28"/>
        </w:rPr>
        <w:t>应急管理部门审查意见。</w:t>
      </w:r>
    </w:p>
    <w:p w14:paraId="1468F5CD">
      <w:pPr>
        <w:pStyle w:val="6"/>
        <w:ind w:firstLine="562"/>
        <w:rPr>
          <w:rFonts w:eastAsia="宋体"/>
          <w:b/>
          <w:bCs w:val="0"/>
        </w:rPr>
      </w:pPr>
      <w:bookmarkStart w:id="124" w:name="_Toc20512"/>
      <w:bookmarkStart w:id="125" w:name="_Toc454614239"/>
      <w:bookmarkStart w:id="126" w:name="_Toc59420496"/>
      <w:bookmarkStart w:id="127" w:name="_Toc1310"/>
      <w:bookmarkStart w:id="128" w:name="_Toc384121539"/>
      <w:bookmarkStart w:id="129" w:name="_Toc7205"/>
      <w:bookmarkStart w:id="130" w:name="_Toc9165"/>
      <w:bookmarkStart w:id="131" w:name="_Toc26319"/>
      <w:r>
        <w:rPr>
          <w:rFonts w:eastAsia="宋体"/>
          <w:b/>
          <w:bCs w:val="0"/>
        </w:rPr>
        <w:t>1.2.4建设项目技术资料</w:t>
      </w:r>
      <w:bookmarkEnd w:id="121"/>
      <w:bookmarkEnd w:id="122"/>
      <w:bookmarkEnd w:id="124"/>
      <w:bookmarkEnd w:id="125"/>
      <w:bookmarkEnd w:id="126"/>
      <w:bookmarkEnd w:id="127"/>
      <w:bookmarkEnd w:id="128"/>
      <w:bookmarkEnd w:id="129"/>
      <w:bookmarkEnd w:id="130"/>
      <w:bookmarkEnd w:id="131"/>
    </w:p>
    <w:p w14:paraId="19AA8813">
      <w:pPr>
        <w:numPr>
          <w:ilvl w:val="0"/>
          <w:numId w:val="10"/>
        </w:numPr>
        <w:ind w:firstLine="560"/>
        <w:rPr>
          <w:lang w:val="sq-AL"/>
        </w:rPr>
      </w:pPr>
      <w:r>
        <w:rPr>
          <w:color w:val="000000" w:themeColor="text1"/>
          <w14:textFill>
            <w14:solidFill>
              <w14:schemeClr w14:val="tx1"/>
            </w14:solidFill>
          </w14:textFill>
        </w:rPr>
        <w:t>《矿山2023年度矿产资源储量统计基础表》</w:t>
      </w:r>
      <w:r>
        <w:rPr>
          <w:szCs w:val="28"/>
        </w:rPr>
        <w:t>；</w:t>
      </w:r>
    </w:p>
    <w:p w14:paraId="3E330922">
      <w:pPr>
        <w:numPr>
          <w:ilvl w:val="0"/>
          <w:numId w:val="10"/>
        </w:numPr>
        <w:ind w:firstLine="560"/>
        <w:rPr>
          <w:lang w:val="sq-AL"/>
        </w:rPr>
      </w:pPr>
      <w:r>
        <w:rPr>
          <w:szCs w:val="28"/>
        </w:rPr>
        <w:t>《永善润佳制造有限责任公司永善县茂林镇松林村海子采石场50万吨改扩建项目可行性研究报告》（瑞鼎工程管理有限公司，2024年</w:t>
      </w:r>
      <w:r>
        <w:rPr>
          <w:rFonts w:hint="eastAsia"/>
          <w:szCs w:val="28"/>
        </w:rPr>
        <w:t>6</w:t>
      </w:r>
      <w:r>
        <w:rPr>
          <w:szCs w:val="28"/>
        </w:rPr>
        <w:t>月）</w:t>
      </w:r>
      <w:r>
        <w:rPr>
          <w:lang w:val="sq-AL"/>
        </w:rPr>
        <w:t>；</w:t>
      </w:r>
    </w:p>
    <w:p w14:paraId="46F23B16">
      <w:pPr>
        <w:numPr>
          <w:ilvl w:val="0"/>
          <w:numId w:val="10"/>
        </w:numPr>
        <w:ind w:firstLineChars="0"/>
        <w:rPr>
          <w:lang w:val="sq-AL"/>
        </w:rPr>
      </w:pPr>
      <w:r>
        <w:rPr>
          <w:lang w:val="sq-AL"/>
        </w:rPr>
        <w:t>《</w:t>
      </w:r>
      <w:bookmarkStart w:id="132" w:name="_Hlk156553670"/>
      <w:r>
        <w:rPr>
          <w:szCs w:val="28"/>
        </w:rPr>
        <w:t>永善润佳制造有限责任公司</w:t>
      </w:r>
      <w:r>
        <w:rPr>
          <w:lang w:val="sq-AL"/>
        </w:rPr>
        <w:t>永善县茂林镇松林村海子采石场50万t/a露天采矿工程安全预评价报告</w:t>
      </w:r>
      <w:bookmarkEnd w:id="132"/>
      <w:r>
        <w:rPr>
          <w:lang w:val="sq-AL"/>
        </w:rPr>
        <w:t>》（辽宁诺诚安全科技有限公司，202</w:t>
      </w:r>
      <w:r>
        <w:t>4</w:t>
      </w:r>
      <w:r>
        <w:rPr>
          <w:lang w:val="sq-AL"/>
        </w:rPr>
        <w:t>年</w:t>
      </w:r>
      <w:r>
        <w:t>9</w:t>
      </w:r>
      <w:r>
        <w:rPr>
          <w:lang w:val="sq-AL"/>
        </w:rPr>
        <w:t>月）；</w:t>
      </w:r>
    </w:p>
    <w:p w14:paraId="55D19DBF">
      <w:pPr>
        <w:numPr>
          <w:ilvl w:val="0"/>
          <w:numId w:val="10"/>
        </w:numPr>
        <w:ind w:firstLine="560"/>
        <w:rPr>
          <w:lang w:val="sq-AL"/>
        </w:rPr>
      </w:pPr>
      <w:r>
        <w:rPr>
          <w:lang w:val="sq-AL"/>
        </w:rPr>
        <w:t>《</w:t>
      </w:r>
      <w:r>
        <w:rPr>
          <w:szCs w:val="28"/>
        </w:rPr>
        <w:t>永善润佳制造有限责任公司</w:t>
      </w:r>
      <w:r>
        <w:rPr>
          <w:lang w:val="sq-AL"/>
        </w:rPr>
        <w:t>永善县茂林镇松林村海子采石场50万t/a露天采矿工程</w:t>
      </w:r>
      <w:r>
        <w:t>初步设计</w:t>
      </w:r>
      <w:r>
        <w:rPr>
          <w:lang w:val="sq-AL"/>
        </w:rPr>
        <w:t>》（云南德成规划设计有限公司，</w:t>
      </w:r>
      <w:r>
        <w:t>2024年9月</w:t>
      </w:r>
      <w:r>
        <w:rPr>
          <w:lang w:val="sq-AL"/>
        </w:rPr>
        <w:t>）；</w:t>
      </w:r>
    </w:p>
    <w:p w14:paraId="659D91A9">
      <w:pPr>
        <w:numPr>
          <w:ilvl w:val="0"/>
          <w:numId w:val="10"/>
        </w:numPr>
        <w:ind w:firstLine="560"/>
        <w:rPr>
          <w:lang w:val="sq-AL"/>
        </w:rPr>
      </w:pPr>
      <w:r>
        <w:rPr>
          <w:rFonts w:hint="eastAsia"/>
          <w:lang w:val="sq-AL"/>
        </w:rPr>
        <w:t>《永善润佳制造有限责任公司永善县茂林镇松林村海子采石场50万t/a露天采矿工程安全设施设计》</w:t>
      </w:r>
      <w:r>
        <w:rPr>
          <w:lang w:val="sq-AL"/>
        </w:rPr>
        <w:t>（云南德成规划设计有限公司，202</w:t>
      </w:r>
      <w:r>
        <w:t>4</w:t>
      </w:r>
      <w:r>
        <w:rPr>
          <w:lang w:val="sq-AL"/>
        </w:rPr>
        <w:t>年</w:t>
      </w:r>
      <w:r>
        <w:t>11</w:t>
      </w:r>
      <w:r>
        <w:rPr>
          <w:lang w:val="sq-AL"/>
        </w:rPr>
        <w:t>月）；</w:t>
      </w:r>
    </w:p>
    <w:p w14:paraId="68E9E219">
      <w:pPr>
        <w:numPr>
          <w:ilvl w:val="0"/>
          <w:numId w:val="10"/>
        </w:numPr>
        <w:ind w:firstLine="560"/>
      </w:pPr>
      <w:r>
        <w:t>《</w:t>
      </w:r>
      <w:r>
        <w:rPr>
          <w:szCs w:val="28"/>
        </w:rPr>
        <w:t>永善县茂林镇松林村海子采石场50万吨/年露天采矿基建工程</w:t>
      </w:r>
      <w:r>
        <w:t>施工总结报告》（中翌（河南）建筑有限公司，2025年4月）；</w:t>
      </w:r>
    </w:p>
    <w:p w14:paraId="6F93D3E3">
      <w:pPr>
        <w:numPr>
          <w:ilvl w:val="0"/>
          <w:numId w:val="10"/>
        </w:numPr>
        <w:ind w:firstLine="560"/>
      </w:pPr>
      <w:r>
        <w:t>《</w:t>
      </w:r>
      <w:r>
        <w:rPr>
          <w:szCs w:val="28"/>
        </w:rPr>
        <w:t>永善县茂林镇松林村海子采石场50万吨/年露天采矿基建工程</w:t>
      </w:r>
      <w:r>
        <w:t>监理总结报告》（成都交大工程建设集团有限公司，2025年4月）；</w:t>
      </w:r>
    </w:p>
    <w:p w14:paraId="1534A081">
      <w:pPr>
        <w:numPr>
          <w:ilvl w:val="0"/>
          <w:numId w:val="10"/>
        </w:numPr>
        <w:ind w:firstLine="560"/>
      </w:pPr>
      <w:r>
        <w:t>《永善县茂林镇松林村海子采石场50万t/a露天采矿工程试运行报告》（永善润佳制造有限责任公司，2025年5月）；</w:t>
      </w:r>
    </w:p>
    <w:p w14:paraId="1EFE4437">
      <w:pPr>
        <w:numPr>
          <w:ilvl w:val="0"/>
          <w:numId w:val="10"/>
        </w:numPr>
        <w:ind w:firstLine="560"/>
      </w:pPr>
      <w:r>
        <w:t>《永善县茂林镇松林村海子采石场50万t/a露天采矿工程安全设施自查报告》（永善润佳制造有限责任公司，2025年5月）；</w:t>
      </w:r>
    </w:p>
    <w:p w14:paraId="1B8BB32C">
      <w:pPr>
        <w:numPr>
          <w:ilvl w:val="0"/>
          <w:numId w:val="10"/>
        </w:numPr>
        <w:ind w:firstLine="560"/>
      </w:pPr>
      <w:r>
        <w:t>现场踏勘收集其他资料及企业提供的相关证照、图纸、有关技术资料等。</w:t>
      </w:r>
    </w:p>
    <w:p w14:paraId="59655382">
      <w:pPr>
        <w:pStyle w:val="6"/>
        <w:ind w:firstLine="562"/>
        <w:rPr>
          <w:rFonts w:eastAsia="宋体"/>
          <w:b/>
          <w:bCs w:val="0"/>
        </w:rPr>
      </w:pPr>
      <w:bookmarkStart w:id="133" w:name="_Toc332786041"/>
      <w:bookmarkStart w:id="134" w:name="_Toc327020773"/>
      <w:bookmarkStart w:id="135" w:name="_Toc323820649"/>
      <w:bookmarkStart w:id="136" w:name="_Toc332357212"/>
      <w:bookmarkStart w:id="137" w:name="_Toc384121540"/>
      <w:bookmarkStart w:id="138" w:name="_Toc18355"/>
      <w:bookmarkStart w:id="139" w:name="_Toc1802"/>
      <w:bookmarkStart w:id="140" w:name="_Toc59420497"/>
      <w:bookmarkStart w:id="141" w:name="_Toc14147"/>
      <w:bookmarkStart w:id="142" w:name="_Toc23706"/>
      <w:bookmarkStart w:id="143" w:name="_Toc16772"/>
      <w:bookmarkStart w:id="144" w:name="_Toc20300"/>
      <w:bookmarkStart w:id="145" w:name="_Toc454614240"/>
      <w:r>
        <w:rPr>
          <w:rFonts w:eastAsia="宋体"/>
          <w:b/>
          <w:bCs w:val="0"/>
        </w:rPr>
        <w:t>1.2.5</w:t>
      </w:r>
      <w:bookmarkEnd w:id="133"/>
      <w:bookmarkEnd w:id="134"/>
      <w:bookmarkEnd w:id="135"/>
      <w:bookmarkEnd w:id="136"/>
      <w:bookmarkEnd w:id="137"/>
      <w:r>
        <w:rPr>
          <w:rFonts w:eastAsia="宋体"/>
          <w:b/>
          <w:bCs w:val="0"/>
        </w:rPr>
        <w:t>其他评价依据</w:t>
      </w:r>
      <w:bookmarkEnd w:id="138"/>
      <w:bookmarkEnd w:id="139"/>
      <w:bookmarkEnd w:id="140"/>
      <w:bookmarkEnd w:id="141"/>
      <w:bookmarkEnd w:id="142"/>
      <w:bookmarkEnd w:id="143"/>
      <w:bookmarkEnd w:id="144"/>
      <w:bookmarkEnd w:id="145"/>
    </w:p>
    <w:p w14:paraId="1F4188BB">
      <w:pPr>
        <w:ind w:firstLine="560"/>
      </w:pPr>
      <w:r>
        <w:t>（1）安全设施验收评价委托书；</w:t>
      </w:r>
    </w:p>
    <w:p w14:paraId="302733FE">
      <w:pPr>
        <w:ind w:firstLine="560"/>
      </w:pPr>
      <w:r>
        <w:t>（2）现场调查收集及该企业提供的相关技术基础资料；</w:t>
      </w:r>
    </w:p>
    <w:p w14:paraId="6B026ABE">
      <w:pPr>
        <w:ind w:firstLine="560"/>
      </w:pPr>
      <w:r>
        <w:t>（3）国家及地方有关设计规范、行业标准、安全规程等；</w:t>
      </w:r>
    </w:p>
    <w:p w14:paraId="56C5E233">
      <w:pPr>
        <w:ind w:firstLine="560"/>
      </w:pPr>
      <w:r>
        <w:t>（4）有关矿山安全管理状况的证明资料。</w:t>
      </w:r>
    </w:p>
    <w:p w14:paraId="00839D04">
      <w:pPr>
        <w:pStyle w:val="4"/>
        <w:rPr>
          <w:b/>
          <w:bCs w:val="0"/>
          <w:szCs w:val="36"/>
        </w:rPr>
      </w:pPr>
      <w:bookmarkStart w:id="146" w:name="_Toc384121544"/>
      <w:bookmarkStart w:id="147" w:name="_Toc3898"/>
      <w:bookmarkStart w:id="148" w:name="_Toc59420498"/>
      <w:bookmarkStart w:id="149" w:name="_Toc11930"/>
      <w:bookmarkStart w:id="150" w:name="_Toc18186"/>
      <w:bookmarkStart w:id="151" w:name="_Toc3924"/>
      <w:bookmarkStart w:id="152" w:name="_Toc454614244"/>
      <w:r>
        <w:br w:type="page"/>
      </w:r>
      <w:bookmarkStart w:id="153" w:name="_Toc28637"/>
      <w:bookmarkStart w:id="154" w:name="_Toc25490"/>
      <w:bookmarkStart w:id="155" w:name="_Toc20540"/>
      <w:bookmarkStart w:id="156" w:name="_Toc30653"/>
      <w:r>
        <w:rPr>
          <w:b/>
          <w:bCs w:val="0"/>
        </w:rPr>
        <w:t>2 建设项目概述</w:t>
      </w:r>
      <w:bookmarkEnd w:id="146"/>
      <w:bookmarkEnd w:id="147"/>
      <w:bookmarkEnd w:id="148"/>
      <w:bookmarkEnd w:id="149"/>
      <w:bookmarkEnd w:id="150"/>
      <w:bookmarkEnd w:id="151"/>
      <w:bookmarkEnd w:id="152"/>
      <w:bookmarkEnd w:id="153"/>
      <w:bookmarkEnd w:id="154"/>
      <w:bookmarkEnd w:id="155"/>
      <w:bookmarkEnd w:id="156"/>
    </w:p>
    <w:p w14:paraId="542B57CD">
      <w:pPr>
        <w:pStyle w:val="5"/>
        <w:spacing w:before="0" w:beforeLines="0"/>
        <w:rPr>
          <w:b/>
          <w:bCs w:val="0"/>
        </w:rPr>
      </w:pPr>
      <w:bookmarkStart w:id="157" w:name="_Toc85075282"/>
      <w:bookmarkStart w:id="158" w:name="_Toc124926607"/>
      <w:bookmarkStart w:id="159" w:name="_Toc83289117"/>
      <w:bookmarkStart w:id="160" w:name="_Toc136406262"/>
      <w:bookmarkStart w:id="161" w:name="_Toc89333783"/>
      <w:bookmarkStart w:id="162" w:name="_Toc89337118"/>
      <w:bookmarkStart w:id="163" w:name="_Toc13395"/>
      <w:bookmarkStart w:id="164" w:name="_Toc15244"/>
      <w:bookmarkStart w:id="165" w:name="_Toc384121545"/>
      <w:bookmarkStart w:id="166" w:name="_Toc2282"/>
      <w:bookmarkStart w:id="167" w:name="_Toc13142"/>
      <w:bookmarkStart w:id="168" w:name="_Toc59420499"/>
      <w:bookmarkStart w:id="169" w:name="_Toc18215"/>
      <w:bookmarkStart w:id="170" w:name="_Toc5100"/>
      <w:bookmarkStart w:id="171" w:name="_Toc20851"/>
      <w:bookmarkStart w:id="172" w:name="_Toc18397"/>
      <w:bookmarkStart w:id="173" w:name="_Toc454614245"/>
      <w:r>
        <w:rPr>
          <w:b/>
          <w:bCs w:val="0"/>
        </w:rPr>
        <w:t>2.1</w:t>
      </w:r>
      <w:bookmarkEnd w:id="157"/>
      <w:bookmarkEnd w:id="158"/>
      <w:bookmarkEnd w:id="159"/>
      <w:bookmarkEnd w:id="160"/>
      <w:bookmarkEnd w:id="161"/>
      <w:bookmarkEnd w:id="162"/>
      <w:r>
        <w:rPr>
          <w:b/>
          <w:bCs w:val="0"/>
        </w:rPr>
        <w:t>建设单位概况</w:t>
      </w:r>
      <w:bookmarkEnd w:id="163"/>
      <w:bookmarkEnd w:id="164"/>
      <w:bookmarkEnd w:id="165"/>
      <w:bookmarkEnd w:id="166"/>
      <w:bookmarkEnd w:id="167"/>
      <w:bookmarkEnd w:id="168"/>
      <w:bookmarkEnd w:id="169"/>
      <w:bookmarkEnd w:id="170"/>
      <w:bookmarkEnd w:id="171"/>
      <w:bookmarkEnd w:id="172"/>
      <w:bookmarkEnd w:id="173"/>
    </w:p>
    <w:p w14:paraId="1DD439E7">
      <w:pPr>
        <w:pStyle w:val="6"/>
        <w:ind w:firstLine="562"/>
        <w:rPr>
          <w:rFonts w:eastAsia="宋体"/>
          <w:b/>
          <w:bCs w:val="0"/>
        </w:rPr>
      </w:pPr>
      <w:bookmarkStart w:id="174" w:name="_Toc105674764"/>
      <w:bookmarkStart w:id="175" w:name="_Toc140123913"/>
      <w:bookmarkStart w:id="176" w:name="_Toc105675962"/>
      <w:bookmarkStart w:id="177" w:name="_Toc105730327"/>
      <w:bookmarkStart w:id="178" w:name="_Toc105675482"/>
      <w:bookmarkStart w:id="179" w:name="_Toc137793150"/>
      <w:bookmarkStart w:id="180" w:name="_Toc2472"/>
      <w:bookmarkStart w:id="181" w:name="_Toc2822"/>
      <w:bookmarkStart w:id="182" w:name="_Toc24827"/>
      <w:bookmarkStart w:id="183" w:name="_Toc3163"/>
      <w:bookmarkStart w:id="184" w:name="_Toc9144"/>
      <w:bookmarkStart w:id="185" w:name="_Toc59420500"/>
      <w:bookmarkStart w:id="186" w:name="_Toc317240380"/>
      <w:bookmarkStart w:id="187" w:name="_Toc17011"/>
      <w:bookmarkStart w:id="188" w:name="_Toc454614246"/>
      <w:bookmarkStart w:id="189" w:name="_Toc18329"/>
      <w:bookmarkStart w:id="190" w:name="_Toc25912"/>
      <w:r>
        <w:rPr>
          <w:rFonts w:eastAsia="宋体"/>
          <w:b/>
          <w:bCs w:val="0"/>
        </w:rPr>
        <w:t>2.1.1</w:t>
      </w:r>
      <w:bookmarkEnd w:id="174"/>
      <w:bookmarkEnd w:id="175"/>
      <w:bookmarkEnd w:id="176"/>
      <w:bookmarkEnd w:id="177"/>
      <w:bookmarkEnd w:id="178"/>
      <w:bookmarkEnd w:id="179"/>
      <w:r>
        <w:rPr>
          <w:rFonts w:eastAsia="宋体"/>
          <w:b/>
          <w:bCs w:val="0"/>
        </w:rPr>
        <w:t>建设单位简介</w:t>
      </w:r>
      <w:bookmarkEnd w:id="180"/>
      <w:bookmarkEnd w:id="181"/>
      <w:bookmarkEnd w:id="182"/>
      <w:bookmarkEnd w:id="183"/>
      <w:bookmarkEnd w:id="184"/>
      <w:bookmarkEnd w:id="185"/>
      <w:bookmarkEnd w:id="186"/>
      <w:bookmarkEnd w:id="187"/>
      <w:bookmarkEnd w:id="188"/>
      <w:bookmarkEnd w:id="189"/>
      <w:bookmarkEnd w:id="190"/>
    </w:p>
    <w:p w14:paraId="71BE1D78">
      <w:pPr>
        <w:adjustRightInd/>
        <w:snapToGrid/>
        <w:ind w:firstLine="576"/>
        <w:rPr>
          <w:spacing w:val="4"/>
          <w:szCs w:val="28"/>
        </w:rPr>
      </w:pPr>
      <w:bookmarkStart w:id="191" w:name="_Hlk156553599"/>
      <w:bookmarkStart w:id="192" w:name="_Toc26041"/>
      <w:bookmarkStart w:id="193" w:name="_Toc15383"/>
      <w:bookmarkStart w:id="194" w:name="_Toc454614247"/>
      <w:bookmarkStart w:id="195" w:name="_Toc15425"/>
      <w:bookmarkStart w:id="196" w:name="_Toc313439205"/>
      <w:r>
        <w:rPr>
          <w:spacing w:val="4"/>
          <w:szCs w:val="28"/>
        </w:rPr>
        <w:t>永善润佳制造有限责任公司成立于2018年01月31日，是一家有限责任公司（自然人投资或控股），法定代表人：张永波，住所：云南省昭通市永善县茂林镇松林村官寨社。</w:t>
      </w:r>
    </w:p>
    <w:p w14:paraId="257D7A88">
      <w:pPr>
        <w:adjustRightInd/>
        <w:snapToGrid/>
        <w:ind w:firstLine="576"/>
        <w:rPr>
          <w:spacing w:val="4"/>
          <w:szCs w:val="28"/>
        </w:rPr>
      </w:pPr>
      <w:r>
        <w:rPr>
          <w:spacing w:val="4"/>
          <w:szCs w:val="28"/>
        </w:rPr>
        <w:t>永善县茂林镇松林村海子采石场于2020年12月1日设立采矿权，采矿权人为永善润佳制造有限责任公司，开采矿种：建筑石料用灰岩，开采方式：露天开采，采矿许可证证载生产规模：30万t/a。2022年8月，矿权人向有关部门申请扩大生产规模，2022年11月24日取得了永善县发展和改革局颁发的投资备案证，永善县茂林镇松林村海子采石场项目投资备案建设规模变更为50万t/a。</w:t>
      </w:r>
    </w:p>
    <w:p w14:paraId="59D289A6">
      <w:pPr>
        <w:adjustRightInd/>
        <w:snapToGrid/>
        <w:ind w:firstLine="576"/>
        <w:rPr>
          <w:spacing w:val="4"/>
          <w:szCs w:val="28"/>
        </w:rPr>
      </w:pPr>
      <w:r>
        <w:rPr>
          <w:spacing w:val="4"/>
          <w:szCs w:val="28"/>
        </w:rPr>
        <w:t>企业取得的主要证照信息如下：</w:t>
      </w:r>
    </w:p>
    <w:p w14:paraId="7CF781C3">
      <w:pPr>
        <w:adjustRightInd/>
        <w:snapToGrid/>
        <w:ind w:firstLine="562"/>
        <w:rPr>
          <w:b/>
          <w:bCs/>
          <w:szCs w:val="24"/>
        </w:rPr>
      </w:pPr>
      <w:r>
        <w:rPr>
          <w:b/>
          <w:bCs/>
          <w:szCs w:val="24"/>
        </w:rPr>
        <w:t>一、营业执照</w:t>
      </w:r>
    </w:p>
    <w:p w14:paraId="3E3A1B96">
      <w:pPr>
        <w:adjustRightInd/>
        <w:snapToGrid/>
        <w:ind w:firstLine="560"/>
        <w:rPr>
          <w:szCs w:val="24"/>
        </w:rPr>
      </w:pPr>
      <w:r>
        <w:rPr>
          <w:szCs w:val="24"/>
        </w:rPr>
        <w:t>统一社会信用代码：91530625MA6MYTYW0H</w:t>
      </w:r>
    </w:p>
    <w:p w14:paraId="56412C2C">
      <w:pPr>
        <w:adjustRightInd/>
        <w:snapToGrid/>
        <w:ind w:firstLine="560"/>
        <w:rPr>
          <w:szCs w:val="24"/>
        </w:rPr>
      </w:pPr>
      <w:r>
        <w:rPr>
          <w:szCs w:val="24"/>
        </w:rPr>
        <w:t>名    称：永善润佳制造有限责任公司</w:t>
      </w:r>
    </w:p>
    <w:p w14:paraId="1D48764B">
      <w:pPr>
        <w:adjustRightInd/>
        <w:snapToGrid/>
        <w:ind w:firstLine="560"/>
        <w:rPr>
          <w:szCs w:val="24"/>
        </w:rPr>
      </w:pPr>
      <w:r>
        <w:rPr>
          <w:szCs w:val="24"/>
        </w:rPr>
        <w:t>类    型：有限责任公司（自然人投资或控股）</w:t>
      </w:r>
    </w:p>
    <w:p w14:paraId="7FEEDAB5">
      <w:pPr>
        <w:adjustRightInd/>
        <w:snapToGrid/>
        <w:ind w:firstLine="560"/>
        <w:rPr>
          <w:szCs w:val="24"/>
        </w:rPr>
      </w:pPr>
      <w:r>
        <w:rPr>
          <w:szCs w:val="24"/>
        </w:rPr>
        <w:t>住    所：云南省昭通市永善县茂林镇松林村官寨社</w:t>
      </w:r>
    </w:p>
    <w:p w14:paraId="09494C31">
      <w:pPr>
        <w:adjustRightInd/>
        <w:snapToGrid/>
        <w:ind w:firstLine="560"/>
        <w:rPr>
          <w:szCs w:val="24"/>
        </w:rPr>
      </w:pPr>
      <w:r>
        <w:rPr>
          <w:szCs w:val="24"/>
        </w:rPr>
        <w:t>法定代表人：张永波</w:t>
      </w:r>
    </w:p>
    <w:p w14:paraId="5BFC9FC8">
      <w:pPr>
        <w:adjustRightInd/>
        <w:snapToGrid/>
        <w:ind w:firstLine="560"/>
        <w:rPr>
          <w:szCs w:val="24"/>
        </w:rPr>
      </w:pPr>
      <w:r>
        <w:rPr>
          <w:szCs w:val="24"/>
        </w:rPr>
        <w:t>注册资本：伍佰万元整</w:t>
      </w:r>
    </w:p>
    <w:p w14:paraId="058AAD67">
      <w:pPr>
        <w:adjustRightInd/>
        <w:snapToGrid/>
        <w:ind w:firstLine="560"/>
        <w:rPr>
          <w:szCs w:val="24"/>
        </w:rPr>
      </w:pPr>
      <w:r>
        <w:rPr>
          <w:szCs w:val="24"/>
        </w:rPr>
        <w:t>成立日期：2018年01月31日</w:t>
      </w:r>
    </w:p>
    <w:p w14:paraId="342AF18E">
      <w:pPr>
        <w:adjustRightInd/>
        <w:snapToGrid/>
        <w:ind w:firstLine="560"/>
        <w:rPr>
          <w:szCs w:val="24"/>
        </w:rPr>
      </w:pPr>
      <w:r>
        <w:rPr>
          <w:szCs w:val="24"/>
        </w:rPr>
        <w:t>营业期限：2018年01月31日至2048年01月30日</w:t>
      </w:r>
    </w:p>
    <w:p w14:paraId="6E81A3B5">
      <w:pPr>
        <w:adjustRightInd/>
        <w:snapToGrid/>
        <w:ind w:firstLine="560"/>
        <w:rPr>
          <w:szCs w:val="24"/>
        </w:rPr>
      </w:pPr>
      <w:r>
        <w:rPr>
          <w:szCs w:val="24"/>
        </w:rPr>
        <w:t>经营范围及方式：石灰和石膏、建筑用石加工、涂料的制造（依法须经批准的项目，经相关部门批准后方可开展经营活动）</w:t>
      </w:r>
    </w:p>
    <w:p w14:paraId="7E724FC2">
      <w:pPr>
        <w:adjustRightInd/>
        <w:snapToGrid/>
        <w:ind w:firstLine="560"/>
        <w:rPr>
          <w:szCs w:val="24"/>
        </w:rPr>
      </w:pPr>
      <w:r>
        <w:rPr>
          <w:szCs w:val="24"/>
        </w:rPr>
        <w:t>核准机关：永善县市场监督管理局</w:t>
      </w:r>
    </w:p>
    <w:p w14:paraId="026AD32C">
      <w:pPr>
        <w:adjustRightInd/>
        <w:snapToGrid/>
        <w:ind w:firstLine="560"/>
        <w:rPr>
          <w:szCs w:val="24"/>
        </w:rPr>
      </w:pPr>
      <w:r>
        <w:rPr>
          <w:szCs w:val="24"/>
        </w:rPr>
        <w:t>登记日期：2018年1月31日</w:t>
      </w:r>
    </w:p>
    <w:p w14:paraId="5733DEAE">
      <w:pPr>
        <w:adjustRightInd/>
        <w:snapToGrid/>
        <w:ind w:firstLine="562"/>
        <w:rPr>
          <w:b/>
          <w:bCs/>
          <w:szCs w:val="24"/>
        </w:rPr>
      </w:pPr>
      <w:r>
        <w:rPr>
          <w:b/>
          <w:bCs/>
          <w:szCs w:val="24"/>
        </w:rPr>
        <w:t>二、采矿许可证</w:t>
      </w:r>
    </w:p>
    <w:p w14:paraId="7BF28CAE">
      <w:pPr>
        <w:adjustRightInd/>
        <w:snapToGrid/>
        <w:ind w:firstLine="560"/>
        <w:rPr>
          <w:szCs w:val="24"/>
        </w:rPr>
      </w:pPr>
      <w:r>
        <w:rPr>
          <w:szCs w:val="24"/>
        </w:rPr>
        <w:t>证    号：C5306252020127100151009</w:t>
      </w:r>
    </w:p>
    <w:p w14:paraId="230BED64">
      <w:pPr>
        <w:adjustRightInd/>
        <w:snapToGrid/>
        <w:ind w:firstLine="560"/>
        <w:rPr>
          <w:szCs w:val="24"/>
        </w:rPr>
      </w:pPr>
      <w:r>
        <w:rPr>
          <w:szCs w:val="24"/>
        </w:rPr>
        <w:t>采矿权人：永善润佳制造有限责任公司</w:t>
      </w:r>
    </w:p>
    <w:p w14:paraId="1B9EEAAD">
      <w:pPr>
        <w:adjustRightInd/>
        <w:snapToGrid/>
        <w:ind w:firstLine="560"/>
        <w:rPr>
          <w:szCs w:val="24"/>
        </w:rPr>
      </w:pPr>
      <w:r>
        <w:rPr>
          <w:szCs w:val="24"/>
        </w:rPr>
        <w:t>地    址：云南省昭通市永善县茂林镇松林村官寨社</w:t>
      </w:r>
    </w:p>
    <w:p w14:paraId="3A9D9E0E">
      <w:pPr>
        <w:adjustRightInd/>
        <w:snapToGrid/>
        <w:ind w:firstLine="560"/>
        <w:rPr>
          <w:szCs w:val="24"/>
        </w:rPr>
      </w:pPr>
      <w:r>
        <w:rPr>
          <w:szCs w:val="24"/>
        </w:rPr>
        <w:t>矿山名称：永善县茂林镇松林村海子采石场</w:t>
      </w:r>
    </w:p>
    <w:p w14:paraId="4BC54332">
      <w:pPr>
        <w:adjustRightInd/>
        <w:snapToGrid/>
        <w:ind w:firstLine="560"/>
        <w:rPr>
          <w:szCs w:val="24"/>
        </w:rPr>
      </w:pPr>
      <w:r>
        <w:rPr>
          <w:szCs w:val="24"/>
        </w:rPr>
        <w:t>经济类型：有限责任公司</w:t>
      </w:r>
    </w:p>
    <w:p w14:paraId="69AFB346">
      <w:pPr>
        <w:adjustRightInd/>
        <w:snapToGrid/>
        <w:ind w:firstLine="560"/>
        <w:rPr>
          <w:szCs w:val="24"/>
        </w:rPr>
      </w:pPr>
      <w:r>
        <w:rPr>
          <w:szCs w:val="24"/>
        </w:rPr>
        <w:t>开采矿种：建筑石料用灰岩</w:t>
      </w:r>
    </w:p>
    <w:p w14:paraId="147D63AB">
      <w:pPr>
        <w:adjustRightInd/>
        <w:snapToGrid/>
        <w:ind w:firstLine="560"/>
        <w:rPr>
          <w:szCs w:val="24"/>
        </w:rPr>
      </w:pPr>
      <w:r>
        <w:rPr>
          <w:szCs w:val="24"/>
        </w:rPr>
        <w:t>开采方式：露天开采</w:t>
      </w:r>
    </w:p>
    <w:p w14:paraId="2965456E">
      <w:pPr>
        <w:adjustRightInd/>
        <w:snapToGrid/>
        <w:ind w:firstLine="560"/>
        <w:rPr>
          <w:szCs w:val="24"/>
        </w:rPr>
      </w:pPr>
      <w:r>
        <w:rPr>
          <w:szCs w:val="24"/>
        </w:rPr>
        <w:t>生产规模：30.00万吨/年</w:t>
      </w:r>
    </w:p>
    <w:p w14:paraId="2D254A2E">
      <w:pPr>
        <w:adjustRightInd/>
        <w:snapToGrid/>
        <w:ind w:firstLine="560"/>
        <w:rPr>
          <w:szCs w:val="24"/>
        </w:rPr>
      </w:pPr>
      <w:r>
        <w:rPr>
          <w:szCs w:val="24"/>
        </w:rPr>
        <w:t>矿区面积：0.0673平方公里</w:t>
      </w:r>
    </w:p>
    <w:p w14:paraId="0A9B898D">
      <w:pPr>
        <w:adjustRightInd/>
        <w:snapToGrid/>
        <w:ind w:firstLine="560"/>
        <w:rPr>
          <w:szCs w:val="24"/>
        </w:rPr>
      </w:pPr>
      <w:r>
        <w:rPr>
          <w:szCs w:val="24"/>
        </w:rPr>
        <w:t>有效期限：陆年  自2020年12月1日至2026年12月1日</w:t>
      </w:r>
    </w:p>
    <w:p w14:paraId="0BF89A9A">
      <w:pPr>
        <w:adjustRightInd/>
        <w:snapToGrid/>
        <w:ind w:firstLine="560"/>
        <w:rPr>
          <w:szCs w:val="24"/>
        </w:rPr>
      </w:pPr>
      <w:r>
        <w:rPr>
          <w:szCs w:val="24"/>
        </w:rPr>
        <w:t>发证单位：永善县自然资源局</w:t>
      </w:r>
    </w:p>
    <w:p w14:paraId="5B4FB825">
      <w:pPr>
        <w:adjustRightInd/>
        <w:snapToGrid/>
        <w:ind w:firstLine="560"/>
        <w:rPr>
          <w:szCs w:val="24"/>
        </w:rPr>
      </w:pPr>
      <w:r>
        <w:rPr>
          <w:szCs w:val="24"/>
        </w:rPr>
        <w:t>发证时间：二〇二〇年十二月一日</w:t>
      </w:r>
    </w:p>
    <w:p w14:paraId="1C58581B">
      <w:pPr>
        <w:adjustRightInd/>
        <w:snapToGrid/>
        <w:ind w:firstLine="560"/>
        <w:rPr>
          <w:szCs w:val="24"/>
        </w:rPr>
      </w:pPr>
      <w:r>
        <w:rPr>
          <w:szCs w:val="24"/>
        </w:rPr>
        <w:t>矿区范围拐点坐标见表1.1-1</w:t>
      </w:r>
    </w:p>
    <w:bookmarkEnd w:id="191"/>
    <w:p w14:paraId="0438D689">
      <w:pPr>
        <w:pStyle w:val="6"/>
        <w:adjustRightInd/>
        <w:snapToGrid/>
        <w:ind w:firstLine="562"/>
        <w:rPr>
          <w:rFonts w:eastAsia="宋体"/>
          <w:b/>
          <w:bCs w:val="0"/>
        </w:rPr>
      </w:pPr>
      <w:bookmarkStart w:id="197" w:name="_Toc11868"/>
      <w:bookmarkStart w:id="198" w:name="_Toc26927"/>
      <w:bookmarkStart w:id="199" w:name="_Toc59420501"/>
      <w:bookmarkStart w:id="200" w:name="_Toc1471"/>
      <w:r>
        <w:rPr>
          <w:rFonts w:eastAsia="宋体"/>
          <w:b/>
          <w:bCs w:val="0"/>
        </w:rPr>
        <w:t>2.1.2建设项目背景及立项情况</w:t>
      </w:r>
      <w:bookmarkEnd w:id="192"/>
      <w:bookmarkEnd w:id="193"/>
      <w:bookmarkEnd w:id="194"/>
      <w:bookmarkEnd w:id="195"/>
      <w:bookmarkEnd w:id="197"/>
      <w:bookmarkEnd w:id="198"/>
      <w:bookmarkEnd w:id="199"/>
      <w:bookmarkEnd w:id="200"/>
    </w:p>
    <w:p w14:paraId="138AE744">
      <w:pPr>
        <w:pStyle w:val="123"/>
        <w:adjustRightInd/>
        <w:spacing w:line="360" w:lineRule="auto"/>
        <w:ind w:firstLine="560" w:firstLineChars="200"/>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t>永善县茂林镇松林村海子采石场于2020年12月1日设立采矿权，采矿权人为永善润佳制造有限责任公司，采矿许可证证号：C5306252020127100151009，开采矿种：建筑石料用灰岩，开采方式：露天开采，证载生产规模：30万t/a，开采面积：0.0673km</w:t>
      </w:r>
      <w:r>
        <w:rPr>
          <w:rFonts w:hint="default" w:ascii="Times New Roman" w:hAnsi="Times New Roman" w:cs="Times New Roman"/>
          <w:color w:val="auto"/>
          <w:sz w:val="28"/>
          <w:szCs w:val="28"/>
          <w:vertAlign w:val="superscript"/>
        </w:rPr>
        <w:t>2</w:t>
      </w:r>
      <w:r>
        <w:rPr>
          <w:rFonts w:hint="default" w:ascii="Times New Roman" w:hAnsi="Times New Roman" w:cs="Times New Roman"/>
          <w:color w:val="auto"/>
          <w:sz w:val="28"/>
          <w:szCs w:val="28"/>
        </w:rPr>
        <w:t>，开采标高：2790m</w:t>
      </w:r>
      <w:r>
        <w:rPr>
          <w:rFonts w:ascii="Times New Roman" w:hAnsi="Times New Roman" w:cs="Times New Roman"/>
          <w:color w:val="auto"/>
          <w:sz w:val="28"/>
          <w:szCs w:val="28"/>
        </w:rPr>
        <w:t>—</w:t>
      </w:r>
      <w:r>
        <w:rPr>
          <w:rFonts w:hint="default" w:ascii="Times New Roman" w:hAnsi="Times New Roman" w:cs="Times New Roman"/>
          <w:color w:val="auto"/>
          <w:sz w:val="28"/>
          <w:szCs w:val="28"/>
        </w:rPr>
        <w:t>2700m。2021年矿山已履行“三同时”手续，于2021年11月26日取得安全生产许可证，有效期自2021年11月26日至2024年11月25日，证件编号：（昭）FM安许证字【2021】011号，发证机关：昭通市应急管理局。</w:t>
      </w:r>
      <w:r>
        <w:rPr>
          <w:rFonts w:ascii="Times New Roman" w:hAnsi="Times New Roman" w:cs="Times New Roman"/>
          <w:color w:val="auto"/>
          <w:sz w:val="28"/>
          <w:szCs w:val="28"/>
        </w:rPr>
        <w:t>矿山</w:t>
      </w:r>
      <w:r>
        <w:rPr>
          <w:rFonts w:hint="default" w:ascii="Times New Roman" w:hAnsi="Times New Roman" w:cs="Times New Roman"/>
          <w:color w:val="auto"/>
          <w:sz w:val="28"/>
          <w:szCs w:val="28"/>
        </w:rPr>
        <w:t>重新进行设计前正常生产。</w:t>
      </w:r>
    </w:p>
    <w:p w14:paraId="52D6D699">
      <w:pPr>
        <w:pStyle w:val="123"/>
        <w:adjustRightInd/>
        <w:spacing w:line="360" w:lineRule="auto"/>
        <w:ind w:firstLine="560" w:firstLineChars="200"/>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t>2022年8月，企业考虑自身发展需求，向有关部门申请扩大生产规模，并于2022年11月24日拿到云南省固定资产投资项目备案证，矿山生产规模由原来的30万t/年变更为50万t/年。</w:t>
      </w:r>
    </w:p>
    <w:p w14:paraId="16F37C95">
      <w:pPr>
        <w:pStyle w:val="123"/>
        <w:adjustRightInd/>
        <w:spacing w:line="360" w:lineRule="auto"/>
        <w:ind w:firstLine="560" w:firstLineChars="200"/>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t>2024年因政策调整等原因，矿山收到永善县林业和草原局通知，矿区东部1.227公顷区域属于天然牧草地，暂不能办理草地使用手续，并出具了情况说明（见附件）。</w:t>
      </w:r>
    </w:p>
    <w:p w14:paraId="15FF212B">
      <w:pPr>
        <w:pStyle w:val="123"/>
        <w:adjustRightInd/>
        <w:spacing w:line="360" w:lineRule="auto"/>
        <w:ind w:firstLine="560" w:firstLineChars="200"/>
        <w:jc w:val="both"/>
        <w:rPr>
          <w:rFonts w:hint="default" w:ascii="Times New Roman" w:hAnsi="Times New Roman" w:cs="Times New Roman"/>
          <w:snapToGrid w:val="0"/>
          <w:sz w:val="28"/>
          <w:szCs w:val="28"/>
        </w:rPr>
      </w:pPr>
      <w:r>
        <w:rPr>
          <w:rFonts w:hint="default" w:ascii="Times New Roman" w:hAnsi="Times New Roman" w:cs="Times New Roman"/>
          <w:color w:val="auto"/>
          <w:sz w:val="28"/>
          <w:szCs w:val="28"/>
        </w:rPr>
        <w:t>2024年6月，永善润佳制造有限责任公司委托瑞鼎工程管理有限公司编制完成了《永善润佳制造有限责任公司永善县茂林镇松林村海子采石场50万吨改扩建项目可行性研究报告》。</w:t>
      </w:r>
      <w:r>
        <w:rPr>
          <w:rFonts w:hint="default" w:ascii="Times New Roman" w:hAnsi="Times New Roman" w:cs="Times New Roman"/>
          <w:snapToGrid w:val="0"/>
          <w:sz w:val="28"/>
          <w:szCs w:val="28"/>
        </w:rPr>
        <w:t>2024年9月，</w:t>
      </w:r>
      <w:r>
        <w:rPr>
          <w:rFonts w:hint="default" w:ascii="Times New Roman" w:hAnsi="Times New Roman" w:cs="Times New Roman"/>
          <w:sz w:val="28"/>
          <w:szCs w:val="28"/>
        </w:rPr>
        <w:t>永善润佳制造有限责任公司委托辽宁诺诚安全科技有限公司编制了《永善县茂林镇松林村海子采石场50万t/a露天采矿工程安全预评价报告》；</w:t>
      </w:r>
      <w:r>
        <w:rPr>
          <w:rFonts w:hint="default" w:ascii="Times New Roman" w:hAnsi="Times New Roman" w:cs="Times New Roman"/>
          <w:snapToGrid w:val="0"/>
          <w:sz w:val="28"/>
          <w:szCs w:val="28"/>
        </w:rPr>
        <w:t>2024年9月，永善润佳制造有限责任公司委托云南德成规划设计有限公司编制了《永善县茂林镇松林村海子采石场50万t/a露天采矿工程初步设计》；</w:t>
      </w:r>
      <w:r>
        <w:rPr>
          <w:rFonts w:hint="default" w:ascii="Times New Roman" w:hAnsi="Times New Roman" w:cs="Times New Roman"/>
          <w:snapToGrid w:val="0"/>
          <w:sz w:val="28"/>
          <w:szCs w:val="28"/>
          <w:lang w:val="sq-AL"/>
        </w:rPr>
        <w:t>202</w:t>
      </w:r>
      <w:r>
        <w:rPr>
          <w:rFonts w:hint="default" w:ascii="Times New Roman" w:hAnsi="Times New Roman" w:cs="Times New Roman"/>
          <w:snapToGrid w:val="0"/>
          <w:sz w:val="28"/>
          <w:szCs w:val="28"/>
        </w:rPr>
        <w:t>4</w:t>
      </w:r>
      <w:r>
        <w:rPr>
          <w:rFonts w:hint="default" w:ascii="Times New Roman" w:hAnsi="Times New Roman" w:cs="Times New Roman"/>
          <w:snapToGrid w:val="0"/>
          <w:sz w:val="28"/>
          <w:szCs w:val="28"/>
          <w:lang w:val="sq-AL"/>
        </w:rPr>
        <w:t>年</w:t>
      </w:r>
      <w:r>
        <w:rPr>
          <w:rFonts w:hint="default" w:ascii="Times New Roman" w:hAnsi="Times New Roman" w:cs="Times New Roman"/>
          <w:snapToGrid w:val="0"/>
          <w:sz w:val="28"/>
          <w:szCs w:val="28"/>
        </w:rPr>
        <w:t>11</w:t>
      </w:r>
      <w:r>
        <w:rPr>
          <w:rFonts w:hint="default" w:ascii="Times New Roman" w:hAnsi="Times New Roman" w:cs="Times New Roman"/>
          <w:snapToGrid w:val="0"/>
          <w:sz w:val="28"/>
          <w:szCs w:val="28"/>
          <w:lang w:val="sq-AL"/>
        </w:rPr>
        <w:t>月，</w:t>
      </w:r>
      <w:r>
        <w:rPr>
          <w:rFonts w:hint="default" w:ascii="Times New Roman" w:hAnsi="Times New Roman" w:cs="Times New Roman"/>
          <w:snapToGrid w:val="0"/>
          <w:sz w:val="28"/>
          <w:szCs w:val="28"/>
        </w:rPr>
        <w:t>永善润佳制造有限责任公司委托云南德成规划设计有限公司编制了</w:t>
      </w:r>
      <w:r>
        <w:rPr>
          <w:rFonts w:ascii="Times New Roman" w:hAnsi="Times New Roman" w:cs="Times New Roman"/>
          <w:snapToGrid w:val="0"/>
          <w:sz w:val="28"/>
          <w:szCs w:val="28"/>
          <w:lang w:val="sq-AL"/>
        </w:rPr>
        <w:t>《永善润佳制造有限责任公司永善县茂林镇松林村海子采石场50万t/a露天采矿工程安全设施设计》</w:t>
      </w:r>
      <w:r>
        <w:rPr>
          <w:rFonts w:hint="default" w:ascii="Times New Roman" w:hAnsi="Times New Roman" w:cs="Times New Roman"/>
          <w:snapToGrid w:val="0"/>
          <w:sz w:val="28"/>
          <w:szCs w:val="28"/>
          <w:lang w:val="sq-AL"/>
        </w:rPr>
        <w:t>，</w:t>
      </w:r>
      <w:r>
        <w:rPr>
          <w:rFonts w:hint="default" w:ascii="Times New Roman" w:hAnsi="Times New Roman" w:cs="Times New Roman"/>
          <w:snapToGrid w:val="0"/>
          <w:sz w:val="28"/>
          <w:szCs w:val="28"/>
        </w:rPr>
        <w:t>该安全设施设计于2024年10月30日通过了昭通市应急管理局组织专家对该项目安全设施设计的评审，并经修改和完善后于2024年12月24日通过了昭通市应急管理局审批。</w:t>
      </w:r>
    </w:p>
    <w:p w14:paraId="77A83B92">
      <w:pPr>
        <w:adjustRightInd/>
        <w:snapToGrid/>
        <w:ind w:firstLine="560"/>
        <w:rPr>
          <w:snapToGrid w:val="0"/>
          <w:kern w:val="0"/>
          <w:szCs w:val="28"/>
        </w:rPr>
      </w:pPr>
      <w:bookmarkStart w:id="201" w:name="_Hlk117521497"/>
      <w:r>
        <w:rPr>
          <w:snapToGrid w:val="0"/>
          <w:color w:val="000000" w:themeColor="text1"/>
          <w:kern w:val="0"/>
          <w:szCs w:val="28"/>
          <w14:textFill>
            <w14:solidFill>
              <w14:schemeClr w14:val="tx1"/>
            </w14:solidFill>
          </w14:textFill>
        </w:rPr>
        <w:t>矿山于2025年1月</w:t>
      </w:r>
      <w:r>
        <w:rPr>
          <w:rFonts w:hint="eastAsia"/>
          <w:snapToGrid w:val="0"/>
          <w:color w:val="000000" w:themeColor="text1"/>
          <w:kern w:val="0"/>
          <w:szCs w:val="28"/>
          <w14:textFill>
            <w14:solidFill>
              <w14:schemeClr w14:val="tx1"/>
            </w14:solidFill>
          </w14:textFill>
        </w:rPr>
        <w:t>5</w:t>
      </w:r>
      <w:r>
        <w:rPr>
          <w:snapToGrid w:val="0"/>
          <w:color w:val="000000" w:themeColor="text1"/>
          <w:kern w:val="0"/>
          <w:szCs w:val="28"/>
          <w14:textFill>
            <w14:solidFill>
              <w14:schemeClr w14:val="tx1"/>
            </w14:solidFill>
          </w14:textFill>
        </w:rPr>
        <w:t>日开始施工建设，于2025年</w:t>
      </w:r>
      <w:r>
        <w:rPr>
          <w:rFonts w:hint="eastAsia"/>
          <w:snapToGrid w:val="0"/>
          <w:color w:val="000000" w:themeColor="text1"/>
          <w:kern w:val="0"/>
          <w:szCs w:val="28"/>
          <w14:textFill>
            <w14:solidFill>
              <w14:schemeClr w14:val="tx1"/>
            </w14:solidFill>
          </w14:textFill>
        </w:rPr>
        <w:t>4</w:t>
      </w:r>
      <w:r>
        <w:rPr>
          <w:snapToGrid w:val="0"/>
          <w:color w:val="000000" w:themeColor="text1"/>
          <w:kern w:val="0"/>
          <w:szCs w:val="28"/>
          <w14:textFill>
            <w14:solidFill>
              <w14:schemeClr w14:val="tx1"/>
            </w14:solidFill>
          </w14:textFill>
        </w:rPr>
        <w:t>月</w:t>
      </w:r>
      <w:r>
        <w:rPr>
          <w:rFonts w:hint="eastAsia"/>
          <w:snapToGrid w:val="0"/>
          <w:color w:val="000000" w:themeColor="text1"/>
          <w:kern w:val="0"/>
          <w:szCs w:val="28"/>
          <w14:textFill>
            <w14:solidFill>
              <w14:schemeClr w14:val="tx1"/>
            </w14:solidFill>
          </w14:textFill>
        </w:rPr>
        <w:t>5</w:t>
      </w:r>
      <w:r>
        <w:rPr>
          <w:snapToGrid w:val="0"/>
          <w:color w:val="000000" w:themeColor="text1"/>
          <w:kern w:val="0"/>
          <w:szCs w:val="28"/>
          <w14:textFill>
            <w14:solidFill>
              <w14:schemeClr w14:val="tx1"/>
            </w14:solidFill>
          </w14:textFill>
        </w:rPr>
        <w:t>日竣工</w:t>
      </w:r>
      <w:r>
        <w:rPr>
          <w:snapToGrid w:val="0"/>
          <w:kern w:val="0"/>
          <w:szCs w:val="28"/>
        </w:rPr>
        <w:t>，</w:t>
      </w:r>
      <w:bookmarkEnd w:id="201"/>
      <w:r>
        <w:rPr>
          <w:snapToGrid w:val="0"/>
          <w:kern w:val="0"/>
          <w:szCs w:val="28"/>
        </w:rPr>
        <w:t>矿山基建工程安全设施已建设完成，能够满足安全生产需要，安全设施运行正常，企业安全管理到位，安全技术措施已得到落实，未发生过生产安全事故。</w:t>
      </w:r>
    </w:p>
    <w:p w14:paraId="0C023EC9">
      <w:pPr>
        <w:adjustRightInd/>
        <w:snapToGrid/>
        <w:ind w:firstLine="560"/>
        <w:rPr>
          <w:snapToGrid w:val="0"/>
          <w:kern w:val="0"/>
          <w:szCs w:val="28"/>
        </w:rPr>
      </w:pPr>
      <w:r>
        <w:rPr>
          <w:snapToGrid w:val="0"/>
          <w:kern w:val="0"/>
          <w:szCs w:val="28"/>
        </w:rPr>
        <w:t>依据《中华人民共和国安全生产法》、《建设项目安全设施“三同时”监督管理办法》等国家有关安全生产法律法规及部门规章，建设单位须履行安全设施“三同时”手续。因此，永善润佳制造有限责任公司委托我公司根据《安全验收评价导则》（AQ8003-2007）、《国家安全监管总局关于印发〈金属非金属矿山建设项目安全评价报告编写提纲〉的通知》（原安监总管一〔2016〕49号）等文件的要求，最终形成《永善润佳制造有限责任公司永善县茂林镇松林村海子采石场50万t/a露天采矿工程安全设施验收评价报告》。</w:t>
      </w:r>
    </w:p>
    <w:p w14:paraId="4D2F6A7A">
      <w:pPr>
        <w:pStyle w:val="6"/>
        <w:ind w:firstLine="562"/>
        <w:rPr>
          <w:rFonts w:eastAsia="宋体"/>
          <w:b/>
          <w:bCs w:val="0"/>
        </w:rPr>
      </w:pPr>
      <w:bookmarkStart w:id="202" w:name="_Toc59420502"/>
      <w:bookmarkStart w:id="203" w:name="_Toc454614248"/>
      <w:bookmarkStart w:id="204" w:name="_Toc5380"/>
      <w:bookmarkStart w:id="205" w:name="_Toc1818"/>
      <w:bookmarkStart w:id="206" w:name="_Toc5400"/>
      <w:bookmarkStart w:id="207" w:name="_Toc3400"/>
      <w:bookmarkStart w:id="208" w:name="_Toc30678"/>
      <w:bookmarkStart w:id="209" w:name="_Toc29456"/>
      <w:r>
        <w:rPr>
          <w:rFonts w:eastAsia="宋体"/>
          <w:b/>
          <w:bCs w:val="0"/>
        </w:rPr>
        <w:t>2.1.</w:t>
      </w:r>
      <w:bookmarkEnd w:id="196"/>
      <w:r>
        <w:rPr>
          <w:rFonts w:eastAsia="宋体"/>
          <w:b/>
          <w:bCs w:val="0"/>
        </w:rPr>
        <w:t>3建设项目行政区划、地理位置及交通</w:t>
      </w:r>
      <w:bookmarkEnd w:id="202"/>
      <w:bookmarkEnd w:id="203"/>
      <w:bookmarkEnd w:id="204"/>
      <w:bookmarkEnd w:id="205"/>
      <w:bookmarkEnd w:id="206"/>
      <w:bookmarkEnd w:id="207"/>
      <w:bookmarkEnd w:id="208"/>
      <w:bookmarkEnd w:id="209"/>
    </w:p>
    <w:p w14:paraId="2F14B2C6">
      <w:pPr>
        <w:pStyle w:val="123"/>
        <w:snapToGrid w:val="0"/>
        <w:spacing w:line="360" w:lineRule="auto"/>
        <w:ind w:firstLine="560" w:firstLineChars="200"/>
        <w:jc w:val="both"/>
        <w:rPr>
          <w:rFonts w:hint="default" w:ascii="Times New Roman" w:hAnsi="Times New Roman" w:cs="Times New Roman"/>
          <w:color w:val="auto"/>
          <w:sz w:val="28"/>
          <w:szCs w:val="28"/>
        </w:rPr>
      </w:pPr>
      <w:bookmarkStart w:id="210" w:name="_Toc313439207"/>
      <w:r>
        <w:rPr>
          <w:rFonts w:hint="default" w:ascii="Times New Roman" w:hAnsi="Times New Roman" w:cs="Times New Roman"/>
          <w:color w:val="auto"/>
          <w:sz w:val="28"/>
          <w:szCs w:val="28"/>
        </w:rPr>
        <w:t>永善县茂林镇松林村海子采石场位于永善县城10°方向，直平距约60km，在永善县茂林镇松林村境内。</w:t>
      </w:r>
    </w:p>
    <w:p w14:paraId="1EC08FF1">
      <w:pPr>
        <w:pStyle w:val="123"/>
        <w:snapToGrid w:val="0"/>
        <w:spacing w:line="360" w:lineRule="auto"/>
        <w:ind w:firstLine="560" w:firstLineChars="200"/>
        <w:jc w:val="both"/>
        <w:rPr>
          <w:rFonts w:ascii="Times New Roman" w:hAnsi="Times New Roman" w:cs="Times New Roman"/>
          <w:bdr w:val="single" w:color="auto" w:sz="4" w:space="0"/>
        </w:rPr>
      </w:pPr>
      <w:r>
        <w:rPr>
          <w:rFonts w:hint="default" w:ascii="Times New Roman" w:hAnsi="Times New Roman" w:cs="Times New Roman"/>
          <w:color w:val="auto"/>
          <w:sz w:val="28"/>
          <w:szCs w:val="28"/>
        </w:rPr>
        <w:t>矿山有简易公路和乡村公路相连，矿区至松林村运距约3km，至茂林镇运距约18km，至永善县城运距约92km，至昭通运距约52km，交通较方便。</w:t>
      </w:r>
    </w:p>
    <w:p w14:paraId="5C5EE020">
      <w:pPr>
        <w:pStyle w:val="6"/>
        <w:ind w:firstLine="562"/>
        <w:rPr>
          <w:rFonts w:eastAsia="宋体"/>
          <w:b/>
          <w:bCs w:val="0"/>
        </w:rPr>
      </w:pPr>
      <w:bookmarkStart w:id="211" w:name="_Toc24276"/>
      <w:bookmarkStart w:id="212" w:name="_Toc8474"/>
      <w:bookmarkStart w:id="213" w:name="_Toc22805"/>
      <w:bookmarkStart w:id="214" w:name="_Toc384121547"/>
      <w:bookmarkStart w:id="215" w:name="_Toc12992"/>
      <w:bookmarkStart w:id="216" w:name="_Toc454614249"/>
      <w:bookmarkStart w:id="217" w:name="_Toc59420503"/>
      <w:bookmarkStart w:id="218" w:name="_Toc12252"/>
      <w:bookmarkStart w:id="219" w:name="_Toc19410"/>
      <w:r>
        <w:rPr>
          <w:rFonts w:eastAsia="宋体"/>
          <w:b/>
          <w:bCs w:val="0"/>
        </w:rPr>
        <w:t>2.1.4矿区周边环境</w:t>
      </w:r>
      <w:bookmarkEnd w:id="210"/>
      <w:bookmarkEnd w:id="211"/>
      <w:bookmarkEnd w:id="212"/>
      <w:bookmarkEnd w:id="213"/>
      <w:bookmarkEnd w:id="214"/>
      <w:bookmarkEnd w:id="215"/>
      <w:bookmarkEnd w:id="216"/>
      <w:bookmarkEnd w:id="217"/>
      <w:bookmarkEnd w:id="218"/>
      <w:bookmarkEnd w:id="219"/>
    </w:p>
    <w:p w14:paraId="3EC901B8">
      <w:pPr>
        <w:adjustRightInd/>
        <w:snapToGrid/>
        <w:ind w:firstLine="560"/>
        <w:rPr>
          <w:szCs w:val="28"/>
        </w:rPr>
      </w:pPr>
      <w:bookmarkStart w:id="220" w:name="_Toc313439206"/>
      <w:bookmarkStart w:id="221" w:name="_Toc5849"/>
      <w:bookmarkStart w:id="222" w:name="_Toc454614250"/>
      <w:bookmarkStart w:id="223" w:name="_Toc5773"/>
      <w:bookmarkStart w:id="224" w:name="_Toc384121548"/>
      <w:bookmarkStart w:id="225" w:name="_Toc8199"/>
      <w:bookmarkStart w:id="226" w:name="_Toc59420504"/>
      <w:r>
        <w:rPr>
          <w:szCs w:val="28"/>
        </w:rPr>
        <w:t>矿山西侧有一条村道穿过，与矿山设计开采范围最近距离约60m；有一条10k</w:t>
      </w:r>
      <w:r>
        <w:rPr>
          <w:rFonts w:hint="eastAsia"/>
          <w:szCs w:val="28"/>
        </w:rPr>
        <w:t>V</w:t>
      </w:r>
      <w:r>
        <w:rPr>
          <w:szCs w:val="28"/>
        </w:rPr>
        <w:t>茂林-松林支线穿过，与矿山设计开采范围最近距离约112m，矿山已签订电力安全协议。矿山东南侧有松林村下设的官寨村民小组，与矿山设计开采范围最近距离约212m，矿山目前已经对位于300m爆破警戒范围内的民房进行了租赁。矿山后期在生产过程中应该严格遵守法律法规，加强爆破安全管理工作，采用控制爆破等措施，减少爆破飞石等对周边的影响。</w:t>
      </w:r>
    </w:p>
    <w:p w14:paraId="4053BE5E">
      <w:pPr>
        <w:adjustRightInd/>
        <w:snapToGrid/>
        <w:ind w:firstLine="560"/>
        <w:rPr>
          <w:szCs w:val="28"/>
        </w:rPr>
      </w:pPr>
      <w:r>
        <w:rPr>
          <w:szCs w:val="28"/>
        </w:rPr>
        <w:t>除此之外，矿区1000m范围内无铁路线，区内无珍稀动植物分布，区内不属于文物保护区和旅游区。</w:t>
      </w:r>
    </w:p>
    <w:p w14:paraId="67BB03C6">
      <w:pPr>
        <w:adjustRightInd/>
        <w:snapToGrid/>
        <w:spacing w:line="240" w:lineRule="auto"/>
        <w:ind w:firstLine="0" w:firstLineChars="0"/>
        <w:jc w:val="center"/>
        <w:rPr>
          <w:bCs/>
          <w:snapToGrid w:val="0"/>
          <w:kern w:val="0"/>
          <w:sz w:val="21"/>
          <w:szCs w:val="21"/>
        </w:rPr>
      </w:pPr>
      <w:r>
        <w:rPr>
          <w:bCs/>
          <w:snapToGrid w:val="0"/>
          <w:kern w:val="0"/>
          <w:sz w:val="21"/>
          <w:szCs w:val="21"/>
        </w:rPr>
        <w:t>表2.1-1  矿区周边设施与开采境界最小距离表</w:t>
      </w:r>
    </w:p>
    <w:tbl>
      <w:tblPr>
        <w:tblStyle w:val="4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935"/>
        <w:gridCol w:w="2354"/>
        <w:gridCol w:w="1725"/>
        <w:gridCol w:w="4176"/>
      </w:tblGrid>
      <w:tr w14:paraId="2A8D9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09" w:type="pct"/>
            <w:vAlign w:val="center"/>
          </w:tcPr>
          <w:p w14:paraId="0C8CA4CA">
            <w:pPr>
              <w:spacing w:line="240" w:lineRule="auto"/>
              <w:ind w:firstLine="0" w:firstLineChars="0"/>
              <w:jc w:val="center"/>
              <w:rPr>
                <w:b/>
                <w:bCs/>
                <w:color w:val="000000"/>
                <w:sz w:val="21"/>
                <w:szCs w:val="21"/>
              </w:rPr>
            </w:pPr>
            <w:bookmarkStart w:id="227" w:name="_Hlk172841901"/>
            <w:r>
              <w:rPr>
                <w:b/>
                <w:bCs/>
                <w:color w:val="000000"/>
                <w:sz w:val="21"/>
                <w:szCs w:val="21"/>
              </w:rPr>
              <w:t>方位</w:t>
            </w:r>
          </w:p>
        </w:tc>
        <w:tc>
          <w:tcPr>
            <w:tcW w:w="1280" w:type="pct"/>
            <w:vAlign w:val="center"/>
          </w:tcPr>
          <w:p w14:paraId="0A9A9567">
            <w:pPr>
              <w:spacing w:line="240" w:lineRule="auto"/>
              <w:ind w:firstLine="0" w:firstLineChars="0"/>
              <w:jc w:val="center"/>
              <w:rPr>
                <w:b/>
                <w:bCs/>
                <w:color w:val="000000"/>
                <w:sz w:val="21"/>
                <w:szCs w:val="21"/>
              </w:rPr>
            </w:pPr>
            <w:r>
              <w:rPr>
                <w:b/>
                <w:bCs/>
                <w:color w:val="000000"/>
                <w:sz w:val="21"/>
                <w:szCs w:val="21"/>
              </w:rPr>
              <w:t>周边设施或建筑</w:t>
            </w:r>
          </w:p>
        </w:tc>
        <w:tc>
          <w:tcPr>
            <w:tcW w:w="938" w:type="pct"/>
            <w:vAlign w:val="center"/>
          </w:tcPr>
          <w:p w14:paraId="676256D9">
            <w:pPr>
              <w:spacing w:line="240" w:lineRule="auto"/>
              <w:ind w:firstLine="0" w:firstLineChars="0"/>
              <w:jc w:val="center"/>
              <w:rPr>
                <w:b/>
                <w:bCs/>
                <w:color w:val="000000"/>
                <w:sz w:val="21"/>
                <w:szCs w:val="21"/>
              </w:rPr>
            </w:pPr>
            <w:r>
              <w:rPr>
                <w:b/>
                <w:bCs/>
                <w:color w:val="000000"/>
                <w:sz w:val="21"/>
                <w:szCs w:val="21"/>
              </w:rPr>
              <w:t>与开采范围最小距离（m）</w:t>
            </w:r>
          </w:p>
        </w:tc>
        <w:tc>
          <w:tcPr>
            <w:tcW w:w="2271" w:type="pct"/>
            <w:vAlign w:val="center"/>
          </w:tcPr>
          <w:p w14:paraId="42AAB925">
            <w:pPr>
              <w:spacing w:line="240" w:lineRule="auto"/>
              <w:ind w:firstLine="0" w:firstLineChars="0"/>
              <w:jc w:val="center"/>
              <w:rPr>
                <w:b/>
                <w:bCs/>
                <w:color w:val="000000"/>
                <w:sz w:val="21"/>
                <w:szCs w:val="21"/>
              </w:rPr>
            </w:pPr>
            <w:r>
              <w:rPr>
                <w:b/>
                <w:bCs/>
                <w:color w:val="000000"/>
                <w:sz w:val="21"/>
                <w:szCs w:val="21"/>
              </w:rPr>
              <w:t>备注</w:t>
            </w:r>
          </w:p>
        </w:tc>
      </w:tr>
      <w:tr w14:paraId="75F14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09" w:type="pct"/>
            <w:vMerge w:val="restart"/>
            <w:vAlign w:val="center"/>
          </w:tcPr>
          <w:p w14:paraId="144DBA60">
            <w:pPr>
              <w:spacing w:line="240" w:lineRule="auto"/>
              <w:ind w:firstLine="0" w:firstLineChars="0"/>
              <w:jc w:val="center"/>
              <w:rPr>
                <w:color w:val="000000"/>
                <w:sz w:val="21"/>
                <w:szCs w:val="21"/>
              </w:rPr>
            </w:pPr>
            <w:r>
              <w:rPr>
                <w:color w:val="000000"/>
                <w:sz w:val="21"/>
                <w:szCs w:val="21"/>
              </w:rPr>
              <w:t>西侧</w:t>
            </w:r>
          </w:p>
        </w:tc>
        <w:tc>
          <w:tcPr>
            <w:tcW w:w="1280" w:type="pct"/>
            <w:vAlign w:val="center"/>
          </w:tcPr>
          <w:p w14:paraId="04F3B804">
            <w:pPr>
              <w:spacing w:line="240" w:lineRule="auto"/>
              <w:ind w:firstLine="0" w:firstLineChars="0"/>
              <w:jc w:val="center"/>
              <w:rPr>
                <w:color w:val="000000"/>
                <w:sz w:val="21"/>
                <w:szCs w:val="21"/>
              </w:rPr>
            </w:pPr>
            <w:r>
              <w:rPr>
                <w:color w:val="000000"/>
                <w:sz w:val="21"/>
                <w:szCs w:val="21"/>
              </w:rPr>
              <w:t>村道</w:t>
            </w:r>
          </w:p>
        </w:tc>
        <w:tc>
          <w:tcPr>
            <w:tcW w:w="938" w:type="pct"/>
            <w:vAlign w:val="center"/>
          </w:tcPr>
          <w:p w14:paraId="14E71B57">
            <w:pPr>
              <w:spacing w:line="240" w:lineRule="auto"/>
              <w:ind w:firstLine="0" w:firstLineChars="0"/>
              <w:jc w:val="center"/>
              <w:rPr>
                <w:color w:val="000000"/>
                <w:sz w:val="21"/>
                <w:szCs w:val="21"/>
              </w:rPr>
            </w:pPr>
            <w:r>
              <w:rPr>
                <w:color w:val="000000"/>
                <w:sz w:val="21"/>
                <w:szCs w:val="21"/>
              </w:rPr>
              <w:t>60</w:t>
            </w:r>
          </w:p>
        </w:tc>
        <w:tc>
          <w:tcPr>
            <w:tcW w:w="2271" w:type="pct"/>
            <w:vAlign w:val="center"/>
          </w:tcPr>
          <w:p w14:paraId="0110A0B1">
            <w:pPr>
              <w:spacing w:line="240" w:lineRule="auto"/>
              <w:ind w:firstLine="0" w:firstLineChars="0"/>
              <w:jc w:val="center"/>
              <w:rPr>
                <w:color w:val="000000"/>
                <w:sz w:val="21"/>
                <w:szCs w:val="21"/>
              </w:rPr>
            </w:pPr>
          </w:p>
        </w:tc>
      </w:tr>
      <w:tr w14:paraId="6E5D6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09" w:type="pct"/>
            <w:vMerge w:val="continue"/>
            <w:vAlign w:val="center"/>
          </w:tcPr>
          <w:p w14:paraId="458CCA4C">
            <w:pPr>
              <w:spacing w:line="240" w:lineRule="auto"/>
              <w:ind w:firstLine="0" w:firstLineChars="0"/>
              <w:jc w:val="center"/>
              <w:rPr>
                <w:color w:val="000000"/>
                <w:sz w:val="21"/>
                <w:szCs w:val="21"/>
              </w:rPr>
            </w:pPr>
          </w:p>
        </w:tc>
        <w:tc>
          <w:tcPr>
            <w:tcW w:w="1280" w:type="pct"/>
            <w:vAlign w:val="center"/>
          </w:tcPr>
          <w:p w14:paraId="4539934F">
            <w:pPr>
              <w:spacing w:line="240" w:lineRule="auto"/>
              <w:ind w:firstLine="0" w:firstLineChars="0"/>
              <w:jc w:val="center"/>
              <w:rPr>
                <w:color w:val="000000"/>
                <w:sz w:val="21"/>
                <w:szCs w:val="21"/>
              </w:rPr>
            </w:pPr>
            <w:r>
              <w:rPr>
                <w:color w:val="000000"/>
                <w:sz w:val="21"/>
                <w:szCs w:val="21"/>
              </w:rPr>
              <w:t>10kv茂林-松林支线</w:t>
            </w:r>
          </w:p>
        </w:tc>
        <w:tc>
          <w:tcPr>
            <w:tcW w:w="938" w:type="pct"/>
            <w:vAlign w:val="center"/>
          </w:tcPr>
          <w:p w14:paraId="4CD52566">
            <w:pPr>
              <w:spacing w:line="240" w:lineRule="auto"/>
              <w:ind w:firstLine="0" w:firstLineChars="0"/>
              <w:jc w:val="center"/>
              <w:rPr>
                <w:color w:val="000000"/>
                <w:sz w:val="21"/>
                <w:szCs w:val="21"/>
              </w:rPr>
            </w:pPr>
            <w:r>
              <w:rPr>
                <w:color w:val="000000"/>
                <w:sz w:val="21"/>
                <w:szCs w:val="21"/>
              </w:rPr>
              <w:t>112</w:t>
            </w:r>
          </w:p>
        </w:tc>
        <w:tc>
          <w:tcPr>
            <w:tcW w:w="2271" w:type="pct"/>
            <w:vAlign w:val="center"/>
          </w:tcPr>
          <w:p w14:paraId="2808A2E2">
            <w:pPr>
              <w:spacing w:line="240" w:lineRule="auto"/>
              <w:ind w:firstLine="0" w:firstLineChars="0"/>
              <w:jc w:val="center"/>
              <w:rPr>
                <w:color w:val="000000"/>
                <w:sz w:val="21"/>
                <w:szCs w:val="21"/>
              </w:rPr>
            </w:pPr>
            <w:r>
              <w:rPr>
                <w:color w:val="000000"/>
                <w:sz w:val="21"/>
                <w:szCs w:val="21"/>
              </w:rPr>
              <w:t>已签订电力安全协议，详见附件。</w:t>
            </w:r>
          </w:p>
        </w:tc>
      </w:tr>
      <w:tr w14:paraId="0A4EF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09" w:type="pct"/>
            <w:vAlign w:val="center"/>
          </w:tcPr>
          <w:p w14:paraId="119E76CF">
            <w:pPr>
              <w:spacing w:line="240" w:lineRule="auto"/>
              <w:ind w:firstLine="0" w:firstLineChars="0"/>
              <w:jc w:val="center"/>
              <w:rPr>
                <w:color w:val="000000"/>
                <w:sz w:val="21"/>
                <w:szCs w:val="21"/>
              </w:rPr>
            </w:pPr>
            <w:r>
              <w:rPr>
                <w:color w:val="000000"/>
                <w:sz w:val="21"/>
                <w:szCs w:val="21"/>
              </w:rPr>
              <w:t>东南侧</w:t>
            </w:r>
          </w:p>
        </w:tc>
        <w:tc>
          <w:tcPr>
            <w:tcW w:w="1280" w:type="pct"/>
            <w:vAlign w:val="center"/>
          </w:tcPr>
          <w:p w14:paraId="0740AFB4">
            <w:pPr>
              <w:spacing w:line="240" w:lineRule="auto"/>
              <w:ind w:firstLine="0" w:firstLineChars="0"/>
              <w:jc w:val="center"/>
              <w:rPr>
                <w:color w:val="000000"/>
                <w:sz w:val="21"/>
                <w:szCs w:val="21"/>
              </w:rPr>
            </w:pPr>
            <w:r>
              <w:rPr>
                <w:color w:val="000000"/>
                <w:sz w:val="21"/>
                <w:szCs w:val="21"/>
              </w:rPr>
              <w:t>官寨村民小组</w:t>
            </w:r>
          </w:p>
        </w:tc>
        <w:tc>
          <w:tcPr>
            <w:tcW w:w="938" w:type="pct"/>
            <w:vAlign w:val="center"/>
          </w:tcPr>
          <w:p w14:paraId="57A15153">
            <w:pPr>
              <w:spacing w:line="240" w:lineRule="auto"/>
              <w:ind w:firstLine="0" w:firstLineChars="0"/>
              <w:jc w:val="center"/>
              <w:rPr>
                <w:color w:val="000000"/>
                <w:sz w:val="21"/>
                <w:szCs w:val="21"/>
              </w:rPr>
            </w:pPr>
            <w:r>
              <w:rPr>
                <w:color w:val="000000"/>
                <w:sz w:val="21"/>
                <w:szCs w:val="21"/>
              </w:rPr>
              <w:t>212</w:t>
            </w:r>
          </w:p>
        </w:tc>
        <w:tc>
          <w:tcPr>
            <w:tcW w:w="2271" w:type="pct"/>
            <w:vAlign w:val="center"/>
          </w:tcPr>
          <w:p w14:paraId="62B9BB30">
            <w:pPr>
              <w:spacing w:line="240" w:lineRule="auto"/>
              <w:ind w:firstLine="0" w:firstLineChars="0"/>
              <w:jc w:val="center"/>
              <w:rPr>
                <w:color w:val="000000"/>
                <w:sz w:val="21"/>
                <w:szCs w:val="21"/>
              </w:rPr>
            </w:pPr>
            <w:r>
              <w:rPr>
                <w:color w:val="000000"/>
                <w:sz w:val="21"/>
                <w:szCs w:val="21"/>
              </w:rPr>
              <w:t>已经对位于300m爆破警戒范围内的民房进行了租赁，详见附件。</w:t>
            </w:r>
          </w:p>
        </w:tc>
      </w:tr>
      <w:bookmarkEnd w:id="227"/>
    </w:tbl>
    <w:p w14:paraId="12A7EA2F">
      <w:pPr>
        <w:pStyle w:val="124"/>
        <w:rPr>
          <w:rFonts w:ascii="Times New Roman" w:hAnsi="Times New Roman" w:cs="Times New Roman"/>
          <w:color w:val="auto"/>
          <w:sz w:val="28"/>
          <w:szCs w:val="28"/>
        </w:rPr>
      </w:pPr>
    </w:p>
    <w:p w14:paraId="4ECFC9EA">
      <w:pPr>
        <w:pStyle w:val="124"/>
        <w:rPr>
          <w:rFonts w:ascii="Times New Roman" w:hAnsi="Times New Roman" w:cs="Times New Roman"/>
          <w:color w:val="auto"/>
          <w:sz w:val="28"/>
          <w:szCs w:val="28"/>
        </w:rPr>
        <w:sectPr>
          <w:headerReference r:id="rId16" w:type="default"/>
          <w:footerReference r:id="rId17" w:type="default"/>
          <w:pgSz w:w="11905" w:h="16838"/>
          <w:pgMar w:top="1417" w:right="1134" w:bottom="1134" w:left="1587" w:header="850" w:footer="850" w:gutter="0"/>
          <w:pgNumType w:start="1"/>
          <w:cols w:space="720" w:num="1"/>
          <w:docGrid w:type="lines" w:linePitch="386" w:charSpace="0"/>
        </w:sectPr>
      </w:pPr>
    </w:p>
    <w:p w14:paraId="5B1265EF">
      <w:pPr>
        <w:pStyle w:val="5"/>
        <w:spacing w:before="0" w:beforeLines="0"/>
        <w:rPr>
          <w:b/>
          <w:bCs w:val="0"/>
        </w:rPr>
      </w:pPr>
      <w:bookmarkStart w:id="228" w:name="_Toc27091"/>
      <w:bookmarkStart w:id="229" w:name="_Toc7830"/>
      <w:bookmarkStart w:id="230" w:name="_Toc8765"/>
      <w:bookmarkStart w:id="231" w:name="_Toc27249"/>
      <w:bookmarkStart w:id="232" w:name="_Toc8500"/>
      <w:r>
        <w:rPr>
          <w:b/>
          <w:bCs w:val="0"/>
        </w:rPr>
        <w:t>2.2自然</w:t>
      </w:r>
      <w:bookmarkEnd w:id="220"/>
      <w:r>
        <w:rPr>
          <w:b/>
          <w:bCs w:val="0"/>
        </w:rPr>
        <w:t>环境概况</w:t>
      </w:r>
      <w:bookmarkEnd w:id="221"/>
      <w:bookmarkEnd w:id="222"/>
      <w:bookmarkEnd w:id="223"/>
      <w:bookmarkEnd w:id="224"/>
      <w:bookmarkEnd w:id="225"/>
      <w:bookmarkEnd w:id="226"/>
      <w:bookmarkEnd w:id="228"/>
      <w:bookmarkEnd w:id="229"/>
      <w:bookmarkEnd w:id="230"/>
      <w:bookmarkEnd w:id="231"/>
      <w:bookmarkEnd w:id="232"/>
    </w:p>
    <w:p w14:paraId="6BDD6ED8">
      <w:pPr>
        <w:pStyle w:val="6"/>
        <w:ind w:firstLine="562"/>
        <w:rPr>
          <w:rFonts w:eastAsia="宋体"/>
          <w:b/>
          <w:bCs w:val="0"/>
        </w:rPr>
      </w:pPr>
      <w:bookmarkStart w:id="233" w:name="_Toc14675"/>
      <w:bookmarkStart w:id="234" w:name="_Toc5899"/>
      <w:bookmarkStart w:id="235" w:name="_Toc27985"/>
      <w:bookmarkStart w:id="236" w:name="_Toc18155"/>
      <w:bookmarkStart w:id="237" w:name="_Toc22164"/>
      <w:bookmarkStart w:id="238" w:name="_Toc12194"/>
      <w:bookmarkStart w:id="239" w:name="_Toc14503"/>
      <w:bookmarkStart w:id="240" w:name="_Toc327020792"/>
      <w:bookmarkStart w:id="241" w:name="_Toc323820668"/>
      <w:bookmarkStart w:id="242" w:name="_Toc13503"/>
      <w:bookmarkStart w:id="243" w:name="_Toc384121549"/>
      <w:bookmarkStart w:id="244" w:name="_Toc332786052"/>
      <w:bookmarkStart w:id="245" w:name="_Toc59420505"/>
      <w:bookmarkStart w:id="246" w:name="_Toc26785"/>
      <w:bookmarkStart w:id="247" w:name="_Toc454614251"/>
      <w:bookmarkStart w:id="248" w:name="_Toc2339"/>
      <w:r>
        <w:rPr>
          <w:rFonts w:eastAsia="宋体"/>
          <w:b/>
          <w:bCs w:val="0"/>
        </w:rPr>
        <w:t>2.2.1</w:t>
      </w:r>
      <w:bookmarkEnd w:id="233"/>
      <w:bookmarkEnd w:id="234"/>
      <w:bookmarkEnd w:id="235"/>
      <w:r>
        <w:rPr>
          <w:rFonts w:eastAsia="宋体"/>
          <w:b/>
          <w:bCs w:val="0"/>
        </w:rPr>
        <w:t>地形</w:t>
      </w:r>
      <w:bookmarkEnd w:id="236"/>
      <w:bookmarkEnd w:id="237"/>
      <w:bookmarkEnd w:id="238"/>
      <w:bookmarkEnd w:id="239"/>
      <w:r>
        <w:rPr>
          <w:rFonts w:eastAsia="宋体"/>
          <w:b/>
          <w:bCs w:val="0"/>
        </w:rPr>
        <w:t>地貌</w:t>
      </w:r>
    </w:p>
    <w:p w14:paraId="28F23953">
      <w:pPr>
        <w:pStyle w:val="21"/>
        <w:spacing w:after="0"/>
        <w:ind w:left="0" w:leftChars="0" w:firstLine="560"/>
        <w:rPr>
          <w:rFonts w:ascii="Times New Roman" w:hAnsi="Times New Roman"/>
          <w:szCs w:val="20"/>
        </w:rPr>
      </w:pPr>
      <w:bookmarkStart w:id="249" w:name="_Toc16736"/>
      <w:bookmarkStart w:id="250" w:name="_Toc151"/>
      <w:bookmarkStart w:id="251" w:name="_Toc30063"/>
      <w:r>
        <w:rPr>
          <w:rFonts w:ascii="Times New Roman" w:hAnsi="Times New Roman"/>
          <w:szCs w:val="20"/>
        </w:rPr>
        <w:t>矿区属高原中山侵蚀、溶蚀地貌，地形切割中等，地形坡度一般15°～35°，局部较陡。植被稀疏-较密，以灌木杂草为主。地形地貌条件中等。</w:t>
      </w:r>
    </w:p>
    <w:p w14:paraId="6F8DEB82">
      <w:pPr>
        <w:pStyle w:val="21"/>
        <w:spacing w:after="0"/>
        <w:ind w:left="0" w:leftChars="0" w:firstLine="560"/>
        <w:rPr>
          <w:rFonts w:ascii="Times New Roman" w:hAnsi="Times New Roman"/>
          <w:szCs w:val="20"/>
        </w:rPr>
      </w:pPr>
      <w:r>
        <w:rPr>
          <w:rFonts w:ascii="Times New Roman" w:hAnsi="Times New Roman"/>
          <w:szCs w:val="28"/>
        </w:rPr>
        <w:t>根据《中国地震动参数区划图》（GB18306-2015）和《</w:t>
      </w:r>
      <w:r>
        <w:rPr>
          <w:rFonts w:hint="eastAsia" w:ascii="Times New Roman" w:hAnsi="Times New Roman"/>
          <w:szCs w:val="28"/>
        </w:rPr>
        <w:t>建筑抗震设计标准</w:t>
      </w:r>
      <w:r>
        <w:rPr>
          <w:rFonts w:ascii="Times New Roman" w:hAnsi="Times New Roman"/>
          <w:szCs w:val="28"/>
        </w:rPr>
        <w:t>》（</w:t>
      </w:r>
      <w:r>
        <w:rPr>
          <w:rFonts w:hint="eastAsia" w:ascii="Times New Roman" w:hAnsi="Times New Roman"/>
          <w:szCs w:val="28"/>
        </w:rPr>
        <w:t>GB/T 50011-2010[2024年版]</w:t>
      </w:r>
      <w:r>
        <w:rPr>
          <w:rFonts w:ascii="Times New Roman" w:hAnsi="Times New Roman"/>
          <w:szCs w:val="28"/>
        </w:rPr>
        <w:t>），矿区当地为抗震设防烈度8度区，地震动峰值加速度0.10g，地震动反应谱特征周期0.45s，设计地震分组为第三组。</w:t>
      </w:r>
    </w:p>
    <w:bookmarkEnd w:id="249"/>
    <w:bookmarkEnd w:id="250"/>
    <w:bookmarkEnd w:id="251"/>
    <w:p w14:paraId="3290C992">
      <w:pPr>
        <w:pStyle w:val="6"/>
        <w:ind w:firstLine="562"/>
        <w:rPr>
          <w:rFonts w:eastAsia="宋体"/>
          <w:b/>
          <w:bCs w:val="0"/>
        </w:rPr>
      </w:pPr>
      <w:bookmarkStart w:id="252" w:name="_Toc14087"/>
      <w:bookmarkStart w:id="253" w:name="_Toc21025"/>
      <w:bookmarkStart w:id="254" w:name="_Toc24847"/>
      <w:bookmarkStart w:id="255" w:name="_Toc25436"/>
      <w:r>
        <w:rPr>
          <w:rFonts w:eastAsia="宋体"/>
          <w:b/>
          <w:bCs w:val="0"/>
        </w:rPr>
        <w:t>2.2.2水文条件</w:t>
      </w:r>
    </w:p>
    <w:p w14:paraId="7791BCE1">
      <w:pPr>
        <w:ind w:firstLine="560"/>
      </w:pPr>
      <w:r>
        <w:t>矿区地表水系不发育。矿区地表水系属金沙江流域长江水系。矿区位于当地侵蚀基准面（标高2610m）以上，地表坡形有利于大气降水的排泄，矿床充水主要为季节性大气降雨的下渗，开采范围内大气降水大部分通过采场边坡及斜坡向矿区南部自然排泄，部分渗入地下成为地下水。</w:t>
      </w:r>
    </w:p>
    <w:p w14:paraId="2D07F196">
      <w:pPr>
        <w:pStyle w:val="6"/>
        <w:ind w:firstLine="562"/>
        <w:rPr>
          <w:rFonts w:eastAsia="宋体"/>
          <w:b/>
          <w:bCs w:val="0"/>
        </w:rPr>
      </w:pPr>
      <w:r>
        <w:rPr>
          <w:rFonts w:eastAsia="宋体"/>
          <w:b/>
          <w:bCs w:val="0"/>
        </w:rPr>
        <w:t>2.2.3气候条件</w:t>
      </w:r>
      <w:bookmarkEnd w:id="252"/>
      <w:bookmarkEnd w:id="253"/>
      <w:bookmarkEnd w:id="254"/>
      <w:bookmarkEnd w:id="255"/>
    </w:p>
    <w:p w14:paraId="24CBC60F">
      <w:pPr>
        <w:pStyle w:val="21"/>
        <w:spacing w:after="0"/>
        <w:ind w:left="0" w:leftChars="0" w:firstLine="560"/>
        <w:rPr>
          <w:rFonts w:ascii="Times New Roman" w:hAnsi="Times New Roman"/>
          <w:szCs w:val="20"/>
        </w:rPr>
      </w:pPr>
      <w:r>
        <w:rPr>
          <w:rFonts w:ascii="Times New Roman" w:hAnsi="Times New Roman"/>
          <w:szCs w:val="20"/>
        </w:rPr>
        <w:t>矿区地处云贵高原北部，属北温带山地季风气候，四季温差不大，干湿季分明，垂直变异突出。全年平均气温16.8℃，最冷月平均气温2.7℃，最热月平均气温20.3℃，最高气温为38℃，最低气温为-8℃，12至次年2月为冰冻期。该区降雨量较充沛，年降水量912.8mm，其中干季为116.5mm，雨季为796.3mm，降雨主要集中在5～8月，降雨量约占全年的87%，历年平均蒸发量为788.4mm，降水形式以降雨、雪、霜、为主。日照时数为1172.8小时。多为北西风、北风。平均风速1.6m/s，最大风速14.7m/s。</w:t>
      </w:r>
    </w:p>
    <w:p w14:paraId="3879FAA0">
      <w:pPr>
        <w:pStyle w:val="6"/>
        <w:ind w:firstLine="562"/>
        <w:rPr>
          <w:rFonts w:eastAsia="宋体"/>
          <w:b/>
          <w:bCs w:val="0"/>
        </w:rPr>
      </w:pPr>
      <w:r>
        <w:rPr>
          <w:rFonts w:eastAsia="宋体"/>
          <w:b/>
          <w:bCs w:val="0"/>
        </w:rPr>
        <w:t>2.2.4社会经济概况</w:t>
      </w:r>
    </w:p>
    <w:p w14:paraId="3A90A969">
      <w:pPr>
        <w:pStyle w:val="21"/>
        <w:spacing w:after="0"/>
        <w:ind w:left="0" w:leftChars="0" w:firstLine="560"/>
        <w:rPr>
          <w:rFonts w:ascii="Times New Roman" w:hAnsi="Times New Roman"/>
          <w:szCs w:val="21"/>
        </w:rPr>
      </w:pPr>
      <w:r>
        <w:rPr>
          <w:rFonts w:ascii="Times New Roman" w:hAnsi="Times New Roman"/>
          <w:szCs w:val="21"/>
        </w:rPr>
        <w:t>矿区当地居民为汉族，劳动力充裕，主要从事农业生产，农作物主要有玉米、马铃薯等，经济作物主要有砂仁、橙子、花椒，工业主要为采石场，经济条件相对较差。矿区通公路、通电、通讯便捷，内、外部建设条件较好。</w:t>
      </w:r>
    </w:p>
    <w:p w14:paraId="5AC00074">
      <w:pPr>
        <w:pStyle w:val="5"/>
        <w:spacing w:before="0" w:beforeLines="0"/>
        <w:rPr>
          <w:b/>
          <w:bCs w:val="0"/>
        </w:rPr>
      </w:pPr>
      <w:bookmarkStart w:id="256" w:name="_Toc26602"/>
      <w:bookmarkStart w:id="257" w:name="_Toc21070"/>
      <w:bookmarkStart w:id="258" w:name="_Toc12683"/>
      <w:bookmarkStart w:id="259" w:name="_Toc10789"/>
      <w:bookmarkStart w:id="260" w:name="_Toc12957"/>
      <w:r>
        <w:rPr>
          <w:b/>
          <w:bCs w:val="0"/>
        </w:rPr>
        <w:t>2.3地质</w:t>
      </w:r>
      <w:bookmarkEnd w:id="240"/>
      <w:bookmarkEnd w:id="241"/>
      <w:r>
        <w:rPr>
          <w:b/>
          <w:bCs w:val="0"/>
        </w:rPr>
        <w:t>概况</w:t>
      </w:r>
      <w:bookmarkEnd w:id="242"/>
      <w:bookmarkEnd w:id="243"/>
      <w:bookmarkEnd w:id="244"/>
      <w:bookmarkEnd w:id="245"/>
      <w:bookmarkEnd w:id="246"/>
      <w:bookmarkEnd w:id="247"/>
      <w:bookmarkEnd w:id="248"/>
      <w:bookmarkEnd w:id="256"/>
      <w:bookmarkEnd w:id="257"/>
      <w:bookmarkEnd w:id="258"/>
      <w:bookmarkEnd w:id="259"/>
      <w:bookmarkEnd w:id="260"/>
    </w:p>
    <w:p w14:paraId="12DE3DC8">
      <w:pPr>
        <w:pStyle w:val="21"/>
        <w:spacing w:after="0"/>
        <w:ind w:left="0" w:leftChars="0" w:firstLine="560"/>
        <w:rPr>
          <w:rFonts w:ascii="Times New Roman" w:hAnsi="Times New Roman"/>
          <w:szCs w:val="21"/>
        </w:rPr>
      </w:pPr>
      <w:r>
        <w:rPr>
          <w:rFonts w:ascii="Times New Roman" w:hAnsi="Times New Roman"/>
          <w:szCs w:val="28"/>
        </w:rPr>
        <w:t>本评价报告的地质资料依据昭通亿融科技信息有限公司于2020年3月编制的《永善县茂林镇松林村海子采石场建筑石料用灰岩矿资源储量核实报告（2020年）进行叙述</w:t>
      </w:r>
      <w:r>
        <w:rPr>
          <w:rFonts w:ascii="Times New Roman" w:hAnsi="Times New Roman"/>
          <w:szCs w:val="21"/>
        </w:rPr>
        <w:t>。</w:t>
      </w:r>
    </w:p>
    <w:p w14:paraId="72F4DAC0">
      <w:pPr>
        <w:keepNext/>
        <w:keepLines/>
        <w:ind w:firstLine="562"/>
        <w:jc w:val="left"/>
        <w:outlineLvl w:val="2"/>
        <w:rPr>
          <w:b/>
          <w:color w:val="000000"/>
          <w:szCs w:val="32"/>
          <w:lang w:val="en-GB"/>
        </w:rPr>
      </w:pPr>
      <w:r>
        <w:rPr>
          <w:b/>
          <w:color w:val="000000"/>
          <w:szCs w:val="32"/>
          <w:lang w:val="en-GB"/>
        </w:rPr>
        <w:t xml:space="preserve">2.3.1 </w:t>
      </w:r>
      <w:r>
        <w:rPr>
          <w:b/>
          <w:color w:val="000000"/>
          <w:szCs w:val="32"/>
        </w:rPr>
        <w:t>矿区</w:t>
      </w:r>
      <w:r>
        <w:rPr>
          <w:b/>
          <w:color w:val="000000"/>
          <w:szCs w:val="32"/>
          <w:lang w:val="en-GB"/>
        </w:rPr>
        <w:t>地质</w:t>
      </w:r>
    </w:p>
    <w:p w14:paraId="3678E153">
      <w:pPr>
        <w:keepNext/>
        <w:keepLines/>
        <w:ind w:firstLine="560"/>
        <w:jc w:val="left"/>
        <w:outlineLvl w:val="3"/>
        <w:rPr>
          <w:rFonts w:eastAsia="黑体"/>
          <w:bCs/>
          <w:szCs w:val="28"/>
        </w:rPr>
      </w:pPr>
      <w:bookmarkStart w:id="261" w:name="_Toc29148210"/>
      <w:bookmarkStart w:id="262" w:name="_Toc6114"/>
      <w:r>
        <w:rPr>
          <w:rFonts w:eastAsia="黑体"/>
          <w:bCs/>
          <w:szCs w:val="28"/>
        </w:rPr>
        <w:t>2.3.1.1矿区地层</w:t>
      </w:r>
      <w:bookmarkEnd w:id="261"/>
      <w:bookmarkEnd w:id="262"/>
    </w:p>
    <w:p w14:paraId="56690471">
      <w:pPr>
        <w:adjustRightInd/>
        <w:snapToGrid/>
        <w:ind w:firstLine="560"/>
        <w:rPr>
          <w:snapToGrid w:val="0"/>
          <w:szCs w:val="28"/>
        </w:rPr>
      </w:pPr>
      <w:r>
        <w:rPr>
          <w:snapToGrid w:val="0"/>
          <w:szCs w:val="28"/>
        </w:rPr>
        <w:t>矿区出露地层由新至老有第四系残坡积层（</w:t>
      </w:r>
      <w:r>
        <w:rPr>
          <w:spacing w:val="10"/>
          <w:szCs w:val="28"/>
        </w:rPr>
        <w:t>Q</w:t>
      </w:r>
      <w:r>
        <w:rPr>
          <w:spacing w:val="10"/>
          <w:szCs w:val="28"/>
          <w:vertAlign w:val="superscript"/>
        </w:rPr>
        <w:t>el＋dl</w:t>
      </w:r>
      <w:r>
        <w:rPr>
          <w:spacing w:val="10"/>
          <w:szCs w:val="28"/>
        </w:rPr>
        <w:t>）、</w:t>
      </w:r>
      <w:r>
        <w:rPr>
          <w:snapToGrid w:val="0"/>
          <w:szCs w:val="28"/>
        </w:rPr>
        <w:t>二叠系上统峨眉山玄武岩组(P</w:t>
      </w:r>
      <w:r>
        <w:rPr>
          <w:snapToGrid w:val="0"/>
          <w:szCs w:val="28"/>
          <w:vertAlign w:val="subscript"/>
        </w:rPr>
        <w:t>3</w:t>
      </w:r>
      <w:r>
        <w:rPr>
          <w:snapToGrid w:val="0"/>
          <w:szCs w:val="28"/>
        </w:rPr>
        <w:t>β）、二叠系中统栖霞茅口组（P</w:t>
      </w:r>
      <w:r>
        <w:rPr>
          <w:snapToGrid w:val="0"/>
          <w:szCs w:val="28"/>
          <w:vertAlign w:val="subscript"/>
        </w:rPr>
        <w:t>2</w:t>
      </w:r>
      <w:r>
        <w:rPr>
          <w:snapToGrid w:val="0"/>
          <w:szCs w:val="28"/>
        </w:rPr>
        <w:t>q+m）。其岩性如下：</w:t>
      </w:r>
    </w:p>
    <w:p w14:paraId="15DC5458">
      <w:pPr>
        <w:adjustRightInd/>
        <w:snapToGrid/>
        <w:ind w:firstLine="560"/>
        <w:rPr>
          <w:spacing w:val="10"/>
          <w:szCs w:val="28"/>
        </w:rPr>
      </w:pPr>
      <w:r>
        <w:rPr>
          <w:szCs w:val="28"/>
        </w:rPr>
        <w:t>（1）</w:t>
      </w:r>
      <w:r>
        <w:rPr>
          <w:snapToGrid w:val="0"/>
          <w:szCs w:val="28"/>
        </w:rPr>
        <w:t>第四系残坡积层（</w:t>
      </w:r>
      <w:r>
        <w:rPr>
          <w:spacing w:val="10"/>
          <w:szCs w:val="28"/>
        </w:rPr>
        <w:t>Q</w:t>
      </w:r>
      <w:r>
        <w:rPr>
          <w:spacing w:val="10"/>
          <w:szCs w:val="28"/>
          <w:vertAlign w:val="superscript"/>
        </w:rPr>
        <w:t>el＋dl</w:t>
      </w:r>
      <w:r>
        <w:rPr>
          <w:spacing w:val="10"/>
          <w:szCs w:val="28"/>
        </w:rPr>
        <w:t>）</w:t>
      </w:r>
    </w:p>
    <w:p w14:paraId="409C8005">
      <w:pPr>
        <w:adjustRightInd/>
        <w:snapToGrid/>
        <w:ind w:firstLine="560"/>
        <w:rPr>
          <w:szCs w:val="28"/>
        </w:rPr>
      </w:pPr>
      <w:r>
        <w:rPr>
          <w:szCs w:val="28"/>
        </w:rPr>
        <w:t>出露于矿区较平坦地带和地表出露岩石间，为黄灰色、褐红色</w:t>
      </w:r>
      <w:r>
        <w:rPr>
          <w:snapToGrid w:val="0"/>
          <w:szCs w:val="28"/>
        </w:rPr>
        <w:t>残坡积</w:t>
      </w:r>
      <w:r>
        <w:rPr>
          <w:spacing w:val="-2"/>
          <w:szCs w:val="28"/>
        </w:rPr>
        <w:t>粘土夹碎石</w:t>
      </w:r>
      <w:r>
        <w:rPr>
          <w:szCs w:val="28"/>
        </w:rPr>
        <w:t>，厚度0～3m，与下伏地层均呈不整合接触。</w:t>
      </w:r>
    </w:p>
    <w:p w14:paraId="4EE827AB">
      <w:pPr>
        <w:adjustRightInd/>
        <w:snapToGrid/>
        <w:ind w:firstLine="560"/>
        <w:rPr>
          <w:szCs w:val="28"/>
        </w:rPr>
      </w:pPr>
      <w:r>
        <w:rPr>
          <w:szCs w:val="28"/>
        </w:rPr>
        <w:t>（2）</w:t>
      </w:r>
      <w:r>
        <w:rPr>
          <w:snapToGrid w:val="0"/>
          <w:szCs w:val="28"/>
        </w:rPr>
        <w:t>二叠系上统峨眉山玄武岩组(P</w:t>
      </w:r>
      <w:r>
        <w:rPr>
          <w:snapToGrid w:val="0"/>
          <w:szCs w:val="28"/>
          <w:vertAlign w:val="subscript"/>
        </w:rPr>
        <w:t>3</w:t>
      </w:r>
      <w:r>
        <w:rPr>
          <w:snapToGrid w:val="0"/>
          <w:szCs w:val="28"/>
        </w:rPr>
        <w:t>β）</w:t>
      </w:r>
    </w:p>
    <w:p w14:paraId="3B469B85">
      <w:pPr>
        <w:adjustRightInd/>
        <w:snapToGrid/>
        <w:ind w:firstLine="560"/>
        <w:rPr>
          <w:szCs w:val="28"/>
        </w:rPr>
      </w:pPr>
      <w:r>
        <w:rPr>
          <w:szCs w:val="28"/>
        </w:rPr>
        <w:t>分布于矿区外围北东部一定区域，为灰绿色、灰黑色致密状、斑状、杏仁状及气孔状玄武岩，厚度221～834m。与下伏地层呈不整合接触。</w:t>
      </w:r>
    </w:p>
    <w:p w14:paraId="1EC91356">
      <w:pPr>
        <w:adjustRightInd/>
        <w:snapToGrid/>
        <w:ind w:firstLine="560"/>
        <w:rPr>
          <w:spacing w:val="-20"/>
          <w:szCs w:val="28"/>
        </w:rPr>
      </w:pPr>
      <w:r>
        <w:rPr>
          <w:szCs w:val="28"/>
        </w:rPr>
        <w:t>（3）</w:t>
      </w:r>
      <w:r>
        <w:rPr>
          <w:snapToGrid w:val="0"/>
          <w:szCs w:val="28"/>
        </w:rPr>
        <w:t>二叠系中统栖霞茅口组（P</w:t>
      </w:r>
      <w:r>
        <w:rPr>
          <w:snapToGrid w:val="0"/>
          <w:szCs w:val="28"/>
          <w:vertAlign w:val="subscript"/>
        </w:rPr>
        <w:t>2</w:t>
      </w:r>
      <w:r>
        <w:rPr>
          <w:snapToGrid w:val="0"/>
          <w:szCs w:val="28"/>
        </w:rPr>
        <w:t>q+m）</w:t>
      </w:r>
    </w:p>
    <w:p w14:paraId="22F791CD">
      <w:pPr>
        <w:ind w:firstLine="560"/>
        <w:rPr>
          <w:szCs w:val="21"/>
        </w:rPr>
      </w:pPr>
      <w:r>
        <w:rPr>
          <w:snapToGrid w:val="0"/>
          <w:szCs w:val="28"/>
        </w:rPr>
        <w:t>分布于整个矿区及外围一定区域，为灰白色至深灰色块层状石灰岩，厚度200～605</w:t>
      </w:r>
      <w:r>
        <w:rPr>
          <w:spacing w:val="-20"/>
          <w:szCs w:val="28"/>
        </w:rPr>
        <w:t>m</w:t>
      </w:r>
      <w:r>
        <w:rPr>
          <w:szCs w:val="28"/>
        </w:rPr>
        <w:t>。与下伏地层呈不整合接触。</w:t>
      </w:r>
    </w:p>
    <w:p w14:paraId="0EA12ADC">
      <w:pPr>
        <w:keepNext/>
        <w:keepLines/>
        <w:ind w:firstLine="560"/>
        <w:jc w:val="left"/>
        <w:outlineLvl w:val="3"/>
        <w:rPr>
          <w:rFonts w:eastAsia="黑体"/>
          <w:bCs/>
          <w:szCs w:val="28"/>
        </w:rPr>
      </w:pPr>
      <w:bookmarkStart w:id="263" w:name="_Toc21286"/>
      <w:bookmarkStart w:id="264" w:name="_Toc29148211"/>
      <w:bookmarkStart w:id="265" w:name="_Toc50592425"/>
      <w:r>
        <w:rPr>
          <w:rFonts w:eastAsia="黑体"/>
          <w:bCs/>
          <w:szCs w:val="28"/>
        </w:rPr>
        <w:t>2.3.1.2矿区构造</w:t>
      </w:r>
      <w:bookmarkEnd w:id="263"/>
      <w:bookmarkEnd w:id="264"/>
    </w:p>
    <w:bookmarkEnd w:id="265"/>
    <w:p w14:paraId="57F5F50A">
      <w:pPr>
        <w:ind w:firstLine="560"/>
        <w:rPr>
          <w:szCs w:val="21"/>
        </w:rPr>
      </w:pPr>
      <w:bookmarkStart w:id="266" w:name="_Toc11265"/>
      <w:r>
        <w:rPr>
          <w:szCs w:val="21"/>
        </w:rPr>
        <w:t>矿区总体为一南东倾斜的单斜构造，地层产状97°∠15°。区内断裂不发育，岩层节理较发育，岩石较破碎。矿区地质构造复杂程度为简单类型。</w:t>
      </w:r>
    </w:p>
    <w:p w14:paraId="11C6668A">
      <w:pPr>
        <w:keepNext/>
        <w:keepLines/>
        <w:ind w:firstLine="560"/>
        <w:jc w:val="left"/>
        <w:outlineLvl w:val="3"/>
        <w:rPr>
          <w:rFonts w:eastAsia="黑体"/>
          <w:bCs/>
          <w:szCs w:val="28"/>
        </w:rPr>
      </w:pPr>
      <w:r>
        <w:rPr>
          <w:rFonts w:eastAsia="黑体"/>
          <w:bCs/>
          <w:szCs w:val="28"/>
        </w:rPr>
        <w:t>2.2.1.3矿区岩浆岩活动及变质作用</w:t>
      </w:r>
    </w:p>
    <w:p w14:paraId="035870D0">
      <w:pPr>
        <w:ind w:firstLine="560"/>
        <w:rPr>
          <w:color w:val="000000"/>
          <w:szCs w:val="28"/>
        </w:rPr>
      </w:pPr>
      <w:r>
        <w:rPr>
          <w:snapToGrid w:val="0"/>
          <w:color w:val="000000"/>
          <w:szCs w:val="28"/>
          <w:lang w:bidi="ar"/>
        </w:rPr>
        <w:t>矿区未发现侵入岩体和喷发岩体，岩浆活动不发育</w:t>
      </w:r>
      <w:r>
        <w:rPr>
          <w:color w:val="000000"/>
          <w:szCs w:val="28"/>
        </w:rPr>
        <w:t>。</w:t>
      </w:r>
    </w:p>
    <w:p w14:paraId="72EC8346">
      <w:pPr>
        <w:keepNext/>
        <w:keepLines/>
        <w:ind w:firstLine="560"/>
        <w:jc w:val="left"/>
        <w:outlineLvl w:val="3"/>
        <w:rPr>
          <w:rFonts w:eastAsia="黑体"/>
          <w:bCs/>
          <w:szCs w:val="28"/>
        </w:rPr>
      </w:pPr>
      <w:r>
        <w:rPr>
          <w:rFonts w:eastAsia="黑体"/>
          <w:bCs/>
          <w:szCs w:val="28"/>
        </w:rPr>
        <w:t>2.2.1.4围岩蚀变</w:t>
      </w:r>
    </w:p>
    <w:p w14:paraId="7674F89B">
      <w:pPr>
        <w:ind w:firstLine="560"/>
        <w:rPr>
          <w:color w:val="000000"/>
          <w:szCs w:val="28"/>
        </w:rPr>
      </w:pPr>
      <w:r>
        <w:rPr>
          <w:color w:val="000000"/>
          <w:szCs w:val="28"/>
        </w:rPr>
        <w:t>区内围岩蚀变较弱，未见金属矿化现象。</w:t>
      </w:r>
    </w:p>
    <w:p w14:paraId="00724CF8">
      <w:pPr>
        <w:keepNext/>
        <w:keepLines/>
        <w:ind w:firstLine="560"/>
        <w:jc w:val="left"/>
        <w:outlineLvl w:val="3"/>
        <w:rPr>
          <w:rFonts w:eastAsia="黑体"/>
          <w:bCs/>
          <w:szCs w:val="28"/>
        </w:rPr>
      </w:pPr>
      <w:r>
        <w:rPr>
          <w:rFonts w:eastAsia="黑体"/>
          <w:bCs/>
          <w:szCs w:val="28"/>
        </w:rPr>
        <w:t>2.2.1.5赋矿层位及矿化特征</w:t>
      </w:r>
    </w:p>
    <w:p w14:paraId="3BFF86E8">
      <w:pPr>
        <w:pStyle w:val="3"/>
        <w:spacing w:after="0"/>
        <w:ind w:firstLine="560"/>
        <w:rPr>
          <w:sz w:val="28"/>
          <w:szCs w:val="36"/>
        </w:rPr>
      </w:pPr>
      <w:r>
        <w:rPr>
          <w:color w:val="000000"/>
          <w:sz w:val="28"/>
          <w:szCs w:val="28"/>
        </w:rPr>
        <w:t>矿体赋存于</w:t>
      </w:r>
      <w:r>
        <w:rPr>
          <w:snapToGrid w:val="0"/>
          <w:color w:val="000000"/>
          <w:kern w:val="0"/>
          <w:sz w:val="28"/>
          <w:szCs w:val="28"/>
        </w:rPr>
        <w:t>二叠系中统栖霞茅口组（P</w:t>
      </w:r>
      <w:r>
        <w:rPr>
          <w:snapToGrid w:val="0"/>
          <w:color w:val="000000"/>
          <w:kern w:val="0"/>
          <w:sz w:val="28"/>
          <w:szCs w:val="28"/>
          <w:vertAlign w:val="subscript"/>
        </w:rPr>
        <w:t>2</w:t>
      </w:r>
      <w:r>
        <w:rPr>
          <w:snapToGrid w:val="0"/>
          <w:color w:val="000000"/>
          <w:kern w:val="0"/>
          <w:sz w:val="28"/>
          <w:szCs w:val="28"/>
        </w:rPr>
        <w:t>q+m）</w:t>
      </w:r>
      <w:r>
        <w:rPr>
          <w:color w:val="000000"/>
          <w:sz w:val="28"/>
          <w:szCs w:val="28"/>
        </w:rPr>
        <w:t>地层中，岩性：</w:t>
      </w:r>
      <w:r>
        <w:rPr>
          <w:snapToGrid w:val="0"/>
          <w:color w:val="000000"/>
          <w:kern w:val="0"/>
          <w:sz w:val="28"/>
          <w:szCs w:val="28"/>
        </w:rPr>
        <w:t>灰白色至深灰色块层状石灰岩</w:t>
      </w:r>
      <w:r>
        <w:rPr>
          <w:color w:val="000000"/>
          <w:sz w:val="28"/>
          <w:szCs w:val="28"/>
          <w:lang w:bidi="ar"/>
        </w:rPr>
        <w:t>，</w:t>
      </w:r>
      <w:r>
        <w:rPr>
          <w:snapToGrid w:val="0"/>
          <w:color w:val="000000"/>
          <w:kern w:val="0"/>
          <w:sz w:val="28"/>
          <w:szCs w:val="28"/>
        </w:rPr>
        <w:t>厚度大于200</w:t>
      </w:r>
      <w:r>
        <w:rPr>
          <w:color w:val="000000"/>
          <w:spacing w:val="-20"/>
          <w:kern w:val="0"/>
          <w:sz w:val="28"/>
          <w:szCs w:val="28"/>
        </w:rPr>
        <w:t>m</w:t>
      </w:r>
      <w:r>
        <w:rPr>
          <w:color w:val="000000"/>
          <w:sz w:val="28"/>
          <w:szCs w:val="28"/>
        </w:rPr>
        <w:t>。岩石较破碎、节理裂隙较发育，岩溶较发育，岩溶形态主要是峰丛、洼地、溶洞。岩石表面多溶隙、溶沟等形态，顺层发育，规模较小。</w:t>
      </w:r>
    </w:p>
    <w:bookmarkEnd w:id="266"/>
    <w:p w14:paraId="54E750B1">
      <w:pPr>
        <w:keepNext/>
        <w:keepLines/>
        <w:ind w:firstLine="562"/>
        <w:jc w:val="left"/>
        <w:outlineLvl w:val="2"/>
        <w:rPr>
          <w:b/>
          <w:color w:val="000000"/>
          <w:szCs w:val="32"/>
          <w:lang w:val="en-GB"/>
        </w:rPr>
      </w:pPr>
      <w:r>
        <w:rPr>
          <w:b/>
          <w:color w:val="000000"/>
          <w:szCs w:val="32"/>
          <w:lang w:val="en-GB"/>
        </w:rPr>
        <w:t>2.3.</w:t>
      </w:r>
      <w:r>
        <w:rPr>
          <w:b/>
          <w:color w:val="000000"/>
          <w:szCs w:val="32"/>
        </w:rPr>
        <w:t>2</w:t>
      </w:r>
      <w:r>
        <w:rPr>
          <w:b/>
          <w:color w:val="000000"/>
          <w:szCs w:val="32"/>
          <w:lang w:val="en-GB"/>
        </w:rPr>
        <w:t xml:space="preserve"> </w:t>
      </w:r>
      <w:r>
        <w:rPr>
          <w:b/>
          <w:color w:val="000000"/>
          <w:szCs w:val="32"/>
        </w:rPr>
        <w:t>矿体</w:t>
      </w:r>
      <w:r>
        <w:rPr>
          <w:b/>
          <w:color w:val="000000"/>
          <w:szCs w:val="32"/>
          <w:lang w:val="en-GB"/>
        </w:rPr>
        <w:t>地质</w:t>
      </w:r>
    </w:p>
    <w:p w14:paraId="490F7682">
      <w:pPr>
        <w:keepNext/>
        <w:keepLines/>
        <w:ind w:firstLine="560"/>
        <w:jc w:val="left"/>
        <w:outlineLvl w:val="3"/>
        <w:rPr>
          <w:rFonts w:eastAsia="黑体"/>
          <w:bCs/>
          <w:szCs w:val="28"/>
        </w:rPr>
      </w:pPr>
      <w:r>
        <w:rPr>
          <w:rFonts w:eastAsia="黑体"/>
          <w:bCs/>
          <w:szCs w:val="28"/>
        </w:rPr>
        <w:t>2.3.2.1 矿体特征</w:t>
      </w:r>
    </w:p>
    <w:p w14:paraId="71423BC1">
      <w:pPr>
        <w:ind w:firstLine="560"/>
        <w:rPr>
          <w:color w:val="000000"/>
          <w:szCs w:val="21"/>
        </w:rPr>
      </w:pPr>
      <w:r>
        <w:rPr>
          <w:color w:val="000000"/>
          <w:szCs w:val="21"/>
        </w:rPr>
        <w:t>矿区矿床类型为浅海相沉积型碳酸盐岩，属建材层状非金属矿床。矿体产于</w:t>
      </w:r>
      <w:r>
        <w:rPr>
          <w:snapToGrid w:val="0"/>
          <w:color w:val="000000"/>
          <w:kern w:val="0"/>
          <w:szCs w:val="21"/>
        </w:rPr>
        <w:t>二叠系中统栖霞茅口组（P</w:t>
      </w:r>
      <w:r>
        <w:rPr>
          <w:snapToGrid w:val="0"/>
          <w:color w:val="000000"/>
          <w:kern w:val="0"/>
          <w:szCs w:val="21"/>
          <w:vertAlign w:val="subscript"/>
        </w:rPr>
        <w:t>2</w:t>
      </w:r>
      <w:r>
        <w:rPr>
          <w:snapToGrid w:val="0"/>
          <w:color w:val="000000"/>
          <w:kern w:val="0"/>
          <w:szCs w:val="21"/>
        </w:rPr>
        <w:t>q+m）</w:t>
      </w:r>
      <w:r>
        <w:rPr>
          <w:color w:val="000000"/>
          <w:szCs w:val="21"/>
        </w:rPr>
        <w:t>地层中，岩性：</w:t>
      </w:r>
      <w:r>
        <w:rPr>
          <w:snapToGrid w:val="0"/>
          <w:color w:val="000000"/>
          <w:kern w:val="0"/>
          <w:szCs w:val="21"/>
        </w:rPr>
        <w:t>灰白色至深灰色块层状石灰岩。矿体</w:t>
      </w:r>
      <w:r>
        <w:rPr>
          <w:color w:val="000000"/>
          <w:szCs w:val="21"/>
        </w:rPr>
        <w:t>出露较好，形态简单，层位稳定，呈薄～中厚层状产出。岩石较破碎，节理裂隙较发育，岩溶较发育。</w:t>
      </w:r>
    </w:p>
    <w:p w14:paraId="14FB55D9">
      <w:pPr>
        <w:ind w:firstLine="560"/>
        <w:rPr>
          <w:szCs w:val="21"/>
        </w:rPr>
      </w:pPr>
      <w:r>
        <w:rPr>
          <w:snapToGrid w:val="0"/>
          <w:color w:val="000000"/>
          <w:kern w:val="0"/>
          <w:szCs w:val="21"/>
        </w:rPr>
        <w:t>区内矿体具稳定的含矿层位，矿体</w:t>
      </w:r>
      <w:r>
        <w:rPr>
          <w:color w:val="000000"/>
          <w:szCs w:val="21"/>
        </w:rPr>
        <w:t>分布于整个矿区</w:t>
      </w:r>
      <w:r>
        <w:rPr>
          <w:snapToGrid w:val="0"/>
          <w:color w:val="000000"/>
          <w:kern w:val="0"/>
          <w:szCs w:val="21"/>
        </w:rPr>
        <w:t>范围</w:t>
      </w:r>
      <w:r>
        <w:rPr>
          <w:color w:val="000000"/>
          <w:szCs w:val="21"/>
        </w:rPr>
        <w:t>并延出矿界外，</w:t>
      </w:r>
      <w:r>
        <w:rPr>
          <w:snapToGrid w:val="0"/>
          <w:color w:val="000000"/>
          <w:kern w:val="0"/>
          <w:szCs w:val="21"/>
        </w:rPr>
        <w:t>矿区范围内矿体最长约380m，最宽约350m，</w:t>
      </w:r>
      <w:r>
        <w:rPr>
          <w:color w:val="000000"/>
          <w:szCs w:val="21"/>
        </w:rPr>
        <w:t>产状97°∠15°</w:t>
      </w:r>
      <w:r>
        <w:rPr>
          <w:snapToGrid w:val="0"/>
          <w:color w:val="000000"/>
          <w:kern w:val="0"/>
          <w:szCs w:val="21"/>
        </w:rPr>
        <w:t>，厚度大于200m。矿体沿走向、倾向厚度变化不大，属厚度稳定的矿层</w:t>
      </w:r>
      <w:r>
        <w:rPr>
          <w:szCs w:val="21"/>
        </w:rPr>
        <w:t>。</w:t>
      </w:r>
    </w:p>
    <w:p w14:paraId="09192DB1">
      <w:pPr>
        <w:keepNext/>
        <w:keepLines/>
        <w:ind w:firstLine="560"/>
        <w:jc w:val="left"/>
        <w:outlineLvl w:val="3"/>
        <w:rPr>
          <w:rFonts w:eastAsia="黑体"/>
          <w:bCs/>
          <w:szCs w:val="28"/>
        </w:rPr>
      </w:pPr>
      <w:r>
        <w:rPr>
          <w:rFonts w:eastAsia="黑体"/>
          <w:bCs/>
          <w:szCs w:val="28"/>
        </w:rPr>
        <w:t>2.3.2.2 矿石质量</w:t>
      </w:r>
    </w:p>
    <w:p w14:paraId="25FA9A32">
      <w:pPr>
        <w:adjustRightInd/>
        <w:snapToGrid/>
        <w:ind w:firstLine="560"/>
        <w:rPr>
          <w:snapToGrid w:val="0"/>
          <w:szCs w:val="28"/>
        </w:rPr>
      </w:pPr>
      <w:r>
        <w:rPr>
          <w:snapToGrid w:val="0"/>
          <w:szCs w:val="28"/>
        </w:rPr>
        <w:t>（1）矿石物质组成</w:t>
      </w:r>
    </w:p>
    <w:p w14:paraId="19FA412A">
      <w:pPr>
        <w:adjustRightInd/>
        <w:snapToGrid/>
        <w:ind w:firstLine="560"/>
        <w:rPr>
          <w:snapToGrid w:val="0"/>
          <w:szCs w:val="28"/>
        </w:rPr>
      </w:pPr>
      <w:r>
        <w:rPr>
          <w:snapToGrid w:val="0"/>
          <w:szCs w:val="28"/>
        </w:rPr>
        <w:t>①矿石矿物</w:t>
      </w:r>
    </w:p>
    <w:p w14:paraId="30A2A94C">
      <w:pPr>
        <w:adjustRightInd/>
        <w:snapToGrid/>
        <w:ind w:firstLine="560"/>
        <w:rPr>
          <w:snapToGrid w:val="0"/>
          <w:szCs w:val="28"/>
        </w:rPr>
      </w:pPr>
      <w:r>
        <w:rPr>
          <w:snapToGrid w:val="0"/>
          <w:szCs w:val="28"/>
        </w:rPr>
        <w:t>矿区石灰岩为一套浅海相碳酸盐岩，颜色偏浅，经采样化验，体重2.60t/m</w:t>
      </w:r>
      <w:r>
        <w:rPr>
          <w:snapToGrid w:val="0"/>
          <w:szCs w:val="28"/>
          <w:vertAlign w:val="superscript"/>
        </w:rPr>
        <w:t>3</w:t>
      </w:r>
      <w:r>
        <w:rPr>
          <w:snapToGrid w:val="0"/>
          <w:szCs w:val="28"/>
        </w:rPr>
        <w:t>。矿物成分主要为方解石（碳酸钙），含少量石英、微量泥质物、铁质物等。矿石主要用作建筑石料。</w:t>
      </w:r>
    </w:p>
    <w:p w14:paraId="6B45958F">
      <w:pPr>
        <w:adjustRightInd/>
        <w:snapToGrid/>
        <w:ind w:firstLine="560"/>
        <w:rPr>
          <w:snapToGrid w:val="0"/>
          <w:szCs w:val="28"/>
        </w:rPr>
      </w:pPr>
      <w:r>
        <w:rPr>
          <w:snapToGrid w:val="0"/>
          <w:szCs w:val="28"/>
        </w:rPr>
        <w:t>②矿石的结构构造</w:t>
      </w:r>
    </w:p>
    <w:p w14:paraId="67877DB1">
      <w:pPr>
        <w:adjustRightInd/>
        <w:snapToGrid/>
        <w:ind w:firstLine="560"/>
        <w:rPr>
          <w:snapToGrid w:val="0"/>
          <w:szCs w:val="28"/>
        </w:rPr>
      </w:pPr>
      <w:r>
        <w:rPr>
          <w:snapToGrid w:val="0"/>
          <w:szCs w:val="28"/>
        </w:rPr>
        <w:t>矿石呈层状结构，块状构造，质地均匀。矿石致密、性较脆，风化面呈灰色。</w:t>
      </w:r>
    </w:p>
    <w:p w14:paraId="53EDDB1F">
      <w:pPr>
        <w:adjustRightInd/>
        <w:snapToGrid/>
        <w:ind w:firstLine="560"/>
        <w:rPr>
          <w:snapToGrid w:val="0"/>
          <w:szCs w:val="28"/>
        </w:rPr>
      </w:pPr>
      <w:r>
        <w:rPr>
          <w:snapToGrid w:val="0"/>
          <w:szCs w:val="28"/>
        </w:rPr>
        <w:t>（2）矿石风（氧）化特征</w:t>
      </w:r>
    </w:p>
    <w:p w14:paraId="66FC1CB6">
      <w:pPr>
        <w:adjustRightInd/>
        <w:snapToGrid/>
        <w:ind w:firstLine="560"/>
        <w:rPr>
          <w:szCs w:val="28"/>
        </w:rPr>
      </w:pPr>
      <w:r>
        <w:rPr>
          <w:snapToGrid w:val="0"/>
          <w:szCs w:val="28"/>
        </w:rPr>
        <w:t>矿区内矿体地表0～3m内氧化程度中等</w:t>
      </w:r>
      <w:r>
        <w:rPr>
          <w:szCs w:val="28"/>
        </w:rPr>
        <w:t>。</w:t>
      </w:r>
    </w:p>
    <w:p w14:paraId="70E653E5">
      <w:pPr>
        <w:adjustRightInd/>
        <w:snapToGrid/>
        <w:ind w:firstLine="560"/>
        <w:rPr>
          <w:szCs w:val="28"/>
        </w:rPr>
      </w:pPr>
      <w:r>
        <w:rPr>
          <w:szCs w:val="28"/>
        </w:rPr>
        <w:t>（3）矿石类型及品级</w:t>
      </w:r>
    </w:p>
    <w:p w14:paraId="4F2D79F7">
      <w:pPr>
        <w:adjustRightInd/>
        <w:snapToGrid/>
        <w:ind w:firstLine="560"/>
        <w:rPr>
          <w:szCs w:val="28"/>
        </w:rPr>
      </w:pPr>
      <w:r>
        <w:rPr>
          <w:szCs w:val="28"/>
        </w:rPr>
        <w:t>矿区矿石自然类型为沉积岩，工业类型属建材层状非金属矿床。</w:t>
      </w:r>
    </w:p>
    <w:p w14:paraId="1EACE9A6">
      <w:pPr>
        <w:adjustRightInd/>
        <w:snapToGrid/>
        <w:ind w:firstLine="560"/>
        <w:rPr>
          <w:szCs w:val="28"/>
        </w:rPr>
      </w:pPr>
      <w:r>
        <w:rPr>
          <w:szCs w:val="28"/>
        </w:rPr>
        <w:t>矿山所产矿石主要用于公路、民用建筑等基础设施建设。据化学分析资料，矿石CaO含量较高，达52.07%。矿石品级为一级品，属较好的建筑石料。</w:t>
      </w:r>
    </w:p>
    <w:p w14:paraId="6A8C54E0">
      <w:pPr>
        <w:adjustRightInd/>
        <w:snapToGrid/>
        <w:ind w:firstLine="560"/>
        <w:rPr>
          <w:szCs w:val="28"/>
        </w:rPr>
      </w:pPr>
      <w:r>
        <w:rPr>
          <w:szCs w:val="28"/>
        </w:rPr>
        <w:t>（4）矿体围岩及夹石</w:t>
      </w:r>
    </w:p>
    <w:p w14:paraId="24A111D5">
      <w:pPr>
        <w:adjustRightInd/>
        <w:snapToGrid/>
        <w:ind w:firstLine="560"/>
        <w:rPr>
          <w:szCs w:val="28"/>
        </w:rPr>
      </w:pPr>
      <w:r>
        <w:rPr>
          <w:szCs w:val="28"/>
        </w:rPr>
        <w:t>矿区二叠系中统栖霞茅口组（P</w:t>
      </w:r>
      <w:r>
        <w:rPr>
          <w:szCs w:val="28"/>
          <w:vertAlign w:val="subscript"/>
        </w:rPr>
        <w:t>2</w:t>
      </w:r>
      <w:r>
        <w:rPr>
          <w:szCs w:val="28"/>
        </w:rPr>
        <w:t>q+m）灰岩上覆岩层为二叠系上统峨眉山玄武岩组(P</w:t>
      </w:r>
      <w:r>
        <w:rPr>
          <w:szCs w:val="28"/>
          <w:vertAlign w:val="subscript"/>
        </w:rPr>
        <w:t>3</w:t>
      </w:r>
      <w:r>
        <w:rPr>
          <w:szCs w:val="28"/>
        </w:rPr>
        <w:t>β）灰绿色、灰黑色致密状、斑状、杏仁状及气孔状玄武岩，厚度221～834m。下伏岩层为二叠系中统梁山组（P</w:t>
      </w:r>
      <w:r>
        <w:rPr>
          <w:szCs w:val="28"/>
          <w:vertAlign w:val="subscript"/>
        </w:rPr>
        <w:t>2</w:t>
      </w:r>
      <w:r>
        <w:rPr>
          <w:szCs w:val="28"/>
        </w:rPr>
        <w:t>l）深灰色粘土岩、炭质页岩夹粉砂岩及薄煤层，厚度1～20m。另外，所采矿体地表赋存第四系黄灰色、灰黑色残坡积粘土、含砾粘土，厚度0～3m。矿体无夹石。</w:t>
      </w:r>
    </w:p>
    <w:p w14:paraId="5235E6E7">
      <w:pPr>
        <w:adjustRightInd/>
        <w:snapToGrid/>
        <w:ind w:firstLine="560"/>
        <w:rPr>
          <w:szCs w:val="28"/>
        </w:rPr>
      </w:pPr>
      <w:r>
        <w:rPr>
          <w:szCs w:val="28"/>
        </w:rPr>
        <w:t>（5）共（伴）生矿产</w:t>
      </w:r>
    </w:p>
    <w:p w14:paraId="78E8138A">
      <w:pPr>
        <w:adjustRightInd/>
        <w:snapToGrid/>
        <w:ind w:firstLine="560"/>
        <w:rPr>
          <w:szCs w:val="28"/>
        </w:rPr>
      </w:pPr>
      <w:r>
        <w:rPr>
          <w:szCs w:val="28"/>
        </w:rPr>
        <w:t>矿区矿床无共（伴）生矿产。</w:t>
      </w:r>
    </w:p>
    <w:p w14:paraId="7A429D59">
      <w:pPr>
        <w:adjustRightInd/>
        <w:snapToGrid/>
        <w:ind w:firstLine="560"/>
        <w:rPr>
          <w:szCs w:val="28"/>
        </w:rPr>
      </w:pPr>
      <w:r>
        <w:rPr>
          <w:szCs w:val="28"/>
        </w:rPr>
        <w:t>（6）矿石加工技术性能</w:t>
      </w:r>
    </w:p>
    <w:p w14:paraId="689B6839">
      <w:pPr>
        <w:adjustRightInd/>
        <w:snapToGrid/>
        <w:ind w:firstLine="560"/>
        <w:rPr>
          <w:szCs w:val="28"/>
        </w:rPr>
      </w:pPr>
      <w:r>
        <w:rPr>
          <w:szCs w:val="28"/>
        </w:rPr>
        <w:t>根据矿石化验报告，矿石密度（体重）为2.60g/cm</w:t>
      </w:r>
      <w:r>
        <w:rPr>
          <w:szCs w:val="28"/>
          <w:vertAlign w:val="superscript"/>
        </w:rPr>
        <w:t>3</w:t>
      </w:r>
      <w:r>
        <w:rPr>
          <w:szCs w:val="28"/>
        </w:rPr>
        <w:t>（t/m</w:t>
      </w:r>
      <w:r>
        <w:rPr>
          <w:szCs w:val="28"/>
          <w:vertAlign w:val="superscript"/>
        </w:rPr>
        <w:t>3</w:t>
      </w:r>
      <w:r>
        <w:rPr>
          <w:szCs w:val="28"/>
        </w:rPr>
        <w:t>）。</w:t>
      </w:r>
    </w:p>
    <w:p w14:paraId="2CFA4D84">
      <w:pPr>
        <w:ind w:firstLine="560"/>
        <w:rPr>
          <w:szCs w:val="21"/>
        </w:rPr>
      </w:pPr>
      <w:r>
        <w:rPr>
          <w:szCs w:val="28"/>
        </w:rPr>
        <w:t>矿山储量核实工作未进行矿石物理力学性质试验，参照开采同类矿体的邻近矿山资料，矿石饱和单轴抗压强度可达56MPa，抗压强度较高，其质量能满足民用建筑用石料和砂料的要求</w:t>
      </w:r>
      <w:r>
        <w:rPr>
          <w:szCs w:val="21"/>
        </w:rPr>
        <w:t>。</w:t>
      </w:r>
    </w:p>
    <w:p w14:paraId="197C8FA1">
      <w:pPr>
        <w:keepNext/>
        <w:keepLines/>
        <w:ind w:firstLine="562"/>
        <w:jc w:val="left"/>
        <w:outlineLvl w:val="2"/>
        <w:rPr>
          <w:b/>
          <w:color w:val="000000"/>
          <w:szCs w:val="32"/>
        </w:rPr>
      </w:pPr>
      <w:r>
        <w:rPr>
          <w:b/>
          <w:color w:val="000000"/>
          <w:szCs w:val="32"/>
          <w:lang w:val="en-GB"/>
        </w:rPr>
        <w:t>2.3.</w:t>
      </w:r>
      <w:r>
        <w:rPr>
          <w:b/>
          <w:color w:val="000000"/>
          <w:szCs w:val="32"/>
        </w:rPr>
        <w:t>3</w:t>
      </w:r>
      <w:r>
        <w:rPr>
          <w:b/>
          <w:color w:val="000000"/>
          <w:szCs w:val="32"/>
          <w:lang w:val="en-GB"/>
        </w:rPr>
        <w:t xml:space="preserve"> </w:t>
      </w:r>
      <w:r>
        <w:rPr>
          <w:b/>
          <w:color w:val="000000"/>
          <w:szCs w:val="32"/>
        </w:rPr>
        <w:t>开采技术条件</w:t>
      </w:r>
    </w:p>
    <w:p w14:paraId="5A9EE2B0">
      <w:pPr>
        <w:keepNext/>
        <w:keepLines/>
        <w:ind w:firstLine="560"/>
        <w:jc w:val="left"/>
        <w:outlineLvl w:val="3"/>
        <w:rPr>
          <w:rFonts w:eastAsia="黑体"/>
          <w:bCs/>
          <w:szCs w:val="28"/>
        </w:rPr>
      </w:pPr>
      <w:r>
        <w:rPr>
          <w:rFonts w:eastAsia="黑体"/>
          <w:bCs/>
          <w:szCs w:val="28"/>
        </w:rPr>
        <w:t>2.3.3.1 水文地质条件</w:t>
      </w:r>
    </w:p>
    <w:p w14:paraId="1C6B538E">
      <w:pPr>
        <w:adjustRightInd/>
        <w:snapToGrid/>
        <w:ind w:firstLine="560"/>
        <w:rPr>
          <w:snapToGrid w:val="0"/>
          <w:szCs w:val="28"/>
        </w:rPr>
      </w:pPr>
      <w:r>
        <w:rPr>
          <w:snapToGrid w:val="0"/>
          <w:szCs w:val="28"/>
        </w:rPr>
        <w:t>（1）</w:t>
      </w:r>
      <w:bookmarkStart w:id="267" w:name="_Hlk169872569"/>
      <w:r>
        <w:rPr>
          <w:snapToGrid w:val="0"/>
          <w:szCs w:val="28"/>
        </w:rPr>
        <w:t>矿区水文地质条件</w:t>
      </w:r>
    </w:p>
    <w:p w14:paraId="5C712B5A">
      <w:pPr>
        <w:adjustRightInd/>
        <w:snapToGrid/>
        <w:ind w:firstLine="560"/>
        <w:rPr>
          <w:snapToGrid w:val="0"/>
          <w:szCs w:val="28"/>
          <w:lang w:val="zh-CN"/>
        </w:rPr>
      </w:pPr>
      <w:r>
        <w:rPr>
          <w:snapToGrid w:val="0"/>
          <w:szCs w:val="28"/>
        </w:rPr>
        <w:t>矿区地势相对较高，地形有利于露天开采。矿区地表水系不发育，但矿区位于当地侵蚀基准面以上，地表坡形有利于大气降水的排放，矿床充水主要为季节性大气降雨的下渗，开采范围内裂隙水可通过采场边坡及斜坡自然排泄。地下水位埋藏较深，矿山最低开采标高2700m，资源储量均分布在当地侵蚀基准面（标高2610m）以上，大气降水是区内采场、矿坑积水的主要来源，且部分降水易通过岩石裂隙渗透至地下转为地下水。虽然如此，矿山在开采过程中仍应完善防洪排水系统，以免山洪、地下水对采矿造成影响</w:t>
      </w:r>
      <w:r>
        <w:rPr>
          <w:snapToGrid w:val="0"/>
          <w:szCs w:val="28"/>
          <w:lang w:val="zh-CN"/>
        </w:rPr>
        <w:t>。</w:t>
      </w:r>
    </w:p>
    <w:bookmarkEnd w:id="267"/>
    <w:p w14:paraId="7C990172">
      <w:pPr>
        <w:adjustRightInd/>
        <w:snapToGrid/>
        <w:ind w:firstLine="560"/>
        <w:rPr>
          <w:snapToGrid w:val="0"/>
          <w:szCs w:val="28"/>
        </w:rPr>
      </w:pPr>
      <w:r>
        <w:rPr>
          <w:snapToGrid w:val="0"/>
          <w:szCs w:val="28"/>
        </w:rPr>
        <w:t>（2）矿区含（隔）水层</w:t>
      </w:r>
    </w:p>
    <w:p w14:paraId="14D965E2">
      <w:pPr>
        <w:adjustRightInd/>
        <w:snapToGrid/>
        <w:ind w:firstLine="560"/>
        <w:rPr>
          <w:snapToGrid w:val="0"/>
          <w:szCs w:val="28"/>
        </w:rPr>
      </w:pPr>
      <w:r>
        <w:rPr>
          <w:snapToGrid w:val="0"/>
          <w:szCs w:val="28"/>
        </w:rPr>
        <w:t>根据地下水赋存条件、运移情况、水理性质、富水性和水力性质，区内地下水可划分为以下两种类型。</w:t>
      </w:r>
    </w:p>
    <w:p w14:paraId="73263F21">
      <w:pPr>
        <w:adjustRightInd/>
        <w:snapToGrid/>
        <w:ind w:firstLine="560"/>
        <w:rPr>
          <w:snapToGrid w:val="0"/>
          <w:szCs w:val="28"/>
        </w:rPr>
      </w:pPr>
      <w:r>
        <w:rPr>
          <w:snapToGrid w:val="0"/>
          <w:szCs w:val="28"/>
        </w:rPr>
        <w:t>①第四系（Q）孔隙水含水层：分布于矿区较平坦地带、沟壑和地表出露岩石间，为黄灰色、褐红色残坡积、冲洪积粘土、砂、砾、碎石，厚度0～3m，结构松散，孔隙度大，透水性强，含水层薄，水位埋藏浅，其直接接受大气降水的补给。属季节性大气降水短期含水层，在调查时未发现有地表泉水点。其含水层赋水性与空隙、裂隙发育程度及连通性密切相关，由于矿区内的第四系松散堆积层孔隙较大，地形坡度较大，堆积层难以长久赋存雨水，富水性弱，对采矿活动无较大充水影响。</w:t>
      </w:r>
    </w:p>
    <w:p w14:paraId="1D50BF64">
      <w:pPr>
        <w:adjustRightInd/>
        <w:snapToGrid/>
        <w:ind w:firstLine="560"/>
        <w:rPr>
          <w:snapToGrid w:val="0"/>
          <w:szCs w:val="28"/>
          <w:lang w:val="zh-CN"/>
        </w:rPr>
      </w:pPr>
      <w:r>
        <w:rPr>
          <w:snapToGrid w:val="0"/>
          <w:szCs w:val="28"/>
        </w:rPr>
        <w:t>②岩溶裂隙含水层：为矿区二叠系中统栖霞茅口组（P</w:t>
      </w:r>
      <w:r>
        <w:rPr>
          <w:snapToGrid w:val="0"/>
          <w:szCs w:val="28"/>
          <w:vertAlign w:val="subscript"/>
        </w:rPr>
        <w:t>2</w:t>
      </w:r>
      <w:r>
        <w:rPr>
          <w:snapToGrid w:val="0"/>
          <w:szCs w:val="28"/>
        </w:rPr>
        <w:t>q+m）灰岩，含水层以岩石中的节理裂隙、溶蚀孔隙及地下溶洞为地下水的赋存场所及运移通道，富水性及透水性取决于节理裂隙、溶蚀孔隙的分布与连通情况，具各向异性，富水性总体中等～强，水质类型为重碳酸钙型。岩溶水补给来源于大气降水及孔隙水下渗，沿节理裂隙与溶蚀孔隙运移。矿区位置较高，地下水埋深较大，区内含水层富水性较弱</w:t>
      </w:r>
      <w:r>
        <w:rPr>
          <w:snapToGrid w:val="0"/>
          <w:szCs w:val="28"/>
          <w:lang w:val="zh-CN"/>
        </w:rPr>
        <w:t>。</w:t>
      </w:r>
    </w:p>
    <w:p w14:paraId="3DCB101B">
      <w:pPr>
        <w:adjustRightInd/>
        <w:snapToGrid/>
        <w:ind w:firstLine="560"/>
        <w:rPr>
          <w:snapToGrid w:val="0"/>
          <w:szCs w:val="28"/>
        </w:rPr>
      </w:pPr>
      <w:r>
        <w:rPr>
          <w:snapToGrid w:val="0"/>
          <w:szCs w:val="28"/>
        </w:rPr>
        <w:t>（3）断层破碎带对矿床开采的影响</w:t>
      </w:r>
    </w:p>
    <w:p w14:paraId="3235BF2A">
      <w:pPr>
        <w:adjustRightInd/>
        <w:snapToGrid/>
        <w:ind w:firstLine="560"/>
        <w:rPr>
          <w:snapToGrid w:val="0"/>
          <w:szCs w:val="28"/>
        </w:rPr>
      </w:pPr>
      <w:r>
        <w:rPr>
          <w:snapToGrid w:val="0"/>
          <w:szCs w:val="28"/>
        </w:rPr>
        <w:t>矿区构造简单，断裂不发育。矿山开采所涉及的岩体及围岩节理裂隙较发育，但富水性较弱，对矿山开采无较大充水影响。</w:t>
      </w:r>
    </w:p>
    <w:p w14:paraId="52F3828D">
      <w:pPr>
        <w:adjustRightInd/>
        <w:snapToGrid/>
        <w:ind w:firstLine="560"/>
        <w:rPr>
          <w:snapToGrid w:val="0"/>
          <w:szCs w:val="28"/>
        </w:rPr>
      </w:pPr>
      <w:r>
        <w:rPr>
          <w:snapToGrid w:val="0"/>
          <w:szCs w:val="28"/>
        </w:rPr>
        <w:t>（4）地表径流对矿床露天开采的影响</w:t>
      </w:r>
    </w:p>
    <w:p w14:paraId="62E44252">
      <w:pPr>
        <w:adjustRightInd/>
        <w:snapToGrid/>
        <w:ind w:firstLine="560"/>
        <w:rPr>
          <w:snapToGrid w:val="0"/>
          <w:szCs w:val="28"/>
        </w:rPr>
      </w:pPr>
      <w:r>
        <w:rPr>
          <w:snapToGrid w:val="0"/>
          <w:szCs w:val="28"/>
        </w:rPr>
        <w:t>矿区处于地下水补给、径流区，地下水径流方向由北至南。</w:t>
      </w:r>
    </w:p>
    <w:p w14:paraId="69D14197">
      <w:pPr>
        <w:adjustRightInd/>
        <w:snapToGrid/>
        <w:ind w:firstLine="560"/>
        <w:rPr>
          <w:snapToGrid w:val="0"/>
          <w:szCs w:val="28"/>
        </w:rPr>
      </w:pPr>
      <w:r>
        <w:rPr>
          <w:snapToGrid w:val="0"/>
          <w:szCs w:val="28"/>
        </w:rPr>
        <w:t>区内大气降水后，大部分通过采场边坡及斜坡向溪沟自然排泄，自然排泄条件良好；部分渗入地下成为地下水。地表水及地下水对采矿活动无较大影响。</w:t>
      </w:r>
    </w:p>
    <w:p w14:paraId="1BCE3D16">
      <w:pPr>
        <w:adjustRightInd/>
        <w:snapToGrid/>
        <w:ind w:firstLine="560"/>
        <w:rPr>
          <w:snapToGrid w:val="0"/>
          <w:szCs w:val="28"/>
        </w:rPr>
      </w:pPr>
      <w:r>
        <w:rPr>
          <w:snapToGrid w:val="0"/>
          <w:szCs w:val="28"/>
        </w:rPr>
        <w:t>（5）地表水对矿床开采的影响</w:t>
      </w:r>
    </w:p>
    <w:p w14:paraId="520A38CD">
      <w:pPr>
        <w:adjustRightInd/>
        <w:snapToGrid/>
        <w:ind w:firstLine="560"/>
        <w:rPr>
          <w:snapToGrid w:val="0"/>
          <w:szCs w:val="28"/>
        </w:rPr>
      </w:pPr>
      <w:r>
        <w:rPr>
          <w:snapToGrid w:val="0"/>
          <w:szCs w:val="28"/>
        </w:rPr>
        <w:t>矿区处于地下水补给、径流区，地下水径流方向近于由北至南进行径流。</w:t>
      </w:r>
    </w:p>
    <w:p w14:paraId="6D31F912">
      <w:pPr>
        <w:adjustRightInd/>
        <w:snapToGrid/>
        <w:ind w:firstLine="560"/>
        <w:rPr>
          <w:snapToGrid w:val="0"/>
          <w:szCs w:val="28"/>
        </w:rPr>
      </w:pPr>
      <w:r>
        <w:rPr>
          <w:snapToGrid w:val="0"/>
          <w:szCs w:val="28"/>
        </w:rPr>
        <w:t>区内大气降水后，大部分通过采场边坡及斜坡向矿区东部溪沟自然排泄，自然排泄条件良好；部分渗入地下成为地下水，使其径流速率加快。地表水及地下水对采矿活动无较大充水影响。</w:t>
      </w:r>
    </w:p>
    <w:p w14:paraId="312D1742">
      <w:pPr>
        <w:adjustRightInd/>
        <w:snapToGrid/>
        <w:ind w:firstLine="560"/>
        <w:rPr>
          <w:snapToGrid w:val="0"/>
          <w:szCs w:val="28"/>
        </w:rPr>
      </w:pPr>
      <w:r>
        <w:rPr>
          <w:snapToGrid w:val="0"/>
          <w:szCs w:val="28"/>
        </w:rPr>
        <w:t>（6）矿区供水</w:t>
      </w:r>
    </w:p>
    <w:p w14:paraId="29E21239">
      <w:pPr>
        <w:adjustRightInd/>
        <w:snapToGrid/>
        <w:ind w:firstLine="560"/>
        <w:rPr>
          <w:snapToGrid w:val="0"/>
          <w:szCs w:val="28"/>
        </w:rPr>
      </w:pPr>
      <w:r>
        <w:rPr>
          <w:snapToGrid w:val="0"/>
          <w:szCs w:val="28"/>
        </w:rPr>
        <w:t>矿区生产、生活用水引自附近官寨小组，取水点距矿区约350m。</w:t>
      </w:r>
    </w:p>
    <w:p w14:paraId="60E1E6FA">
      <w:pPr>
        <w:adjustRightInd/>
        <w:snapToGrid/>
        <w:ind w:firstLine="560"/>
        <w:rPr>
          <w:snapToGrid w:val="0"/>
          <w:szCs w:val="28"/>
        </w:rPr>
      </w:pPr>
      <w:r>
        <w:rPr>
          <w:snapToGrid w:val="0"/>
          <w:szCs w:val="28"/>
        </w:rPr>
        <w:t>（7）水文地质条件小结</w:t>
      </w:r>
    </w:p>
    <w:p w14:paraId="5566EF98">
      <w:pPr>
        <w:adjustRightInd/>
        <w:snapToGrid/>
        <w:ind w:firstLine="560"/>
        <w:rPr>
          <w:snapToGrid w:val="0"/>
          <w:szCs w:val="28"/>
        </w:rPr>
      </w:pPr>
      <w:r>
        <w:rPr>
          <w:snapToGrid w:val="0"/>
          <w:szCs w:val="28"/>
        </w:rPr>
        <w:t>矿床为露天开采，地下水埋藏较深，对矿床无较大充水影响；矿床充水主要为季节性大气降雨的下渗，开采范围内裂隙水可通过采场边坡及斜坡自然排泄。因此，地表水及地下水对采矿活动无较大充水影响。</w:t>
      </w:r>
    </w:p>
    <w:p w14:paraId="69026DD6">
      <w:pPr>
        <w:ind w:firstLine="560"/>
        <w:rPr>
          <w:szCs w:val="21"/>
        </w:rPr>
      </w:pPr>
      <w:r>
        <w:rPr>
          <w:snapToGrid w:val="0"/>
          <w:szCs w:val="28"/>
        </w:rPr>
        <w:t>矿床水文地质勘查类型属以岩溶裂隙含水层直接充水为主的简单类型</w:t>
      </w:r>
      <w:r>
        <w:rPr>
          <w:szCs w:val="21"/>
        </w:rPr>
        <w:t>。</w:t>
      </w:r>
    </w:p>
    <w:p w14:paraId="1D3C9FDC">
      <w:pPr>
        <w:keepNext/>
        <w:keepLines/>
        <w:ind w:firstLine="560"/>
        <w:jc w:val="left"/>
        <w:outlineLvl w:val="3"/>
        <w:rPr>
          <w:bCs/>
          <w:szCs w:val="21"/>
        </w:rPr>
      </w:pPr>
      <w:r>
        <w:rPr>
          <w:rFonts w:eastAsia="黑体"/>
          <w:bCs/>
          <w:szCs w:val="28"/>
        </w:rPr>
        <w:t>2.3.3.2 工程地质条件</w:t>
      </w:r>
    </w:p>
    <w:p w14:paraId="39CD6ABA">
      <w:pPr>
        <w:snapToGrid/>
        <w:ind w:firstLine="560"/>
        <w:rPr>
          <w:szCs w:val="28"/>
        </w:rPr>
      </w:pPr>
      <w:r>
        <w:rPr>
          <w:szCs w:val="28"/>
        </w:rPr>
        <w:t>（1）</w:t>
      </w:r>
      <w:bookmarkStart w:id="268" w:name="_Hlk169872622"/>
      <w:r>
        <w:rPr>
          <w:szCs w:val="28"/>
        </w:rPr>
        <w:t>矿区工程地质岩组</w:t>
      </w:r>
      <w:bookmarkEnd w:id="268"/>
      <w:r>
        <w:rPr>
          <w:szCs w:val="28"/>
        </w:rPr>
        <w:t>特征</w:t>
      </w:r>
    </w:p>
    <w:p w14:paraId="18843711">
      <w:pPr>
        <w:snapToGrid/>
        <w:ind w:firstLine="560"/>
        <w:rPr>
          <w:szCs w:val="28"/>
        </w:rPr>
      </w:pPr>
      <w:r>
        <w:rPr>
          <w:szCs w:val="28"/>
        </w:rPr>
        <w:t>依据各类岩（土）体的成因、岩体结构类型，将矿区岩（土）体划分为松散岩类极软岩组、层状岩类软硬相间岩组、层状岩类较坚硬岩组两类，现分述如下：</w:t>
      </w:r>
    </w:p>
    <w:p w14:paraId="23414452">
      <w:pPr>
        <w:snapToGrid/>
        <w:ind w:firstLine="560"/>
        <w:rPr>
          <w:szCs w:val="28"/>
        </w:rPr>
      </w:pPr>
      <w:r>
        <w:rPr>
          <w:szCs w:val="28"/>
        </w:rPr>
        <w:t>①松散岩类极软岩组</w:t>
      </w:r>
    </w:p>
    <w:p w14:paraId="19E6B9A9">
      <w:pPr>
        <w:snapToGrid/>
        <w:ind w:firstLine="560"/>
        <w:rPr>
          <w:szCs w:val="28"/>
        </w:rPr>
      </w:pPr>
      <w:r>
        <w:rPr>
          <w:szCs w:val="28"/>
        </w:rPr>
        <w:t>为第四系黄灰色、褐红色残坡积、冲洪积粘土、砂、砾、碎石，厚度0～3m，该岩组在露天开采过程中容易垮塌，特别在雨季容易产生坍塌、滑坡。矿床开采过程中，应加强对不良工程地质现象的监控、治理。</w:t>
      </w:r>
    </w:p>
    <w:p w14:paraId="436D40E4">
      <w:pPr>
        <w:snapToGrid/>
        <w:ind w:firstLine="560"/>
        <w:rPr>
          <w:szCs w:val="28"/>
        </w:rPr>
      </w:pPr>
      <w:r>
        <w:rPr>
          <w:szCs w:val="28"/>
        </w:rPr>
        <w:t>②层状岩类较坚硬岩组</w:t>
      </w:r>
    </w:p>
    <w:p w14:paraId="515F4305">
      <w:pPr>
        <w:snapToGrid/>
        <w:ind w:firstLine="560"/>
        <w:rPr>
          <w:szCs w:val="28"/>
        </w:rPr>
      </w:pPr>
      <w:r>
        <w:rPr>
          <w:szCs w:val="28"/>
        </w:rPr>
        <w:t>为二叠系中统栖霞茅口组（P</w:t>
      </w:r>
      <w:r>
        <w:rPr>
          <w:szCs w:val="28"/>
          <w:vertAlign w:val="subscript"/>
        </w:rPr>
        <w:t>2</w:t>
      </w:r>
      <w:r>
        <w:rPr>
          <w:szCs w:val="28"/>
        </w:rPr>
        <w:t>q+m）灰岩，岩石较破碎、节理裂隙较发育。实践表明，岩石未风化时较坚硬、致密、稳定，岩石风化后，多成片（块）状、细碎屑状崩落，但矿区岩石总体风化程度较低，不易形成工程地质危害。</w:t>
      </w:r>
    </w:p>
    <w:p w14:paraId="4E9AE8A3">
      <w:pPr>
        <w:snapToGrid/>
        <w:ind w:firstLine="560"/>
        <w:rPr>
          <w:szCs w:val="28"/>
        </w:rPr>
      </w:pPr>
      <w:r>
        <w:rPr>
          <w:szCs w:val="28"/>
        </w:rPr>
        <w:t>（2）断层破碎带及节理裂隙工程地质特征</w:t>
      </w:r>
    </w:p>
    <w:p w14:paraId="27DB9C8B">
      <w:pPr>
        <w:snapToGrid/>
        <w:ind w:firstLine="560"/>
        <w:rPr>
          <w:szCs w:val="28"/>
        </w:rPr>
      </w:pPr>
      <w:r>
        <w:rPr>
          <w:szCs w:val="28"/>
        </w:rPr>
        <w:t>矿区构造复杂程度简单，总体为一单斜构造，区内石灰岩地层产状97°∠15°，呈中-厚层状、块状产出，致密坚硬，力学强度高，抗风化能力强。矿区岩石节理裂隙较发育。在暴雨、地震、采场边帮不利组合条件下，易引起采场边坡滑坡或崩塌、掉块等现象。灰岩岩溶中等发育。</w:t>
      </w:r>
    </w:p>
    <w:p w14:paraId="2F11467B">
      <w:pPr>
        <w:snapToGrid/>
        <w:ind w:firstLine="560"/>
        <w:rPr>
          <w:szCs w:val="28"/>
        </w:rPr>
      </w:pPr>
      <w:r>
        <w:rPr>
          <w:szCs w:val="28"/>
        </w:rPr>
        <w:t>（3）工程地质条件小结</w:t>
      </w:r>
    </w:p>
    <w:p w14:paraId="44C9A92F">
      <w:pPr>
        <w:snapToGrid/>
        <w:ind w:firstLine="560"/>
        <w:rPr>
          <w:szCs w:val="28"/>
        </w:rPr>
      </w:pPr>
      <w:r>
        <w:rPr>
          <w:szCs w:val="28"/>
        </w:rPr>
        <w:t>矿区矿体主要为层状岩类较坚硬岩组，岩石强度较高，岩层倾角较大，岩溶节理裂隙较发育。需加强岩溶探测和采场边坡等的监测、监控工作，以免发生岩溶塌陷和采场边坡滑坡、崩塌、掉石等。</w:t>
      </w:r>
    </w:p>
    <w:p w14:paraId="076C5B60">
      <w:pPr>
        <w:ind w:firstLine="560"/>
        <w:rPr>
          <w:szCs w:val="21"/>
          <w:lang w:bidi="ar"/>
        </w:rPr>
      </w:pPr>
      <w:r>
        <w:rPr>
          <w:szCs w:val="28"/>
        </w:rPr>
        <w:t>矿床工程地质勘查类型属以层状岩类较坚硬岩组为主的中等类型</w:t>
      </w:r>
      <w:r>
        <w:rPr>
          <w:szCs w:val="21"/>
        </w:rPr>
        <w:t>。</w:t>
      </w:r>
    </w:p>
    <w:p w14:paraId="62FA298B">
      <w:pPr>
        <w:keepNext/>
        <w:keepLines/>
        <w:ind w:firstLine="560"/>
        <w:jc w:val="left"/>
        <w:outlineLvl w:val="3"/>
        <w:rPr>
          <w:rFonts w:eastAsia="黑体"/>
          <w:bCs/>
          <w:szCs w:val="28"/>
        </w:rPr>
      </w:pPr>
      <w:r>
        <w:rPr>
          <w:rFonts w:eastAsia="黑体"/>
          <w:bCs/>
          <w:szCs w:val="28"/>
        </w:rPr>
        <w:t>2.3.3.3 环境地质条件</w:t>
      </w:r>
    </w:p>
    <w:p w14:paraId="3218B820">
      <w:pPr>
        <w:adjustRightInd/>
        <w:snapToGrid/>
        <w:ind w:firstLine="560"/>
        <w:rPr>
          <w:szCs w:val="28"/>
        </w:rPr>
      </w:pPr>
      <w:r>
        <w:rPr>
          <w:szCs w:val="28"/>
        </w:rPr>
        <w:t>（1）矿区地震及区域稳定性</w:t>
      </w:r>
    </w:p>
    <w:p w14:paraId="795C7C69">
      <w:pPr>
        <w:adjustRightInd/>
        <w:snapToGrid/>
        <w:ind w:firstLine="560"/>
        <w:rPr>
          <w:szCs w:val="28"/>
        </w:rPr>
      </w:pPr>
      <w:r>
        <w:rPr>
          <w:szCs w:val="28"/>
        </w:rPr>
        <w:t>昭通市位于我国地震活动最强的南北向地震带东翼，境内地震活动频繁，断裂密布，地质构造复杂，近百年来发生过破坏性地震三十多次。地震烈度区划规定地震设防烈度之高为全国少有。</w:t>
      </w:r>
    </w:p>
    <w:p w14:paraId="6C1DD1B6">
      <w:pPr>
        <w:adjustRightInd/>
        <w:snapToGrid/>
        <w:ind w:firstLine="560"/>
        <w:rPr>
          <w:szCs w:val="28"/>
        </w:rPr>
      </w:pPr>
      <w:r>
        <w:rPr>
          <w:szCs w:val="28"/>
        </w:rPr>
        <w:t>根据《中国地震动参数区划图》（GB18306-2015）和《建筑抗震设计标准（2024年版）》（GB/T50011-2010），矿区当地为抗震设防烈度8度区，地震动峰值加速度0.10g，地震动反应谱特征周期0.45s，设计地震分组为第三组。根据“区域地壳稳定性分区图”，矿区处于地壳次稳定区。</w:t>
      </w:r>
    </w:p>
    <w:p w14:paraId="4F031FD6">
      <w:pPr>
        <w:adjustRightInd/>
        <w:snapToGrid/>
        <w:ind w:firstLine="560"/>
        <w:rPr>
          <w:szCs w:val="28"/>
        </w:rPr>
      </w:pPr>
      <w:r>
        <w:rPr>
          <w:szCs w:val="28"/>
        </w:rPr>
        <w:t>（2）矿区水环境</w:t>
      </w:r>
    </w:p>
    <w:p w14:paraId="45E94429">
      <w:pPr>
        <w:adjustRightInd/>
        <w:snapToGrid/>
        <w:ind w:firstLine="560"/>
        <w:rPr>
          <w:szCs w:val="28"/>
        </w:rPr>
      </w:pPr>
      <w:r>
        <w:rPr>
          <w:szCs w:val="28"/>
        </w:rPr>
        <w:t>矿区内破坏地质环境的人类工程活动一般，矿区岩石物质成分稳定，有害物质含量少且不易分解，矿山的采矿活动，对矿区水环境无较大负面影响。</w:t>
      </w:r>
    </w:p>
    <w:p w14:paraId="20E8B68F">
      <w:pPr>
        <w:adjustRightInd/>
        <w:snapToGrid/>
        <w:ind w:firstLine="560"/>
        <w:rPr>
          <w:szCs w:val="28"/>
        </w:rPr>
      </w:pPr>
      <w:r>
        <w:rPr>
          <w:szCs w:val="28"/>
        </w:rPr>
        <w:t>（3）有害元素含量</w:t>
      </w:r>
    </w:p>
    <w:p w14:paraId="1AB04160">
      <w:pPr>
        <w:adjustRightInd/>
        <w:snapToGrid/>
        <w:ind w:firstLine="560"/>
        <w:rPr>
          <w:szCs w:val="28"/>
        </w:rPr>
      </w:pPr>
      <w:r>
        <w:rPr>
          <w:szCs w:val="28"/>
        </w:rPr>
        <w:t>根据储量核实报告，矿石中目前未发现对人体和环境产生有害的元素。</w:t>
      </w:r>
    </w:p>
    <w:p w14:paraId="76C8C6E7">
      <w:pPr>
        <w:adjustRightInd/>
        <w:snapToGrid/>
        <w:ind w:firstLine="560"/>
        <w:rPr>
          <w:szCs w:val="28"/>
        </w:rPr>
      </w:pPr>
      <w:r>
        <w:rPr>
          <w:szCs w:val="28"/>
        </w:rPr>
        <w:t>（4）放射性强度</w:t>
      </w:r>
    </w:p>
    <w:p w14:paraId="0F83939E">
      <w:pPr>
        <w:adjustRightInd/>
        <w:snapToGrid/>
        <w:ind w:firstLine="560"/>
        <w:rPr>
          <w:szCs w:val="28"/>
        </w:rPr>
      </w:pPr>
      <w:r>
        <w:rPr>
          <w:szCs w:val="28"/>
        </w:rPr>
        <w:t>矿物成分以碳酸钙（CaCO</w:t>
      </w:r>
      <w:r>
        <w:rPr>
          <w:szCs w:val="28"/>
          <w:vertAlign w:val="subscript"/>
        </w:rPr>
        <w:t>3</w:t>
      </w:r>
      <w:r>
        <w:rPr>
          <w:szCs w:val="28"/>
        </w:rPr>
        <w:t>）为主，矿石不含放射性元素。</w:t>
      </w:r>
    </w:p>
    <w:p w14:paraId="45C2C613">
      <w:pPr>
        <w:adjustRightInd/>
        <w:snapToGrid/>
        <w:ind w:firstLine="560"/>
        <w:rPr>
          <w:szCs w:val="28"/>
        </w:rPr>
      </w:pPr>
      <w:r>
        <w:rPr>
          <w:szCs w:val="28"/>
        </w:rPr>
        <w:t>（5）环境地质条件小结</w:t>
      </w:r>
    </w:p>
    <w:p w14:paraId="5C35B126">
      <w:pPr>
        <w:ind w:firstLine="560"/>
        <w:rPr>
          <w:szCs w:val="21"/>
        </w:rPr>
      </w:pPr>
      <w:r>
        <w:rPr>
          <w:szCs w:val="28"/>
        </w:rPr>
        <w:t>综上所述，矿区环境地质勘查类型属以次生环境地质问题为主的中等类型</w:t>
      </w:r>
      <w:r>
        <w:rPr>
          <w:szCs w:val="21"/>
        </w:rPr>
        <w:t>。</w:t>
      </w:r>
    </w:p>
    <w:p w14:paraId="12D9EE60">
      <w:pPr>
        <w:keepNext/>
        <w:keepLines/>
        <w:ind w:firstLine="560"/>
        <w:jc w:val="left"/>
        <w:outlineLvl w:val="3"/>
        <w:rPr>
          <w:rFonts w:eastAsia="黑体"/>
          <w:bCs/>
          <w:szCs w:val="28"/>
        </w:rPr>
      </w:pPr>
      <w:r>
        <w:rPr>
          <w:rFonts w:eastAsia="黑体"/>
          <w:bCs/>
          <w:szCs w:val="28"/>
        </w:rPr>
        <w:t>2.3.3.4 开采技术条件小节</w:t>
      </w:r>
    </w:p>
    <w:p w14:paraId="4D9A9E1C">
      <w:pPr>
        <w:adjustRightInd/>
        <w:snapToGrid/>
        <w:ind w:firstLine="560"/>
        <w:rPr>
          <w:snapToGrid w:val="0"/>
          <w:szCs w:val="28"/>
        </w:rPr>
      </w:pPr>
      <w:r>
        <w:rPr>
          <w:snapToGrid w:val="0"/>
          <w:szCs w:val="28"/>
        </w:rPr>
        <w:t>（1）矿床水文地质勘查类型属以岩溶裂隙含水层直接充水为主的简单类型。</w:t>
      </w:r>
    </w:p>
    <w:p w14:paraId="3FB06BB8">
      <w:pPr>
        <w:adjustRightInd/>
        <w:snapToGrid/>
        <w:ind w:firstLine="560"/>
        <w:rPr>
          <w:snapToGrid w:val="0"/>
          <w:szCs w:val="28"/>
        </w:rPr>
      </w:pPr>
      <w:r>
        <w:rPr>
          <w:snapToGrid w:val="0"/>
          <w:szCs w:val="28"/>
        </w:rPr>
        <w:t>（2）矿床工程地质勘查类型属以层状岩类较坚硬岩组为主的中等类型。</w:t>
      </w:r>
    </w:p>
    <w:p w14:paraId="6E21399F">
      <w:pPr>
        <w:adjustRightInd/>
        <w:snapToGrid/>
        <w:ind w:firstLine="560"/>
        <w:rPr>
          <w:snapToGrid w:val="0"/>
          <w:szCs w:val="28"/>
        </w:rPr>
      </w:pPr>
      <w:r>
        <w:rPr>
          <w:snapToGrid w:val="0"/>
          <w:szCs w:val="28"/>
        </w:rPr>
        <w:t>（3）矿区环境地质勘查类型属以次生环境地质问题为主的中等类型。</w:t>
      </w:r>
    </w:p>
    <w:p w14:paraId="0BAC896B">
      <w:pPr>
        <w:ind w:firstLine="560"/>
        <w:rPr>
          <w:szCs w:val="21"/>
        </w:rPr>
      </w:pPr>
      <w:r>
        <w:rPr>
          <w:snapToGrid w:val="0"/>
          <w:szCs w:val="28"/>
        </w:rPr>
        <w:t>综上所述，矿床开采技术条件属工程地质和环境地质复合问题的中等类型（Ⅱ-4）</w:t>
      </w:r>
      <w:r>
        <w:rPr>
          <w:szCs w:val="21"/>
        </w:rPr>
        <w:t>。</w:t>
      </w:r>
    </w:p>
    <w:p w14:paraId="75207CB3">
      <w:pPr>
        <w:keepNext/>
        <w:keepLines/>
        <w:ind w:firstLine="562"/>
        <w:jc w:val="left"/>
        <w:outlineLvl w:val="2"/>
        <w:rPr>
          <w:b/>
          <w:color w:val="000000"/>
          <w:szCs w:val="32"/>
        </w:rPr>
      </w:pPr>
      <w:r>
        <w:rPr>
          <w:b/>
          <w:color w:val="000000"/>
          <w:szCs w:val="32"/>
          <w:lang w:val="en-GB"/>
        </w:rPr>
        <w:t>2.3.</w:t>
      </w:r>
      <w:r>
        <w:rPr>
          <w:b/>
          <w:color w:val="000000"/>
          <w:szCs w:val="32"/>
        </w:rPr>
        <w:t>4</w:t>
      </w:r>
      <w:r>
        <w:rPr>
          <w:b/>
          <w:color w:val="000000"/>
          <w:szCs w:val="32"/>
          <w:lang w:val="en-GB"/>
        </w:rPr>
        <w:t xml:space="preserve"> </w:t>
      </w:r>
      <w:r>
        <w:rPr>
          <w:b/>
          <w:color w:val="000000"/>
          <w:szCs w:val="32"/>
        </w:rPr>
        <w:t>矿床资源</w:t>
      </w:r>
    </w:p>
    <w:p w14:paraId="7A5CCD05">
      <w:pPr>
        <w:keepNext/>
        <w:keepLines/>
        <w:ind w:firstLine="560"/>
        <w:jc w:val="left"/>
        <w:outlineLvl w:val="3"/>
        <w:rPr>
          <w:rFonts w:eastAsia="黑体"/>
          <w:bCs/>
          <w:szCs w:val="28"/>
        </w:rPr>
      </w:pPr>
      <w:r>
        <w:rPr>
          <w:rFonts w:eastAsia="黑体"/>
          <w:bCs/>
          <w:szCs w:val="28"/>
        </w:rPr>
        <w:t>2.3.4.1 地质报告提交资源储量</w:t>
      </w:r>
    </w:p>
    <w:p w14:paraId="55322B88">
      <w:pPr>
        <w:adjustRightInd/>
        <w:snapToGrid/>
        <w:ind w:firstLine="560"/>
        <w:rPr>
          <w:snapToGrid w:val="0"/>
          <w:szCs w:val="28"/>
        </w:rPr>
      </w:pPr>
      <w:r>
        <w:rPr>
          <w:snapToGrid w:val="0"/>
          <w:szCs w:val="28"/>
        </w:rPr>
        <w:t>根据《永善县茂林镇松林村海子采石场建筑石料用灰岩矿资源储量核实报告（2020年）》矿产资源储量评审意见书（云地总公司矿评储字〔2020〕10号），截止2020年3月25日，矿区范围内累计保有资源量534.49万t（205.58万m</w:t>
      </w:r>
      <w:r>
        <w:rPr>
          <w:snapToGrid w:val="0"/>
          <w:szCs w:val="28"/>
          <w:vertAlign w:val="superscript"/>
        </w:rPr>
        <w:t>3</w:t>
      </w:r>
      <w:r>
        <w:rPr>
          <w:snapToGrid w:val="0"/>
          <w:szCs w:val="28"/>
        </w:rPr>
        <w:t>）。</w:t>
      </w:r>
    </w:p>
    <w:p w14:paraId="00BCDDD9">
      <w:pPr>
        <w:adjustRightInd/>
        <w:snapToGrid/>
        <w:ind w:firstLine="560"/>
        <w:rPr>
          <w:snapToGrid w:val="0"/>
          <w:szCs w:val="28"/>
        </w:rPr>
      </w:pPr>
      <w:r>
        <w:rPr>
          <w:snapToGrid w:val="0"/>
          <w:szCs w:val="28"/>
        </w:rPr>
        <w:t>根据矿山《2023年度矿产资源储量统计基础表（固体矿产）》，截止2023年12月31日，矿区范围内累计保有资源量521.25万t（200.48万m</w:t>
      </w:r>
      <w:r>
        <w:rPr>
          <w:snapToGrid w:val="0"/>
          <w:szCs w:val="28"/>
          <w:vertAlign w:val="superscript"/>
        </w:rPr>
        <w:t>3</w:t>
      </w:r>
      <w:r>
        <w:rPr>
          <w:snapToGrid w:val="0"/>
          <w:szCs w:val="28"/>
        </w:rPr>
        <w:t>）。</w:t>
      </w:r>
    </w:p>
    <w:p w14:paraId="68976E59">
      <w:pPr>
        <w:keepNext/>
        <w:keepLines/>
        <w:ind w:firstLine="560"/>
        <w:jc w:val="left"/>
        <w:outlineLvl w:val="3"/>
        <w:rPr>
          <w:rFonts w:eastAsia="黑体"/>
          <w:bCs/>
          <w:szCs w:val="28"/>
        </w:rPr>
      </w:pPr>
      <w:r>
        <w:rPr>
          <w:rFonts w:eastAsia="黑体"/>
          <w:bCs/>
          <w:szCs w:val="28"/>
        </w:rPr>
        <w:t>2.3.4.2 设计地质资源储量</w:t>
      </w:r>
    </w:p>
    <w:p w14:paraId="14714618">
      <w:pPr>
        <w:ind w:firstLine="560"/>
        <w:rPr>
          <w:color w:val="000000"/>
          <w:szCs w:val="21"/>
        </w:rPr>
      </w:pPr>
      <w:bookmarkStart w:id="269" w:name="_Hlk172841536"/>
      <w:r>
        <w:rPr>
          <w:color w:val="000000"/>
          <w:szCs w:val="21"/>
        </w:rPr>
        <w:t>1、矿区东北角存在1.227公顷天然牧草地，因政策调整，暂不能办理草地使用审批手续（详见附件），设计对该区域留设禁采区。</w:t>
      </w:r>
    </w:p>
    <w:p w14:paraId="589ACC07">
      <w:pPr>
        <w:ind w:firstLine="560"/>
        <w:rPr>
          <w:color w:val="000000"/>
          <w:szCs w:val="21"/>
        </w:rPr>
      </w:pPr>
      <w:r>
        <w:rPr>
          <w:color w:val="000000"/>
          <w:szCs w:val="21"/>
        </w:rPr>
        <w:t>2、矿山已建破碎站位于矿区内矿5拐点附近，为保护破碎站安全，设计留设50m范围禁采区。</w:t>
      </w:r>
    </w:p>
    <w:p w14:paraId="4592030E">
      <w:pPr>
        <w:ind w:firstLine="560"/>
        <w:rPr>
          <w:color w:val="000000"/>
          <w:szCs w:val="21"/>
        </w:rPr>
      </w:pPr>
      <w:r>
        <w:rPr>
          <w:color w:val="000000"/>
          <w:szCs w:val="21"/>
        </w:rPr>
        <w:t>3、矿权东南方向有松林村下设的官寨村民小组，距矿山设计开采区域最近约212m，目前矿山已对靠矿权较近的几户民房进行了租赁。并考虑安全，退让出未租赁民房300m范围再进行开采，并留设禁采区。</w:t>
      </w:r>
    </w:p>
    <w:p w14:paraId="0D8C1A1D">
      <w:pPr>
        <w:spacing w:line="240" w:lineRule="auto"/>
        <w:ind w:firstLine="0" w:firstLineChars="0"/>
        <w:jc w:val="center"/>
        <w:rPr>
          <w:bCs/>
          <w:color w:val="000000"/>
          <w:kern w:val="0"/>
          <w:sz w:val="24"/>
          <w:szCs w:val="18"/>
        </w:rPr>
      </w:pPr>
      <w:r>
        <w:rPr>
          <w:bCs/>
          <w:color w:val="000000"/>
          <w:kern w:val="0"/>
          <w:sz w:val="24"/>
          <w:szCs w:val="18"/>
        </w:rPr>
        <w:t>表2.3-1  设计禁采区拐点坐标表</w:t>
      </w:r>
    </w:p>
    <w:tbl>
      <w:tblPr>
        <w:tblStyle w:val="44"/>
        <w:tblW w:w="5000" w:type="pct"/>
        <w:jc w:val="center"/>
        <w:tblLayout w:type="autofit"/>
        <w:tblCellMar>
          <w:top w:w="0" w:type="dxa"/>
          <w:left w:w="30" w:type="dxa"/>
          <w:bottom w:w="0" w:type="dxa"/>
          <w:right w:w="30" w:type="dxa"/>
        </w:tblCellMar>
      </w:tblPr>
      <w:tblGrid>
        <w:gridCol w:w="1402"/>
        <w:gridCol w:w="2773"/>
        <w:gridCol w:w="2774"/>
        <w:gridCol w:w="2295"/>
      </w:tblGrid>
      <w:tr w14:paraId="0B7C7BE5">
        <w:tblPrEx>
          <w:tblCellMar>
            <w:top w:w="0" w:type="dxa"/>
            <w:left w:w="30" w:type="dxa"/>
            <w:bottom w:w="0" w:type="dxa"/>
            <w:right w:w="30" w:type="dxa"/>
          </w:tblCellMar>
        </w:tblPrEx>
        <w:trPr>
          <w:trHeight w:val="340" w:hRule="atLeast"/>
          <w:jc w:val="center"/>
        </w:trPr>
        <w:tc>
          <w:tcPr>
            <w:tcW w:w="758" w:type="pct"/>
            <w:vMerge w:val="restart"/>
            <w:tcBorders>
              <w:top w:val="single" w:color="auto" w:sz="6" w:space="0"/>
              <w:left w:val="single" w:color="auto" w:sz="6" w:space="0"/>
              <w:right w:val="single" w:color="auto" w:sz="6" w:space="0"/>
            </w:tcBorders>
            <w:vAlign w:val="center"/>
          </w:tcPr>
          <w:p w14:paraId="52D27ED6">
            <w:pPr>
              <w:spacing w:line="240" w:lineRule="auto"/>
              <w:ind w:firstLine="0" w:firstLineChars="0"/>
              <w:jc w:val="center"/>
              <w:rPr>
                <w:b/>
                <w:bCs/>
                <w:color w:val="000000"/>
                <w:sz w:val="21"/>
                <w:szCs w:val="21"/>
              </w:rPr>
            </w:pPr>
            <w:r>
              <w:rPr>
                <w:b/>
                <w:bCs/>
                <w:color w:val="000000"/>
                <w:sz w:val="21"/>
                <w:szCs w:val="21"/>
              </w:rPr>
              <w:t>拐点编号</w:t>
            </w:r>
          </w:p>
        </w:tc>
        <w:tc>
          <w:tcPr>
            <w:tcW w:w="2999" w:type="pct"/>
            <w:gridSpan w:val="2"/>
            <w:tcBorders>
              <w:top w:val="single" w:color="auto" w:sz="6" w:space="0"/>
              <w:left w:val="single" w:color="auto" w:sz="6" w:space="0"/>
              <w:bottom w:val="single" w:color="auto" w:sz="6" w:space="0"/>
              <w:right w:val="single" w:color="auto" w:sz="6" w:space="0"/>
            </w:tcBorders>
            <w:vAlign w:val="center"/>
          </w:tcPr>
          <w:p w14:paraId="7058A956">
            <w:pPr>
              <w:spacing w:line="240" w:lineRule="auto"/>
              <w:ind w:firstLine="0" w:firstLineChars="0"/>
              <w:jc w:val="center"/>
              <w:rPr>
                <w:b/>
                <w:bCs/>
                <w:color w:val="000000"/>
                <w:sz w:val="21"/>
                <w:szCs w:val="21"/>
              </w:rPr>
            </w:pPr>
            <w:r>
              <w:rPr>
                <w:b/>
                <w:bCs/>
                <w:color w:val="000000"/>
                <w:sz w:val="21"/>
                <w:szCs w:val="21"/>
              </w:rPr>
              <w:t>2000国家大地坐标系</w:t>
            </w:r>
          </w:p>
        </w:tc>
        <w:tc>
          <w:tcPr>
            <w:tcW w:w="1241" w:type="pct"/>
            <w:vMerge w:val="restart"/>
            <w:tcBorders>
              <w:top w:val="single" w:color="auto" w:sz="6" w:space="0"/>
              <w:left w:val="single" w:color="auto" w:sz="6" w:space="0"/>
              <w:right w:val="single" w:color="auto" w:sz="6" w:space="0"/>
            </w:tcBorders>
            <w:vAlign w:val="center"/>
          </w:tcPr>
          <w:p w14:paraId="14654108">
            <w:pPr>
              <w:spacing w:line="240" w:lineRule="auto"/>
              <w:ind w:firstLine="0" w:firstLineChars="0"/>
              <w:jc w:val="center"/>
              <w:rPr>
                <w:b/>
                <w:bCs/>
                <w:color w:val="000000"/>
                <w:sz w:val="21"/>
                <w:szCs w:val="21"/>
              </w:rPr>
            </w:pPr>
            <w:r>
              <w:rPr>
                <w:b/>
                <w:bCs/>
                <w:color w:val="000000"/>
                <w:sz w:val="21"/>
                <w:szCs w:val="21"/>
              </w:rPr>
              <w:t>备注</w:t>
            </w:r>
          </w:p>
        </w:tc>
      </w:tr>
      <w:tr w14:paraId="56C76C29">
        <w:tblPrEx>
          <w:tblCellMar>
            <w:top w:w="0" w:type="dxa"/>
            <w:left w:w="30" w:type="dxa"/>
            <w:bottom w:w="0" w:type="dxa"/>
            <w:right w:w="30" w:type="dxa"/>
          </w:tblCellMar>
        </w:tblPrEx>
        <w:trPr>
          <w:trHeight w:val="340" w:hRule="atLeast"/>
          <w:jc w:val="center"/>
        </w:trPr>
        <w:tc>
          <w:tcPr>
            <w:tcW w:w="758" w:type="pct"/>
            <w:vMerge w:val="continue"/>
            <w:tcBorders>
              <w:left w:val="single" w:color="auto" w:sz="6" w:space="0"/>
              <w:bottom w:val="single" w:color="auto" w:sz="6" w:space="0"/>
              <w:right w:val="single" w:color="auto" w:sz="6" w:space="0"/>
            </w:tcBorders>
            <w:vAlign w:val="center"/>
          </w:tcPr>
          <w:p w14:paraId="41A9A535">
            <w:pPr>
              <w:spacing w:line="240" w:lineRule="auto"/>
              <w:ind w:firstLine="0" w:firstLineChars="0"/>
              <w:jc w:val="center"/>
              <w:rPr>
                <w:color w:val="000000"/>
                <w:sz w:val="21"/>
                <w:szCs w:val="21"/>
              </w:rPr>
            </w:pPr>
          </w:p>
        </w:tc>
        <w:tc>
          <w:tcPr>
            <w:tcW w:w="1499" w:type="pct"/>
            <w:tcBorders>
              <w:top w:val="single" w:color="auto" w:sz="6" w:space="0"/>
              <w:left w:val="single" w:color="auto" w:sz="6" w:space="0"/>
              <w:bottom w:val="single" w:color="auto" w:sz="6" w:space="0"/>
              <w:right w:val="single" w:color="auto" w:sz="6" w:space="0"/>
            </w:tcBorders>
            <w:vAlign w:val="center"/>
          </w:tcPr>
          <w:p w14:paraId="2433B1C1">
            <w:pPr>
              <w:spacing w:line="240" w:lineRule="auto"/>
              <w:ind w:firstLine="0" w:firstLineChars="0"/>
              <w:jc w:val="center"/>
              <w:rPr>
                <w:b/>
                <w:bCs/>
                <w:color w:val="000000"/>
                <w:sz w:val="21"/>
                <w:szCs w:val="21"/>
              </w:rPr>
            </w:pPr>
            <w:r>
              <w:rPr>
                <w:b/>
                <w:bCs/>
                <w:color w:val="000000"/>
                <w:sz w:val="21"/>
                <w:szCs w:val="21"/>
              </w:rPr>
              <w:t>X</w:t>
            </w:r>
          </w:p>
        </w:tc>
        <w:tc>
          <w:tcPr>
            <w:tcW w:w="1499" w:type="pct"/>
            <w:tcBorders>
              <w:top w:val="single" w:color="auto" w:sz="6" w:space="0"/>
              <w:left w:val="single" w:color="auto" w:sz="6" w:space="0"/>
              <w:bottom w:val="single" w:color="auto" w:sz="6" w:space="0"/>
              <w:right w:val="single" w:color="auto" w:sz="6" w:space="0"/>
            </w:tcBorders>
            <w:vAlign w:val="center"/>
          </w:tcPr>
          <w:p w14:paraId="6E37083C">
            <w:pPr>
              <w:spacing w:line="240" w:lineRule="auto"/>
              <w:ind w:firstLine="0" w:firstLineChars="0"/>
              <w:jc w:val="center"/>
              <w:rPr>
                <w:b/>
                <w:bCs/>
                <w:color w:val="000000"/>
                <w:sz w:val="21"/>
                <w:szCs w:val="21"/>
              </w:rPr>
            </w:pPr>
            <w:r>
              <w:rPr>
                <w:b/>
                <w:bCs/>
                <w:color w:val="000000"/>
                <w:sz w:val="21"/>
                <w:szCs w:val="21"/>
              </w:rPr>
              <w:t>Y</w:t>
            </w:r>
          </w:p>
        </w:tc>
        <w:tc>
          <w:tcPr>
            <w:tcW w:w="1241" w:type="pct"/>
            <w:vMerge w:val="continue"/>
            <w:tcBorders>
              <w:left w:val="single" w:color="auto" w:sz="6" w:space="0"/>
              <w:bottom w:val="single" w:color="auto" w:sz="6" w:space="0"/>
              <w:right w:val="single" w:color="auto" w:sz="6" w:space="0"/>
            </w:tcBorders>
            <w:vAlign w:val="center"/>
          </w:tcPr>
          <w:p w14:paraId="5043DECE">
            <w:pPr>
              <w:spacing w:line="240" w:lineRule="auto"/>
              <w:ind w:firstLine="0" w:firstLineChars="0"/>
              <w:jc w:val="center"/>
              <w:rPr>
                <w:color w:val="000000"/>
                <w:sz w:val="21"/>
                <w:szCs w:val="21"/>
              </w:rPr>
            </w:pPr>
          </w:p>
        </w:tc>
      </w:tr>
      <w:tr w14:paraId="38AFF2F1">
        <w:tblPrEx>
          <w:tblCellMar>
            <w:top w:w="0" w:type="dxa"/>
            <w:left w:w="30" w:type="dxa"/>
            <w:bottom w:w="0" w:type="dxa"/>
            <w:right w:w="30" w:type="dxa"/>
          </w:tblCellMar>
        </w:tblPrEx>
        <w:trPr>
          <w:trHeight w:val="340" w:hRule="atLeast"/>
          <w:jc w:val="center"/>
        </w:trPr>
        <w:tc>
          <w:tcPr>
            <w:tcW w:w="758" w:type="pct"/>
            <w:tcBorders>
              <w:top w:val="single" w:color="auto" w:sz="6" w:space="0"/>
              <w:left w:val="single" w:color="auto" w:sz="6" w:space="0"/>
              <w:bottom w:val="single" w:color="auto" w:sz="6" w:space="0"/>
              <w:right w:val="single" w:color="auto" w:sz="6" w:space="0"/>
            </w:tcBorders>
            <w:vAlign w:val="center"/>
          </w:tcPr>
          <w:p w14:paraId="3B8D4D3E">
            <w:pPr>
              <w:spacing w:line="240" w:lineRule="auto"/>
              <w:ind w:firstLine="0" w:firstLineChars="0"/>
              <w:jc w:val="center"/>
              <w:rPr>
                <w:color w:val="000000"/>
                <w:sz w:val="21"/>
                <w:szCs w:val="21"/>
              </w:rPr>
            </w:pPr>
            <w:r>
              <w:rPr>
                <w:color w:val="000000"/>
                <w:sz w:val="21"/>
                <w:szCs w:val="21"/>
              </w:rPr>
              <w:t>禁1</w:t>
            </w:r>
          </w:p>
        </w:tc>
        <w:tc>
          <w:tcPr>
            <w:tcW w:w="1499" w:type="pct"/>
            <w:tcBorders>
              <w:top w:val="single" w:color="auto" w:sz="6" w:space="0"/>
              <w:left w:val="single" w:color="auto" w:sz="6" w:space="0"/>
              <w:bottom w:val="single" w:color="auto" w:sz="6" w:space="0"/>
              <w:right w:val="single" w:color="auto" w:sz="6" w:space="0"/>
            </w:tcBorders>
            <w:vAlign w:val="center"/>
          </w:tcPr>
          <w:p w14:paraId="36D91007">
            <w:pPr>
              <w:spacing w:line="240" w:lineRule="auto"/>
              <w:ind w:firstLine="0" w:firstLineChars="0"/>
              <w:jc w:val="center"/>
              <w:rPr>
                <w:color w:val="000000"/>
                <w:sz w:val="21"/>
                <w:szCs w:val="21"/>
              </w:rPr>
            </w:pPr>
            <w:r>
              <w:rPr>
                <w:color w:val="000000"/>
                <w:sz w:val="21"/>
                <w:szCs w:val="21"/>
              </w:rPr>
              <w:t>3068376.42</w:t>
            </w:r>
          </w:p>
        </w:tc>
        <w:tc>
          <w:tcPr>
            <w:tcW w:w="1499" w:type="pct"/>
            <w:tcBorders>
              <w:top w:val="single" w:color="auto" w:sz="6" w:space="0"/>
              <w:left w:val="single" w:color="auto" w:sz="6" w:space="0"/>
              <w:bottom w:val="single" w:color="auto" w:sz="6" w:space="0"/>
              <w:right w:val="single" w:color="auto" w:sz="6" w:space="0"/>
            </w:tcBorders>
            <w:vAlign w:val="center"/>
          </w:tcPr>
          <w:p w14:paraId="4048A17A">
            <w:pPr>
              <w:spacing w:line="240" w:lineRule="auto"/>
              <w:ind w:firstLine="0" w:firstLineChars="0"/>
              <w:jc w:val="center"/>
              <w:rPr>
                <w:color w:val="000000"/>
                <w:sz w:val="21"/>
                <w:szCs w:val="21"/>
              </w:rPr>
            </w:pPr>
            <w:r>
              <w:rPr>
                <w:color w:val="000000"/>
                <w:sz w:val="21"/>
                <w:szCs w:val="21"/>
              </w:rPr>
              <w:t>35355405.51</w:t>
            </w:r>
          </w:p>
        </w:tc>
        <w:tc>
          <w:tcPr>
            <w:tcW w:w="1241" w:type="pct"/>
            <w:vMerge w:val="restart"/>
            <w:tcBorders>
              <w:top w:val="single" w:color="auto" w:sz="6" w:space="0"/>
              <w:left w:val="single" w:color="auto" w:sz="6" w:space="0"/>
              <w:right w:val="single" w:color="auto" w:sz="6" w:space="0"/>
            </w:tcBorders>
            <w:vAlign w:val="center"/>
          </w:tcPr>
          <w:p w14:paraId="3D67A35B">
            <w:pPr>
              <w:spacing w:line="240" w:lineRule="auto"/>
              <w:ind w:firstLine="0" w:firstLineChars="0"/>
              <w:jc w:val="center"/>
              <w:rPr>
                <w:color w:val="000000"/>
                <w:sz w:val="21"/>
                <w:szCs w:val="21"/>
              </w:rPr>
            </w:pPr>
            <w:r>
              <w:rPr>
                <w:color w:val="000000"/>
                <w:sz w:val="21"/>
                <w:szCs w:val="21"/>
              </w:rPr>
              <w:t>保护天然</w:t>
            </w:r>
          </w:p>
          <w:p w14:paraId="4BF2B253">
            <w:pPr>
              <w:spacing w:line="240" w:lineRule="auto"/>
              <w:ind w:firstLine="0" w:firstLineChars="0"/>
              <w:jc w:val="center"/>
              <w:rPr>
                <w:color w:val="000000"/>
                <w:sz w:val="21"/>
                <w:szCs w:val="21"/>
              </w:rPr>
            </w:pPr>
            <w:r>
              <w:rPr>
                <w:color w:val="000000"/>
                <w:sz w:val="21"/>
                <w:szCs w:val="21"/>
              </w:rPr>
              <w:t>牧草地留设</w:t>
            </w:r>
          </w:p>
        </w:tc>
      </w:tr>
      <w:tr w14:paraId="6E7BB676">
        <w:tblPrEx>
          <w:tblCellMar>
            <w:top w:w="0" w:type="dxa"/>
            <w:left w:w="30" w:type="dxa"/>
            <w:bottom w:w="0" w:type="dxa"/>
            <w:right w:w="30" w:type="dxa"/>
          </w:tblCellMar>
        </w:tblPrEx>
        <w:trPr>
          <w:trHeight w:val="340" w:hRule="atLeast"/>
          <w:jc w:val="center"/>
        </w:trPr>
        <w:tc>
          <w:tcPr>
            <w:tcW w:w="758" w:type="pct"/>
            <w:tcBorders>
              <w:top w:val="single" w:color="auto" w:sz="6" w:space="0"/>
              <w:left w:val="single" w:color="auto" w:sz="6" w:space="0"/>
              <w:bottom w:val="single" w:color="auto" w:sz="6" w:space="0"/>
              <w:right w:val="single" w:color="auto" w:sz="6" w:space="0"/>
            </w:tcBorders>
            <w:vAlign w:val="center"/>
          </w:tcPr>
          <w:p w14:paraId="5107EAC1">
            <w:pPr>
              <w:spacing w:line="240" w:lineRule="auto"/>
              <w:ind w:firstLine="0" w:firstLineChars="0"/>
              <w:jc w:val="center"/>
              <w:rPr>
                <w:color w:val="000000"/>
                <w:sz w:val="21"/>
                <w:szCs w:val="21"/>
              </w:rPr>
            </w:pPr>
            <w:r>
              <w:rPr>
                <w:color w:val="000000"/>
                <w:sz w:val="21"/>
                <w:szCs w:val="21"/>
              </w:rPr>
              <w:t>禁2</w:t>
            </w:r>
          </w:p>
        </w:tc>
        <w:tc>
          <w:tcPr>
            <w:tcW w:w="1499" w:type="pct"/>
            <w:tcBorders>
              <w:top w:val="single" w:color="auto" w:sz="6" w:space="0"/>
              <w:left w:val="single" w:color="auto" w:sz="6" w:space="0"/>
              <w:bottom w:val="single" w:color="auto" w:sz="6" w:space="0"/>
              <w:right w:val="single" w:color="auto" w:sz="6" w:space="0"/>
            </w:tcBorders>
            <w:vAlign w:val="center"/>
          </w:tcPr>
          <w:p w14:paraId="37C5DAD6">
            <w:pPr>
              <w:spacing w:line="240" w:lineRule="auto"/>
              <w:ind w:firstLine="0" w:firstLineChars="0"/>
              <w:jc w:val="center"/>
              <w:rPr>
                <w:color w:val="000000"/>
                <w:sz w:val="21"/>
                <w:szCs w:val="21"/>
              </w:rPr>
            </w:pPr>
            <w:r>
              <w:rPr>
                <w:color w:val="000000"/>
                <w:sz w:val="21"/>
                <w:szCs w:val="21"/>
              </w:rPr>
              <w:t>3068230.37</w:t>
            </w:r>
          </w:p>
        </w:tc>
        <w:tc>
          <w:tcPr>
            <w:tcW w:w="1499" w:type="pct"/>
            <w:tcBorders>
              <w:top w:val="single" w:color="auto" w:sz="6" w:space="0"/>
              <w:left w:val="single" w:color="auto" w:sz="6" w:space="0"/>
              <w:bottom w:val="single" w:color="auto" w:sz="6" w:space="0"/>
              <w:right w:val="single" w:color="auto" w:sz="6" w:space="0"/>
            </w:tcBorders>
            <w:vAlign w:val="center"/>
          </w:tcPr>
          <w:p w14:paraId="3C690CB9">
            <w:pPr>
              <w:spacing w:line="240" w:lineRule="auto"/>
              <w:ind w:firstLine="0" w:firstLineChars="0"/>
              <w:jc w:val="center"/>
              <w:rPr>
                <w:color w:val="000000"/>
                <w:sz w:val="21"/>
                <w:szCs w:val="21"/>
              </w:rPr>
            </w:pPr>
            <w:r>
              <w:rPr>
                <w:color w:val="000000"/>
                <w:sz w:val="21"/>
                <w:szCs w:val="21"/>
              </w:rPr>
              <w:t>35355452.50</w:t>
            </w:r>
          </w:p>
        </w:tc>
        <w:tc>
          <w:tcPr>
            <w:tcW w:w="1241" w:type="pct"/>
            <w:vMerge w:val="continue"/>
            <w:tcBorders>
              <w:left w:val="single" w:color="auto" w:sz="6" w:space="0"/>
              <w:right w:val="single" w:color="auto" w:sz="6" w:space="0"/>
            </w:tcBorders>
            <w:vAlign w:val="center"/>
          </w:tcPr>
          <w:p w14:paraId="2519EBE7">
            <w:pPr>
              <w:spacing w:line="240" w:lineRule="auto"/>
              <w:ind w:firstLine="0" w:firstLineChars="0"/>
              <w:jc w:val="center"/>
              <w:rPr>
                <w:color w:val="000000"/>
                <w:sz w:val="21"/>
                <w:szCs w:val="21"/>
              </w:rPr>
            </w:pPr>
          </w:p>
        </w:tc>
      </w:tr>
      <w:tr w14:paraId="70B5EA21">
        <w:tblPrEx>
          <w:tblCellMar>
            <w:top w:w="0" w:type="dxa"/>
            <w:left w:w="30" w:type="dxa"/>
            <w:bottom w:w="0" w:type="dxa"/>
            <w:right w:w="30" w:type="dxa"/>
          </w:tblCellMar>
        </w:tblPrEx>
        <w:trPr>
          <w:trHeight w:val="340" w:hRule="atLeast"/>
          <w:jc w:val="center"/>
        </w:trPr>
        <w:tc>
          <w:tcPr>
            <w:tcW w:w="758" w:type="pct"/>
            <w:tcBorders>
              <w:top w:val="single" w:color="auto" w:sz="6" w:space="0"/>
              <w:left w:val="single" w:color="auto" w:sz="6" w:space="0"/>
              <w:bottom w:val="single" w:color="auto" w:sz="6" w:space="0"/>
              <w:right w:val="single" w:color="auto" w:sz="6" w:space="0"/>
            </w:tcBorders>
            <w:vAlign w:val="center"/>
          </w:tcPr>
          <w:p w14:paraId="1B13B9E4">
            <w:pPr>
              <w:spacing w:line="240" w:lineRule="auto"/>
              <w:ind w:firstLine="0" w:firstLineChars="0"/>
              <w:jc w:val="center"/>
              <w:rPr>
                <w:color w:val="000000"/>
                <w:sz w:val="21"/>
                <w:szCs w:val="21"/>
              </w:rPr>
            </w:pPr>
            <w:r>
              <w:rPr>
                <w:color w:val="000000"/>
                <w:sz w:val="21"/>
                <w:szCs w:val="21"/>
              </w:rPr>
              <w:t>禁3</w:t>
            </w:r>
          </w:p>
        </w:tc>
        <w:tc>
          <w:tcPr>
            <w:tcW w:w="1499" w:type="pct"/>
            <w:tcBorders>
              <w:top w:val="single" w:color="auto" w:sz="6" w:space="0"/>
              <w:left w:val="single" w:color="auto" w:sz="6" w:space="0"/>
              <w:bottom w:val="single" w:color="auto" w:sz="6" w:space="0"/>
              <w:right w:val="single" w:color="auto" w:sz="6" w:space="0"/>
            </w:tcBorders>
            <w:vAlign w:val="center"/>
          </w:tcPr>
          <w:p w14:paraId="5ECF1E64">
            <w:pPr>
              <w:spacing w:line="240" w:lineRule="auto"/>
              <w:ind w:firstLine="0" w:firstLineChars="0"/>
              <w:jc w:val="center"/>
              <w:rPr>
                <w:color w:val="000000"/>
                <w:sz w:val="21"/>
                <w:szCs w:val="21"/>
              </w:rPr>
            </w:pPr>
            <w:r>
              <w:rPr>
                <w:color w:val="000000"/>
                <w:sz w:val="21"/>
                <w:szCs w:val="21"/>
              </w:rPr>
              <w:t>3068198.03</w:t>
            </w:r>
          </w:p>
        </w:tc>
        <w:tc>
          <w:tcPr>
            <w:tcW w:w="1499" w:type="pct"/>
            <w:tcBorders>
              <w:top w:val="single" w:color="auto" w:sz="6" w:space="0"/>
              <w:left w:val="single" w:color="auto" w:sz="6" w:space="0"/>
              <w:bottom w:val="single" w:color="auto" w:sz="6" w:space="0"/>
              <w:right w:val="single" w:color="auto" w:sz="6" w:space="0"/>
            </w:tcBorders>
            <w:vAlign w:val="center"/>
          </w:tcPr>
          <w:p w14:paraId="4ACDD5DE">
            <w:pPr>
              <w:spacing w:line="240" w:lineRule="auto"/>
              <w:ind w:firstLine="0" w:firstLineChars="0"/>
              <w:jc w:val="center"/>
              <w:rPr>
                <w:color w:val="000000"/>
                <w:sz w:val="21"/>
                <w:szCs w:val="21"/>
              </w:rPr>
            </w:pPr>
            <w:r>
              <w:rPr>
                <w:color w:val="000000"/>
                <w:sz w:val="21"/>
                <w:szCs w:val="21"/>
              </w:rPr>
              <w:t>35355337.43</w:t>
            </w:r>
          </w:p>
        </w:tc>
        <w:tc>
          <w:tcPr>
            <w:tcW w:w="1241" w:type="pct"/>
            <w:vMerge w:val="continue"/>
            <w:tcBorders>
              <w:left w:val="single" w:color="auto" w:sz="6" w:space="0"/>
              <w:right w:val="single" w:color="auto" w:sz="6" w:space="0"/>
            </w:tcBorders>
            <w:vAlign w:val="center"/>
          </w:tcPr>
          <w:p w14:paraId="559282EF">
            <w:pPr>
              <w:spacing w:line="240" w:lineRule="auto"/>
              <w:ind w:firstLine="0" w:firstLineChars="0"/>
              <w:jc w:val="center"/>
              <w:rPr>
                <w:color w:val="000000"/>
                <w:sz w:val="21"/>
                <w:szCs w:val="21"/>
              </w:rPr>
            </w:pPr>
          </w:p>
        </w:tc>
      </w:tr>
      <w:tr w14:paraId="07B4A281">
        <w:tblPrEx>
          <w:tblCellMar>
            <w:top w:w="0" w:type="dxa"/>
            <w:left w:w="30" w:type="dxa"/>
            <w:bottom w:w="0" w:type="dxa"/>
            <w:right w:w="30" w:type="dxa"/>
          </w:tblCellMar>
        </w:tblPrEx>
        <w:trPr>
          <w:trHeight w:val="340" w:hRule="atLeast"/>
          <w:jc w:val="center"/>
        </w:trPr>
        <w:tc>
          <w:tcPr>
            <w:tcW w:w="758" w:type="pct"/>
            <w:tcBorders>
              <w:top w:val="single" w:color="auto" w:sz="6" w:space="0"/>
              <w:left w:val="single" w:color="auto" w:sz="6" w:space="0"/>
              <w:bottom w:val="single" w:color="auto" w:sz="6" w:space="0"/>
              <w:right w:val="single" w:color="auto" w:sz="6" w:space="0"/>
            </w:tcBorders>
            <w:vAlign w:val="center"/>
          </w:tcPr>
          <w:p w14:paraId="0DE3F5FE">
            <w:pPr>
              <w:spacing w:line="240" w:lineRule="auto"/>
              <w:ind w:firstLine="0" w:firstLineChars="0"/>
              <w:jc w:val="center"/>
              <w:rPr>
                <w:color w:val="000000"/>
                <w:sz w:val="21"/>
                <w:szCs w:val="21"/>
              </w:rPr>
            </w:pPr>
            <w:r>
              <w:rPr>
                <w:color w:val="000000"/>
                <w:sz w:val="21"/>
                <w:szCs w:val="21"/>
              </w:rPr>
              <w:t>禁4</w:t>
            </w:r>
          </w:p>
        </w:tc>
        <w:tc>
          <w:tcPr>
            <w:tcW w:w="1499" w:type="pct"/>
            <w:tcBorders>
              <w:top w:val="single" w:color="auto" w:sz="6" w:space="0"/>
              <w:left w:val="single" w:color="auto" w:sz="6" w:space="0"/>
              <w:bottom w:val="single" w:color="auto" w:sz="6" w:space="0"/>
              <w:right w:val="single" w:color="auto" w:sz="6" w:space="0"/>
            </w:tcBorders>
            <w:vAlign w:val="center"/>
          </w:tcPr>
          <w:p w14:paraId="7D60CA71">
            <w:pPr>
              <w:spacing w:line="240" w:lineRule="auto"/>
              <w:ind w:firstLine="0" w:firstLineChars="0"/>
              <w:jc w:val="center"/>
              <w:rPr>
                <w:color w:val="000000"/>
                <w:sz w:val="21"/>
                <w:szCs w:val="21"/>
              </w:rPr>
            </w:pPr>
            <w:r>
              <w:rPr>
                <w:color w:val="000000"/>
                <w:sz w:val="21"/>
                <w:szCs w:val="21"/>
              </w:rPr>
              <w:t>3068290.00</w:t>
            </w:r>
          </w:p>
        </w:tc>
        <w:tc>
          <w:tcPr>
            <w:tcW w:w="1499" w:type="pct"/>
            <w:tcBorders>
              <w:top w:val="single" w:color="auto" w:sz="6" w:space="0"/>
              <w:left w:val="single" w:color="auto" w:sz="6" w:space="0"/>
              <w:bottom w:val="single" w:color="auto" w:sz="6" w:space="0"/>
              <w:right w:val="single" w:color="auto" w:sz="6" w:space="0"/>
            </w:tcBorders>
            <w:vAlign w:val="center"/>
          </w:tcPr>
          <w:p w14:paraId="05434199">
            <w:pPr>
              <w:spacing w:line="240" w:lineRule="auto"/>
              <w:ind w:firstLine="0" w:firstLineChars="0"/>
              <w:jc w:val="center"/>
              <w:rPr>
                <w:color w:val="000000"/>
                <w:sz w:val="21"/>
                <w:szCs w:val="21"/>
              </w:rPr>
            </w:pPr>
            <w:r>
              <w:rPr>
                <w:color w:val="000000"/>
                <w:sz w:val="21"/>
                <w:szCs w:val="21"/>
              </w:rPr>
              <w:t>35355291.46</w:t>
            </w:r>
          </w:p>
        </w:tc>
        <w:tc>
          <w:tcPr>
            <w:tcW w:w="1241" w:type="pct"/>
            <w:vMerge w:val="continue"/>
            <w:tcBorders>
              <w:left w:val="single" w:color="auto" w:sz="6" w:space="0"/>
              <w:bottom w:val="single" w:color="auto" w:sz="6" w:space="0"/>
              <w:right w:val="single" w:color="auto" w:sz="6" w:space="0"/>
            </w:tcBorders>
            <w:vAlign w:val="center"/>
          </w:tcPr>
          <w:p w14:paraId="00383778">
            <w:pPr>
              <w:spacing w:line="240" w:lineRule="auto"/>
              <w:ind w:firstLine="0" w:firstLineChars="0"/>
              <w:jc w:val="center"/>
              <w:rPr>
                <w:color w:val="000000"/>
                <w:sz w:val="21"/>
                <w:szCs w:val="21"/>
              </w:rPr>
            </w:pPr>
          </w:p>
        </w:tc>
      </w:tr>
      <w:tr w14:paraId="6FA7AC24">
        <w:tblPrEx>
          <w:tblCellMar>
            <w:top w:w="0" w:type="dxa"/>
            <w:left w:w="30" w:type="dxa"/>
            <w:bottom w:w="0" w:type="dxa"/>
            <w:right w:w="30" w:type="dxa"/>
          </w:tblCellMar>
        </w:tblPrEx>
        <w:trPr>
          <w:trHeight w:val="340" w:hRule="atLeast"/>
          <w:jc w:val="center"/>
        </w:trPr>
        <w:tc>
          <w:tcPr>
            <w:tcW w:w="758" w:type="pct"/>
            <w:tcBorders>
              <w:top w:val="single" w:color="auto" w:sz="6" w:space="0"/>
              <w:left w:val="single" w:color="auto" w:sz="6" w:space="0"/>
              <w:bottom w:val="single" w:color="auto" w:sz="6" w:space="0"/>
              <w:right w:val="single" w:color="auto" w:sz="6" w:space="0"/>
            </w:tcBorders>
            <w:vAlign w:val="center"/>
          </w:tcPr>
          <w:p w14:paraId="37CAF346">
            <w:pPr>
              <w:spacing w:line="240" w:lineRule="auto"/>
              <w:ind w:firstLine="0" w:firstLineChars="0"/>
              <w:jc w:val="center"/>
              <w:rPr>
                <w:color w:val="000000"/>
                <w:sz w:val="21"/>
                <w:szCs w:val="21"/>
              </w:rPr>
            </w:pPr>
            <w:r>
              <w:rPr>
                <w:color w:val="000000"/>
                <w:sz w:val="21"/>
                <w:szCs w:val="21"/>
              </w:rPr>
              <w:t>禁5</w:t>
            </w:r>
          </w:p>
        </w:tc>
        <w:tc>
          <w:tcPr>
            <w:tcW w:w="1499" w:type="pct"/>
            <w:tcBorders>
              <w:top w:val="single" w:color="auto" w:sz="6" w:space="0"/>
              <w:left w:val="single" w:color="auto" w:sz="6" w:space="0"/>
              <w:bottom w:val="single" w:color="auto" w:sz="6" w:space="0"/>
              <w:right w:val="single" w:color="auto" w:sz="6" w:space="0"/>
            </w:tcBorders>
            <w:vAlign w:val="center"/>
          </w:tcPr>
          <w:p w14:paraId="7FE3A66C">
            <w:pPr>
              <w:spacing w:line="240" w:lineRule="auto"/>
              <w:ind w:firstLine="0" w:firstLineChars="0"/>
              <w:jc w:val="center"/>
              <w:rPr>
                <w:color w:val="000000"/>
                <w:sz w:val="21"/>
                <w:szCs w:val="21"/>
              </w:rPr>
            </w:pPr>
            <w:r>
              <w:rPr>
                <w:color w:val="000000"/>
                <w:sz w:val="21"/>
                <w:szCs w:val="21"/>
              </w:rPr>
              <w:t>3068054.16</w:t>
            </w:r>
          </w:p>
        </w:tc>
        <w:tc>
          <w:tcPr>
            <w:tcW w:w="1499" w:type="pct"/>
            <w:tcBorders>
              <w:top w:val="single" w:color="auto" w:sz="6" w:space="0"/>
              <w:left w:val="single" w:color="auto" w:sz="6" w:space="0"/>
              <w:bottom w:val="single" w:color="auto" w:sz="6" w:space="0"/>
              <w:right w:val="single" w:color="auto" w:sz="6" w:space="0"/>
            </w:tcBorders>
            <w:vAlign w:val="center"/>
          </w:tcPr>
          <w:p w14:paraId="5B7484A1">
            <w:pPr>
              <w:spacing w:line="240" w:lineRule="auto"/>
              <w:ind w:firstLine="0" w:firstLineChars="0"/>
              <w:jc w:val="center"/>
              <w:rPr>
                <w:color w:val="000000"/>
                <w:sz w:val="21"/>
                <w:szCs w:val="21"/>
              </w:rPr>
            </w:pPr>
            <w:r>
              <w:rPr>
                <w:color w:val="000000"/>
                <w:sz w:val="21"/>
                <w:szCs w:val="21"/>
              </w:rPr>
              <w:t>35355284.98</w:t>
            </w:r>
          </w:p>
        </w:tc>
        <w:tc>
          <w:tcPr>
            <w:tcW w:w="1241" w:type="pct"/>
            <w:vMerge w:val="restart"/>
            <w:tcBorders>
              <w:top w:val="single" w:color="auto" w:sz="6" w:space="0"/>
              <w:left w:val="single" w:color="auto" w:sz="6" w:space="0"/>
              <w:right w:val="single" w:color="auto" w:sz="6" w:space="0"/>
            </w:tcBorders>
            <w:vAlign w:val="center"/>
          </w:tcPr>
          <w:p w14:paraId="2010F705">
            <w:pPr>
              <w:spacing w:line="240" w:lineRule="auto"/>
              <w:ind w:firstLine="0" w:firstLineChars="0"/>
              <w:jc w:val="center"/>
              <w:rPr>
                <w:color w:val="000000"/>
                <w:sz w:val="21"/>
                <w:szCs w:val="21"/>
              </w:rPr>
            </w:pPr>
            <w:r>
              <w:rPr>
                <w:color w:val="000000"/>
                <w:sz w:val="21"/>
                <w:szCs w:val="21"/>
              </w:rPr>
              <w:t>保护破碎站及</w:t>
            </w:r>
          </w:p>
          <w:p w14:paraId="45E14F30">
            <w:pPr>
              <w:spacing w:line="240" w:lineRule="auto"/>
              <w:ind w:firstLine="0" w:firstLineChars="0"/>
              <w:jc w:val="center"/>
              <w:rPr>
                <w:color w:val="000000"/>
                <w:sz w:val="21"/>
                <w:szCs w:val="21"/>
              </w:rPr>
            </w:pPr>
            <w:r>
              <w:rPr>
                <w:color w:val="000000"/>
                <w:sz w:val="21"/>
                <w:szCs w:val="21"/>
              </w:rPr>
              <w:t>未租赁民房留设</w:t>
            </w:r>
          </w:p>
        </w:tc>
      </w:tr>
      <w:tr w14:paraId="55FFC11E">
        <w:tblPrEx>
          <w:tblCellMar>
            <w:top w:w="0" w:type="dxa"/>
            <w:left w:w="30" w:type="dxa"/>
            <w:bottom w:w="0" w:type="dxa"/>
            <w:right w:w="30" w:type="dxa"/>
          </w:tblCellMar>
        </w:tblPrEx>
        <w:trPr>
          <w:trHeight w:val="340" w:hRule="atLeast"/>
          <w:jc w:val="center"/>
        </w:trPr>
        <w:tc>
          <w:tcPr>
            <w:tcW w:w="758" w:type="pct"/>
            <w:tcBorders>
              <w:top w:val="single" w:color="auto" w:sz="6" w:space="0"/>
              <w:left w:val="single" w:color="auto" w:sz="6" w:space="0"/>
              <w:bottom w:val="single" w:color="auto" w:sz="6" w:space="0"/>
              <w:right w:val="single" w:color="auto" w:sz="6" w:space="0"/>
            </w:tcBorders>
            <w:vAlign w:val="center"/>
          </w:tcPr>
          <w:p w14:paraId="0E83DAC4">
            <w:pPr>
              <w:spacing w:line="240" w:lineRule="auto"/>
              <w:ind w:firstLine="0" w:firstLineChars="0"/>
              <w:jc w:val="center"/>
              <w:rPr>
                <w:color w:val="000000"/>
                <w:sz w:val="21"/>
                <w:szCs w:val="21"/>
              </w:rPr>
            </w:pPr>
            <w:r>
              <w:rPr>
                <w:color w:val="000000"/>
                <w:sz w:val="21"/>
                <w:szCs w:val="21"/>
              </w:rPr>
              <w:t>禁6</w:t>
            </w:r>
          </w:p>
        </w:tc>
        <w:tc>
          <w:tcPr>
            <w:tcW w:w="1499" w:type="pct"/>
            <w:tcBorders>
              <w:top w:val="single" w:color="auto" w:sz="6" w:space="0"/>
              <w:left w:val="single" w:color="auto" w:sz="6" w:space="0"/>
              <w:bottom w:val="single" w:color="auto" w:sz="6" w:space="0"/>
              <w:right w:val="single" w:color="auto" w:sz="6" w:space="0"/>
            </w:tcBorders>
            <w:vAlign w:val="center"/>
          </w:tcPr>
          <w:p w14:paraId="736C4414">
            <w:pPr>
              <w:spacing w:line="240" w:lineRule="auto"/>
              <w:ind w:firstLine="0" w:firstLineChars="0"/>
              <w:jc w:val="center"/>
              <w:rPr>
                <w:color w:val="000000"/>
                <w:sz w:val="21"/>
                <w:szCs w:val="21"/>
              </w:rPr>
            </w:pPr>
            <w:r>
              <w:rPr>
                <w:color w:val="000000"/>
                <w:sz w:val="21"/>
                <w:szCs w:val="21"/>
              </w:rPr>
              <w:t>3067967.48</w:t>
            </w:r>
          </w:p>
        </w:tc>
        <w:tc>
          <w:tcPr>
            <w:tcW w:w="1499" w:type="pct"/>
            <w:tcBorders>
              <w:top w:val="single" w:color="auto" w:sz="6" w:space="0"/>
              <w:left w:val="single" w:color="auto" w:sz="6" w:space="0"/>
              <w:bottom w:val="single" w:color="auto" w:sz="6" w:space="0"/>
              <w:right w:val="single" w:color="auto" w:sz="6" w:space="0"/>
            </w:tcBorders>
            <w:vAlign w:val="center"/>
          </w:tcPr>
          <w:p w14:paraId="1B7C99EC">
            <w:pPr>
              <w:spacing w:line="240" w:lineRule="auto"/>
              <w:ind w:firstLine="0" w:firstLineChars="0"/>
              <w:jc w:val="center"/>
              <w:rPr>
                <w:color w:val="000000"/>
                <w:sz w:val="21"/>
                <w:szCs w:val="21"/>
              </w:rPr>
            </w:pPr>
            <w:r>
              <w:rPr>
                <w:color w:val="000000"/>
                <w:sz w:val="21"/>
                <w:szCs w:val="21"/>
              </w:rPr>
              <w:t>35355275.97</w:t>
            </w:r>
          </w:p>
        </w:tc>
        <w:tc>
          <w:tcPr>
            <w:tcW w:w="1241" w:type="pct"/>
            <w:vMerge w:val="continue"/>
            <w:tcBorders>
              <w:left w:val="single" w:color="auto" w:sz="6" w:space="0"/>
              <w:right w:val="single" w:color="auto" w:sz="6" w:space="0"/>
            </w:tcBorders>
            <w:vAlign w:val="center"/>
          </w:tcPr>
          <w:p w14:paraId="1629A085">
            <w:pPr>
              <w:spacing w:line="240" w:lineRule="auto"/>
              <w:ind w:firstLine="0" w:firstLineChars="0"/>
              <w:jc w:val="center"/>
              <w:rPr>
                <w:color w:val="000000"/>
                <w:sz w:val="21"/>
                <w:szCs w:val="21"/>
              </w:rPr>
            </w:pPr>
          </w:p>
        </w:tc>
      </w:tr>
      <w:tr w14:paraId="04D517EF">
        <w:tblPrEx>
          <w:tblCellMar>
            <w:top w:w="0" w:type="dxa"/>
            <w:left w:w="30" w:type="dxa"/>
            <w:bottom w:w="0" w:type="dxa"/>
            <w:right w:w="30" w:type="dxa"/>
          </w:tblCellMar>
        </w:tblPrEx>
        <w:trPr>
          <w:trHeight w:val="340" w:hRule="atLeast"/>
          <w:jc w:val="center"/>
        </w:trPr>
        <w:tc>
          <w:tcPr>
            <w:tcW w:w="758" w:type="pct"/>
            <w:tcBorders>
              <w:top w:val="single" w:color="auto" w:sz="6" w:space="0"/>
              <w:left w:val="single" w:color="auto" w:sz="6" w:space="0"/>
              <w:bottom w:val="single" w:color="auto" w:sz="6" w:space="0"/>
              <w:right w:val="single" w:color="auto" w:sz="6" w:space="0"/>
            </w:tcBorders>
            <w:vAlign w:val="center"/>
          </w:tcPr>
          <w:p w14:paraId="4FA07B95">
            <w:pPr>
              <w:spacing w:line="240" w:lineRule="auto"/>
              <w:ind w:firstLine="0" w:firstLineChars="0"/>
              <w:jc w:val="center"/>
              <w:rPr>
                <w:color w:val="000000"/>
                <w:sz w:val="21"/>
                <w:szCs w:val="21"/>
              </w:rPr>
            </w:pPr>
            <w:r>
              <w:rPr>
                <w:color w:val="000000"/>
                <w:sz w:val="21"/>
                <w:szCs w:val="21"/>
              </w:rPr>
              <w:t>禁7</w:t>
            </w:r>
          </w:p>
        </w:tc>
        <w:tc>
          <w:tcPr>
            <w:tcW w:w="1499" w:type="pct"/>
            <w:tcBorders>
              <w:top w:val="single" w:color="auto" w:sz="6" w:space="0"/>
              <w:left w:val="single" w:color="auto" w:sz="6" w:space="0"/>
              <w:bottom w:val="single" w:color="auto" w:sz="6" w:space="0"/>
              <w:right w:val="single" w:color="auto" w:sz="6" w:space="0"/>
            </w:tcBorders>
            <w:vAlign w:val="center"/>
          </w:tcPr>
          <w:p w14:paraId="5AB1DB3E">
            <w:pPr>
              <w:spacing w:line="240" w:lineRule="auto"/>
              <w:ind w:firstLine="0" w:firstLineChars="0"/>
              <w:jc w:val="center"/>
              <w:rPr>
                <w:color w:val="000000"/>
                <w:sz w:val="21"/>
                <w:szCs w:val="21"/>
              </w:rPr>
            </w:pPr>
            <w:r>
              <w:rPr>
                <w:color w:val="000000"/>
                <w:sz w:val="21"/>
                <w:szCs w:val="21"/>
              </w:rPr>
              <w:t>3067972.56</w:t>
            </w:r>
          </w:p>
        </w:tc>
        <w:tc>
          <w:tcPr>
            <w:tcW w:w="1499" w:type="pct"/>
            <w:tcBorders>
              <w:top w:val="single" w:color="auto" w:sz="6" w:space="0"/>
              <w:left w:val="single" w:color="auto" w:sz="6" w:space="0"/>
              <w:bottom w:val="single" w:color="auto" w:sz="6" w:space="0"/>
              <w:right w:val="single" w:color="auto" w:sz="6" w:space="0"/>
            </w:tcBorders>
            <w:vAlign w:val="center"/>
          </w:tcPr>
          <w:p w14:paraId="7434CABD">
            <w:pPr>
              <w:spacing w:line="240" w:lineRule="auto"/>
              <w:ind w:firstLine="0" w:firstLineChars="0"/>
              <w:jc w:val="center"/>
              <w:rPr>
                <w:color w:val="000000"/>
                <w:sz w:val="21"/>
                <w:szCs w:val="21"/>
              </w:rPr>
            </w:pPr>
            <w:r>
              <w:rPr>
                <w:color w:val="000000"/>
                <w:sz w:val="21"/>
                <w:szCs w:val="21"/>
              </w:rPr>
              <w:t>35355150.23</w:t>
            </w:r>
          </w:p>
        </w:tc>
        <w:tc>
          <w:tcPr>
            <w:tcW w:w="1241" w:type="pct"/>
            <w:vMerge w:val="continue"/>
            <w:tcBorders>
              <w:left w:val="single" w:color="auto" w:sz="6" w:space="0"/>
              <w:right w:val="single" w:color="auto" w:sz="6" w:space="0"/>
            </w:tcBorders>
            <w:vAlign w:val="center"/>
          </w:tcPr>
          <w:p w14:paraId="2852A01C">
            <w:pPr>
              <w:spacing w:line="240" w:lineRule="auto"/>
              <w:ind w:firstLine="0" w:firstLineChars="0"/>
              <w:jc w:val="center"/>
              <w:rPr>
                <w:color w:val="000000"/>
                <w:sz w:val="21"/>
                <w:szCs w:val="21"/>
              </w:rPr>
            </w:pPr>
          </w:p>
        </w:tc>
      </w:tr>
      <w:tr w14:paraId="334D26B1">
        <w:tblPrEx>
          <w:tblCellMar>
            <w:top w:w="0" w:type="dxa"/>
            <w:left w:w="30" w:type="dxa"/>
            <w:bottom w:w="0" w:type="dxa"/>
            <w:right w:w="30" w:type="dxa"/>
          </w:tblCellMar>
        </w:tblPrEx>
        <w:trPr>
          <w:trHeight w:val="340" w:hRule="atLeast"/>
          <w:jc w:val="center"/>
        </w:trPr>
        <w:tc>
          <w:tcPr>
            <w:tcW w:w="758" w:type="pct"/>
            <w:tcBorders>
              <w:top w:val="single" w:color="auto" w:sz="6" w:space="0"/>
              <w:left w:val="single" w:color="auto" w:sz="6" w:space="0"/>
              <w:bottom w:val="single" w:color="auto" w:sz="6" w:space="0"/>
              <w:right w:val="single" w:color="auto" w:sz="6" w:space="0"/>
            </w:tcBorders>
            <w:vAlign w:val="center"/>
          </w:tcPr>
          <w:p w14:paraId="7E03E36B">
            <w:pPr>
              <w:spacing w:line="240" w:lineRule="auto"/>
              <w:ind w:firstLine="0" w:firstLineChars="0"/>
              <w:jc w:val="center"/>
              <w:rPr>
                <w:color w:val="000000"/>
                <w:sz w:val="21"/>
                <w:szCs w:val="21"/>
              </w:rPr>
            </w:pPr>
            <w:r>
              <w:rPr>
                <w:color w:val="000000"/>
                <w:sz w:val="21"/>
                <w:szCs w:val="21"/>
              </w:rPr>
              <w:t>禁8</w:t>
            </w:r>
          </w:p>
        </w:tc>
        <w:tc>
          <w:tcPr>
            <w:tcW w:w="1499" w:type="pct"/>
            <w:tcBorders>
              <w:top w:val="single" w:color="auto" w:sz="6" w:space="0"/>
              <w:left w:val="single" w:color="auto" w:sz="6" w:space="0"/>
              <w:bottom w:val="single" w:color="auto" w:sz="6" w:space="0"/>
              <w:right w:val="single" w:color="auto" w:sz="6" w:space="0"/>
            </w:tcBorders>
            <w:vAlign w:val="center"/>
          </w:tcPr>
          <w:p w14:paraId="76387787">
            <w:pPr>
              <w:spacing w:line="240" w:lineRule="auto"/>
              <w:ind w:firstLine="0" w:firstLineChars="0"/>
              <w:jc w:val="center"/>
              <w:rPr>
                <w:color w:val="000000"/>
                <w:sz w:val="21"/>
                <w:szCs w:val="21"/>
              </w:rPr>
            </w:pPr>
            <w:r>
              <w:rPr>
                <w:color w:val="000000"/>
                <w:sz w:val="21"/>
                <w:szCs w:val="21"/>
              </w:rPr>
              <w:t>3068041.79</w:t>
            </w:r>
          </w:p>
        </w:tc>
        <w:tc>
          <w:tcPr>
            <w:tcW w:w="1499" w:type="pct"/>
            <w:tcBorders>
              <w:top w:val="single" w:color="auto" w:sz="6" w:space="0"/>
              <w:left w:val="single" w:color="auto" w:sz="6" w:space="0"/>
              <w:bottom w:val="single" w:color="auto" w:sz="6" w:space="0"/>
              <w:right w:val="single" w:color="auto" w:sz="6" w:space="0"/>
            </w:tcBorders>
            <w:vAlign w:val="center"/>
          </w:tcPr>
          <w:p w14:paraId="6F4E7964">
            <w:pPr>
              <w:spacing w:line="240" w:lineRule="auto"/>
              <w:ind w:firstLine="0" w:firstLineChars="0"/>
              <w:jc w:val="center"/>
              <w:rPr>
                <w:color w:val="000000"/>
                <w:sz w:val="21"/>
                <w:szCs w:val="21"/>
              </w:rPr>
            </w:pPr>
            <w:r>
              <w:rPr>
                <w:color w:val="000000"/>
                <w:sz w:val="21"/>
                <w:szCs w:val="21"/>
              </w:rPr>
              <w:t>35355136.56</w:t>
            </w:r>
          </w:p>
        </w:tc>
        <w:tc>
          <w:tcPr>
            <w:tcW w:w="1241" w:type="pct"/>
            <w:vMerge w:val="continue"/>
            <w:tcBorders>
              <w:left w:val="single" w:color="auto" w:sz="6" w:space="0"/>
              <w:bottom w:val="single" w:color="auto" w:sz="6" w:space="0"/>
              <w:right w:val="single" w:color="auto" w:sz="6" w:space="0"/>
            </w:tcBorders>
            <w:vAlign w:val="center"/>
          </w:tcPr>
          <w:p w14:paraId="3093DB34">
            <w:pPr>
              <w:spacing w:line="240" w:lineRule="auto"/>
              <w:ind w:firstLine="0" w:firstLineChars="0"/>
              <w:jc w:val="center"/>
              <w:rPr>
                <w:color w:val="000000"/>
                <w:sz w:val="21"/>
                <w:szCs w:val="21"/>
              </w:rPr>
            </w:pPr>
          </w:p>
        </w:tc>
      </w:tr>
      <w:bookmarkEnd w:id="269"/>
    </w:tbl>
    <w:p w14:paraId="31D2351C">
      <w:pPr>
        <w:ind w:firstLine="560"/>
        <w:rPr>
          <w:color w:val="000000"/>
          <w:szCs w:val="21"/>
        </w:rPr>
      </w:pPr>
      <w:r>
        <w:rPr>
          <w:color w:val="000000"/>
          <w:szCs w:val="21"/>
        </w:rPr>
        <w:t>综上所述，结合矿山采矿许可证许可范围及矿山现状实测图，设计范围主要为除禁采区外，矿山2790m</w:t>
      </w:r>
      <w:r>
        <w:rPr>
          <w:rFonts w:hint="eastAsia"/>
          <w:color w:val="000000"/>
          <w:szCs w:val="21"/>
        </w:rPr>
        <w:t>—</w:t>
      </w:r>
      <w:r>
        <w:rPr>
          <w:color w:val="000000"/>
          <w:szCs w:val="21"/>
        </w:rPr>
        <w:t>2700m资源量。</w:t>
      </w:r>
    </w:p>
    <w:p w14:paraId="684C40B8">
      <w:pPr>
        <w:ind w:firstLine="560"/>
        <w:rPr>
          <w:color w:val="000000"/>
          <w:szCs w:val="21"/>
        </w:rPr>
      </w:pPr>
      <w:r>
        <w:rPr>
          <w:color w:val="000000"/>
          <w:szCs w:val="21"/>
        </w:rPr>
        <w:t>设计通过矿山三维软件，对矿山现状及开采终了两个阶段分别进行建模，并通过三维软件计算得出两阶段三维模型块体差值，即矿山最终设计露天境界内采出矿石量，为227.12万t。</w:t>
      </w:r>
    </w:p>
    <w:p w14:paraId="505BD2F8">
      <w:pPr>
        <w:spacing w:line="240" w:lineRule="auto"/>
        <w:ind w:firstLine="0" w:firstLineChars="0"/>
        <w:jc w:val="center"/>
        <w:rPr>
          <w:bCs/>
          <w:color w:val="000000"/>
          <w:kern w:val="0"/>
          <w:sz w:val="24"/>
          <w:szCs w:val="18"/>
        </w:rPr>
      </w:pPr>
      <w:r>
        <w:rPr>
          <w:bCs/>
          <w:color w:val="000000"/>
          <w:kern w:val="0"/>
          <w:sz w:val="24"/>
          <w:szCs w:val="18"/>
        </w:rPr>
        <w:t>表2.3-2  设计露天境界内采出矿石量汇总表</w:t>
      </w:r>
    </w:p>
    <w:tbl>
      <w:tblPr>
        <w:tblStyle w:val="4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8"/>
        <w:gridCol w:w="1470"/>
        <w:gridCol w:w="2826"/>
        <w:gridCol w:w="1395"/>
        <w:gridCol w:w="2111"/>
      </w:tblGrid>
      <w:tr w14:paraId="1309F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850" w:type="pct"/>
            <w:shd w:val="clear" w:color="auto" w:fill="auto"/>
            <w:vAlign w:val="center"/>
          </w:tcPr>
          <w:p w14:paraId="6DB96528">
            <w:pPr>
              <w:spacing w:line="240" w:lineRule="auto"/>
              <w:ind w:firstLine="0" w:firstLineChars="0"/>
              <w:jc w:val="center"/>
              <w:rPr>
                <w:b/>
                <w:bCs/>
                <w:color w:val="000000"/>
                <w:sz w:val="21"/>
                <w:szCs w:val="21"/>
              </w:rPr>
            </w:pPr>
            <w:bookmarkStart w:id="270" w:name="_Hlk172841577"/>
            <w:r>
              <w:rPr>
                <w:b/>
                <w:bCs/>
                <w:color w:val="000000"/>
                <w:sz w:val="21"/>
                <w:szCs w:val="21"/>
              </w:rPr>
              <w:t>台阶编号</w:t>
            </w:r>
          </w:p>
          <w:p w14:paraId="7C6AB367">
            <w:pPr>
              <w:spacing w:line="240" w:lineRule="auto"/>
              <w:ind w:firstLine="0" w:firstLineChars="0"/>
              <w:jc w:val="center"/>
              <w:rPr>
                <w:b/>
                <w:bCs/>
                <w:color w:val="000000"/>
                <w:sz w:val="21"/>
                <w:szCs w:val="21"/>
              </w:rPr>
            </w:pPr>
            <w:r>
              <w:rPr>
                <w:b/>
                <w:bCs/>
                <w:color w:val="000000"/>
                <w:sz w:val="21"/>
                <w:szCs w:val="21"/>
              </w:rPr>
              <w:t>（m）</w:t>
            </w:r>
          </w:p>
        </w:tc>
        <w:tc>
          <w:tcPr>
            <w:tcW w:w="782" w:type="pct"/>
            <w:shd w:val="clear" w:color="auto" w:fill="auto"/>
            <w:noWrap/>
            <w:vAlign w:val="center"/>
          </w:tcPr>
          <w:p w14:paraId="24716AA2">
            <w:pPr>
              <w:spacing w:line="240" w:lineRule="auto"/>
              <w:ind w:firstLine="0" w:firstLineChars="0"/>
              <w:jc w:val="center"/>
              <w:rPr>
                <w:b/>
                <w:bCs/>
                <w:color w:val="000000"/>
                <w:sz w:val="21"/>
                <w:szCs w:val="21"/>
              </w:rPr>
            </w:pPr>
            <w:r>
              <w:rPr>
                <w:b/>
                <w:bCs/>
                <w:color w:val="000000"/>
                <w:sz w:val="21"/>
                <w:szCs w:val="21"/>
              </w:rPr>
              <w:t>台阶高度</w:t>
            </w:r>
          </w:p>
          <w:p w14:paraId="2E149834">
            <w:pPr>
              <w:spacing w:line="240" w:lineRule="auto"/>
              <w:ind w:firstLine="0" w:firstLineChars="0"/>
              <w:jc w:val="center"/>
              <w:rPr>
                <w:b/>
                <w:bCs/>
                <w:color w:val="000000"/>
                <w:sz w:val="21"/>
                <w:szCs w:val="21"/>
              </w:rPr>
            </w:pPr>
            <w:r>
              <w:rPr>
                <w:b/>
                <w:bCs/>
                <w:color w:val="000000"/>
                <w:sz w:val="21"/>
                <w:szCs w:val="21"/>
              </w:rPr>
              <w:t>（m）</w:t>
            </w:r>
          </w:p>
        </w:tc>
        <w:tc>
          <w:tcPr>
            <w:tcW w:w="1503" w:type="pct"/>
            <w:shd w:val="clear" w:color="auto" w:fill="auto"/>
            <w:noWrap/>
            <w:vAlign w:val="center"/>
          </w:tcPr>
          <w:p w14:paraId="671FC414">
            <w:pPr>
              <w:spacing w:line="240" w:lineRule="auto"/>
              <w:ind w:firstLine="0" w:firstLineChars="0"/>
              <w:jc w:val="center"/>
              <w:rPr>
                <w:b/>
                <w:bCs/>
                <w:color w:val="000000"/>
                <w:sz w:val="21"/>
                <w:szCs w:val="21"/>
              </w:rPr>
            </w:pPr>
            <w:r>
              <w:rPr>
                <w:b/>
                <w:bCs/>
                <w:color w:val="000000"/>
                <w:sz w:val="21"/>
                <w:szCs w:val="21"/>
              </w:rPr>
              <w:t>设计利用资源量</w:t>
            </w:r>
          </w:p>
          <w:p w14:paraId="48B20E27">
            <w:pPr>
              <w:spacing w:line="240" w:lineRule="auto"/>
              <w:ind w:firstLine="0" w:firstLineChars="0"/>
              <w:jc w:val="center"/>
              <w:rPr>
                <w:b/>
                <w:bCs/>
                <w:color w:val="000000"/>
                <w:sz w:val="21"/>
                <w:szCs w:val="21"/>
              </w:rPr>
            </w:pPr>
            <w:r>
              <w:rPr>
                <w:b/>
                <w:bCs/>
                <w:color w:val="000000"/>
                <w:sz w:val="21"/>
                <w:szCs w:val="21"/>
              </w:rPr>
              <w:t>（万t）</w:t>
            </w:r>
          </w:p>
        </w:tc>
        <w:tc>
          <w:tcPr>
            <w:tcW w:w="742" w:type="pct"/>
            <w:shd w:val="clear" w:color="auto" w:fill="auto"/>
            <w:noWrap/>
            <w:vAlign w:val="center"/>
          </w:tcPr>
          <w:p w14:paraId="71D5D4AB">
            <w:pPr>
              <w:spacing w:line="240" w:lineRule="auto"/>
              <w:ind w:firstLine="0" w:firstLineChars="0"/>
              <w:jc w:val="center"/>
              <w:rPr>
                <w:b/>
                <w:bCs/>
                <w:color w:val="000000"/>
                <w:sz w:val="21"/>
                <w:szCs w:val="21"/>
              </w:rPr>
            </w:pPr>
            <w:r>
              <w:rPr>
                <w:b/>
                <w:bCs/>
                <w:color w:val="000000"/>
                <w:sz w:val="21"/>
                <w:szCs w:val="21"/>
              </w:rPr>
              <w:t>采矿</w:t>
            </w:r>
          </w:p>
          <w:p w14:paraId="334C908B">
            <w:pPr>
              <w:spacing w:line="240" w:lineRule="auto"/>
              <w:ind w:firstLine="0" w:firstLineChars="0"/>
              <w:jc w:val="center"/>
              <w:rPr>
                <w:b/>
                <w:bCs/>
                <w:color w:val="000000"/>
                <w:sz w:val="21"/>
                <w:szCs w:val="21"/>
              </w:rPr>
            </w:pPr>
            <w:r>
              <w:rPr>
                <w:b/>
                <w:bCs/>
                <w:color w:val="000000"/>
                <w:sz w:val="21"/>
                <w:szCs w:val="21"/>
              </w:rPr>
              <w:t>回收率</w:t>
            </w:r>
          </w:p>
        </w:tc>
        <w:tc>
          <w:tcPr>
            <w:tcW w:w="1123" w:type="pct"/>
            <w:shd w:val="clear" w:color="auto" w:fill="auto"/>
            <w:noWrap/>
            <w:vAlign w:val="center"/>
          </w:tcPr>
          <w:p w14:paraId="1B51F80B">
            <w:pPr>
              <w:spacing w:line="240" w:lineRule="auto"/>
              <w:ind w:firstLine="0" w:firstLineChars="0"/>
              <w:jc w:val="center"/>
              <w:rPr>
                <w:b/>
                <w:bCs/>
                <w:color w:val="000000"/>
                <w:sz w:val="21"/>
                <w:szCs w:val="21"/>
              </w:rPr>
            </w:pPr>
            <w:r>
              <w:rPr>
                <w:b/>
                <w:bCs/>
                <w:color w:val="000000"/>
                <w:sz w:val="21"/>
                <w:szCs w:val="21"/>
              </w:rPr>
              <w:t>采出矿石量</w:t>
            </w:r>
          </w:p>
          <w:p w14:paraId="32A585C7">
            <w:pPr>
              <w:spacing w:line="240" w:lineRule="auto"/>
              <w:ind w:firstLine="0" w:firstLineChars="0"/>
              <w:jc w:val="center"/>
              <w:rPr>
                <w:b/>
                <w:bCs/>
                <w:color w:val="000000"/>
                <w:sz w:val="21"/>
                <w:szCs w:val="21"/>
              </w:rPr>
            </w:pPr>
            <w:r>
              <w:rPr>
                <w:b/>
                <w:bCs/>
                <w:color w:val="000000"/>
                <w:sz w:val="21"/>
                <w:szCs w:val="21"/>
              </w:rPr>
              <w:t>（万t）</w:t>
            </w:r>
          </w:p>
        </w:tc>
      </w:tr>
      <w:tr w14:paraId="0AB42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850" w:type="pct"/>
            <w:shd w:val="clear" w:color="auto" w:fill="auto"/>
            <w:noWrap/>
            <w:vAlign w:val="center"/>
          </w:tcPr>
          <w:p w14:paraId="01521240">
            <w:pPr>
              <w:spacing w:line="240" w:lineRule="auto"/>
              <w:ind w:firstLine="0" w:firstLineChars="0"/>
              <w:jc w:val="center"/>
              <w:rPr>
                <w:color w:val="000000"/>
                <w:sz w:val="21"/>
                <w:szCs w:val="21"/>
              </w:rPr>
            </w:pPr>
            <w:r>
              <w:rPr>
                <w:color w:val="000000"/>
                <w:sz w:val="21"/>
                <w:szCs w:val="21"/>
              </w:rPr>
              <w:t>2760</w:t>
            </w:r>
          </w:p>
        </w:tc>
        <w:tc>
          <w:tcPr>
            <w:tcW w:w="782" w:type="pct"/>
            <w:shd w:val="clear" w:color="auto" w:fill="auto"/>
            <w:noWrap/>
            <w:vAlign w:val="center"/>
          </w:tcPr>
          <w:p w14:paraId="4492E1EA">
            <w:pPr>
              <w:spacing w:line="240" w:lineRule="auto"/>
              <w:ind w:firstLine="0" w:firstLineChars="0"/>
              <w:jc w:val="center"/>
              <w:rPr>
                <w:color w:val="000000"/>
                <w:sz w:val="21"/>
                <w:szCs w:val="21"/>
              </w:rPr>
            </w:pPr>
            <w:r>
              <w:rPr>
                <w:color w:val="000000"/>
                <w:sz w:val="21"/>
                <w:szCs w:val="21"/>
              </w:rPr>
              <w:t>15</w:t>
            </w:r>
          </w:p>
        </w:tc>
        <w:tc>
          <w:tcPr>
            <w:tcW w:w="1503" w:type="pct"/>
            <w:shd w:val="clear" w:color="auto" w:fill="auto"/>
            <w:noWrap/>
            <w:vAlign w:val="center"/>
          </w:tcPr>
          <w:p w14:paraId="51F19E7B">
            <w:pPr>
              <w:spacing w:line="240" w:lineRule="auto"/>
              <w:ind w:firstLine="0" w:firstLineChars="0"/>
              <w:jc w:val="center"/>
              <w:rPr>
                <w:color w:val="000000"/>
                <w:sz w:val="21"/>
                <w:szCs w:val="21"/>
              </w:rPr>
            </w:pPr>
            <w:r>
              <w:rPr>
                <w:color w:val="000000"/>
                <w:sz w:val="21"/>
                <w:szCs w:val="21"/>
              </w:rPr>
              <w:t>5.07</w:t>
            </w:r>
          </w:p>
        </w:tc>
        <w:tc>
          <w:tcPr>
            <w:tcW w:w="742" w:type="pct"/>
            <w:shd w:val="clear" w:color="auto" w:fill="auto"/>
            <w:noWrap/>
            <w:vAlign w:val="center"/>
          </w:tcPr>
          <w:p w14:paraId="3D59BD22">
            <w:pPr>
              <w:spacing w:line="240" w:lineRule="auto"/>
              <w:ind w:firstLine="0" w:firstLineChars="0"/>
              <w:jc w:val="center"/>
              <w:rPr>
                <w:color w:val="000000"/>
                <w:sz w:val="21"/>
                <w:szCs w:val="21"/>
              </w:rPr>
            </w:pPr>
            <w:r>
              <w:rPr>
                <w:color w:val="000000"/>
                <w:sz w:val="21"/>
                <w:szCs w:val="21"/>
              </w:rPr>
              <w:t>0.95</w:t>
            </w:r>
          </w:p>
        </w:tc>
        <w:tc>
          <w:tcPr>
            <w:tcW w:w="1123" w:type="pct"/>
            <w:shd w:val="clear" w:color="auto" w:fill="auto"/>
            <w:noWrap/>
            <w:vAlign w:val="center"/>
          </w:tcPr>
          <w:p w14:paraId="36B9A322">
            <w:pPr>
              <w:spacing w:line="240" w:lineRule="auto"/>
              <w:ind w:firstLine="0" w:firstLineChars="0"/>
              <w:jc w:val="center"/>
              <w:rPr>
                <w:color w:val="000000"/>
                <w:sz w:val="21"/>
                <w:szCs w:val="21"/>
              </w:rPr>
            </w:pPr>
            <w:r>
              <w:rPr>
                <w:color w:val="000000"/>
                <w:sz w:val="21"/>
                <w:szCs w:val="21"/>
              </w:rPr>
              <w:t>4.81</w:t>
            </w:r>
          </w:p>
        </w:tc>
      </w:tr>
      <w:tr w14:paraId="12520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850" w:type="pct"/>
            <w:shd w:val="clear" w:color="auto" w:fill="auto"/>
            <w:noWrap/>
            <w:vAlign w:val="center"/>
          </w:tcPr>
          <w:p w14:paraId="3CD96BC2">
            <w:pPr>
              <w:spacing w:line="240" w:lineRule="auto"/>
              <w:ind w:firstLine="0" w:firstLineChars="0"/>
              <w:jc w:val="center"/>
              <w:rPr>
                <w:color w:val="000000"/>
                <w:sz w:val="21"/>
                <w:szCs w:val="21"/>
              </w:rPr>
            </w:pPr>
            <w:r>
              <w:rPr>
                <w:color w:val="000000"/>
                <w:sz w:val="21"/>
                <w:szCs w:val="21"/>
              </w:rPr>
              <w:t>2745</w:t>
            </w:r>
          </w:p>
        </w:tc>
        <w:tc>
          <w:tcPr>
            <w:tcW w:w="782" w:type="pct"/>
            <w:shd w:val="clear" w:color="auto" w:fill="auto"/>
            <w:noWrap/>
            <w:vAlign w:val="center"/>
          </w:tcPr>
          <w:p w14:paraId="7C07C10C">
            <w:pPr>
              <w:spacing w:line="240" w:lineRule="auto"/>
              <w:ind w:firstLine="0" w:firstLineChars="0"/>
              <w:jc w:val="center"/>
              <w:rPr>
                <w:color w:val="000000"/>
                <w:sz w:val="21"/>
                <w:szCs w:val="21"/>
              </w:rPr>
            </w:pPr>
            <w:r>
              <w:rPr>
                <w:color w:val="000000"/>
                <w:sz w:val="21"/>
                <w:szCs w:val="21"/>
              </w:rPr>
              <w:t>15</w:t>
            </w:r>
          </w:p>
        </w:tc>
        <w:tc>
          <w:tcPr>
            <w:tcW w:w="1503" w:type="pct"/>
            <w:shd w:val="clear" w:color="auto" w:fill="auto"/>
            <w:noWrap/>
            <w:vAlign w:val="center"/>
          </w:tcPr>
          <w:p w14:paraId="5085E5D1">
            <w:pPr>
              <w:spacing w:line="240" w:lineRule="auto"/>
              <w:ind w:firstLine="0" w:firstLineChars="0"/>
              <w:jc w:val="center"/>
              <w:rPr>
                <w:color w:val="000000"/>
                <w:sz w:val="21"/>
                <w:szCs w:val="21"/>
              </w:rPr>
            </w:pPr>
            <w:r>
              <w:rPr>
                <w:color w:val="000000"/>
                <w:sz w:val="21"/>
                <w:szCs w:val="21"/>
              </w:rPr>
              <w:t>33.51</w:t>
            </w:r>
          </w:p>
        </w:tc>
        <w:tc>
          <w:tcPr>
            <w:tcW w:w="742" w:type="pct"/>
            <w:shd w:val="clear" w:color="auto" w:fill="auto"/>
            <w:noWrap/>
            <w:vAlign w:val="center"/>
          </w:tcPr>
          <w:p w14:paraId="3BCE5187">
            <w:pPr>
              <w:spacing w:line="240" w:lineRule="auto"/>
              <w:ind w:firstLine="0" w:firstLineChars="0"/>
              <w:jc w:val="center"/>
              <w:rPr>
                <w:color w:val="000000"/>
                <w:sz w:val="21"/>
                <w:szCs w:val="21"/>
              </w:rPr>
            </w:pPr>
            <w:r>
              <w:rPr>
                <w:color w:val="000000"/>
                <w:sz w:val="21"/>
                <w:szCs w:val="21"/>
              </w:rPr>
              <w:t>0.95</w:t>
            </w:r>
          </w:p>
        </w:tc>
        <w:tc>
          <w:tcPr>
            <w:tcW w:w="1123" w:type="pct"/>
            <w:shd w:val="clear" w:color="auto" w:fill="auto"/>
            <w:noWrap/>
            <w:vAlign w:val="center"/>
          </w:tcPr>
          <w:p w14:paraId="751A7045">
            <w:pPr>
              <w:spacing w:line="240" w:lineRule="auto"/>
              <w:ind w:firstLine="0" w:firstLineChars="0"/>
              <w:jc w:val="center"/>
              <w:rPr>
                <w:color w:val="000000"/>
                <w:sz w:val="21"/>
                <w:szCs w:val="21"/>
              </w:rPr>
            </w:pPr>
            <w:r>
              <w:rPr>
                <w:color w:val="000000"/>
                <w:sz w:val="21"/>
                <w:szCs w:val="21"/>
              </w:rPr>
              <w:t>31.83</w:t>
            </w:r>
          </w:p>
        </w:tc>
      </w:tr>
      <w:tr w14:paraId="1C132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850" w:type="pct"/>
            <w:shd w:val="clear" w:color="auto" w:fill="auto"/>
            <w:noWrap/>
            <w:vAlign w:val="center"/>
          </w:tcPr>
          <w:p w14:paraId="70832D16">
            <w:pPr>
              <w:spacing w:line="240" w:lineRule="auto"/>
              <w:ind w:firstLine="0" w:firstLineChars="0"/>
              <w:jc w:val="center"/>
              <w:rPr>
                <w:color w:val="000000"/>
                <w:sz w:val="21"/>
                <w:szCs w:val="21"/>
              </w:rPr>
            </w:pPr>
            <w:r>
              <w:rPr>
                <w:color w:val="000000"/>
                <w:sz w:val="21"/>
                <w:szCs w:val="21"/>
              </w:rPr>
              <w:t>2730</w:t>
            </w:r>
          </w:p>
        </w:tc>
        <w:tc>
          <w:tcPr>
            <w:tcW w:w="782" w:type="pct"/>
            <w:shd w:val="clear" w:color="auto" w:fill="auto"/>
            <w:noWrap/>
            <w:vAlign w:val="center"/>
          </w:tcPr>
          <w:p w14:paraId="7365953B">
            <w:pPr>
              <w:spacing w:line="240" w:lineRule="auto"/>
              <w:ind w:firstLine="0" w:firstLineChars="0"/>
              <w:jc w:val="center"/>
              <w:rPr>
                <w:color w:val="000000"/>
                <w:sz w:val="21"/>
                <w:szCs w:val="21"/>
              </w:rPr>
            </w:pPr>
            <w:r>
              <w:rPr>
                <w:color w:val="000000"/>
                <w:sz w:val="21"/>
                <w:szCs w:val="21"/>
              </w:rPr>
              <w:t>15</w:t>
            </w:r>
          </w:p>
        </w:tc>
        <w:tc>
          <w:tcPr>
            <w:tcW w:w="1503" w:type="pct"/>
            <w:shd w:val="clear" w:color="auto" w:fill="auto"/>
            <w:noWrap/>
            <w:vAlign w:val="center"/>
          </w:tcPr>
          <w:p w14:paraId="1B1AFC89">
            <w:pPr>
              <w:spacing w:line="240" w:lineRule="auto"/>
              <w:ind w:firstLine="0" w:firstLineChars="0"/>
              <w:jc w:val="center"/>
              <w:rPr>
                <w:color w:val="000000"/>
                <w:sz w:val="21"/>
                <w:szCs w:val="21"/>
              </w:rPr>
            </w:pPr>
            <w:r>
              <w:rPr>
                <w:color w:val="000000"/>
                <w:sz w:val="21"/>
                <w:szCs w:val="21"/>
              </w:rPr>
              <w:t>73.40</w:t>
            </w:r>
          </w:p>
        </w:tc>
        <w:tc>
          <w:tcPr>
            <w:tcW w:w="742" w:type="pct"/>
            <w:shd w:val="clear" w:color="auto" w:fill="auto"/>
            <w:noWrap/>
            <w:vAlign w:val="center"/>
          </w:tcPr>
          <w:p w14:paraId="7556D03C">
            <w:pPr>
              <w:spacing w:line="240" w:lineRule="auto"/>
              <w:ind w:firstLine="0" w:firstLineChars="0"/>
              <w:jc w:val="center"/>
              <w:rPr>
                <w:color w:val="000000"/>
                <w:sz w:val="21"/>
                <w:szCs w:val="21"/>
              </w:rPr>
            </w:pPr>
            <w:r>
              <w:rPr>
                <w:color w:val="000000"/>
                <w:sz w:val="21"/>
                <w:szCs w:val="21"/>
              </w:rPr>
              <w:t>0.95</w:t>
            </w:r>
          </w:p>
        </w:tc>
        <w:tc>
          <w:tcPr>
            <w:tcW w:w="1123" w:type="pct"/>
            <w:shd w:val="clear" w:color="auto" w:fill="auto"/>
            <w:noWrap/>
            <w:vAlign w:val="center"/>
          </w:tcPr>
          <w:p w14:paraId="1E7F7E0B">
            <w:pPr>
              <w:spacing w:line="240" w:lineRule="auto"/>
              <w:ind w:firstLine="0" w:firstLineChars="0"/>
              <w:jc w:val="center"/>
              <w:rPr>
                <w:color w:val="000000"/>
                <w:sz w:val="21"/>
                <w:szCs w:val="21"/>
              </w:rPr>
            </w:pPr>
            <w:r>
              <w:rPr>
                <w:color w:val="000000"/>
                <w:sz w:val="21"/>
                <w:szCs w:val="21"/>
              </w:rPr>
              <w:t>69.73</w:t>
            </w:r>
          </w:p>
        </w:tc>
      </w:tr>
      <w:tr w14:paraId="39577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850" w:type="pct"/>
            <w:shd w:val="clear" w:color="auto" w:fill="auto"/>
            <w:noWrap/>
            <w:vAlign w:val="center"/>
          </w:tcPr>
          <w:p w14:paraId="2540AFE8">
            <w:pPr>
              <w:spacing w:line="240" w:lineRule="auto"/>
              <w:ind w:firstLine="0" w:firstLineChars="0"/>
              <w:jc w:val="center"/>
              <w:rPr>
                <w:color w:val="000000"/>
                <w:sz w:val="21"/>
                <w:szCs w:val="21"/>
              </w:rPr>
            </w:pPr>
            <w:r>
              <w:rPr>
                <w:color w:val="000000"/>
                <w:sz w:val="21"/>
                <w:szCs w:val="21"/>
              </w:rPr>
              <w:t>2715</w:t>
            </w:r>
          </w:p>
        </w:tc>
        <w:tc>
          <w:tcPr>
            <w:tcW w:w="782" w:type="pct"/>
            <w:shd w:val="clear" w:color="auto" w:fill="auto"/>
            <w:noWrap/>
            <w:vAlign w:val="center"/>
          </w:tcPr>
          <w:p w14:paraId="3DA91A31">
            <w:pPr>
              <w:spacing w:line="240" w:lineRule="auto"/>
              <w:ind w:firstLine="0" w:firstLineChars="0"/>
              <w:jc w:val="center"/>
              <w:rPr>
                <w:color w:val="000000"/>
                <w:sz w:val="21"/>
                <w:szCs w:val="21"/>
              </w:rPr>
            </w:pPr>
            <w:r>
              <w:rPr>
                <w:color w:val="000000"/>
                <w:sz w:val="21"/>
                <w:szCs w:val="21"/>
              </w:rPr>
              <w:t>15</w:t>
            </w:r>
          </w:p>
        </w:tc>
        <w:tc>
          <w:tcPr>
            <w:tcW w:w="1503" w:type="pct"/>
            <w:shd w:val="clear" w:color="auto" w:fill="auto"/>
            <w:noWrap/>
            <w:vAlign w:val="center"/>
          </w:tcPr>
          <w:p w14:paraId="1B5EAB83">
            <w:pPr>
              <w:spacing w:line="240" w:lineRule="auto"/>
              <w:ind w:firstLine="0" w:firstLineChars="0"/>
              <w:jc w:val="center"/>
              <w:rPr>
                <w:color w:val="000000"/>
                <w:sz w:val="21"/>
                <w:szCs w:val="21"/>
              </w:rPr>
            </w:pPr>
            <w:r>
              <w:rPr>
                <w:color w:val="000000"/>
                <w:sz w:val="21"/>
                <w:szCs w:val="21"/>
              </w:rPr>
              <w:t>74.98</w:t>
            </w:r>
          </w:p>
        </w:tc>
        <w:tc>
          <w:tcPr>
            <w:tcW w:w="742" w:type="pct"/>
            <w:shd w:val="clear" w:color="auto" w:fill="auto"/>
            <w:noWrap/>
            <w:vAlign w:val="center"/>
          </w:tcPr>
          <w:p w14:paraId="19E66EAC">
            <w:pPr>
              <w:spacing w:line="240" w:lineRule="auto"/>
              <w:ind w:firstLine="0" w:firstLineChars="0"/>
              <w:jc w:val="center"/>
              <w:rPr>
                <w:color w:val="000000"/>
                <w:sz w:val="21"/>
                <w:szCs w:val="21"/>
              </w:rPr>
            </w:pPr>
            <w:r>
              <w:rPr>
                <w:color w:val="000000"/>
                <w:sz w:val="21"/>
                <w:szCs w:val="21"/>
              </w:rPr>
              <w:t>0.95</w:t>
            </w:r>
          </w:p>
        </w:tc>
        <w:tc>
          <w:tcPr>
            <w:tcW w:w="1123" w:type="pct"/>
            <w:shd w:val="clear" w:color="auto" w:fill="auto"/>
            <w:noWrap/>
            <w:vAlign w:val="center"/>
          </w:tcPr>
          <w:p w14:paraId="38308B29">
            <w:pPr>
              <w:spacing w:line="240" w:lineRule="auto"/>
              <w:ind w:firstLine="0" w:firstLineChars="0"/>
              <w:jc w:val="center"/>
              <w:rPr>
                <w:color w:val="000000"/>
                <w:sz w:val="21"/>
                <w:szCs w:val="21"/>
              </w:rPr>
            </w:pPr>
            <w:r>
              <w:rPr>
                <w:color w:val="000000"/>
                <w:sz w:val="21"/>
                <w:szCs w:val="21"/>
              </w:rPr>
              <w:t>71.23</w:t>
            </w:r>
          </w:p>
        </w:tc>
      </w:tr>
      <w:tr w14:paraId="3C028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850" w:type="pct"/>
            <w:shd w:val="clear" w:color="auto" w:fill="auto"/>
            <w:noWrap/>
            <w:vAlign w:val="center"/>
          </w:tcPr>
          <w:p w14:paraId="6AE73955">
            <w:pPr>
              <w:spacing w:line="240" w:lineRule="auto"/>
              <w:ind w:firstLine="0" w:firstLineChars="0"/>
              <w:jc w:val="center"/>
              <w:rPr>
                <w:color w:val="000000"/>
                <w:sz w:val="21"/>
                <w:szCs w:val="21"/>
              </w:rPr>
            </w:pPr>
            <w:r>
              <w:rPr>
                <w:color w:val="000000"/>
                <w:sz w:val="21"/>
                <w:szCs w:val="21"/>
              </w:rPr>
              <w:t>2700</w:t>
            </w:r>
          </w:p>
        </w:tc>
        <w:tc>
          <w:tcPr>
            <w:tcW w:w="782" w:type="pct"/>
            <w:shd w:val="clear" w:color="auto" w:fill="auto"/>
            <w:noWrap/>
            <w:vAlign w:val="center"/>
          </w:tcPr>
          <w:p w14:paraId="438F5502">
            <w:pPr>
              <w:spacing w:line="240" w:lineRule="auto"/>
              <w:ind w:firstLine="0" w:firstLineChars="0"/>
              <w:jc w:val="center"/>
              <w:rPr>
                <w:color w:val="000000"/>
                <w:sz w:val="21"/>
                <w:szCs w:val="21"/>
              </w:rPr>
            </w:pPr>
            <w:r>
              <w:rPr>
                <w:color w:val="000000"/>
                <w:sz w:val="21"/>
                <w:szCs w:val="21"/>
              </w:rPr>
              <w:t>15</w:t>
            </w:r>
          </w:p>
        </w:tc>
        <w:tc>
          <w:tcPr>
            <w:tcW w:w="1503" w:type="pct"/>
            <w:shd w:val="clear" w:color="auto" w:fill="auto"/>
            <w:noWrap/>
            <w:vAlign w:val="center"/>
          </w:tcPr>
          <w:p w14:paraId="6CBD138D">
            <w:pPr>
              <w:spacing w:line="240" w:lineRule="auto"/>
              <w:ind w:firstLine="0" w:firstLineChars="0"/>
              <w:jc w:val="center"/>
              <w:rPr>
                <w:color w:val="000000"/>
                <w:sz w:val="21"/>
                <w:szCs w:val="21"/>
              </w:rPr>
            </w:pPr>
            <w:r>
              <w:rPr>
                <w:color w:val="000000"/>
                <w:sz w:val="21"/>
                <w:szCs w:val="21"/>
              </w:rPr>
              <w:t>52.13</w:t>
            </w:r>
          </w:p>
        </w:tc>
        <w:tc>
          <w:tcPr>
            <w:tcW w:w="742" w:type="pct"/>
            <w:shd w:val="clear" w:color="auto" w:fill="auto"/>
            <w:noWrap/>
            <w:vAlign w:val="center"/>
          </w:tcPr>
          <w:p w14:paraId="2CA402A8">
            <w:pPr>
              <w:spacing w:line="240" w:lineRule="auto"/>
              <w:ind w:firstLine="0" w:firstLineChars="0"/>
              <w:jc w:val="center"/>
              <w:rPr>
                <w:color w:val="000000"/>
                <w:sz w:val="21"/>
                <w:szCs w:val="21"/>
              </w:rPr>
            </w:pPr>
            <w:r>
              <w:rPr>
                <w:color w:val="000000"/>
                <w:sz w:val="21"/>
                <w:szCs w:val="21"/>
              </w:rPr>
              <w:t>0.95</w:t>
            </w:r>
          </w:p>
        </w:tc>
        <w:tc>
          <w:tcPr>
            <w:tcW w:w="1123" w:type="pct"/>
            <w:shd w:val="clear" w:color="auto" w:fill="auto"/>
            <w:noWrap/>
            <w:vAlign w:val="center"/>
          </w:tcPr>
          <w:p w14:paraId="2B06B961">
            <w:pPr>
              <w:spacing w:line="240" w:lineRule="auto"/>
              <w:ind w:firstLine="0" w:firstLineChars="0"/>
              <w:jc w:val="center"/>
              <w:rPr>
                <w:color w:val="000000"/>
                <w:sz w:val="21"/>
                <w:szCs w:val="21"/>
              </w:rPr>
            </w:pPr>
            <w:r>
              <w:rPr>
                <w:color w:val="000000"/>
                <w:sz w:val="21"/>
                <w:szCs w:val="21"/>
              </w:rPr>
              <w:t>49.52</w:t>
            </w:r>
          </w:p>
        </w:tc>
      </w:tr>
      <w:tr w14:paraId="2FF0F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632" w:type="pct"/>
            <w:gridSpan w:val="2"/>
            <w:shd w:val="clear" w:color="auto" w:fill="auto"/>
            <w:noWrap/>
            <w:vAlign w:val="center"/>
          </w:tcPr>
          <w:p w14:paraId="486641E6">
            <w:pPr>
              <w:spacing w:line="240" w:lineRule="auto"/>
              <w:ind w:firstLine="0" w:firstLineChars="0"/>
              <w:jc w:val="center"/>
              <w:rPr>
                <w:color w:val="000000"/>
                <w:sz w:val="21"/>
                <w:szCs w:val="21"/>
              </w:rPr>
            </w:pPr>
            <w:r>
              <w:rPr>
                <w:color w:val="000000"/>
                <w:sz w:val="21"/>
                <w:szCs w:val="21"/>
              </w:rPr>
              <w:t>合计</w:t>
            </w:r>
          </w:p>
        </w:tc>
        <w:tc>
          <w:tcPr>
            <w:tcW w:w="1503" w:type="pct"/>
            <w:shd w:val="clear" w:color="auto" w:fill="auto"/>
            <w:noWrap/>
            <w:vAlign w:val="center"/>
          </w:tcPr>
          <w:p w14:paraId="15FAE3AF">
            <w:pPr>
              <w:spacing w:line="240" w:lineRule="auto"/>
              <w:ind w:firstLine="0" w:firstLineChars="0"/>
              <w:jc w:val="center"/>
              <w:rPr>
                <w:color w:val="000000"/>
                <w:sz w:val="21"/>
                <w:szCs w:val="21"/>
              </w:rPr>
            </w:pPr>
            <w:r>
              <w:rPr>
                <w:color w:val="000000"/>
                <w:sz w:val="21"/>
                <w:szCs w:val="21"/>
              </w:rPr>
              <w:t>248.4</w:t>
            </w:r>
          </w:p>
        </w:tc>
        <w:tc>
          <w:tcPr>
            <w:tcW w:w="742" w:type="pct"/>
            <w:shd w:val="clear" w:color="auto" w:fill="auto"/>
            <w:noWrap/>
            <w:vAlign w:val="center"/>
          </w:tcPr>
          <w:p w14:paraId="54FD5CDB">
            <w:pPr>
              <w:spacing w:line="240" w:lineRule="auto"/>
              <w:ind w:firstLine="0" w:firstLineChars="0"/>
              <w:jc w:val="center"/>
              <w:rPr>
                <w:color w:val="000000"/>
                <w:sz w:val="21"/>
                <w:szCs w:val="21"/>
              </w:rPr>
            </w:pPr>
          </w:p>
        </w:tc>
        <w:tc>
          <w:tcPr>
            <w:tcW w:w="1123" w:type="pct"/>
            <w:shd w:val="clear" w:color="auto" w:fill="auto"/>
            <w:noWrap/>
            <w:vAlign w:val="center"/>
          </w:tcPr>
          <w:p w14:paraId="16E024D0">
            <w:pPr>
              <w:spacing w:line="240" w:lineRule="auto"/>
              <w:ind w:firstLine="0" w:firstLineChars="0"/>
              <w:jc w:val="center"/>
              <w:rPr>
                <w:color w:val="000000"/>
                <w:sz w:val="21"/>
                <w:szCs w:val="21"/>
              </w:rPr>
            </w:pPr>
            <w:r>
              <w:rPr>
                <w:color w:val="000000"/>
                <w:sz w:val="21"/>
                <w:szCs w:val="21"/>
              </w:rPr>
              <w:t>227.12</w:t>
            </w:r>
          </w:p>
        </w:tc>
      </w:tr>
      <w:bookmarkEnd w:id="270"/>
    </w:tbl>
    <w:p w14:paraId="4B634463">
      <w:pPr>
        <w:pStyle w:val="5"/>
        <w:spacing w:before="0" w:beforeLines="0"/>
        <w:rPr>
          <w:b/>
          <w:bCs w:val="0"/>
        </w:rPr>
      </w:pPr>
      <w:bookmarkStart w:id="271" w:name="_Toc454614257"/>
      <w:bookmarkStart w:id="272" w:name="_Toc3937"/>
      <w:bookmarkStart w:id="273" w:name="_Toc8276"/>
      <w:bookmarkStart w:id="274" w:name="_Toc59420508"/>
      <w:bookmarkStart w:id="275" w:name="_Toc31462"/>
      <w:bookmarkStart w:id="276" w:name="_Toc5001"/>
      <w:bookmarkStart w:id="277" w:name="_Toc8847"/>
      <w:bookmarkStart w:id="278" w:name="_Toc384121560"/>
      <w:bookmarkStart w:id="279" w:name="_Toc23936"/>
      <w:bookmarkStart w:id="280" w:name="_Toc23682"/>
      <w:bookmarkStart w:id="281" w:name="_Toc24669"/>
      <w:r>
        <w:rPr>
          <w:b/>
          <w:bCs w:val="0"/>
        </w:rPr>
        <w:t>2.4建设概况</w:t>
      </w:r>
      <w:bookmarkEnd w:id="271"/>
      <w:bookmarkEnd w:id="272"/>
      <w:bookmarkEnd w:id="273"/>
      <w:bookmarkEnd w:id="274"/>
      <w:bookmarkEnd w:id="275"/>
      <w:bookmarkEnd w:id="276"/>
      <w:bookmarkEnd w:id="277"/>
      <w:bookmarkEnd w:id="278"/>
      <w:bookmarkEnd w:id="279"/>
      <w:bookmarkEnd w:id="280"/>
      <w:bookmarkEnd w:id="281"/>
    </w:p>
    <w:p w14:paraId="3A4374E3">
      <w:pPr>
        <w:pStyle w:val="6"/>
        <w:ind w:firstLine="562"/>
        <w:rPr>
          <w:rFonts w:eastAsia="宋体"/>
          <w:b/>
          <w:bCs w:val="0"/>
        </w:rPr>
      </w:pPr>
      <w:bookmarkStart w:id="282" w:name="_Toc476008035"/>
      <w:bookmarkStart w:id="283" w:name="_Toc16500"/>
      <w:bookmarkStart w:id="284" w:name="_Toc7624"/>
      <w:bookmarkStart w:id="285" w:name="_Toc59420509"/>
      <w:bookmarkStart w:id="286" w:name="_Toc16308"/>
      <w:r>
        <w:rPr>
          <w:rFonts w:eastAsia="宋体"/>
          <w:b/>
          <w:bCs w:val="0"/>
        </w:rPr>
        <w:t>2.4.1矿山开采现状</w:t>
      </w:r>
      <w:bookmarkEnd w:id="282"/>
      <w:bookmarkEnd w:id="283"/>
      <w:bookmarkEnd w:id="284"/>
      <w:bookmarkEnd w:id="285"/>
      <w:bookmarkEnd w:id="286"/>
    </w:p>
    <w:p w14:paraId="48E80A05">
      <w:pPr>
        <w:keepNext/>
        <w:keepLines/>
        <w:ind w:firstLine="560"/>
        <w:jc w:val="left"/>
        <w:outlineLvl w:val="3"/>
        <w:rPr>
          <w:rFonts w:eastAsia="黑体"/>
          <w:bCs/>
          <w:szCs w:val="28"/>
        </w:rPr>
      </w:pPr>
      <w:bookmarkStart w:id="287" w:name="_Toc384121562"/>
      <w:bookmarkStart w:id="288" w:name="_Toc454614259"/>
      <w:bookmarkStart w:id="289" w:name="_Toc59420510"/>
      <w:bookmarkStart w:id="290" w:name="_Toc3866"/>
      <w:bookmarkStart w:id="291" w:name="_Toc12906"/>
      <w:bookmarkStart w:id="292" w:name="_Toc17698"/>
      <w:r>
        <w:rPr>
          <w:rFonts w:eastAsia="黑体"/>
          <w:bCs/>
          <w:szCs w:val="28"/>
        </w:rPr>
        <w:t>2.4.1.1 以往设计工作及办证情况</w:t>
      </w:r>
    </w:p>
    <w:p w14:paraId="08D54EB1">
      <w:pPr>
        <w:adjustRightInd/>
        <w:snapToGrid/>
        <w:ind w:firstLine="560"/>
        <w:rPr>
          <w:szCs w:val="28"/>
        </w:rPr>
      </w:pPr>
      <w:r>
        <w:rPr>
          <w:szCs w:val="28"/>
        </w:rPr>
        <w:t>2020年12月，企业委托云南延发矿业科技有限公司编制了《安全设施设计》并通过专家评审，于2021年11月26日取得安全生产许可证后正常生产至重新进行设计前。</w:t>
      </w:r>
    </w:p>
    <w:p w14:paraId="7A388CDA">
      <w:pPr>
        <w:adjustRightInd/>
        <w:snapToGrid/>
        <w:ind w:firstLine="560"/>
        <w:rPr>
          <w:szCs w:val="28"/>
        </w:rPr>
      </w:pPr>
      <w:r>
        <w:rPr>
          <w:szCs w:val="28"/>
        </w:rPr>
        <w:t>原设计开采标高为2790m</w:t>
      </w:r>
      <w:r>
        <w:rPr>
          <w:rFonts w:hint="eastAsia"/>
          <w:szCs w:val="28"/>
        </w:rPr>
        <w:t>—</w:t>
      </w:r>
      <w:r>
        <w:rPr>
          <w:szCs w:val="28"/>
        </w:rPr>
        <w:t>2700m，设计台阶高度为15m，间隔两个安全平台设置一个清扫平台，采用公路开拓汽车运输方式。原矿山设计时，暂未对周边民房进行租赁，暂未收到林业和草原局通知，故仅在矿区南部官寨村民小组300m影响范围设置了禁采区。</w:t>
      </w:r>
    </w:p>
    <w:p w14:paraId="66807C02">
      <w:pPr>
        <w:adjustRightInd/>
        <w:snapToGrid/>
        <w:ind w:firstLine="560"/>
        <w:rPr>
          <w:color w:val="000000" w:themeColor="text1"/>
          <w14:textFill>
            <w14:solidFill>
              <w14:schemeClr w14:val="tx1"/>
            </w14:solidFill>
          </w14:textFill>
        </w:rPr>
      </w:pPr>
      <w:r>
        <w:rPr>
          <w:color w:val="000000" w:themeColor="text1"/>
          <w14:textFill>
            <w14:solidFill>
              <w14:schemeClr w14:val="tx1"/>
            </w14:solidFill>
          </w14:textFill>
        </w:rPr>
        <w:t>矿山现状的开采因矿区东北部天然牧草地范围影响，未能按原设计向东北部推进，仅在矿区西部进行生产作业。</w:t>
      </w:r>
    </w:p>
    <w:p w14:paraId="6A223975">
      <w:pPr>
        <w:wordWrap w:val="0"/>
        <w:adjustRightInd/>
        <w:snapToGrid/>
        <w:ind w:firstLine="560"/>
        <w:rPr>
          <w:color w:val="000000"/>
          <w:szCs w:val="21"/>
        </w:rPr>
      </w:pPr>
      <w:r>
        <w:rPr>
          <w:color w:val="000000"/>
          <w:szCs w:val="21"/>
        </w:rPr>
        <w:t>矿山最早于2020年12月1日设立采矿权，采矿许可证证号为C5306252020127100151009，矿区由7个拐点圈定，开采面积为0.0673km</w:t>
      </w:r>
      <w:r>
        <w:rPr>
          <w:color w:val="000000"/>
          <w:szCs w:val="21"/>
          <w:vertAlign w:val="superscript"/>
        </w:rPr>
        <w:t>2</w:t>
      </w:r>
      <w:r>
        <w:rPr>
          <w:color w:val="000000"/>
          <w:szCs w:val="21"/>
        </w:rPr>
        <w:t>，有效期为：2020年12月1日至2026年12月1日，开采矿种：建筑石料用灰岩；开采方式：露天开采；开采规模：30万t/年；开采标高2790m</w:t>
      </w:r>
      <w:r>
        <w:rPr>
          <w:rFonts w:hint="eastAsia"/>
          <w:color w:val="000000"/>
          <w:szCs w:val="21"/>
        </w:rPr>
        <w:t>—</w:t>
      </w:r>
      <w:r>
        <w:rPr>
          <w:color w:val="000000"/>
          <w:szCs w:val="21"/>
        </w:rPr>
        <w:t>2700m。2021年矿山已履行“三同时”手续，于2021年11月26日取得安全生产许可证，有效期自2021年11月26日至2024年11月25日，编号为（昭）FM安许证字【2021】001号，发证机关昭通市应急管理局。</w:t>
      </w:r>
    </w:p>
    <w:p w14:paraId="3E032A73">
      <w:pPr>
        <w:adjustRightInd/>
        <w:snapToGrid/>
        <w:ind w:firstLine="560"/>
        <w:rPr>
          <w:color w:val="000000"/>
          <w:szCs w:val="21"/>
        </w:rPr>
      </w:pPr>
      <w:r>
        <w:rPr>
          <w:color w:val="000000"/>
          <w:szCs w:val="21"/>
        </w:rPr>
        <w:t>2022年8月，企业考虑自身发展需求，向有关部门申请扩大生产规模，并于2022年8月26日拿到云南省固定资产投资项目备案证，矿山生产规模由原来的30万t/年变更为50万t/年。但矿山采矿许可证暂未进行变更。</w:t>
      </w:r>
    </w:p>
    <w:p w14:paraId="1A805BAA">
      <w:pPr>
        <w:keepNext/>
        <w:keepLines/>
        <w:ind w:firstLine="560"/>
        <w:jc w:val="left"/>
        <w:outlineLvl w:val="3"/>
        <w:rPr>
          <w:rFonts w:eastAsia="黑体"/>
          <w:bCs/>
          <w:szCs w:val="28"/>
        </w:rPr>
      </w:pPr>
      <w:r>
        <w:rPr>
          <w:rFonts w:eastAsia="黑体"/>
          <w:bCs/>
          <w:szCs w:val="28"/>
        </w:rPr>
        <w:t>2.4.1.2 矿山开采现状</w:t>
      </w:r>
    </w:p>
    <w:p w14:paraId="49495316">
      <w:pPr>
        <w:adjustRightInd/>
        <w:snapToGrid/>
        <w:ind w:firstLine="560"/>
        <w:rPr>
          <w:szCs w:val="28"/>
        </w:rPr>
      </w:pPr>
      <w:r>
        <w:rPr>
          <w:szCs w:val="28"/>
        </w:rPr>
        <w:t>永善润佳制造有限责任公司永善县茂林镇松林村海子采石场为改扩建矿山，已提前建设有办公生活区、机汽修车间、破碎站、道路等场地及辅助设施等。</w:t>
      </w:r>
    </w:p>
    <w:p w14:paraId="1D055407">
      <w:pPr>
        <w:adjustRightInd/>
        <w:snapToGrid/>
        <w:ind w:firstLine="560"/>
        <w:rPr>
          <w:szCs w:val="28"/>
        </w:rPr>
      </w:pPr>
      <w:r>
        <w:rPr>
          <w:szCs w:val="28"/>
          <w:lang w:val="zh-CN"/>
        </w:rPr>
        <w:t>（</w:t>
      </w:r>
      <w:r>
        <w:rPr>
          <w:szCs w:val="28"/>
        </w:rPr>
        <w:t>1</w:t>
      </w:r>
      <w:r>
        <w:rPr>
          <w:szCs w:val="28"/>
          <w:lang w:val="zh-CN"/>
        </w:rPr>
        <w:t>）</w:t>
      </w:r>
      <w:r>
        <w:rPr>
          <w:szCs w:val="28"/>
        </w:rPr>
        <w:t>露天采场开采现状</w:t>
      </w:r>
    </w:p>
    <w:p w14:paraId="70754CA2">
      <w:pPr>
        <w:adjustRightInd/>
        <w:snapToGrid/>
        <w:ind w:firstLine="560"/>
        <w:rPr>
          <w:szCs w:val="28"/>
        </w:rPr>
      </w:pPr>
      <w:r>
        <w:rPr>
          <w:szCs w:val="28"/>
        </w:rPr>
        <w:t>矿山自2021年11月25日取得安全生产许可证后生产至重新进行</w:t>
      </w:r>
      <w:r>
        <w:rPr>
          <w:rFonts w:hint="eastAsia"/>
          <w:szCs w:val="28"/>
        </w:rPr>
        <w:t>设计</w:t>
      </w:r>
      <w:r>
        <w:rPr>
          <w:szCs w:val="28"/>
        </w:rPr>
        <w:t>前，已经形成一个总体呈“椭圆”型的露天采坑。该露天采坑位于矿区西北侧，顶部标高约为2780m，底部标高为2700m，高差约80m。露天采坑由上至下大致形成了3个平台，分别为27</w:t>
      </w:r>
      <w:r>
        <w:rPr>
          <w:rFonts w:hint="eastAsia"/>
          <w:szCs w:val="28"/>
        </w:rPr>
        <w:t>50</w:t>
      </w:r>
      <w:r>
        <w:rPr>
          <w:szCs w:val="28"/>
        </w:rPr>
        <w:t>m平台、2740m平台、2718m平台。台阶高度8</w:t>
      </w:r>
      <w:r>
        <w:rPr>
          <w:rFonts w:hint="eastAsia"/>
          <w:szCs w:val="28"/>
        </w:rPr>
        <w:t>—</w:t>
      </w:r>
      <w:r>
        <w:rPr>
          <w:szCs w:val="28"/>
        </w:rPr>
        <w:t>22m，宽度5</w:t>
      </w:r>
      <w:r>
        <w:rPr>
          <w:rFonts w:hint="eastAsia"/>
          <w:szCs w:val="28"/>
        </w:rPr>
        <w:t>—</w:t>
      </w:r>
      <w:r>
        <w:rPr>
          <w:szCs w:val="28"/>
        </w:rPr>
        <w:t>44m，台阶坡面角32-63°，最大最终边坡角约42°。该露天采坑北部局部存在越界开采。</w:t>
      </w:r>
    </w:p>
    <w:p w14:paraId="5F09D69D">
      <w:pPr>
        <w:adjustRightInd/>
        <w:snapToGrid/>
        <w:ind w:firstLine="560"/>
        <w:rPr>
          <w:color w:val="000000" w:themeColor="text1"/>
          <w:szCs w:val="28"/>
          <w14:textFill>
            <w14:solidFill>
              <w14:schemeClr w14:val="tx1"/>
            </w14:solidFill>
          </w14:textFill>
        </w:rPr>
      </w:pPr>
      <w:r>
        <w:rPr>
          <w:rFonts w:hint="eastAsia"/>
          <w:color w:val="000000" w:themeColor="text1"/>
          <w:szCs w:val="28"/>
          <w14:textFill>
            <w14:solidFill>
              <w14:schemeClr w14:val="tx1"/>
            </w14:solidFill>
          </w14:textFill>
        </w:rPr>
        <w:t>企业于2024年12月24日取得《应急管理部门审查意见》及基建批复，矿山原安全生产许可证至2024年11月25日到期，矿山于原安全许可证有效期内对矿山原北部采空区进行了局部修整。修整后矿山北部采空区现状</w:t>
      </w:r>
      <w:r>
        <w:rPr>
          <w:color w:val="000000" w:themeColor="text1"/>
          <w:szCs w:val="28"/>
          <w14:textFill>
            <w14:solidFill>
              <w14:schemeClr w14:val="tx1"/>
            </w14:solidFill>
          </w14:textFill>
        </w:rPr>
        <w:t>顶部标高约为2780m，底部标高为27</w:t>
      </w:r>
      <w:r>
        <w:rPr>
          <w:rFonts w:hint="eastAsia"/>
          <w:color w:val="000000" w:themeColor="text1"/>
          <w:szCs w:val="28"/>
          <w14:textFill>
            <w14:solidFill>
              <w14:schemeClr w14:val="tx1"/>
            </w14:solidFill>
          </w14:textFill>
        </w:rPr>
        <w:t>4</w:t>
      </w:r>
      <w:r>
        <w:rPr>
          <w:color w:val="000000" w:themeColor="text1"/>
          <w:szCs w:val="28"/>
          <w14:textFill>
            <w14:solidFill>
              <w14:schemeClr w14:val="tx1"/>
            </w14:solidFill>
          </w14:textFill>
        </w:rPr>
        <w:t>0m，高差约</w:t>
      </w:r>
      <w:r>
        <w:rPr>
          <w:rFonts w:hint="eastAsia"/>
          <w:color w:val="000000" w:themeColor="text1"/>
          <w:szCs w:val="28"/>
          <w14:textFill>
            <w14:solidFill>
              <w14:schemeClr w14:val="tx1"/>
            </w14:solidFill>
          </w14:textFill>
        </w:rPr>
        <w:t>4</w:t>
      </w:r>
      <w:r>
        <w:rPr>
          <w:color w:val="000000" w:themeColor="text1"/>
          <w:szCs w:val="28"/>
          <w14:textFill>
            <w14:solidFill>
              <w14:schemeClr w14:val="tx1"/>
            </w14:solidFill>
          </w14:textFill>
        </w:rPr>
        <w:t>0m。露天采坑由上至下大致形成了</w:t>
      </w:r>
      <w:r>
        <w:rPr>
          <w:rFonts w:hint="eastAsia"/>
          <w:color w:val="000000" w:themeColor="text1"/>
          <w:szCs w:val="28"/>
          <w14:textFill>
            <w14:solidFill>
              <w14:schemeClr w14:val="tx1"/>
            </w14:solidFill>
          </w14:textFill>
        </w:rPr>
        <w:t>2</w:t>
      </w:r>
      <w:r>
        <w:rPr>
          <w:color w:val="000000" w:themeColor="text1"/>
          <w:szCs w:val="28"/>
          <w14:textFill>
            <w14:solidFill>
              <w14:schemeClr w14:val="tx1"/>
            </w14:solidFill>
          </w14:textFill>
        </w:rPr>
        <w:t>个平台，分别为27</w:t>
      </w:r>
      <w:r>
        <w:rPr>
          <w:rFonts w:hint="eastAsia"/>
          <w:color w:val="000000" w:themeColor="text1"/>
          <w:szCs w:val="28"/>
          <w14:textFill>
            <w14:solidFill>
              <w14:schemeClr w14:val="tx1"/>
            </w14:solidFill>
          </w14:textFill>
        </w:rPr>
        <w:t>50</w:t>
      </w:r>
      <w:r>
        <w:rPr>
          <w:color w:val="000000" w:themeColor="text1"/>
          <w:szCs w:val="28"/>
          <w14:textFill>
            <w14:solidFill>
              <w14:schemeClr w14:val="tx1"/>
            </w14:solidFill>
          </w14:textFill>
        </w:rPr>
        <w:t>m平台、2740m平台。台阶高度8</w:t>
      </w:r>
      <w:r>
        <w:rPr>
          <w:rFonts w:hint="eastAsia"/>
          <w:color w:val="000000" w:themeColor="text1"/>
          <w:szCs w:val="28"/>
          <w14:textFill>
            <w14:solidFill>
              <w14:schemeClr w14:val="tx1"/>
            </w14:solidFill>
          </w14:textFill>
        </w:rPr>
        <w:t>—</w:t>
      </w:r>
      <w:r>
        <w:rPr>
          <w:color w:val="000000" w:themeColor="text1"/>
          <w:szCs w:val="28"/>
          <w14:textFill>
            <w14:solidFill>
              <w14:schemeClr w14:val="tx1"/>
            </w14:solidFill>
          </w14:textFill>
        </w:rPr>
        <w:t>22m，宽度5</w:t>
      </w:r>
      <w:r>
        <w:rPr>
          <w:rFonts w:hint="eastAsia"/>
          <w:color w:val="000000" w:themeColor="text1"/>
          <w:szCs w:val="28"/>
          <w14:textFill>
            <w14:solidFill>
              <w14:schemeClr w14:val="tx1"/>
            </w14:solidFill>
          </w14:textFill>
        </w:rPr>
        <w:t>—78</w:t>
      </w:r>
      <w:r>
        <w:rPr>
          <w:color w:val="000000" w:themeColor="text1"/>
          <w:szCs w:val="28"/>
          <w14:textFill>
            <w14:solidFill>
              <w14:schemeClr w14:val="tx1"/>
            </w14:solidFill>
          </w14:textFill>
        </w:rPr>
        <w:t>m，台阶坡面角32-63°，最大最终边坡角约42°。</w:t>
      </w:r>
    </w:p>
    <w:p w14:paraId="177B374E">
      <w:pPr>
        <w:adjustRightInd/>
        <w:snapToGrid/>
        <w:ind w:firstLine="560"/>
        <w:rPr>
          <w:szCs w:val="28"/>
          <w:lang w:val="zh-CN"/>
        </w:rPr>
      </w:pPr>
      <w:r>
        <w:rPr>
          <w:szCs w:val="28"/>
          <w:lang w:val="zh-CN"/>
        </w:rPr>
        <w:t>从现场踏勘调查情况看，该矿山局部围岩较为破碎，节理裂隙发育，完整性一般。从整体上看，采空区边坡现处于稳定状态。</w:t>
      </w:r>
    </w:p>
    <w:p w14:paraId="6D055EE2">
      <w:pPr>
        <w:adjustRightInd/>
        <w:snapToGrid/>
        <w:ind w:firstLine="560"/>
        <w:rPr>
          <w:szCs w:val="28"/>
        </w:rPr>
      </w:pPr>
      <w:r>
        <w:rPr>
          <w:szCs w:val="28"/>
          <w:lang w:val="zh-CN"/>
        </w:rPr>
        <w:t>（</w:t>
      </w:r>
      <w:r>
        <w:rPr>
          <w:szCs w:val="28"/>
        </w:rPr>
        <w:t>2</w:t>
      </w:r>
      <w:r>
        <w:rPr>
          <w:szCs w:val="28"/>
          <w:lang w:val="zh-CN"/>
        </w:rPr>
        <w:t>）</w:t>
      </w:r>
      <w:r>
        <w:rPr>
          <w:szCs w:val="28"/>
        </w:rPr>
        <w:t>运输道路</w:t>
      </w:r>
    </w:p>
    <w:p w14:paraId="0216031C">
      <w:pPr>
        <w:adjustRightInd/>
        <w:snapToGrid/>
        <w:ind w:firstLine="560"/>
        <w:rPr>
          <w:szCs w:val="28"/>
        </w:rPr>
      </w:pPr>
      <w:r>
        <w:rPr>
          <w:szCs w:val="28"/>
        </w:rPr>
        <w:t>现状采用公路开拓汽车运输方式，已修建有矿石运输道路，最高可由卸矿平台上至露天采坑顶部2780m安全平台，道路宽度3</w:t>
      </w:r>
      <w:r>
        <w:rPr>
          <w:rFonts w:hint="eastAsia"/>
          <w:szCs w:val="28"/>
        </w:rPr>
        <w:t>—</w:t>
      </w:r>
      <w:r>
        <w:rPr>
          <w:szCs w:val="28"/>
        </w:rPr>
        <w:t>8m，最大纵坡20%，平均纵坡11.52%。该条道路局部宽度过小、纵坡过大，不满足《厂矿道路设计规范》（GBJ22-87）要求，</w:t>
      </w:r>
      <w:r>
        <w:rPr>
          <w:color w:val="000000" w:themeColor="text1"/>
          <w14:textFill>
            <w14:solidFill>
              <w14:schemeClr w14:val="tx1"/>
            </w14:solidFill>
          </w14:textFill>
        </w:rPr>
        <w:t>设计在该条原有道路基础上，整改修建矿山运输道路。</w:t>
      </w:r>
    </w:p>
    <w:p w14:paraId="2181F827">
      <w:pPr>
        <w:adjustRightInd/>
        <w:snapToGrid/>
        <w:ind w:firstLine="560"/>
        <w:rPr>
          <w:szCs w:val="28"/>
        </w:rPr>
      </w:pPr>
      <w:r>
        <w:rPr>
          <w:szCs w:val="28"/>
        </w:rPr>
        <w:t>（3）工业场地及破碎站</w:t>
      </w:r>
    </w:p>
    <w:p w14:paraId="1219C5BE">
      <w:pPr>
        <w:adjustRightInd/>
        <w:snapToGrid/>
        <w:ind w:firstLine="560"/>
        <w:rPr>
          <w:szCs w:val="28"/>
        </w:rPr>
      </w:pPr>
      <w:bookmarkStart w:id="293" w:name="_Hlk165040720"/>
      <w:r>
        <w:rPr>
          <w:szCs w:val="28"/>
        </w:rPr>
        <w:t>工业场地位于破碎站旁。矿山配套破碎站位于矿区南部矿5拐点旁。矿山正常生产时，矿石由各工作点运输至2715m卸矿平台进行卸矿，后由破碎系统进行破碎。</w:t>
      </w:r>
      <w:bookmarkEnd w:id="293"/>
      <w:r>
        <w:rPr>
          <w:szCs w:val="28"/>
        </w:rPr>
        <w:t>矿山配套的破碎系统已由业主进行了设备配套升级，能够满足矿山实际生产需求。</w:t>
      </w:r>
    </w:p>
    <w:p w14:paraId="01C3BEC7">
      <w:pPr>
        <w:numPr>
          <w:ilvl w:val="0"/>
          <w:numId w:val="9"/>
        </w:numPr>
        <w:adjustRightInd/>
        <w:snapToGrid/>
        <w:ind w:firstLine="560"/>
        <w:rPr>
          <w:szCs w:val="28"/>
          <w:lang w:val="zh-CN"/>
        </w:rPr>
      </w:pPr>
      <w:r>
        <w:rPr>
          <w:szCs w:val="28"/>
          <w:lang w:val="zh-CN"/>
        </w:rPr>
        <w:t>办公区</w:t>
      </w:r>
    </w:p>
    <w:p w14:paraId="4D7A86F9">
      <w:pPr>
        <w:ind w:firstLine="560"/>
        <w:rPr>
          <w:szCs w:val="28"/>
          <w:lang w:val="zh-CN"/>
        </w:rPr>
      </w:pPr>
      <w:r>
        <w:rPr>
          <w:szCs w:val="28"/>
          <w:lang w:val="zh-CN"/>
        </w:rPr>
        <w:t>办公室、生活区、工业场地等设施</w:t>
      </w:r>
      <w:r>
        <w:rPr>
          <w:szCs w:val="28"/>
        </w:rPr>
        <w:t>均已建成，</w:t>
      </w:r>
      <w:r>
        <w:rPr>
          <w:szCs w:val="28"/>
          <w:lang w:val="zh-CN"/>
        </w:rPr>
        <w:t>位于矿区南西侧。</w:t>
      </w:r>
    </w:p>
    <w:p w14:paraId="7098DE84">
      <w:pPr>
        <w:numPr>
          <w:ilvl w:val="0"/>
          <w:numId w:val="9"/>
        </w:numPr>
        <w:adjustRightInd/>
        <w:snapToGrid/>
        <w:ind w:firstLine="560"/>
        <w:rPr>
          <w:szCs w:val="28"/>
          <w:lang w:val="zh-CN"/>
        </w:rPr>
      </w:pPr>
      <w:r>
        <w:rPr>
          <w:szCs w:val="28"/>
        </w:rPr>
        <w:t>生活区</w:t>
      </w:r>
    </w:p>
    <w:p w14:paraId="339D598D">
      <w:pPr>
        <w:adjustRightInd/>
        <w:snapToGrid/>
        <w:ind w:firstLine="560"/>
        <w:rPr>
          <w:szCs w:val="28"/>
          <w:lang w:val="zh-CN"/>
        </w:rPr>
      </w:pPr>
      <w:r>
        <w:rPr>
          <w:szCs w:val="28"/>
        </w:rPr>
        <w:t>矿山生活区依托于矿山东南侧的官寨村民小组</w:t>
      </w:r>
      <w:r>
        <w:rPr>
          <w:szCs w:val="28"/>
          <w:lang w:val="zh-CN"/>
        </w:rPr>
        <w:t>。</w:t>
      </w:r>
    </w:p>
    <w:p w14:paraId="368149C5">
      <w:pPr>
        <w:adjustRightInd/>
        <w:snapToGrid/>
        <w:ind w:firstLine="560"/>
        <w:rPr>
          <w:szCs w:val="28"/>
          <w:lang w:val="zh-CN"/>
        </w:rPr>
      </w:pPr>
      <w:r>
        <w:rPr>
          <w:szCs w:val="28"/>
          <w:lang w:val="zh-CN"/>
        </w:rPr>
        <w:t>（</w:t>
      </w:r>
      <w:r>
        <w:rPr>
          <w:szCs w:val="28"/>
        </w:rPr>
        <w:t>5</w:t>
      </w:r>
      <w:r>
        <w:rPr>
          <w:szCs w:val="28"/>
          <w:lang w:val="zh-CN"/>
        </w:rPr>
        <w:t>）</w:t>
      </w:r>
      <w:r>
        <w:rPr>
          <w:szCs w:val="28"/>
        </w:rPr>
        <w:t>供电</w:t>
      </w:r>
    </w:p>
    <w:p w14:paraId="18F7D25A">
      <w:pPr>
        <w:adjustRightInd/>
        <w:snapToGrid/>
        <w:ind w:firstLine="560"/>
        <w:rPr>
          <w:szCs w:val="28"/>
          <w:lang w:val="zh-CN"/>
        </w:rPr>
      </w:pPr>
      <w:r>
        <w:rPr>
          <w:szCs w:val="28"/>
          <w:lang w:val="zh-CN"/>
        </w:rPr>
        <w:t>矿山供电引自附近村镇10kV电网，经矿山配电室降压后供给矿山用电设备，矿山设置配电室，位于</w:t>
      </w:r>
      <w:r>
        <w:rPr>
          <w:szCs w:val="28"/>
        </w:rPr>
        <w:t>矿权南侧工业场地</w:t>
      </w:r>
      <w:r>
        <w:rPr>
          <w:szCs w:val="28"/>
          <w:lang w:val="zh-CN"/>
        </w:rPr>
        <w:t>，供电电压为10k</w:t>
      </w:r>
      <w:r>
        <w:rPr>
          <w:rFonts w:hint="eastAsia"/>
          <w:szCs w:val="28"/>
        </w:rPr>
        <w:t>V</w:t>
      </w:r>
      <w:r>
        <w:rPr>
          <w:szCs w:val="28"/>
          <w:lang w:val="zh-CN"/>
        </w:rPr>
        <w:t>。矿山用电范围主要为破碎系统、照明、矿山工业场地用电，供电能力可以满足设计的矿山建设项目用电需求。</w:t>
      </w:r>
    </w:p>
    <w:p w14:paraId="764D7A9E">
      <w:pPr>
        <w:adjustRightInd/>
        <w:snapToGrid/>
        <w:ind w:firstLine="560"/>
        <w:rPr>
          <w:szCs w:val="28"/>
          <w:lang w:val="zh-CN"/>
        </w:rPr>
      </w:pPr>
      <w:r>
        <w:rPr>
          <w:szCs w:val="28"/>
        </w:rPr>
        <w:t>（6）供水</w:t>
      </w:r>
    </w:p>
    <w:p w14:paraId="1565FAE2">
      <w:pPr>
        <w:adjustRightInd/>
        <w:snapToGrid/>
        <w:ind w:firstLine="560"/>
        <w:rPr>
          <w:szCs w:val="28"/>
          <w:lang w:val="zh-CN"/>
        </w:rPr>
      </w:pPr>
      <w:r>
        <w:rPr>
          <w:szCs w:val="28"/>
        </w:rPr>
        <w:t>矿区生产、生活用水引自附近官寨小组，取水点距矿区约350m。</w:t>
      </w:r>
      <w:r>
        <w:rPr>
          <w:szCs w:val="28"/>
          <w:lang w:val="zh-CN"/>
        </w:rPr>
        <w:t>矿山现已有完善的供水系统，</w:t>
      </w:r>
      <w:r>
        <w:rPr>
          <w:szCs w:val="28"/>
        </w:rPr>
        <w:t>能够满足矿山生产生活需求</w:t>
      </w:r>
      <w:r>
        <w:rPr>
          <w:szCs w:val="28"/>
          <w:lang w:val="zh-CN"/>
        </w:rPr>
        <w:t>。</w:t>
      </w:r>
    </w:p>
    <w:p w14:paraId="045670C5">
      <w:pPr>
        <w:adjustRightInd/>
        <w:snapToGrid/>
        <w:ind w:firstLine="560"/>
        <w:rPr>
          <w:szCs w:val="28"/>
          <w:lang w:val="zh-CN"/>
        </w:rPr>
      </w:pPr>
      <w:r>
        <w:rPr>
          <w:szCs w:val="28"/>
          <w:lang w:val="zh-CN"/>
        </w:rPr>
        <w:t>矿山现已有完善的供水系统，供水能力可满足设计的用水需求。</w:t>
      </w:r>
    </w:p>
    <w:p w14:paraId="0330DFAE">
      <w:pPr>
        <w:adjustRightInd/>
        <w:snapToGrid/>
        <w:ind w:firstLine="560"/>
        <w:rPr>
          <w:szCs w:val="28"/>
          <w:lang w:val="zh-CN"/>
        </w:rPr>
      </w:pPr>
      <w:r>
        <w:rPr>
          <w:szCs w:val="28"/>
          <w:lang w:val="zh-CN"/>
        </w:rPr>
        <w:t>（</w:t>
      </w:r>
      <w:r>
        <w:rPr>
          <w:szCs w:val="28"/>
        </w:rPr>
        <w:t>7</w:t>
      </w:r>
      <w:r>
        <w:rPr>
          <w:szCs w:val="28"/>
          <w:lang w:val="zh-CN"/>
        </w:rPr>
        <w:t>）</w:t>
      </w:r>
      <w:r>
        <w:rPr>
          <w:szCs w:val="28"/>
        </w:rPr>
        <w:t>排土场</w:t>
      </w:r>
    </w:p>
    <w:p w14:paraId="0501CCD6">
      <w:pPr>
        <w:adjustRightInd/>
        <w:snapToGrid/>
        <w:ind w:firstLine="560"/>
        <w:rPr>
          <w:szCs w:val="28"/>
          <w:lang w:val="zh-CN"/>
        </w:rPr>
      </w:pPr>
      <w:r>
        <w:rPr>
          <w:szCs w:val="28"/>
        </w:rPr>
        <w:t>矿山未设置排土场</w:t>
      </w:r>
      <w:r>
        <w:rPr>
          <w:szCs w:val="28"/>
          <w:lang w:val="zh-CN"/>
        </w:rPr>
        <w:t>。</w:t>
      </w:r>
    </w:p>
    <w:p w14:paraId="311BF12E">
      <w:pPr>
        <w:adjustRightInd/>
        <w:snapToGrid/>
        <w:ind w:firstLine="560"/>
        <w:rPr>
          <w:szCs w:val="28"/>
          <w:lang w:val="zh-CN"/>
        </w:rPr>
      </w:pPr>
      <w:r>
        <w:rPr>
          <w:szCs w:val="28"/>
          <w:lang w:val="zh-CN"/>
        </w:rPr>
        <w:t>（</w:t>
      </w:r>
      <w:r>
        <w:rPr>
          <w:szCs w:val="28"/>
        </w:rPr>
        <w:t>8</w:t>
      </w:r>
      <w:r>
        <w:rPr>
          <w:szCs w:val="28"/>
          <w:lang w:val="zh-CN"/>
        </w:rPr>
        <w:t>）利旧工程</w:t>
      </w:r>
    </w:p>
    <w:p w14:paraId="18004E77">
      <w:pPr>
        <w:adjustRightInd/>
        <w:snapToGrid/>
        <w:ind w:firstLine="560"/>
        <w:rPr>
          <w:szCs w:val="28"/>
          <w:lang w:val="zh-CN"/>
        </w:rPr>
      </w:pPr>
      <w:bookmarkStart w:id="294" w:name="_Hlk120806255"/>
      <w:bookmarkStart w:id="295" w:name="_Hlk134104456"/>
      <w:r>
        <w:rPr>
          <w:szCs w:val="28"/>
          <w:lang w:val="zh-CN"/>
        </w:rPr>
        <w:t>设计利用其已有办公室、生活区、工业场地、运输道路等设施</w:t>
      </w:r>
      <w:bookmarkEnd w:id="294"/>
      <w:r>
        <w:rPr>
          <w:szCs w:val="28"/>
          <w:lang w:val="zh-CN"/>
        </w:rPr>
        <w:t>，</w:t>
      </w:r>
      <w:bookmarkStart w:id="296" w:name="_Hlk109808351"/>
      <w:r>
        <w:rPr>
          <w:szCs w:val="28"/>
          <w:lang w:val="zh-CN"/>
        </w:rPr>
        <w:t>矿山破碎站已建成，位于矿区</w:t>
      </w:r>
      <w:bookmarkEnd w:id="295"/>
      <w:bookmarkEnd w:id="296"/>
      <w:r>
        <w:rPr>
          <w:szCs w:val="28"/>
          <w:lang w:val="zh-CN"/>
        </w:rPr>
        <w:t>南西侧。</w:t>
      </w:r>
    </w:p>
    <w:p w14:paraId="5ECEF0E0">
      <w:pPr>
        <w:adjustRightInd/>
        <w:snapToGrid/>
        <w:ind w:firstLine="560"/>
        <w:rPr>
          <w:szCs w:val="28"/>
          <w:lang w:val="zh-CN"/>
        </w:rPr>
      </w:pPr>
      <w:r>
        <w:rPr>
          <w:szCs w:val="28"/>
          <w:lang w:val="zh-CN"/>
        </w:rPr>
        <w:t>（</w:t>
      </w:r>
      <w:r>
        <w:rPr>
          <w:szCs w:val="28"/>
        </w:rPr>
        <w:t>9</w:t>
      </w:r>
      <w:r>
        <w:rPr>
          <w:szCs w:val="28"/>
          <w:lang w:val="zh-CN"/>
        </w:rPr>
        <w:t>）主要负责人和安</w:t>
      </w:r>
      <w:r>
        <w:rPr>
          <w:rFonts w:hint="eastAsia"/>
          <w:szCs w:val="28"/>
        </w:rPr>
        <w:t>全</w:t>
      </w:r>
      <w:r>
        <w:rPr>
          <w:szCs w:val="28"/>
          <w:lang w:val="zh-CN"/>
        </w:rPr>
        <w:t>管理人员持证情况</w:t>
      </w:r>
    </w:p>
    <w:p w14:paraId="43FBA810">
      <w:pPr>
        <w:adjustRightInd/>
        <w:snapToGrid/>
        <w:ind w:firstLine="560"/>
        <w:rPr>
          <w:szCs w:val="28"/>
          <w:lang w:val="zh-CN"/>
        </w:rPr>
      </w:pPr>
      <w:r>
        <w:rPr>
          <w:szCs w:val="28"/>
          <w:lang w:val="zh-CN"/>
        </w:rPr>
        <w:t>矿山配备了主要</w:t>
      </w:r>
      <w:r>
        <w:rPr>
          <w:rFonts w:hint="eastAsia"/>
          <w:szCs w:val="28"/>
          <w:lang w:val="zh-CN"/>
        </w:rPr>
        <w:t>负责</w:t>
      </w:r>
      <w:r>
        <w:rPr>
          <w:szCs w:val="28"/>
          <w:lang w:val="zh-CN"/>
        </w:rPr>
        <w:t>人、安全管理人员等（证件在有效期内），设置了安全生产管理机构，编制了安全生产规章制度等文件。</w:t>
      </w:r>
    </w:p>
    <w:p w14:paraId="286B5883">
      <w:pPr>
        <w:adjustRightInd/>
        <w:snapToGrid/>
        <w:ind w:firstLine="560"/>
        <w:rPr>
          <w:szCs w:val="28"/>
        </w:rPr>
      </w:pPr>
      <w:r>
        <w:rPr>
          <w:szCs w:val="28"/>
          <w:lang w:val="zh-CN"/>
        </w:rPr>
        <w:t>（</w:t>
      </w:r>
      <w:r>
        <w:rPr>
          <w:szCs w:val="28"/>
        </w:rPr>
        <w:t>10</w:t>
      </w:r>
      <w:r>
        <w:rPr>
          <w:szCs w:val="28"/>
          <w:lang w:val="zh-CN"/>
        </w:rPr>
        <w:t>）</w:t>
      </w:r>
      <w:r>
        <w:rPr>
          <w:szCs w:val="28"/>
        </w:rPr>
        <w:t>矿山现有设备</w:t>
      </w:r>
    </w:p>
    <w:p w14:paraId="392F663E">
      <w:pPr>
        <w:keepNext/>
        <w:keepLines/>
        <w:adjustRightInd/>
        <w:snapToGrid/>
        <w:spacing w:line="240" w:lineRule="auto"/>
        <w:ind w:firstLine="0" w:firstLineChars="0"/>
        <w:jc w:val="center"/>
        <w:rPr>
          <w:sz w:val="24"/>
          <w:szCs w:val="24"/>
        </w:rPr>
      </w:pPr>
      <w:r>
        <w:rPr>
          <w:sz w:val="24"/>
          <w:szCs w:val="24"/>
        </w:rPr>
        <w:t>表2.4-1  矿山主要采矿设备表</w:t>
      </w:r>
    </w:p>
    <w:tbl>
      <w:tblPr>
        <w:tblStyle w:val="4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4"/>
        <w:gridCol w:w="3171"/>
        <w:gridCol w:w="3141"/>
        <w:gridCol w:w="1029"/>
        <w:gridCol w:w="1025"/>
      </w:tblGrid>
      <w:tr w14:paraId="51209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blHeader/>
        </w:trPr>
        <w:tc>
          <w:tcPr>
            <w:tcW w:w="550" w:type="pct"/>
            <w:vAlign w:val="center"/>
          </w:tcPr>
          <w:p w14:paraId="6A722B64">
            <w:pPr>
              <w:spacing w:line="240" w:lineRule="auto"/>
              <w:ind w:firstLine="0" w:firstLineChars="0"/>
              <w:jc w:val="center"/>
              <w:rPr>
                <w:b/>
                <w:bCs/>
                <w:sz w:val="21"/>
                <w:szCs w:val="21"/>
              </w:rPr>
            </w:pPr>
            <w:r>
              <w:rPr>
                <w:b/>
                <w:bCs/>
                <w:sz w:val="21"/>
                <w:szCs w:val="21"/>
              </w:rPr>
              <w:t>序号</w:t>
            </w:r>
          </w:p>
        </w:tc>
        <w:tc>
          <w:tcPr>
            <w:tcW w:w="1686" w:type="pct"/>
            <w:vAlign w:val="center"/>
          </w:tcPr>
          <w:p w14:paraId="38F7977C">
            <w:pPr>
              <w:spacing w:line="240" w:lineRule="auto"/>
              <w:ind w:firstLine="0" w:firstLineChars="0"/>
              <w:jc w:val="center"/>
              <w:rPr>
                <w:b/>
                <w:bCs/>
                <w:sz w:val="21"/>
                <w:szCs w:val="21"/>
              </w:rPr>
            </w:pPr>
            <w:r>
              <w:rPr>
                <w:b/>
                <w:bCs/>
                <w:sz w:val="21"/>
                <w:szCs w:val="21"/>
              </w:rPr>
              <w:t>设备名称</w:t>
            </w:r>
          </w:p>
        </w:tc>
        <w:tc>
          <w:tcPr>
            <w:tcW w:w="1670" w:type="pct"/>
            <w:vAlign w:val="center"/>
          </w:tcPr>
          <w:p w14:paraId="0D7B4911">
            <w:pPr>
              <w:spacing w:line="240" w:lineRule="auto"/>
              <w:ind w:firstLine="0" w:firstLineChars="0"/>
              <w:jc w:val="center"/>
              <w:rPr>
                <w:b/>
                <w:bCs/>
                <w:sz w:val="21"/>
                <w:szCs w:val="21"/>
              </w:rPr>
            </w:pPr>
            <w:r>
              <w:rPr>
                <w:b/>
                <w:bCs/>
                <w:sz w:val="21"/>
                <w:szCs w:val="21"/>
              </w:rPr>
              <w:t>型号</w:t>
            </w:r>
          </w:p>
        </w:tc>
        <w:tc>
          <w:tcPr>
            <w:tcW w:w="547" w:type="pct"/>
            <w:vAlign w:val="center"/>
          </w:tcPr>
          <w:p w14:paraId="4DAEBC8F">
            <w:pPr>
              <w:spacing w:line="240" w:lineRule="auto"/>
              <w:ind w:firstLine="0" w:firstLineChars="0"/>
              <w:jc w:val="center"/>
              <w:rPr>
                <w:b/>
                <w:bCs/>
                <w:sz w:val="21"/>
                <w:szCs w:val="21"/>
              </w:rPr>
            </w:pPr>
            <w:r>
              <w:rPr>
                <w:b/>
                <w:bCs/>
                <w:sz w:val="21"/>
                <w:szCs w:val="21"/>
              </w:rPr>
              <w:t>数量</w:t>
            </w:r>
          </w:p>
        </w:tc>
        <w:tc>
          <w:tcPr>
            <w:tcW w:w="545" w:type="pct"/>
            <w:vAlign w:val="center"/>
          </w:tcPr>
          <w:p w14:paraId="43849A4F">
            <w:pPr>
              <w:spacing w:line="240" w:lineRule="auto"/>
              <w:ind w:firstLine="0" w:firstLineChars="0"/>
              <w:jc w:val="center"/>
              <w:rPr>
                <w:b/>
                <w:bCs/>
                <w:sz w:val="21"/>
                <w:szCs w:val="21"/>
              </w:rPr>
            </w:pPr>
            <w:r>
              <w:rPr>
                <w:b/>
                <w:bCs/>
                <w:sz w:val="21"/>
                <w:szCs w:val="21"/>
              </w:rPr>
              <w:t>备注</w:t>
            </w:r>
          </w:p>
        </w:tc>
      </w:tr>
      <w:tr w14:paraId="0EBF6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550" w:type="pct"/>
            <w:vAlign w:val="center"/>
          </w:tcPr>
          <w:p w14:paraId="69ACB4F6">
            <w:pPr>
              <w:spacing w:line="240" w:lineRule="auto"/>
              <w:ind w:firstLine="0" w:firstLineChars="0"/>
              <w:jc w:val="center"/>
              <w:rPr>
                <w:sz w:val="21"/>
                <w:szCs w:val="21"/>
              </w:rPr>
            </w:pPr>
            <w:r>
              <w:rPr>
                <w:sz w:val="21"/>
                <w:szCs w:val="21"/>
              </w:rPr>
              <w:t>1</w:t>
            </w:r>
          </w:p>
        </w:tc>
        <w:tc>
          <w:tcPr>
            <w:tcW w:w="1686" w:type="pct"/>
            <w:vAlign w:val="center"/>
          </w:tcPr>
          <w:p w14:paraId="21A73030">
            <w:pPr>
              <w:spacing w:line="240" w:lineRule="auto"/>
              <w:ind w:firstLine="0" w:firstLineChars="0"/>
              <w:jc w:val="center"/>
              <w:rPr>
                <w:sz w:val="21"/>
                <w:szCs w:val="21"/>
              </w:rPr>
            </w:pPr>
            <w:r>
              <w:rPr>
                <w:sz w:val="21"/>
                <w:szCs w:val="21"/>
              </w:rPr>
              <w:t>潜孔钻机</w:t>
            </w:r>
          </w:p>
        </w:tc>
        <w:tc>
          <w:tcPr>
            <w:tcW w:w="1670" w:type="pct"/>
            <w:vAlign w:val="center"/>
          </w:tcPr>
          <w:p w14:paraId="25F06DB7">
            <w:pPr>
              <w:spacing w:line="240" w:lineRule="auto"/>
              <w:ind w:firstLine="0" w:firstLineChars="0"/>
              <w:jc w:val="center"/>
              <w:rPr>
                <w:sz w:val="21"/>
                <w:szCs w:val="21"/>
              </w:rPr>
            </w:pPr>
            <w:r>
              <w:rPr>
                <w:sz w:val="21"/>
                <w:szCs w:val="21"/>
              </w:rPr>
              <w:t>HC-726</w:t>
            </w:r>
          </w:p>
        </w:tc>
        <w:tc>
          <w:tcPr>
            <w:tcW w:w="547" w:type="pct"/>
            <w:vAlign w:val="center"/>
          </w:tcPr>
          <w:p w14:paraId="13ADDBE0">
            <w:pPr>
              <w:spacing w:line="240" w:lineRule="auto"/>
              <w:ind w:firstLine="0" w:firstLineChars="0"/>
              <w:jc w:val="center"/>
              <w:rPr>
                <w:sz w:val="21"/>
                <w:szCs w:val="21"/>
              </w:rPr>
            </w:pPr>
            <w:r>
              <w:rPr>
                <w:sz w:val="21"/>
                <w:szCs w:val="21"/>
              </w:rPr>
              <w:t>1台</w:t>
            </w:r>
          </w:p>
        </w:tc>
        <w:tc>
          <w:tcPr>
            <w:tcW w:w="545" w:type="pct"/>
            <w:vAlign w:val="center"/>
          </w:tcPr>
          <w:p w14:paraId="0FD8E46A">
            <w:pPr>
              <w:spacing w:line="240" w:lineRule="auto"/>
              <w:ind w:firstLine="0" w:firstLineChars="0"/>
              <w:jc w:val="center"/>
              <w:rPr>
                <w:sz w:val="21"/>
                <w:szCs w:val="21"/>
              </w:rPr>
            </w:pPr>
          </w:p>
        </w:tc>
      </w:tr>
      <w:tr w14:paraId="33A21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550" w:type="pct"/>
            <w:vAlign w:val="center"/>
          </w:tcPr>
          <w:p w14:paraId="5FEA3EDF">
            <w:pPr>
              <w:spacing w:line="240" w:lineRule="auto"/>
              <w:ind w:firstLine="0" w:firstLineChars="0"/>
              <w:jc w:val="center"/>
              <w:rPr>
                <w:sz w:val="21"/>
                <w:szCs w:val="21"/>
              </w:rPr>
            </w:pPr>
            <w:r>
              <w:rPr>
                <w:sz w:val="21"/>
                <w:szCs w:val="21"/>
              </w:rPr>
              <w:t>2</w:t>
            </w:r>
          </w:p>
        </w:tc>
        <w:tc>
          <w:tcPr>
            <w:tcW w:w="1686" w:type="pct"/>
            <w:vAlign w:val="center"/>
          </w:tcPr>
          <w:p w14:paraId="387AEBAC">
            <w:pPr>
              <w:spacing w:line="240" w:lineRule="auto"/>
              <w:ind w:firstLine="0" w:firstLineChars="0"/>
              <w:jc w:val="center"/>
              <w:rPr>
                <w:sz w:val="21"/>
                <w:szCs w:val="21"/>
              </w:rPr>
            </w:pPr>
            <w:r>
              <w:rPr>
                <w:sz w:val="21"/>
                <w:szCs w:val="21"/>
              </w:rPr>
              <w:t>挖掘机</w:t>
            </w:r>
          </w:p>
        </w:tc>
        <w:tc>
          <w:tcPr>
            <w:tcW w:w="1670" w:type="pct"/>
            <w:vAlign w:val="center"/>
          </w:tcPr>
          <w:p w14:paraId="5EAFE639">
            <w:pPr>
              <w:spacing w:line="240" w:lineRule="auto"/>
              <w:ind w:firstLine="0" w:firstLineChars="0"/>
              <w:jc w:val="center"/>
              <w:rPr>
                <w:sz w:val="21"/>
                <w:szCs w:val="21"/>
              </w:rPr>
            </w:pPr>
            <w:r>
              <w:rPr>
                <w:sz w:val="21"/>
                <w:szCs w:val="21"/>
              </w:rPr>
              <w:t>CAT336</w:t>
            </w:r>
          </w:p>
        </w:tc>
        <w:tc>
          <w:tcPr>
            <w:tcW w:w="547" w:type="pct"/>
            <w:vAlign w:val="center"/>
          </w:tcPr>
          <w:p w14:paraId="1D1FF027">
            <w:pPr>
              <w:spacing w:line="240" w:lineRule="auto"/>
              <w:ind w:firstLine="0" w:firstLineChars="0"/>
              <w:jc w:val="center"/>
              <w:rPr>
                <w:sz w:val="21"/>
                <w:szCs w:val="21"/>
              </w:rPr>
            </w:pPr>
            <w:r>
              <w:rPr>
                <w:sz w:val="21"/>
                <w:szCs w:val="21"/>
              </w:rPr>
              <w:t>1台</w:t>
            </w:r>
          </w:p>
        </w:tc>
        <w:tc>
          <w:tcPr>
            <w:tcW w:w="545" w:type="pct"/>
            <w:vAlign w:val="center"/>
          </w:tcPr>
          <w:p w14:paraId="6D4CBAAB">
            <w:pPr>
              <w:spacing w:line="240" w:lineRule="auto"/>
              <w:ind w:firstLine="0" w:firstLineChars="0"/>
              <w:jc w:val="center"/>
              <w:rPr>
                <w:sz w:val="21"/>
                <w:szCs w:val="21"/>
              </w:rPr>
            </w:pPr>
          </w:p>
        </w:tc>
      </w:tr>
      <w:tr w14:paraId="373DF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550" w:type="pct"/>
            <w:vAlign w:val="center"/>
          </w:tcPr>
          <w:p w14:paraId="6D2451EB">
            <w:pPr>
              <w:spacing w:line="240" w:lineRule="auto"/>
              <w:ind w:firstLine="0" w:firstLineChars="0"/>
              <w:jc w:val="center"/>
              <w:rPr>
                <w:sz w:val="21"/>
                <w:szCs w:val="21"/>
              </w:rPr>
            </w:pPr>
            <w:r>
              <w:rPr>
                <w:sz w:val="21"/>
                <w:szCs w:val="21"/>
              </w:rPr>
              <w:t>3</w:t>
            </w:r>
          </w:p>
        </w:tc>
        <w:tc>
          <w:tcPr>
            <w:tcW w:w="1686" w:type="pct"/>
            <w:vAlign w:val="center"/>
          </w:tcPr>
          <w:p w14:paraId="25679B0F">
            <w:pPr>
              <w:spacing w:line="240" w:lineRule="auto"/>
              <w:ind w:firstLine="0" w:firstLineChars="0"/>
              <w:jc w:val="center"/>
              <w:rPr>
                <w:sz w:val="21"/>
                <w:szCs w:val="21"/>
              </w:rPr>
            </w:pPr>
            <w:r>
              <w:rPr>
                <w:sz w:val="21"/>
                <w:szCs w:val="21"/>
              </w:rPr>
              <w:t>挖掘机</w:t>
            </w:r>
          </w:p>
        </w:tc>
        <w:tc>
          <w:tcPr>
            <w:tcW w:w="1670" w:type="pct"/>
            <w:vAlign w:val="center"/>
          </w:tcPr>
          <w:p w14:paraId="12B45D80">
            <w:pPr>
              <w:spacing w:line="240" w:lineRule="auto"/>
              <w:ind w:firstLine="0" w:firstLineChars="0"/>
              <w:jc w:val="center"/>
              <w:rPr>
                <w:sz w:val="21"/>
                <w:szCs w:val="21"/>
              </w:rPr>
            </w:pPr>
            <w:r>
              <w:rPr>
                <w:sz w:val="21"/>
                <w:szCs w:val="21"/>
              </w:rPr>
              <w:t>ZG3365LC-9C</w:t>
            </w:r>
          </w:p>
        </w:tc>
        <w:tc>
          <w:tcPr>
            <w:tcW w:w="547" w:type="pct"/>
            <w:vAlign w:val="center"/>
          </w:tcPr>
          <w:p w14:paraId="2C73C32E">
            <w:pPr>
              <w:spacing w:line="240" w:lineRule="auto"/>
              <w:ind w:firstLine="0" w:firstLineChars="0"/>
              <w:jc w:val="center"/>
              <w:rPr>
                <w:sz w:val="21"/>
                <w:szCs w:val="21"/>
              </w:rPr>
            </w:pPr>
            <w:r>
              <w:rPr>
                <w:sz w:val="21"/>
                <w:szCs w:val="21"/>
              </w:rPr>
              <w:t>1台</w:t>
            </w:r>
          </w:p>
        </w:tc>
        <w:tc>
          <w:tcPr>
            <w:tcW w:w="545" w:type="pct"/>
            <w:vAlign w:val="center"/>
          </w:tcPr>
          <w:p w14:paraId="701380B8">
            <w:pPr>
              <w:spacing w:line="240" w:lineRule="auto"/>
              <w:ind w:firstLine="0" w:firstLineChars="0"/>
              <w:jc w:val="center"/>
              <w:rPr>
                <w:sz w:val="21"/>
                <w:szCs w:val="21"/>
              </w:rPr>
            </w:pPr>
          </w:p>
        </w:tc>
      </w:tr>
      <w:tr w14:paraId="6F2C2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550" w:type="pct"/>
            <w:vAlign w:val="center"/>
          </w:tcPr>
          <w:p w14:paraId="5F5A13FA">
            <w:pPr>
              <w:spacing w:line="240" w:lineRule="auto"/>
              <w:ind w:firstLine="0" w:firstLineChars="0"/>
              <w:jc w:val="center"/>
              <w:rPr>
                <w:sz w:val="21"/>
                <w:szCs w:val="21"/>
              </w:rPr>
            </w:pPr>
            <w:r>
              <w:rPr>
                <w:sz w:val="21"/>
                <w:szCs w:val="21"/>
              </w:rPr>
              <w:t>4</w:t>
            </w:r>
          </w:p>
        </w:tc>
        <w:tc>
          <w:tcPr>
            <w:tcW w:w="1686" w:type="pct"/>
            <w:vAlign w:val="center"/>
          </w:tcPr>
          <w:p w14:paraId="1DBD36FD">
            <w:pPr>
              <w:spacing w:line="240" w:lineRule="auto"/>
              <w:ind w:firstLine="0" w:firstLineChars="0"/>
              <w:jc w:val="center"/>
              <w:rPr>
                <w:sz w:val="21"/>
                <w:szCs w:val="21"/>
              </w:rPr>
            </w:pPr>
            <w:r>
              <w:rPr>
                <w:sz w:val="21"/>
                <w:szCs w:val="21"/>
              </w:rPr>
              <w:t>装载机</w:t>
            </w:r>
          </w:p>
        </w:tc>
        <w:tc>
          <w:tcPr>
            <w:tcW w:w="1670" w:type="pct"/>
            <w:vAlign w:val="center"/>
          </w:tcPr>
          <w:p w14:paraId="7EF3413A">
            <w:pPr>
              <w:spacing w:line="240" w:lineRule="auto"/>
              <w:ind w:firstLine="0" w:firstLineChars="0"/>
              <w:jc w:val="center"/>
              <w:rPr>
                <w:sz w:val="21"/>
                <w:szCs w:val="21"/>
              </w:rPr>
            </w:pPr>
            <w:r>
              <w:rPr>
                <w:sz w:val="21"/>
                <w:szCs w:val="21"/>
              </w:rPr>
              <w:t>LG853</w:t>
            </w:r>
          </w:p>
        </w:tc>
        <w:tc>
          <w:tcPr>
            <w:tcW w:w="547" w:type="pct"/>
            <w:vAlign w:val="center"/>
          </w:tcPr>
          <w:p w14:paraId="551A4C8C">
            <w:pPr>
              <w:spacing w:line="240" w:lineRule="auto"/>
              <w:ind w:firstLine="0" w:firstLineChars="0"/>
              <w:jc w:val="center"/>
              <w:rPr>
                <w:sz w:val="21"/>
                <w:szCs w:val="21"/>
              </w:rPr>
            </w:pPr>
            <w:r>
              <w:rPr>
                <w:sz w:val="21"/>
                <w:szCs w:val="21"/>
              </w:rPr>
              <w:t>2台</w:t>
            </w:r>
          </w:p>
        </w:tc>
        <w:tc>
          <w:tcPr>
            <w:tcW w:w="545" w:type="pct"/>
            <w:vAlign w:val="center"/>
          </w:tcPr>
          <w:p w14:paraId="6CF78813">
            <w:pPr>
              <w:spacing w:line="240" w:lineRule="auto"/>
              <w:ind w:firstLine="0" w:firstLineChars="0"/>
              <w:jc w:val="center"/>
              <w:rPr>
                <w:sz w:val="21"/>
                <w:szCs w:val="21"/>
              </w:rPr>
            </w:pPr>
          </w:p>
        </w:tc>
      </w:tr>
      <w:tr w14:paraId="3D0BC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550" w:type="pct"/>
            <w:vAlign w:val="center"/>
          </w:tcPr>
          <w:p w14:paraId="0CAE3E75">
            <w:pPr>
              <w:spacing w:line="240" w:lineRule="auto"/>
              <w:ind w:firstLine="0" w:firstLineChars="0"/>
              <w:jc w:val="center"/>
              <w:rPr>
                <w:sz w:val="21"/>
                <w:szCs w:val="21"/>
              </w:rPr>
            </w:pPr>
            <w:r>
              <w:rPr>
                <w:sz w:val="21"/>
                <w:szCs w:val="21"/>
              </w:rPr>
              <w:t>5</w:t>
            </w:r>
          </w:p>
        </w:tc>
        <w:tc>
          <w:tcPr>
            <w:tcW w:w="1686" w:type="pct"/>
            <w:vAlign w:val="center"/>
          </w:tcPr>
          <w:p w14:paraId="139EC62E">
            <w:pPr>
              <w:spacing w:line="240" w:lineRule="auto"/>
              <w:ind w:firstLine="0" w:firstLineChars="0"/>
              <w:jc w:val="center"/>
              <w:rPr>
                <w:sz w:val="21"/>
                <w:szCs w:val="21"/>
              </w:rPr>
            </w:pPr>
            <w:r>
              <w:rPr>
                <w:sz w:val="21"/>
                <w:szCs w:val="21"/>
              </w:rPr>
              <w:t>自卸汽车</w:t>
            </w:r>
          </w:p>
        </w:tc>
        <w:tc>
          <w:tcPr>
            <w:tcW w:w="1670" w:type="pct"/>
            <w:vAlign w:val="center"/>
          </w:tcPr>
          <w:p w14:paraId="4D25849D">
            <w:pPr>
              <w:spacing w:line="240" w:lineRule="auto"/>
              <w:ind w:firstLine="0" w:firstLineChars="0"/>
              <w:jc w:val="center"/>
              <w:rPr>
                <w:sz w:val="21"/>
                <w:szCs w:val="21"/>
              </w:rPr>
            </w:pPr>
            <w:r>
              <w:rPr>
                <w:sz w:val="21"/>
                <w:szCs w:val="21"/>
              </w:rPr>
              <w:t>15t型</w:t>
            </w:r>
          </w:p>
        </w:tc>
        <w:tc>
          <w:tcPr>
            <w:tcW w:w="547" w:type="pct"/>
            <w:vAlign w:val="center"/>
          </w:tcPr>
          <w:p w14:paraId="335D53D4">
            <w:pPr>
              <w:spacing w:line="240" w:lineRule="auto"/>
              <w:ind w:firstLine="0" w:firstLineChars="0"/>
              <w:jc w:val="center"/>
              <w:rPr>
                <w:sz w:val="21"/>
                <w:szCs w:val="21"/>
              </w:rPr>
            </w:pPr>
            <w:r>
              <w:rPr>
                <w:sz w:val="21"/>
                <w:szCs w:val="21"/>
              </w:rPr>
              <w:t>4台</w:t>
            </w:r>
          </w:p>
        </w:tc>
        <w:tc>
          <w:tcPr>
            <w:tcW w:w="545" w:type="pct"/>
            <w:vAlign w:val="center"/>
          </w:tcPr>
          <w:p w14:paraId="1E65A8DC">
            <w:pPr>
              <w:spacing w:line="240" w:lineRule="auto"/>
              <w:ind w:firstLine="0" w:firstLineChars="0"/>
              <w:jc w:val="center"/>
              <w:rPr>
                <w:sz w:val="21"/>
                <w:szCs w:val="21"/>
              </w:rPr>
            </w:pPr>
          </w:p>
        </w:tc>
      </w:tr>
    </w:tbl>
    <w:p w14:paraId="07C28124">
      <w:pPr>
        <w:pStyle w:val="6"/>
        <w:ind w:firstLine="562"/>
        <w:rPr>
          <w:rFonts w:eastAsia="宋体"/>
          <w:b/>
          <w:bCs w:val="0"/>
        </w:rPr>
      </w:pPr>
      <w:bookmarkStart w:id="297" w:name="_Toc28491"/>
      <w:bookmarkStart w:id="298" w:name="_Toc13019"/>
      <w:bookmarkStart w:id="299" w:name="_Toc6969"/>
      <w:r>
        <w:rPr>
          <w:rFonts w:eastAsia="宋体"/>
          <w:b/>
          <w:bCs w:val="0"/>
        </w:rPr>
        <w:t>2.4.</w:t>
      </w:r>
      <w:bookmarkEnd w:id="287"/>
      <w:r>
        <w:rPr>
          <w:rFonts w:eastAsia="宋体"/>
          <w:b/>
          <w:bCs w:val="0"/>
        </w:rPr>
        <w:t>2总平面布置</w:t>
      </w:r>
      <w:bookmarkEnd w:id="288"/>
      <w:bookmarkEnd w:id="289"/>
      <w:bookmarkEnd w:id="290"/>
      <w:bookmarkEnd w:id="291"/>
      <w:bookmarkEnd w:id="292"/>
      <w:bookmarkEnd w:id="297"/>
      <w:bookmarkEnd w:id="298"/>
      <w:bookmarkEnd w:id="299"/>
    </w:p>
    <w:p w14:paraId="4BE0F268">
      <w:pPr>
        <w:ind w:firstLine="562"/>
        <w:rPr>
          <w:b/>
        </w:rPr>
      </w:pPr>
      <w:bookmarkStart w:id="300" w:name="_Toc9850"/>
      <w:r>
        <w:rPr>
          <w:b/>
        </w:rPr>
        <w:t>一、设计情况</w:t>
      </w:r>
    </w:p>
    <w:bookmarkEnd w:id="300"/>
    <w:p w14:paraId="0FC05FB1">
      <w:pPr>
        <w:ind w:firstLine="560"/>
        <w:rPr>
          <w:szCs w:val="21"/>
        </w:rPr>
      </w:pPr>
      <w:bookmarkStart w:id="301" w:name="_Toc29660"/>
      <w:bookmarkStart w:id="302" w:name="_Toc454614260"/>
      <w:bookmarkStart w:id="303" w:name="_Toc9172"/>
      <w:bookmarkStart w:id="304" w:name="_Toc59420511"/>
      <w:bookmarkStart w:id="305" w:name="_Toc384121567"/>
      <w:bookmarkStart w:id="306" w:name="_Toc31206"/>
      <w:bookmarkStart w:id="307" w:name="_Toc454614261"/>
      <w:bookmarkStart w:id="308" w:name="_Toc3524"/>
      <w:bookmarkStart w:id="309" w:name="_Toc1563"/>
      <w:bookmarkStart w:id="310" w:name="_Toc1650"/>
      <w:bookmarkStart w:id="311" w:name="_Toc384121568"/>
      <w:bookmarkStart w:id="312" w:name="_Toc103418732"/>
      <w:bookmarkStart w:id="313" w:name="_Toc111601646"/>
      <w:bookmarkStart w:id="314" w:name="_Toc136406264"/>
      <w:bookmarkStart w:id="315" w:name="_Toc90281966"/>
      <w:bookmarkStart w:id="316" w:name="_Toc90283490"/>
      <w:bookmarkStart w:id="317" w:name="_Toc163889986"/>
      <w:r>
        <w:rPr>
          <w:szCs w:val="21"/>
        </w:rPr>
        <w:t>1、露天采矿场</w:t>
      </w:r>
    </w:p>
    <w:p w14:paraId="6223CFF5">
      <w:pPr>
        <w:ind w:firstLine="560"/>
      </w:pPr>
      <w:r>
        <w:t>（1）矿区东北角存在1.227公顷天然牧草地，因政策调整，暂不能办理草地使用审批手续（详见附件），设计对该区域留设禁采区。</w:t>
      </w:r>
    </w:p>
    <w:p w14:paraId="12EDCEDC">
      <w:pPr>
        <w:ind w:firstLine="560"/>
      </w:pPr>
      <w:r>
        <w:t>（2）矿山已建破碎站位于矿区内矿5拐点附近，为保护破碎站安全，设计留设50m范围禁采区。</w:t>
      </w:r>
    </w:p>
    <w:p w14:paraId="48259421">
      <w:pPr>
        <w:ind w:firstLine="560"/>
      </w:pPr>
      <w:r>
        <w:t>（3）矿权东南方向有松林村下设的官寨村民小组，距矿山设计开采区域最近约212m，目前矿山已对靠矿权较近的几户民房进行了租赁。并考虑安全，退让出未租赁民房300m范围再进行开采，并留设禁采区。</w:t>
      </w:r>
    </w:p>
    <w:p w14:paraId="64B09765">
      <w:pPr>
        <w:ind w:firstLine="560"/>
        <w:rPr>
          <w:szCs w:val="21"/>
        </w:rPr>
      </w:pPr>
      <w:r>
        <w:t>结合矿山采矿许可证许可范围及矿山现状实测图，设计范围主要为除禁采区外，矿山2790m</w:t>
      </w:r>
      <w:r>
        <w:rPr>
          <w:rFonts w:hint="eastAsia"/>
        </w:rPr>
        <w:t>—</w:t>
      </w:r>
      <w:r>
        <w:t>2700m资源量。</w:t>
      </w:r>
      <w:r>
        <w:rPr>
          <w:color w:val="000000" w:themeColor="text1"/>
          <w14:textFill>
            <w14:solidFill>
              <w14:schemeClr w14:val="tx1"/>
            </w14:solidFill>
          </w14:textFill>
        </w:rPr>
        <w:t>露天采场采用分台阶自上而下开采，按照15m的台阶高度自上而下的顺序分台阶开采，设计露天采场为山坡+凹陷露天采场</w:t>
      </w:r>
      <w:r>
        <w:t>，设计采用公路开拓汽车运输方式</w:t>
      </w:r>
      <w:r>
        <w:rPr>
          <w:szCs w:val="21"/>
        </w:rPr>
        <w:t>。</w:t>
      </w:r>
    </w:p>
    <w:p w14:paraId="65ACDCA0">
      <w:pPr>
        <w:ind w:firstLine="560"/>
        <w:rPr>
          <w:szCs w:val="21"/>
        </w:rPr>
      </w:pPr>
      <w:r>
        <w:rPr>
          <w:szCs w:val="21"/>
        </w:rPr>
        <w:t>2、运输道路</w:t>
      </w:r>
    </w:p>
    <w:p w14:paraId="3398C549">
      <w:pPr>
        <w:ind w:firstLine="560"/>
        <w:rPr>
          <w:szCs w:val="21"/>
        </w:rPr>
      </w:pPr>
      <w:r>
        <w:rPr>
          <w:szCs w:val="21"/>
        </w:rPr>
        <w:t>根据采出矿石量分布，结合矿区现状地形条件、卸矿平台位置等，本工程拟定道路采用单车道。</w:t>
      </w:r>
    </w:p>
    <w:p w14:paraId="06D54F39">
      <w:pPr>
        <w:ind w:firstLine="560"/>
        <w:rPr>
          <w:szCs w:val="21"/>
        </w:rPr>
      </w:pPr>
      <w:r>
        <w:rPr>
          <w:szCs w:val="21"/>
        </w:rPr>
        <w:t>矿山为山坡+凹陷露天开采，综合考虑运输方式、运输成本等因素。设计矿山开采2730m以上资源量时，通过在地表修建卸矿平台至2745m平台开拓运输道路运输矿石。开采2730m以下资源量时，通过在平台上修建平台联络道运输矿石。</w:t>
      </w:r>
    </w:p>
    <w:p w14:paraId="404CFF0B">
      <w:pPr>
        <w:ind w:firstLine="560"/>
        <w:rPr>
          <w:szCs w:val="21"/>
        </w:rPr>
      </w:pPr>
      <w:r>
        <w:rPr>
          <w:szCs w:val="21"/>
        </w:rPr>
        <w:t>使用载重15t自卸汽车运输矿石，矿废石平均运距为0.4km。</w:t>
      </w:r>
    </w:p>
    <w:p w14:paraId="64E131D2">
      <w:pPr>
        <w:ind w:firstLine="560"/>
        <w:rPr>
          <w:szCs w:val="21"/>
        </w:rPr>
      </w:pPr>
      <w:r>
        <w:rPr>
          <w:szCs w:val="21"/>
        </w:rPr>
        <w:t>3、破碎站</w:t>
      </w:r>
    </w:p>
    <w:p w14:paraId="2E41238D">
      <w:pPr>
        <w:ind w:firstLine="560"/>
        <w:rPr>
          <w:szCs w:val="21"/>
        </w:rPr>
      </w:pPr>
      <w:r>
        <w:rPr>
          <w:szCs w:val="21"/>
        </w:rPr>
        <w:t>矿山为改扩建矿山，矿山配套破碎站位于矿区南侧矿5拐点附近。矿山正常生产时，矿石由各工作点运输至2715m卸矿平台进行卸矿，后由破碎系统进行破碎。</w:t>
      </w:r>
    </w:p>
    <w:p w14:paraId="13FD9F08">
      <w:pPr>
        <w:ind w:firstLine="560"/>
        <w:rPr>
          <w:szCs w:val="21"/>
        </w:rPr>
      </w:pPr>
      <w:r>
        <w:rPr>
          <w:szCs w:val="21"/>
        </w:rPr>
        <w:t>4、工业场地及办公区</w:t>
      </w:r>
    </w:p>
    <w:p w14:paraId="03CAC256">
      <w:pPr>
        <w:ind w:firstLine="560"/>
        <w:rPr>
          <w:szCs w:val="21"/>
        </w:rPr>
      </w:pPr>
      <w:r>
        <w:rPr>
          <w:szCs w:val="21"/>
        </w:rPr>
        <w:t>该矿山为</w:t>
      </w:r>
      <w:r>
        <w:rPr>
          <w:color w:val="000000" w:themeColor="text1"/>
          <w14:textFill>
            <w14:solidFill>
              <w14:schemeClr w14:val="tx1"/>
            </w14:solidFill>
          </w14:textFill>
        </w:rPr>
        <w:t>改扩建矿山</w:t>
      </w:r>
      <w:r>
        <w:rPr>
          <w:szCs w:val="21"/>
        </w:rPr>
        <w:t>，办公区域、机修设施、值班区等构筑物已建成，</w:t>
      </w:r>
      <w:r>
        <w:rPr>
          <w:color w:val="000000" w:themeColor="text1"/>
          <w14:textFill>
            <w14:solidFill>
              <w14:schemeClr w14:val="tx1"/>
            </w14:solidFill>
          </w14:textFill>
        </w:rPr>
        <w:t>位于矿区南部矿5拐点旁，</w:t>
      </w:r>
      <w:r>
        <w:rPr>
          <w:szCs w:val="21"/>
        </w:rPr>
        <w:t>能满足现有生产和生活需要，设计利用现有设施。</w:t>
      </w:r>
    </w:p>
    <w:p w14:paraId="148E1B36">
      <w:pPr>
        <w:ind w:firstLine="562"/>
        <w:rPr>
          <w:b/>
        </w:rPr>
      </w:pPr>
      <w:r>
        <w:rPr>
          <w:b/>
        </w:rPr>
        <w:t>二、建设情况</w:t>
      </w:r>
    </w:p>
    <w:p w14:paraId="2790840B">
      <w:pPr>
        <w:ind w:firstLine="560"/>
        <w:rPr>
          <w:szCs w:val="28"/>
        </w:rPr>
      </w:pPr>
      <w:r>
        <w:rPr>
          <w:rFonts w:hint="eastAsia"/>
          <w:szCs w:val="28"/>
          <w:lang w:val="en-US" w:eastAsia="zh-CN"/>
        </w:rPr>
        <w:t>XX</w:t>
      </w:r>
      <w:r>
        <w:rPr>
          <w:szCs w:val="28"/>
        </w:rPr>
        <w:t>。</w:t>
      </w:r>
    </w:p>
    <w:p w14:paraId="6E266872">
      <w:pPr>
        <w:pStyle w:val="6"/>
        <w:ind w:firstLine="562"/>
        <w:rPr>
          <w:rFonts w:eastAsia="宋体"/>
          <w:b/>
          <w:bCs w:val="0"/>
        </w:rPr>
      </w:pPr>
      <w:bookmarkStart w:id="318" w:name="_Toc16449"/>
      <w:bookmarkStart w:id="319" w:name="_Toc29999"/>
      <w:bookmarkStart w:id="320" w:name="_Toc28854"/>
      <w:r>
        <w:rPr>
          <w:rFonts w:eastAsia="宋体"/>
          <w:b/>
          <w:bCs w:val="0"/>
        </w:rPr>
        <w:t>2.4.3开采范围</w:t>
      </w:r>
      <w:bookmarkEnd w:id="301"/>
      <w:bookmarkEnd w:id="302"/>
      <w:bookmarkEnd w:id="303"/>
      <w:bookmarkEnd w:id="304"/>
      <w:bookmarkEnd w:id="305"/>
      <w:bookmarkEnd w:id="306"/>
      <w:bookmarkEnd w:id="318"/>
      <w:bookmarkEnd w:id="319"/>
      <w:bookmarkEnd w:id="320"/>
    </w:p>
    <w:p w14:paraId="5281BE12">
      <w:pPr>
        <w:ind w:firstLine="562"/>
        <w:rPr>
          <w:b/>
        </w:rPr>
      </w:pPr>
      <w:r>
        <w:rPr>
          <w:b/>
        </w:rPr>
        <w:t>一、设计情况</w:t>
      </w:r>
    </w:p>
    <w:p w14:paraId="56659EAA">
      <w:pPr>
        <w:ind w:firstLine="560"/>
        <w:rPr>
          <w:bCs/>
        </w:rPr>
      </w:pPr>
      <w:r>
        <w:rPr>
          <w:bCs/>
        </w:rPr>
        <w:t>（1）开采方式</w:t>
      </w:r>
    </w:p>
    <w:p w14:paraId="1384CFB4">
      <w:pPr>
        <w:pStyle w:val="124"/>
        <w:snapToGrid w:val="0"/>
        <w:spacing w:line="360" w:lineRule="auto"/>
        <w:ind w:firstLine="560" w:firstLineChars="200"/>
        <w:jc w:val="both"/>
        <w:rPr>
          <w:rFonts w:ascii="Times New Roman" w:hAnsi="Times New Roman" w:cs="Times New Roman"/>
          <w:bCs/>
          <w:color w:val="auto"/>
          <w:kern w:val="2"/>
          <w:sz w:val="28"/>
          <w:szCs w:val="28"/>
          <w:lang w:bidi="ar"/>
        </w:rPr>
      </w:pPr>
      <w:r>
        <w:rPr>
          <w:rFonts w:ascii="Times New Roman" w:hAnsi="Times New Roman" w:cs="Times New Roman"/>
          <w:bCs/>
          <w:color w:val="auto"/>
          <w:kern w:val="2"/>
          <w:sz w:val="28"/>
          <w:szCs w:val="28"/>
          <w:lang w:bidi="ar"/>
        </w:rPr>
        <w:t>设计采用露天开采，自上而下分台阶式开采。</w:t>
      </w:r>
    </w:p>
    <w:p w14:paraId="6920EE1A">
      <w:pPr>
        <w:ind w:firstLine="560"/>
        <w:rPr>
          <w:bCs/>
          <w:lang w:bidi="ar"/>
        </w:rPr>
      </w:pPr>
      <w:r>
        <w:rPr>
          <w:bCs/>
          <w:lang w:bidi="ar"/>
        </w:rPr>
        <w:t>（2）开采对象</w:t>
      </w:r>
    </w:p>
    <w:p w14:paraId="2F5B40C0">
      <w:pPr>
        <w:tabs>
          <w:tab w:val="left" w:pos="5327"/>
          <w:tab w:val="left" w:pos="6326"/>
          <w:tab w:val="left" w:pos="7230"/>
          <w:tab w:val="left" w:pos="9301"/>
        </w:tabs>
        <w:ind w:firstLine="560"/>
        <w:rPr>
          <w:bCs/>
        </w:rPr>
      </w:pPr>
      <w:r>
        <w:rPr>
          <w:bCs/>
          <w:lang w:bidi="ar"/>
        </w:rPr>
        <w:t>设计开采对象为永善县茂林镇松林村海子采石场50万t/a露天采矿工程</w:t>
      </w:r>
      <w:r>
        <w:rPr>
          <w:bCs/>
        </w:rPr>
        <w:t>。</w:t>
      </w:r>
    </w:p>
    <w:p w14:paraId="5ACFCF67">
      <w:pPr>
        <w:ind w:firstLine="560"/>
        <w:rPr>
          <w:bCs/>
        </w:rPr>
      </w:pPr>
      <w:r>
        <w:rPr>
          <w:bCs/>
        </w:rPr>
        <w:t>（3）开采范围</w:t>
      </w:r>
    </w:p>
    <w:p w14:paraId="71549176">
      <w:pPr>
        <w:pStyle w:val="20"/>
        <w:ind w:firstLine="560"/>
        <w:rPr>
          <w:szCs w:val="20"/>
          <w:lang w:val="zh-CN" w:bidi="ar"/>
        </w:rPr>
      </w:pPr>
      <w:r>
        <w:rPr>
          <w:szCs w:val="20"/>
          <w:lang w:bidi="ar"/>
        </w:rPr>
        <w:t>①</w:t>
      </w:r>
      <w:r>
        <w:rPr>
          <w:szCs w:val="20"/>
          <w:lang w:val="zh-CN" w:bidi="ar"/>
        </w:rPr>
        <w:t>矿区东北角存在1.227公顷天然牧草地，因政策调整，暂不能办理草地使用审批手续（详见附件），设计对该区域留设禁采区。</w:t>
      </w:r>
    </w:p>
    <w:p w14:paraId="545D3D0C">
      <w:pPr>
        <w:pStyle w:val="20"/>
        <w:ind w:firstLine="560"/>
        <w:rPr>
          <w:szCs w:val="20"/>
          <w:lang w:val="zh-CN" w:bidi="ar"/>
        </w:rPr>
      </w:pPr>
      <w:r>
        <w:rPr>
          <w:szCs w:val="20"/>
          <w:lang w:bidi="ar"/>
        </w:rPr>
        <w:t>②</w:t>
      </w:r>
      <w:r>
        <w:rPr>
          <w:szCs w:val="20"/>
          <w:lang w:val="zh-CN" w:bidi="ar"/>
        </w:rPr>
        <w:t>矿山已建破碎站位于矿区内矿5拐点附近，为保护破碎站安全，设计留设50m范围禁采区。</w:t>
      </w:r>
    </w:p>
    <w:p w14:paraId="17FBE5D4">
      <w:pPr>
        <w:pStyle w:val="20"/>
        <w:ind w:firstLine="560"/>
        <w:rPr>
          <w:snapToGrid w:val="0"/>
          <w:kern w:val="0"/>
          <w:szCs w:val="28"/>
        </w:rPr>
      </w:pPr>
      <w:r>
        <w:rPr>
          <w:szCs w:val="20"/>
          <w:lang w:bidi="ar"/>
        </w:rPr>
        <w:t>③</w:t>
      </w:r>
      <w:r>
        <w:rPr>
          <w:szCs w:val="20"/>
          <w:lang w:val="zh-CN" w:bidi="ar"/>
        </w:rPr>
        <w:t>矿权东南方向有松林村下设的官寨村民小组，距矿山设计开采区域最近约212m，目前矿山已对靠矿权较近的几户民房进行了租赁。并考虑安全，退让出未租赁民房300m范围再进行开采，并留设禁采区结合矿山采矿许可证许可范围及矿山现状实测图，设计范围主要为除禁采区外，矿山2790m</w:t>
      </w:r>
      <w:r>
        <w:rPr>
          <w:rFonts w:hint="eastAsia"/>
          <w:szCs w:val="20"/>
          <w:lang w:val="zh-CN" w:bidi="ar"/>
        </w:rPr>
        <w:t>—</w:t>
      </w:r>
      <w:r>
        <w:rPr>
          <w:szCs w:val="20"/>
          <w:lang w:val="zh-CN" w:bidi="ar"/>
        </w:rPr>
        <w:t>2700m资源量。</w:t>
      </w:r>
      <w:r>
        <w:rPr>
          <w:szCs w:val="20"/>
          <w:lang w:bidi="ar"/>
        </w:rPr>
        <w:t>矿区范围拐点坐标详见表1.1-1，禁采区拐点</w:t>
      </w:r>
      <w:r>
        <w:rPr>
          <w:szCs w:val="20"/>
          <w:lang w:val="en-GB" w:bidi="ar"/>
        </w:rPr>
        <w:t>坐标表见</w:t>
      </w:r>
      <w:r>
        <w:rPr>
          <w:szCs w:val="20"/>
          <w:lang w:bidi="ar"/>
        </w:rPr>
        <w:t>表1.1-2。</w:t>
      </w:r>
    </w:p>
    <w:p w14:paraId="35ACC225">
      <w:pPr>
        <w:ind w:firstLine="560"/>
        <w:rPr>
          <w:bCs/>
        </w:rPr>
      </w:pPr>
      <w:r>
        <w:rPr>
          <w:rFonts w:hint="eastAsia"/>
          <w:bCs/>
        </w:rPr>
        <w:t>（4）</w:t>
      </w:r>
      <w:r>
        <w:rPr>
          <w:bCs/>
        </w:rPr>
        <w:t>开采顺序</w:t>
      </w:r>
    </w:p>
    <w:p w14:paraId="3FA0CDE6">
      <w:pPr>
        <w:pStyle w:val="20"/>
        <w:ind w:firstLine="560"/>
        <w:rPr>
          <w:snapToGrid w:val="0"/>
          <w:kern w:val="0"/>
          <w:szCs w:val="28"/>
        </w:rPr>
      </w:pPr>
      <w:r>
        <w:rPr>
          <w:snapToGrid w:val="0"/>
          <w:kern w:val="0"/>
          <w:szCs w:val="28"/>
        </w:rPr>
        <w:t>矿山采用露天开采，自上而下的开采顺序。</w:t>
      </w:r>
    </w:p>
    <w:p w14:paraId="1707BCD6">
      <w:pPr>
        <w:ind w:firstLine="562"/>
        <w:rPr>
          <w:b/>
        </w:rPr>
      </w:pPr>
      <w:r>
        <w:rPr>
          <w:b/>
        </w:rPr>
        <w:t>二、建设情况</w:t>
      </w:r>
    </w:p>
    <w:p w14:paraId="5B24CC89">
      <w:pPr>
        <w:pStyle w:val="20"/>
        <w:ind w:firstLine="560"/>
      </w:pPr>
      <w:bookmarkStart w:id="321" w:name="_Hlk166696973"/>
      <w:r>
        <w:rPr>
          <w:rFonts w:hint="eastAsia"/>
          <w:bCs/>
          <w:lang w:val="en-US" w:eastAsia="zh-CN"/>
        </w:rPr>
        <w:t>XX</w:t>
      </w:r>
      <w:r>
        <w:rPr>
          <w:snapToGrid w:val="0"/>
          <w:kern w:val="0"/>
          <w:szCs w:val="28"/>
        </w:rPr>
        <w:t>。</w:t>
      </w:r>
    </w:p>
    <w:bookmarkEnd w:id="321"/>
    <w:p w14:paraId="2DC78E18">
      <w:pPr>
        <w:pStyle w:val="6"/>
        <w:ind w:firstLine="562"/>
        <w:rPr>
          <w:rFonts w:eastAsia="宋体"/>
          <w:b/>
          <w:bCs w:val="0"/>
        </w:rPr>
      </w:pPr>
      <w:bookmarkStart w:id="322" w:name="_Toc59420512"/>
      <w:bookmarkStart w:id="323" w:name="_Toc15025"/>
      <w:bookmarkStart w:id="324" w:name="_Toc11454"/>
      <w:bookmarkStart w:id="325" w:name="_Toc21174"/>
      <w:r>
        <w:rPr>
          <w:rFonts w:eastAsia="宋体"/>
          <w:b/>
          <w:bCs w:val="0"/>
        </w:rPr>
        <w:t>2.4.4生产规模及工作制度</w:t>
      </w:r>
      <w:bookmarkEnd w:id="307"/>
      <w:bookmarkEnd w:id="308"/>
      <w:bookmarkEnd w:id="309"/>
      <w:bookmarkEnd w:id="310"/>
      <w:bookmarkEnd w:id="322"/>
      <w:bookmarkEnd w:id="323"/>
      <w:bookmarkEnd w:id="324"/>
      <w:bookmarkEnd w:id="325"/>
    </w:p>
    <w:p w14:paraId="5BA2FEE4">
      <w:pPr>
        <w:ind w:firstLine="560"/>
      </w:pPr>
      <w:r>
        <w:t>1、生产规模</w:t>
      </w:r>
    </w:p>
    <w:p w14:paraId="1719584F">
      <w:pPr>
        <w:ind w:firstLine="560"/>
      </w:pPr>
      <w:r>
        <w:rPr>
          <w:lang w:val="zh-TW" w:eastAsia="zh-TW"/>
        </w:rPr>
        <w:t>本</w:t>
      </w:r>
      <w:r>
        <w:rPr>
          <w:lang w:val="zh-TW"/>
        </w:rPr>
        <w:t>矿山</w:t>
      </w:r>
      <w:r>
        <w:t>设计</w:t>
      </w:r>
      <w:r>
        <w:rPr>
          <w:lang w:val="zh-TW" w:eastAsia="zh-TW"/>
        </w:rPr>
        <w:t>生产规模为</w:t>
      </w:r>
      <w:r>
        <w:t>50万t/a。</w:t>
      </w:r>
    </w:p>
    <w:p w14:paraId="425D7C41">
      <w:pPr>
        <w:ind w:firstLine="560"/>
      </w:pPr>
      <w:r>
        <w:t>2、工作制度</w:t>
      </w:r>
    </w:p>
    <w:p w14:paraId="1774B43D">
      <w:pPr>
        <w:ind w:firstLine="560"/>
        <w:rPr>
          <w:kern w:val="0"/>
        </w:rPr>
      </w:pPr>
      <w:r>
        <w:t>矿山采用间断工作制，矿山年工作天数为300天，每天工作1班，每班8小时</w:t>
      </w:r>
      <w:r>
        <w:rPr>
          <w:kern w:val="0"/>
        </w:rPr>
        <w:t>。矿山基建工程工作制度与设计一致。</w:t>
      </w:r>
    </w:p>
    <w:bookmarkEnd w:id="311"/>
    <w:p w14:paraId="73334DD7">
      <w:pPr>
        <w:pStyle w:val="6"/>
        <w:ind w:firstLine="562"/>
        <w:rPr>
          <w:rFonts w:eastAsia="宋体"/>
          <w:b/>
          <w:bCs w:val="0"/>
        </w:rPr>
      </w:pPr>
      <w:bookmarkStart w:id="326" w:name="_Toc384121570"/>
      <w:bookmarkStart w:id="327" w:name="_Toc12837"/>
      <w:bookmarkStart w:id="328" w:name="_Toc59420513"/>
      <w:bookmarkStart w:id="329" w:name="_Toc9463"/>
      <w:bookmarkStart w:id="330" w:name="_Toc15457"/>
      <w:bookmarkStart w:id="331" w:name="_Toc4444"/>
      <w:bookmarkStart w:id="332" w:name="_Toc454614262"/>
      <w:bookmarkStart w:id="333" w:name="_Toc28512"/>
      <w:bookmarkStart w:id="334" w:name="_Toc10643"/>
      <w:r>
        <w:rPr>
          <w:rFonts w:eastAsia="宋体"/>
          <w:b/>
          <w:bCs w:val="0"/>
        </w:rPr>
        <w:t>2.4.</w:t>
      </w:r>
      <w:bookmarkEnd w:id="326"/>
      <w:r>
        <w:rPr>
          <w:rFonts w:eastAsia="宋体"/>
          <w:b/>
          <w:bCs w:val="0"/>
        </w:rPr>
        <w:t>5采矿方法</w:t>
      </w:r>
      <w:bookmarkEnd w:id="327"/>
      <w:bookmarkEnd w:id="328"/>
      <w:bookmarkEnd w:id="329"/>
      <w:bookmarkEnd w:id="330"/>
      <w:bookmarkEnd w:id="331"/>
      <w:bookmarkEnd w:id="332"/>
      <w:bookmarkEnd w:id="333"/>
      <w:bookmarkEnd w:id="334"/>
    </w:p>
    <w:p w14:paraId="123E2E77">
      <w:pPr>
        <w:pStyle w:val="7"/>
        <w:ind w:firstLine="560"/>
      </w:pPr>
      <w:bookmarkStart w:id="335" w:name="_Toc16626"/>
      <w:r>
        <w:t>2.4.5.1露天开采境界</w:t>
      </w:r>
      <w:bookmarkEnd w:id="335"/>
    </w:p>
    <w:p w14:paraId="76893A5B">
      <w:pPr>
        <w:ind w:firstLine="560"/>
      </w:pPr>
      <w:bookmarkStart w:id="336" w:name="_Toc10997"/>
      <w:r>
        <w:t>矿山根据确定的露天边坡参数及圈定原则，针对矿体圈定了露天开采境界。开采终了境界详见附图，露天境界圈定结果如表2.4-1。</w:t>
      </w:r>
    </w:p>
    <w:p w14:paraId="0990BEEE">
      <w:pPr>
        <w:keepNext/>
        <w:keepLines/>
        <w:spacing w:line="240" w:lineRule="auto"/>
        <w:ind w:firstLine="0" w:firstLineChars="0"/>
        <w:jc w:val="center"/>
        <w:rPr>
          <w:sz w:val="24"/>
          <w:szCs w:val="24"/>
        </w:rPr>
      </w:pPr>
      <w:r>
        <w:rPr>
          <w:sz w:val="24"/>
          <w:szCs w:val="24"/>
        </w:rPr>
        <w:t>表2.4-1  露天开采境界参数表</w:t>
      </w:r>
    </w:p>
    <w:tbl>
      <w:tblPr>
        <w:tblStyle w:val="4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3"/>
        <w:gridCol w:w="3016"/>
        <w:gridCol w:w="1671"/>
        <w:gridCol w:w="3470"/>
      </w:tblGrid>
      <w:tr w14:paraId="1152C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265" w:type="pct"/>
            <w:gridSpan w:val="2"/>
            <w:shd w:val="clear" w:color="auto" w:fill="auto"/>
            <w:vAlign w:val="center"/>
          </w:tcPr>
          <w:p w14:paraId="10F96C55">
            <w:pPr>
              <w:spacing w:line="240" w:lineRule="auto"/>
              <w:ind w:firstLine="0" w:firstLineChars="0"/>
              <w:jc w:val="center"/>
              <w:rPr>
                <w:b/>
                <w:bCs/>
                <w:color w:val="000000"/>
                <w:sz w:val="21"/>
                <w:szCs w:val="21"/>
              </w:rPr>
            </w:pPr>
            <w:r>
              <w:rPr>
                <w:b/>
                <w:bCs/>
                <w:color w:val="000000"/>
                <w:sz w:val="21"/>
                <w:szCs w:val="21"/>
              </w:rPr>
              <w:t>项目</w:t>
            </w:r>
          </w:p>
        </w:tc>
        <w:tc>
          <w:tcPr>
            <w:tcW w:w="889" w:type="pct"/>
            <w:shd w:val="clear" w:color="auto" w:fill="auto"/>
            <w:vAlign w:val="center"/>
          </w:tcPr>
          <w:p w14:paraId="4BBDB160">
            <w:pPr>
              <w:spacing w:line="240" w:lineRule="auto"/>
              <w:ind w:firstLine="0" w:firstLineChars="0"/>
              <w:jc w:val="center"/>
              <w:rPr>
                <w:b/>
                <w:bCs/>
                <w:color w:val="000000"/>
                <w:sz w:val="21"/>
                <w:szCs w:val="21"/>
              </w:rPr>
            </w:pPr>
            <w:r>
              <w:rPr>
                <w:b/>
                <w:bCs/>
                <w:color w:val="000000"/>
                <w:sz w:val="21"/>
                <w:szCs w:val="21"/>
              </w:rPr>
              <w:t>参数</w:t>
            </w:r>
          </w:p>
        </w:tc>
        <w:tc>
          <w:tcPr>
            <w:tcW w:w="1846" w:type="pct"/>
            <w:shd w:val="clear" w:color="auto" w:fill="auto"/>
            <w:vAlign w:val="center"/>
          </w:tcPr>
          <w:p w14:paraId="474A8811">
            <w:pPr>
              <w:spacing w:line="240" w:lineRule="auto"/>
              <w:ind w:firstLine="0" w:firstLineChars="0"/>
              <w:jc w:val="center"/>
              <w:rPr>
                <w:b/>
                <w:bCs/>
                <w:color w:val="000000"/>
                <w:sz w:val="21"/>
                <w:szCs w:val="21"/>
              </w:rPr>
            </w:pPr>
            <w:r>
              <w:rPr>
                <w:b/>
                <w:bCs/>
                <w:color w:val="000000"/>
                <w:sz w:val="21"/>
                <w:szCs w:val="21"/>
              </w:rPr>
              <w:t>备注</w:t>
            </w:r>
          </w:p>
        </w:tc>
      </w:tr>
      <w:tr w14:paraId="7E49A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61" w:type="pct"/>
            <w:vMerge w:val="restart"/>
            <w:shd w:val="clear" w:color="auto" w:fill="auto"/>
            <w:vAlign w:val="center"/>
          </w:tcPr>
          <w:p w14:paraId="2F82AEF7">
            <w:pPr>
              <w:spacing w:line="240" w:lineRule="auto"/>
              <w:ind w:firstLine="0" w:firstLineChars="0"/>
              <w:jc w:val="center"/>
              <w:rPr>
                <w:color w:val="000000"/>
                <w:sz w:val="21"/>
                <w:szCs w:val="21"/>
              </w:rPr>
            </w:pPr>
            <w:r>
              <w:rPr>
                <w:color w:val="000000"/>
                <w:sz w:val="21"/>
                <w:szCs w:val="21"/>
              </w:rPr>
              <w:t>境界</w:t>
            </w:r>
          </w:p>
        </w:tc>
        <w:tc>
          <w:tcPr>
            <w:tcW w:w="1604" w:type="pct"/>
            <w:shd w:val="clear" w:color="auto" w:fill="auto"/>
            <w:vAlign w:val="center"/>
          </w:tcPr>
          <w:p w14:paraId="437EFFB7">
            <w:pPr>
              <w:spacing w:line="240" w:lineRule="auto"/>
              <w:ind w:firstLine="0" w:firstLineChars="0"/>
              <w:jc w:val="center"/>
              <w:rPr>
                <w:color w:val="000000"/>
                <w:sz w:val="21"/>
                <w:szCs w:val="21"/>
              </w:rPr>
            </w:pPr>
            <w:r>
              <w:rPr>
                <w:color w:val="000000"/>
                <w:sz w:val="21"/>
                <w:szCs w:val="21"/>
              </w:rPr>
              <w:t>上口尺寸（长×宽）</w:t>
            </w:r>
          </w:p>
        </w:tc>
        <w:tc>
          <w:tcPr>
            <w:tcW w:w="889" w:type="pct"/>
            <w:shd w:val="clear" w:color="auto" w:fill="auto"/>
            <w:vAlign w:val="center"/>
          </w:tcPr>
          <w:p w14:paraId="7A24DBFB">
            <w:pPr>
              <w:spacing w:line="240" w:lineRule="auto"/>
              <w:ind w:firstLine="0" w:firstLineChars="0"/>
              <w:jc w:val="center"/>
              <w:rPr>
                <w:color w:val="000000"/>
                <w:sz w:val="21"/>
                <w:szCs w:val="21"/>
              </w:rPr>
            </w:pPr>
            <w:r>
              <w:rPr>
                <w:color w:val="000000"/>
                <w:sz w:val="21"/>
                <w:szCs w:val="21"/>
              </w:rPr>
              <w:t>210×182m</w:t>
            </w:r>
          </w:p>
        </w:tc>
        <w:tc>
          <w:tcPr>
            <w:tcW w:w="1846" w:type="pct"/>
            <w:shd w:val="clear" w:color="auto" w:fill="auto"/>
            <w:vAlign w:val="center"/>
          </w:tcPr>
          <w:p w14:paraId="7318177A">
            <w:pPr>
              <w:spacing w:line="240" w:lineRule="auto"/>
              <w:ind w:firstLine="0" w:firstLineChars="0"/>
              <w:jc w:val="center"/>
              <w:rPr>
                <w:color w:val="000000"/>
                <w:sz w:val="21"/>
                <w:szCs w:val="21"/>
              </w:rPr>
            </w:pPr>
          </w:p>
        </w:tc>
      </w:tr>
      <w:tr w14:paraId="66FE8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61" w:type="pct"/>
            <w:vMerge w:val="continue"/>
            <w:vAlign w:val="center"/>
          </w:tcPr>
          <w:p w14:paraId="6AB4162F">
            <w:pPr>
              <w:spacing w:line="240" w:lineRule="auto"/>
              <w:ind w:firstLine="0" w:firstLineChars="0"/>
              <w:jc w:val="center"/>
              <w:rPr>
                <w:color w:val="000000"/>
                <w:sz w:val="21"/>
                <w:szCs w:val="21"/>
              </w:rPr>
            </w:pPr>
          </w:p>
        </w:tc>
        <w:tc>
          <w:tcPr>
            <w:tcW w:w="1604" w:type="pct"/>
            <w:shd w:val="clear" w:color="auto" w:fill="auto"/>
            <w:vAlign w:val="center"/>
          </w:tcPr>
          <w:p w14:paraId="19C3E8E9">
            <w:pPr>
              <w:spacing w:line="240" w:lineRule="auto"/>
              <w:ind w:firstLine="0" w:firstLineChars="0"/>
              <w:jc w:val="center"/>
              <w:rPr>
                <w:color w:val="000000"/>
                <w:sz w:val="21"/>
                <w:szCs w:val="21"/>
              </w:rPr>
            </w:pPr>
            <w:r>
              <w:rPr>
                <w:color w:val="000000"/>
                <w:sz w:val="21"/>
                <w:szCs w:val="21"/>
              </w:rPr>
              <w:t>底部尺寸（长×宽）</w:t>
            </w:r>
          </w:p>
        </w:tc>
        <w:tc>
          <w:tcPr>
            <w:tcW w:w="889" w:type="pct"/>
            <w:shd w:val="clear" w:color="auto" w:fill="auto"/>
            <w:vAlign w:val="center"/>
          </w:tcPr>
          <w:p w14:paraId="0BCAF256">
            <w:pPr>
              <w:spacing w:line="240" w:lineRule="auto"/>
              <w:ind w:firstLine="0" w:firstLineChars="0"/>
              <w:jc w:val="center"/>
              <w:rPr>
                <w:color w:val="000000"/>
                <w:sz w:val="21"/>
                <w:szCs w:val="21"/>
              </w:rPr>
            </w:pPr>
            <w:r>
              <w:rPr>
                <w:color w:val="000000"/>
                <w:sz w:val="21"/>
                <w:szCs w:val="21"/>
              </w:rPr>
              <w:t>114×92m</w:t>
            </w:r>
          </w:p>
        </w:tc>
        <w:tc>
          <w:tcPr>
            <w:tcW w:w="1846" w:type="pct"/>
            <w:shd w:val="clear" w:color="auto" w:fill="auto"/>
            <w:vAlign w:val="center"/>
          </w:tcPr>
          <w:p w14:paraId="03BF8FDC">
            <w:pPr>
              <w:spacing w:line="240" w:lineRule="auto"/>
              <w:ind w:firstLine="0" w:firstLineChars="0"/>
              <w:jc w:val="center"/>
              <w:rPr>
                <w:color w:val="000000"/>
                <w:sz w:val="21"/>
                <w:szCs w:val="21"/>
              </w:rPr>
            </w:pPr>
          </w:p>
        </w:tc>
      </w:tr>
      <w:tr w14:paraId="4013B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61" w:type="pct"/>
            <w:vMerge w:val="continue"/>
            <w:vAlign w:val="center"/>
          </w:tcPr>
          <w:p w14:paraId="4E100342">
            <w:pPr>
              <w:spacing w:line="240" w:lineRule="auto"/>
              <w:ind w:firstLine="0" w:firstLineChars="0"/>
              <w:jc w:val="center"/>
              <w:rPr>
                <w:color w:val="000000"/>
                <w:sz w:val="21"/>
                <w:szCs w:val="21"/>
              </w:rPr>
            </w:pPr>
          </w:p>
        </w:tc>
        <w:tc>
          <w:tcPr>
            <w:tcW w:w="1604" w:type="pct"/>
            <w:shd w:val="clear" w:color="auto" w:fill="auto"/>
            <w:vAlign w:val="center"/>
          </w:tcPr>
          <w:p w14:paraId="5759C827">
            <w:pPr>
              <w:spacing w:line="240" w:lineRule="auto"/>
              <w:ind w:firstLine="0" w:firstLineChars="0"/>
              <w:jc w:val="center"/>
              <w:rPr>
                <w:color w:val="000000"/>
                <w:sz w:val="21"/>
                <w:szCs w:val="21"/>
              </w:rPr>
            </w:pPr>
            <w:r>
              <w:rPr>
                <w:color w:val="000000"/>
                <w:sz w:val="21"/>
                <w:szCs w:val="21"/>
              </w:rPr>
              <w:t>最高标高</w:t>
            </w:r>
          </w:p>
        </w:tc>
        <w:tc>
          <w:tcPr>
            <w:tcW w:w="889" w:type="pct"/>
            <w:shd w:val="clear" w:color="auto" w:fill="auto"/>
            <w:vAlign w:val="center"/>
          </w:tcPr>
          <w:p w14:paraId="2A605D75">
            <w:pPr>
              <w:spacing w:line="240" w:lineRule="auto"/>
              <w:ind w:firstLine="0" w:firstLineChars="0"/>
              <w:jc w:val="center"/>
              <w:rPr>
                <w:color w:val="000000"/>
                <w:sz w:val="21"/>
                <w:szCs w:val="21"/>
              </w:rPr>
            </w:pPr>
            <w:r>
              <w:rPr>
                <w:color w:val="000000"/>
                <w:sz w:val="21"/>
                <w:szCs w:val="21"/>
              </w:rPr>
              <w:t>2775m</w:t>
            </w:r>
          </w:p>
        </w:tc>
        <w:tc>
          <w:tcPr>
            <w:tcW w:w="1846" w:type="pct"/>
            <w:shd w:val="clear" w:color="auto" w:fill="auto"/>
            <w:vAlign w:val="center"/>
          </w:tcPr>
          <w:p w14:paraId="4DEE0A73">
            <w:pPr>
              <w:spacing w:line="240" w:lineRule="auto"/>
              <w:ind w:firstLine="0" w:firstLineChars="0"/>
              <w:jc w:val="center"/>
              <w:rPr>
                <w:color w:val="000000"/>
                <w:sz w:val="21"/>
                <w:szCs w:val="21"/>
              </w:rPr>
            </w:pPr>
          </w:p>
        </w:tc>
      </w:tr>
      <w:tr w14:paraId="5F6F4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61" w:type="pct"/>
            <w:vMerge w:val="continue"/>
            <w:vAlign w:val="center"/>
          </w:tcPr>
          <w:p w14:paraId="4FBCF6F7">
            <w:pPr>
              <w:spacing w:line="240" w:lineRule="auto"/>
              <w:ind w:firstLine="0" w:firstLineChars="0"/>
              <w:jc w:val="center"/>
              <w:rPr>
                <w:color w:val="000000"/>
                <w:sz w:val="21"/>
                <w:szCs w:val="21"/>
              </w:rPr>
            </w:pPr>
          </w:p>
        </w:tc>
        <w:tc>
          <w:tcPr>
            <w:tcW w:w="1604" w:type="pct"/>
            <w:shd w:val="clear" w:color="auto" w:fill="auto"/>
            <w:vAlign w:val="center"/>
          </w:tcPr>
          <w:p w14:paraId="1F5B4B4F">
            <w:pPr>
              <w:spacing w:line="240" w:lineRule="auto"/>
              <w:ind w:firstLine="0" w:firstLineChars="0"/>
              <w:jc w:val="center"/>
              <w:rPr>
                <w:color w:val="000000"/>
                <w:sz w:val="21"/>
                <w:szCs w:val="21"/>
              </w:rPr>
            </w:pPr>
            <w:r>
              <w:rPr>
                <w:color w:val="000000"/>
                <w:sz w:val="21"/>
                <w:szCs w:val="21"/>
              </w:rPr>
              <w:t>最低标高</w:t>
            </w:r>
          </w:p>
        </w:tc>
        <w:tc>
          <w:tcPr>
            <w:tcW w:w="889" w:type="pct"/>
            <w:shd w:val="clear" w:color="auto" w:fill="auto"/>
            <w:vAlign w:val="center"/>
          </w:tcPr>
          <w:p w14:paraId="0C64C68E">
            <w:pPr>
              <w:spacing w:line="240" w:lineRule="auto"/>
              <w:ind w:firstLine="0" w:firstLineChars="0"/>
              <w:jc w:val="center"/>
              <w:rPr>
                <w:color w:val="000000"/>
                <w:sz w:val="21"/>
                <w:szCs w:val="21"/>
              </w:rPr>
            </w:pPr>
            <w:r>
              <w:rPr>
                <w:color w:val="000000"/>
                <w:sz w:val="21"/>
                <w:szCs w:val="21"/>
              </w:rPr>
              <w:t>2700m</w:t>
            </w:r>
          </w:p>
        </w:tc>
        <w:tc>
          <w:tcPr>
            <w:tcW w:w="1846" w:type="pct"/>
            <w:shd w:val="clear" w:color="auto" w:fill="auto"/>
            <w:vAlign w:val="center"/>
          </w:tcPr>
          <w:p w14:paraId="1121F98D">
            <w:pPr>
              <w:spacing w:line="240" w:lineRule="auto"/>
              <w:ind w:firstLine="0" w:firstLineChars="0"/>
              <w:jc w:val="center"/>
              <w:rPr>
                <w:color w:val="000000"/>
                <w:sz w:val="21"/>
                <w:szCs w:val="21"/>
              </w:rPr>
            </w:pPr>
          </w:p>
        </w:tc>
      </w:tr>
      <w:tr w14:paraId="00A4E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61" w:type="pct"/>
            <w:vMerge w:val="continue"/>
            <w:vAlign w:val="center"/>
          </w:tcPr>
          <w:p w14:paraId="49F85A62">
            <w:pPr>
              <w:spacing w:line="240" w:lineRule="auto"/>
              <w:ind w:firstLine="0" w:firstLineChars="0"/>
              <w:jc w:val="center"/>
              <w:rPr>
                <w:color w:val="000000"/>
                <w:sz w:val="21"/>
                <w:szCs w:val="21"/>
              </w:rPr>
            </w:pPr>
          </w:p>
        </w:tc>
        <w:tc>
          <w:tcPr>
            <w:tcW w:w="1604" w:type="pct"/>
            <w:shd w:val="clear" w:color="auto" w:fill="auto"/>
            <w:vAlign w:val="center"/>
          </w:tcPr>
          <w:p w14:paraId="57B03585">
            <w:pPr>
              <w:spacing w:line="240" w:lineRule="auto"/>
              <w:ind w:firstLine="0" w:firstLineChars="0"/>
              <w:jc w:val="center"/>
              <w:rPr>
                <w:color w:val="000000"/>
                <w:sz w:val="21"/>
                <w:szCs w:val="21"/>
              </w:rPr>
            </w:pPr>
            <w:r>
              <w:rPr>
                <w:color w:val="000000"/>
                <w:sz w:val="21"/>
                <w:szCs w:val="21"/>
              </w:rPr>
              <w:t>边坡高度</w:t>
            </w:r>
          </w:p>
        </w:tc>
        <w:tc>
          <w:tcPr>
            <w:tcW w:w="889" w:type="pct"/>
            <w:shd w:val="clear" w:color="auto" w:fill="auto"/>
            <w:vAlign w:val="center"/>
          </w:tcPr>
          <w:p w14:paraId="1E0219F1">
            <w:pPr>
              <w:spacing w:line="240" w:lineRule="auto"/>
              <w:ind w:firstLine="0" w:firstLineChars="0"/>
              <w:jc w:val="center"/>
              <w:rPr>
                <w:color w:val="000000"/>
                <w:sz w:val="21"/>
                <w:szCs w:val="21"/>
              </w:rPr>
            </w:pPr>
            <w:r>
              <w:rPr>
                <w:color w:val="000000"/>
                <w:sz w:val="21"/>
                <w:szCs w:val="21"/>
              </w:rPr>
              <w:t>75m</w:t>
            </w:r>
          </w:p>
        </w:tc>
        <w:tc>
          <w:tcPr>
            <w:tcW w:w="1846" w:type="pct"/>
            <w:shd w:val="clear" w:color="auto" w:fill="auto"/>
            <w:vAlign w:val="center"/>
          </w:tcPr>
          <w:p w14:paraId="51A9F83C">
            <w:pPr>
              <w:spacing w:line="240" w:lineRule="auto"/>
              <w:ind w:firstLine="0" w:firstLineChars="0"/>
              <w:jc w:val="center"/>
              <w:rPr>
                <w:color w:val="000000"/>
                <w:sz w:val="21"/>
                <w:szCs w:val="21"/>
              </w:rPr>
            </w:pPr>
          </w:p>
        </w:tc>
      </w:tr>
      <w:tr w14:paraId="02BAD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61" w:type="pct"/>
            <w:vMerge w:val="restart"/>
            <w:shd w:val="clear" w:color="auto" w:fill="auto"/>
            <w:vAlign w:val="center"/>
          </w:tcPr>
          <w:p w14:paraId="521CD6CD">
            <w:pPr>
              <w:spacing w:line="240" w:lineRule="auto"/>
              <w:ind w:firstLine="0" w:firstLineChars="0"/>
              <w:jc w:val="center"/>
              <w:rPr>
                <w:color w:val="000000"/>
                <w:sz w:val="21"/>
                <w:szCs w:val="21"/>
              </w:rPr>
            </w:pPr>
            <w:r>
              <w:rPr>
                <w:color w:val="000000"/>
                <w:sz w:val="21"/>
                <w:szCs w:val="21"/>
              </w:rPr>
              <w:t>台阶</w:t>
            </w:r>
          </w:p>
        </w:tc>
        <w:tc>
          <w:tcPr>
            <w:tcW w:w="1604" w:type="pct"/>
            <w:shd w:val="clear" w:color="auto" w:fill="auto"/>
            <w:vAlign w:val="center"/>
          </w:tcPr>
          <w:p w14:paraId="37695303">
            <w:pPr>
              <w:spacing w:line="240" w:lineRule="auto"/>
              <w:ind w:firstLine="0" w:firstLineChars="0"/>
              <w:jc w:val="center"/>
              <w:rPr>
                <w:color w:val="000000"/>
                <w:sz w:val="21"/>
                <w:szCs w:val="21"/>
              </w:rPr>
            </w:pPr>
            <w:r>
              <w:rPr>
                <w:color w:val="000000"/>
                <w:sz w:val="21"/>
                <w:szCs w:val="21"/>
              </w:rPr>
              <w:t>台阶高度</w:t>
            </w:r>
          </w:p>
        </w:tc>
        <w:tc>
          <w:tcPr>
            <w:tcW w:w="889" w:type="pct"/>
            <w:shd w:val="clear" w:color="auto" w:fill="auto"/>
            <w:vAlign w:val="center"/>
          </w:tcPr>
          <w:p w14:paraId="5EA2658B">
            <w:pPr>
              <w:spacing w:line="240" w:lineRule="auto"/>
              <w:ind w:firstLine="0" w:firstLineChars="0"/>
              <w:jc w:val="center"/>
              <w:rPr>
                <w:color w:val="000000"/>
                <w:sz w:val="21"/>
                <w:szCs w:val="21"/>
              </w:rPr>
            </w:pPr>
            <w:r>
              <w:rPr>
                <w:color w:val="000000"/>
                <w:sz w:val="21"/>
                <w:szCs w:val="21"/>
              </w:rPr>
              <w:t>15m</w:t>
            </w:r>
          </w:p>
        </w:tc>
        <w:tc>
          <w:tcPr>
            <w:tcW w:w="1846" w:type="pct"/>
            <w:shd w:val="clear" w:color="auto" w:fill="auto"/>
            <w:vAlign w:val="center"/>
          </w:tcPr>
          <w:p w14:paraId="171E5BF7">
            <w:pPr>
              <w:spacing w:line="240" w:lineRule="auto"/>
              <w:ind w:firstLine="0" w:firstLineChars="0"/>
              <w:jc w:val="center"/>
              <w:rPr>
                <w:color w:val="000000"/>
                <w:sz w:val="21"/>
                <w:szCs w:val="21"/>
              </w:rPr>
            </w:pPr>
          </w:p>
        </w:tc>
      </w:tr>
      <w:tr w14:paraId="46B96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61" w:type="pct"/>
            <w:vMerge w:val="continue"/>
            <w:vAlign w:val="center"/>
          </w:tcPr>
          <w:p w14:paraId="55D94851">
            <w:pPr>
              <w:spacing w:line="240" w:lineRule="auto"/>
              <w:ind w:firstLine="0" w:firstLineChars="0"/>
              <w:jc w:val="center"/>
              <w:rPr>
                <w:color w:val="000000"/>
                <w:sz w:val="21"/>
                <w:szCs w:val="21"/>
              </w:rPr>
            </w:pPr>
          </w:p>
        </w:tc>
        <w:tc>
          <w:tcPr>
            <w:tcW w:w="1604" w:type="pct"/>
            <w:shd w:val="clear" w:color="auto" w:fill="auto"/>
            <w:vAlign w:val="center"/>
          </w:tcPr>
          <w:p w14:paraId="0BB82F29">
            <w:pPr>
              <w:spacing w:line="240" w:lineRule="auto"/>
              <w:ind w:firstLine="0" w:firstLineChars="0"/>
              <w:jc w:val="center"/>
              <w:rPr>
                <w:color w:val="000000"/>
                <w:sz w:val="21"/>
                <w:szCs w:val="21"/>
              </w:rPr>
            </w:pPr>
            <w:r>
              <w:rPr>
                <w:color w:val="000000"/>
                <w:sz w:val="21"/>
                <w:szCs w:val="21"/>
              </w:rPr>
              <w:t>最高台阶标高</w:t>
            </w:r>
          </w:p>
        </w:tc>
        <w:tc>
          <w:tcPr>
            <w:tcW w:w="889" w:type="pct"/>
            <w:shd w:val="clear" w:color="auto" w:fill="auto"/>
            <w:vAlign w:val="center"/>
          </w:tcPr>
          <w:p w14:paraId="33F5F94F">
            <w:pPr>
              <w:spacing w:line="240" w:lineRule="auto"/>
              <w:ind w:firstLine="0" w:firstLineChars="0"/>
              <w:jc w:val="center"/>
              <w:rPr>
                <w:color w:val="000000"/>
                <w:sz w:val="21"/>
                <w:szCs w:val="21"/>
              </w:rPr>
            </w:pPr>
            <w:r>
              <w:rPr>
                <w:color w:val="000000"/>
                <w:sz w:val="21"/>
                <w:szCs w:val="21"/>
              </w:rPr>
              <w:t>2760m</w:t>
            </w:r>
          </w:p>
        </w:tc>
        <w:tc>
          <w:tcPr>
            <w:tcW w:w="1846" w:type="pct"/>
            <w:shd w:val="clear" w:color="auto" w:fill="auto"/>
            <w:vAlign w:val="center"/>
          </w:tcPr>
          <w:p w14:paraId="7E6A1520">
            <w:pPr>
              <w:spacing w:line="240" w:lineRule="auto"/>
              <w:ind w:firstLine="0" w:firstLineChars="0"/>
              <w:jc w:val="center"/>
              <w:rPr>
                <w:color w:val="000000"/>
                <w:sz w:val="21"/>
                <w:szCs w:val="21"/>
              </w:rPr>
            </w:pPr>
            <w:r>
              <w:rPr>
                <w:color w:val="000000"/>
                <w:sz w:val="21"/>
                <w:szCs w:val="21"/>
              </w:rPr>
              <w:t>最终境界</w:t>
            </w:r>
          </w:p>
        </w:tc>
      </w:tr>
      <w:tr w14:paraId="77434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61" w:type="pct"/>
            <w:vMerge w:val="continue"/>
            <w:vAlign w:val="center"/>
          </w:tcPr>
          <w:p w14:paraId="529C523F">
            <w:pPr>
              <w:spacing w:line="240" w:lineRule="auto"/>
              <w:ind w:firstLine="0" w:firstLineChars="0"/>
              <w:jc w:val="center"/>
              <w:rPr>
                <w:color w:val="000000"/>
                <w:sz w:val="21"/>
                <w:szCs w:val="21"/>
              </w:rPr>
            </w:pPr>
          </w:p>
        </w:tc>
        <w:tc>
          <w:tcPr>
            <w:tcW w:w="1604" w:type="pct"/>
            <w:shd w:val="clear" w:color="auto" w:fill="auto"/>
            <w:vAlign w:val="center"/>
          </w:tcPr>
          <w:p w14:paraId="520C0AC2">
            <w:pPr>
              <w:spacing w:line="240" w:lineRule="auto"/>
              <w:ind w:firstLine="0" w:firstLineChars="0"/>
              <w:jc w:val="center"/>
              <w:rPr>
                <w:color w:val="000000"/>
                <w:sz w:val="21"/>
                <w:szCs w:val="21"/>
              </w:rPr>
            </w:pPr>
            <w:r>
              <w:rPr>
                <w:color w:val="000000"/>
                <w:sz w:val="21"/>
                <w:szCs w:val="21"/>
              </w:rPr>
              <w:t>最低台阶标高</w:t>
            </w:r>
          </w:p>
        </w:tc>
        <w:tc>
          <w:tcPr>
            <w:tcW w:w="889" w:type="pct"/>
            <w:shd w:val="clear" w:color="auto" w:fill="auto"/>
            <w:vAlign w:val="center"/>
          </w:tcPr>
          <w:p w14:paraId="3305A672">
            <w:pPr>
              <w:spacing w:line="240" w:lineRule="auto"/>
              <w:ind w:firstLine="0" w:firstLineChars="0"/>
              <w:jc w:val="center"/>
              <w:rPr>
                <w:color w:val="000000"/>
                <w:sz w:val="21"/>
                <w:szCs w:val="21"/>
              </w:rPr>
            </w:pPr>
            <w:r>
              <w:rPr>
                <w:color w:val="000000"/>
                <w:sz w:val="21"/>
                <w:szCs w:val="21"/>
              </w:rPr>
              <w:t>2700m</w:t>
            </w:r>
          </w:p>
        </w:tc>
        <w:tc>
          <w:tcPr>
            <w:tcW w:w="1846" w:type="pct"/>
            <w:shd w:val="clear" w:color="auto" w:fill="auto"/>
            <w:vAlign w:val="center"/>
          </w:tcPr>
          <w:p w14:paraId="7ACF2174">
            <w:pPr>
              <w:spacing w:line="240" w:lineRule="auto"/>
              <w:ind w:firstLine="0" w:firstLineChars="0"/>
              <w:jc w:val="center"/>
              <w:rPr>
                <w:color w:val="000000"/>
                <w:sz w:val="21"/>
                <w:szCs w:val="21"/>
              </w:rPr>
            </w:pPr>
            <w:r>
              <w:rPr>
                <w:color w:val="000000"/>
                <w:sz w:val="21"/>
                <w:szCs w:val="21"/>
              </w:rPr>
              <w:t>最终境界</w:t>
            </w:r>
          </w:p>
        </w:tc>
      </w:tr>
      <w:tr w14:paraId="43BAE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61" w:type="pct"/>
            <w:vMerge w:val="continue"/>
            <w:vAlign w:val="center"/>
          </w:tcPr>
          <w:p w14:paraId="6B382C8C">
            <w:pPr>
              <w:spacing w:line="240" w:lineRule="auto"/>
              <w:ind w:firstLine="0" w:firstLineChars="0"/>
              <w:jc w:val="center"/>
              <w:rPr>
                <w:color w:val="000000"/>
                <w:sz w:val="21"/>
                <w:szCs w:val="21"/>
              </w:rPr>
            </w:pPr>
          </w:p>
        </w:tc>
        <w:tc>
          <w:tcPr>
            <w:tcW w:w="1604" w:type="pct"/>
            <w:shd w:val="clear" w:color="auto" w:fill="auto"/>
            <w:vAlign w:val="center"/>
          </w:tcPr>
          <w:p w14:paraId="6511DA96">
            <w:pPr>
              <w:spacing w:line="240" w:lineRule="auto"/>
              <w:ind w:firstLine="0" w:firstLineChars="0"/>
              <w:jc w:val="center"/>
              <w:rPr>
                <w:color w:val="000000"/>
                <w:sz w:val="21"/>
                <w:szCs w:val="21"/>
              </w:rPr>
            </w:pPr>
            <w:r>
              <w:rPr>
                <w:color w:val="000000"/>
                <w:sz w:val="21"/>
                <w:szCs w:val="21"/>
              </w:rPr>
              <w:t>台阶数</w:t>
            </w:r>
          </w:p>
        </w:tc>
        <w:tc>
          <w:tcPr>
            <w:tcW w:w="889" w:type="pct"/>
            <w:shd w:val="clear" w:color="auto" w:fill="auto"/>
            <w:vAlign w:val="center"/>
          </w:tcPr>
          <w:p w14:paraId="78FBA3B3">
            <w:pPr>
              <w:spacing w:line="240" w:lineRule="auto"/>
              <w:ind w:firstLine="0" w:firstLineChars="0"/>
              <w:jc w:val="center"/>
              <w:rPr>
                <w:color w:val="000000"/>
                <w:sz w:val="21"/>
                <w:szCs w:val="21"/>
              </w:rPr>
            </w:pPr>
            <w:r>
              <w:rPr>
                <w:color w:val="000000"/>
                <w:sz w:val="21"/>
                <w:szCs w:val="21"/>
              </w:rPr>
              <w:t>5个</w:t>
            </w:r>
          </w:p>
        </w:tc>
        <w:tc>
          <w:tcPr>
            <w:tcW w:w="1846" w:type="pct"/>
            <w:shd w:val="clear" w:color="auto" w:fill="auto"/>
            <w:vAlign w:val="center"/>
          </w:tcPr>
          <w:p w14:paraId="68C409DA">
            <w:pPr>
              <w:spacing w:line="240" w:lineRule="auto"/>
              <w:ind w:firstLine="0" w:firstLineChars="0"/>
              <w:jc w:val="center"/>
              <w:rPr>
                <w:color w:val="000000"/>
                <w:sz w:val="21"/>
                <w:szCs w:val="21"/>
              </w:rPr>
            </w:pPr>
          </w:p>
        </w:tc>
      </w:tr>
      <w:tr w14:paraId="1B9A2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61" w:type="pct"/>
            <w:vMerge w:val="restart"/>
            <w:shd w:val="clear" w:color="auto" w:fill="auto"/>
            <w:vAlign w:val="center"/>
          </w:tcPr>
          <w:p w14:paraId="74F8D27C">
            <w:pPr>
              <w:spacing w:line="240" w:lineRule="auto"/>
              <w:ind w:firstLine="0" w:firstLineChars="0"/>
              <w:jc w:val="center"/>
              <w:rPr>
                <w:color w:val="000000"/>
                <w:sz w:val="21"/>
                <w:szCs w:val="21"/>
              </w:rPr>
            </w:pPr>
            <w:r>
              <w:rPr>
                <w:color w:val="000000"/>
                <w:sz w:val="21"/>
                <w:szCs w:val="21"/>
              </w:rPr>
              <w:t>平台</w:t>
            </w:r>
          </w:p>
        </w:tc>
        <w:tc>
          <w:tcPr>
            <w:tcW w:w="1604" w:type="pct"/>
            <w:shd w:val="clear" w:color="auto" w:fill="auto"/>
            <w:vAlign w:val="center"/>
          </w:tcPr>
          <w:p w14:paraId="08AFC986">
            <w:pPr>
              <w:spacing w:line="240" w:lineRule="auto"/>
              <w:ind w:firstLine="0" w:firstLineChars="0"/>
              <w:jc w:val="center"/>
              <w:rPr>
                <w:color w:val="000000"/>
                <w:sz w:val="21"/>
                <w:szCs w:val="21"/>
              </w:rPr>
            </w:pPr>
            <w:r>
              <w:rPr>
                <w:color w:val="000000"/>
                <w:sz w:val="21"/>
                <w:szCs w:val="21"/>
              </w:rPr>
              <w:t>最小底部宽度</w:t>
            </w:r>
          </w:p>
        </w:tc>
        <w:tc>
          <w:tcPr>
            <w:tcW w:w="889" w:type="pct"/>
            <w:shd w:val="clear" w:color="auto" w:fill="auto"/>
            <w:vAlign w:val="center"/>
          </w:tcPr>
          <w:p w14:paraId="5AD2D180">
            <w:pPr>
              <w:spacing w:line="240" w:lineRule="auto"/>
              <w:ind w:firstLine="0" w:firstLineChars="0"/>
              <w:jc w:val="center"/>
              <w:rPr>
                <w:color w:val="000000"/>
                <w:sz w:val="21"/>
                <w:szCs w:val="21"/>
              </w:rPr>
            </w:pPr>
            <w:r>
              <w:rPr>
                <w:color w:val="000000"/>
                <w:sz w:val="21"/>
                <w:szCs w:val="21"/>
              </w:rPr>
              <w:t>17m</w:t>
            </w:r>
          </w:p>
        </w:tc>
        <w:tc>
          <w:tcPr>
            <w:tcW w:w="1846" w:type="pct"/>
            <w:shd w:val="clear" w:color="auto" w:fill="auto"/>
            <w:vAlign w:val="center"/>
          </w:tcPr>
          <w:p w14:paraId="64BC01B3">
            <w:pPr>
              <w:spacing w:line="240" w:lineRule="auto"/>
              <w:ind w:firstLine="0" w:firstLineChars="0"/>
              <w:jc w:val="center"/>
              <w:rPr>
                <w:color w:val="000000"/>
                <w:sz w:val="21"/>
                <w:szCs w:val="21"/>
              </w:rPr>
            </w:pPr>
          </w:p>
        </w:tc>
      </w:tr>
      <w:tr w14:paraId="58178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61" w:type="pct"/>
            <w:vMerge w:val="continue"/>
            <w:vAlign w:val="center"/>
          </w:tcPr>
          <w:p w14:paraId="03D4A925">
            <w:pPr>
              <w:spacing w:line="240" w:lineRule="auto"/>
              <w:ind w:firstLine="0" w:firstLineChars="0"/>
              <w:jc w:val="center"/>
              <w:rPr>
                <w:color w:val="000000"/>
                <w:sz w:val="21"/>
                <w:szCs w:val="21"/>
              </w:rPr>
            </w:pPr>
          </w:p>
        </w:tc>
        <w:tc>
          <w:tcPr>
            <w:tcW w:w="1604" w:type="pct"/>
            <w:shd w:val="clear" w:color="auto" w:fill="auto"/>
            <w:vAlign w:val="center"/>
          </w:tcPr>
          <w:p w14:paraId="1069AFC2">
            <w:pPr>
              <w:spacing w:line="240" w:lineRule="auto"/>
              <w:ind w:firstLine="0" w:firstLineChars="0"/>
              <w:jc w:val="center"/>
              <w:rPr>
                <w:color w:val="000000"/>
                <w:sz w:val="21"/>
                <w:szCs w:val="21"/>
              </w:rPr>
            </w:pPr>
            <w:r>
              <w:rPr>
                <w:color w:val="000000"/>
                <w:sz w:val="21"/>
                <w:szCs w:val="21"/>
              </w:rPr>
              <w:t>最小工作平台宽度</w:t>
            </w:r>
          </w:p>
        </w:tc>
        <w:tc>
          <w:tcPr>
            <w:tcW w:w="889" w:type="pct"/>
            <w:shd w:val="clear" w:color="auto" w:fill="auto"/>
            <w:vAlign w:val="center"/>
          </w:tcPr>
          <w:p w14:paraId="41886B9C">
            <w:pPr>
              <w:spacing w:line="240" w:lineRule="auto"/>
              <w:ind w:firstLine="0" w:firstLineChars="0"/>
              <w:jc w:val="center"/>
              <w:rPr>
                <w:color w:val="000000"/>
                <w:sz w:val="21"/>
                <w:szCs w:val="21"/>
              </w:rPr>
            </w:pPr>
            <w:r>
              <w:rPr>
                <w:color w:val="000000"/>
                <w:sz w:val="21"/>
                <w:szCs w:val="21"/>
              </w:rPr>
              <w:t>26m</w:t>
            </w:r>
          </w:p>
        </w:tc>
        <w:tc>
          <w:tcPr>
            <w:tcW w:w="1846" w:type="pct"/>
            <w:shd w:val="clear" w:color="auto" w:fill="auto"/>
            <w:vAlign w:val="center"/>
          </w:tcPr>
          <w:p w14:paraId="29951A1D">
            <w:pPr>
              <w:spacing w:line="240" w:lineRule="auto"/>
              <w:ind w:firstLine="0" w:firstLineChars="0"/>
              <w:jc w:val="center"/>
              <w:rPr>
                <w:color w:val="000000"/>
                <w:sz w:val="21"/>
                <w:szCs w:val="21"/>
              </w:rPr>
            </w:pPr>
          </w:p>
        </w:tc>
      </w:tr>
      <w:tr w14:paraId="5B0DD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61" w:type="pct"/>
            <w:vMerge w:val="continue"/>
            <w:vAlign w:val="center"/>
          </w:tcPr>
          <w:p w14:paraId="19AB9ADB">
            <w:pPr>
              <w:spacing w:line="240" w:lineRule="auto"/>
              <w:ind w:firstLine="0" w:firstLineChars="0"/>
              <w:jc w:val="center"/>
              <w:rPr>
                <w:color w:val="000000"/>
                <w:sz w:val="21"/>
                <w:szCs w:val="21"/>
              </w:rPr>
            </w:pPr>
          </w:p>
        </w:tc>
        <w:tc>
          <w:tcPr>
            <w:tcW w:w="1604" w:type="pct"/>
            <w:shd w:val="clear" w:color="auto" w:fill="auto"/>
            <w:vAlign w:val="center"/>
          </w:tcPr>
          <w:p w14:paraId="676094C7">
            <w:pPr>
              <w:spacing w:line="240" w:lineRule="auto"/>
              <w:ind w:firstLine="0" w:firstLineChars="0"/>
              <w:jc w:val="center"/>
              <w:rPr>
                <w:color w:val="000000"/>
                <w:sz w:val="21"/>
                <w:szCs w:val="21"/>
              </w:rPr>
            </w:pPr>
            <w:r>
              <w:rPr>
                <w:color w:val="000000"/>
                <w:sz w:val="21"/>
                <w:szCs w:val="21"/>
              </w:rPr>
              <w:t>安全平台宽度</w:t>
            </w:r>
          </w:p>
        </w:tc>
        <w:tc>
          <w:tcPr>
            <w:tcW w:w="889" w:type="pct"/>
            <w:shd w:val="clear" w:color="auto" w:fill="auto"/>
            <w:vAlign w:val="center"/>
          </w:tcPr>
          <w:p w14:paraId="7F389298">
            <w:pPr>
              <w:spacing w:line="240" w:lineRule="auto"/>
              <w:ind w:firstLine="0" w:firstLineChars="0"/>
              <w:jc w:val="center"/>
              <w:rPr>
                <w:color w:val="000000"/>
                <w:sz w:val="21"/>
                <w:szCs w:val="21"/>
              </w:rPr>
            </w:pPr>
            <w:r>
              <w:rPr>
                <w:color w:val="000000"/>
                <w:sz w:val="21"/>
                <w:szCs w:val="21"/>
              </w:rPr>
              <w:t>5m</w:t>
            </w:r>
          </w:p>
        </w:tc>
        <w:tc>
          <w:tcPr>
            <w:tcW w:w="1846" w:type="pct"/>
            <w:vMerge w:val="restart"/>
            <w:shd w:val="clear" w:color="auto" w:fill="auto"/>
            <w:vAlign w:val="center"/>
          </w:tcPr>
          <w:p w14:paraId="385CDE89">
            <w:pPr>
              <w:spacing w:line="240" w:lineRule="auto"/>
              <w:ind w:firstLine="0" w:firstLineChars="0"/>
              <w:jc w:val="center"/>
              <w:rPr>
                <w:color w:val="000000"/>
                <w:sz w:val="21"/>
                <w:szCs w:val="21"/>
              </w:rPr>
            </w:pPr>
            <w:r>
              <w:rPr>
                <w:color w:val="000000"/>
                <w:sz w:val="21"/>
                <w:szCs w:val="21"/>
              </w:rPr>
              <w:t>间隔2个安全平台</w:t>
            </w:r>
          </w:p>
          <w:p w14:paraId="5DD1F76C">
            <w:pPr>
              <w:spacing w:line="240" w:lineRule="auto"/>
              <w:ind w:firstLine="0" w:firstLineChars="0"/>
              <w:jc w:val="center"/>
              <w:rPr>
                <w:color w:val="000000"/>
                <w:sz w:val="21"/>
                <w:szCs w:val="21"/>
              </w:rPr>
            </w:pPr>
            <w:r>
              <w:rPr>
                <w:color w:val="000000"/>
                <w:sz w:val="21"/>
                <w:szCs w:val="21"/>
              </w:rPr>
              <w:t>设置1个清扫平台</w:t>
            </w:r>
          </w:p>
        </w:tc>
      </w:tr>
      <w:tr w14:paraId="660E6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61" w:type="pct"/>
            <w:vMerge w:val="continue"/>
            <w:vAlign w:val="center"/>
          </w:tcPr>
          <w:p w14:paraId="3D5559FA">
            <w:pPr>
              <w:spacing w:line="240" w:lineRule="auto"/>
              <w:ind w:firstLine="0" w:firstLineChars="0"/>
              <w:jc w:val="center"/>
              <w:rPr>
                <w:color w:val="000000"/>
                <w:sz w:val="21"/>
                <w:szCs w:val="21"/>
              </w:rPr>
            </w:pPr>
          </w:p>
        </w:tc>
        <w:tc>
          <w:tcPr>
            <w:tcW w:w="1604" w:type="pct"/>
            <w:shd w:val="clear" w:color="auto" w:fill="auto"/>
            <w:vAlign w:val="center"/>
          </w:tcPr>
          <w:p w14:paraId="0E6995DA">
            <w:pPr>
              <w:spacing w:line="240" w:lineRule="auto"/>
              <w:ind w:firstLine="0" w:firstLineChars="0"/>
              <w:jc w:val="center"/>
              <w:rPr>
                <w:color w:val="000000"/>
                <w:sz w:val="21"/>
                <w:szCs w:val="21"/>
              </w:rPr>
            </w:pPr>
            <w:r>
              <w:rPr>
                <w:color w:val="000000"/>
                <w:sz w:val="21"/>
                <w:szCs w:val="21"/>
              </w:rPr>
              <w:t>清扫平台宽度</w:t>
            </w:r>
          </w:p>
        </w:tc>
        <w:tc>
          <w:tcPr>
            <w:tcW w:w="889" w:type="pct"/>
            <w:shd w:val="clear" w:color="auto" w:fill="auto"/>
            <w:vAlign w:val="center"/>
          </w:tcPr>
          <w:p w14:paraId="03A6915C">
            <w:pPr>
              <w:spacing w:line="240" w:lineRule="auto"/>
              <w:ind w:firstLine="0" w:firstLineChars="0"/>
              <w:jc w:val="center"/>
              <w:rPr>
                <w:color w:val="000000"/>
                <w:sz w:val="21"/>
                <w:szCs w:val="21"/>
              </w:rPr>
            </w:pPr>
            <w:r>
              <w:rPr>
                <w:color w:val="000000"/>
                <w:sz w:val="21"/>
                <w:szCs w:val="21"/>
              </w:rPr>
              <w:t>8m</w:t>
            </w:r>
          </w:p>
        </w:tc>
        <w:tc>
          <w:tcPr>
            <w:tcW w:w="1846" w:type="pct"/>
            <w:vMerge w:val="continue"/>
            <w:shd w:val="clear" w:color="auto" w:fill="auto"/>
            <w:vAlign w:val="center"/>
          </w:tcPr>
          <w:p w14:paraId="28231CA3">
            <w:pPr>
              <w:spacing w:line="240" w:lineRule="auto"/>
              <w:ind w:firstLine="0" w:firstLineChars="0"/>
              <w:jc w:val="center"/>
              <w:rPr>
                <w:color w:val="000000"/>
                <w:sz w:val="21"/>
                <w:szCs w:val="21"/>
              </w:rPr>
            </w:pPr>
          </w:p>
        </w:tc>
      </w:tr>
      <w:tr w14:paraId="1C722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61" w:type="pct"/>
            <w:vMerge w:val="continue"/>
            <w:vAlign w:val="center"/>
          </w:tcPr>
          <w:p w14:paraId="514A09D0">
            <w:pPr>
              <w:spacing w:line="240" w:lineRule="auto"/>
              <w:ind w:firstLine="0" w:firstLineChars="0"/>
              <w:jc w:val="center"/>
              <w:rPr>
                <w:color w:val="000000"/>
                <w:sz w:val="21"/>
                <w:szCs w:val="21"/>
              </w:rPr>
            </w:pPr>
          </w:p>
        </w:tc>
        <w:tc>
          <w:tcPr>
            <w:tcW w:w="1604" w:type="pct"/>
            <w:shd w:val="clear" w:color="auto" w:fill="auto"/>
            <w:vAlign w:val="center"/>
          </w:tcPr>
          <w:p w14:paraId="20674934">
            <w:pPr>
              <w:spacing w:line="240" w:lineRule="auto"/>
              <w:ind w:firstLine="0" w:firstLineChars="0"/>
              <w:jc w:val="center"/>
              <w:rPr>
                <w:color w:val="000000"/>
                <w:sz w:val="21"/>
                <w:szCs w:val="21"/>
              </w:rPr>
            </w:pPr>
            <w:r>
              <w:rPr>
                <w:color w:val="000000"/>
                <w:sz w:val="21"/>
                <w:szCs w:val="21"/>
              </w:rPr>
              <w:t>封闭圈标高</w:t>
            </w:r>
          </w:p>
        </w:tc>
        <w:tc>
          <w:tcPr>
            <w:tcW w:w="889" w:type="pct"/>
            <w:shd w:val="clear" w:color="auto" w:fill="auto"/>
            <w:vAlign w:val="center"/>
          </w:tcPr>
          <w:p w14:paraId="35702529">
            <w:pPr>
              <w:spacing w:line="240" w:lineRule="auto"/>
              <w:ind w:firstLine="0" w:firstLineChars="0"/>
              <w:jc w:val="center"/>
              <w:rPr>
                <w:color w:val="000000"/>
                <w:sz w:val="21"/>
                <w:szCs w:val="21"/>
              </w:rPr>
            </w:pPr>
            <w:r>
              <w:rPr>
                <w:color w:val="000000"/>
                <w:sz w:val="21"/>
                <w:szCs w:val="21"/>
              </w:rPr>
              <w:t>2730m</w:t>
            </w:r>
          </w:p>
        </w:tc>
        <w:tc>
          <w:tcPr>
            <w:tcW w:w="1846" w:type="pct"/>
            <w:shd w:val="clear" w:color="auto" w:fill="auto"/>
            <w:vAlign w:val="center"/>
          </w:tcPr>
          <w:p w14:paraId="2A4E647F">
            <w:pPr>
              <w:spacing w:line="240" w:lineRule="auto"/>
              <w:ind w:firstLine="0" w:firstLineChars="0"/>
              <w:jc w:val="center"/>
              <w:rPr>
                <w:color w:val="000000"/>
                <w:sz w:val="21"/>
                <w:szCs w:val="21"/>
              </w:rPr>
            </w:pPr>
          </w:p>
        </w:tc>
      </w:tr>
      <w:tr w14:paraId="05AB0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61" w:type="pct"/>
            <w:vMerge w:val="restart"/>
            <w:shd w:val="clear" w:color="auto" w:fill="auto"/>
            <w:vAlign w:val="center"/>
          </w:tcPr>
          <w:p w14:paraId="61EA07E2">
            <w:pPr>
              <w:spacing w:line="240" w:lineRule="auto"/>
              <w:ind w:firstLine="0" w:firstLineChars="0"/>
              <w:jc w:val="center"/>
              <w:rPr>
                <w:color w:val="000000"/>
                <w:sz w:val="21"/>
                <w:szCs w:val="21"/>
              </w:rPr>
            </w:pPr>
            <w:r>
              <w:rPr>
                <w:color w:val="000000"/>
                <w:sz w:val="21"/>
                <w:szCs w:val="21"/>
              </w:rPr>
              <w:t>台阶</w:t>
            </w:r>
          </w:p>
          <w:p w14:paraId="6A3D4BDB">
            <w:pPr>
              <w:spacing w:line="240" w:lineRule="auto"/>
              <w:ind w:firstLine="0" w:firstLineChars="0"/>
              <w:jc w:val="center"/>
              <w:rPr>
                <w:color w:val="000000"/>
                <w:sz w:val="21"/>
                <w:szCs w:val="21"/>
              </w:rPr>
            </w:pPr>
            <w:r>
              <w:rPr>
                <w:color w:val="000000"/>
                <w:sz w:val="21"/>
                <w:szCs w:val="21"/>
              </w:rPr>
              <w:t>坡面角</w:t>
            </w:r>
          </w:p>
        </w:tc>
        <w:tc>
          <w:tcPr>
            <w:tcW w:w="1604" w:type="pct"/>
            <w:shd w:val="clear" w:color="auto" w:fill="auto"/>
            <w:vAlign w:val="center"/>
          </w:tcPr>
          <w:p w14:paraId="4C93F9D5">
            <w:pPr>
              <w:spacing w:line="240" w:lineRule="auto"/>
              <w:ind w:firstLine="0" w:firstLineChars="0"/>
              <w:jc w:val="center"/>
              <w:rPr>
                <w:color w:val="000000"/>
                <w:sz w:val="21"/>
                <w:szCs w:val="21"/>
              </w:rPr>
            </w:pPr>
            <w:r>
              <w:rPr>
                <w:color w:val="000000"/>
                <w:sz w:val="21"/>
                <w:szCs w:val="21"/>
              </w:rPr>
              <w:t>工作台阶坡面角</w:t>
            </w:r>
          </w:p>
        </w:tc>
        <w:tc>
          <w:tcPr>
            <w:tcW w:w="889" w:type="pct"/>
            <w:shd w:val="clear" w:color="auto" w:fill="auto"/>
            <w:vAlign w:val="center"/>
          </w:tcPr>
          <w:p w14:paraId="63E44215">
            <w:pPr>
              <w:spacing w:line="240" w:lineRule="auto"/>
              <w:ind w:firstLine="0" w:firstLineChars="0"/>
              <w:jc w:val="center"/>
              <w:rPr>
                <w:color w:val="000000"/>
                <w:sz w:val="21"/>
                <w:szCs w:val="21"/>
              </w:rPr>
            </w:pPr>
            <w:r>
              <w:rPr>
                <w:color w:val="000000"/>
                <w:sz w:val="21"/>
                <w:szCs w:val="21"/>
              </w:rPr>
              <w:t>75°</w:t>
            </w:r>
          </w:p>
        </w:tc>
        <w:tc>
          <w:tcPr>
            <w:tcW w:w="1846" w:type="pct"/>
            <w:shd w:val="clear" w:color="auto" w:fill="auto"/>
            <w:vAlign w:val="center"/>
          </w:tcPr>
          <w:p w14:paraId="46C81A70">
            <w:pPr>
              <w:spacing w:line="240" w:lineRule="auto"/>
              <w:ind w:firstLine="0" w:firstLineChars="0"/>
              <w:jc w:val="center"/>
              <w:rPr>
                <w:color w:val="000000"/>
                <w:sz w:val="21"/>
                <w:szCs w:val="21"/>
              </w:rPr>
            </w:pPr>
          </w:p>
        </w:tc>
      </w:tr>
      <w:tr w14:paraId="570E2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61" w:type="pct"/>
            <w:vMerge w:val="continue"/>
            <w:shd w:val="clear" w:color="auto" w:fill="auto"/>
            <w:vAlign w:val="center"/>
          </w:tcPr>
          <w:p w14:paraId="0D9303FD">
            <w:pPr>
              <w:spacing w:line="240" w:lineRule="auto"/>
              <w:ind w:firstLine="0" w:firstLineChars="0"/>
              <w:jc w:val="center"/>
              <w:rPr>
                <w:color w:val="000000"/>
                <w:sz w:val="21"/>
                <w:szCs w:val="21"/>
              </w:rPr>
            </w:pPr>
          </w:p>
        </w:tc>
        <w:tc>
          <w:tcPr>
            <w:tcW w:w="1604" w:type="pct"/>
            <w:shd w:val="clear" w:color="auto" w:fill="auto"/>
            <w:vAlign w:val="center"/>
          </w:tcPr>
          <w:p w14:paraId="5C0CB429">
            <w:pPr>
              <w:spacing w:line="240" w:lineRule="auto"/>
              <w:ind w:firstLine="0" w:firstLineChars="0"/>
              <w:jc w:val="center"/>
              <w:rPr>
                <w:color w:val="000000"/>
                <w:sz w:val="21"/>
                <w:szCs w:val="21"/>
              </w:rPr>
            </w:pPr>
            <w:r>
              <w:rPr>
                <w:color w:val="000000"/>
                <w:sz w:val="21"/>
                <w:szCs w:val="21"/>
              </w:rPr>
              <w:t>靠帮台阶坡面角</w:t>
            </w:r>
          </w:p>
        </w:tc>
        <w:tc>
          <w:tcPr>
            <w:tcW w:w="889" w:type="pct"/>
            <w:shd w:val="clear" w:color="auto" w:fill="auto"/>
            <w:vAlign w:val="center"/>
          </w:tcPr>
          <w:p w14:paraId="6E686C06">
            <w:pPr>
              <w:spacing w:line="240" w:lineRule="auto"/>
              <w:ind w:firstLine="0" w:firstLineChars="0"/>
              <w:jc w:val="center"/>
              <w:rPr>
                <w:color w:val="000000"/>
                <w:sz w:val="21"/>
                <w:szCs w:val="21"/>
              </w:rPr>
            </w:pPr>
            <w:r>
              <w:rPr>
                <w:color w:val="000000"/>
                <w:sz w:val="21"/>
                <w:szCs w:val="21"/>
              </w:rPr>
              <w:t>60°</w:t>
            </w:r>
          </w:p>
        </w:tc>
        <w:tc>
          <w:tcPr>
            <w:tcW w:w="1846" w:type="pct"/>
            <w:shd w:val="clear" w:color="auto" w:fill="auto"/>
            <w:vAlign w:val="center"/>
          </w:tcPr>
          <w:p w14:paraId="370507EF">
            <w:pPr>
              <w:spacing w:line="240" w:lineRule="auto"/>
              <w:ind w:firstLine="0" w:firstLineChars="0"/>
              <w:jc w:val="center"/>
              <w:rPr>
                <w:color w:val="000000"/>
                <w:sz w:val="21"/>
                <w:szCs w:val="21"/>
              </w:rPr>
            </w:pPr>
          </w:p>
        </w:tc>
      </w:tr>
      <w:tr w14:paraId="4B844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61" w:type="pct"/>
            <w:vMerge w:val="restart"/>
            <w:shd w:val="clear" w:color="auto" w:fill="auto"/>
            <w:vAlign w:val="center"/>
          </w:tcPr>
          <w:p w14:paraId="554AA228">
            <w:pPr>
              <w:spacing w:line="240" w:lineRule="auto"/>
              <w:ind w:firstLine="0" w:firstLineChars="0"/>
              <w:jc w:val="center"/>
              <w:rPr>
                <w:color w:val="000000"/>
                <w:sz w:val="21"/>
                <w:szCs w:val="21"/>
              </w:rPr>
            </w:pPr>
            <w:r>
              <w:rPr>
                <w:color w:val="000000"/>
                <w:sz w:val="21"/>
                <w:szCs w:val="21"/>
              </w:rPr>
              <w:t>最终</w:t>
            </w:r>
          </w:p>
          <w:p w14:paraId="2B3BB3B8">
            <w:pPr>
              <w:spacing w:line="240" w:lineRule="auto"/>
              <w:ind w:firstLine="0" w:firstLineChars="0"/>
              <w:jc w:val="center"/>
              <w:rPr>
                <w:color w:val="000000"/>
                <w:sz w:val="21"/>
                <w:szCs w:val="21"/>
              </w:rPr>
            </w:pPr>
            <w:r>
              <w:rPr>
                <w:color w:val="000000"/>
                <w:sz w:val="21"/>
                <w:szCs w:val="21"/>
              </w:rPr>
              <w:t>边坡角</w:t>
            </w:r>
          </w:p>
        </w:tc>
        <w:tc>
          <w:tcPr>
            <w:tcW w:w="1604" w:type="pct"/>
            <w:shd w:val="clear" w:color="auto" w:fill="auto"/>
            <w:vAlign w:val="center"/>
          </w:tcPr>
          <w:p w14:paraId="2C6A75DB">
            <w:pPr>
              <w:spacing w:line="240" w:lineRule="auto"/>
              <w:ind w:firstLine="0" w:firstLineChars="0"/>
              <w:jc w:val="center"/>
              <w:rPr>
                <w:color w:val="000000"/>
                <w:sz w:val="21"/>
                <w:szCs w:val="21"/>
              </w:rPr>
            </w:pPr>
            <w:r>
              <w:rPr>
                <w:color w:val="000000"/>
                <w:sz w:val="21"/>
                <w:szCs w:val="21"/>
              </w:rPr>
              <w:t>北侧</w:t>
            </w:r>
          </w:p>
        </w:tc>
        <w:tc>
          <w:tcPr>
            <w:tcW w:w="889" w:type="pct"/>
            <w:shd w:val="clear" w:color="auto" w:fill="auto"/>
            <w:vAlign w:val="center"/>
          </w:tcPr>
          <w:p w14:paraId="0B382E80">
            <w:pPr>
              <w:spacing w:line="240" w:lineRule="auto"/>
              <w:ind w:firstLine="0" w:firstLineChars="0"/>
              <w:jc w:val="center"/>
              <w:rPr>
                <w:color w:val="000000"/>
                <w:sz w:val="21"/>
                <w:szCs w:val="21"/>
              </w:rPr>
            </w:pPr>
            <w:r>
              <w:rPr>
                <w:color w:val="000000"/>
                <w:sz w:val="21"/>
                <w:szCs w:val="21"/>
              </w:rPr>
              <w:t>48°</w:t>
            </w:r>
          </w:p>
        </w:tc>
        <w:tc>
          <w:tcPr>
            <w:tcW w:w="1846" w:type="pct"/>
            <w:shd w:val="clear" w:color="auto" w:fill="auto"/>
            <w:vAlign w:val="center"/>
          </w:tcPr>
          <w:p w14:paraId="055C931C">
            <w:pPr>
              <w:spacing w:line="240" w:lineRule="auto"/>
              <w:ind w:firstLine="0" w:firstLineChars="0"/>
              <w:jc w:val="center"/>
              <w:rPr>
                <w:color w:val="000000"/>
                <w:sz w:val="21"/>
                <w:szCs w:val="21"/>
              </w:rPr>
            </w:pPr>
            <w:r>
              <w:rPr>
                <w:color w:val="000000"/>
                <w:sz w:val="21"/>
                <w:szCs w:val="21"/>
              </w:rPr>
              <w:t>边坡最高高度75m</w:t>
            </w:r>
          </w:p>
        </w:tc>
      </w:tr>
      <w:tr w14:paraId="59FBF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61" w:type="pct"/>
            <w:vMerge w:val="continue"/>
            <w:vAlign w:val="center"/>
          </w:tcPr>
          <w:p w14:paraId="2D608F45">
            <w:pPr>
              <w:spacing w:line="240" w:lineRule="auto"/>
              <w:ind w:firstLine="0" w:firstLineChars="0"/>
              <w:jc w:val="center"/>
              <w:rPr>
                <w:color w:val="000000"/>
                <w:sz w:val="21"/>
                <w:szCs w:val="21"/>
              </w:rPr>
            </w:pPr>
          </w:p>
        </w:tc>
        <w:tc>
          <w:tcPr>
            <w:tcW w:w="1604" w:type="pct"/>
            <w:shd w:val="clear" w:color="auto" w:fill="auto"/>
            <w:vAlign w:val="center"/>
          </w:tcPr>
          <w:p w14:paraId="6C65264D">
            <w:pPr>
              <w:spacing w:line="240" w:lineRule="auto"/>
              <w:ind w:firstLine="0" w:firstLineChars="0"/>
              <w:jc w:val="center"/>
              <w:rPr>
                <w:color w:val="000000"/>
                <w:sz w:val="21"/>
                <w:szCs w:val="21"/>
              </w:rPr>
            </w:pPr>
            <w:r>
              <w:rPr>
                <w:color w:val="000000"/>
                <w:sz w:val="21"/>
                <w:szCs w:val="21"/>
              </w:rPr>
              <w:t>西侧</w:t>
            </w:r>
          </w:p>
        </w:tc>
        <w:tc>
          <w:tcPr>
            <w:tcW w:w="889" w:type="pct"/>
            <w:shd w:val="clear" w:color="auto" w:fill="auto"/>
            <w:vAlign w:val="center"/>
          </w:tcPr>
          <w:p w14:paraId="7F7B48D0">
            <w:pPr>
              <w:spacing w:line="240" w:lineRule="auto"/>
              <w:ind w:firstLine="0" w:firstLineChars="0"/>
              <w:jc w:val="center"/>
              <w:rPr>
                <w:color w:val="000000"/>
                <w:sz w:val="21"/>
                <w:szCs w:val="21"/>
              </w:rPr>
            </w:pPr>
            <w:r>
              <w:rPr>
                <w:color w:val="000000"/>
                <w:sz w:val="21"/>
                <w:szCs w:val="21"/>
              </w:rPr>
              <w:t>42°</w:t>
            </w:r>
          </w:p>
        </w:tc>
        <w:tc>
          <w:tcPr>
            <w:tcW w:w="1846" w:type="pct"/>
            <w:shd w:val="clear" w:color="auto" w:fill="auto"/>
            <w:vAlign w:val="center"/>
          </w:tcPr>
          <w:p w14:paraId="37A542AF">
            <w:pPr>
              <w:spacing w:line="240" w:lineRule="auto"/>
              <w:ind w:firstLine="0" w:firstLineChars="0"/>
              <w:jc w:val="center"/>
              <w:rPr>
                <w:color w:val="000000"/>
                <w:sz w:val="21"/>
                <w:szCs w:val="21"/>
              </w:rPr>
            </w:pPr>
            <w:r>
              <w:rPr>
                <w:color w:val="000000"/>
                <w:sz w:val="21"/>
                <w:szCs w:val="21"/>
              </w:rPr>
              <w:t>边坡最高高度47m</w:t>
            </w:r>
          </w:p>
        </w:tc>
      </w:tr>
    </w:tbl>
    <w:p w14:paraId="32039691">
      <w:pPr>
        <w:pStyle w:val="7"/>
        <w:ind w:firstLine="560"/>
      </w:pPr>
      <w:r>
        <w:t>2.4.5.2台阶参数</w:t>
      </w:r>
      <w:bookmarkEnd w:id="336"/>
    </w:p>
    <w:p w14:paraId="4EB3FA16">
      <w:pPr>
        <w:topLinePunct/>
        <w:ind w:firstLine="562"/>
        <w:rPr>
          <w:b/>
        </w:rPr>
      </w:pPr>
      <w:r>
        <w:rPr>
          <w:b/>
        </w:rPr>
        <w:t>一、设计情况</w:t>
      </w:r>
    </w:p>
    <w:p w14:paraId="698E0DC8">
      <w:pPr>
        <w:pStyle w:val="124"/>
        <w:snapToGrid w:val="0"/>
        <w:spacing w:line="360" w:lineRule="auto"/>
        <w:ind w:firstLine="560" w:firstLineChars="200"/>
        <w:jc w:val="both"/>
        <w:rPr>
          <w:rFonts w:ascii="Times New Roman" w:hAnsi="Times New Roman" w:cs="Times New Roman"/>
          <w:color w:val="auto"/>
          <w:sz w:val="28"/>
        </w:rPr>
      </w:pPr>
      <w:r>
        <w:rPr>
          <w:rFonts w:ascii="Times New Roman" w:hAnsi="Times New Roman" w:cs="Times New Roman"/>
          <w:color w:val="auto"/>
          <w:sz w:val="28"/>
        </w:rPr>
        <w:t>开采标高：2790m</w:t>
      </w:r>
      <w:r>
        <w:rPr>
          <w:rFonts w:hint="eastAsia" w:ascii="Times New Roman" w:hAnsi="Times New Roman" w:cs="Times New Roman"/>
          <w:color w:val="auto"/>
          <w:sz w:val="28"/>
        </w:rPr>
        <w:t>—</w:t>
      </w:r>
      <w:r>
        <w:rPr>
          <w:rFonts w:ascii="Times New Roman" w:hAnsi="Times New Roman" w:cs="Times New Roman"/>
          <w:color w:val="auto"/>
          <w:sz w:val="28"/>
        </w:rPr>
        <w:t>2700m；</w:t>
      </w:r>
    </w:p>
    <w:p w14:paraId="09B3B229">
      <w:pPr>
        <w:pStyle w:val="124"/>
        <w:snapToGrid w:val="0"/>
        <w:spacing w:line="360" w:lineRule="auto"/>
        <w:ind w:firstLine="560" w:firstLineChars="200"/>
        <w:jc w:val="both"/>
        <w:rPr>
          <w:rFonts w:ascii="Times New Roman" w:hAnsi="Times New Roman" w:cs="Times New Roman"/>
          <w:color w:val="auto"/>
          <w:sz w:val="28"/>
        </w:rPr>
      </w:pPr>
      <w:r>
        <w:rPr>
          <w:rFonts w:ascii="Times New Roman" w:hAnsi="Times New Roman" w:cs="Times New Roman"/>
          <w:color w:val="auto"/>
          <w:sz w:val="28"/>
        </w:rPr>
        <w:t>开采深度：90m；</w:t>
      </w:r>
    </w:p>
    <w:p w14:paraId="4DC69613">
      <w:pPr>
        <w:pStyle w:val="124"/>
        <w:snapToGrid w:val="0"/>
        <w:spacing w:line="360" w:lineRule="auto"/>
        <w:ind w:firstLine="560" w:firstLineChars="200"/>
        <w:jc w:val="both"/>
        <w:rPr>
          <w:rFonts w:ascii="Times New Roman" w:hAnsi="Times New Roman" w:cs="Times New Roman"/>
          <w:color w:val="auto"/>
          <w:sz w:val="28"/>
        </w:rPr>
      </w:pPr>
      <w:r>
        <w:rPr>
          <w:rFonts w:ascii="Times New Roman" w:hAnsi="Times New Roman" w:cs="Times New Roman"/>
          <w:color w:val="auto"/>
          <w:sz w:val="28"/>
        </w:rPr>
        <w:t>布置台阶：5个；</w:t>
      </w:r>
    </w:p>
    <w:p w14:paraId="5678462B">
      <w:pPr>
        <w:pStyle w:val="124"/>
        <w:snapToGrid w:val="0"/>
        <w:spacing w:line="360" w:lineRule="auto"/>
        <w:ind w:firstLine="560" w:firstLineChars="200"/>
        <w:jc w:val="both"/>
        <w:rPr>
          <w:rFonts w:ascii="Times New Roman" w:hAnsi="Times New Roman" w:cs="Times New Roman"/>
          <w:color w:val="auto"/>
          <w:sz w:val="28"/>
        </w:rPr>
      </w:pPr>
      <w:r>
        <w:rPr>
          <w:rFonts w:ascii="Times New Roman" w:hAnsi="Times New Roman" w:cs="Times New Roman"/>
          <w:color w:val="auto"/>
          <w:sz w:val="28"/>
        </w:rPr>
        <w:t>安全平台宽度：5m；</w:t>
      </w:r>
    </w:p>
    <w:p w14:paraId="5F28D5B5">
      <w:pPr>
        <w:pStyle w:val="124"/>
        <w:snapToGrid w:val="0"/>
        <w:spacing w:line="360" w:lineRule="auto"/>
        <w:ind w:firstLine="560" w:firstLineChars="200"/>
        <w:jc w:val="both"/>
        <w:rPr>
          <w:rFonts w:ascii="Times New Roman" w:hAnsi="Times New Roman" w:cs="Times New Roman"/>
          <w:color w:val="auto"/>
          <w:sz w:val="28"/>
        </w:rPr>
      </w:pPr>
      <w:r>
        <w:rPr>
          <w:rFonts w:ascii="Times New Roman" w:hAnsi="Times New Roman" w:cs="Times New Roman"/>
          <w:color w:val="auto"/>
          <w:sz w:val="28"/>
        </w:rPr>
        <w:t>清扫平台宽度：8m；</w:t>
      </w:r>
    </w:p>
    <w:p w14:paraId="3C9B64C9">
      <w:pPr>
        <w:pStyle w:val="124"/>
        <w:snapToGrid w:val="0"/>
        <w:spacing w:line="360" w:lineRule="auto"/>
        <w:ind w:firstLine="560" w:firstLineChars="200"/>
        <w:jc w:val="both"/>
        <w:rPr>
          <w:rFonts w:ascii="Times New Roman" w:hAnsi="Times New Roman" w:cs="Times New Roman"/>
          <w:color w:val="auto"/>
          <w:sz w:val="28"/>
        </w:rPr>
      </w:pPr>
      <w:r>
        <w:rPr>
          <w:rFonts w:ascii="Times New Roman" w:hAnsi="Times New Roman" w:cs="Times New Roman"/>
          <w:color w:val="auto"/>
          <w:sz w:val="28"/>
        </w:rPr>
        <w:t>台阶高度：15m；</w:t>
      </w:r>
    </w:p>
    <w:p w14:paraId="3076394E">
      <w:pPr>
        <w:pStyle w:val="124"/>
        <w:snapToGrid w:val="0"/>
        <w:spacing w:line="360" w:lineRule="auto"/>
        <w:ind w:firstLine="560" w:firstLineChars="200"/>
        <w:jc w:val="both"/>
        <w:rPr>
          <w:rFonts w:ascii="Times New Roman" w:hAnsi="Times New Roman" w:cs="Times New Roman"/>
          <w:color w:val="auto"/>
          <w:sz w:val="28"/>
        </w:rPr>
      </w:pPr>
      <w:r>
        <w:rPr>
          <w:rFonts w:ascii="Times New Roman" w:hAnsi="Times New Roman" w:cs="Times New Roman"/>
          <w:color w:val="auto"/>
          <w:sz w:val="28"/>
        </w:rPr>
        <w:t>工作台阶坡面角：75°；</w:t>
      </w:r>
    </w:p>
    <w:p w14:paraId="42812759">
      <w:pPr>
        <w:pStyle w:val="124"/>
        <w:snapToGrid w:val="0"/>
        <w:spacing w:line="360" w:lineRule="auto"/>
        <w:ind w:firstLine="560" w:firstLineChars="200"/>
        <w:jc w:val="both"/>
        <w:rPr>
          <w:rFonts w:ascii="Times New Roman" w:hAnsi="Times New Roman" w:cs="Times New Roman"/>
          <w:color w:val="auto"/>
          <w:sz w:val="28"/>
        </w:rPr>
      </w:pPr>
      <w:r>
        <w:rPr>
          <w:rFonts w:ascii="Times New Roman" w:hAnsi="Times New Roman" w:cs="Times New Roman"/>
          <w:color w:val="auto"/>
          <w:sz w:val="28"/>
        </w:rPr>
        <w:t>最终边坡角：≤48°；</w:t>
      </w:r>
    </w:p>
    <w:p w14:paraId="6FCF5C24">
      <w:pPr>
        <w:pStyle w:val="124"/>
        <w:snapToGrid w:val="0"/>
        <w:spacing w:line="360" w:lineRule="auto"/>
        <w:ind w:firstLine="560" w:firstLineChars="200"/>
        <w:jc w:val="both"/>
        <w:rPr>
          <w:rFonts w:ascii="Times New Roman" w:hAnsi="Times New Roman" w:cs="Times New Roman"/>
          <w:color w:val="auto"/>
          <w:sz w:val="28"/>
        </w:rPr>
      </w:pPr>
      <w:r>
        <w:rPr>
          <w:rFonts w:ascii="Times New Roman" w:hAnsi="Times New Roman" w:cs="Times New Roman"/>
          <w:color w:val="auto"/>
          <w:sz w:val="28"/>
        </w:rPr>
        <w:t>最小工作平台宽度：26m。</w:t>
      </w:r>
    </w:p>
    <w:p w14:paraId="010ED6FB">
      <w:pPr>
        <w:topLinePunct/>
        <w:ind w:firstLine="562"/>
        <w:rPr>
          <w:b/>
        </w:rPr>
      </w:pPr>
      <w:r>
        <w:rPr>
          <w:b/>
        </w:rPr>
        <w:t>二、建设情况（基建工程）</w:t>
      </w:r>
    </w:p>
    <w:p w14:paraId="7B40BBDB">
      <w:pPr>
        <w:pStyle w:val="124"/>
        <w:snapToGrid w:val="0"/>
        <w:spacing w:line="360" w:lineRule="auto"/>
        <w:ind w:firstLine="560" w:firstLineChars="200"/>
        <w:jc w:val="both"/>
        <w:rPr>
          <w:rFonts w:hint="eastAsia" w:ascii="Times New Roman" w:hAnsi="Times New Roman" w:cs="Times New Roman"/>
          <w:color w:val="auto"/>
          <w:sz w:val="28"/>
          <w:lang w:val="en-US" w:eastAsia="zh-CN"/>
        </w:rPr>
      </w:pPr>
      <w:bookmarkStart w:id="337" w:name="_Toc19186"/>
      <w:r>
        <w:rPr>
          <w:rFonts w:hint="eastAsia" w:ascii="Times New Roman" w:hAnsi="Times New Roman" w:cs="Times New Roman"/>
          <w:color w:val="auto"/>
          <w:sz w:val="28"/>
          <w:lang w:val="en-US" w:eastAsia="zh-CN"/>
        </w:rPr>
        <w:t>XX。</w:t>
      </w:r>
    </w:p>
    <w:p w14:paraId="5E781B7C">
      <w:pPr>
        <w:pStyle w:val="7"/>
        <w:ind w:firstLine="560"/>
      </w:pPr>
      <w:r>
        <w:t>2.4.5.3采剥</w:t>
      </w:r>
      <w:bookmarkEnd w:id="337"/>
      <w:r>
        <w:t>工艺</w:t>
      </w:r>
    </w:p>
    <w:p w14:paraId="40C35D22">
      <w:pPr>
        <w:keepNext/>
        <w:keepLines/>
        <w:ind w:firstLine="562"/>
        <w:rPr>
          <w:b/>
          <w:bCs/>
          <w:kern w:val="28"/>
        </w:rPr>
      </w:pPr>
      <w:r>
        <w:rPr>
          <w:b/>
          <w:bCs/>
          <w:kern w:val="28"/>
        </w:rPr>
        <w:t>一、设计情况</w:t>
      </w:r>
    </w:p>
    <w:p w14:paraId="21D8A936">
      <w:pPr>
        <w:ind w:firstLine="560"/>
      </w:pPr>
      <w:r>
        <w:t>（1）</w:t>
      </w:r>
      <w:bookmarkStart w:id="338" w:name="_Toc456080631"/>
      <w:r>
        <w:t>剥离</w:t>
      </w:r>
      <w:bookmarkEnd w:id="338"/>
    </w:p>
    <w:p w14:paraId="0FE03784">
      <w:pPr>
        <w:ind w:firstLine="560"/>
        <w:rPr>
          <w:bCs/>
          <w:szCs w:val="32"/>
        </w:rPr>
      </w:pPr>
      <w:r>
        <w:rPr>
          <w:color w:val="000000" w:themeColor="text1"/>
          <w14:textFill>
            <w14:solidFill>
              <w14:schemeClr w14:val="tx1"/>
            </w14:solidFill>
          </w14:textFill>
        </w:rPr>
        <w:t>矿山仍需进行覆土剥离作业范围面积较小，矿山覆土层较薄。矿山推进产生的少量覆土可用于道路安全车挡修筑等，矿山基本没有剥离作业</w:t>
      </w:r>
      <w:r>
        <w:rPr>
          <w:szCs w:val="28"/>
        </w:rPr>
        <w:t>，少量废土堆存于</w:t>
      </w:r>
      <w:r>
        <w:rPr>
          <w:color w:val="000000" w:themeColor="text1"/>
          <w14:textFill>
            <w14:solidFill>
              <w14:schemeClr w14:val="tx1"/>
            </w14:solidFill>
          </w14:textFill>
        </w:rPr>
        <w:t>临时堆土场</w:t>
      </w:r>
      <w:r>
        <w:rPr>
          <w:bCs/>
          <w:szCs w:val="32"/>
        </w:rPr>
        <w:t>。</w:t>
      </w:r>
    </w:p>
    <w:p w14:paraId="27BE6D97">
      <w:pPr>
        <w:ind w:firstLine="560"/>
      </w:pPr>
      <w:bookmarkStart w:id="339" w:name="_Toc456080632"/>
      <w:r>
        <w:t>（2）</w:t>
      </w:r>
      <w:bookmarkEnd w:id="339"/>
      <w:r>
        <w:t>开段沟位置确定及推进方向</w:t>
      </w:r>
    </w:p>
    <w:p w14:paraId="4F7EFAE5">
      <w:pPr>
        <w:ind w:firstLine="560"/>
      </w:pPr>
      <w:bookmarkStart w:id="340" w:name="_Toc230098546"/>
      <w:bookmarkStart w:id="341" w:name="_Toc277600900"/>
      <w:bookmarkStart w:id="342" w:name="_Toc303848372"/>
      <w:bookmarkStart w:id="343" w:name="_Toc10586"/>
      <w:bookmarkStart w:id="344" w:name="_Toc277690500"/>
      <w:bookmarkStart w:id="345" w:name="_Toc2053"/>
      <w:r>
        <w:rPr>
          <w:color w:val="000000" w:themeColor="text1"/>
          <w14:textFill>
            <w14:solidFill>
              <w14:schemeClr w14:val="tx1"/>
            </w14:solidFill>
          </w14:textFill>
        </w:rPr>
        <w:t>新水平准备时，由外部地形处开掘段沟，垂直矿体走向或沿矿体走向布置工作面，</w:t>
      </w:r>
      <w:r>
        <w:rPr>
          <w:snapToGrid w:val="0"/>
          <w:color w:val="000000" w:themeColor="text1"/>
          <w:spacing w:val="-2"/>
          <w:kern w:val="0"/>
          <w14:textFill>
            <w14:solidFill>
              <w14:schemeClr w14:val="tx1"/>
            </w14:solidFill>
          </w14:textFill>
        </w:rPr>
        <w:t>矿山开采顺序采用自上而下分台阶开采</w:t>
      </w:r>
      <w:r>
        <w:t>。</w:t>
      </w:r>
    </w:p>
    <w:bookmarkEnd w:id="340"/>
    <w:bookmarkEnd w:id="341"/>
    <w:bookmarkEnd w:id="342"/>
    <w:bookmarkEnd w:id="343"/>
    <w:bookmarkEnd w:id="344"/>
    <w:bookmarkEnd w:id="345"/>
    <w:p w14:paraId="556BF024">
      <w:pPr>
        <w:ind w:firstLine="560"/>
      </w:pPr>
      <w:bookmarkStart w:id="346" w:name="_Toc456080635"/>
      <w:r>
        <w:t>（3）采矿工艺</w:t>
      </w:r>
      <w:bookmarkEnd w:id="346"/>
    </w:p>
    <w:p w14:paraId="28E883D3">
      <w:pPr>
        <w:ind w:firstLine="560"/>
      </w:pPr>
      <w:r>
        <w:rPr>
          <w:color w:val="000000" w:themeColor="text1"/>
          <w14:textFill>
            <w14:solidFill>
              <w14:schemeClr w14:val="tx1"/>
            </w14:solidFill>
          </w14:textFill>
        </w:rPr>
        <w:t>矿山采剥作业过程中，需穿爆的矿岩主要为灰岩，普氏系数f=3-7，矿岩较坚硬，采用现有HC-726型潜孔钻机穿孔。正常生产时采用垂直中深孔台阶爆破，孔深16.5m（包括超深1.5m），采用</w:t>
      </w:r>
      <w:r>
        <w:rPr>
          <w:rFonts w:hint="eastAsia"/>
          <w:color w:val="000000" w:themeColor="text1"/>
          <w14:textFill>
            <w14:solidFill>
              <w14:schemeClr w14:val="tx1"/>
            </w14:solidFill>
          </w14:textFill>
        </w:rPr>
        <w:t>三角</w:t>
      </w:r>
      <w:r>
        <w:rPr>
          <w:color w:val="000000" w:themeColor="text1"/>
          <w14:textFill>
            <w14:solidFill>
              <w14:schemeClr w14:val="tx1"/>
            </w14:solidFill>
          </w14:textFill>
        </w:rPr>
        <w:t>形布孔；孔网参数5m×3.5m（孔距×排距），为了改善爆破质量，提高爆破效果，减少单段爆破药量，设计采用逐孔起爆爆破方式，数码电子雷管起爆。矿石铲装设计主要铲装设备为一台2.1m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CAT336挖掘机</w:t>
      </w:r>
      <w:r>
        <w:t>。矿石采用挖掘机铲装至汽车，后运输至加工区进行加工破碎。</w:t>
      </w:r>
    </w:p>
    <w:p w14:paraId="7B15FAF5">
      <w:pPr>
        <w:keepNext/>
        <w:keepLines/>
        <w:topLinePunct/>
        <w:ind w:firstLine="562"/>
        <w:rPr>
          <w:b/>
          <w:bCs/>
        </w:rPr>
      </w:pPr>
      <w:r>
        <w:rPr>
          <w:b/>
          <w:bCs/>
        </w:rPr>
        <w:t>二、建设情况</w:t>
      </w:r>
    </w:p>
    <w:p w14:paraId="795D19FD">
      <w:pPr>
        <w:ind w:firstLine="560"/>
        <w:rPr>
          <w:rFonts w:hint="eastAsia"/>
          <w:color w:val="000000" w:themeColor="text1"/>
          <w:lang w:val="en-US" w:eastAsia="zh-CN"/>
          <w14:textFill>
            <w14:solidFill>
              <w14:schemeClr w14:val="tx1"/>
            </w14:solidFill>
          </w14:textFill>
        </w:rPr>
      </w:pPr>
      <w:bookmarkStart w:id="347" w:name="_Toc8796"/>
      <w:r>
        <w:rPr>
          <w:rFonts w:hint="eastAsia"/>
          <w:color w:val="000000" w:themeColor="text1"/>
          <w:lang w:val="en-US" w:eastAsia="zh-CN"/>
          <w14:textFill>
            <w14:solidFill>
              <w14:schemeClr w14:val="tx1"/>
            </w14:solidFill>
          </w14:textFill>
        </w:rPr>
        <w:t>XX。</w:t>
      </w:r>
    </w:p>
    <w:p w14:paraId="159C7299">
      <w:pPr>
        <w:pStyle w:val="7"/>
        <w:ind w:firstLine="560"/>
      </w:pPr>
      <w:r>
        <w:t>2.4.5.4穿孔爆破</w:t>
      </w:r>
      <w:bookmarkEnd w:id="347"/>
    </w:p>
    <w:p w14:paraId="2DE51F97">
      <w:pPr>
        <w:topLinePunct/>
        <w:ind w:firstLine="562"/>
        <w:rPr>
          <w:b/>
        </w:rPr>
      </w:pPr>
      <w:r>
        <w:rPr>
          <w:b/>
        </w:rPr>
        <w:t>一、设计情况</w:t>
      </w:r>
    </w:p>
    <w:p w14:paraId="49F9ACAF">
      <w:pPr>
        <w:ind w:firstLine="560"/>
      </w:pPr>
      <w:bookmarkStart w:id="348" w:name="_Hlk178194332"/>
      <w:r>
        <w:t>设计使用矿山</w:t>
      </w:r>
      <w:r>
        <w:rPr>
          <w:szCs w:val="28"/>
        </w:rPr>
        <w:t>1台</w:t>
      </w:r>
      <w:bookmarkEnd w:id="348"/>
      <w:r>
        <w:rPr>
          <w:color w:val="000000" w:themeColor="text1"/>
          <w14:textFill>
            <w14:solidFill>
              <w14:schemeClr w14:val="tx1"/>
            </w14:solidFill>
          </w14:textFill>
        </w:rPr>
        <w:t>HC-726型潜孔钻机</w:t>
      </w:r>
      <w:r>
        <w:t>。</w:t>
      </w:r>
    </w:p>
    <w:p w14:paraId="0A62A4B2">
      <w:pPr>
        <w:ind w:firstLine="560"/>
      </w:pPr>
      <w:bookmarkStart w:id="349" w:name="_Toc271640758"/>
      <w:r>
        <w:t>1</w:t>
      </w:r>
      <w:r>
        <w:rPr>
          <w:lang w:eastAsia="zh-TW"/>
        </w:rPr>
        <w:t>、</w:t>
      </w:r>
      <w:bookmarkEnd w:id="349"/>
      <w:bookmarkStart w:id="350" w:name="_Toc302142024"/>
      <w:r>
        <w:rPr>
          <w:lang w:eastAsia="zh-TW"/>
        </w:rPr>
        <w:t>爆破炮孔布置</w:t>
      </w:r>
      <w:bookmarkStart w:id="351" w:name="_Hlk89293504"/>
      <w:r>
        <w:t>：</w:t>
      </w:r>
      <w:bookmarkEnd w:id="351"/>
      <w:r>
        <w:rPr>
          <w:color w:val="000000"/>
          <w:szCs w:val="28"/>
        </w:rPr>
        <w:t>台阶爆破采用垂直孔孔深16.5m（包括超深1.5m），采用</w:t>
      </w:r>
      <w:r>
        <w:rPr>
          <w:rFonts w:hint="eastAsia"/>
          <w:color w:val="000000" w:themeColor="text1"/>
          <w14:textFill>
            <w14:solidFill>
              <w14:schemeClr w14:val="tx1"/>
            </w14:solidFill>
          </w14:textFill>
        </w:rPr>
        <w:t>三角</w:t>
      </w:r>
      <w:r>
        <w:rPr>
          <w:color w:val="000000" w:themeColor="text1"/>
          <w14:textFill>
            <w14:solidFill>
              <w14:schemeClr w14:val="tx1"/>
            </w14:solidFill>
          </w14:textFill>
        </w:rPr>
        <w:t>形布孔</w:t>
      </w:r>
      <w:r>
        <w:rPr>
          <w:color w:val="000000"/>
          <w:szCs w:val="28"/>
        </w:rPr>
        <w:t>；孔网参数</w:t>
      </w:r>
      <w:r>
        <w:rPr>
          <w:color w:val="000000" w:themeColor="text1"/>
          <w14:textFill>
            <w14:solidFill>
              <w14:schemeClr w14:val="tx1"/>
            </w14:solidFill>
          </w14:textFill>
        </w:rPr>
        <w:t>5m×3.5m（孔距×排距）</w:t>
      </w:r>
      <w:r>
        <w:rPr>
          <w:color w:val="000000"/>
          <w:szCs w:val="28"/>
        </w:rPr>
        <w:t>，</w:t>
      </w:r>
      <w:r>
        <w:t>设计</w:t>
      </w:r>
      <w:r>
        <w:rPr>
          <w:color w:val="000000" w:themeColor="text1"/>
          <w14:textFill>
            <w14:solidFill>
              <w14:schemeClr w14:val="tx1"/>
            </w14:solidFill>
          </w14:textFill>
        </w:rPr>
        <w:t>采用逐孔起爆爆破方式，数码电子雷管起爆</w:t>
      </w:r>
      <w:r>
        <w:t>。</w:t>
      </w:r>
    </w:p>
    <w:bookmarkEnd w:id="350"/>
    <w:p w14:paraId="05550274">
      <w:pPr>
        <w:ind w:firstLine="560"/>
      </w:pPr>
      <w:bookmarkStart w:id="352" w:name="_Hlk89293595"/>
      <w:r>
        <w:t>2、爆破材料选择</w:t>
      </w:r>
    </w:p>
    <w:p w14:paraId="294BE20D">
      <w:pPr>
        <w:ind w:firstLine="560"/>
      </w:pPr>
      <w:r>
        <w:t>该矿山为露天岩土爆破，选择爆破材料为</w:t>
      </w:r>
      <w:r>
        <w:rPr>
          <w:color w:val="000000" w:themeColor="text1"/>
          <w14:textFill>
            <w14:solidFill>
              <w14:schemeClr w14:val="tx1"/>
            </w14:solidFill>
          </w14:textFill>
        </w:rPr>
        <w:t>选用2#岩石乳化炸药</w:t>
      </w:r>
      <w:r>
        <w:t>、数码电子雷管</w:t>
      </w:r>
      <w:r>
        <w:rPr>
          <w:szCs w:val="28"/>
        </w:rPr>
        <w:t>。</w:t>
      </w:r>
    </w:p>
    <w:p w14:paraId="5F2BD241">
      <w:pPr>
        <w:ind w:firstLine="560"/>
      </w:pPr>
      <w:r>
        <w:t>3、爆破作业参数汇总见下表</w:t>
      </w:r>
      <w:bookmarkEnd w:id="352"/>
    </w:p>
    <w:p w14:paraId="2F2DF708">
      <w:pPr>
        <w:pStyle w:val="125"/>
        <w:keepNext/>
        <w:keepLines/>
        <w:spacing w:line="240" w:lineRule="auto"/>
        <w:ind w:firstLine="0" w:firstLineChars="0"/>
        <w:rPr>
          <w:sz w:val="24"/>
          <w:szCs w:val="24"/>
        </w:rPr>
      </w:pPr>
      <w:r>
        <w:rPr>
          <w:sz w:val="24"/>
          <w:szCs w:val="24"/>
        </w:rPr>
        <w:t>表2.4-4  爆破作业参数表</w:t>
      </w:r>
    </w:p>
    <w:tbl>
      <w:tblPr>
        <w:tblStyle w:val="4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5"/>
        <w:gridCol w:w="4521"/>
        <w:gridCol w:w="1882"/>
        <w:gridCol w:w="1882"/>
      </w:tblGrid>
      <w:tr w14:paraId="604A2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blHeader/>
        </w:trPr>
        <w:tc>
          <w:tcPr>
            <w:tcW w:w="593" w:type="pct"/>
            <w:vAlign w:val="center"/>
          </w:tcPr>
          <w:p w14:paraId="116ACB92">
            <w:pPr>
              <w:spacing w:line="240" w:lineRule="auto"/>
              <w:ind w:firstLine="0" w:firstLineChars="0"/>
              <w:jc w:val="center"/>
              <w:rPr>
                <w:b/>
                <w:bCs/>
                <w:color w:val="000000"/>
                <w:sz w:val="21"/>
                <w:szCs w:val="21"/>
              </w:rPr>
            </w:pPr>
            <w:bookmarkStart w:id="353" w:name="_Hlk150793585"/>
            <w:r>
              <w:rPr>
                <w:b/>
                <w:bCs/>
                <w:color w:val="000000"/>
                <w:sz w:val="21"/>
                <w:szCs w:val="21"/>
              </w:rPr>
              <w:t>序号</w:t>
            </w:r>
          </w:p>
        </w:tc>
        <w:tc>
          <w:tcPr>
            <w:tcW w:w="2405" w:type="pct"/>
            <w:vAlign w:val="center"/>
          </w:tcPr>
          <w:p w14:paraId="49105576">
            <w:pPr>
              <w:spacing w:line="240" w:lineRule="auto"/>
              <w:ind w:firstLine="0" w:firstLineChars="0"/>
              <w:jc w:val="center"/>
              <w:rPr>
                <w:b/>
                <w:bCs/>
                <w:color w:val="000000"/>
                <w:sz w:val="21"/>
                <w:szCs w:val="21"/>
              </w:rPr>
            </w:pPr>
            <w:r>
              <w:rPr>
                <w:b/>
                <w:bCs/>
                <w:color w:val="000000"/>
                <w:sz w:val="21"/>
                <w:szCs w:val="21"/>
              </w:rPr>
              <w:t>名称及符号</w:t>
            </w:r>
          </w:p>
        </w:tc>
        <w:tc>
          <w:tcPr>
            <w:tcW w:w="1001" w:type="pct"/>
            <w:vAlign w:val="center"/>
          </w:tcPr>
          <w:p w14:paraId="12AB7D44">
            <w:pPr>
              <w:spacing w:line="240" w:lineRule="auto"/>
              <w:ind w:firstLine="0" w:firstLineChars="0"/>
              <w:jc w:val="center"/>
              <w:rPr>
                <w:b/>
                <w:bCs/>
                <w:color w:val="000000"/>
                <w:sz w:val="21"/>
                <w:szCs w:val="21"/>
              </w:rPr>
            </w:pPr>
            <w:r>
              <w:rPr>
                <w:b/>
                <w:bCs/>
                <w:color w:val="000000"/>
                <w:sz w:val="21"/>
                <w:szCs w:val="21"/>
              </w:rPr>
              <w:t>设计参数</w:t>
            </w:r>
          </w:p>
        </w:tc>
        <w:tc>
          <w:tcPr>
            <w:tcW w:w="1001" w:type="pct"/>
            <w:vAlign w:val="center"/>
          </w:tcPr>
          <w:p w14:paraId="57F154AC">
            <w:pPr>
              <w:spacing w:line="240" w:lineRule="auto"/>
              <w:ind w:firstLine="0" w:firstLineChars="0"/>
              <w:jc w:val="center"/>
              <w:rPr>
                <w:b/>
                <w:bCs/>
                <w:color w:val="000000"/>
                <w:sz w:val="21"/>
                <w:szCs w:val="21"/>
              </w:rPr>
            </w:pPr>
            <w:r>
              <w:rPr>
                <w:b/>
                <w:bCs/>
                <w:color w:val="000000"/>
                <w:sz w:val="21"/>
                <w:szCs w:val="21"/>
              </w:rPr>
              <w:t>备注</w:t>
            </w:r>
          </w:p>
        </w:tc>
      </w:tr>
      <w:tr w14:paraId="261A0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593" w:type="pct"/>
            <w:vAlign w:val="center"/>
          </w:tcPr>
          <w:p w14:paraId="1718790F">
            <w:pPr>
              <w:spacing w:line="240" w:lineRule="auto"/>
              <w:ind w:firstLine="0" w:firstLineChars="0"/>
              <w:jc w:val="center"/>
              <w:rPr>
                <w:color w:val="000000"/>
                <w:sz w:val="21"/>
                <w:szCs w:val="21"/>
              </w:rPr>
            </w:pPr>
            <w:r>
              <w:rPr>
                <w:color w:val="000000"/>
                <w:sz w:val="21"/>
                <w:szCs w:val="21"/>
              </w:rPr>
              <w:t>1</w:t>
            </w:r>
          </w:p>
        </w:tc>
        <w:tc>
          <w:tcPr>
            <w:tcW w:w="2405" w:type="pct"/>
            <w:vAlign w:val="center"/>
          </w:tcPr>
          <w:p w14:paraId="20E901C7">
            <w:pPr>
              <w:spacing w:line="240" w:lineRule="auto"/>
              <w:ind w:firstLine="0" w:firstLineChars="0"/>
              <w:jc w:val="center"/>
              <w:rPr>
                <w:color w:val="000000"/>
                <w:sz w:val="21"/>
                <w:szCs w:val="21"/>
              </w:rPr>
            </w:pPr>
            <w:r>
              <w:rPr>
                <w:color w:val="000000"/>
                <w:sz w:val="21"/>
                <w:szCs w:val="21"/>
              </w:rPr>
              <w:t>炮孔直径（d）</w:t>
            </w:r>
          </w:p>
        </w:tc>
        <w:tc>
          <w:tcPr>
            <w:tcW w:w="1001" w:type="pct"/>
            <w:vAlign w:val="center"/>
          </w:tcPr>
          <w:p w14:paraId="25F5F427">
            <w:pPr>
              <w:spacing w:line="240" w:lineRule="auto"/>
              <w:ind w:firstLine="0" w:firstLineChars="0"/>
              <w:jc w:val="center"/>
              <w:rPr>
                <w:color w:val="000000"/>
                <w:sz w:val="21"/>
                <w:szCs w:val="21"/>
              </w:rPr>
            </w:pPr>
            <w:r>
              <w:rPr>
                <w:color w:val="000000"/>
                <w:sz w:val="21"/>
                <w:szCs w:val="21"/>
              </w:rPr>
              <w:t>110mm</w:t>
            </w:r>
          </w:p>
        </w:tc>
        <w:tc>
          <w:tcPr>
            <w:tcW w:w="1001" w:type="pct"/>
            <w:vAlign w:val="center"/>
          </w:tcPr>
          <w:p w14:paraId="67A4533C">
            <w:pPr>
              <w:spacing w:line="240" w:lineRule="auto"/>
              <w:ind w:firstLine="0" w:firstLineChars="0"/>
              <w:jc w:val="center"/>
              <w:rPr>
                <w:color w:val="000000"/>
                <w:sz w:val="21"/>
                <w:szCs w:val="21"/>
              </w:rPr>
            </w:pPr>
          </w:p>
        </w:tc>
      </w:tr>
      <w:tr w14:paraId="4DCB4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593" w:type="pct"/>
            <w:vAlign w:val="center"/>
          </w:tcPr>
          <w:p w14:paraId="4EAC407D">
            <w:pPr>
              <w:spacing w:line="240" w:lineRule="auto"/>
              <w:ind w:firstLine="0" w:firstLineChars="0"/>
              <w:jc w:val="center"/>
              <w:rPr>
                <w:color w:val="000000"/>
                <w:sz w:val="21"/>
                <w:szCs w:val="21"/>
              </w:rPr>
            </w:pPr>
            <w:r>
              <w:rPr>
                <w:color w:val="000000"/>
                <w:sz w:val="21"/>
                <w:szCs w:val="21"/>
              </w:rPr>
              <w:t>2</w:t>
            </w:r>
          </w:p>
        </w:tc>
        <w:tc>
          <w:tcPr>
            <w:tcW w:w="2405" w:type="pct"/>
            <w:vAlign w:val="center"/>
          </w:tcPr>
          <w:p w14:paraId="4132E223">
            <w:pPr>
              <w:spacing w:line="240" w:lineRule="auto"/>
              <w:ind w:firstLine="0" w:firstLineChars="0"/>
              <w:jc w:val="center"/>
              <w:rPr>
                <w:color w:val="000000"/>
                <w:sz w:val="21"/>
                <w:szCs w:val="21"/>
              </w:rPr>
            </w:pPr>
            <w:r>
              <w:rPr>
                <w:color w:val="000000"/>
                <w:sz w:val="21"/>
                <w:szCs w:val="21"/>
              </w:rPr>
              <w:t>台阶高度（H）</w:t>
            </w:r>
          </w:p>
        </w:tc>
        <w:tc>
          <w:tcPr>
            <w:tcW w:w="1001" w:type="pct"/>
            <w:vAlign w:val="center"/>
          </w:tcPr>
          <w:p w14:paraId="581A33AD">
            <w:pPr>
              <w:spacing w:line="240" w:lineRule="auto"/>
              <w:ind w:firstLine="0" w:firstLineChars="0"/>
              <w:jc w:val="center"/>
              <w:rPr>
                <w:color w:val="000000"/>
                <w:sz w:val="21"/>
                <w:szCs w:val="21"/>
              </w:rPr>
            </w:pPr>
            <w:r>
              <w:rPr>
                <w:color w:val="000000"/>
                <w:sz w:val="21"/>
                <w:szCs w:val="21"/>
              </w:rPr>
              <w:t>15m</w:t>
            </w:r>
          </w:p>
        </w:tc>
        <w:tc>
          <w:tcPr>
            <w:tcW w:w="1001" w:type="pct"/>
            <w:vAlign w:val="center"/>
          </w:tcPr>
          <w:p w14:paraId="003D6152">
            <w:pPr>
              <w:spacing w:line="240" w:lineRule="auto"/>
              <w:ind w:firstLine="0" w:firstLineChars="0"/>
              <w:jc w:val="center"/>
              <w:rPr>
                <w:color w:val="000000"/>
                <w:sz w:val="21"/>
                <w:szCs w:val="21"/>
              </w:rPr>
            </w:pPr>
          </w:p>
        </w:tc>
      </w:tr>
      <w:tr w14:paraId="0DD76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9" w:hRule="atLeast"/>
        </w:trPr>
        <w:tc>
          <w:tcPr>
            <w:tcW w:w="593" w:type="pct"/>
            <w:vAlign w:val="center"/>
          </w:tcPr>
          <w:p w14:paraId="0AB1DB6C">
            <w:pPr>
              <w:spacing w:line="240" w:lineRule="auto"/>
              <w:ind w:firstLine="0" w:firstLineChars="0"/>
              <w:jc w:val="center"/>
              <w:rPr>
                <w:color w:val="000000"/>
                <w:sz w:val="21"/>
                <w:szCs w:val="21"/>
              </w:rPr>
            </w:pPr>
            <w:r>
              <w:rPr>
                <w:color w:val="000000"/>
                <w:sz w:val="21"/>
                <w:szCs w:val="21"/>
              </w:rPr>
              <w:t>3</w:t>
            </w:r>
          </w:p>
        </w:tc>
        <w:tc>
          <w:tcPr>
            <w:tcW w:w="2405" w:type="pct"/>
            <w:vAlign w:val="center"/>
          </w:tcPr>
          <w:p w14:paraId="643B638C">
            <w:pPr>
              <w:spacing w:line="240" w:lineRule="auto"/>
              <w:ind w:firstLine="0" w:firstLineChars="0"/>
              <w:jc w:val="center"/>
              <w:rPr>
                <w:color w:val="000000"/>
                <w:sz w:val="21"/>
                <w:szCs w:val="21"/>
              </w:rPr>
            </w:pPr>
            <w:r>
              <w:rPr>
                <w:color w:val="000000"/>
                <w:sz w:val="21"/>
                <w:szCs w:val="21"/>
              </w:rPr>
              <w:t>孔距（a）</w:t>
            </w:r>
          </w:p>
        </w:tc>
        <w:tc>
          <w:tcPr>
            <w:tcW w:w="1001" w:type="pct"/>
            <w:vAlign w:val="center"/>
          </w:tcPr>
          <w:p w14:paraId="5566DD3B">
            <w:pPr>
              <w:spacing w:line="240" w:lineRule="auto"/>
              <w:ind w:firstLine="0" w:firstLineChars="0"/>
              <w:jc w:val="center"/>
              <w:rPr>
                <w:color w:val="000000"/>
                <w:sz w:val="21"/>
                <w:szCs w:val="21"/>
              </w:rPr>
            </w:pPr>
            <w:r>
              <w:rPr>
                <w:color w:val="000000"/>
                <w:sz w:val="21"/>
                <w:szCs w:val="21"/>
              </w:rPr>
              <w:t>5m</w:t>
            </w:r>
          </w:p>
        </w:tc>
        <w:tc>
          <w:tcPr>
            <w:tcW w:w="1001" w:type="pct"/>
            <w:vAlign w:val="center"/>
          </w:tcPr>
          <w:p w14:paraId="6642056F">
            <w:pPr>
              <w:spacing w:line="240" w:lineRule="auto"/>
              <w:ind w:firstLine="0" w:firstLineChars="0"/>
              <w:jc w:val="center"/>
              <w:rPr>
                <w:color w:val="000000"/>
                <w:sz w:val="21"/>
                <w:szCs w:val="21"/>
              </w:rPr>
            </w:pPr>
          </w:p>
        </w:tc>
      </w:tr>
      <w:tr w14:paraId="350F3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593" w:type="pct"/>
            <w:vAlign w:val="center"/>
          </w:tcPr>
          <w:p w14:paraId="1C9D5D8C">
            <w:pPr>
              <w:spacing w:line="240" w:lineRule="auto"/>
              <w:ind w:firstLine="0" w:firstLineChars="0"/>
              <w:jc w:val="center"/>
              <w:rPr>
                <w:color w:val="000000"/>
                <w:sz w:val="21"/>
                <w:szCs w:val="21"/>
              </w:rPr>
            </w:pPr>
            <w:r>
              <w:rPr>
                <w:color w:val="000000"/>
                <w:sz w:val="21"/>
                <w:szCs w:val="21"/>
              </w:rPr>
              <w:t>4</w:t>
            </w:r>
          </w:p>
        </w:tc>
        <w:tc>
          <w:tcPr>
            <w:tcW w:w="2405" w:type="pct"/>
            <w:vAlign w:val="center"/>
          </w:tcPr>
          <w:p w14:paraId="5C1A7D2E">
            <w:pPr>
              <w:spacing w:line="240" w:lineRule="auto"/>
              <w:ind w:firstLine="0" w:firstLineChars="0"/>
              <w:jc w:val="center"/>
              <w:rPr>
                <w:color w:val="000000"/>
                <w:sz w:val="21"/>
                <w:szCs w:val="21"/>
              </w:rPr>
            </w:pPr>
            <w:r>
              <w:rPr>
                <w:color w:val="000000"/>
                <w:sz w:val="21"/>
                <w:szCs w:val="21"/>
              </w:rPr>
              <w:t>排距（b）</w:t>
            </w:r>
          </w:p>
        </w:tc>
        <w:tc>
          <w:tcPr>
            <w:tcW w:w="1001" w:type="pct"/>
            <w:vAlign w:val="center"/>
          </w:tcPr>
          <w:p w14:paraId="7F4125D3">
            <w:pPr>
              <w:spacing w:line="240" w:lineRule="auto"/>
              <w:ind w:firstLine="0" w:firstLineChars="0"/>
              <w:jc w:val="center"/>
              <w:rPr>
                <w:color w:val="000000"/>
                <w:sz w:val="21"/>
                <w:szCs w:val="21"/>
              </w:rPr>
            </w:pPr>
            <w:r>
              <w:rPr>
                <w:color w:val="000000"/>
                <w:sz w:val="21"/>
                <w:szCs w:val="21"/>
              </w:rPr>
              <w:t>3.5m</w:t>
            </w:r>
          </w:p>
        </w:tc>
        <w:tc>
          <w:tcPr>
            <w:tcW w:w="1001" w:type="pct"/>
            <w:vAlign w:val="center"/>
          </w:tcPr>
          <w:p w14:paraId="015500E0">
            <w:pPr>
              <w:spacing w:line="240" w:lineRule="auto"/>
              <w:ind w:firstLine="0" w:firstLineChars="0"/>
              <w:jc w:val="center"/>
              <w:rPr>
                <w:color w:val="000000"/>
                <w:sz w:val="21"/>
                <w:szCs w:val="21"/>
              </w:rPr>
            </w:pPr>
          </w:p>
        </w:tc>
      </w:tr>
      <w:tr w14:paraId="053CC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593" w:type="pct"/>
            <w:vAlign w:val="center"/>
          </w:tcPr>
          <w:p w14:paraId="22B7D490">
            <w:pPr>
              <w:spacing w:line="240" w:lineRule="auto"/>
              <w:ind w:firstLine="0" w:firstLineChars="0"/>
              <w:jc w:val="center"/>
              <w:rPr>
                <w:color w:val="000000"/>
                <w:sz w:val="21"/>
                <w:szCs w:val="21"/>
              </w:rPr>
            </w:pPr>
            <w:r>
              <w:rPr>
                <w:color w:val="000000"/>
                <w:sz w:val="21"/>
                <w:szCs w:val="21"/>
              </w:rPr>
              <w:t>5</w:t>
            </w:r>
          </w:p>
        </w:tc>
        <w:tc>
          <w:tcPr>
            <w:tcW w:w="2405" w:type="pct"/>
            <w:vAlign w:val="center"/>
          </w:tcPr>
          <w:p w14:paraId="01626FB8">
            <w:pPr>
              <w:spacing w:line="240" w:lineRule="auto"/>
              <w:ind w:firstLine="0" w:firstLineChars="0"/>
              <w:jc w:val="center"/>
              <w:rPr>
                <w:color w:val="000000"/>
                <w:sz w:val="21"/>
                <w:szCs w:val="21"/>
              </w:rPr>
            </w:pPr>
            <w:r>
              <w:rPr>
                <w:color w:val="000000"/>
                <w:sz w:val="21"/>
                <w:szCs w:val="21"/>
              </w:rPr>
              <w:t>底盘抵抗线（W</w:t>
            </w:r>
            <w:r>
              <w:rPr>
                <w:color w:val="000000"/>
                <w:sz w:val="21"/>
                <w:szCs w:val="21"/>
                <w:vertAlign w:val="subscript"/>
              </w:rPr>
              <w:t>d</w:t>
            </w:r>
            <w:r>
              <w:rPr>
                <w:color w:val="000000"/>
                <w:sz w:val="21"/>
                <w:szCs w:val="21"/>
              </w:rPr>
              <w:t>）</w:t>
            </w:r>
          </w:p>
        </w:tc>
        <w:tc>
          <w:tcPr>
            <w:tcW w:w="1001" w:type="pct"/>
            <w:vAlign w:val="center"/>
          </w:tcPr>
          <w:p w14:paraId="3864A80B">
            <w:pPr>
              <w:spacing w:line="240" w:lineRule="auto"/>
              <w:ind w:firstLine="0" w:firstLineChars="0"/>
              <w:jc w:val="center"/>
              <w:rPr>
                <w:color w:val="000000"/>
                <w:sz w:val="21"/>
                <w:szCs w:val="21"/>
              </w:rPr>
            </w:pPr>
            <w:r>
              <w:rPr>
                <w:color w:val="000000"/>
                <w:sz w:val="21"/>
                <w:szCs w:val="21"/>
              </w:rPr>
              <w:t>7m</w:t>
            </w:r>
          </w:p>
        </w:tc>
        <w:tc>
          <w:tcPr>
            <w:tcW w:w="1001" w:type="pct"/>
            <w:vAlign w:val="center"/>
          </w:tcPr>
          <w:p w14:paraId="088F870E">
            <w:pPr>
              <w:spacing w:line="240" w:lineRule="auto"/>
              <w:ind w:firstLine="0" w:firstLineChars="0"/>
              <w:jc w:val="center"/>
              <w:rPr>
                <w:color w:val="000000"/>
                <w:sz w:val="21"/>
                <w:szCs w:val="21"/>
              </w:rPr>
            </w:pPr>
          </w:p>
        </w:tc>
      </w:tr>
      <w:tr w14:paraId="175A6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593" w:type="pct"/>
            <w:vAlign w:val="center"/>
          </w:tcPr>
          <w:p w14:paraId="084F1633">
            <w:pPr>
              <w:spacing w:line="240" w:lineRule="auto"/>
              <w:ind w:firstLine="0" w:firstLineChars="0"/>
              <w:jc w:val="center"/>
              <w:rPr>
                <w:color w:val="000000"/>
                <w:sz w:val="21"/>
                <w:szCs w:val="21"/>
              </w:rPr>
            </w:pPr>
            <w:r>
              <w:rPr>
                <w:color w:val="000000"/>
                <w:sz w:val="21"/>
                <w:szCs w:val="21"/>
              </w:rPr>
              <w:t>6</w:t>
            </w:r>
          </w:p>
        </w:tc>
        <w:tc>
          <w:tcPr>
            <w:tcW w:w="2405" w:type="pct"/>
            <w:vAlign w:val="center"/>
          </w:tcPr>
          <w:p w14:paraId="5D1346DE">
            <w:pPr>
              <w:spacing w:line="240" w:lineRule="auto"/>
              <w:ind w:firstLine="0" w:firstLineChars="0"/>
              <w:jc w:val="center"/>
              <w:rPr>
                <w:color w:val="000000"/>
                <w:sz w:val="21"/>
                <w:szCs w:val="21"/>
              </w:rPr>
            </w:pPr>
            <w:r>
              <w:rPr>
                <w:color w:val="000000"/>
                <w:sz w:val="21"/>
                <w:szCs w:val="21"/>
              </w:rPr>
              <w:t>钻孔倾角（θ）</w:t>
            </w:r>
          </w:p>
        </w:tc>
        <w:tc>
          <w:tcPr>
            <w:tcW w:w="1001" w:type="pct"/>
            <w:vAlign w:val="center"/>
          </w:tcPr>
          <w:p w14:paraId="47929029">
            <w:pPr>
              <w:spacing w:line="240" w:lineRule="auto"/>
              <w:ind w:firstLine="0" w:firstLineChars="0"/>
              <w:jc w:val="center"/>
              <w:rPr>
                <w:color w:val="000000"/>
                <w:sz w:val="21"/>
                <w:szCs w:val="21"/>
              </w:rPr>
            </w:pPr>
            <w:r>
              <w:rPr>
                <w:color w:val="000000"/>
                <w:sz w:val="21"/>
                <w:szCs w:val="21"/>
              </w:rPr>
              <w:t>90°</w:t>
            </w:r>
          </w:p>
        </w:tc>
        <w:tc>
          <w:tcPr>
            <w:tcW w:w="1001" w:type="pct"/>
            <w:vAlign w:val="center"/>
          </w:tcPr>
          <w:p w14:paraId="5CB142BE">
            <w:pPr>
              <w:spacing w:line="240" w:lineRule="auto"/>
              <w:ind w:firstLine="0" w:firstLineChars="0"/>
              <w:jc w:val="center"/>
              <w:rPr>
                <w:color w:val="000000"/>
                <w:sz w:val="21"/>
                <w:szCs w:val="21"/>
              </w:rPr>
            </w:pPr>
          </w:p>
        </w:tc>
      </w:tr>
      <w:tr w14:paraId="1742D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593" w:type="pct"/>
            <w:vAlign w:val="center"/>
          </w:tcPr>
          <w:p w14:paraId="026DFBFB">
            <w:pPr>
              <w:spacing w:line="240" w:lineRule="auto"/>
              <w:ind w:firstLine="0" w:firstLineChars="0"/>
              <w:jc w:val="center"/>
              <w:rPr>
                <w:color w:val="000000"/>
                <w:sz w:val="21"/>
                <w:szCs w:val="21"/>
              </w:rPr>
            </w:pPr>
            <w:r>
              <w:rPr>
                <w:color w:val="000000"/>
                <w:sz w:val="21"/>
                <w:szCs w:val="21"/>
              </w:rPr>
              <w:t>7</w:t>
            </w:r>
          </w:p>
        </w:tc>
        <w:tc>
          <w:tcPr>
            <w:tcW w:w="2405" w:type="pct"/>
            <w:vAlign w:val="center"/>
          </w:tcPr>
          <w:p w14:paraId="506884D4">
            <w:pPr>
              <w:spacing w:line="240" w:lineRule="auto"/>
              <w:ind w:firstLine="0" w:firstLineChars="0"/>
              <w:jc w:val="center"/>
              <w:rPr>
                <w:color w:val="000000"/>
                <w:sz w:val="21"/>
                <w:szCs w:val="21"/>
              </w:rPr>
            </w:pPr>
            <w:r>
              <w:rPr>
                <w:color w:val="000000"/>
                <w:sz w:val="21"/>
                <w:szCs w:val="21"/>
              </w:rPr>
              <w:t>超深（h）</w:t>
            </w:r>
          </w:p>
        </w:tc>
        <w:tc>
          <w:tcPr>
            <w:tcW w:w="1001" w:type="pct"/>
            <w:vAlign w:val="center"/>
          </w:tcPr>
          <w:p w14:paraId="54BC9F25">
            <w:pPr>
              <w:spacing w:line="240" w:lineRule="auto"/>
              <w:ind w:firstLine="0" w:firstLineChars="0"/>
              <w:jc w:val="center"/>
              <w:rPr>
                <w:color w:val="000000"/>
                <w:sz w:val="21"/>
                <w:szCs w:val="21"/>
              </w:rPr>
            </w:pPr>
            <w:r>
              <w:rPr>
                <w:color w:val="000000"/>
                <w:sz w:val="21"/>
                <w:szCs w:val="21"/>
              </w:rPr>
              <w:t>1.5m</w:t>
            </w:r>
          </w:p>
        </w:tc>
        <w:tc>
          <w:tcPr>
            <w:tcW w:w="1001" w:type="pct"/>
            <w:vAlign w:val="center"/>
          </w:tcPr>
          <w:p w14:paraId="63322F06">
            <w:pPr>
              <w:spacing w:line="240" w:lineRule="auto"/>
              <w:ind w:firstLine="0" w:firstLineChars="0"/>
              <w:jc w:val="center"/>
              <w:rPr>
                <w:color w:val="000000"/>
                <w:sz w:val="21"/>
                <w:szCs w:val="21"/>
              </w:rPr>
            </w:pPr>
          </w:p>
        </w:tc>
      </w:tr>
      <w:tr w14:paraId="0BB3D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593" w:type="pct"/>
            <w:vAlign w:val="center"/>
          </w:tcPr>
          <w:p w14:paraId="7A6C8F90">
            <w:pPr>
              <w:spacing w:line="240" w:lineRule="auto"/>
              <w:ind w:firstLine="0" w:firstLineChars="0"/>
              <w:jc w:val="center"/>
              <w:rPr>
                <w:color w:val="000000"/>
                <w:sz w:val="21"/>
                <w:szCs w:val="21"/>
              </w:rPr>
            </w:pPr>
            <w:r>
              <w:rPr>
                <w:color w:val="000000"/>
                <w:sz w:val="21"/>
                <w:szCs w:val="21"/>
              </w:rPr>
              <w:t>8</w:t>
            </w:r>
          </w:p>
        </w:tc>
        <w:tc>
          <w:tcPr>
            <w:tcW w:w="2405" w:type="pct"/>
            <w:vAlign w:val="center"/>
          </w:tcPr>
          <w:p w14:paraId="31CC7742">
            <w:pPr>
              <w:spacing w:line="240" w:lineRule="auto"/>
              <w:ind w:firstLine="0" w:firstLineChars="0"/>
              <w:jc w:val="center"/>
              <w:rPr>
                <w:color w:val="000000"/>
                <w:sz w:val="21"/>
                <w:szCs w:val="21"/>
              </w:rPr>
            </w:pPr>
            <w:r>
              <w:rPr>
                <w:color w:val="000000"/>
                <w:sz w:val="21"/>
                <w:szCs w:val="21"/>
              </w:rPr>
              <w:t>填塞（L</w:t>
            </w:r>
            <w:r>
              <w:rPr>
                <w:color w:val="000000"/>
                <w:sz w:val="21"/>
                <w:szCs w:val="21"/>
                <w:vertAlign w:val="subscript"/>
              </w:rPr>
              <w:t>1</w:t>
            </w:r>
            <w:r>
              <w:rPr>
                <w:color w:val="000000"/>
                <w:sz w:val="21"/>
                <w:szCs w:val="21"/>
              </w:rPr>
              <w:t>）</w:t>
            </w:r>
          </w:p>
        </w:tc>
        <w:tc>
          <w:tcPr>
            <w:tcW w:w="1001" w:type="pct"/>
            <w:vAlign w:val="center"/>
          </w:tcPr>
          <w:p w14:paraId="0C07E0D8">
            <w:pPr>
              <w:spacing w:line="240" w:lineRule="auto"/>
              <w:ind w:firstLine="0" w:firstLineChars="0"/>
              <w:jc w:val="center"/>
              <w:rPr>
                <w:color w:val="000000"/>
                <w:sz w:val="21"/>
                <w:szCs w:val="21"/>
              </w:rPr>
            </w:pPr>
            <w:r>
              <w:rPr>
                <w:color w:val="000000"/>
                <w:sz w:val="21"/>
                <w:szCs w:val="21"/>
              </w:rPr>
              <w:t>4.5m</w:t>
            </w:r>
          </w:p>
        </w:tc>
        <w:tc>
          <w:tcPr>
            <w:tcW w:w="1001" w:type="pct"/>
            <w:vAlign w:val="center"/>
          </w:tcPr>
          <w:p w14:paraId="254964FC">
            <w:pPr>
              <w:spacing w:line="240" w:lineRule="auto"/>
              <w:ind w:firstLine="0" w:firstLineChars="0"/>
              <w:jc w:val="center"/>
              <w:rPr>
                <w:color w:val="000000"/>
                <w:sz w:val="21"/>
                <w:szCs w:val="21"/>
              </w:rPr>
            </w:pPr>
          </w:p>
        </w:tc>
      </w:tr>
      <w:tr w14:paraId="5A4DA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593" w:type="pct"/>
            <w:vAlign w:val="center"/>
          </w:tcPr>
          <w:p w14:paraId="0D971ECD">
            <w:pPr>
              <w:spacing w:line="240" w:lineRule="auto"/>
              <w:ind w:firstLine="0" w:firstLineChars="0"/>
              <w:jc w:val="center"/>
              <w:rPr>
                <w:color w:val="000000"/>
                <w:sz w:val="21"/>
                <w:szCs w:val="21"/>
              </w:rPr>
            </w:pPr>
            <w:r>
              <w:rPr>
                <w:color w:val="000000"/>
                <w:sz w:val="21"/>
                <w:szCs w:val="21"/>
              </w:rPr>
              <w:t>9</w:t>
            </w:r>
          </w:p>
        </w:tc>
        <w:tc>
          <w:tcPr>
            <w:tcW w:w="2405" w:type="pct"/>
            <w:vAlign w:val="center"/>
          </w:tcPr>
          <w:p w14:paraId="7985523F">
            <w:pPr>
              <w:spacing w:line="240" w:lineRule="auto"/>
              <w:ind w:firstLine="0" w:firstLineChars="0"/>
              <w:jc w:val="center"/>
              <w:rPr>
                <w:color w:val="000000"/>
                <w:sz w:val="21"/>
                <w:szCs w:val="21"/>
              </w:rPr>
            </w:pPr>
            <w:r>
              <w:rPr>
                <w:color w:val="000000"/>
                <w:sz w:val="21"/>
                <w:szCs w:val="21"/>
              </w:rPr>
              <w:t>钻孔长度（L）</w:t>
            </w:r>
          </w:p>
        </w:tc>
        <w:tc>
          <w:tcPr>
            <w:tcW w:w="1001" w:type="pct"/>
            <w:vAlign w:val="center"/>
          </w:tcPr>
          <w:p w14:paraId="0AB1286F">
            <w:pPr>
              <w:spacing w:line="240" w:lineRule="auto"/>
              <w:ind w:firstLine="0" w:firstLineChars="0"/>
              <w:jc w:val="center"/>
              <w:rPr>
                <w:color w:val="000000"/>
                <w:sz w:val="21"/>
                <w:szCs w:val="21"/>
              </w:rPr>
            </w:pPr>
            <w:r>
              <w:rPr>
                <w:color w:val="000000"/>
                <w:sz w:val="21"/>
                <w:szCs w:val="21"/>
              </w:rPr>
              <w:t>16.5m</w:t>
            </w:r>
          </w:p>
        </w:tc>
        <w:tc>
          <w:tcPr>
            <w:tcW w:w="1001" w:type="pct"/>
            <w:vAlign w:val="center"/>
          </w:tcPr>
          <w:p w14:paraId="4968F361">
            <w:pPr>
              <w:spacing w:line="240" w:lineRule="auto"/>
              <w:ind w:firstLine="0" w:firstLineChars="0"/>
              <w:jc w:val="center"/>
              <w:rPr>
                <w:color w:val="000000"/>
                <w:sz w:val="21"/>
                <w:szCs w:val="21"/>
              </w:rPr>
            </w:pPr>
          </w:p>
        </w:tc>
      </w:tr>
      <w:tr w14:paraId="1A206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593" w:type="pct"/>
            <w:vAlign w:val="center"/>
          </w:tcPr>
          <w:p w14:paraId="71152C57">
            <w:pPr>
              <w:spacing w:line="240" w:lineRule="auto"/>
              <w:ind w:firstLine="0" w:firstLineChars="0"/>
              <w:jc w:val="center"/>
              <w:rPr>
                <w:color w:val="000000"/>
                <w:sz w:val="21"/>
                <w:szCs w:val="21"/>
              </w:rPr>
            </w:pPr>
            <w:r>
              <w:rPr>
                <w:color w:val="000000"/>
                <w:sz w:val="21"/>
                <w:szCs w:val="21"/>
              </w:rPr>
              <w:t>10</w:t>
            </w:r>
          </w:p>
        </w:tc>
        <w:tc>
          <w:tcPr>
            <w:tcW w:w="2405" w:type="pct"/>
            <w:vAlign w:val="center"/>
          </w:tcPr>
          <w:p w14:paraId="5452F300">
            <w:pPr>
              <w:spacing w:line="240" w:lineRule="auto"/>
              <w:ind w:firstLine="0" w:firstLineChars="0"/>
              <w:jc w:val="center"/>
              <w:rPr>
                <w:color w:val="000000"/>
                <w:sz w:val="21"/>
                <w:szCs w:val="21"/>
              </w:rPr>
            </w:pPr>
            <w:r>
              <w:rPr>
                <w:color w:val="000000"/>
                <w:sz w:val="21"/>
                <w:szCs w:val="21"/>
              </w:rPr>
              <w:t>装药长度（L</w:t>
            </w:r>
            <w:r>
              <w:rPr>
                <w:color w:val="000000"/>
                <w:sz w:val="21"/>
                <w:szCs w:val="21"/>
                <w:vertAlign w:val="subscript"/>
              </w:rPr>
              <w:t>2</w:t>
            </w:r>
            <w:r>
              <w:rPr>
                <w:color w:val="000000"/>
                <w:sz w:val="21"/>
                <w:szCs w:val="21"/>
              </w:rPr>
              <w:t>）</w:t>
            </w:r>
          </w:p>
        </w:tc>
        <w:tc>
          <w:tcPr>
            <w:tcW w:w="1001" w:type="pct"/>
            <w:vAlign w:val="center"/>
          </w:tcPr>
          <w:p w14:paraId="0D412856">
            <w:pPr>
              <w:spacing w:line="240" w:lineRule="auto"/>
              <w:ind w:firstLine="0" w:firstLineChars="0"/>
              <w:jc w:val="center"/>
              <w:rPr>
                <w:color w:val="000000"/>
                <w:sz w:val="21"/>
                <w:szCs w:val="21"/>
              </w:rPr>
            </w:pPr>
            <w:r>
              <w:rPr>
                <w:color w:val="000000"/>
                <w:sz w:val="21"/>
                <w:szCs w:val="21"/>
              </w:rPr>
              <w:t>12m</w:t>
            </w:r>
          </w:p>
        </w:tc>
        <w:tc>
          <w:tcPr>
            <w:tcW w:w="1001" w:type="pct"/>
            <w:vAlign w:val="center"/>
          </w:tcPr>
          <w:p w14:paraId="17B51CD9">
            <w:pPr>
              <w:spacing w:line="240" w:lineRule="auto"/>
              <w:ind w:firstLine="0" w:firstLineChars="0"/>
              <w:jc w:val="center"/>
              <w:rPr>
                <w:color w:val="000000"/>
                <w:sz w:val="21"/>
                <w:szCs w:val="21"/>
              </w:rPr>
            </w:pPr>
          </w:p>
        </w:tc>
      </w:tr>
      <w:tr w14:paraId="360F8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593" w:type="pct"/>
            <w:vAlign w:val="center"/>
          </w:tcPr>
          <w:p w14:paraId="691F2C13">
            <w:pPr>
              <w:spacing w:line="240" w:lineRule="auto"/>
              <w:ind w:firstLine="0" w:firstLineChars="0"/>
              <w:jc w:val="center"/>
              <w:rPr>
                <w:color w:val="000000"/>
                <w:sz w:val="21"/>
                <w:szCs w:val="21"/>
              </w:rPr>
            </w:pPr>
            <w:r>
              <w:rPr>
                <w:color w:val="000000"/>
                <w:sz w:val="21"/>
                <w:szCs w:val="21"/>
              </w:rPr>
              <w:t>11</w:t>
            </w:r>
          </w:p>
        </w:tc>
        <w:tc>
          <w:tcPr>
            <w:tcW w:w="2405" w:type="pct"/>
            <w:vAlign w:val="center"/>
          </w:tcPr>
          <w:p w14:paraId="6BEAC01F">
            <w:pPr>
              <w:spacing w:line="240" w:lineRule="auto"/>
              <w:ind w:firstLine="0" w:firstLineChars="0"/>
              <w:jc w:val="center"/>
              <w:rPr>
                <w:color w:val="000000"/>
                <w:sz w:val="21"/>
                <w:szCs w:val="21"/>
              </w:rPr>
            </w:pPr>
            <w:r>
              <w:rPr>
                <w:color w:val="000000"/>
                <w:sz w:val="21"/>
                <w:szCs w:val="21"/>
              </w:rPr>
              <w:t>单孔装药量（Q）</w:t>
            </w:r>
          </w:p>
        </w:tc>
        <w:tc>
          <w:tcPr>
            <w:tcW w:w="1001" w:type="pct"/>
            <w:vAlign w:val="center"/>
          </w:tcPr>
          <w:p w14:paraId="27D962B2">
            <w:pPr>
              <w:spacing w:line="240" w:lineRule="auto"/>
              <w:ind w:firstLine="0" w:firstLineChars="0"/>
              <w:jc w:val="center"/>
              <w:rPr>
                <w:color w:val="000000"/>
                <w:sz w:val="21"/>
                <w:szCs w:val="21"/>
              </w:rPr>
            </w:pPr>
            <w:r>
              <w:rPr>
                <w:color w:val="000000"/>
                <w:sz w:val="21"/>
                <w:szCs w:val="21"/>
              </w:rPr>
              <w:t>110.25kg</w:t>
            </w:r>
          </w:p>
        </w:tc>
        <w:tc>
          <w:tcPr>
            <w:tcW w:w="1001" w:type="pct"/>
            <w:vAlign w:val="center"/>
          </w:tcPr>
          <w:p w14:paraId="59ABFCD6">
            <w:pPr>
              <w:spacing w:line="240" w:lineRule="auto"/>
              <w:ind w:firstLine="0" w:firstLineChars="0"/>
              <w:jc w:val="center"/>
              <w:rPr>
                <w:color w:val="000000"/>
                <w:sz w:val="21"/>
                <w:szCs w:val="21"/>
              </w:rPr>
            </w:pPr>
          </w:p>
        </w:tc>
      </w:tr>
      <w:tr w14:paraId="1C7AB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593" w:type="pct"/>
            <w:vAlign w:val="center"/>
          </w:tcPr>
          <w:p w14:paraId="0C4B6B35">
            <w:pPr>
              <w:spacing w:line="240" w:lineRule="auto"/>
              <w:ind w:firstLine="0" w:firstLineChars="0"/>
              <w:jc w:val="center"/>
              <w:rPr>
                <w:color w:val="000000"/>
                <w:sz w:val="21"/>
                <w:szCs w:val="21"/>
              </w:rPr>
            </w:pPr>
            <w:r>
              <w:rPr>
                <w:color w:val="000000"/>
                <w:sz w:val="21"/>
                <w:szCs w:val="21"/>
              </w:rPr>
              <w:t>12</w:t>
            </w:r>
          </w:p>
        </w:tc>
        <w:tc>
          <w:tcPr>
            <w:tcW w:w="2405" w:type="pct"/>
            <w:vAlign w:val="center"/>
          </w:tcPr>
          <w:p w14:paraId="445C859A">
            <w:pPr>
              <w:spacing w:line="240" w:lineRule="auto"/>
              <w:ind w:firstLine="0" w:firstLineChars="0"/>
              <w:jc w:val="center"/>
              <w:rPr>
                <w:color w:val="000000"/>
                <w:sz w:val="21"/>
                <w:szCs w:val="21"/>
              </w:rPr>
            </w:pPr>
            <w:r>
              <w:rPr>
                <w:color w:val="000000"/>
                <w:sz w:val="21"/>
                <w:szCs w:val="21"/>
              </w:rPr>
              <w:t>最大一段装药量（Q</w:t>
            </w:r>
            <w:r>
              <w:rPr>
                <w:color w:val="000000"/>
                <w:sz w:val="21"/>
                <w:szCs w:val="21"/>
                <w:vertAlign w:val="subscript"/>
              </w:rPr>
              <w:t>max</w:t>
            </w:r>
            <w:r>
              <w:rPr>
                <w:color w:val="000000"/>
                <w:sz w:val="21"/>
                <w:szCs w:val="21"/>
              </w:rPr>
              <w:t>）</w:t>
            </w:r>
          </w:p>
        </w:tc>
        <w:tc>
          <w:tcPr>
            <w:tcW w:w="1001" w:type="pct"/>
            <w:vAlign w:val="center"/>
          </w:tcPr>
          <w:p w14:paraId="2C7E4B60">
            <w:pPr>
              <w:spacing w:line="240" w:lineRule="auto"/>
              <w:ind w:firstLine="0" w:firstLineChars="0"/>
              <w:jc w:val="center"/>
              <w:rPr>
                <w:color w:val="000000"/>
                <w:sz w:val="21"/>
                <w:szCs w:val="21"/>
              </w:rPr>
            </w:pPr>
            <w:r>
              <w:rPr>
                <w:color w:val="000000"/>
                <w:sz w:val="21"/>
                <w:szCs w:val="21"/>
              </w:rPr>
              <w:t>110.25kg</w:t>
            </w:r>
          </w:p>
        </w:tc>
        <w:tc>
          <w:tcPr>
            <w:tcW w:w="1001" w:type="pct"/>
            <w:vAlign w:val="center"/>
          </w:tcPr>
          <w:p w14:paraId="041E60F8">
            <w:pPr>
              <w:spacing w:line="240" w:lineRule="auto"/>
              <w:ind w:firstLine="0" w:firstLineChars="0"/>
              <w:jc w:val="center"/>
              <w:rPr>
                <w:color w:val="000000"/>
                <w:sz w:val="21"/>
                <w:szCs w:val="21"/>
              </w:rPr>
            </w:pPr>
            <w:r>
              <w:rPr>
                <w:color w:val="000000"/>
                <w:sz w:val="21"/>
                <w:szCs w:val="21"/>
              </w:rPr>
              <w:t>逐孔爆破</w:t>
            </w:r>
          </w:p>
        </w:tc>
      </w:tr>
      <w:tr w14:paraId="4D74D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593" w:type="pct"/>
            <w:vAlign w:val="center"/>
          </w:tcPr>
          <w:p w14:paraId="2B711F98">
            <w:pPr>
              <w:spacing w:line="240" w:lineRule="auto"/>
              <w:ind w:firstLine="0" w:firstLineChars="0"/>
              <w:jc w:val="center"/>
              <w:rPr>
                <w:color w:val="000000"/>
                <w:sz w:val="21"/>
                <w:szCs w:val="21"/>
              </w:rPr>
            </w:pPr>
            <w:r>
              <w:rPr>
                <w:color w:val="000000"/>
                <w:sz w:val="21"/>
                <w:szCs w:val="21"/>
              </w:rPr>
              <w:t>13</w:t>
            </w:r>
          </w:p>
        </w:tc>
        <w:tc>
          <w:tcPr>
            <w:tcW w:w="2405" w:type="pct"/>
            <w:vAlign w:val="center"/>
          </w:tcPr>
          <w:p w14:paraId="2DD5C5CA">
            <w:pPr>
              <w:spacing w:line="240" w:lineRule="auto"/>
              <w:ind w:firstLine="0" w:firstLineChars="0"/>
              <w:jc w:val="center"/>
              <w:rPr>
                <w:color w:val="000000"/>
                <w:sz w:val="21"/>
                <w:szCs w:val="21"/>
              </w:rPr>
            </w:pPr>
            <w:r>
              <w:rPr>
                <w:color w:val="000000"/>
                <w:sz w:val="21"/>
                <w:szCs w:val="21"/>
              </w:rPr>
              <w:t>炸药单耗（q）</w:t>
            </w:r>
          </w:p>
        </w:tc>
        <w:tc>
          <w:tcPr>
            <w:tcW w:w="1001" w:type="pct"/>
            <w:vAlign w:val="center"/>
          </w:tcPr>
          <w:p w14:paraId="7D11995E">
            <w:pPr>
              <w:spacing w:line="240" w:lineRule="auto"/>
              <w:ind w:firstLine="0" w:firstLineChars="0"/>
              <w:jc w:val="center"/>
              <w:rPr>
                <w:color w:val="000000"/>
                <w:sz w:val="21"/>
                <w:szCs w:val="21"/>
              </w:rPr>
            </w:pPr>
            <w:r>
              <w:rPr>
                <w:color w:val="000000"/>
                <w:sz w:val="21"/>
                <w:szCs w:val="21"/>
              </w:rPr>
              <w:t>0.160kg/t</w:t>
            </w:r>
          </w:p>
        </w:tc>
        <w:tc>
          <w:tcPr>
            <w:tcW w:w="1001" w:type="pct"/>
            <w:vAlign w:val="center"/>
          </w:tcPr>
          <w:p w14:paraId="273593D3">
            <w:pPr>
              <w:spacing w:line="240" w:lineRule="auto"/>
              <w:ind w:firstLine="0" w:firstLineChars="0"/>
              <w:jc w:val="center"/>
              <w:rPr>
                <w:color w:val="000000"/>
                <w:sz w:val="21"/>
                <w:szCs w:val="21"/>
              </w:rPr>
            </w:pPr>
            <w:r>
              <w:rPr>
                <w:color w:val="000000"/>
                <w:sz w:val="21"/>
                <w:szCs w:val="21"/>
              </w:rPr>
              <w:t>0.42kg/m</w:t>
            </w:r>
            <w:r>
              <w:rPr>
                <w:color w:val="000000"/>
                <w:sz w:val="21"/>
                <w:szCs w:val="21"/>
                <w:vertAlign w:val="superscript"/>
              </w:rPr>
              <w:t>3</w:t>
            </w:r>
          </w:p>
        </w:tc>
      </w:tr>
      <w:tr w14:paraId="29FE7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593" w:type="pct"/>
            <w:vAlign w:val="center"/>
          </w:tcPr>
          <w:p w14:paraId="164486BE">
            <w:pPr>
              <w:spacing w:line="240" w:lineRule="auto"/>
              <w:ind w:firstLine="0" w:firstLineChars="0"/>
              <w:jc w:val="center"/>
              <w:rPr>
                <w:color w:val="000000"/>
                <w:sz w:val="21"/>
                <w:szCs w:val="21"/>
              </w:rPr>
            </w:pPr>
            <w:r>
              <w:rPr>
                <w:color w:val="000000"/>
                <w:sz w:val="21"/>
                <w:szCs w:val="21"/>
              </w:rPr>
              <w:t>14</w:t>
            </w:r>
          </w:p>
        </w:tc>
        <w:tc>
          <w:tcPr>
            <w:tcW w:w="2405" w:type="pct"/>
            <w:vAlign w:val="center"/>
          </w:tcPr>
          <w:p w14:paraId="5DF1EE94">
            <w:pPr>
              <w:spacing w:line="240" w:lineRule="auto"/>
              <w:ind w:firstLine="0" w:firstLineChars="0"/>
              <w:jc w:val="center"/>
              <w:rPr>
                <w:color w:val="000000"/>
                <w:sz w:val="21"/>
                <w:szCs w:val="21"/>
              </w:rPr>
            </w:pPr>
            <w:r>
              <w:rPr>
                <w:color w:val="000000"/>
                <w:sz w:val="21"/>
                <w:szCs w:val="21"/>
              </w:rPr>
              <w:t>布孔方式</w:t>
            </w:r>
          </w:p>
        </w:tc>
        <w:tc>
          <w:tcPr>
            <w:tcW w:w="1001" w:type="pct"/>
            <w:vAlign w:val="center"/>
          </w:tcPr>
          <w:p w14:paraId="255A8F84">
            <w:pPr>
              <w:spacing w:line="240" w:lineRule="auto"/>
              <w:ind w:firstLine="0" w:firstLineChars="0"/>
              <w:jc w:val="center"/>
              <w:rPr>
                <w:color w:val="000000"/>
                <w:sz w:val="21"/>
                <w:szCs w:val="21"/>
              </w:rPr>
            </w:pPr>
            <w:r>
              <w:rPr>
                <w:color w:val="000000"/>
                <w:sz w:val="21"/>
                <w:szCs w:val="21"/>
              </w:rPr>
              <w:t>三角形</w:t>
            </w:r>
          </w:p>
        </w:tc>
        <w:tc>
          <w:tcPr>
            <w:tcW w:w="1001" w:type="pct"/>
            <w:vAlign w:val="center"/>
          </w:tcPr>
          <w:p w14:paraId="1E407613">
            <w:pPr>
              <w:spacing w:line="240" w:lineRule="auto"/>
              <w:ind w:firstLine="0" w:firstLineChars="0"/>
              <w:jc w:val="center"/>
              <w:rPr>
                <w:color w:val="000000"/>
                <w:sz w:val="21"/>
                <w:szCs w:val="21"/>
              </w:rPr>
            </w:pPr>
          </w:p>
        </w:tc>
      </w:tr>
      <w:bookmarkEnd w:id="353"/>
    </w:tbl>
    <w:p w14:paraId="2212A817">
      <w:pPr>
        <w:pStyle w:val="158"/>
        <w:widowControl/>
        <w:autoSpaceDE/>
        <w:autoSpaceDN/>
        <w:snapToGrid w:val="0"/>
        <w:spacing w:before="193" w:beforeLines="50" w:line="360" w:lineRule="auto"/>
        <w:ind w:firstLine="562" w:firstLineChars="200"/>
        <w:jc w:val="both"/>
        <w:rPr>
          <w:rFonts w:hint="default" w:ascii="Times New Roman" w:hAnsi="Times New Roman" w:eastAsia="Times New Roman" w:cs="Times New Roman"/>
          <w:b/>
          <w:bCs/>
          <w:color w:val="auto"/>
          <w:sz w:val="28"/>
        </w:rPr>
      </w:pPr>
      <w:r>
        <w:rPr>
          <w:rFonts w:hint="default" w:ascii="Times New Roman" w:hAnsi="Times New Roman" w:cs="Times New Roman"/>
          <w:b/>
          <w:bCs/>
          <w:color w:val="auto"/>
          <w:sz w:val="28"/>
        </w:rPr>
        <w:t>二、建设情况</w:t>
      </w:r>
    </w:p>
    <w:p w14:paraId="38328824">
      <w:pPr>
        <w:pStyle w:val="134"/>
        <w:adjustRightInd w:val="0"/>
        <w:snapToGrid w:val="0"/>
        <w:spacing w:line="360" w:lineRule="auto"/>
        <w:ind w:firstLine="560" w:firstLineChars="200"/>
        <w:jc w:val="both"/>
        <w:rPr>
          <w:rFonts w:hint="default"/>
          <w:sz w:val="28"/>
        </w:rPr>
      </w:pPr>
      <w:r>
        <w:rPr>
          <w:rFonts w:hint="eastAsia" w:ascii="Times New Roman" w:hAnsi="Times New Roman" w:cs="Times New Roman"/>
          <w:color w:val="auto"/>
          <w:sz w:val="28"/>
          <w:lang w:val="en-US" w:eastAsia="zh-CN"/>
        </w:rPr>
        <w:t>XX。</w:t>
      </w:r>
    </w:p>
    <w:p w14:paraId="7F4E9121">
      <w:pPr>
        <w:pStyle w:val="7"/>
        <w:ind w:firstLine="560"/>
      </w:pPr>
      <w:bookmarkStart w:id="354" w:name="_Toc16814"/>
      <w:r>
        <w:t>2.4.5.5铲装作业</w:t>
      </w:r>
      <w:bookmarkEnd w:id="354"/>
    </w:p>
    <w:p w14:paraId="04229D9F">
      <w:pPr>
        <w:topLinePunct/>
        <w:ind w:firstLine="562"/>
        <w:rPr>
          <w:b/>
        </w:rPr>
      </w:pPr>
      <w:r>
        <w:rPr>
          <w:b/>
        </w:rPr>
        <w:t>一、设计情况</w:t>
      </w:r>
    </w:p>
    <w:p w14:paraId="3F058F57">
      <w:pPr>
        <w:ind w:firstLine="560"/>
      </w:pPr>
      <w:r>
        <w:t>矿山采装设备主要为挖掘机，挖掘机主要用于矿石采装环节。设计采用</w:t>
      </w:r>
      <w:r>
        <w:rPr>
          <w:color w:val="000000" w:themeColor="text1"/>
          <w14:textFill>
            <w14:solidFill>
              <w14:schemeClr w14:val="tx1"/>
            </w14:solidFill>
          </w14:textFill>
        </w:rPr>
        <w:t>1台斗容2.1m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的</w:t>
      </w:r>
      <w:r>
        <w:t>挖掘机进行铲装，需4辆15t矿用自卸汽车进行转运及辅助工作。</w:t>
      </w:r>
    </w:p>
    <w:p w14:paraId="5358C762">
      <w:pPr>
        <w:topLinePunct/>
        <w:ind w:firstLine="562"/>
        <w:rPr>
          <w:b/>
        </w:rPr>
      </w:pPr>
      <w:r>
        <w:rPr>
          <w:b/>
        </w:rPr>
        <w:t>二、建设情况</w:t>
      </w:r>
    </w:p>
    <w:p w14:paraId="0FE5DF15">
      <w:pPr>
        <w:ind w:firstLine="560"/>
      </w:pPr>
      <w:r>
        <w:rPr>
          <w:rFonts w:hint="eastAsia" w:ascii="Times New Roman" w:hAnsi="Times New Roman" w:cs="Times New Roman"/>
          <w:color w:val="auto"/>
          <w:sz w:val="28"/>
          <w:lang w:val="en-US" w:eastAsia="zh-CN"/>
        </w:rPr>
        <w:t>XX</w:t>
      </w:r>
      <w:r>
        <w:t>。</w:t>
      </w:r>
    </w:p>
    <w:p w14:paraId="00ABF25D">
      <w:pPr>
        <w:pStyle w:val="6"/>
        <w:ind w:firstLine="562"/>
        <w:rPr>
          <w:rFonts w:eastAsia="宋体"/>
          <w:b/>
          <w:bCs w:val="0"/>
        </w:rPr>
      </w:pPr>
      <w:bookmarkStart w:id="355" w:name="_Toc59420514"/>
      <w:bookmarkStart w:id="356" w:name="_Toc1123"/>
      <w:bookmarkStart w:id="357" w:name="_Toc27500"/>
      <w:bookmarkStart w:id="358" w:name="_Toc28366"/>
      <w:bookmarkStart w:id="359" w:name="_Toc1740"/>
      <w:bookmarkStart w:id="360" w:name="_Toc20466"/>
      <w:bookmarkStart w:id="361" w:name="_Toc18933"/>
      <w:bookmarkStart w:id="362" w:name="_Toc454614263"/>
      <w:r>
        <w:rPr>
          <w:rFonts w:eastAsia="宋体"/>
          <w:b/>
          <w:bCs w:val="0"/>
        </w:rPr>
        <w:t>2.4.6开拓运输</w:t>
      </w:r>
      <w:bookmarkEnd w:id="355"/>
      <w:bookmarkEnd w:id="356"/>
      <w:bookmarkEnd w:id="357"/>
      <w:bookmarkEnd w:id="358"/>
      <w:bookmarkEnd w:id="359"/>
      <w:bookmarkEnd w:id="360"/>
      <w:bookmarkEnd w:id="361"/>
      <w:bookmarkEnd w:id="362"/>
    </w:p>
    <w:p w14:paraId="5F7D8312">
      <w:pPr>
        <w:pStyle w:val="181"/>
        <w:keepNext/>
        <w:keepLines/>
        <w:snapToGrid w:val="0"/>
        <w:spacing w:line="360" w:lineRule="auto"/>
        <w:ind w:firstLine="562" w:firstLineChars="200"/>
        <w:jc w:val="both"/>
        <w:rPr>
          <w:rFonts w:hint="default" w:ascii="Times New Roman" w:hAnsi="Times New Roman" w:cs="Times New Roman"/>
          <w:b/>
          <w:bCs/>
          <w:color w:val="auto"/>
          <w:sz w:val="28"/>
        </w:rPr>
      </w:pPr>
      <w:r>
        <w:rPr>
          <w:rFonts w:hint="default" w:ascii="Times New Roman" w:hAnsi="Times New Roman" w:cs="Times New Roman"/>
          <w:b/>
          <w:bCs/>
          <w:color w:val="auto"/>
          <w:sz w:val="28"/>
        </w:rPr>
        <w:t>一、设计要求</w:t>
      </w:r>
    </w:p>
    <w:p w14:paraId="6D1A2699">
      <w:pPr>
        <w:ind w:firstLine="560"/>
      </w:pPr>
      <w:r>
        <w:rPr>
          <w:szCs w:val="28"/>
        </w:rPr>
        <w:t>1.</w:t>
      </w:r>
      <w:r>
        <w:rPr>
          <w:kern w:val="10"/>
        </w:rPr>
        <w:t>运输道路</w:t>
      </w:r>
    </w:p>
    <w:p w14:paraId="1F47B7D1">
      <w:pPr>
        <w:pStyle w:val="124"/>
        <w:snapToGrid w:val="0"/>
        <w:spacing w:line="360" w:lineRule="auto"/>
        <w:ind w:firstLine="560" w:firstLineChars="200"/>
        <w:jc w:val="both"/>
        <w:rPr>
          <w:rFonts w:ascii="Times New Roman" w:hAnsi="Times New Roman" w:cs="Times New Roman"/>
          <w:color w:val="auto"/>
          <w:sz w:val="28"/>
        </w:rPr>
      </w:pPr>
      <w:r>
        <w:rPr>
          <w:rFonts w:ascii="Times New Roman" w:hAnsi="Times New Roman" w:cs="Times New Roman"/>
          <w:color w:val="auto"/>
          <w:sz w:val="28"/>
        </w:rPr>
        <w:t>根据采出矿石量分布，结合矿区现状地形条件、卸矿平台位置等，本工程拟定道路采用单车道。</w:t>
      </w:r>
    </w:p>
    <w:p w14:paraId="1D6386B3">
      <w:pPr>
        <w:pStyle w:val="124"/>
        <w:snapToGrid w:val="0"/>
        <w:spacing w:line="360" w:lineRule="auto"/>
        <w:ind w:firstLine="560" w:firstLineChars="200"/>
        <w:jc w:val="both"/>
        <w:rPr>
          <w:rFonts w:ascii="Times New Roman" w:hAnsi="Times New Roman" w:cs="Times New Roman"/>
          <w:color w:val="auto"/>
          <w:sz w:val="28"/>
        </w:rPr>
      </w:pPr>
      <w:r>
        <w:rPr>
          <w:rFonts w:ascii="Times New Roman" w:hAnsi="Times New Roman" w:cs="Times New Roman"/>
          <w:color w:val="auto"/>
          <w:sz w:val="28"/>
        </w:rPr>
        <w:t>矿山为山坡+凹陷露天开采，综合考虑运输方式、运输成本等因素。设计矿山开采2730m以上资源量时，通过在地表修建卸矿平台至2745m平台开拓运输道路运输矿石。开采2730m以下资源量时，通过在平台上修建平台联络道运输矿石。</w:t>
      </w:r>
    </w:p>
    <w:p w14:paraId="0E33363B">
      <w:pPr>
        <w:pStyle w:val="124"/>
        <w:snapToGrid w:val="0"/>
        <w:spacing w:line="360" w:lineRule="auto"/>
        <w:ind w:firstLine="560" w:firstLineChars="200"/>
        <w:jc w:val="both"/>
        <w:rPr>
          <w:rFonts w:ascii="Times New Roman" w:hAnsi="Times New Roman" w:cs="Times New Roman"/>
          <w:color w:val="auto"/>
          <w:sz w:val="28"/>
        </w:rPr>
      </w:pPr>
      <w:r>
        <w:rPr>
          <w:rFonts w:ascii="Times New Roman" w:hAnsi="Times New Roman" w:cs="Times New Roman"/>
          <w:color w:val="auto"/>
          <w:sz w:val="28"/>
        </w:rPr>
        <w:t>卸矿平台至2745m平台开拓运输道路：该道路在原有道路基础上整改修建。运输道路总长400m，路面宽4m，运输道路平均坡度为7.5%，最大纵坡9.0%。</w:t>
      </w:r>
    </w:p>
    <w:p w14:paraId="5DB4278F">
      <w:pPr>
        <w:pStyle w:val="124"/>
        <w:snapToGrid w:val="0"/>
        <w:spacing w:line="360" w:lineRule="auto"/>
        <w:ind w:firstLine="560" w:firstLineChars="200"/>
        <w:jc w:val="both"/>
        <w:rPr>
          <w:rFonts w:ascii="Times New Roman" w:hAnsi="Times New Roman" w:cs="Times New Roman"/>
          <w:color w:val="auto"/>
          <w:sz w:val="28"/>
        </w:rPr>
      </w:pPr>
      <w:r>
        <w:rPr>
          <w:rFonts w:ascii="Times New Roman" w:hAnsi="Times New Roman" w:cs="Times New Roman"/>
          <w:color w:val="auto"/>
          <w:sz w:val="28"/>
        </w:rPr>
        <w:t>地表至2715m平台联络道：该联络道总长90m，路面宽8m，平均坡度为9.0%，最大纵坡为9.0%。</w:t>
      </w:r>
    </w:p>
    <w:p w14:paraId="635E86A4">
      <w:pPr>
        <w:pStyle w:val="124"/>
        <w:snapToGrid w:val="0"/>
        <w:spacing w:line="360" w:lineRule="auto"/>
        <w:ind w:firstLine="560" w:firstLineChars="200"/>
        <w:jc w:val="both"/>
        <w:rPr>
          <w:rFonts w:ascii="Times New Roman" w:hAnsi="Times New Roman" w:cs="Times New Roman"/>
          <w:color w:val="auto"/>
          <w:sz w:val="28"/>
        </w:rPr>
      </w:pPr>
      <w:r>
        <w:rPr>
          <w:rFonts w:ascii="Times New Roman" w:hAnsi="Times New Roman" w:cs="Times New Roman"/>
          <w:color w:val="auto"/>
          <w:sz w:val="28"/>
        </w:rPr>
        <w:t>2715m平台至2700m平台联络道：该联络道总长167m，路面宽8m，平均坡度为9.0%，最大纵坡为9.0%。</w:t>
      </w:r>
    </w:p>
    <w:p w14:paraId="3C603EC9">
      <w:pPr>
        <w:pStyle w:val="124"/>
        <w:snapToGrid w:val="0"/>
        <w:spacing w:line="360" w:lineRule="auto"/>
        <w:ind w:firstLine="560" w:firstLineChars="200"/>
        <w:jc w:val="both"/>
        <w:rPr>
          <w:rFonts w:ascii="Times New Roman" w:hAnsi="Times New Roman" w:cs="Times New Roman"/>
          <w:color w:val="auto"/>
          <w:sz w:val="28"/>
        </w:rPr>
      </w:pPr>
      <w:r>
        <w:rPr>
          <w:rFonts w:ascii="Times New Roman" w:hAnsi="Times New Roman" w:cs="Times New Roman"/>
          <w:color w:val="auto"/>
          <w:sz w:val="28"/>
        </w:rPr>
        <w:t>2.道路安全设施</w:t>
      </w:r>
    </w:p>
    <w:p w14:paraId="53556C80">
      <w:pPr>
        <w:ind w:firstLine="560"/>
        <w:rPr>
          <w:szCs w:val="21"/>
        </w:rPr>
      </w:pPr>
      <w:r>
        <w:rPr>
          <w:szCs w:val="21"/>
        </w:rPr>
        <w:t>（1）运输道路临边侧设置高度不小于汽车轮胎直径1/2的挡车墙。设计选用15t自卸式</w:t>
      </w:r>
      <w:r>
        <w:rPr>
          <w:rFonts w:hint="eastAsia"/>
          <w:szCs w:val="21"/>
        </w:rPr>
        <w:t>汽车</w:t>
      </w:r>
      <w:r>
        <w:rPr>
          <w:szCs w:val="21"/>
        </w:rPr>
        <w:t>运输，轮胎直径为1200mm，运输道路旁挡车墙为梯形土堆，顶部宽0.5m、底部宽2.0m、高度为1m。</w:t>
      </w:r>
    </w:p>
    <w:p w14:paraId="0F304F48">
      <w:pPr>
        <w:ind w:firstLine="560"/>
        <w:rPr>
          <w:szCs w:val="21"/>
        </w:rPr>
      </w:pPr>
      <w:r>
        <w:rPr>
          <w:szCs w:val="21"/>
        </w:rPr>
        <w:t>（2）急弯、陡坡、危险地段设置凸透镜、限速标志、安全警示标志及标识。</w:t>
      </w:r>
    </w:p>
    <w:p w14:paraId="4B5E3C65">
      <w:pPr>
        <w:ind w:firstLine="560"/>
        <w:rPr>
          <w:szCs w:val="21"/>
        </w:rPr>
      </w:pPr>
      <w:r>
        <w:rPr>
          <w:szCs w:val="21"/>
        </w:rPr>
        <w:t>（3）卸车平台受料口应设置牢固的安全限位车挡，车挡高度不小于汽车轮胎直径的1/3；设计矿石破碎站受料口安全限位车挡高度为0.5m。</w:t>
      </w:r>
    </w:p>
    <w:p w14:paraId="793FD437">
      <w:pPr>
        <w:pStyle w:val="130"/>
        <w:snapToGrid w:val="0"/>
        <w:spacing w:line="360" w:lineRule="auto"/>
        <w:ind w:firstLine="562" w:firstLineChars="200"/>
        <w:jc w:val="both"/>
        <w:rPr>
          <w:rFonts w:hint="default" w:ascii="Times New Roman" w:hAnsi="Times New Roman" w:cs="Times New Roman"/>
          <w:b/>
          <w:bCs/>
          <w:color w:val="auto"/>
          <w:sz w:val="28"/>
        </w:rPr>
      </w:pPr>
      <w:r>
        <w:rPr>
          <w:rFonts w:hint="default" w:ascii="Times New Roman" w:hAnsi="Times New Roman" w:cs="Times New Roman"/>
          <w:b/>
          <w:bCs/>
          <w:color w:val="auto"/>
          <w:sz w:val="28"/>
        </w:rPr>
        <w:t>二、建设情况</w:t>
      </w:r>
    </w:p>
    <w:p w14:paraId="4C4B74D7">
      <w:pPr>
        <w:pStyle w:val="39"/>
        <w:widowControl w:val="0"/>
        <w:tabs>
          <w:tab w:val="left" w:pos="5327"/>
          <w:tab w:val="left" w:pos="6326"/>
          <w:tab w:val="left" w:pos="7230"/>
          <w:tab w:val="left" w:pos="9301"/>
        </w:tabs>
        <w:autoSpaceDE w:val="0"/>
        <w:autoSpaceDN w:val="0"/>
        <w:ind w:firstLine="560"/>
        <w:jc w:val="both"/>
        <w:rPr>
          <w:rFonts w:ascii="Times New Roman" w:hAnsi="Times New Roman" w:cs="Times New Roman"/>
          <w:sz w:val="28"/>
          <w:szCs w:val="28"/>
        </w:rPr>
      </w:pPr>
      <w:bookmarkStart w:id="363" w:name="_Hlk156552448"/>
      <w:r>
        <w:rPr>
          <w:rFonts w:hint="eastAsia" w:ascii="Times New Roman" w:hAnsi="Times New Roman" w:cs="Times New Roman"/>
          <w:color w:val="auto"/>
          <w:sz w:val="28"/>
          <w:lang w:val="en-US" w:eastAsia="zh-CN"/>
        </w:rPr>
        <w:t>XX。</w:t>
      </w:r>
    </w:p>
    <w:bookmarkEnd w:id="363"/>
    <w:p w14:paraId="05CE3426">
      <w:pPr>
        <w:pStyle w:val="6"/>
        <w:ind w:firstLine="562"/>
        <w:rPr>
          <w:rFonts w:eastAsia="宋体"/>
          <w:b/>
          <w:bCs w:val="0"/>
        </w:rPr>
      </w:pPr>
      <w:bookmarkStart w:id="364" w:name="_Toc24453"/>
      <w:bookmarkStart w:id="365" w:name="_Toc454614264"/>
      <w:bookmarkStart w:id="366" w:name="_Toc59420515"/>
      <w:bookmarkStart w:id="367" w:name="_Toc29526"/>
      <w:bookmarkStart w:id="368" w:name="_Toc9736"/>
      <w:bookmarkStart w:id="369" w:name="_Toc9437"/>
      <w:bookmarkStart w:id="370" w:name="_Toc15410"/>
      <w:bookmarkStart w:id="371" w:name="_Toc29765"/>
      <w:r>
        <w:rPr>
          <w:rFonts w:eastAsia="宋体"/>
          <w:b/>
          <w:bCs w:val="0"/>
        </w:rPr>
        <w:t>2.4.7采场防排水</w:t>
      </w:r>
      <w:bookmarkEnd w:id="364"/>
      <w:bookmarkEnd w:id="365"/>
      <w:bookmarkEnd w:id="366"/>
      <w:bookmarkEnd w:id="367"/>
      <w:bookmarkEnd w:id="368"/>
      <w:bookmarkEnd w:id="369"/>
      <w:bookmarkEnd w:id="370"/>
      <w:bookmarkEnd w:id="371"/>
    </w:p>
    <w:p w14:paraId="52B359B0">
      <w:pPr>
        <w:autoSpaceDE w:val="0"/>
        <w:autoSpaceDN w:val="0"/>
        <w:ind w:firstLine="562"/>
        <w:rPr>
          <w:b/>
          <w:bCs/>
        </w:rPr>
      </w:pPr>
      <w:r>
        <w:rPr>
          <w:b/>
          <w:bCs/>
        </w:rPr>
        <w:t>一、设计情况</w:t>
      </w:r>
    </w:p>
    <w:p w14:paraId="4584A481">
      <w:pPr>
        <w:autoSpaceDE w:val="0"/>
        <w:autoSpaceDN w:val="0"/>
        <w:ind w:firstLine="560"/>
      </w:pPr>
      <w:r>
        <w:t>1、场外截水沟：矿区位于山脊部位，外部汇水较少，结合矿山地形，设计外部汇水由2745m平台排水沟排出，不另外修建截洪沟。</w:t>
      </w:r>
    </w:p>
    <w:p w14:paraId="0CA7D477">
      <w:pPr>
        <w:autoSpaceDE w:val="0"/>
        <w:autoSpaceDN w:val="0"/>
        <w:ind w:firstLine="560"/>
      </w:pPr>
      <w:r>
        <w:t>2、场内排水沟：</w:t>
      </w:r>
      <w:r>
        <w:rPr>
          <w:color w:val="000000" w:themeColor="text1"/>
          <w14:textFill>
            <w14:solidFill>
              <w14:schemeClr w14:val="tx1"/>
            </w14:solidFill>
          </w14:textFill>
        </w:rPr>
        <w:t>设计在采场2745m清扫平台及2700m底部平台设置台阶排水沟</w:t>
      </w:r>
      <w:r>
        <w:t>，</w:t>
      </w:r>
      <w:r>
        <w:rPr>
          <w:color w:val="000000" w:themeColor="text1"/>
          <w14:textFill>
            <w14:solidFill>
              <w14:schemeClr w14:val="tx1"/>
            </w14:solidFill>
          </w14:textFill>
        </w:rPr>
        <w:t>设计台阶排水沟基岩地段直接开挖毛沟，土层地段开挖后采用M7.5浆砌石砌筑</w:t>
      </w:r>
      <w:r>
        <w:t>，采用矩形断面。后期开采形成</w:t>
      </w:r>
      <w:r>
        <w:rPr>
          <w:color w:val="000000" w:themeColor="text1"/>
          <w14:textFill>
            <w14:solidFill>
              <w14:schemeClr w14:val="tx1"/>
            </w14:solidFill>
          </w14:textFill>
        </w:rPr>
        <w:t>矿山封闭圈，标高2730m，采用机械排水，设计在采场底部平台2700m标高设置1个沉淀池。</w:t>
      </w:r>
    </w:p>
    <w:p w14:paraId="1D8E866A">
      <w:pPr>
        <w:widowControl/>
        <w:ind w:firstLine="560"/>
      </w:pPr>
      <w:r>
        <w:t>3、公路内侧排水沟：</w:t>
      </w:r>
      <w:r>
        <w:rPr>
          <w:color w:val="000000" w:themeColor="text1"/>
          <w14:textFill>
            <w14:solidFill>
              <w14:schemeClr w14:val="tx1"/>
            </w14:solidFill>
          </w14:textFill>
        </w:rPr>
        <w:t>设计在运输道路旁修筑排水沟，基岩地段直接开挖毛沟，土层地段开挖后采用M7.5浆砌石砌筑；排水沟为梯形断面，净断面尺寸：上口宽0.6m、下口宽0.4m、沟深0.4m</w:t>
      </w:r>
      <w:r>
        <w:t>。</w:t>
      </w:r>
    </w:p>
    <w:p w14:paraId="7FC75849">
      <w:pPr>
        <w:autoSpaceDE w:val="0"/>
        <w:autoSpaceDN w:val="0"/>
        <w:ind w:firstLine="562"/>
        <w:rPr>
          <w:b/>
          <w:bCs/>
        </w:rPr>
      </w:pPr>
      <w:r>
        <w:rPr>
          <w:b/>
          <w:bCs/>
        </w:rPr>
        <w:t>二、建设情况</w:t>
      </w:r>
    </w:p>
    <w:p w14:paraId="58AE3657">
      <w:pPr>
        <w:widowControl/>
        <w:ind w:firstLine="560"/>
      </w:pPr>
      <w:bookmarkStart w:id="372" w:name="_Hlk156552473"/>
      <w:r>
        <w:rPr>
          <w:rFonts w:hint="eastAsia" w:ascii="Times New Roman" w:hAnsi="Times New Roman" w:cs="Times New Roman"/>
          <w:color w:val="auto"/>
          <w:sz w:val="28"/>
          <w:lang w:val="en-US" w:eastAsia="zh-CN"/>
        </w:rPr>
        <w:t>XX。</w:t>
      </w:r>
    </w:p>
    <w:bookmarkEnd w:id="372"/>
    <w:p w14:paraId="27B30B5C">
      <w:pPr>
        <w:pStyle w:val="6"/>
        <w:ind w:firstLine="562"/>
        <w:rPr>
          <w:rFonts w:eastAsia="宋体"/>
          <w:b/>
          <w:bCs w:val="0"/>
        </w:rPr>
      </w:pPr>
      <w:bookmarkStart w:id="373" w:name="_Toc22849"/>
      <w:bookmarkStart w:id="374" w:name="_Toc15400"/>
      <w:bookmarkStart w:id="375" w:name="_Toc16188"/>
      <w:bookmarkStart w:id="376" w:name="_Toc14926"/>
      <w:bookmarkStart w:id="377" w:name="_Toc32195"/>
      <w:bookmarkStart w:id="378" w:name="_Toc454614265"/>
      <w:bookmarkStart w:id="379" w:name="_Toc59420516"/>
      <w:bookmarkStart w:id="380" w:name="_Toc2926"/>
      <w:r>
        <w:rPr>
          <w:rFonts w:eastAsia="宋体"/>
          <w:b/>
          <w:bCs w:val="0"/>
        </w:rPr>
        <w:t>2.4.8供配电</w:t>
      </w:r>
      <w:bookmarkEnd w:id="373"/>
      <w:bookmarkEnd w:id="374"/>
      <w:bookmarkEnd w:id="375"/>
      <w:bookmarkEnd w:id="376"/>
      <w:bookmarkEnd w:id="377"/>
      <w:bookmarkEnd w:id="378"/>
      <w:bookmarkEnd w:id="379"/>
      <w:bookmarkEnd w:id="380"/>
    </w:p>
    <w:p w14:paraId="1AC789B0">
      <w:pPr>
        <w:keepNext/>
        <w:keepLines/>
        <w:topLinePunct/>
        <w:ind w:firstLine="562"/>
        <w:rPr>
          <w:b/>
        </w:rPr>
      </w:pPr>
      <w:r>
        <w:rPr>
          <w:b/>
        </w:rPr>
        <w:t>一、设计情况</w:t>
      </w:r>
    </w:p>
    <w:p w14:paraId="73F9E06D">
      <w:pPr>
        <w:ind w:firstLine="560"/>
        <w:rPr>
          <w:lang w:val="zh-TW"/>
        </w:rPr>
      </w:pPr>
      <w:r>
        <w:rPr>
          <w:color w:val="000000" w:themeColor="text1"/>
          <w14:textFill>
            <w14:solidFill>
              <w14:schemeClr w14:val="tx1"/>
            </w14:solidFill>
          </w14:textFill>
        </w:rPr>
        <w:t>本矿为露天开采，矿山主要用电设备为破碎站用电、修理车间用电设备、供</w:t>
      </w:r>
      <w:r>
        <w:rPr>
          <w:rFonts w:hint="eastAsia"/>
          <w:color w:val="000000" w:themeColor="text1"/>
          <w14:textFill>
            <w14:solidFill>
              <w14:schemeClr w14:val="tx1"/>
            </w14:solidFill>
          </w14:textFill>
        </w:rPr>
        <w:t>排</w:t>
      </w:r>
      <w:r>
        <w:rPr>
          <w:color w:val="000000" w:themeColor="text1"/>
          <w14:textFill>
            <w14:solidFill>
              <w14:schemeClr w14:val="tx1"/>
            </w14:solidFill>
          </w14:textFill>
        </w:rPr>
        <w:t>水系统用电、办公用电等。设计矿山用电由附近村镇10kV高压电网</w:t>
      </w:r>
      <w:r>
        <w:rPr>
          <w:rFonts w:ascii="宋体" w:hAnsi="宋体"/>
          <w:color w:val="000000" w:themeColor="text1"/>
          <w14:textFill>
            <w14:solidFill>
              <w14:schemeClr w14:val="tx1"/>
            </w14:solidFill>
          </w14:textFill>
        </w:rPr>
        <w:t>“</w:t>
      </w:r>
      <w:r>
        <w:rPr>
          <w:color w:val="000000" w:themeColor="text1"/>
          <w14:textFill>
            <w14:solidFill>
              <w14:schemeClr w14:val="tx1"/>
            </w14:solidFill>
          </w14:textFill>
        </w:rPr>
        <w:t>T</w:t>
      </w:r>
      <w:r>
        <w:rPr>
          <w:rFonts w:ascii="宋体" w:hAnsi="宋体"/>
          <w:color w:val="000000" w:themeColor="text1"/>
          <w14:textFill>
            <w14:solidFill>
              <w14:schemeClr w14:val="tx1"/>
            </w14:solidFill>
          </w14:textFill>
        </w:rPr>
        <w:t>”</w:t>
      </w:r>
      <w:r>
        <w:rPr>
          <w:color w:val="000000" w:themeColor="text1"/>
          <w14:textFill>
            <w14:solidFill>
              <w14:schemeClr w14:val="tx1"/>
            </w14:solidFill>
          </w14:textFill>
        </w:rPr>
        <w:t>接而来，设计利用矿山现有S11-M-630/10型变压器一台。10kV的高压电经变压器降压后，变为380V的低压电，然后送到低压配电柜的低压母线上，由母线再引入低压配电柜，由低压配电柜把电能分配给各用电设备，供电能力可以满足</w:t>
      </w:r>
      <w:r>
        <w:rPr>
          <w:rFonts w:hint="eastAsia"/>
          <w:color w:val="000000" w:themeColor="text1"/>
          <w14:textFill>
            <w14:solidFill>
              <w14:schemeClr w14:val="tx1"/>
            </w14:solidFill>
          </w14:textFill>
        </w:rPr>
        <w:t>设计</w:t>
      </w:r>
      <w:r>
        <w:rPr>
          <w:color w:val="000000" w:themeColor="text1"/>
          <w14:textFill>
            <w14:solidFill>
              <w14:schemeClr w14:val="tx1"/>
            </w14:solidFill>
          </w14:textFill>
        </w:rPr>
        <w:t>的矿山建设项目用电需求</w:t>
      </w:r>
      <w:r>
        <w:t>。</w:t>
      </w:r>
    </w:p>
    <w:p w14:paraId="5423BE57">
      <w:pPr>
        <w:topLinePunct/>
        <w:ind w:firstLine="562"/>
        <w:rPr>
          <w:b/>
          <w:szCs w:val="28"/>
        </w:rPr>
      </w:pPr>
      <w:r>
        <w:rPr>
          <w:b/>
        </w:rPr>
        <w:t>二、建设情况</w:t>
      </w:r>
    </w:p>
    <w:p w14:paraId="3B21119C">
      <w:pPr>
        <w:ind w:firstLine="560"/>
        <w:rPr>
          <w:bCs/>
        </w:rPr>
      </w:pPr>
      <w:r>
        <w:rPr>
          <w:rFonts w:hint="eastAsia" w:ascii="Times New Roman" w:hAnsi="Times New Roman" w:cs="Times New Roman"/>
          <w:color w:val="auto"/>
          <w:sz w:val="28"/>
          <w:lang w:val="en-US" w:eastAsia="zh-CN"/>
        </w:rPr>
        <w:t>XX。</w:t>
      </w:r>
    </w:p>
    <w:p w14:paraId="7EAD6E53">
      <w:pPr>
        <w:keepNext/>
        <w:keepLines/>
        <w:ind w:firstLine="562"/>
        <w:outlineLvl w:val="2"/>
        <w:rPr>
          <w:rFonts w:eastAsia="黑体"/>
          <w:bCs/>
          <w:szCs w:val="32"/>
        </w:rPr>
      </w:pPr>
      <w:r>
        <w:rPr>
          <w:b/>
          <w:szCs w:val="32"/>
        </w:rPr>
        <w:t>2.4.9边坡监测系统</w:t>
      </w:r>
    </w:p>
    <w:p w14:paraId="5E6E727E">
      <w:pPr>
        <w:ind w:firstLine="560"/>
        <w:rPr>
          <w:szCs w:val="28"/>
        </w:rPr>
      </w:pPr>
      <w:r>
        <w:rPr>
          <w:szCs w:val="28"/>
        </w:rPr>
        <w:t>计算</w:t>
      </w:r>
      <w:r>
        <w:rPr>
          <w:rFonts w:hint="eastAsia"/>
          <w:szCs w:val="28"/>
        </w:rPr>
        <w:t>设计</w:t>
      </w:r>
      <w:r>
        <w:rPr>
          <w:szCs w:val="28"/>
        </w:rPr>
        <w:t>，该矿山变形指数D=7，滑坡风险等级S=3，确认该矿山边坡安全监测等级为三级</w:t>
      </w:r>
      <w:r>
        <w:rPr>
          <w:rFonts w:hint="eastAsia"/>
          <w:szCs w:val="28"/>
        </w:rPr>
        <w:t>。</w:t>
      </w:r>
    </w:p>
    <w:p w14:paraId="4E2B2DDB">
      <w:pPr>
        <w:topLinePunct/>
        <w:ind w:firstLine="562"/>
        <w:rPr>
          <w:b/>
        </w:rPr>
      </w:pPr>
      <w:r>
        <w:rPr>
          <w:b/>
        </w:rPr>
        <w:t>一、设计情况</w:t>
      </w:r>
    </w:p>
    <w:p w14:paraId="698AFB7B">
      <w:pPr>
        <w:ind w:firstLine="560"/>
        <w:rPr>
          <w:szCs w:val="28"/>
        </w:rPr>
      </w:pPr>
      <w:r>
        <w:rPr>
          <w:szCs w:val="28"/>
        </w:rPr>
        <w:t>1、监测方法</w:t>
      </w:r>
    </w:p>
    <w:p w14:paraId="13DE7E1F">
      <w:pPr>
        <w:ind w:firstLine="560"/>
        <w:rPr>
          <w:szCs w:val="21"/>
        </w:rPr>
      </w:pPr>
      <w:r>
        <w:rPr>
          <w:szCs w:val="21"/>
        </w:rPr>
        <w:t>（1）表面位移：采用RTK测量仪人工监测。</w:t>
      </w:r>
    </w:p>
    <w:p w14:paraId="599915F8">
      <w:pPr>
        <w:ind w:firstLine="560"/>
        <w:rPr>
          <w:szCs w:val="21"/>
        </w:rPr>
      </w:pPr>
      <w:r>
        <w:rPr>
          <w:szCs w:val="21"/>
        </w:rPr>
        <w:t>（2）降雨量：采用降雨量监测仪。</w:t>
      </w:r>
    </w:p>
    <w:p w14:paraId="60ECB976">
      <w:pPr>
        <w:ind w:firstLine="560"/>
        <w:rPr>
          <w:szCs w:val="21"/>
        </w:rPr>
      </w:pPr>
      <w:r>
        <w:rPr>
          <w:szCs w:val="21"/>
        </w:rPr>
        <w:t>（3）视频监控：由前端摄像头、视频监控平台组成。</w:t>
      </w:r>
    </w:p>
    <w:p w14:paraId="7493D30F">
      <w:pPr>
        <w:ind w:firstLine="560"/>
        <w:rPr>
          <w:szCs w:val="28"/>
        </w:rPr>
      </w:pPr>
      <w:r>
        <w:rPr>
          <w:szCs w:val="28"/>
        </w:rPr>
        <w:t>2、表面位移监测系统设计</w:t>
      </w:r>
    </w:p>
    <w:p w14:paraId="6614D591">
      <w:pPr>
        <w:ind w:firstLine="560"/>
        <w:rPr>
          <w:szCs w:val="28"/>
          <w:lang w:val="zh-CN"/>
        </w:rPr>
      </w:pPr>
      <w:r>
        <w:rPr>
          <w:szCs w:val="28"/>
          <w:lang w:val="zh-CN"/>
        </w:rPr>
        <w:t>边坡高度小于150m，</w:t>
      </w:r>
      <w:r>
        <w:rPr>
          <w:rFonts w:hint="eastAsia"/>
          <w:szCs w:val="28"/>
          <w:lang w:val="zh-CN"/>
        </w:rPr>
        <w:t>设计</w:t>
      </w:r>
      <w:r>
        <w:rPr>
          <w:szCs w:val="28"/>
          <w:lang w:val="zh-CN"/>
        </w:rPr>
        <w:t>采用人工监测。</w:t>
      </w:r>
    </w:p>
    <w:p w14:paraId="485203E7">
      <w:pPr>
        <w:ind w:firstLine="560"/>
        <w:rPr>
          <w:szCs w:val="28"/>
          <w:lang w:val="zh-CN"/>
        </w:rPr>
      </w:pPr>
      <w:r>
        <w:rPr>
          <w:rFonts w:hint="eastAsia"/>
          <w:szCs w:val="28"/>
          <w:lang w:val="zh-CN"/>
        </w:rPr>
        <w:t>（</w:t>
      </w:r>
      <w:r>
        <w:rPr>
          <w:rFonts w:hint="eastAsia"/>
          <w:szCs w:val="28"/>
        </w:rPr>
        <w:t>1</w:t>
      </w:r>
      <w:r>
        <w:rPr>
          <w:rFonts w:hint="eastAsia"/>
          <w:szCs w:val="28"/>
          <w:lang w:val="zh-CN"/>
        </w:rPr>
        <w:t>）</w:t>
      </w:r>
      <w:r>
        <w:rPr>
          <w:szCs w:val="28"/>
          <w:lang w:val="zh-CN"/>
        </w:rPr>
        <w:t>监测点设置</w:t>
      </w:r>
    </w:p>
    <w:p w14:paraId="0D6C81CC">
      <w:pPr>
        <w:ind w:firstLine="560"/>
        <w:rPr>
          <w:szCs w:val="28"/>
          <w:lang w:val="zh-CN"/>
        </w:rPr>
      </w:pPr>
      <w:r>
        <w:rPr>
          <w:szCs w:val="28"/>
          <w:lang w:val="zh-CN"/>
        </w:rPr>
        <w:t>位移监测点采用混凝土桩固定在边坡岩体上。混凝土桩桩径为30cm，桩深150cm，桩上部长30cm，用直径15mm的钢筋埋于混凝土中，在钢筋顶面锯成“</w:t>
      </w:r>
      <w:r>
        <w:rPr>
          <w:rFonts w:hint="eastAsia"/>
          <w:szCs w:val="28"/>
          <w:lang w:val="zh-CN"/>
        </w:rPr>
        <w:t>┿</w:t>
      </w:r>
      <w:r>
        <w:rPr>
          <w:szCs w:val="28"/>
          <w:lang w:val="zh-CN"/>
        </w:rPr>
        <w:t>”形，红油漆上色，量测时以“</w:t>
      </w:r>
      <w:r>
        <w:rPr>
          <w:rFonts w:hint="eastAsia"/>
          <w:szCs w:val="28"/>
          <w:lang w:val="zh-CN"/>
        </w:rPr>
        <w:t>┿</w:t>
      </w:r>
      <w:r>
        <w:rPr>
          <w:szCs w:val="28"/>
          <w:lang w:val="zh-CN"/>
        </w:rPr>
        <w:t>”形的交点为准。</w:t>
      </w:r>
    </w:p>
    <w:p w14:paraId="16BC3086">
      <w:pPr>
        <w:ind w:firstLine="560"/>
        <w:rPr>
          <w:szCs w:val="28"/>
          <w:lang w:val="zh-CN"/>
        </w:rPr>
      </w:pPr>
      <w:r>
        <w:rPr>
          <w:rFonts w:hint="eastAsia"/>
          <w:szCs w:val="28"/>
          <w:lang w:val="zh-CN"/>
        </w:rPr>
        <w:t>（</w:t>
      </w:r>
      <w:r>
        <w:rPr>
          <w:rFonts w:hint="eastAsia"/>
          <w:szCs w:val="28"/>
        </w:rPr>
        <w:t>2</w:t>
      </w:r>
      <w:r>
        <w:rPr>
          <w:rFonts w:hint="eastAsia"/>
          <w:szCs w:val="28"/>
          <w:lang w:val="zh-CN"/>
        </w:rPr>
        <w:t>）</w:t>
      </w:r>
      <w:r>
        <w:rPr>
          <w:szCs w:val="28"/>
          <w:lang w:val="zh-CN"/>
        </w:rPr>
        <w:t>监测频次</w:t>
      </w:r>
    </w:p>
    <w:p w14:paraId="4C9E4E1C">
      <w:pPr>
        <w:ind w:firstLine="560"/>
        <w:rPr>
          <w:szCs w:val="28"/>
        </w:rPr>
      </w:pPr>
      <w:r>
        <w:rPr>
          <w:szCs w:val="28"/>
          <w:lang w:val="zh-CN"/>
        </w:rPr>
        <w:t>用RTK观测各位移监测点的位移变化，位移变化不明显的监测点每月测1次，位移变化明显的监测点每周测1次，有显著位移变化的监测点每三天测量1次，位移变化剧烈的监测点每天测量，必要时进行昼夜连续观测，大暴雨或大爆破后立即测量且缩短测量周期</w:t>
      </w:r>
      <w:r>
        <w:rPr>
          <w:rFonts w:hint="eastAsia"/>
          <w:szCs w:val="28"/>
          <w:lang w:val="zh-CN"/>
        </w:rPr>
        <w:t>。</w:t>
      </w:r>
    </w:p>
    <w:p w14:paraId="7027624F">
      <w:pPr>
        <w:keepNext/>
        <w:keepLines/>
        <w:topLinePunct/>
        <w:ind w:firstLine="562"/>
        <w:rPr>
          <w:b/>
        </w:rPr>
      </w:pPr>
      <w:r>
        <w:rPr>
          <w:b/>
        </w:rPr>
        <w:t>二、建设情况</w:t>
      </w:r>
    </w:p>
    <w:p w14:paraId="31F35E3F">
      <w:pPr>
        <w:topLinePunct/>
        <w:ind w:firstLine="560"/>
        <w:rPr>
          <w:b/>
        </w:rPr>
      </w:pPr>
      <w:r>
        <w:rPr>
          <w:rFonts w:hint="eastAsia" w:ascii="Times New Roman" w:hAnsi="Times New Roman" w:cs="Times New Roman"/>
          <w:color w:val="auto"/>
          <w:sz w:val="28"/>
          <w:lang w:val="en-US" w:eastAsia="zh-CN"/>
        </w:rPr>
        <w:t>XX。</w:t>
      </w:r>
    </w:p>
    <w:p w14:paraId="60735FF1">
      <w:pPr>
        <w:pStyle w:val="6"/>
        <w:ind w:firstLine="562"/>
        <w:rPr>
          <w:rFonts w:eastAsia="宋体"/>
          <w:b/>
          <w:bCs w:val="0"/>
        </w:rPr>
      </w:pPr>
      <w:bookmarkStart w:id="381" w:name="_Toc4384"/>
      <w:bookmarkStart w:id="382" w:name="_Toc59420517"/>
      <w:bookmarkStart w:id="383" w:name="_Toc3192"/>
      <w:bookmarkStart w:id="384" w:name="_Toc454614266"/>
      <w:bookmarkStart w:id="385" w:name="_Toc7406"/>
      <w:bookmarkStart w:id="386" w:name="_Toc2613"/>
      <w:bookmarkStart w:id="387" w:name="_Toc7997"/>
      <w:bookmarkStart w:id="388" w:name="_Toc10067"/>
      <w:r>
        <w:rPr>
          <w:rFonts w:eastAsia="宋体"/>
          <w:b/>
          <w:bCs w:val="0"/>
        </w:rPr>
        <w:t>2.4.10通信系统</w:t>
      </w:r>
      <w:bookmarkEnd w:id="381"/>
      <w:bookmarkEnd w:id="382"/>
      <w:bookmarkEnd w:id="383"/>
      <w:bookmarkEnd w:id="384"/>
      <w:bookmarkEnd w:id="385"/>
      <w:bookmarkEnd w:id="386"/>
      <w:bookmarkEnd w:id="387"/>
      <w:bookmarkEnd w:id="388"/>
    </w:p>
    <w:p w14:paraId="45347E36">
      <w:pPr>
        <w:topLinePunct/>
        <w:ind w:firstLine="562"/>
        <w:rPr>
          <w:b/>
        </w:rPr>
      </w:pPr>
      <w:r>
        <w:rPr>
          <w:b/>
        </w:rPr>
        <w:t>一、设计情况</w:t>
      </w:r>
    </w:p>
    <w:p w14:paraId="09DAB968">
      <w:pPr>
        <w:ind w:firstLine="560"/>
        <w:rPr>
          <w:kern w:val="0"/>
        </w:rPr>
      </w:pPr>
      <w:r>
        <w:rPr>
          <w:kern w:val="0"/>
        </w:rPr>
        <w:t>通讯设计内容为通信、生产调度、无线对讲。</w:t>
      </w:r>
    </w:p>
    <w:p w14:paraId="270791D1">
      <w:pPr>
        <w:ind w:firstLine="560"/>
        <w:rPr>
          <w:kern w:val="0"/>
        </w:rPr>
      </w:pPr>
      <w:r>
        <w:rPr>
          <w:kern w:val="0"/>
        </w:rPr>
        <w:t>1、行政及调度电话</w:t>
      </w:r>
    </w:p>
    <w:p w14:paraId="6871B9E4">
      <w:pPr>
        <w:ind w:firstLine="560"/>
        <w:rPr>
          <w:kern w:val="0"/>
        </w:rPr>
      </w:pPr>
      <w:r>
        <w:rPr>
          <w:kern w:val="0"/>
        </w:rPr>
        <w:t>为便于矿区有关岗位对内对外的通讯联络、传递信息，特别是满足有些重要岗位之间的通讯联络，</w:t>
      </w:r>
      <w:r>
        <w:rPr>
          <w:rFonts w:hint="eastAsia"/>
          <w:kern w:val="0"/>
        </w:rPr>
        <w:t>设计</w:t>
      </w:r>
      <w:r>
        <w:rPr>
          <w:kern w:val="0"/>
        </w:rPr>
        <w:t>共配置行政电话单机2台。</w:t>
      </w:r>
    </w:p>
    <w:p w14:paraId="6DF55E28">
      <w:pPr>
        <w:ind w:firstLine="560"/>
        <w:rPr>
          <w:kern w:val="0"/>
        </w:rPr>
      </w:pPr>
      <w:r>
        <w:rPr>
          <w:kern w:val="0"/>
        </w:rPr>
        <w:t>为了满足监控室与辖区各生产岗位之间频繁而快捷的通讯要求，便于生产调度人员下达生产指令、及时协调和处理生产中出现的问题，配置调度电话分机5台。</w:t>
      </w:r>
    </w:p>
    <w:p w14:paraId="792A07CF">
      <w:pPr>
        <w:ind w:firstLine="560"/>
        <w:rPr>
          <w:kern w:val="0"/>
        </w:rPr>
      </w:pPr>
      <w:r>
        <w:rPr>
          <w:kern w:val="0"/>
        </w:rPr>
        <w:t>2、</w:t>
      </w:r>
      <w:r>
        <w:rPr>
          <w:rFonts w:hint="eastAsia"/>
          <w:kern w:val="0"/>
        </w:rPr>
        <w:t>无线通信</w:t>
      </w:r>
    </w:p>
    <w:p w14:paraId="5C7A83F6">
      <w:pPr>
        <w:ind w:firstLine="560"/>
        <w:rPr>
          <w:kern w:val="0"/>
        </w:rPr>
      </w:pPr>
      <w:r>
        <w:rPr>
          <w:kern w:val="0"/>
        </w:rPr>
        <w:t>为生产管理、消防救护、运输、基建等调度人员配备移动电话，以实现与上级部门间的移动通信及应急通信。具体</w:t>
      </w:r>
      <w:r>
        <w:rPr>
          <w:rFonts w:hint="eastAsia"/>
          <w:kern w:val="0"/>
        </w:rPr>
        <w:t>运营</w:t>
      </w:r>
      <w:r>
        <w:rPr>
          <w:kern w:val="0"/>
        </w:rPr>
        <w:t>商由业主根据当地的实际情况选择。</w:t>
      </w:r>
    </w:p>
    <w:p w14:paraId="632566A2">
      <w:pPr>
        <w:ind w:firstLine="560"/>
        <w:rPr>
          <w:kern w:val="0"/>
        </w:rPr>
      </w:pPr>
      <w:r>
        <w:rPr>
          <w:kern w:val="0"/>
        </w:rPr>
        <w:t>为了满足生产及检修的要求，</w:t>
      </w:r>
      <w:r>
        <w:rPr>
          <w:rFonts w:hint="eastAsia"/>
          <w:kern w:val="0"/>
        </w:rPr>
        <w:t>设计</w:t>
      </w:r>
      <w:r>
        <w:rPr>
          <w:kern w:val="0"/>
        </w:rPr>
        <w:t>生产及检修区域用手持无线对讲机联系，对讲机共10部。</w:t>
      </w:r>
    </w:p>
    <w:p w14:paraId="2CDF2EC4">
      <w:pPr>
        <w:ind w:firstLine="560"/>
        <w:rPr>
          <w:kern w:val="0"/>
        </w:rPr>
      </w:pPr>
      <w:r>
        <w:rPr>
          <w:kern w:val="0"/>
        </w:rPr>
        <w:t>矿山今后只需按照</w:t>
      </w:r>
      <w:r>
        <w:rPr>
          <w:rFonts w:hint="eastAsia"/>
          <w:kern w:val="0"/>
        </w:rPr>
        <w:t>设计</w:t>
      </w:r>
      <w:r>
        <w:rPr>
          <w:kern w:val="0"/>
        </w:rPr>
        <w:t>的要求进行生产，加强生产设备及设施的管理维护，通信系统运行安全是有保障的。</w:t>
      </w:r>
    </w:p>
    <w:p w14:paraId="0911EDD9">
      <w:pPr>
        <w:topLinePunct/>
        <w:ind w:firstLine="562"/>
        <w:rPr>
          <w:b/>
          <w:kern w:val="0"/>
        </w:rPr>
      </w:pPr>
      <w:r>
        <w:rPr>
          <w:b/>
        </w:rPr>
        <w:t>二、建设情况</w:t>
      </w:r>
    </w:p>
    <w:p w14:paraId="0FDE4CBE">
      <w:pPr>
        <w:ind w:firstLine="560"/>
      </w:pPr>
      <w:r>
        <w:rPr>
          <w:rFonts w:hint="eastAsia" w:ascii="Times New Roman" w:hAnsi="Times New Roman" w:cs="Times New Roman"/>
          <w:color w:val="auto"/>
          <w:sz w:val="28"/>
          <w:lang w:val="en-US" w:eastAsia="zh-CN"/>
        </w:rPr>
        <w:t>XX。</w:t>
      </w:r>
    </w:p>
    <w:p w14:paraId="5E32BD42">
      <w:pPr>
        <w:pStyle w:val="6"/>
        <w:ind w:firstLine="562"/>
        <w:rPr>
          <w:rFonts w:eastAsia="宋体"/>
          <w:b/>
          <w:bCs w:val="0"/>
        </w:rPr>
      </w:pPr>
      <w:bookmarkStart w:id="389" w:name="_Toc15925"/>
      <w:bookmarkStart w:id="390" w:name="_Toc11208"/>
      <w:bookmarkStart w:id="391" w:name="_Toc454614267"/>
      <w:bookmarkStart w:id="392" w:name="_Toc24267"/>
      <w:bookmarkStart w:id="393" w:name="_Toc20644"/>
      <w:bookmarkStart w:id="394" w:name="_Toc25628"/>
      <w:bookmarkStart w:id="395" w:name="_Toc59420518"/>
      <w:bookmarkStart w:id="396" w:name="_Toc10669"/>
      <w:r>
        <w:rPr>
          <w:rFonts w:eastAsia="宋体"/>
          <w:b/>
          <w:bCs w:val="0"/>
        </w:rPr>
        <w:t>2.4.11个人安全防护</w:t>
      </w:r>
      <w:bookmarkEnd w:id="389"/>
      <w:bookmarkEnd w:id="390"/>
      <w:bookmarkEnd w:id="391"/>
      <w:bookmarkEnd w:id="392"/>
      <w:bookmarkEnd w:id="393"/>
      <w:bookmarkEnd w:id="394"/>
      <w:bookmarkEnd w:id="395"/>
      <w:bookmarkEnd w:id="396"/>
    </w:p>
    <w:p w14:paraId="5B937B92">
      <w:pPr>
        <w:topLinePunct/>
        <w:ind w:firstLine="562"/>
        <w:rPr>
          <w:b/>
          <w:kern w:val="0"/>
        </w:rPr>
      </w:pPr>
      <w:r>
        <w:rPr>
          <w:b/>
        </w:rPr>
        <w:t>一、设计情况</w:t>
      </w:r>
    </w:p>
    <w:p w14:paraId="43F86DC6">
      <w:pPr>
        <w:ind w:firstLine="560"/>
        <w:rPr>
          <w:szCs w:val="21"/>
        </w:rPr>
      </w:pPr>
      <w:r>
        <w:rPr>
          <w:szCs w:val="21"/>
        </w:rPr>
        <w:t>（1）在产生粉尘的场所，操作工人配发防尘口罩、护目镜等；</w:t>
      </w:r>
    </w:p>
    <w:p w14:paraId="2C9827B0">
      <w:pPr>
        <w:ind w:firstLine="560"/>
        <w:rPr>
          <w:szCs w:val="21"/>
        </w:rPr>
      </w:pPr>
      <w:r>
        <w:rPr>
          <w:szCs w:val="21"/>
        </w:rPr>
        <w:t>（2）电气设备的岗位操作工人配发绝缘鞋、绝缘手套等；</w:t>
      </w:r>
    </w:p>
    <w:p w14:paraId="64374DD9">
      <w:pPr>
        <w:ind w:firstLine="560"/>
        <w:rPr>
          <w:szCs w:val="21"/>
        </w:rPr>
      </w:pPr>
      <w:r>
        <w:rPr>
          <w:szCs w:val="21"/>
        </w:rPr>
        <w:t>（3）配发隔声耳罩、耳塞、防声棉等，以消除噪声危害；</w:t>
      </w:r>
    </w:p>
    <w:p w14:paraId="38B25F8A">
      <w:pPr>
        <w:ind w:firstLine="560"/>
        <w:rPr>
          <w:szCs w:val="21"/>
        </w:rPr>
      </w:pPr>
      <w:r>
        <w:rPr>
          <w:szCs w:val="21"/>
        </w:rPr>
        <w:t>（4）焊接作业人员配发防护眼镜、面罩、口罩、手套、白色防护服、绝缘鞋；</w:t>
      </w:r>
    </w:p>
    <w:p w14:paraId="2E080594">
      <w:pPr>
        <w:ind w:firstLine="560"/>
        <w:rPr>
          <w:szCs w:val="21"/>
        </w:rPr>
      </w:pPr>
      <w:r>
        <w:rPr>
          <w:szCs w:val="21"/>
        </w:rPr>
        <w:t>（5）接触噪声作业要配备耳罩或耳塞；</w:t>
      </w:r>
    </w:p>
    <w:p w14:paraId="04CACD72">
      <w:pPr>
        <w:ind w:firstLine="560"/>
        <w:rPr>
          <w:szCs w:val="21"/>
        </w:rPr>
      </w:pPr>
      <w:r>
        <w:rPr>
          <w:szCs w:val="21"/>
        </w:rPr>
        <w:t>（6）夏季露天作业人员配备遮阳帽等。</w:t>
      </w:r>
    </w:p>
    <w:p w14:paraId="7338373F">
      <w:pPr>
        <w:ind w:firstLine="560"/>
        <w:rPr>
          <w:szCs w:val="21"/>
        </w:rPr>
      </w:pPr>
      <w:r>
        <w:rPr>
          <w:szCs w:val="21"/>
        </w:rPr>
        <w:t>（7）各工段配齐安全检修用的低压照明用具，配足登高作业用的安全带、安全绳等，电工作业所还配备绝缘垫、绝缘棒、短接放电器具等。</w:t>
      </w:r>
    </w:p>
    <w:p w14:paraId="4EAC6BDD">
      <w:pPr>
        <w:ind w:firstLine="560"/>
        <w:rPr>
          <w:szCs w:val="21"/>
        </w:rPr>
      </w:pPr>
      <w:r>
        <w:rPr>
          <w:szCs w:val="21"/>
        </w:rPr>
        <w:t>（8）在操作人员区域内设置应急救援箱，箱内放置事故应急救援设备及医疗救护药品。</w:t>
      </w:r>
    </w:p>
    <w:p w14:paraId="47B2E06A">
      <w:pPr>
        <w:ind w:firstLine="560"/>
        <w:rPr>
          <w:szCs w:val="21"/>
        </w:rPr>
      </w:pPr>
      <w:r>
        <w:rPr>
          <w:szCs w:val="21"/>
        </w:rPr>
        <w:t>（9）进入作业场所的人员必须正确佩戴安全帽、穿好工作服、防护靴。</w:t>
      </w:r>
    </w:p>
    <w:p w14:paraId="34582843">
      <w:pPr>
        <w:ind w:firstLine="560"/>
        <w:rPr>
          <w:szCs w:val="21"/>
        </w:rPr>
      </w:pPr>
      <w:r>
        <w:rPr>
          <w:szCs w:val="21"/>
        </w:rPr>
        <w:t>（10）安全帽必须规范GB2811的要求，并适用于矿山企业，头部可能会受到伤害的作业人员必须戴安全帽。以免作业人员的头部受到冲击和小块飞溅物或落渣的打击。</w:t>
      </w:r>
    </w:p>
    <w:p w14:paraId="350D5F71">
      <w:pPr>
        <w:ind w:firstLine="560"/>
        <w:rPr>
          <w:szCs w:val="21"/>
        </w:rPr>
      </w:pPr>
      <w:r>
        <w:rPr>
          <w:szCs w:val="21"/>
        </w:rPr>
        <w:t>（11）海绵耳塞：适用于听觉可能会受到伤害的作业人员佩戴。</w:t>
      </w:r>
    </w:p>
    <w:p w14:paraId="5D13485E">
      <w:pPr>
        <w:ind w:firstLine="560"/>
        <w:rPr>
          <w:szCs w:val="21"/>
        </w:rPr>
      </w:pPr>
      <w:r>
        <w:rPr>
          <w:szCs w:val="21"/>
        </w:rPr>
        <w:t>（12）车辆在行驶过程中，司机必须佩戴座椅式安全带。</w:t>
      </w:r>
    </w:p>
    <w:p w14:paraId="47CC2194">
      <w:pPr>
        <w:ind w:firstLine="560"/>
        <w:rPr>
          <w:szCs w:val="21"/>
        </w:rPr>
      </w:pPr>
      <w:r>
        <w:rPr>
          <w:szCs w:val="21"/>
        </w:rPr>
        <w:t>所使用的个人防护用品应是由有生产个人防护用品资质的厂家生产的符合国家或行业标准的产品。</w:t>
      </w:r>
    </w:p>
    <w:p w14:paraId="7D310606">
      <w:pPr>
        <w:ind w:firstLine="560"/>
      </w:pPr>
      <w:r>
        <w:rPr>
          <w:szCs w:val="21"/>
        </w:rPr>
        <w:t>建立个人防护用品管理制度，在发放个人防护用品时应做相应的记录，包括发放时间，工种，个人职业病防护用品名称、数量，领用人或代领人签字等内容。制定个人防护用品配备计划，明确经费来源、防护用品的技术指标、更换周期等</w:t>
      </w:r>
      <w:r>
        <w:t>。</w:t>
      </w:r>
    </w:p>
    <w:p w14:paraId="5CC11D86">
      <w:pPr>
        <w:ind w:firstLine="562"/>
        <w:rPr>
          <w:b/>
          <w:bCs/>
        </w:rPr>
      </w:pPr>
      <w:r>
        <w:rPr>
          <w:rFonts w:hint="eastAsia"/>
          <w:b/>
          <w:bCs/>
        </w:rPr>
        <w:t>二、建设情况</w:t>
      </w:r>
    </w:p>
    <w:p w14:paraId="77967591">
      <w:pPr>
        <w:ind w:firstLine="560"/>
        <w:rPr>
          <w:szCs w:val="21"/>
        </w:rPr>
      </w:pPr>
      <w:r>
        <w:rPr>
          <w:rFonts w:hint="eastAsia" w:ascii="Times New Roman" w:hAnsi="Times New Roman" w:cs="Times New Roman"/>
          <w:color w:val="auto"/>
          <w:sz w:val="28"/>
          <w:lang w:val="en-US" w:eastAsia="zh-CN"/>
        </w:rPr>
        <w:t>XX。</w:t>
      </w:r>
    </w:p>
    <w:p w14:paraId="62293E59">
      <w:pPr>
        <w:pStyle w:val="6"/>
        <w:ind w:firstLine="562"/>
        <w:rPr>
          <w:rFonts w:eastAsia="宋体"/>
          <w:b/>
          <w:bCs w:val="0"/>
        </w:rPr>
      </w:pPr>
      <w:bookmarkStart w:id="397" w:name="_Toc27142"/>
      <w:bookmarkStart w:id="398" w:name="_Toc28589"/>
      <w:bookmarkStart w:id="399" w:name="_Toc19237"/>
      <w:bookmarkStart w:id="400" w:name="_Toc454614268"/>
      <w:bookmarkStart w:id="401" w:name="_Toc6706"/>
      <w:bookmarkStart w:id="402" w:name="_Toc12577"/>
      <w:bookmarkStart w:id="403" w:name="_Toc59420519"/>
      <w:bookmarkStart w:id="404" w:name="_Toc6159"/>
      <w:r>
        <w:rPr>
          <w:rFonts w:eastAsia="宋体"/>
          <w:b/>
          <w:bCs w:val="0"/>
        </w:rPr>
        <w:t>2.4.12安全标志</w:t>
      </w:r>
      <w:bookmarkEnd w:id="397"/>
      <w:bookmarkEnd w:id="398"/>
      <w:bookmarkEnd w:id="399"/>
      <w:bookmarkEnd w:id="400"/>
      <w:bookmarkEnd w:id="401"/>
      <w:bookmarkEnd w:id="402"/>
      <w:bookmarkEnd w:id="403"/>
      <w:bookmarkEnd w:id="404"/>
    </w:p>
    <w:p w14:paraId="6349D424">
      <w:pPr>
        <w:topLinePunct/>
        <w:ind w:firstLine="562"/>
        <w:rPr>
          <w:b/>
        </w:rPr>
      </w:pPr>
      <w:r>
        <w:rPr>
          <w:b/>
        </w:rPr>
        <w:t>一、设计情况</w:t>
      </w:r>
    </w:p>
    <w:p w14:paraId="225C53EE">
      <w:pPr>
        <w:ind w:firstLine="560"/>
        <w:rPr>
          <w:bCs/>
        </w:rPr>
      </w:pPr>
      <w:r>
        <w:rPr>
          <w:bCs/>
        </w:rPr>
        <w:t>安全采场的要害岗位、重要设备和设施及危险区域，应根据其可能出现的事故模式，设置相应的、符合《矿山安全标志》（GB/T 14161-2008）要求的安全警示标志。未经主管部门许可，不应任意拆除或移动安全警示标志。设备的裸露转动部分，应设防护罩或栅栏。</w:t>
      </w:r>
    </w:p>
    <w:p w14:paraId="4B0C85B0">
      <w:pPr>
        <w:keepNext/>
        <w:keepLines/>
        <w:spacing w:line="240" w:lineRule="auto"/>
        <w:ind w:firstLine="0" w:firstLineChars="0"/>
        <w:jc w:val="center"/>
        <w:rPr>
          <w:kern w:val="0"/>
          <w:sz w:val="24"/>
          <w:szCs w:val="24"/>
        </w:rPr>
      </w:pPr>
      <w:r>
        <w:rPr>
          <w:kern w:val="0"/>
          <w:sz w:val="24"/>
          <w:szCs w:val="24"/>
        </w:rPr>
        <w:t>表2.4-7  安全标志牌设置</w:t>
      </w:r>
    </w:p>
    <w:tbl>
      <w:tblPr>
        <w:tblStyle w:val="44"/>
        <w:tblW w:w="5015"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513"/>
        <w:gridCol w:w="1465"/>
        <w:gridCol w:w="4010"/>
        <w:gridCol w:w="3234"/>
      </w:tblGrid>
      <w:tr w14:paraId="28B1E4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4" w:hRule="atLeast"/>
          <w:jc w:val="center"/>
        </w:trPr>
        <w:tc>
          <w:tcPr>
            <w:tcW w:w="278" w:type="pct"/>
            <w:vAlign w:val="center"/>
          </w:tcPr>
          <w:p w14:paraId="3A717B91">
            <w:pPr>
              <w:keepNext/>
              <w:keepLines/>
              <w:spacing w:line="240" w:lineRule="auto"/>
              <w:ind w:firstLine="0" w:firstLineChars="0"/>
              <w:jc w:val="center"/>
              <w:rPr>
                <w:b/>
                <w:bCs/>
                <w:color w:val="000000"/>
                <w:sz w:val="21"/>
                <w:szCs w:val="21"/>
              </w:rPr>
            </w:pPr>
            <w:r>
              <w:rPr>
                <w:b/>
                <w:bCs/>
                <w:color w:val="000000"/>
                <w:sz w:val="21"/>
                <w:szCs w:val="21"/>
              </w:rPr>
              <w:t>序号</w:t>
            </w:r>
          </w:p>
        </w:tc>
        <w:tc>
          <w:tcPr>
            <w:tcW w:w="794" w:type="pct"/>
            <w:vAlign w:val="center"/>
          </w:tcPr>
          <w:p w14:paraId="2E9E4038">
            <w:pPr>
              <w:keepNext/>
              <w:keepLines/>
              <w:spacing w:line="240" w:lineRule="auto"/>
              <w:ind w:firstLine="0" w:firstLineChars="0"/>
              <w:jc w:val="center"/>
              <w:rPr>
                <w:b/>
                <w:bCs/>
                <w:color w:val="000000"/>
                <w:sz w:val="21"/>
                <w:szCs w:val="21"/>
              </w:rPr>
            </w:pPr>
            <w:r>
              <w:rPr>
                <w:b/>
                <w:bCs/>
                <w:color w:val="000000"/>
                <w:sz w:val="21"/>
                <w:szCs w:val="21"/>
              </w:rPr>
              <w:t>设置位置</w:t>
            </w:r>
          </w:p>
        </w:tc>
        <w:tc>
          <w:tcPr>
            <w:tcW w:w="2173" w:type="pct"/>
            <w:vAlign w:val="center"/>
          </w:tcPr>
          <w:p w14:paraId="08127652">
            <w:pPr>
              <w:keepNext/>
              <w:keepLines/>
              <w:spacing w:line="240" w:lineRule="auto"/>
              <w:ind w:firstLine="0" w:firstLineChars="0"/>
              <w:jc w:val="center"/>
              <w:rPr>
                <w:b/>
                <w:bCs/>
                <w:color w:val="000000"/>
                <w:sz w:val="21"/>
                <w:szCs w:val="21"/>
              </w:rPr>
            </w:pPr>
            <w:r>
              <w:rPr>
                <w:b/>
                <w:bCs/>
                <w:color w:val="000000"/>
                <w:sz w:val="21"/>
                <w:szCs w:val="21"/>
              </w:rPr>
              <w:t>安全警示牌名称</w:t>
            </w:r>
          </w:p>
        </w:tc>
        <w:tc>
          <w:tcPr>
            <w:tcW w:w="1752" w:type="pct"/>
            <w:vAlign w:val="center"/>
          </w:tcPr>
          <w:p w14:paraId="4751D053">
            <w:pPr>
              <w:keepNext/>
              <w:keepLines/>
              <w:spacing w:line="240" w:lineRule="auto"/>
              <w:ind w:firstLine="0" w:firstLineChars="0"/>
              <w:jc w:val="center"/>
              <w:rPr>
                <w:b/>
                <w:bCs/>
                <w:color w:val="000000"/>
                <w:sz w:val="21"/>
                <w:szCs w:val="21"/>
              </w:rPr>
            </w:pPr>
            <w:r>
              <w:rPr>
                <w:b/>
                <w:bCs/>
                <w:color w:val="000000"/>
                <w:sz w:val="21"/>
                <w:szCs w:val="21"/>
              </w:rPr>
              <w:t>设置数量</w:t>
            </w:r>
          </w:p>
        </w:tc>
      </w:tr>
      <w:tr w14:paraId="0D771B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278" w:type="pct"/>
            <w:vAlign w:val="center"/>
          </w:tcPr>
          <w:p w14:paraId="4B8E853A">
            <w:pPr>
              <w:spacing w:line="240" w:lineRule="auto"/>
              <w:ind w:firstLine="0" w:firstLineChars="0"/>
              <w:jc w:val="center"/>
              <w:rPr>
                <w:color w:val="000000"/>
                <w:sz w:val="21"/>
                <w:szCs w:val="21"/>
              </w:rPr>
            </w:pPr>
            <w:r>
              <w:rPr>
                <w:color w:val="000000"/>
                <w:sz w:val="21"/>
                <w:szCs w:val="21"/>
              </w:rPr>
              <w:t>1</w:t>
            </w:r>
          </w:p>
        </w:tc>
        <w:tc>
          <w:tcPr>
            <w:tcW w:w="794" w:type="pct"/>
            <w:vAlign w:val="center"/>
          </w:tcPr>
          <w:p w14:paraId="3599E653">
            <w:pPr>
              <w:spacing w:line="240" w:lineRule="auto"/>
              <w:ind w:firstLine="0" w:firstLineChars="0"/>
              <w:jc w:val="center"/>
              <w:rPr>
                <w:color w:val="000000"/>
                <w:sz w:val="21"/>
                <w:szCs w:val="21"/>
              </w:rPr>
            </w:pPr>
            <w:r>
              <w:rPr>
                <w:color w:val="000000"/>
                <w:sz w:val="21"/>
                <w:szCs w:val="21"/>
              </w:rPr>
              <w:t>采场边界、采空区边界</w:t>
            </w:r>
          </w:p>
        </w:tc>
        <w:tc>
          <w:tcPr>
            <w:tcW w:w="2173" w:type="pct"/>
            <w:vAlign w:val="center"/>
          </w:tcPr>
          <w:p w14:paraId="6C25D956">
            <w:pPr>
              <w:spacing w:line="240" w:lineRule="auto"/>
              <w:ind w:firstLine="0" w:firstLineChars="0"/>
              <w:jc w:val="center"/>
              <w:rPr>
                <w:color w:val="000000"/>
                <w:sz w:val="21"/>
                <w:szCs w:val="21"/>
              </w:rPr>
            </w:pPr>
            <w:r>
              <w:rPr>
                <w:color w:val="000000"/>
                <w:sz w:val="21"/>
                <w:szCs w:val="21"/>
              </w:rPr>
              <w:t>非工作人员，禁止进入采场，危险、请勿靠近，当心坍塌、当心坠落等</w:t>
            </w:r>
          </w:p>
        </w:tc>
        <w:tc>
          <w:tcPr>
            <w:tcW w:w="1752" w:type="pct"/>
            <w:vAlign w:val="center"/>
          </w:tcPr>
          <w:p w14:paraId="030FBA9F">
            <w:pPr>
              <w:spacing w:line="240" w:lineRule="auto"/>
              <w:ind w:firstLine="0" w:firstLineChars="0"/>
              <w:jc w:val="center"/>
              <w:rPr>
                <w:color w:val="000000"/>
                <w:sz w:val="21"/>
                <w:szCs w:val="21"/>
              </w:rPr>
            </w:pPr>
            <w:r>
              <w:rPr>
                <w:color w:val="000000"/>
                <w:sz w:val="21"/>
                <w:szCs w:val="21"/>
              </w:rPr>
              <w:t>根据实际情况设置，但每处不少于1块，总数不少于35块。</w:t>
            </w:r>
          </w:p>
        </w:tc>
      </w:tr>
      <w:tr w14:paraId="4F537D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278" w:type="pct"/>
            <w:vAlign w:val="center"/>
          </w:tcPr>
          <w:p w14:paraId="2D608737">
            <w:pPr>
              <w:spacing w:line="240" w:lineRule="auto"/>
              <w:ind w:firstLine="0" w:firstLineChars="0"/>
              <w:jc w:val="center"/>
              <w:rPr>
                <w:color w:val="000000"/>
                <w:sz w:val="21"/>
                <w:szCs w:val="21"/>
              </w:rPr>
            </w:pPr>
            <w:r>
              <w:rPr>
                <w:color w:val="000000"/>
                <w:sz w:val="21"/>
                <w:szCs w:val="21"/>
              </w:rPr>
              <w:t>2</w:t>
            </w:r>
          </w:p>
        </w:tc>
        <w:tc>
          <w:tcPr>
            <w:tcW w:w="794" w:type="pct"/>
            <w:vAlign w:val="center"/>
          </w:tcPr>
          <w:p w14:paraId="6B3012B5">
            <w:pPr>
              <w:spacing w:line="240" w:lineRule="auto"/>
              <w:ind w:firstLine="0" w:firstLineChars="0"/>
              <w:jc w:val="center"/>
              <w:rPr>
                <w:color w:val="000000"/>
                <w:sz w:val="21"/>
                <w:szCs w:val="21"/>
              </w:rPr>
            </w:pPr>
            <w:r>
              <w:rPr>
                <w:color w:val="000000"/>
                <w:sz w:val="21"/>
                <w:szCs w:val="21"/>
              </w:rPr>
              <w:t>采场底部</w:t>
            </w:r>
          </w:p>
        </w:tc>
        <w:tc>
          <w:tcPr>
            <w:tcW w:w="2173" w:type="pct"/>
            <w:vAlign w:val="center"/>
          </w:tcPr>
          <w:p w14:paraId="2E4A9FC4">
            <w:pPr>
              <w:spacing w:line="240" w:lineRule="auto"/>
              <w:ind w:firstLine="0" w:firstLineChars="0"/>
              <w:jc w:val="center"/>
              <w:rPr>
                <w:color w:val="000000"/>
                <w:sz w:val="21"/>
                <w:szCs w:val="21"/>
              </w:rPr>
            </w:pPr>
            <w:r>
              <w:rPr>
                <w:color w:val="000000"/>
                <w:sz w:val="21"/>
                <w:szCs w:val="21"/>
              </w:rPr>
              <w:t>当心落石、当心坍塌、当心滑坡等</w:t>
            </w:r>
          </w:p>
        </w:tc>
        <w:tc>
          <w:tcPr>
            <w:tcW w:w="1752" w:type="pct"/>
            <w:vAlign w:val="center"/>
          </w:tcPr>
          <w:p w14:paraId="7FDFFF56">
            <w:pPr>
              <w:spacing w:line="240" w:lineRule="auto"/>
              <w:ind w:firstLine="0" w:firstLineChars="0"/>
              <w:jc w:val="center"/>
              <w:rPr>
                <w:color w:val="000000"/>
                <w:sz w:val="21"/>
                <w:szCs w:val="21"/>
              </w:rPr>
            </w:pPr>
            <w:r>
              <w:rPr>
                <w:color w:val="000000"/>
                <w:sz w:val="21"/>
                <w:szCs w:val="21"/>
              </w:rPr>
              <w:t>根据实际情况设置，但每处不少于1块，总数不少于10块。</w:t>
            </w:r>
          </w:p>
        </w:tc>
      </w:tr>
      <w:tr w14:paraId="10054A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278" w:type="pct"/>
            <w:vAlign w:val="center"/>
          </w:tcPr>
          <w:p w14:paraId="5114C3D9">
            <w:pPr>
              <w:spacing w:line="240" w:lineRule="auto"/>
              <w:ind w:firstLine="0" w:firstLineChars="0"/>
              <w:jc w:val="center"/>
              <w:rPr>
                <w:color w:val="000000"/>
                <w:sz w:val="21"/>
                <w:szCs w:val="21"/>
              </w:rPr>
            </w:pPr>
            <w:r>
              <w:rPr>
                <w:color w:val="000000"/>
                <w:sz w:val="21"/>
                <w:szCs w:val="21"/>
              </w:rPr>
              <w:t>3</w:t>
            </w:r>
          </w:p>
        </w:tc>
        <w:tc>
          <w:tcPr>
            <w:tcW w:w="794" w:type="pct"/>
            <w:vAlign w:val="center"/>
          </w:tcPr>
          <w:p w14:paraId="24AA487B">
            <w:pPr>
              <w:spacing w:line="240" w:lineRule="auto"/>
              <w:ind w:firstLine="0" w:firstLineChars="0"/>
              <w:jc w:val="center"/>
              <w:rPr>
                <w:color w:val="000000"/>
                <w:sz w:val="21"/>
                <w:szCs w:val="21"/>
              </w:rPr>
            </w:pPr>
            <w:r>
              <w:rPr>
                <w:color w:val="000000"/>
                <w:sz w:val="21"/>
                <w:szCs w:val="21"/>
              </w:rPr>
              <w:t>爆破警戒范围</w:t>
            </w:r>
          </w:p>
        </w:tc>
        <w:tc>
          <w:tcPr>
            <w:tcW w:w="2173" w:type="pct"/>
            <w:vAlign w:val="center"/>
          </w:tcPr>
          <w:p w14:paraId="33AB58B2">
            <w:pPr>
              <w:spacing w:line="240" w:lineRule="auto"/>
              <w:ind w:firstLine="0" w:firstLineChars="0"/>
              <w:jc w:val="center"/>
              <w:rPr>
                <w:color w:val="000000"/>
                <w:sz w:val="21"/>
                <w:szCs w:val="21"/>
              </w:rPr>
            </w:pPr>
            <w:r>
              <w:rPr>
                <w:color w:val="000000"/>
                <w:sz w:val="21"/>
                <w:szCs w:val="21"/>
              </w:rPr>
              <w:t>爆破警戒区域，严禁进入</w:t>
            </w:r>
          </w:p>
        </w:tc>
        <w:tc>
          <w:tcPr>
            <w:tcW w:w="1752" w:type="pct"/>
            <w:vAlign w:val="center"/>
          </w:tcPr>
          <w:p w14:paraId="4F767F7A">
            <w:pPr>
              <w:spacing w:line="240" w:lineRule="auto"/>
              <w:ind w:firstLine="0" w:firstLineChars="0"/>
              <w:jc w:val="center"/>
              <w:rPr>
                <w:color w:val="000000"/>
                <w:sz w:val="21"/>
                <w:szCs w:val="21"/>
              </w:rPr>
            </w:pPr>
            <w:r>
              <w:rPr>
                <w:color w:val="000000"/>
                <w:sz w:val="21"/>
                <w:szCs w:val="21"/>
              </w:rPr>
              <w:t>根据实际情况设置，但每处不少于1块，总数不少于15块。</w:t>
            </w:r>
          </w:p>
        </w:tc>
      </w:tr>
      <w:tr w14:paraId="7A40F4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278" w:type="pct"/>
            <w:vAlign w:val="center"/>
          </w:tcPr>
          <w:p w14:paraId="36157DBD">
            <w:pPr>
              <w:spacing w:line="240" w:lineRule="auto"/>
              <w:ind w:firstLine="0" w:firstLineChars="0"/>
              <w:jc w:val="center"/>
              <w:rPr>
                <w:color w:val="000000"/>
                <w:sz w:val="21"/>
                <w:szCs w:val="21"/>
              </w:rPr>
            </w:pPr>
            <w:r>
              <w:rPr>
                <w:color w:val="000000"/>
                <w:sz w:val="21"/>
                <w:szCs w:val="21"/>
              </w:rPr>
              <w:t>4</w:t>
            </w:r>
          </w:p>
        </w:tc>
        <w:tc>
          <w:tcPr>
            <w:tcW w:w="794" w:type="pct"/>
            <w:vAlign w:val="center"/>
          </w:tcPr>
          <w:p w14:paraId="71858EC1">
            <w:pPr>
              <w:spacing w:line="240" w:lineRule="auto"/>
              <w:ind w:firstLine="0" w:firstLineChars="0"/>
              <w:jc w:val="center"/>
              <w:rPr>
                <w:color w:val="000000"/>
                <w:sz w:val="21"/>
                <w:szCs w:val="21"/>
              </w:rPr>
            </w:pPr>
            <w:r>
              <w:rPr>
                <w:color w:val="000000"/>
                <w:sz w:val="21"/>
                <w:szCs w:val="21"/>
              </w:rPr>
              <w:t>运输道路</w:t>
            </w:r>
          </w:p>
        </w:tc>
        <w:tc>
          <w:tcPr>
            <w:tcW w:w="2173" w:type="pct"/>
            <w:vAlign w:val="center"/>
          </w:tcPr>
          <w:p w14:paraId="2BC26CD0">
            <w:pPr>
              <w:spacing w:line="240" w:lineRule="auto"/>
              <w:ind w:firstLine="0" w:firstLineChars="0"/>
              <w:jc w:val="center"/>
              <w:rPr>
                <w:color w:val="000000"/>
                <w:sz w:val="21"/>
                <w:szCs w:val="21"/>
              </w:rPr>
            </w:pPr>
            <w:r>
              <w:rPr>
                <w:color w:val="000000"/>
                <w:sz w:val="21"/>
                <w:szCs w:val="21"/>
              </w:rPr>
              <w:t>减速慢行、严禁超载、严禁超速、限速标识，当心塌方等</w:t>
            </w:r>
          </w:p>
        </w:tc>
        <w:tc>
          <w:tcPr>
            <w:tcW w:w="1752" w:type="pct"/>
            <w:vAlign w:val="center"/>
          </w:tcPr>
          <w:p w14:paraId="5CD53436">
            <w:pPr>
              <w:spacing w:line="240" w:lineRule="auto"/>
              <w:ind w:firstLine="0" w:firstLineChars="0"/>
              <w:jc w:val="center"/>
              <w:rPr>
                <w:color w:val="000000"/>
                <w:sz w:val="21"/>
                <w:szCs w:val="21"/>
              </w:rPr>
            </w:pPr>
            <w:r>
              <w:rPr>
                <w:color w:val="000000"/>
                <w:sz w:val="21"/>
                <w:szCs w:val="21"/>
              </w:rPr>
              <w:t>根据实际情况设置，但每处不少于1块，总数不少于30块。</w:t>
            </w:r>
          </w:p>
        </w:tc>
      </w:tr>
      <w:tr w14:paraId="755550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278" w:type="pct"/>
            <w:vAlign w:val="center"/>
          </w:tcPr>
          <w:p w14:paraId="28FE24FD">
            <w:pPr>
              <w:spacing w:line="240" w:lineRule="auto"/>
              <w:ind w:firstLine="0" w:firstLineChars="0"/>
              <w:jc w:val="center"/>
              <w:rPr>
                <w:color w:val="000000"/>
                <w:sz w:val="21"/>
                <w:szCs w:val="21"/>
              </w:rPr>
            </w:pPr>
            <w:r>
              <w:rPr>
                <w:color w:val="000000"/>
                <w:sz w:val="21"/>
                <w:szCs w:val="21"/>
              </w:rPr>
              <w:t>5</w:t>
            </w:r>
          </w:p>
        </w:tc>
        <w:tc>
          <w:tcPr>
            <w:tcW w:w="794" w:type="pct"/>
            <w:vAlign w:val="center"/>
          </w:tcPr>
          <w:p w14:paraId="38DDD700">
            <w:pPr>
              <w:spacing w:line="240" w:lineRule="auto"/>
              <w:ind w:firstLine="0" w:firstLineChars="0"/>
              <w:jc w:val="center"/>
              <w:rPr>
                <w:color w:val="000000"/>
                <w:sz w:val="21"/>
                <w:szCs w:val="21"/>
              </w:rPr>
            </w:pPr>
            <w:r>
              <w:rPr>
                <w:color w:val="000000"/>
                <w:sz w:val="21"/>
                <w:szCs w:val="21"/>
              </w:rPr>
              <w:t>采场边坡</w:t>
            </w:r>
          </w:p>
        </w:tc>
        <w:tc>
          <w:tcPr>
            <w:tcW w:w="2173" w:type="pct"/>
            <w:vAlign w:val="center"/>
          </w:tcPr>
          <w:p w14:paraId="318DF3B7">
            <w:pPr>
              <w:spacing w:line="240" w:lineRule="auto"/>
              <w:ind w:firstLine="0" w:firstLineChars="0"/>
              <w:jc w:val="center"/>
              <w:rPr>
                <w:color w:val="000000"/>
                <w:sz w:val="21"/>
                <w:szCs w:val="21"/>
              </w:rPr>
            </w:pPr>
            <w:r>
              <w:rPr>
                <w:color w:val="000000"/>
                <w:sz w:val="21"/>
                <w:szCs w:val="21"/>
              </w:rPr>
              <w:t>当心滚石、当心滑坡、当心坍塌、当心高处坠落、严禁靠近、注意安全</w:t>
            </w:r>
          </w:p>
        </w:tc>
        <w:tc>
          <w:tcPr>
            <w:tcW w:w="1752" w:type="pct"/>
            <w:vAlign w:val="center"/>
          </w:tcPr>
          <w:p w14:paraId="2DCB8FB8">
            <w:pPr>
              <w:spacing w:line="240" w:lineRule="auto"/>
              <w:ind w:firstLine="0" w:firstLineChars="0"/>
              <w:jc w:val="center"/>
              <w:rPr>
                <w:color w:val="000000"/>
                <w:sz w:val="21"/>
                <w:szCs w:val="21"/>
              </w:rPr>
            </w:pPr>
            <w:r>
              <w:rPr>
                <w:color w:val="000000"/>
                <w:sz w:val="21"/>
                <w:szCs w:val="21"/>
              </w:rPr>
              <w:t>根据实际情况设置，但每处不少于1块，总数不少于9块。</w:t>
            </w:r>
          </w:p>
        </w:tc>
      </w:tr>
      <w:tr w14:paraId="3104CA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278" w:type="pct"/>
            <w:vAlign w:val="center"/>
          </w:tcPr>
          <w:p w14:paraId="64F748C2">
            <w:pPr>
              <w:spacing w:line="240" w:lineRule="auto"/>
              <w:ind w:firstLine="0" w:firstLineChars="0"/>
              <w:jc w:val="center"/>
              <w:rPr>
                <w:color w:val="000000"/>
                <w:sz w:val="21"/>
                <w:szCs w:val="21"/>
              </w:rPr>
            </w:pPr>
            <w:r>
              <w:rPr>
                <w:color w:val="000000"/>
                <w:sz w:val="21"/>
                <w:szCs w:val="21"/>
              </w:rPr>
              <w:t>6</w:t>
            </w:r>
          </w:p>
        </w:tc>
        <w:tc>
          <w:tcPr>
            <w:tcW w:w="794" w:type="pct"/>
            <w:vAlign w:val="center"/>
          </w:tcPr>
          <w:p w14:paraId="7DAF14C3">
            <w:pPr>
              <w:spacing w:line="240" w:lineRule="auto"/>
              <w:ind w:firstLine="0" w:firstLineChars="0"/>
              <w:jc w:val="center"/>
              <w:rPr>
                <w:color w:val="000000"/>
                <w:sz w:val="21"/>
                <w:szCs w:val="21"/>
              </w:rPr>
            </w:pPr>
            <w:r>
              <w:rPr>
                <w:color w:val="000000"/>
                <w:sz w:val="21"/>
                <w:szCs w:val="21"/>
              </w:rPr>
              <w:t>破碎站</w:t>
            </w:r>
          </w:p>
        </w:tc>
        <w:tc>
          <w:tcPr>
            <w:tcW w:w="2173" w:type="pct"/>
            <w:vAlign w:val="center"/>
          </w:tcPr>
          <w:p w14:paraId="40BC7852">
            <w:pPr>
              <w:spacing w:line="240" w:lineRule="auto"/>
              <w:ind w:firstLine="0" w:firstLineChars="0"/>
              <w:jc w:val="center"/>
              <w:rPr>
                <w:color w:val="000000"/>
                <w:sz w:val="21"/>
                <w:szCs w:val="21"/>
              </w:rPr>
            </w:pPr>
            <w:r>
              <w:rPr>
                <w:color w:val="000000"/>
                <w:sz w:val="21"/>
                <w:szCs w:val="21"/>
              </w:rPr>
              <w:t>当心触电、当心坠落、严禁靠近、当心机械伤害、必须佩戴劳动防护用品</w:t>
            </w:r>
          </w:p>
        </w:tc>
        <w:tc>
          <w:tcPr>
            <w:tcW w:w="1752" w:type="pct"/>
            <w:vAlign w:val="center"/>
          </w:tcPr>
          <w:p w14:paraId="1960C8D1">
            <w:pPr>
              <w:spacing w:line="240" w:lineRule="auto"/>
              <w:ind w:firstLine="0" w:firstLineChars="0"/>
              <w:jc w:val="center"/>
              <w:rPr>
                <w:color w:val="000000"/>
                <w:sz w:val="21"/>
                <w:szCs w:val="21"/>
              </w:rPr>
            </w:pPr>
            <w:r>
              <w:rPr>
                <w:color w:val="000000"/>
                <w:sz w:val="21"/>
                <w:szCs w:val="21"/>
              </w:rPr>
              <w:t>根据实际情况设置，但每处不少于1块</w:t>
            </w:r>
          </w:p>
        </w:tc>
      </w:tr>
      <w:tr w14:paraId="23A146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278" w:type="pct"/>
            <w:vAlign w:val="center"/>
          </w:tcPr>
          <w:p w14:paraId="1FD5880B">
            <w:pPr>
              <w:spacing w:line="240" w:lineRule="auto"/>
              <w:ind w:firstLine="0" w:firstLineChars="0"/>
              <w:jc w:val="center"/>
              <w:rPr>
                <w:color w:val="000000"/>
                <w:sz w:val="21"/>
                <w:szCs w:val="21"/>
              </w:rPr>
            </w:pPr>
            <w:r>
              <w:rPr>
                <w:color w:val="000000"/>
                <w:sz w:val="21"/>
                <w:szCs w:val="21"/>
              </w:rPr>
              <w:t>7</w:t>
            </w:r>
          </w:p>
        </w:tc>
        <w:tc>
          <w:tcPr>
            <w:tcW w:w="794" w:type="pct"/>
            <w:vAlign w:val="center"/>
          </w:tcPr>
          <w:p w14:paraId="5DD0D16E">
            <w:pPr>
              <w:spacing w:line="240" w:lineRule="auto"/>
              <w:ind w:firstLine="0" w:firstLineChars="0"/>
              <w:jc w:val="center"/>
              <w:rPr>
                <w:color w:val="000000"/>
                <w:sz w:val="21"/>
                <w:szCs w:val="21"/>
              </w:rPr>
            </w:pPr>
            <w:r>
              <w:rPr>
                <w:color w:val="000000"/>
                <w:sz w:val="21"/>
                <w:szCs w:val="21"/>
              </w:rPr>
              <w:t>变压器、变电室</w:t>
            </w:r>
          </w:p>
        </w:tc>
        <w:tc>
          <w:tcPr>
            <w:tcW w:w="2173" w:type="pct"/>
            <w:vAlign w:val="center"/>
          </w:tcPr>
          <w:p w14:paraId="2EFF5515">
            <w:pPr>
              <w:spacing w:line="240" w:lineRule="auto"/>
              <w:ind w:firstLine="0" w:firstLineChars="0"/>
              <w:jc w:val="center"/>
              <w:rPr>
                <w:color w:val="000000"/>
                <w:sz w:val="21"/>
                <w:szCs w:val="21"/>
              </w:rPr>
            </w:pPr>
            <w:r>
              <w:rPr>
                <w:color w:val="000000"/>
                <w:sz w:val="21"/>
                <w:szCs w:val="21"/>
              </w:rPr>
              <w:t>高压危险、小心触电、必须佩戴劳动防护用品、注意安全、正在检修，严禁合闸</w:t>
            </w:r>
          </w:p>
        </w:tc>
        <w:tc>
          <w:tcPr>
            <w:tcW w:w="1752" w:type="pct"/>
            <w:vAlign w:val="center"/>
          </w:tcPr>
          <w:p w14:paraId="146FE498">
            <w:pPr>
              <w:spacing w:line="240" w:lineRule="auto"/>
              <w:ind w:firstLine="0" w:firstLineChars="0"/>
              <w:jc w:val="center"/>
              <w:rPr>
                <w:color w:val="000000"/>
                <w:sz w:val="21"/>
                <w:szCs w:val="21"/>
              </w:rPr>
            </w:pPr>
            <w:r>
              <w:rPr>
                <w:color w:val="000000"/>
                <w:sz w:val="21"/>
                <w:szCs w:val="21"/>
              </w:rPr>
              <w:t>根据实际情况设置，但每处不少于1块，总数不少于4块。</w:t>
            </w:r>
          </w:p>
        </w:tc>
      </w:tr>
      <w:tr w14:paraId="2F3806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278" w:type="pct"/>
            <w:vAlign w:val="center"/>
          </w:tcPr>
          <w:p w14:paraId="7D0D2313">
            <w:pPr>
              <w:spacing w:line="240" w:lineRule="auto"/>
              <w:ind w:firstLine="0" w:firstLineChars="0"/>
              <w:jc w:val="center"/>
              <w:rPr>
                <w:color w:val="000000"/>
                <w:sz w:val="21"/>
                <w:szCs w:val="21"/>
              </w:rPr>
            </w:pPr>
            <w:r>
              <w:rPr>
                <w:color w:val="000000"/>
                <w:sz w:val="21"/>
                <w:szCs w:val="21"/>
              </w:rPr>
              <w:t>8</w:t>
            </w:r>
          </w:p>
        </w:tc>
        <w:tc>
          <w:tcPr>
            <w:tcW w:w="794" w:type="pct"/>
            <w:vAlign w:val="center"/>
          </w:tcPr>
          <w:p w14:paraId="7C079918">
            <w:pPr>
              <w:spacing w:line="240" w:lineRule="auto"/>
              <w:ind w:firstLine="0" w:firstLineChars="0"/>
              <w:jc w:val="center"/>
              <w:rPr>
                <w:color w:val="000000"/>
                <w:sz w:val="21"/>
                <w:szCs w:val="21"/>
              </w:rPr>
            </w:pPr>
            <w:r>
              <w:rPr>
                <w:color w:val="000000"/>
                <w:sz w:val="21"/>
                <w:szCs w:val="21"/>
              </w:rPr>
              <w:t>道路交叉路口、急弯处</w:t>
            </w:r>
          </w:p>
        </w:tc>
        <w:tc>
          <w:tcPr>
            <w:tcW w:w="2173" w:type="pct"/>
            <w:vAlign w:val="center"/>
          </w:tcPr>
          <w:p w14:paraId="4A891E09">
            <w:pPr>
              <w:spacing w:line="240" w:lineRule="auto"/>
              <w:ind w:firstLine="0" w:firstLineChars="0"/>
              <w:jc w:val="center"/>
              <w:rPr>
                <w:color w:val="000000"/>
                <w:sz w:val="21"/>
                <w:szCs w:val="21"/>
              </w:rPr>
            </w:pPr>
            <w:r>
              <w:rPr>
                <w:color w:val="000000"/>
                <w:sz w:val="21"/>
                <w:szCs w:val="21"/>
              </w:rPr>
              <w:t>减速慢行</w:t>
            </w:r>
          </w:p>
        </w:tc>
        <w:tc>
          <w:tcPr>
            <w:tcW w:w="1752" w:type="pct"/>
            <w:vAlign w:val="center"/>
          </w:tcPr>
          <w:p w14:paraId="095223E7">
            <w:pPr>
              <w:spacing w:line="240" w:lineRule="auto"/>
              <w:ind w:firstLine="0" w:firstLineChars="0"/>
              <w:jc w:val="center"/>
              <w:rPr>
                <w:color w:val="000000"/>
                <w:sz w:val="21"/>
                <w:szCs w:val="21"/>
              </w:rPr>
            </w:pPr>
            <w:r>
              <w:rPr>
                <w:color w:val="000000"/>
                <w:sz w:val="21"/>
                <w:szCs w:val="21"/>
              </w:rPr>
              <w:t>根据实际情况设置，但每处不少于1块，总数不少于7块。</w:t>
            </w:r>
          </w:p>
        </w:tc>
      </w:tr>
      <w:tr w14:paraId="607652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278" w:type="pct"/>
            <w:vAlign w:val="center"/>
          </w:tcPr>
          <w:p w14:paraId="1353801E">
            <w:pPr>
              <w:spacing w:line="240" w:lineRule="auto"/>
              <w:ind w:firstLine="0" w:firstLineChars="0"/>
              <w:jc w:val="center"/>
              <w:rPr>
                <w:color w:val="000000"/>
                <w:sz w:val="21"/>
                <w:szCs w:val="21"/>
              </w:rPr>
            </w:pPr>
            <w:r>
              <w:rPr>
                <w:color w:val="000000"/>
                <w:sz w:val="21"/>
                <w:szCs w:val="21"/>
              </w:rPr>
              <w:t>9</w:t>
            </w:r>
          </w:p>
        </w:tc>
        <w:tc>
          <w:tcPr>
            <w:tcW w:w="794" w:type="pct"/>
            <w:vAlign w:val="center"/>
          </w:tcPr>
          <w:p w14:paraId="0566B659">
            <w:pPr>
              <w:spacing w:line="240" w:lineRule="auto"/>
              <w:ind w:firstLine="0" w:firstLineChars="0"/>
              <w:jc w:val="center"/>
              <w:rPr>
                <w:color w:val="000000"/>
                <w:sz w:val="21"/>
                <w:szCs w:val="21"/>
              </w:rPr>
            </w:pPr>
            <w:r>
              <w:rPr>
                <w:color w:val="000000"/>
                <w:sz w:val="21"/>
                <w:szCs w:val="21"/>
              </w:rPr>
              <w:t>厂区道路入口处</w:t>
            </w:r>
          </w:p>
        </w:tc>
        <w:tc>
          <w:tcPr>
            <w:tcW w:w="2173" w:type="pct"/>
            <w:vAlign w:val="center"/>
          </w:tcPr>
          <w:p w14:paraId="506E37B1">
            <w:pPr>
              <w:spacing w:line="240" w:lineRule="auto"/>
              <w:ind w:firstLine="0" w:firstLineChars="0"/>
              <w:jc w:val="center"/>
              <w:rPr>
                <w:color w:val="000000"/>
                <w:sz w:val="21"/>
                <w:szCs w:val="21"/>
              </w:rPr>
            </w:pPr>
            <w:r>
              <w:rPr>
                <w:color w:val="000000"/>
                <w:sz w:val="21"/>
                <w:szCs w:val="21"/>
              </w:rPr>
              <w:t>内有车辆出入减速慢行</w:t>
            </w:r>
          </w:p>
        </w:tc>
        <w:tc>
          <w:tcPr>
            <w:tcW w:w="1752" w:type="pct"/>
            <w:vAlign w:val="center"/>
          </w:tcPr>
          <w:p w14:paraId="2F5B6675">
            <w:pPr>
              <w:spacing w:line="240" w:lineRule="auto"/>
              <w:ind w:firstLine="0" w:firstLineChars="0"/>
              <w:jc w:val="center"/>
              <w:rPr>
                <w:color w:val="000000"/>
                <w:sz w:val="21"/>
                <w:szCs w:val="21"/>
              </w:rPr>
            </w:pPr>
            <w:r>
              <w:rPr>
                <w:color w:val="000000"/>
                <w:sz w:val="21"/>
                <w:szCs w:val="21"/>
              </w:rPr>
              <w:t>根据实际情况设置，但每处不少于1块，总数不少于2块。</w:t>
            </w:r>
          </w:p>
        </w:tc>
      </w:tr>
    </w:tbl>
    <w:p w14:paraId="363D25A1">
      <w:pPr>
        <w:topLinePunct/>
        <w:ind w:firstLine="562"/>
        <w:rPr>
          <w:b/>
        </w:rPr>
      </w:pPr>
      <w:r>
        <w:rPr>
          <w:b/>
        </w:rPr>
        <w:t>二、建设情况</w:t>
      </w:r>
    </w:p>
    <w:p w14:paraId="35B5018A">
      <w:pPr>
        <w:pStyle w:val="167"/>
        <w:widowControl w:val="0"/>
        <w:adjustRightInd w:val="0"/>
        <w:snapToGrid w:val="0"/>
        <w:ind w:firstLine="560"/>
        <w:rPr>
          <w:kern w:val="28"/>
        </w:rPr>
      </w:pPr>
      <w:bookmarkStart w:id="405" w:name="_Hlk145763291"/>
      <w:r>
        <w:rPr>
          <w:rFonts w:hint="eastAsia" w:ascii="Times New Roman" w:hAnsi="Times New Roman" w:cs="Times New Roman"/>
          <w:color w:val="auto"/>
          <w:sz w:val="28"/>
          <w:lang w:val="en-US" w:eastAsia="zh-CN"/>
        </w:rPr>
        <w:t>XX。</w:t>
      </w:r>
    </w:p>
    <w:bookmarkEnd w:id="405"/>
    <w:p w14:paraId="7C08D10A">
      <w:pPr>
        <w:pStyle w:val="6"/>
        <w:ind w:firstLine="562"/>
        <w:rPr>
          <w:rFonts w:eastAsia="宋体"/>
          <w:b/>
          <w:bCs w:val="0"/>
        </w:rPr>
      </w:pPr>
      <w:bookmarkStart w:id="406" w:name="_Toc24288"/>
      <w:bookmarkStart w:id="407" w:name="_Toc3047"/>
      <w:bookmarkStart w:id="408" w:name="_Toc11764"/>
      <w:bookmarkStart w:id="409" w:name="_Toc454614269"/>
      <w:bookmarkStart w:id="410" w:name="_Toc59420520"/>
      <w:bookmarkStart w:id="411" w:name="_Toc21757"/>
      <w:bookmarkStart w:id="412" w:name="_Toc32266"/>
      <w:bookmarkStart w:id="413" w:name="_Toc7298"/>
      <w:r>
        <w:rPr>
          <w:rFonts w:eastAsia="宋体"/>
          <w:b/>
          <w:bCs w:val="0"/>
        </w:rPr>
        <w:t>2.4.13安全管理</w:t>
      </w:r>
      <w:bookmarkEnd w:id="406"/>
      <w:bookmarkEnd w:id="407"/>
      <w:bookmarkEnd w:id="408"/>
      <w:bookmarkEnd w:id="409"/>
      <w:bookmarkEnd w:id="410"/>
      <w:bookmarkEnd w:id="411"/>
      <w:bookmarkEnd w:id="412"/>
      <w:bookmarkEnd w:id="413"/>
    </w:p>
    <w:p w14:paraId="79485887">
      <w:pPr>
        <w:pStyle w:val="7"/>
        <w:ind w:firstLine="560"/>
      </w:pPr>
      <w:bookmarkStart w:id="414" w:name="_Toc11480"/>
      <w:r>
        <w:t>2.4.13.1安全组织机构设置</w:t>
      </w:r>
      <w:bookmarkEnd w:id="414"/>
      <w:r>
        <w:tab/>
      </w:r>
    </w:p>
    <w:p w14:paraId="67792276">
      <w:pPr>
        <w:ind w:firstLine="560"/>
        <w:jc w:val="left"/>
      </w:pPr>
      <w:bookmarkStart w:id="415" w:name="_Toc10121"/>
      <w:bookmarkStart w:id="416" w:name="_Toc12403"/>
      <w:r>
        <w:t>企业根据《安全生产法》及相关法律法规，目前已成立了矿山安环科（详见附件5安全管理机构成立文件），全面负责矿山的各项安全管理工作，其组织机构由安全管理人员组成。其中已经任命</w:t>
      </w:r>
      <w:r>
        <w:rPr>
          <w:rFonts w:hint="eastAsia"/>
        </w:rPr>
        <w:t>晏付国、朱朝云</w:t>
      </w:r>
      <w:r>
        <w:t>为专职安全管理人员。</w:t>
      </w:r>
    </w:p>
    <w:p w14:paraId="2D2BE69B">
      <w:pPr>
        <w:ind w:firstLine="560"/>
        <w:jc w:val="left"/>
      </w:pPr>
      <w:r>
        <w:t>管理机构主要职责是对矿山安全工作进行研究、决策、监督、处理。督促班、组安全生产管理；严格执行矿山安全生产管理规章制度，明确领导和有关人员的安全生产职责，签订安全生产目标管理责任书，将矿山生产系统安全监管工作列入年终考评进行考核。成立矿山安全生产领导小组，加强矿山安全监管，及时排查治理矿山事故隐患。</w:t>
      </w:r>
    </w:p>
    <w:p w14:paraId="083A84B4">
      <w:pPr>
        <w:pStyle w:val="7"/>
        <w:ind w:firstLine="560"/>
      </w:pPr>
      <w:bookmarkStart w:id="417" w:name="_Toc6826"/>
      <w:r>
        <w:t>2.4.13.2安全教育培训及人员持证情况</w:t>
      </w:r>
      <w:bookmarkEnd w:id="417"/>
    </w:p>
    <w:p w14:paraId="4801B04D">
      <w:pPr>
        <w:ind w:firstLine="560"/>
      </w:pPr>
      <w:r>
        <w:rPr>
          <w:rFonts w:hint="eastAsia" w:ascii="Times New Roman" w:hAnsi="Times New Roman" w:cs="Times New Roman"/>
          <w:color w:val="auto"/>
          <w:sz w:val="28"/>
          <w:lang w:val="en-US" w:eastAsia="zh-CN"/>
        </w:rPr>
        <w:t>XX。</w:t>
      </w:r>
    </w:p>
    <w:p w14:paraId="5C4D9951">
      <w:pPr>
        <w:pStyle w:val="7"/>
        <w:spacing w:before="193" w:beforeLines="50"/>
        <w:ind w:firstLine="560"/>
      </w:pPr>
      <w:r>
        <w:t>2.4.13.3安全管理规章制度</w:t>
      </w:r>
    </w:p>
    <w:p w14:paraId="27FF9D22">
      <w:pPr>
        <w:ind w:firstLine="560"/>
        <w:rPr>
          <w:kern w:val="0"/>
        </w:rPr>
      </w:pPr>
      <w:r>
        <w:rPr>
          <w:kern w:val="0"/>
        </w:rPr>
        <w:t>矿山为了贯彻“安全第一，预防为主、综合治理”的方针，保护职工的安全与健康，矿山的安全工作由安环科统一管理，负责组织、落实矿区的安全工作；负责监督矿山劳动安全卫生设施的维护，发现问题及时解决；负责职工的劳动保护和安全教育；负责给职工定期发放劳保防护用品，确保职工生产安全卫生。</w:t>
      </w:r>
    </w:p>
    <w:p w14:paraId="143BD9A0">
      <w:pPr>
        <w:ind w:firstLine="560"/>
        <w:rPr>
          <w:kern w:val="0"/>
        </w:rPr>
      </w:pPr>
      <w:r>
        <w:rPr>
          <w:kern w:val="0"/>
        </w:rPr>
        <w:t>根据《中华人民共和国安全生产法》，矿山建立了安全生产责任制、安全生产管理制度、安全操作、维护规程，相关文件封面及目录情况见附件。</w:t>
      </w:r>
    </w:p>
    <w:p w14:paraId="57189269">
      <w:pPr>
        <w:ind w:firstLine="560"/>
        <w:rPr>
          <w:kern w:val="0"/>
        </w:rPr>
      </w:pPr>
      <w:r>
        <w:rPr>
          <w:kern w:val="0"/>
        </w:rPr>
        <w:t>由主要负责人全面负责矿山的安全生产工作，安全员负责该矿山的日常安全管理工作，安全员每班均对现场进行巡查，发现安全隐患及时安全人员进行整改，建立了安全生产会议台账、安全教育培训台账、现场安全检查台账、劳动用品发放台账、安全生产费用提取和使用台账等。</w:t>
      </w:r>
    </w:p>
    <w:p w14:paraId="64B5A454">
      <w:pPr>
        <w:pStyle w:val="7"/>
        <w:ind w:firstLine="560"/>
      </w:pPr>
      <w:r>
        <w:t>2.4.13.4应急预案</w:t>
      </w:r>
      <w:bookmarkEnd w:id="415"/>
    </w:p>
    <w:p w14:paraId="276E10B8">
      <w:pPr>
        <w:widowControl/>
        <w:ind w:firstLine="560"/>
        <w:rPr>
          <w:bCs/>
        </w:rPr>
      </w:pPr>
      <w:bookmarkStart w:id="418" w:name="_Hlk156552906"/>
      <w:r>
        <w:t>企业根据《生产安全事故应急预案管理办法》（应急管理部令第2号，第二次修订，2019年9月1日实施）的要求，</w:t>
      </w:r>
      <w:r>
        <w:rPr>
          <w:szCs w:val="28"/>
        </w:rPr>
        <w:t>《永善润佳制造有限责任公司永善县茂林镇松林村海子采石场生产安全事故应急预案》于202</w:t>
      </w:r>
      <w:r>
        <w:rPr>
          <w:rFonts w:hint="eastAsia"/>
          <w:szCs w:val="28"/>
        </w:rPr>
        <w:t>5</w:t>
      </w:r>
      <w:r>
        <w:rPr>
          <w:szCs w:val="28"/>
        </w:rPr>
        <w:t>年</w:t>
      </w:r>
      <w:r>
        <w:rPr>
          <w:rFonts w:hint="eastAsia"/>
          <w:szCs w:val="28"/>
        </w:rPr>
        <w:t>5</w:t>
      </w:r>
      <w:r>
        <w:rPr>
          <w:szCs w:val="28"/>
        </w:rPr>
        <w:t>月发布，并于202</w:t>
      </w:r>
      <w:r>
        <w:rPr>
          <w:rFonts w:hint="eastAsia"/>
          <w:szCs w:val="28"/>
        </w:rPr>
        <w:t>5</w:t>
      </w:r>
      <w:r>
        <w:rPr>
          <w:szCs w:val="28"/>
        </w:rPr>
        <w:t>年</w:t>
      </w:r>
      <w:r>
        <w:rPr>
          <w:rFonts w:hint="eastAsia"/>
          <w:szCs w:val="28"/>
        </w:rPr>
        <w:t>5</w:t>
      </w:r>
      <w:r>
        <w:rPr>
          <w:szCs w:val="28"/>
        </w:rPr>
        <w:t>月</w:t>
      </w:r>
      <w:r>
        <w:rPr>
          <w:rFonts w:hint="eastAsia"/>
          <w:szCs w:val="28"/>
        </w:rPr>
        <w:t>14</w:t>
      </w:r>
      <w:r>
        <w:rPr>
          <w:szCs w:val="28"/>
        </w:rPr>
        <w:t>日向</w:t>
      </w:r>
      <w:r>
        <w:rPr>
          <w:rFonts w:hint="eastAsia"/>
          <w:szCs w:val="28"/>
        </w:rPr>
        <w:t>永善</w:t>
      </w:r>
      <w:r>
        <w:rPr>
          <w:szCs w:val="28"/>
        </w:rPr>
        <w:t>县应急管理局提交进行备案，备案编号530625</w:t>
      </w:r>
      <w:r>
        <w:rPr>
          <w:szCs w:val="28"/>
          <w:lang w:val="sq-AL"/>
        </w:rPr>
        <w:t>〔202</w:t>
      </w:r>
      <w:r>
        <w:rPr>
          <w:szCs w:val="28"/>
        </w:rPr>
        <w:t>5</w:t>
      </w:r>
      <w:r>
        <w:rPr>
          <w:szCs w:val="28"/>
          <w:lang w:val="sq-AL"/>
        </w:rPr>
        <w:t>〕</w:t>
      </w:r>
      <w:r>
        <w:rPr>
          <w:szCs w:val="28"/>
        </w:rPr>
        <w:t>008</w:t>
      </w:r>
      <w:r>
        <w:t>，并根据相关要求进行应急预案培训及演练</w:t>
      </w:r>
      <w:r>
        <w:rPr>
          <w:bCs/>
        </w:rPr>
        <w:t>。</w:t>
      </w:r>
    </w:p>
    <w:p w14:paraId="44843364">
      <w:pPr>
        <w:widowControl/>
        <w:ind w:firstLine="560"/>
      </w:pPr>
      <w:r>
        <w:t>矿山成立了安全生产应急管理机构，并成立事故应急救援总指挥部，负责事故救援工作的综合组织、指挥和协调，应急救援小组下设抢险救援组、医疗救护组、后勤保障组等功能组。矿山其他安全生产管理工作人员为小组成员，共同实施应急救援工作。该矿山成立了矿山</w:t>
      </w:r>
      <w:r>
        <w:rPr>
          <w:rFonts w:hint="eastAsia"/>
        </w:rPr>
        <w:t>应急救援小组（兼职）</w:t>
      </w:r>
      <w:r>
        <w:t>，明确救援人员的职责，已与昭通市应急</w:t>
      </w:r>
      <w:r>
        <w:rPr>
          <w:rFonts w:hint="eastAsia"/>
        </w:rPr>
        <w:t>救援</w:t>
      </w:r>
      <w:r>
        <w:t>中心</w:t>
      </w:r>
      <w:r>
        <w:rPr>
          <w:rFonts w:hint="eastAsia"/>
        </w:rPr>
        <w:t>（</w:t>
      </w:r>
      <w:r>
        <w:t>昭通市矿山救护队</w:t>
      </w:r>
      <w:r>
        <w:rPr>
          <w:rFonts w:hint="eastAsia"/>
        </w:rPr>
        <w:t>）</w:t>
      </w:r>
      <w:r>
        <w:t>签订</w:t>
      </w:r>
      <w:r>
        <w:rPr>
          <w:rFonts w:hint="eastAsia"/>
        </w:rPr>
        <w:t>了《昭通市矿山企业应急救援协议书》</w:t>
      </w:r>
      <w:r>
        <w:t>。</w:t>
      </w:r>
    </w:p>
    <w:bookmarkEnd w:id="416"/>
    <w:bookmarkEnd w:id="418"/>
    <w:p w14:paraId="1EB46749">
      <w:pPr>
        <w:pStyle w:val="7"/>
        <w:ind w:firstLine="560"/>
      </w:pPr>
      <w:bookmarkStart w:id="419" w:name="_Toc22117"/>
      <w:r>
        <w:t>2.4.13.5工伤保险</w:t>
      </w:r>
      <w:bookmarkEnd w:id="419"/>
      <w:r>
        <w:t>及安全生产责任险</w:t>
      </w:r>
    </w:p>
    <w:p w14:paraId="1B7149E1">
      <w:pPr>
        <w:widowControl/>
        <w:ind w:firstLine="560"/>
      </w:pPr>
      <w:r>
        <w:rPr>
          <w:rFonts w:hint="eastAsia" w:ascii="Times New Roman" w:hAnsi="Times New Roman" w:cs="Times New Roman"/>
          <w:color w:val="auto"/>
          <w:sz w:val="28"/>
          <w:lang w:val="en-US" w:eastAsia="zh-CN"/>
        </w:rPr>
        <w:t>XX。</w:t>
      </w:r>
    </w:p>
    <w:p w14:paraId="642BF0D0">
      <w:pPr>
        <w:pStyle w:val="6"/>
        <w:ind w:firstLine="562"/>
        <w:rPr>
          <w:rFonts w:eastAsia="宋体"/>
          <w:b/>
          <w:bCs w:val="0"/>
        </w:rPr>
      </w:pPr>
      <w:bookmarkStart w:id="420" w:name="_Toc454614270"/>
      <w:bookmarkStart w:id="421" w:name="_Toc28732"/>
      <w:bookmarkStart w:id="422" w:name="_Toc14911"/>
      <w:bookmarkStart w:id="423" w:name="_Toc1527"/>
      <w:bookmarkStart w:id="424" w:name="_Toc15657"/>
      <w:bookmarkStart w:id="425" w:name="_Toc13781"/>
      <w:bookmarkStart w:id="426" w:name="_Toc59420521"/>
      <w:bookmarkStart w:id="427" w:name="_Toc31394"/>
      <w:r>
        <w:rPr>
          <w:rFonts w:eastAsia="宋体"/>
          <w:b/>
          <w:bCs w:val="0"/>
        </w:rPr>
        <w:t>2.4.1</w:t>
      </w:r>
      <w:bookmarkEnd w:id="420"/>
      <w:bookmarkEnd w:id="421"/>
      <w:bookmarkEnd w:id="422"/>
      <w:bookmarkEnd w:id="423"/>
      <w:r>
        <w:rPr>
          <w:rFonts w:eastAsia="宋体"/>
          <w:b/>
          <w:bCs w:val="0"/>
        </w:rPr>
        <w:t>4设计安全设施投入</w:t>
      </w:r>
      <w:bookmarkEnd w:id="424"/>
      <w:bookmarkEnd w:id="425"/>
      <w:bookmarkEnd w:id="426"/>
      <w:bookmarkEnd w:id="427"/>
      <w:r>
        <w:rPr>
          <w:rFonts w:eastAsia="宋体"/>
          <w:b/>
          <w:bCs w:val="0"/>
        </w:rPr>
        <w:t>明细</w:t>
      </w:r>
    </w:p>
    <w:p w14:paraId="04C23E9F">
      <w:pPr>
        <w:ind w:firstLine="560"/>
      </w:pPr>
      <w:r>
        <w:t>企业按安全设施设计要求完成了露天采场、运输道路工程、排水工程、安全防护设施等主体工程和辅助工程安全设施的建设。矿山专用安全设施投入明细如下表所示。</w:t>
      </w:r>
    </w:p>
    <w:p w14:paraId="2AE9122F">
      <w:pPr>
        <w:ind w:firstLine="560"/>
      </w:pPr>
      <w:r>
        <w:rPr>
          <w:szCs w:val="28"/>
        </w:rPr>
        <w:t>安全设施设计中该矿山的专项安全投资概算为90.25万元，占项目建设总投资1151.90万元的7.8%。</w:t>
      </w:r>
    </w:p>
    <w:p w14:paraId="4A6B664C">
      <w:pPr>
        <w:spacing w:line="240" w:lineRule="auto"/>
        <w:ind w:firstLine="480"/>
        <w:jc w:val="center"/>
        <w:rPr>
          <w:sz w:val="24"/>
          <w:szCs w:val="24"/>
        </w:rPr>
      </w:pPr>
      <w:r>
        <w:rPr>
          <w:sz w:val="24"/>
          <w:szCs w:val="24"/>
        </w:rPr>
        <w:t>表2.4-9  专用安全设施投入明细表</w:t>
      </w:r>
    </w:p>
    <w:tbl>
      <w:tblPr>
        <w:tblStyle w:val="44"/>
        <w:tblW w:w="5000" w:type="pct"/>
        <w:tblInd w:w="0" w:type="dxa"/>
        <w:tblLayout w:type="autofit"/>
        <w:tblCellMar>
          <w:top w:w="0" w:type="dxa"/>
          <w:left w:w="0" w:type="dxa"/>
          <w:bottom w:w="0" w:type="dxa"/>
          <w:right w:w="0" w:type="dxa"/>
        </w:tblCellMar>
      </w:tblPr>
      <w:tblGrid>
        <w:gridCol w:w="599"/>
        <w:gridCol w:w="1409"/>
        <w:gridCol w:w="2285"/>
        <w:gridCol w:w="810"/>
        <w:gridCol w:w="795"/>
        <w:gridCol w:w="1191"/>
        <w:gridCol w:w="2125"/>
      </w:tblGrid>
      <w:tr w14:paraId="1CCC660C">
        <w:tblPrEx>
          <w:tblCellMar>
            <w:top w:w="0" w:type="dxa"/>
            <w:left w:w="0" w:type="dxa"/>
            <w:bottom w:w="0" w:type="dxa"/>
            <w:right w:w="0" w:type="dxa"/>
          </w:tblCellMar>
        </w:tblPrEx>
        <w:trPr>
          <w:trHeight w:val="397" w:hRule="atLeast"/>
          <w:tblHeader/>
        </w:trPr>
        <w:tc>
          <w:tcPr>
            <w:tcW w:w="325" w:type="pct"/>
            <w:tcBorders>
              <w:top w:val="single" w:color="auto" w:sz="8" w:space="0"/>
              <w:left w:val="single" w:color="auto" w:sz="8" w:space="0"/>
              <w:bottom w:val="single" w:color="000000" w:sz="8" w:space="0"/>
              <w:right w:val="single" w:color="auto" w:sz="8" w:space="0"/>
            </w:tcBorders>
            <w:shd w:val="clear" w:color="auto" w:fill="auto"/>
            <w:tcMar>
              <w:top w:w="15" w:type="dxa"/>
              <w:left w:w="15" w:type="dxa"/>
              <w:bottom w:w="0" w:type="dxa"/>
              <w:right w:w="15" w:type="dxa"/>
            </w:tcMar>
            <w:vAlign w:val="center"/>
          </w:tcPr>
          <w:p w14:paraId="1540478E">
            <w:pPr>
              <w:widowControl/>
              <w:spacing w:line="240" w:lineRule="auto"/>
              <w:ind w:firstLine="0" w:firstLineChars="0"/>
              <w:jc w:val="center"/>
              <w:rPr>
                <w:b/>
                <w:bCs/>
                <w:kern w:val="0"/>
                <w:sz w:val="21"/>
                <w:szCs w:val="21"/>
              </w:rPr>
            </w:pPr>
            <w:r>
              <w:rPr>
                <w:b/>
                <w:bCs/>
                <w:kern w:val="0"/>
                <w:sz w:val="21"/>
                <w:szCs w:val="21"/>
              </w:rPr>
              <w:t>序号</w:t>
            </w:r>
          </w:p>
        </w:tc>
        <w:tc>
          <w:tcPr>
            <w:tcW w:w="764" w:type="pct"/>
            <w:tcBorders>
              <w:top w:val="single" w:color="auto" w:sz="8" w:space="0"/>
              <w:left w:val="single" w:color="auto" w:sz="8" w:space="0"/>
              <w:bottom w:val="single" w:color="000000" w:sz="8" w:space="0"/>
              <w:right w:val="single" w:color="auto" w:sz="8" w:space="0"/>
            </w:tcBorders>
            <w:shd w:val="clear" w:color="auto" w:fill="auto"/>
            <w:tcMar>
              <w:top w:w="15" w:type="dxa"/>
              <w:left w:w="15" w:type="dxa"/>
              <w:bottom w:w="0" w:type="dxa"/>
              <w:right w:w="15" w:type="dxa"/>
            </w:tcMar>
            <w:vAlign w:val="center"/>
          </w:tcPr>
          <w:p w14:paraId="5E05D32C">
            <w:pPr>
              <w:widowControl/>
              <w:spacing w:line="240" w:lineRule="auto"/>
              <w:ind w:firstLine="0" w:firstLineChars="0"/>
              <w:jc w:val="center"/>
              <w:rPr>
                <w:b/>
                <w:bCs/>
                <w:kern w:val="0"/>
                <w:sz w:val="21"/>
                <w:szCs w:val="21"/>
              </w:rPr>
            </w:pPr>
            <w:r>
              <w:rPr>
                <w:b/>
                <w:bCs/>
                <w:kern w:val="0"/>
                <w:sz w:val="21"/>
                <w:szCs w:val="21"/>
              </w:rPr>
              <w:t>名称</w:t>
            </w:r>
          </w:p>
        </w:tc>
        <w:tc>
          <w:tcPr>
            <w:tcW w:w="1239" w:type="pct"/>
            <w:tcBorders>
              <w:top w:val="single" w:color="auto" w:sz="8" w:space="0"/>
              <w:left w:val="single" w:color="auto" w:sz="8" w:space="0"/>
              <w:bottom w:val="single" w:color="000000" w:sz="8" w:space="0"/>
              <w:right w:val="single" w:color="auto" w:sz="8" w:space="0"/>
            </w:tcBorders>
            <w:shd w:val="clear" w:color="auto" w:fill="auto"/>
            <w:tcMar>
              <w:top w:w="15" w:type="dxa"/>
              <w:left w:w="15" w:type="dxa"/>
              <w:bottom w:w="0" w:type="dxa"/>
              <w:right w:w="15" w:type="dxa"/>
            </w:tcMar>
            <w:vAlign w:val="center"/>
          </w:tcPr>
          <w:p w14:paraId="20832EDB">
            <w:pPr>
              <w:widowControl/>
              <w:spacing w:line="240" w:lineRule="auto"/>
              <w:ind w:firstLine="0" w:firstLineChars="0"/>
              <w:jc w:val="center"/>
              <w:rPr>
                <w:b/>
                <w:bCs/>
                <w:kern w:val="0"/>
                <w:sz w:val="21"/>
                <w:szCs w:val="21"/>
              </w:rPr>
            </w:pPr>
            <w:r>
              <w:rPr>
                <w:b/>
                <w:bCs/>
                <w:kern w:val="0"/>
                <w:sz w:val="21"/>
                <w:szCs w:val="21"/>
              </w:rPr>
              <w:t>描述</w:t>
            </w:r>
          </w:p>
        </w:tc>
        <w:tc>
          <w:tcPr>
            <w:tcW w:w="439" w:type="pct"/>
            <w:tcBorders>
              <w:top w:val="single" w:color="auto" w:sz="8" w:space="0"/>
              <w:left w:val="single" w:color="auto" w:sz="8" w:space="0"/>
              <w:bottom w:val="single" w:color="000000" w:sz="8" w:space="0"/>
              <w:right w:val="single" w:color="auto" w:sz="8" w:space="0"/>
            </w:tcBorders>
            <w:shd w:val="clear" w:color="auto" w:fill="auto"/>
            <w:tcMar>
              <w:top w:w="15" w:type="dxa"/>
              <w:left w:w="15" w:type="dxa"/>
              <w:bottom w:w="0" w:type="dxa"/>
              <w:right w:w="15" w:type="dxa"/>
            </w:tcMar>
            <w:vAlign w:val="center"/>
          </w:tcPr>
          <w:p w14:paraId="63A9424D">
            <w:pPr>
              <w:widowControl/>
              <w:spacing w:line="240" w:lineRule="auto"/>
              <w:ind w:firstLine="0" w:firstLineChars="0"/>
              <w:jc w:val="center"/>
              <w:rPr>
                <w:b/>
                <w:bCs/>
                <w:kern w:val="0"/>
                <w:sz w:val="21"/>
                <w:szCs w:val="21"/>
              </w:rPr>
            </w:pPr>
            <w:r>
              <w:rPr>
                <w:b/>
                <w:bCs/>
                <w:kern w:val="0"/>
                <w:sz w:val="21"/>
                <w:szCs w:val="21"/>
              </w:rPr>
              <w:t>单位</w:t>
            </w:r>
          </w:p>
        </w:tc>
        <w:tc>
          <w:tcPr>
            <w:tcW w:w="431" w:type="pct"/>
            <w:tcBorders>
              <w:top w:val="single" w:color="auto" w:sz="8" w:space="0"/>
              <w:left w:val="single" w:color="auto" w:sz="8" w:space="0"/>
              <w:bottom w:val="single" w:color="000000" w:sz="8" w:space="0"/>
              <w:right w:val="single" w:color="auto" w:sz="8" w:space="0"/>
            </w:tcBorders>
            <w:shd w:val="clear" w:color="auto" w:fill="auto"/>
            <w:tcMar>
              <w:top w:w="15" w:type="dxa"/>
              <w:left w:w="15" w:type="dxa"/>
              <w:bottom w:w="0" w:type="dxa"/>
              <w:right w:w="15" w:type="dxa"/>
            </w:tcMar>
            <w:vAlign w:val="center"/>
          </w:tcPr>
          <w:p w14:paraId="6F616D65">
            <w:pPr>
              <w:widowControl/>
              <w:spacing w:line="240" w:lineRule="auto"/>
              <w:ind w:firstLine="0" w:firstLineChars="0"/>
              <w:jc w:val="center"/>
              <w:rPr>
                <w:b/>
                <w:bCs/>
                <w:kern w:val="0"/>
                <w:sz w:val="21"/>
                <w:szCs w:val="21"/>
              </w:rPr>
            </w:pPr>
            <w:r>
              <w:rPr>
                <w:b/>
                <w:bCs/>
                <w:kern w:val="0"/>
                <w:sz w:val="21"/>
                <w:szCs w:val="21"/>
              </w:rPr>
              <w:t>数量</w:t>
            </w:r>
          </w:p>
        </w:tc>
        <w:tc>
          <w:tcPr>
            <w:tcW w:w="646" w:type="pct"/>
            <w:tcBorders>
              <w:top w:val="single" w:color="auto" w:sz="8" w:space="0"/>
              <w:left w:val="single" w:color="auto" w:sz="8" w:space="0"/>
              <w:bottom w:val="single" w:color="000000" w:sz="8" w:space="0"/>
              <w:right w:val="single" w:color="auto" w:sz="8" w:space="0"/>
            </w:tcBorders>
            <w:shd w:val="clear" w:color="auto" w:fill="auto"/>
            <w:tcMar>
              <w:top w:w="15" w:type="dxa"/>
              <w:left w:w="15" w:type="dxa"/>
              <w:bottom w:w="0" w:type="dxa"/>
              <w:right w:w="15" w:type="dxa"/>
            </w:tcMar>
            <w:vAlign w:val="center"/>
          </w:tcPr>
          <w:p w14:paraId="07AEAB57">
            <w:pPr>
              <w:widowControl/>
              <w:spacing w:line="240" w:lineRule="auto"/>
              <w:ind w:firstLine="0" w:firstLineChars="0"/>
              <w:jc w:val="center"/>
              <w:rPr>
                <w:b/>
                <w:bCs/>
                <w:kern w:val="0"/>
                <w:sz w:val="21"/>
                <w:szCs w:val="21"/>
              </w:rPr>
            </w:pPr>
            <w:r>
              <w:rPr>
                <w:b/>
                <w:bCs/>
                <w:kern w:val="0"/>
                <w:sz w:val="21"/>
                <w:szCs w:val="21"/>
              </w:rPr>
              <w:t>投资</w:t>
            </w:r>
          </w:p>
          <w:p w14:paraId="52EFCE98">
            <w:pPr>
              <w:widowControl/>
              <w:spacing w:line="240" w:lineRule="auto"/>
              <w:ind w:firstLine="0" w:firstLineChars="0"/>
              <w:jc w:val="center"/>
              <w:rPr>
                <w:b/>
                <w:bCs/>
                <w:kern w:val="0"/>
                <w:sz w:val="21"/>
                <w:szCs w:val="21"/>
              </w:rPr>
            </w:pPr>
            <w:r>
              <w:rPr>
                <w:b/>
                <w:bCs/>
                <w:kern w:val="0"/>
                <w:sz w:val="21"/>
                <w:szCs w:val="21"/>
              </w:rPr>
              <w:t>（万元）</w:t>
            </w:r>
          </w:p>
        </w:tc>
        <w:tc>
          <w:tcPr>
            <w:tcW w:w="1152" w:type="pct"/>
            <w:tcBorders>
              <w:top w:val="single" w:color="auto" w:sz="8" w:space="0"/>
              <w:left w:val="single" w:color="auto" w:sz="8" w:space="0"/>
              <w:bottom w:val="single" w:color="000000" w:sz="8" w:space="0"/>
              <w:right w:val="single" w:color="auto" w:sz="8" w:space="0"/>
            </w:tcBorders>
            <w:shd w:val="clear" w:color="auto" w:fill="auto"/>
            <w:tcMar>
              <w:top w:w="15" w:type="dxa"/>
              <w:left w:w="15" w:type="dxa"/>
              <w:bottom w:w="0" w:type="dxa"/>
              <w:right w:w="15" w:type="dxa"/>
            </w:tcMar>
            <w:vAlign w:val="center"/>
          </w:tcPr>
          <w:p w14:paraId="54D57A94">
            <w:pPr>
              <w:widowControl/>
              <w:spacing w:line="240" w:lineRule="auto"/>
              <w:ind w:firstLine="0" w:firstLineChars="0"/>
              <w:jc w:val="center"/>
              <w:rPr>
                <w:b/>
                <w:bCs/>
                <w:kern w:val="0"/>
                <w:sz w:val="21"/>
                <w:szCs w:val="21"/>
              </w:rPr>
            </w:pPr>
            <w:r>
              <w:rPr>
                <w:b/>
                <w:bCs/>
                <w:kern w:val="0"/>
                <w:sz w:val="21"/>
                <w:szCs w:val="21"/>
              </w:rPr>
              <w:t>备注</w:t>
            </w:r>
          </w:p>
        </w:tc>
      </w:tr>
      <w:tr w14:paraId="2E49E959">
        <w:tblPrEx>
          <w:tblCellMar>
            <w:top w:w="0" w:type="dxa"/>
            <w:left w:w="0" w:type="dxa"/>
            <w:bottom w:w="0" w:type="dxa"/>
            <w:right w:w="0" w:type="dxa"/>
          </w:tblCellMar>
        </w:tblPrEx>
        <w:trPr>
          <w:trHeight w:val="397" w:hRule="atLeast"/>
        </w:trPr>
        <w:tc>
          <w:tcPr>
            <w:tcW w:w="325" w:type="pct"/>
            <w:vMerge w:val="restart"/>
            <w:tcBorders>
              <w:top w:val="single" w:color="auto" w:sz="4" w:space="0"/>
              <w:left w:val="single" w:color="auto" w:sz="8" w:space="0"/>
              <w:right w:val="single" w:color="auto" w:sz="8" w:space="0"/>
            </w:tcBorders>
            <w:shd w:val="clear" w:color="auto" w:fill="auto"/>
            <w:tcMar>
              <w:top w:w="15" w:type="dxa"/>
              <w:left w:w="15" w:type="dxa"/>
              <w:bottom w:w="0" w:type="dxa"/>
              <w:right w:w="15" w:type="dxa"/>
            </w:tcMar>
            <w:vAlign w:val="center"/>
          </w:tcPr>
          <w:p w14:paraId="68738B83">
            <w:pPr>
              <w:spacing w:line="240" w:lineRule="auto"/>
              <w:ind w:firstLine="0" w:firstLineChars="0"/>
              <w:jc w:val="center"/>
              <w:rPr>
                <w:color w:val="000000"/>
                <w:sz w:val="21"/>
                <w:szCs w:val="21"/>
              </w:rPr>
            </w:pPr>
            <w:r>
              <w:rPr>
                <w:color w:val="000000"/>
                <w:sz w:val="21"/>
                <w:szCs w:val="21"/>
              </w:rPr>
              <w:t>1</w:t>
            </w:r>
          </w:p>
        </w:tc>
        <w:tc>
          <w:tcPr>
            <w:tcW w:w="764" w:type="pct"/>
            <w:vMerge w:val="restart"/>
            <w:tcBorders>
              <w:top w:val="single" w:color="auto" w:sz="4" w:space="0"/>
              <w:left w:val="single" w:color="auto" w:sz="8" w:space="0"/>
              <w:right w:val="single" w:color="auto" w:sz="8" w:space="0"/>
            </w:tcBorders>
            <w:shd w:val="clear" w:color="auto" w:fill="auto"/>
            <w:tcMar>
              <w:top w:w="15" w:type="dxa"/>
              <w:left w:w="15" w:type="dxa"/>
              <w:bottom w:w="0" w:type="dxa"/>
              <w:right w:w="15" w:type="dxa"/>
            </w:tcMar>
            <w:vAlign w:val="center"/>
          </w:tcPr>
          <w:p w14:paraId="33BC006D">
            <w:pPr>
              <w:spacing w:line="240" w:lineRule="auto"/>
              <w:ind w:firstLine="0" w:firstLineChars="0"/>
              <w:jc w:val="center"/>
              <w:rPr>
                <w:color w:val="000000"/>
                <w:sz w:val="21"/>
                <w:szCs w:val="21"/>
              </w:rPr>
            </w:pPr>
            <w:r>
              <w:rPr>
                <w:color w:val="000000"/>
                <w:sz w:val="21"/>
                <w:szCs w:val="21"/>
              </w:rPr>
              <w:t>露天采场</w:t>
            </w:r>
          </w:p>
        </w:tc>
        <w:tc>
          <w:tcPr>
            <w:tcW w:w="1239" w:type="pct"/>
            <w:tcBorders>
              <w:top w:val="single" w:color="auto" w:sz="4" w:space="0"/>
              <w:left w:val="nil"/>
              <w:bottom w:val="single" w:color="auto" w:sz="8" w:space="0"/>
              <w:right w:val="single" w:color="auto" w:sz="8" w:space="0"/>
            </w:tcBorders>
            <w:shd w:val="clear" w:color="auto" w:fill="auto"/>
            <w:tcMar>
              <w:top w:w="15" w:type="dxa"/>
              <w:left w:w="15" w:type="dxa"/>
              <w:bottom w:w="0" w:type="dxa"/>
              <w:right w:w="15" w:type="dxa"/>
            </w:tcMar>
            <w:vAlign w:val="center"/>
          </w:tcPr>
          <w:p w14:paraId="4E691549">
            <w:pPr>
              <w:spacing w:line="240" w:lineRule="auto"/>
              <w:ind w:firstLine="0" w:firstLineChars="0"/>
              <w:jc w:val="center"/>
              <w:rPr>
                <w:color w:val="000000"/>
                <w:sz w:val="21"/>
                <w:szCs w:val="21"/>
              </w:rPr>
            </w:pPr>
            <w:r>
              <w:rPr>
                <w:color w:val="000000"/>
                <w:sz w:val="21"/>
                <w:szCs w:val="21"/>
              </w:rPr>
              <w:t>矿界围栏</w:t>
            </w:r>
          </w:p>
        </w:tc>
        <w:tc>
          <w:tcPr>
            <w:tcW w:w="439"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30627A7F">
            <w:pPr>
              <w:spacing w:line="240" w:lineRule="auto"/>
              <w:ind w:firstLine="0" w:firstLineChars="0"/>
              <w:jc w:val="center"/>
              <w:rPr>
                <w:color w:val="000000"/>
                <w:sz w:val="21"/>
                <w:szCs w:val="21"/>
              </w:rPr>
            </w:pPr>
            <w:r>
              <w:rPr>
                <w:color w:val="000000"/>
                <w:sz w:val="21"/>
                <w:szCs w:val="21"/>
              </w:rPr>
              <w:t>m</w:t>
            </w:r>
          </w:p>
        </w:tc>
        <w:tc>
          <w:tcPr>
            <w:tcW w:w="431"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4D021FF8">
            <w:pPr>
              <w:spacing w:line="240" w:lineRule="auto"/>
              <w:ind w:firstLine="0" w:firstLineChars="0"/>
              <w:jc w:val="center"/>
              <w:rPr>
                <w:color w:val="000000"/>
                <w:sz w:val="21"/>
                <w:szCs w:val="21"/>
              </w:rPr>
            </w:pPr>
            <w:r>
              <w:rPr>
                <w:rFonts w:hint="eastAsia"/>
                <w:color w:val="000000"/>
                <w:sz w:val="21"/>
                <w:szCs w:val="21"/>
              </w:rPr>
              <w:t>1120</w:t>
            </w:r>
          </w:p>
        </w:tc>
        <w:tc>
          <w:tcPr>
            <w:tcW w:w="646"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65915205">
            <w:pPr>
              <w:spacing w:line="240" w:lineRule="auto"/>
              <w:ind w:firstLine="0" w:firstLineChars="0"/>
              <w:jc w:val="center"/>
              <w:rPr>
                <w:color w:val="000000"/>
                <w:sz w:val="21"/>
                <w:szCs w:val="21"/>
              </w:rPr>
            </w:pPr>
            <w:r>
              <w:rPr>
                <w:color w:val="000000"/>
                <w:sz w:val="21"/>
                <w:szCs w:val="21"/>
              </w:rPr>
              <w:t>12</w:t>
            </w:r>
          </w:p>
        </w:tc>
        <w:tc>
          <w:tcPr>
            <w:tcW w:w="1152"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13047D5C">
            <w:pPr>
              <w:spacing w:line="240" w:lineRule="auto"/>
              <w:ind w:firstLine="0" w:firstLineChars="0"/>
              <w:jc w:val="center"/>
              <w:rPr>
                <w:color w:val="000000"/>
                <w:sz w:val="21"/>
                <w:szCs w:val="21"/>
              </w:rPr>
            </w:pPr>
            <w:r>
              <w:rPr>
                <w:color w:val="000000"/>
                <w:sz w:val="21"/>
                <w:szCs w:val="21"/>
              </w:rPr>
              <w:t>连续铁丝围栏</w:t>
            </w:r>
          </w:p>
        </w:tc>
      </w:tr>
      <w:tr w14:paraId="1D94E3DA">
        <w:tblPrEx>
          <w:tblCellMar>
            <w:top w:w="0" w:type="dxa"/>
            <w:left w:w="0" w:type="dxa"/>
            <w:bottom w:w="0" w:type="dxa"/>
            <w:right w:w="0" w:type="dxa"/>
          </w:tblCellMar>
        </w:tblPrEx>
        <w:trPr>
          <w:trHeight w:val="397" w:hRule="atLeast"/>
        </w:trPr>
        <w:tc>
          <w:tcPr>
            <w:tcW w:w="325" w:type="pct"/>
            <w:vMerge w:val="continue"/>
            <w:tcBorders>
              <w:left w:val="single" w:color="auto" w:sz="8" w:space="0"/>
              <w:right w:val="single" w:color="auto" w:sz="8" w:space="0"/>
            </w:tcBorders>
            <w:shd w:val="clear" w:color="auto" w:fill="auto"/>
            <w:tcMar>
              <w:top w:w="15" w:type="dxa"/>
              <w:left w:w="15" w:type="dxa"/>
              <w:bottom w:w="0" w:type="dxa"/>
              <w:right w:w="15" w:type="dxa"/>
            </w:tcMar>
            <w:vAlign w:val="center"/>
          </w:tcPr>
          <w:p w14:paraId="6489B447">
            <w:pPr>
              <w:spacing w:line="240" w:lineRule="auto"/>
              <w:ind w:firstLine="0" w:firstLineChars="0"/>
              <w:jc w:val="center"/>
              <w:rPr>
                <w:color w:val="000000"/>
                <w:sz w:val="21"/>
                <w:szCs w:val="21"/>
              </w:rPr>
            </w:pPr>
          </w:p>
        </w:tc>
        <w:tc>
          <w:tcPr>
            <w:tcW w:w="764" w:type="pct"/>
            <w:vMerge w:val="continue"/>
            <w:tcBorders>
              <w:left w:val="single" w:color="auto" w:sz="8" w:space="0"/>
              <w:right w:val="single" w:color="auto" w:sz="8" w:space="0"/>
            </w:tcBorders>
            <w:shd w:val="clear" w:color="auto" w:fill="auto"/>
            <w:tcMar>
              <w:top w:w="15" w:type="dxa"/>
              <w:left w:w="15" w:type="dxa"/>
              <w:bottom w:w="0" w:type="dxa"/>
              <w:right w:w="15" w:type="dxa"/>
            </w:tcMar>
            <w:vAlign w:val="center"/>
          </w:tcPr>
          <w:p w14:paraId="11D5E36F">
            <w:pPr>
              <w:spacing w:line="240" w:lineRule="auto"/>
              <w:ind w:firstLine="0" w:firstLineChars="0"/>
              <w:jc w:val="center"/>
              <w:rPr>
                <w:color w:val="000000"/>
                <w:sz w:val="21"/>
                <w:szCs w:val="21"/>
              </w:rPr>
            </w:pPr>
          </w:p>
        </w:tc>
        <w:tc>
          <w:tcPr>
            <w:tcW w:w="1239"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5582D26B">
            <w:pPr>
              <w:spacing w:line="240" w:lineRule="auto"/>
              <w:ind w:firstLine="0" w:firstLineChars="0"/>
              <w:jc w:val="center"/>
              <w:rPr>
                <w:color w:val="000000"/>
                <w:sz w:val="21"/>
                <w:szCs w:val="21"/>
              </w:rPr>
            </w:pPr>
            <w:r>
              <w:rPr>
                <w:color w:val="000000"/>
                <w:sz w:val="21"/>
                <w:szCs w:val="21"/>
              </w:rPr>
              <w:t>安全警示</w:t>
            </w:r>
          </w:p>
          <w:p w14:paraId="16CF3C73">
            <w:pPr>
              <w:spacing w:line="240" w:lineRule="auto"/>
              <w:ind w:firstLine="0" w:firstLineChars="0"/>
              <w:jc w:val="center"/>
              <w:rPr>
                <w:color w:val="000000"/>
                <w:sz w:val="21"/>
                <w:szCs w:val="21"/>
              </w:rPr>
            </w:pPr>
            <w:r>
              <w:rPr>
                <w:color w:val="000000"/>
                <w:sz w:val="21"/>
                <w:szCs w:val="21"/>
              </w:rPr>
              <w:t>标志、标语</w:t>
            </w:r>
          </w:p>
        </w:tc>
        <w:tc>
          <w:tcPr>
            <w:tcW w:w="439"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274EB8A2">
            <w:pPr>
              <w:spacing w:line="240" w:lineRule="auto"/>
              <w:ind w:firstLine="0" w:firstLineChars="0"/>
              <w:jc w:val="center"/>
              <w:rPr>
                <w:color w:val="000000"/>
                <w:sz w:val="21"/>
                <w:szCs w:val="21"/>
              </w:rPr>
            </w:pPr>
            <w:r>
              <w:rPr>
                <w:color w:val="000000"/>
                <w:sz w:val="21"/>
                <w:szCs w:val="21"/>
              </w:rPr>
              <w:t>块</w:t>
            </w:r>
          </w:p>
        </w:tc>
        <w:tc>
          <w:tcPr>
            <w:tcW w:w="431"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120DE2D1">
            <w:pPr>
              <w:spacing w:line="240" w:lineRule="auto"/>
              <w:ind w:firstLine="0" w:firstLineChars="0"/>
              <w:jc w:val="center"/>
              <w:rPr>
                <w:color w:val="000000"/>
                <w:sz w:val="21"/>
                <w:szCs w:val="21"/>
              </w:rPr>
            </w:pPr>
            <w:r>
              <w:rPr>
                <w:color w:val="000000"/>
                <w:sz w:val="21"/>
                <w:szCs w:val="21"/>
              </w:rPr>
              <w:t>80</w:t>
            </w:r>
          </w:p>
        </w:tc>
        <w:tc>
          <w:tcPr>
            <w:tcW w:w="646"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39C315BD">
            <w:pPr>
              <w:spacing w:line="240" w:lineRule="auto"/>
              <w:ind w:firstLine="0" w:firstLineChars="0"/>
              <w:jc w:val="center"/>
              <w:rPr>
                <w:color w:val="000000"/>
                <w:sz w:val="21"/>
                <w:szCs w:val="21"/>
              </w:rPr>
            </w:pPr>
            <w:r>
              <w:rPr>
                <w:color w:val="000000"/>
                <w:sz w:val="21"/>
                <w:szCs w:val="21"/>
              </w:rPr>
              <w:t>5</w:t>
            </w:r>
          </w:p>
        </w:tc>
        <w:tc>
          <w:tcPr>
            <w:tcW w:w="1152"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0C25B4C7">
            <w:pPr>
              <w:spacing w:line="240" w:lineRule="auto"/>
              <w:ind w:firstLine="0" w:firstLineChars="0"/>
              <w:jc w:val="center"/>
              <w:rPr>
                <w:color w:val="000000"/>
                <w:sz w:val="21"/>
                <w:szCs w:val="21"/>
              </w:rPr>
            </w:pPr>
            <w:r>
              <w:rPr>
                <w:color w:val="000000"/>
                <w:sz w:val="21"/>
                <w:szCs w:val="21"/>
              </w:rPr>
              <w:t>采场危险区域</w:t>
            </w:r>
          </w:p>
        </w:tc>
      </w:tr>
      <w:tr w14:paraId="5A8E9D1A">
        <w:tblPrEx>
          <w:tblCellMar>
            <w:top w:w="0" w:type="dxa"/>
            <w:left w:w="0" w:type="dxa"/>
            <w:bottom w:w="0" w:type="dxa"/>
            <w:right w:w="0" w:type="dxa"/>
          </w:tblCellMar>
        </w:tblPrEx>
        <w:trPr>
          <w:trHeight w:val="397" w:hRule="atLeast"/>
        </w:trPr>
        <w:tc>
          <w:tcPr>
            <w:tcW w:w="325" w:type="pct"/>
            <w:vMerge w:val="continue"/>
            <w:tcBorders>
              <w:left w:val="single" w:color="auto" w:sz="8" w:space="0"/>
              <w:right w:val="single" w:color="auto" w:sz="8" w:space="0"/>
            </w:tcBorders>
            <w:vAlign w:val="center"/>
          </w:tcPr>
          <w:p w14:paraId="73F5E674">
            <w:pPr>
              <w:spacing w:line="240" w:lineRule="auto"/>
              <w:ind w:firstLine="0" w:firstLineChars="0"/>
              <w:jc w:val="center"/>
              <w:rPr>
                <w:color w:val="000000"/>
                <w:sz w:val="21"/>
                <w:szCs w:val="21"/>
              </w:rPr>
            </w:pPr>
          </w:p>
        </w:tc>
        <w:tc>
          <w:tcPr>
            <w:tcW w:w="764" w:type="pct"/>
            <w:vMerge w:val="continue"/>
            <w:tcBorders>
              <w:left w:val="single" w:color="auto" w:sz="8" w:space="0"/>
              <w:right w:val="single" w:color="auto" w:sz="8" w:space="0"/>
            </w:tcBorders>
            <w:vAlign w:val="center"/>
          </w:tcPr>
          <w:p w14:paraId="3B96DC30">
            <w:pPr>
              <w:spacing w:line="240" w:lineRule="auto"/>
              <w:ind w:firstLine="0" w:firstLineChars="0"/>
              <w:jc w:val="center"/>
              <w:rPr>
                <w:color w:val="000000"/>
                <w:sz w:val="21"/>
                <w:szCs w:val="21"/>
              </w:rPr>
            </w:pPr>
          </w:p>
        </w:tc>
        <w:tc>
          <w:tcPr>
            <w:tcW w:w="1239"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2589F495">
            <w:pPr>
              <w:spacing w:line="240" w:lineRule="auto"/>
              <w:ind w:firstLine="0" w:firstLineChars="0"/>
              <w:jc w:val="center"/>
              <w:rPr>
                <w:color w:val="000000"/>
                <w:sz w:val="21"/>
                <w:szCs w:val="21"/>
              </w:rPr>
            </w:pPr>
            <w:r>
              <w:rPr>
                <w:color w:val="000000"/>
                <w:sz w:val="21"/>
                <w:szCs w:val="21"/>
              </w:rPr>
              <w:t>报警器</w:t>
            </w:r>
          </w:p>
        </w:tc>
        <w:tc>
          <w:tcPr>
            <w:tcW w:w="439"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3878B51F">
            <w:pPr>
              <w:spacing w:line="240" w:lineRule="auto"/>
              <w:ind w:firstLine="0" w:firstLineChars="0"/>
              <w:jc w:val="center"/>
              <w:rPr>
                <w:color w:val="000000"/>
                <w:sz w:val="21"/>
                <w:szCs w:val="21"/>
              </w:rPr>
            </w:pPr>
            <w:r>
              <w:rPr>
                <w:color w:val="000000"/>
                <w:sz w:val="21"/>
                <w:szCs w:val="21"/>
              </w:rPr>
              <w:t>套</w:t>
            </w:r>
          </w:p>
        </w:tc>
        <w:tc>
          <w:tcPr>
            <w:tcW w:w="431"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09C93A8F">
            <w:pPr>
              <w:spacing w:line="240" w:lineRule="auto"/>
              <w:ind w:firstLine="0" w:firstLineChars="0"/>
              <w:jc w:val="center"/>
              <w:rPr>
                <w:color w:val="000000"/>
                <w:sz w:val="21"/>
                <w:szCs w:val="21"/>
              </w:rPr>
            </w:pPr>
            <w:r>
              <w:rPr>
                <w:color w:val="000000"/>
                <w:sz w:val="21"/>
                <w:szCs w:val="21"/>
              </w:rPr>
              <w:t>1</w:t>
            </w:r>
          </w:p>
        </w:tc>
        <w:tc>
          <w:tcPr>
            <w:tcW w:w="646"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07D840B1">
            <w:pPr>
              <w:spacing w:line="240" w:lineRule="auto"/>
              <w:ind w:firstLine="0" w:firstLineChars="0"/>
              <w:jc w:val="center"/>
              <w:rPr>
                <w:color w:val="000000"/>
                <w:sz w:val="21"/>
                <w:szCs w:val="21"/>
              </w:rPr>
            </w:pPr>
            <w:r>
              <w:rPr>
                <w:color w:val="000000"/>
                <w:sz w:val="21"/>
                <w:szCs w:val="21"/>
              </w:rPr>
              <w:t>0.5</w:t>
            </w:r>
          </w:p>
        </w:tc>
        <w:tc>
          <w:tcPr>
            <w:tcW w:w="1152"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0E367762">
            <w:pPr>
              <w:spacing w:line="240" w:lineRule="auto"/>
              <w:ind w:firstLine="0" w:firstLineChars="0"/>
              <w:jc w:val="center"/>
              <w:rPr>
                <w:color w:val="000000"/>
                <w:sz w:val="21"/>
                <w:szCs w:val="21"/>
              </w:rPr>
            </w:pPr>
          </w:p>
        </w:tc>
      </w:tr>
      <w:tr w14:paraId="61FA3AFF">
        <w:tblPrEx>
          <w:tblCellMar>
            <w:top w:w="0" w:type="dxa"/>
            <w:left w:w="0" w:type="dxa"/>
            <w:bottom w:w="0" w:type="dxa"/>
            <w:right w:w="0" w:type="dxa"/>
          </w:tblCellMar>
        </w:tblPrEx>
        <w:trPr>
          <w:trHeight w:val="397" w:hRule="atLeast"/>
        </w:trPr>
        <w:tc>
          <w:tcPr>
            <w:tcW w:w="325" w:type="pct"/>
            <w:vMerge w:val="continue"/>
            <w:tcBorders>
              <w:left w:val="single" w:color="auto" w:sz="8" w:space="0"/>
              <w:right w:val="single" w:color="auto" w:sz="8" w:space="0"/>
            </w:tcBorders>
            <w:vAlign w:val="center"/>
          </w:tcPr>
          <w:p w14:paraId="2C2DD89F">
            <w:pPr>
              <w:spacing w:line="240" w:lineRule="auto"/>
              <w:ind w:firstLine="0" w:firstLineChars="0"/>
              <w:jc w:val="center"/>
              <w:rPr>
                <w:color w:val="000000"/>
                <w:sz w:val="21"/>
                <w:szCs w:val="21"/>
              </w:rPr>
            </w:pPr>
          </w:p>
        </w:tc>
        <w:tc>
          <w:tcPr>
            <w:tcW w:w="764" w:type="pct"/>
            <w:vMerge w:val="continue"/>
            <w:tcBorders>
              <w:left w:val="single" w:color="auto" w:sz="8" w:space="0"/>
              <w:right w:val="single" w:color="auto" w:sz="8" w:space="0"/>
            </w:tcBorders>
            <w:vAlign w:val="center"/>
          </w:tcPr>
          <w:p w14:paraId="75DC0DFF">
            <w:pPr>
              <w:spacing w:line="240" w:lineRule="auto"/>
              <w:ind w:firstLine="0" w:firstLineChars="0"/>
              <w:jc w:val="center"/>
              <w:rPr>
                <w:color w:val="000000"/>
                <w:sz w:val="21"/>
                <w:szCs w:val="21"/>
              </w:rPr>
            </w:pPr>
          </w:p>
        </w:tc>
        <w:tc>
          <w:tcPr>
            <w:tcW w:w="1239"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1611DF5C">
            <w:pPr>
              <w:spacing w:line="240" w:lineRule="auto"/>
              <w:ind w:firstLine="0" w:firstLineChars="0"/>
              <w:jc w:val="center"/>
              <w:rPr>
                <w:color w:val="000000"/>
                <w:sz w:val="21"/>
                <w:szCs w:val="21"/>
              </w:rPr>
            </w:pPr>
            <w:r>
              <w:rPr>
                <w:color w:val="000000"/>
                <w:sz w:val="21"/>
                <w:szCs w:val="21"/>
              </w:rPr>
              <w:t>警戒带</w:t>
            </w:r>
          </w:p>
        </w:tc>
        <w:tc>
          <w:tcPr>
            <w:tcW w:w="439"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46B2794E">
            <w:pPr>
              <w:spacing w:line="240" w:lineRule="auto"/>
              <w:ind w:firstLine="0" w:firstLineChars="0"/>
              <w:jc w:val="center"/>
              <w:rPr>
                <w:color w:val="000000"/>
                <w:sz w:val="21"/>
                <w:szCs w:val="21"/>
              </w:rPr>
            </w:pPr>
            <w:r>
              <w:rPr>
                <w:color w:val="000000"/>
                <w:sz w:val="21"/>
                <w:szCs w:val="21"/>
              </w:rPr>
              <w:t>m</w:t>
            </w:r>
          </w:p>
        </w:tc>
        <w:tc>
          <w:tcPr>
            <w:tcW w:w="431"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47E4779B">
            <w:pPr>
              <w:spacing w:line="240" w:lineRule="auto"/>
              <w:ind w:firstLine="0" w:firstLineChars="0"/>
              <w:jc w:val="center"/>
              <w:rPr>
                <w:color w:val="000000"/>
                <w:sz w:val="21"/>
                <w:szCs w:val="21"/>
              </w:rPr>
            </w:pPr>
            <w:r>
              <w:rPr>
                <w:color w:val="000000"/>
                <w:sz w:val="21"/>
                <w:szCs w:val="21"/>
              </w:rPr>
              <w:t>1000</w:t>
            </w:r>
          </w:p>
        </w:tc>
        <w:tc>
          <w:tcPr>
            <w:tcW w:w="646"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22CD6015">
            <w:pPr>
              <w:spacing w:line="240" w:lineRule="auto"/>
              <w:ind w:firstLine="0" w:firstLineChars="0"/>
              <w:jc w:val="center"/>
              <w:rPr>
                <w:color w:val="000000"/>
                <w:sz w:val="21"/>
                <w:szCs w:val="21"/>
              </w:rPr>
            </w:pPr>
            <w:r>
              <w:rPr>
                <w:color w:val="000000"/>
                <w:sz w:val="21"/>
                <w:szCs w:val="21"/>
              </w:rPr>
              <w:t>0.5</w:t>
            </w:r>
          </w:p>
        </w:tc>
        <w:tc>
          <w:tcPr>
            <w:tcW w:w="1152"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3BEBD940">
            <w:pPr>
              <w:spacing w:line="240" w:lineRule="auto"/>
              <w:ind w:firstLine="0" w:firstLineChars="0"/>
              <w:jc w:val="center"/>
              <w:rPr>
                <w:color w:val="000000"/>
                <w:sz w:val="21"/>
                <w:szCs w:val="21"/>
              </w:rPr>
            </w:pPr>
          </w:p>
        </w:tc>
      </w:tr>
      <w:tr w14:paraId="256E1A77">
        <w:tblPrEx>
          <w:tblCellMar>
            <w:top w:w="0" w:type="dxa"/>
            <w:left w:w="0" w:type="dxa"/>
            <w:bottom w:w="0" w:type="dxa"/>
            <w:right w:w="0" w:type="dxa"/>
          </w:tblCellMar>
        </w:tblPrEx>
        <w:trPr>
          <w:trHeight w:val="397" w:hRule="atLeast"/>
        </w:trPr>
        <w:tc>
          <w:tcPr>
            <w:tcW w:w="325" w:type="pct"/>
            <w:vMerge w:val="continue"/>
            <w:tcBorders>
              <w:left w:val="single" w:color="auto" w:sz="8" w:space="0"/>
              <w:bottom w:val="single" w:color="000000" w:sz="8" w:space="0"/>
              <w:right w:val="single" w:color="auto" w:sz="8" w:space="0"/>
            </w:tcBorders>
            <w:vAlign w:val="center"/>
          </w:tcPr>
          <w:p w14:paraId="57B6452B">
            <w:pPr>
              <w:spacing w:line="240" w:lineRule="auto"/>
              <w:ind w:firstLine="0" w:firstLineChars="0"/>
              <w:jc w:val="center"/>
              <w:rPr>
                <w:color w:val="000000"/>
                <w:sz w:val="21"/>
                <w:szCs w:val="21"/>
              </w:rPr>
            </w:pPr>
          </w:p>
        </w:tc>
        <w:tc>
          <w:tcPr>
            <w:tcW w:w="764" w:type="pct"/>
            <w:vMerge w:val="continue"/>
            <w:tcBorders>
              <w:left w:val="single" w:color="auto" w:sz="8" w:space="0"/>
              <w:bottom w:val="single" w:color="000000" w:sz="8" w:space="0"/>
              <w:right w:val="single" w:color="auto" w:sz="8" w:space="0"/>
            </w:tcBorders>
            <w:vAlign w:val="center"/>
          </w:tcPr>
          <w:p w14:paraId="0688581E">
            <w:pPr>
              <w:spacing w:line="240" w:lineRule="auto"/>
              <w:ind w:firstLine="0" w:firstLineChars="0"/>
              <w:jc w:val="center"/>
              <w:rPr>
                <w:color w:val="000000"/>
                <w:sz w:val="21"/>
                <w:szCs w:val="21"/>
              </w:rPr>
            </w:pPr>
          </w:p>
        </w:tc>
        <w:tc>
          <w:tcPr>
            <w:tcW w:w="1239"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37A9340A">
            <w:pPr>
              <w:spacing w:line="240" w:lineRule="auto"/>
              <w:ind w:firstLine="0" w:firstLineChars="0"/>
              <w:jc w:val="center"/>
              <w:rPr>
                <w:color w:val="000000"/>
                <w:sz w:val="21"/>
                <w:szCs w:val="21"/>
              </w:rPr>
            </w:pPr>
            <w:r>
              <w:rPr>
                <w:color w:val="000000"/>
                <w:sz w:val="21"/>
                <w:szCs w:val="21"/>
              </w:rPr>
              <w:t>警示旗</w:t>
            </w:r>
          </w:p>
        </w:tc>
        <w:tc>
          <w:tcPr>
            <w:tcW w:w="439"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713E45DC">
            <w:pPr>
              <w:spacing w:line="240" w:lineRule="auto"/>
              <w:ind w:firstLine="0" w:firstLineChars="0"/>
              <w:jc w:val="center"/>
              <w:rPr>
                <w:color w:val="000000"/>
                <w:sz w:val="21"/>
                <w:szCs w:val="21"/>
              </w:rPr>
            </w:pPr>
            <w:r>
              <w:rPr>
                <w:color w:val="000000"/>
                <w:sz w:val="21"/>
                <w:szCs w:val="21"/>
              </w:rPr>
              <w:t>个</w:t>
            </w:r>
          </w:p>
        </w:tc>
        <w:tc>
          <w:tcPr>
            <w:tcW w:w="431"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7D0B0E24">
            <w:pPr>
              <w:spacing w:line="240" w:lineRule="auto"/>
              <w:ind w:firstLine="0" w:firstLineChars="0"/>
              <w:jc w:val="center"/>
              <w:rPr>
                <w:color w:val="000000"/>
                <w:sz w:val="21"/>
                <w:szCs w:val="21"/>
              </w:rPr>
            </w:pPr>
            <w:r>
              <w:rPr>
                <w:color w:val="000000"/>
                <w:sz w:val="21"/>
                <w:szCs w:val="21"/>
              </w:rPr>
              <w:t>100</w:t>
            </w:r>
          </w:p>
        </w:tc>
        <w:tc>
          <w:tcPr>
            <w:tcW w:w="646"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2C2A79C9">
            <w:pPr>
              <w:spacing w:line="240" w:lineRule="auto"/>
              <w:ind w:firstLine="0" w:firstLineChars="0"/>
              <w:jc w:val="center"/>
              <w:rPr>
                <w:color w:val="000000"/>
                <w:sz w:val="21"/>
                <w:szCs w:val="21"/>
              </w:rPr>
            </w:pPr>
            <w:r>
              <w:rPr>
                <w:color w:val="000000"/>
                <w:sz w:val="21"/>
                <w:szCs w:val="21"/>
              </w:rPr>
              <w:t>0.1</w:t>
            </w:r>
          </w:p>
        </w:tc>
        <w:tc>
          <w:tcPr>
            <w:tcW w:w="1152"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748ECD7D">
            <w:pPr>
              <w:spacing w:line="240" w:lineRule="auto"/>
              <w:ind w:firstLine="0" w:firstLineChars="0"/>
              <w:jc w:val="center"/>
              <w:rPr>
                <w:color w:val="000000"/>
                <w:sz w:val="21"/>
                <w:szCs w:val="21"/>
              </w:rPr>
            </w:pPr>
          </w:p>
        </w:tc>
      </w:tr>
      <w:tr w14:paraId="21D3254F">
        <w:tblPrEx>
          <w:tblCellMar>
            <w:top w:w="0" w:type="dxa"/>
            <w:left w:w="0" w:type="dxa"/>
            <w:bottom w:w="0" w:type="dxa"/>
            <w:right w:w="0" w:type="dxa"/>
          </w:tblCellMar>
        </w:tblPrEx>
        <w:trPr>
          <w:trHeight w:val="397" w:hRule="atLeast"/>
        </w:trPr>
        <w:tc>
          <w:tcPr>
            <w:tcW w:w="325" w:type="pct"/>
            <w:vMerge w:val="restart"/>
            <w:tcBorders>
              <w:left w:val="single" w:color="auto" w:sz="8" w:space="0"/>
              <w:right w:val="single" w:color="auto" w:sz="8" w:space="0"/>
            </w:tcBorders>
            <w:vAlign w:val="center"/>
          </w:tcPr>
          <w:p w14:paraId="0BFA09FF">
            <w:pPr>
              <w:spacing w:line="240" w:lineRule="auto"/>
              <w:ind w:firstLine="0" w:firstLineChars="0"/>
              <w:jc w:val="center"/>
              <w:rPr>
                <w:color w:val="000000"/>
                <w:sz w:val="21"/>
                <w:szCs w:val="21"/>
              </w:rPr>
            </w:pPr>
            <w:r>
              <w:rPr>
                <w:color w:val="000000"/>
                <w:sz w:val="21"/>
                <w:szCs w:val="21"/>
              </w:rPr>
              <w:t>2</w:t>
            </w:r>
          </w:p>
        </w:tc>
        <w:tc>
          <w:tcPr>
            <w:tcW w:w="764" w:type="pct"/>
            <w:vMerge w:val="restart"/>
            <w:tcBorders>
              <w:left w:val="single" w:color="auto" w:sz="8" w:space="0"/>
              <w:right w:val="single" w:color="auto" w:sz="8" w:space="0"/>
            </w:tcBorders>
            <w:vAlign w:val="center"/>
          </w:tcPr>
          <w:p w14:paraId="125E290C">
            <w:pPr>
              <w:spacing w:line="240" w:lineRule="auto"/>
              <w:ind w:firstLine="0" w:firstLineChars="0"/>
              <w:jc w:val="center"/>
              <w:rPr>
                <w:color w:val="000000"/>
                <w:sz w:val="21"/>
                <w:szCs w:val="21"/>
              </w:rPr>
            </w:pPr>
            <w:r>
              <w:rPr>
                <w:color w:val="000000"/>
                <w:sz w:val="21"/>
                <w:szCs w:val="21"/>
              </w:rPr>
              <w:t>防排水</w:t>
            </w:r>
          </w:p>
        </w:tc>
        <w:tc>
          <w:tcPr>
            <w:tcW w:w="1239"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415967AF">
            <w:pPr>
              <w:spacing w:line="240" w:lineRule="auto"/>
              <w:ind w:firstLine="0" w:firstLineChars="0"/>
              <w:jc w:val="center"/>
              <w:rPr>
                <w:color w:val="000000"/>
                <w:sz w:val="21"/>
                <w:szCs w:val="21"/>
              </w:rPr>
            </w:pPr>
            <w:r>
              <w:rPr>
                <w:color w:val="000000"/>
                <w:sz w:val="21"/>
                <w:szCs w:val="21"/>
              </w:rPr>
              <w:t>沉淀池围栏</w:t>
            </w:r>
          </w:p>
        </w:tc>
        <w:tc>
          <w:tcPr>
            <w:tcW w:w="439"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1DEB7281">
            <w:pPr>
              <w:spacing w:line="240" w:lineRule="auto"/>
              <w:ind w:firstLine="0" w:firstLineChars="0"/>
              <w:jc w:val="center"/>
              <w:rPr>
                <w:color w:val="000000"/>
                <w:sz w:val="21"/>
                <w:szCs w:val="21"/>
              </w:rPr>
            </w:pPr>
            <w:r>
              <w:rPr>
                <w:color w:val="000000"/>
                <w:sz w:val="21"/>
                <w:szCs w:val="21"/>
              </w:rPr>
              <w:t>m</w:t>
            </w:r>
          </w:p>
        </w:tc>
        <w:tc>
          <w:tcPr>
            <w:tcW w:w="431"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6C946EBD">
            <w:pPr>
              <w:spacing w:line="240" w:lineRule="auto"/>
              <w:ind w:firstLine="0" w:firstLineChars="0"/>
              <w:jc w:val="center"/>
              <w:rPr>
                <w:color w:val="000000"/>
                <w:sz w:val="21"/>
                <w:szCs w:val="21"/>
              </w:rPr>
            </w:pPr>
            <w:r>
              <w:rPr>
                <w:color w:val="000000"/>
                <w:sz w:val="21"/>
                <w:szCs w:val="21"/>
              </w:rPr>
              <w:t>25</w:t>
            </w:r>
          </w:p>
        </w:tc>
        <w:tc>
          <w:tcPr>
            <w:tcW w:w="646"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15694B7D">
            <w:pPr>
              <w:spacing w:line="240" w:lineRule="auto"/>
              <w:ind w:firstLine="0" w:firstLineChars="0"/>
              <w:jc w:val="center"/>
              <w:rPr>
                <w:color w:val="000000"/>
                <w:sz w:val="21"/>
                <w:szCs w:val="21"/>
              </w:rPr>
            </w:pPr>
            <w:r>
              <w:rPr>
                <w:color w:val="000000"/>
                <w:sz w:val="21"/>
                <w:szCs w:val="21"/>
              </w:rPr>
              <w:t>1</w:t>
            </w:r>
          </w:p>
        </w:tc>
        <w:tc>
          <w:tcPr>
            <w:tcW w:w="1152"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0381B396">
            <w:pPr>
              <w:spacing w:line="240" w:lineRule="auto"/>
              <w:ind w:firstLine="0" w:firstLineChars="0"/>
              <w:jc w:val="center"/>
              <w:rPr>
                <w:color w:val="000000"/>
                <w:sz w:val="21"/>
                <w:szCs w:val="21"/>
              </w:rPr>
            </w:pPr>
          </w:p>
        </w:tc>
      </w:tr>
      <w:tr w14:paraId="76F0B8A5">
        <w:tblPrEx>
          <w:tblCellMar>
            <w:top w:w="0" w:type="dxa"/>
            <w:left w:w="0" w:type="dxa"/>
            <w:bottom w:w="0" w:type="dxa"/>
            <w:right w:w="0" w:type="dxa"/>
          </w:tblCellMar>
        </w:tblPrEx>
        <w:trPr>
          <w:trHeight w:val="397" w:hRule="atLeast"/>
        </w:trPr>
        <w:tc>
          <w:tcPr>
            <w:tcW w:w="325" w:type="pct"/>
            <w:vMerge w:val="continue"/>
            <w:tcBorders>
              <w:left w:val="single" w:color="auto" w:sz="8" w:space="0"/>
              <w:bottom w:val="single" w:color="000000" w:sz="8" w:space="0"/>
              <w:right w:val="single" w:color="auto" w:sz="8" w:space="0"/>
            </w:tcBorders>
            <w:vAlign w:val="center"/>
          </w:tcPr>
          <w:p w14:paraId="3C4B1ACC">
            <w:pPr>
              <w:spacing w:line="240" w:lineRule="auto"/>
              <w:ind w:firstLine="0" w:firstLineChars="0"/>
              <w:jc w:val="center"/>
              <w:rPr>
                <w:color w:val="000000"/>
                <w:sz w:val="21"/>
                <w:szCs w:val="21"/>
              </w:rPr>
            </w:pPr>
          </w:p>
        </w:tc>
        <w:tc>
          <w:tcPr>
            <w:tcW w:w="764" w:type="pct"/>
            <w:vMerge w:val="continue"/>
            <w:tcBorders>
              <w:left w:val="single" w:color="auto" w:sz="8" w:space="0"/>
              <w:bottom w:val="single" w:color="000000" w:sz="8" w:space="0"/>
              <w:right w:val="single" w:color="auto" w:sz="8" w:space="0"/>
            </w:tcBorders>
            <w:vAlign w:val="center"/>
          </w:tcPr>
          <w:p w14:paraId="284FC872">
            <w:pPr>
              <w:spacing w:line="240" w:lineRule="auto"/>
              <w:ind w:firstLine="0" w:firstLineChars="0"/>
              <w:jc w:val="center"/>
              <w:rPr>
                <w:color w:val="000000"/>
                <w:sz w:val="21"/>
                <w:szCs w:val="21"/>
              </w:rPr>
            </w:pPr>
          </w:p>
        </w:tc>
        <w:tc>
          <w:tcPr>
            <w:tcW w:w="1239"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17C98A12">
            <w:pPr>
              <w:spacing w:line="240" w:lineRule="auto"/>
              <w:ind w:firstLine="0" w:firstLineChars="0"/>
              <w:jc w:val="center"/>
              <w:rPr>
                <w:color w:val="000000"/>
                <w:sz w:val="21"/>
                <w:szCs w:val="21"/>
              </w:rPr>
            </w:pPr>
            <w:r>
              <w:rPr>
                <w:color w:val="000000"/>
                <w:sz w:val="21"/>
                <w:szCs w:val="21"/>
              </w:rPr>
              <w:t>安全警示标志</w:t>
            </w:r>
          </w:p>
        </w:tc>
        <w:tc>
          <w:tcPr>
            <w:tcW w:w="439"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29C2810C">
            <w:pPr>
              <w:spacing w:line="240" w:lineRule="auto"/>
              <w:ind w:firstLine="0" w:firstLineChars="0"/>
              <w:jc w:val="center"/>
              <w:rPr>
                <w:color w:val="000000"/>
                <w:sz w:val="21"/>
                <w:szCs w:val="21"/>
              </w:rPr>
            </w:pPr>
            <w:r>
              <w:rPr>
                <w:color w:val="000000"/>
                <w:sz w:val="21"/>
                <w:szCs w:val="21"/>
              </w:rPr>
              <w:t>个</w:t>
            </w:r>
          </w:p>
        </w:tc>
        <w:tc>
          <w:tcPr>
            <w:tcW w:w="431"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25DD7F27">
            <w:pPr>
              <w:spacing w:line="240" w:lineRule="auto"/>
              <w:ind w:firstLine="0" w:firstLineChars="0"/>
              <w:jc w:val="center"/>
              <w:rPr>
                <w:color w:val="000000"/>
                <w:sz w:val="21"/>
                <w:szCs w:val="21"/>
              </w:rPr>
            </w:pPr>
            <w:r>
              <w:rPr>
                <w:color w:val="000000"/>
                <w:sz w:val="21"/>
                <w:szCs w:val="21"/>
              </w:rPr>
              <w:t>10</w:t>
            </w:r>
          </w:p>
        </w:tc>
        <w:tc>
          <w:tcPr>
            <w:tcW w:w="646"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3D63D42F">
            <w:pPr>
              <w:spacing w:line="240" w:lineRule="auto"/>
              <w:ind w:firstLine="0" w:firstLineChars="0"/>
              <w:jc w:val="center"/>
              <w:rPr>
                <w:color w:val="000000"/>
                <w:sz w:val="21"/>
                <w:szCs w:val="21"/>
              </w:rPr>
            </w:pPr>
            <w:r>
              <w:rPr>
                <w:color w:val="000000"/>
                <w:sz w:val="21"/>
                <w:szCs w:val="21"/>
              </w:rPr>
              <w:t>0.1</w:t>
            </w:r>
          </w:p>
        </w:tc>
        <w:tc>
          <w:tcPr>
            <w:tcW w:w="1152"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39CFE0D2">
            <w:pPr>
              <w:spacing w:line="240" w:lineRule="auto"/>
              <w:ind w:firstLine="0" w:firstLineChars="0"/>
              <w:jc w:val="center"/>
              <w:rPr>
                <w:color w:val="000000"/>
                <w:sz w:val="21"/>
                <w:szCs w:val="21"/>
              </w:rPr>
            </w:pPr>
          </w:p>
        </w:tc>
      </w:tr>
      <w:tr w14:paraId="00D67BBF">
        <w:tblPrEx>
          <w:tblCellMar>
            <w:top w:w="0" w:type="dxa"/>
            <w:left w:w="0" w:type="dxa"/>
            <w:bottom w:w="0" w:type="dxa"/>
            <w:right w:w="0" w:type="dxa"/>
          </w:tblCellMar>
        </w:tblPrEx>
        <w:trPr>
          <w:trHeight w:val="397" w:hRule="atLeast"/>
        </w:trPr>
        <w:tc>
          <w:tcPr>
            <w:tcW w:w="325" w:type="pct"/>
            <w:vMerge w:val="restart"/>
            <w:tcBorders>
              <w:top w:val="nil"/>
              <w:left w:val="single" w:color="auto" w:sz="8" w:space="0"/>
              <w:bottom w:val="single" w:color="000000" w:sz="8" w:space="0"/>
              <w:right w:val="single" w:color="auto" w:sz="8" w:space="0"/>
            </w:tcBorders>
            <w:shd w:val="clear" w:color="auto" w:fill="auto"/>
            <w:tcMar>
              <w:top w:w="15" w:type="dxa"/>
              <w:left w:w="15" w:type="dxa"/>
              <w:bottom w:w="0" w:type="dxa"/>
              <w:right w:w="15" w:type="dxa"/>
            </w:tcMar>
            <w:vAlign w:val="center"/>
          </w:tcPr>
          <w:p w14:paraId="0BE8826A">
            <w:pPr>
              <w:spacing w:line="240" w:lineRule="auto"/>
              <w:ind w:firstLine="0" w:firstLineChars="0"/>
              <w:jc w:val="center"/>
              <w:rPr>
                <w:color w:val="000000"/>
                <w:sz w:val="21"/>
                <w:szCs w:val="21"/>
              </w:rPr>
            </w:pPr>
            <w:r>
              <w:rPr>
                <w:color w:val="000000"/>
                <w:sz w:val="21"/>
                <w:szCs w:val="21"/>
              </w:rPr>
              <w:t>3</w:t>
            </w:r>
          </w:p>
        </w:tc>
        <w:tc>
          <w:tcPr>
            <w:tcW w:w="764" w:type="pct"/>
            <w:vMerge w:val="restart"/>
            <w:tcBorders>
              <w:top w:val="nil"/>
              <w:left w:val="single" w:color="auto" w:sz="8" w:space="0"/>
              <w:bottom w:val="single" w:color="000000" w:sz="8" w:space="0"/>
              <w:right w:val="single" w:color="auto" w:sz="8" w:space="0"/>
            </w:tcBorders>
            <w:shd w:val="clear" w:color="auto" w:fill="auto"/>
            <w:tcMar>
              <w:top w:w="15" w:type="dxa"/>
              <w:left w:w="15" w:type="dxa"/>
              <w:bottom w:w="0" w:type="dxa"/>
              <w:right w:w="15" w:type="dxa"/>
            </w:tcMar>
            <w:vAlign w:val="center"/>
          </w:tcPr>
          <w:p w14:paraId="71DFC258">
            <w:pPr>
              <w:spacing w:line="240" w:lineRule="auto"/>
              <w:ind w:firstLine="0" w:firstLineChars="0"/>
              <w:jc w:val="center"/>
              <w:rPr>
                <w:color w:val="000000"/>
                <w:sz w:val="21"/>
                <w:szCs w:val="21"/>
              </w:rPr>
            </w:pPr>
            <w:r>
              <w:rPr>
                <w:color w:val="000000"/>
                <w:sz w:val="21"/>
                <w:szCs w:val="21"/>
              </w:rPr>
              <w:t>开拓运输</w:t>
            </w:r>
          </w:p>
        </w:tc>
        <w:tc>
          <w:tcPr>
            <w:tcW w:w="1239"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302F9FC2">
            <w:pPr>
              <w:spacing w:line="240" w:lineRule="auto"/>
              <w:ind w:firstLine="0" w:firstLineChars="0"/>
              <w:jc w:val="center"/>
              <w:rPr>
                <w:color w:val="000000"/>
                <w:sz w:val="21"/>
                <w:szCs w:val="21"/>
              </w:rPr>
            </w:pPr>
            <w:r>
              <w:rPr>
                <w:color w:val="000000"/>
                <w:sz w:val="21"/>
                <w:szCs w:val="21"/>
              </w:rPr>
              <w:t>安全</w:t>
            </w:r>
            <w:r>
              <w:rPr>
                <w:rFonts w:hint="eastAsia"/>
                <w:color w:val="000000"/>
                <w:sz w:val="21"/>
                <w:szCs w:val="21"/>
              </w:rPr>
              <w:t>车挡</w:t>
            </w:r>
          </w:p>
        </w:tc>
        <w:tc>
          <w:tcPr>
            <w:tcW w:w="439"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2E109DA2">
            <w:pPr>
              <w:spacing w:line="240" w:lineRule="auto"/>
              <w:ind w:firstLine="0" w:firstLineChars="0"/>
              <w:jc w:val="center"/>
              <w:rPr>
                <w:color w:val="000000"/>
                <w:sz w:val="21"/>
                <w:szCs w:val="21"/>
              </w:rPr>
            </w:pPr>
            <w:r>
              <w:rPr>
                <w:color w:val="000000"/>
                <w:sz w:val="21"/>
                <w:szCs w:val="21"/>
              </w:rPr>
              <w:t>m</w:t>
            </w:r>
          </w:p>
        </w:tc>
        <w:tc>
          <w:tcPr>
            <w:tcW w:w="431"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4E7C269E">
            <w:pPr>
              <w:spacing w:line="240" w:lineRule="auto"/>
              <w:ind w:firstLine="0" w:firstLineChars="0"/>
              <w:jc w:val="center"/>
              <w:rPr>
                <w:color w:val="000000"/>
                <w:sz w:val="21"/>
                <w:szCs w:val="21"/>
              </w:rPr>
            </w:pPr>
            <w:r>
              <w:rPr>
                <w:rFonts w:hint="eastAsia"/>
                <w:color w:val="000000"/>
                <w:sz w:val="21"/>
                <w:szCs w:val="21"/>
              </w:rPr>
              <w:t>400</w:t>
            </w:r>
          </w:p>
        </w:tc>
        <w:tc>
          <w:tcPr>
            <w:tcW w:w="646"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0BE26247">
            <w:pPr>
              <w:spacing w:line="240" w:lineRule="auto"/>
              <w:ind w:firstLine="0" w:firstLineChars="0"/>
              <w:jc w:val="center"/>
              <w:rPr>
                <w:color w:val="000000"/>
                <w:sz w:val="21"/>
                <w:szCs w:val="21"/>
              </w:rPr>
            </w:pPr>
            <w:r>
              <w:rPr>
                <w:color w:val="000000"/>
                <w:sz w:val="21"/>
                <w:szCs w:val="21"/>
              </w:rPr>
              <w:t>5</w:t>
            </w:r>
          </w:p>
        </w:tc>
        <w:tc>
          <w:tcPr>
            <w:tcW w:w="1152"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06E10055">
            <w:pPr>
              <w:spacing w:line="240" w:lineRule="auto"/>
              <w:ind w:firstLine="0" w:firstLineChars="0"/>
              <w:jc w:val="center"/>
              <w:rPr>
                <w:color w:val="000000"/>
                <w:sz w:val="21"/>
                <w:szCs w:val="21"/>
              </w:rPr>
            </w:pPr>
            <w:r>
              <w:rPr>
                <w:color w:val="000000"/>
                <w:sz w:val="21"/>
                <w:szCs w:val="21"/>
              </w:rPr>
              <w:t>道路临边侧</w:t>
            </w:r>
          </w:p>
        </w:tc>
      </w:tr>
      <w:tr w14:paraId="34A3636D">
        <w:tblPrEx>
          <w:tblCellMar>
            <w:top w:w="0" w:type="dxa"/>
            <w:left w:w="0" w:type="dxa"/>
            <w:bottom w:w="0" w:type="dxa"/>
            <w:right w:w="0" w:type="dxa"/>
          </w:tblCellMar>
        </w:tblPrEx>
        <w:trPr>
          <w:trHeight w:val="397" w:hRule="atLeast"/>
        </w:trPr>
        <w:tc>
          <w:tcPr>
            <w:tcW w:w="325" w:type="pct"/>
            <w:vMerge w:val="continue"/>
            <w:tcBorders>
              <w:top w:val="nil"/>
              <w:left w:val="single" w:color="auto" w:sz="8" w:space="0"/>
              <w:bottom w:val="single" w:color="000000" w:sz="8" w:space="0"/>
              <w:right w:val="single" w:color="auto" w:sz="8" w:space="0"/>
            </w:tcBorders>
            <w:vAlign w:val="center"/>
          </w:tcPr>
          <w:p w14:paraId="3F561113">
            <w:pPr>
              <w:spacing w:line="240" w:lineRule="auto"/>
              <w:ind w:firstLine="0" w:firstLineChars="0"/>
              <w:jc w:val="center"/>
              <w:rPr>
                <w:color w:val="000000"/>
                <w:sz w:val="21"/>
                <w:szCs w:val="21"/>
              </w:rPr>
            </w:pPr>
          </w:p>
        </w:tc>
        <w:tc>
          <w:tcPr>
            <w:tcW w:w="764" w:type="pct"/>
            <w:vMerge w:val="continue"/>
            <w:tcBorders>
              <w:top w:val="nil"/>
              <w:left w:val="single" w:color="auto" w:sz="8" w:space="0"/>
              <w:bottom w:val="single" w:color="000000" w:sz="8" w:space="0"/>
              <w:right w:val="single" w:color="auto" w:sz="8" w:space="0"/>
            </w:tcBorders>
            <w:vAlign w:val="center"/>
          </w:tcPr>
          <w:p w14:paraId="63D9D2B4">
            <w:pPr>
              <w:spacing w:line="240" w:lineRule="auto"/>
              <w:ind w:firstLine="0" w:firstLineChars="0"/>
              <w:jc w:val="center"/>
              <w:rPr>
                <w:color w:val="000000"/>
                <w:sz w:val="21"/>
                <w:szCs w:val="21"/>
              </w:rPr>
            </w:pPr>
          </w:p>
        </w:tc>
        <w:tc>
          <w:tcPr>
            <w:tcW w:w="1239"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36752FAA">
            <w:pPr>
              <w:spacing w:line="240" w:lineRule="auto"/>
              <w:ind w:firstLine="0" w:firstLineChars="0"/>
              <w:jc w:val="center"/>
              <w:rPr>
                <w:color w:val="000000"/>
                <w:sz w:val="21"/>
                <w:szCs w:val="21"/>
              </w:rPr>
            </w:pPr>
            <w:r>
              <w:rPr>
                <w:color w:val="000000"/>
                <w:sz w:val="21"/>
                <w:szCs w:val="21"/>
              </w:rPr>
              <w:t>声光报警装置</w:t>
            </w:r>
          </w:p>
        </w:tc>
        <w:tc>
          <w:tcPr>
            <w:tcW w:w="439"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48B2524B">
            <w:pPr>
              <w:spacing w:line="240" w:lineRule="auto"/>
              <w:ind w:firstLine="0" w:firstLineChars="0"/>
              <w:jc w:val="center"/>
              <w:rPr>
                <w:color w:val="000000"/>
                <w:sz w:val="21"/>
                <w:szCs w:val="21"/>
              </w:rPr>
            </w:pPr>
            <w:r>
              <w:rPr>
                <w:color w:val="000000"/>
                <w:sz w:val="21"/>
                <w:szCs w:val="21"/>
              </w:rPr>
              <w:t>个</w:t>
            </w:r>
          </w:p>
        </w:tc>
        <w:tc>
          <w:tcPr>
            <w:tcW w:w="431"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7C0BD04C">
            <w:pPr>
              <w:spacing w:line="240" w:lineRule="auto"/>
              <w:ind w:firstLine="0" w:firstLineChars="0"/>
              <w:jc w:val="center"/>
              <w:rPr>
                <w:color w:val="000000"/>
                <w:sz w:val="21"/>
                <w:szCs w:val="21"/>
              </w:rPr>
            </w:pPr>
            <w:r>
              <w:rPr>
                <w:rFonts w:hint="eastAsia"/>
                <w:color w:val="000000"/>
                <w:sz w:val="21"/>
                <w:szCs w:val="21"/>
              </w:rPr>
              <w:t>4</w:t>
            </w:r>
          </w:p>
        </w:tc>
        <w:tc>
          <w:tcPr>
            <w:tcW w:w="646"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6C42F7A1">
            <w:pPr>
              <w:spacing w:line="240" w:lineRule="auto"/>
              <w:ind w:firstLine="0" w:firstLineChars="0"/>
              <w:jc w:val="center"/>
              <w:rPr>
                <w:color w:val="000000"/>
                <w:sz w:val="21"/>
                <w:szCs w:val="21"/>
              </w:rPr>
            </w:pPr>
            <w:r>
              <w:rPr>
                <w:color w:val="000000"/>
                <w:sz w:val="21"/>
                <w:szCs w:val="21"/>
              </w:rPr>
              <w:t>1.2</w:t>
            </w:r>
          </w:p>
        </w:tc>
        <w:tc>
          <w:tcPr>
            <w:tcW w:w="1152"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6022DDC9">
            <w:pPr>
              <w:spacing w:line="240" w:lineRule="auto"/>
              <w:ind w:firstLine="0" w:firstLineChars="0"/>
              <w:jc w:val="center"/>
              <w:rPr>
                <w:color w:val="000000"/>
                <w:sz w:val="21"/>
                <w:szCs w:val="21"/>
              </w:rPr>
            </w:pPr>
            <w:r>
              <w:rPr>
                <w:color w:val="000000"/>
                <w:sz w:val="21"/>
                <w:szCs w:val="21"/>
              </w:rPr>
              <w:t>运输汽车</w:t>
            </w:r>
          </w:p>
        </w:tc>
      </w:tr>
      <w:tr w14:paraId="3CBD381E">
        <w:tblPrEx>
          <w:tblCellMar>
            <w:top w:w="0" w:type="dxa"/>
            <w:left w:w="0" w:type="dxa"/>
            <w:bottom w:w="0" w:type="dxa"/>
            <w:right w:w="0" w:type="dxa"/>
          </w:tblCellMar>
        </w:tblPrEx>
        <w:trPr>
          <w:trHeight w:val="397" w:hRule="atLeast"/>
        </w:trPr>
        <w:tc>
          <w:tcPr>
            <w:tcW w:w="325" w:type="pct"/>
            <w:vMerge w:val="continue"/>
            <w:tcBorders>
              <w:top w:val="nil"/>
              <w:left w:val="single" w:color="auto" w:sz="8" w:space="0"/>
              <w:bottom w:val="single" w:color="auto" w:sz="4" w:space="0"/>
              <w:right w:val="single" w:color="auto" w:sz="8" w:space="0"/>
            </w:tcBorders>
            <w:vAlign w:val="center"/>
          </w:tcPr>
          <w:p w14:paraId="7B2A2CA7">
            <w:pPr>
              <w:spacing w:line="240" w:lineRule="auto"/>
              <w:ind w:firstLine="0" w:firstLineChars="0"/>
              <w:jc w:val="center"/>
              <w:rPr>
                <w:color w:val="000000"/>
                <w:sz w:val="21"/>
                <w:szCs w:val="21"/>
              </w:rPr>
            </w:pPr>
          </w:p>
        </w:tc>
        <w:tc>
          <w:tcPr>
            <w:tcW w:w="764" w:type="pct"/>
            <w:vMerge w:val="continue"/>
            <w:tcBorders>
              <w:top w:val="nil"/>
              <w:left w:val="single" w:color="auto" w:sz="8" w:space="0"/>
              <w:bottom w:val="single" w:color="auto" w:sz="4" w:space="0"/>
              <w:right w:val="single" w:color="auto" w:sz="8" w:space="0"/>
            </w:tcBorders>
            <w:vAlign w:val="center"/>
          </w:tcPr>
          <w:p w14:paraId="1BFFFDA1">
            <w:pPr>
              <w:spacing w:line="240" w:lineRule="auto"/>
              <w:ind w:firstLine="0" w:firstLineChars="0"/>
              <w:jc w:val="center"/>
              <w:rPr>
                <w:color w:val="000000"/>
                <w:sz w:val="21"/>
                <w:szCs w:val="21"/>
              </w:rPr>
            </w:pPr>
          </w:p>
        </w:tc>
        <w:tc>
          <w:tcPr>
            <w:tcW w:w="1239" w:type="pct"/>
            <w:tcBorders>
              <w:top w:val="nil"/>
              <w:left w:val="nil"/>
              <w:bottom w:val="single" w:color="auto" w:sz="4" w:space="0"/>
              <w:right w:val="single" w:color="auto" w:sz="8" w:space="0"/>
            </w:tcBorders>
            <w:shd w:val="clear" w:color="auto" w:fill="auto"/>
            <w:tcMar>
              <w:top w:w="15" w:type="dxa"/>
              <w:left w:w="15" w:type="dxa"/>
              <w:bottom w:w="0" w:type="dxa"/>
              <w:right w:w="15" w:type="dxa"/>
            </w:tcMar>
            <w:vAlign w:val="center"/>
          </w:tcPr>
          <w:p w14:paraId="46B1BFD0">
            <w:pPr>
              <w:spacing w:line="240" w:lineRule="auto"/>
              <w:ind w:firstLine="0" w:firstLineChars="0"/>
              <w:jc w:val="center"/>
              <w:rPr>
                <w:color w:val="000000"/>
                <w:sz w:val="21"/>
                <w:szCs w:val="21"/>
              </w:rPr>
            </w:pPr>
            <w:r>
              <w:rPr>
                <w:color w:val="000000"/>
                <w:sz w:val="21"/>
                <w:szCs w:val="21"/>
              </w:rPr>
              <w:t>安全标志、标识牌</w:t>
            </w:r>
          </w:p>
        </w:tc>
        <w:tc>
          <w:tcPr>
            <w:tcW w:w="439" w:type="pct"/>
            <w:tcBorders>
              <w:top w:val="nil"/>
              <w:left w:val="nil"/>
              <w:bottom w:val="single" w:color="auto" w:sz="4" w:space="0"/>
              <w:right w:val="single" w:color="auto" w:sz="8" w:space="0"/>
            </w:tcBorders>
            <w:shd w:val="clear" w:color="auto" w:fill="auto"/>
            <w:tcMar>
              <w:top w:w="15" w:type="dxa"/>
              <w:left w:w="15" w:type="dxa"/>
              <w:bottom w:w="0" w:type="dxa"/>
              <w:right w:w="15" w:type="dxa"/>
            </w:tcMar>
            <w:vAlign w:val="center"/>
          </w:tcPr>
          <w:p w14:paraId="2C185C7D">
            <w:pPr>
              <w:spacing w:line="240" w:lineRule="auto"/>
              <w:ind w:firstLine="0" w:firstLineChars="0"/>
              <w:jc w:val="center"/>
              <w:rPr>
                <w:color w:val="000000"/>
                <w:sz w:val="21"/>
                <w:szCs w:val="21"/>
              </w:rPr>
            </w:pPr>
            <w:r>
              <w:rPr>
                <w:color w:val="000000"/>
                <w:sz w:val="21"/>
                <w:szCs w:val="21"/>
              </w:rPr>
              <w:t>个</w:t>
            </w:r>
          </w:p>
        </w:tc>
        <w:tc>
          <w:tcPr>
            <w:tcW w:w="431" w:type="pct"/>
            <w:tcBorders>
              <w:top w:val="nil"/>
              <w:left w:val="nil"/>
              <w:bottom w:val="single" w:color="auto" w:sz="4" w:space="0"/>
              <w:right w:val="single" w:color="auto" w:sz="8" w:space="0"/>
            </w:tcBorders>
            <w:shd w:val="clear" w:color="auto" w:fill="auto"/>
            <w:tcMar>
              <w:top w:w="15" w:type="dxa"/>
              <w:left w:w="15" w:type="dxa"/>
              <w:bottom w:w="0" w:type="dxa"/>
              <w:right w:w="15" w:type="dxa"/>
            </w:tcMar>
            <w:vAlign w:val="center"/>
          </w:tcPr>
          <w:p w14:paraId="3DA0FDA7">
            <w:pPr>
              <w:spacing w:line="240" w:lineRule="auto"/>
              <w:ind w:firstLine="0" w:firstLineChars="0"/>
              <w:jc w:val="center"/>
              <w:rPr>
                <w:color w:val="000000"/>
                <w:sz w:val="21"/>
                <w:szCs w:val="21"/>
              </w:rPr>
            </w:pPr>
            <w:r>
              <w:rPr>
                <w:color w:val="000000"/>
                <w:sz w:val="21"/>
                <w:szCs w:val="21"/>
              </w:rPr>
              <w:t>80</w:t>
            </w:r>
          </w:p>
        </w:tc>
        <w:tc>
          <w:tcPr>
            <w:tcW w:w="646" w:type="pct"/>
            <w:tcBorders>
              <w:top w:val="nil"/>
              <w:left w:val="nil"/>
              <w:bottom w:val="single" w:color="auto" w:sz="4" w:space="0"/>
              <w:right w:val="single" w:color="auto" w:sz="8" w:space="0"/>
            </w:tcBorders>
            <w:shd w:val="clear" w:color="auto" w:fill="auto"/>
            <w:tcMar>
              <w:top w:w="15" w:type="dxa"/>
              <w:left w:w="15" w:type="dxa"/>
              <w:bottom w:w="0" w:type="dxa"/>
              <w:right w:w="15" w:type="dxa"/>
            </w:tcMar>
            <w:vAlign w:val="center"/>
          </w:tcPr>
          <w:p w14:paraId="642FCC21">
            <w:pPr>
              <w:spacing w:line="240" w:lineRule="auto"/>
              <w:ind w:firstLine="0" w:firstLineChars="0"/>
              <w:jc w:val="center"/>
              <w:rPr>
                <w:color w:val="000000"/>
                <w:sz w:val="21"/>
                <w:szCs w:val="21"/>
              </w:rPr>
            </w:pPr>
            <w:r>
              <w:rPr>
                <w:color w:val="000000"/>
                <w:sz w:val="21"/>
                <w:szCs w:val="21"/>
              </w:rPr>
              <w:t>5</w:t>
            </w:r>
          </w:p>
        </w:tc>
        <w:tc>
          <w:tcPr>
            <w:tcW w:w="1152" w:type="pct"/>
            <w:tcBorders>
              <w:top w:val="nil"/>
              <w:left w:val="nil"/>
              <w:bottom w:val="single" w:color="auto" w:sz="4" w:space="0"/>
              <w:right w:val="single" w:color="auto" w:sz="8" w:space="0"/>
            </w:tcBorders>
            <w:shd w:val="clear" w:color="auto" w:fill="auto"/>
            <w:tcMar>
              <w:top w:w="15" w:type="dxa"/>
              <w:left w:w="15" w:type="dxa"/>
              <w:bottom w:w="0" w:type="dxa"/>
              <w:right w:w="15" w:type="dxa"/>
            </w:tcMar>
            <w:vAlign w:val="center"/>
          </w:tcPr>
          <w:p w14:paraId="18B6ED60">
            <w:pPr>
              <w:spacing w:line="240" w:lineRule="auto"/>
              <w:ind w:firstLine="0" w:firstLineChars="0"/>
              <w:jc w:val="center"/>
              <w:rPr>
                <w:color w:val="000000"/>
                <w:sz w:val="21"/>
                <w:szCs w:val="21"/>
              </w:rPr>
            </w:pPr>
          </w:p>
        </w:tc>
      </w:tr>
      <w:tr w14:paraId="3FB8825F">
        <w:tblPrEx>
          <w:tblCellMar>
            <w:top w:w="0" w:type="dxa"/>
            <w:left w:w="0" w:type="dxa"/>
            <w:bottom w:w="0" w:type="dxa"/>
            <w:right w:w="0" w:type="dxa"/>
          </w:tblCellMar>
        </w:tblPrEx>
        <w:trPr>
          <w:trHeight w:val="397" w:hRule="atLeast"/>
        </w:trPr>
        <w:tc>
          <w:tcPr>
            <w:tcW w:w="325"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421EB23C">
            <w:pPr>
              <w:keepNext/>
              <w:keepLines/>
              <w:spacing w:line="240" w:lineRule="auto"/>
              <w:ind w:firstLine="0" w:firstLineChars="0"/>
              <w:jc w:val="center"/>
              <w:rPr>
                <w:color w:val="000000"/>
                <w:sz w:val="21"/>
                <w:szCs w:val="21"/>
              </w:rPr>
            </w:pPr>
            <w:r>
              <w:rPr>
                <w:color w:val="000000"/>
                <w:sz w:val="21"/>
                <w:szCs w:val="21"/>
              </w:rPr>
              <w:t>4</w:t>
            </w:r>
          </w:p>
        </w:tc>
        <w:tc>
          <w:tcPr>
            <w:tcW w:w="764"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2EA891BF">
            <w:pPr>
              <w:keepNext/>
              <w:keepLines/>
              <w:spacing w:line="240" w:lineRule="auto"/>
              <w:ind w:firstLine="0" w:firstLineChars="0"/>
              <w:jc w:val="center"/>
              <w:rPr>
                <w:color w:val="000000"/>
                <w:sz w:val="21"/>
                <w:szCs w:val="21"/>
              </w:rPr>
            </w:pPr>
            <w:r>
              <w:rPr>
                <w:color w:val="000000"/>
                <w:sz w:val="21"/>
                <w:szCs w:val="21"/>
              </w:rPr>
              <w:t>供、配电设施</w:t>
            </w:r>
          </w:p>
        </w:tc>
        <w:tc>
          <w:tcPr>
            <w:tcW w:w="123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13EC2016">
            <w:pPr>
              <w:keepNext/>
              <w:keepLines/>
              <w:spacing w:line="240" w:lineRule="auto"/>
              <w:ind w:firstLine="0" w:firstLineChars="0"/>
              <w:jc w:val="center"/>
              <w:rPr>
                <w:color w:val="000000"/>
                <w:sz w:val="21"/>
                <w:szCs w:val="21"/>
              </w:rPr>
            </w:pPr>
            <w:r>
              <w:rPr>
                <w:color w:val="000000"/>
                <w:sz w:val="21"/>
                <w:szCs w:val="21"/>
              </w:rPr>
              <w:t>裸带电体围栏</w:t>
            </w:r>
          </w:p>
        </w:tc>
        <w:tc>
          <w:tcPr>
            <w:tcW w:w="43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64979B58">
            <w:pPr>
              <w:keepNext/>
              <w:keepLines/>
              <w:spacing w:line="240" w:lineRule="auto"/>
              <w:ind w:firstLine="0" w:firstLineChars="0"/>
              <w:jc w:val="center"/>
              <w:rPr>
                <w:color w:val="000000"/>
                <w:sz w:val="21"/>
                <w:szCs w:val="21"/>
              </w:rPr>
            </w:pPr>
            <w:r>
              <w:rPr>
                <w:color w:val="000000"/>
                <w:sz w:val="21"/>
                <w:szCs w:val="21"/>
              </w:rPr>
              <w:t>m</w:t>
            </w:r>
          </w:p>
        </w:tc>
        <w:tc>
          <w:tcPr>
            <w:tcW w:w="43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272F7761">
            <w:pPr>
              <w:keepNext/>
              <w:keepLines/>
              <w:spacing w:line="240" w:lineRule="auto"/>
              <w:ind w:firstLine="0" w:firstLineChars="0"/>
              <w:jc w:val="center"/>
              <w:rPr>
                <w:color w:val="000000"/>
                <w:sz w:val="21"/>
                <w:szCs w:val="21"/>
              </w:rPr>
            </w:pPr>
            <w:r>
              <w:rPr>
                <w:color w:val="000000"/>
                <w:sz w:val="21"/>
                <w:szCs w:val="21"/>
              </w:rPr>
              <w:t>20</w:t>
            </w:r>
          </w:p>
        </w:tc>
        <w:tc>
          <w:tcPr>
            <w:tcW w:w="64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63039A1B">
            <w:pPr>
              <w:keepNext/>
              <w:keepLines/>
              <w:spacing w:line="240" w:lineRule="auto"/>
              <w:ind w:firstLine="0" w:firstLineChars="0"/>
              <w:jc w:val="center"/>
              <w:rPr>
                <w:color w:val="000000"/>
                <w:sz w:val="21"/>
                <w:szCs w:val="21"/>
              </w:rPr>
            </w:pPr>
            <w:r>
              <w:rPr>
                <w:color w:val="000000"/>
                <w:sz w:val="21"/>
                <w:szCs w:val="21"/>
              </w:rPr>
              <w:t>2</w:t>
            </w:r>
          </w:p>
        </w:tc>
        <w:tc>
          <w:tcPr>
            <w:tcW w:w="115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1C3BDDCB">
            <w:pPr>
              <w:keepNext/>
              <w:keepLines/>
              <w:spacing w:line="240" w:lineRule="auto"/>
              <w:ind w:firstLine="0" w:firstLineChars="0"/>
              <w:jc w:val="center"/>
              <w:rPr>
                <w:color w:val="000000"/>
                <w:sz w:val="21"/>
                <w:szCs w:val="21"/>
              </w:rPr>
            </w:pPr>
          </w:p>
        </w:tc>
      </w:tr>
      <w:tr w14:paraId="726AAFB6">
        <w:tblPrEx>
          <w:tblCellMar>
            <w:top w:w="0" w:type="dxa"/>
            <w:left w:w="0" w:type="dxa"/>
            <w:bottom w:w="0" w:type="dxa"/>
            <w:right w:w="0" w:type="dxa"/>
          </w:tblCellMar>
        </w:tblPrEx>
        <w:trPr>
          <w:trHeight w:val="397" w:hRule="atLeast"/>
        </w:trPr>
        <w:tc>
          <w:tcPr>
            <w:tcW w:w="325" w:type="pct"/>
            <w:vMerge w:val="continue"/>
            <w:tcBorders>
              <w:top w:val="single" w:color="auto" w:sz="4" w:space="0"/>
              <w:left w:val="single" w:color="auto" w:sz="4" w:space="0"/>
              <w:bottom w:val="single" w:color="auto" w:sz="4" w:space="0"/>
              <w:right w:val="single" w:color="auto" w:sz="4" w:space="0"/>
            </w:tcBorders>
            <w:vAlign w:val="center"/>
          </w:tcPr>
          <w:p w14:paraId="246E573F">
            <w:pPr>
              <w:spacing w:line="240" w:lineRule="auto"/>
              <w:ind w:firstLine="0" w:firstLineChars="0"/>
              <w:jc w:val="center"/>
              <w:rPr>
                <w:color w:val="000000"/>
                <w:sz w:val="21"/>
                <w:szCs w:val="21"/>
              </w:rPr>
            </w:pPr>
          </w:p>
        </w:tc>
        <w:tc>
          <w:tcPr>
            <w:tcW w:w="764" w:type="pct"/>
            <w:vMerge w:val="continue"/>
            <w:tcBorders>
              <w:top w:val="single" w:color="auto" w:sz="4" w:space="0"/>
              <w:left w:val="single" w:color="auto" w:sz="4" w:space="0"/>
              <w:bottom w:val="single" w:color="auto" w:sz="4" w:space="0"/>
              <w:right w:val="single" w:color="auto" w:sz="4" w:space="0"/>
            </w:tcBorders>
            <w:vAlign w:val="center"/>
          </w:tcPr>
          <w:p w14:paraId="3815D278">
            <w:pPr>
              <w:spacing w:line="240" w:lineRule="auto"/>
              <w:ind w:firstLine="0" w:firstLineChars="0"/>
              <w:jc w:val="center"/>
              <w:rPr>
                <w:color w:val="000000"/>
                <w:sz w:val="21"/>
                <w:szCs w:val="21"/>
              </w:rPr>
            </w:pPr>
          </w:p>
        </w:tc>
        <w:tc>
          <w:tcPr>
            <w:tcW w:w="123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3838237B">
            <w:pPr>
              <w:spacing w:line="240" w:lineRule="auto"/>
              <w:ind w:firstLine="0" w:firstLineChars="0"/>
              <w:jc w:val="center"/>
              <w:rPr>
                <w:color w:val="000000"/>
                <w:sz w:val="21"/>
                <w:szCs w:val="21"/>
              </w:rPr>
            </w:pPr>
            <w:r>
              <w:rPr>
                <w:color w:val="000000"/>
                <w:sz w:val="21"/>
                <w:szCs w:val="21"/>
              </w:rPr>
              <w:t>乙级防火门</w:t>
            </w:r>
          </w:p>
        </w:tc>
        <w:tc>
          <w:tcPr>
            <w:tcW w:w="43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5CB5F003">
            <w:pPr>
              <w:spacing w:line="240" w:lineRule="auto"/>
              <w:ind w:firstLine="0" w:firstLineChars="0"/>
              <w:jc w:val="center"/>
              <w:rPr>
                <w:color w:val="000000"/>
                <w:sz w:val="21"/>
                <w:szCs w:val="21"/>
              </w:rPr>
            </w:pPr>
            <w:r>
              <w:rPr>
                <w:color w:val="000000"/>
                <w:sz w:val="21"/>
                <w:szCs w:val="21"/>
              </w:rPr>
              <w:t>个</w:t>
            </w:r>
          </w:p>
        </w:tc>
        <w:tc>
          <w:tcPr>
            <w:tcW w:w="43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4AC5841F">
            <w:pPr>
              <w:spacing w:line="240" w:lineRule="auto"/>
              <w:ind w:firstLine="0" w:firstLineChars="0"/>
              <w:jc w:val="center"/>
              <w:rPr>
                <w:color w:val="000000"/>
                <w:sz w:val="21"/>
                <w:szCs w:val="21"/>
              </w:rPr>
            </w:pPr>
            <w:r>
              <w:rPr>
                <w:color w:val="000000"/>
                <w:sz w:val="21"/>
                <w:szCs w:val="21"/>
              </w:rPr>
              <w:t>2</w:t>
            </w:r>
          </w:p>
        </w:tc>
        <w:tc>
          <w:tcPr>
            <w:tcW w:w="64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166A7BB8">
            <w:pPr>
              <w:spacing w:line="240" w:lineRule="auto"/>
              <w:ind w:firstLine="0" w:firstLineChars="0"/>
              <w:jc w:val="center"/>
              <w:rPr>
                <w:color w:val="000000"/>
                <w:sz w:val="21"/>
                <w:szCs w:val="21"/>
              </w:rPr>
            </w:pPr>
            <w:r>
              <w:rPr>
                <w:color w:val="000000"/>
                <w:sz w:val="21"/>
                <w:szCs w:val="21"/>
              </w:rPr>
              <w:t>2</w:t>
            </w:r>
          </w:p>
        </w:tc>
        <w:tc>
          <w:tcPr>
            <w:tcW w:w="115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0E190F40">
            <w:pPr>
              <w:spacing w:line="240" w:lineRule="auto"/>
              <w:ind w:firstLine="0" w:firstLineChars="0"/>
              <w:jc w:val="center"/>
              <w:rPr>
                <w:color w:val="000000"/>
                <w:sz w:val="21"/>
                <w:szCs w:val="21"/>
              </w:rPr>
            </w:pPr>
          </w:p>
        </w:tc>
      </w:tr>
      <w:tr w14:paraId="110BF063">
        <w:tblPrEx>
          <w:tblCellMar>
            <w:top w:w="0" w:type="dxa"/>
            <w:left w:w="0" w:type="dxa"/>
            <w:bottom w:w="0" w:type="dxa"/>
            <w:right w:w="0" w:type="dxa"/>
          </w:tblCellMar>
        </w:tblPrEx>
        <w:trPr>
          <w:trHeight w:val="397" w:hRule="atLeast"/>
        </w:trPr>
        <w:tc>
          <w:tcPr>
            <w:tcW w:w="325" w:type="pct"/>
            <w:vMerge w:val="continue"/>
            <w:tcBorders>
              <w:top w:val="single" w:color="auto" w:sz="4" w:space="0"/>
              <w:left w:val="single" w:color="auto" w:sz="4" w:space="0"/>
              <w:bottom w:val="single" w:color="auto" w:sz="4" w:space="0"/>
              <w:right w:val="single" w:color="auto" w:sz="4" w:space="0"/>
            </w:tcBorders>
            <w:vAlign w:val="center"/>
          </w:tcPr>
          <w:p w14:paraId="01E3D26E">
            <w:pPr>
              <w:spacing w:line="240" w:lineRule="auto"/>
              <w:ind w:firstLine="0" w:firstLineChars="0"/>
              <w:jc w:val="center"/>
              <w:rPr>
                <w:color w:val="000000"/>
                <w:sz w:val="21"/>
                <w:szCs w:val="21"/>
              </w:rPr>
            </w:pPr>
          </w:p>
        </w:tc>
        <w:tc>
          <w:tcPr>
            <w:tcW w:w="764" w:type="pct"/>
            <w:vMerge w:val="continue"/>
            <w:tcBorders>
              <w:top w:val="single" w:color="auto" w:sz="4" w:space="0"/>
              <w:left w:val="single" w:color="auto" w:sz="4" w:space="0"/>
              <w:bottom w:val="single" w:color="auto" w:sz="4" w:space="0"/>
              <w:right w:val="single" w:color="auto" w:sz="4" w:space="0"/>
            </w:tcBorders>
            <w:vAlign w:val="center"/>
          </w:tcPr>
          <w:p w14:paraId="1C0C7C70">
            <w:pPr>
              <w:spacing w:line="240" w:lineRule="auto"/>
              <w:ind w:firstLine="0" w:firstLineChars="0"/>
              <w:jc w:val="center"/>
              <w:rPr>
                <w:color w:val="000000"/>
                <w:sz w:val="21"/>
                <w:szCs w:val="21"/>
              </w:rPr>
            </w:pPr>
          </w:p>
        </w:tc>
        <w:tc>
          <w:tcPr>
            <w:tcW w:w="123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260E8A31">
            <w:pPr>
              <w:spacing w:line="240" w:lineRule="auto"/>
              <w:ind w:firstLine="0" w:firstLineChars="0"/>
              <w:jc w:val="center"/>
              <w:rPr>
                <w:color w:val="000000"/>
                <w:sz w:val="21"/>
                <w:szCs w:val="21"/>
              </w:rPr>
            </w:pPr>
            <w:r>
              <w:rPr>
                <w:color w:val="000000"/>
                <w:sz w:val="21"/>
                <w:szCs w:val="21"/>
              </w:rPr>
              <w:t>主接地极</w:t>
            </w:r>
          </w:p>
        </w:tc>
        <w:tc>
          <w:tcPr>
            <w:tcW w:w="43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16D83872">
            <w:pPr>
              <w:spacing w:line="240" w:lineRule="auto"/>
              <w:ind w:firstLine="0" w:firstLineChars="0"/>
              <w:jc w:val="center"/>
              <w:rPr>
                <w:color w:val="000000"/>
                <w:sz w:val="21"/>
                <w:szCs w:val="21"/>
              </w:rPr>
            </w:pPr>
            <w:r>
              <w:rPr>
                <w:color w:val="000000"/>
                <w:sz w:val="21"/>
                <w:szCs w:val="21"/>
              </w:rPr>
              <w:t>组</w:t>
            </w:r>
          </w:p>
        </w:tc>
        <w:tc>
          <w:tcPr>
            <w:tcW w:w="43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7FFA1B31">
            <w:pPr>
              <w:spacing w:line="240" w:lineRule="auto"/>
              <w:ind w:firstLine="0" w:firstLineChars="0"/>
              <w:jc w:val="center"/>
              <w:rPr>
                <w:color w:val="000000"/>
                <w:sz w:val="21"/>
                <w:szCs w:val="21"/>
              </w:rPr>
            </w:pPr>
            <w:r>
              <w:rPr>
                <w:color w:val="000000"/>
                <w:sz w:val="21"/>
                <w:szCs w:val="21"/>
              </w:rPr>
              <w:t>2</w:t>
            </w:r>
          </w:p>
        </w:tc>
        <w:tc>
          <w:tcPr>
            <w:tcW w:w="64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38F22654">
            <w:pPr>
              <w:spacing w:line="240" w:lineRule="auto"/>
              <w:ind w:firstLine="0" w:firstLineChars="0"/>
              <w:jc w:val="center"/>
              <w:rPr>
                <w:color w:val="000000"/>
                <w:sz w:val="21"/>
                <w:szCs w:val="21"/>
              </w:rPr>
            </w:pPr>
            <w:r>
              <w:rPr>
                <w:color w:val="000000"/>
                <w:sz w:val="21"/>
                <w:szCs w:val="21"/>
              </w:rPr>
              <w:t>0.5</w:t>
            </w:r>
          </w:p>
        </w:tc>
        <w:tc>
          <w:tcPr>
            <w:tcW w:w="115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3CB54459">
            <w:pPr>
              <w:spacing w:line="240" w:lineRule="auto"/>
              <w:ind w:firstLine="0" w:firstLineChars="0"/>
              <w:jc w:val="center"/>
              <w:rPr>
                <w:color w:val="000000"/>
                <w:sz w:val="21"/>
                <w:szCs w:val="21"/>
              </w:rPr>
            </w:pPr>
          </w:p>
        </w:tc>
      </w:tr>
      <w:tr w14:paraId="597CB537">
        <w:tblPrEx>
          <w:tblCellMar>
            <w:top w:w="0" w:type="dxa"/>
            <w:left w:w="0" w:type="dxa"/>
            <w:bottom w:w="0" w:type="dxa"/>
            <w:right w:w="0" w:type="dxa"/>
          </w:tblCellMar>
        </w:tblPrEx>
        <w:trPr>
          <w:trHeight w:val="397" w:hRule="atLeast"/>
        </w:trPr>
        <w:tc>
          <w:tcPr>
            <w:tcW w:w="325" w:type="pct"/>
            <w:vMerge w:val="continue"/>
            <w:tcBorders>
              <w:top w:val="single" w:color="auto" w:sz="4" w:space="0"/>
              <w:left w:val="single" w:color="auto" w:sz="4" w:space="0"/>
              <w:bottom w:val="single" w:color="auto" w:sz="4" w:space="0"/>
              <w:right w:val="single" w:color="auto" w:sz="4" w:space="0"/>
            </w:tcBorders>
            <w:vAlign w:val="center"/>
          </w:tcPr>
          <w:p w14:paraId="1211C894">
            <w:pPr>
              <w:spacing w:line="240" w:lineRule="auto"/>
              <w:ind w:firstLine="0" w:firstLineChars="0"/>
              <w:jc w:val="center"/>
              <w:rPr>
                <w:color w:val="000000"/>
                <w:sz w:val="21"/>
                <w:szCs w:val="21"/>
              </w:rPr>
            </w:pPr>
          </w:p>
        </w:tc>
        <w:tc>
          <w:tcPr>
            <w:tcW w:w="764" w:type="pct"/>
            <w:vMerge w:val="continue"/>
            <w:tcBorders>
              <w:top w:val="single" w:color="auto" w:sz="4" w:space="0"/>
              <w:left w:val="single" w:color="auto" w:sz="4" w:space="0"/>
              <w:bottom w:val="single" w:color="auto" w:sz="4" w:space="0"/>
              <w:right w:val="single" w:color="auto" w:sz="4" w:space="0"/>
            </w:tcBorders>
            <w:vAlign w:val="center"/>
          </w:tcPr>
          <w:p w14:paraId="4F489B99">
            <w:pPr>
              <w:spacing w:line="240" w:lineRule="auto"/>
              <w:ind w:firstLine="0" w:firstLineChars="0"/>
              <w:jc w:val="center"/>
              <w:rPr>
                <w:color w:val="000000"/>
                <w:sz w:val="21"/>
                <w:szCs w:val="21"/>
              </w:rPr>
            </w:pPr>
          </w:p>
        </w:tc>
        <w:tc>
          <w:tcPr>
            <w:tcW w:w="123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2F862183">
            <w:pPr>
              <w:spacing w:line="240" w:lineRule="auto"/>
              <w:ind w:firstLine="0" w:firstLineChars="0"/>
              <w:jc w:val="center"/>
              <w:rPr>
                <w:color w:val="000000"/>
                <w:sz w:val="21"/>
                <w:szCs w:val="21"/>
              </w:rPr>
            </w:pPr>
            <w:r>
              <w:rPr>
                <w:color w:val="000000"/>
                <w:sz w:val="21"/>
                <w:szCs w:val="21"/>
              </w:rPr>
              <w:t>局部接地极</w:t>
            </w:r>
          </w:p>
        </w:tc>
        <w:tc>
          <w:tcPr>
            <w:tcW w:w="43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47C06BC4">
            <w:pPr>
              <w:spacing w:line="240" w:lineRule="auto"/>
              <w:ind w:firstLine="0" w:firstLineChars="0"/>
              <w:jc w:val="center"/>
              <w:rPr>
                <w:color w:val="000000"/>
                <w:sz w:val="21"/>
                <w:szCs w:val="21"/>
              </w:rPr>
            </w:pPr>
            <w:r>
              <w:rPr>
                <w:color w:val="000000"/>
                <w:sz w:val="21"/>
                <w:szCs w:val="21"/>
              </w:rPr>
              <w:t>组</w:t>
            </w:r>
          </w:p>
        </w:tc>
        <w:tc>
          <w:tcPr>
            <w:tcW w:w="43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3BF31B7D">
            <w:pPr>
              <w:spacing w:line="240" w:lineRule="auto"/>
              <w:ind w:firstLine="0" w:firstLineChars="0"/>
              <w:jc w:val="center"/>
              <w:rPr>
                <w:color w:val="000000"/>
                <w:sz w:val="21"/>
                <w:szCs w:val="21"/>
              </w:rPr>
            </w:pPr>
            <w:r>
              <w:rPr>
                <w:color w:val="000000"/>
                <w:sz w:val="21"/>
                <w:szCs w:val="21"/>
              </w:rPr>
              <w:t>10</w:t>
            </w:r>
          </w:p>
        </w:tc>
        <w:tc>
          <w:tcPr>
            <w:tcW w:w="64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787269B7">
            <w:pPr>
              <w:spacing w:line="240" w:lineRule="auto"/>
              <w:ind w:firstLine="0" w:firstLineChars="0"/>
              <w:jc w:val="center"/>
              <w:rPr>
                <w:color w:val="000000"/>
                <w:sz w:val="21"/>
                <w:szCs w:val="21"/>
              </w:rPr>
            </w:pPr>
            <w:r>
              <w:rPr>
                <w:color w:val="000000"/>
                <w:sz w:val="21"/>
                <w:szCs w:val="21"/>
              </w:rPr>
              <w:t>1</w:t>
            </w:r>
          </w:p>
        </w:tc>
        <w:tc>
          <w:tcPr>
            <w:tcW w:w="115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584E937B">
            <w:pPr>
              <w:spacing w:line="240" w:lineRule="auto"/>
              <w:ind w:firstLine="0" w:firstLineChars="0"/>
              <w:jc w:val="center"/>
              <w:rPr>
                <w:color w:val="000000"/>
                <w:sz w:val="21"/>
                <w:szCs w:val="21"/>
              </w:rPr>
            </w:pPr>
          </w:p>
        </w:tc>
      </w:tr>
      <w:tr w14:paraId="6804C089">
        <w:tblPrEx>
          <w:tblCellMar>
            <w:top w:w="0" w:type="dxa"/>
            <w:left w:w="0" w:type="dxa"/>
            <w:bottom w:w="0" w:type="dxa"/>
            <w:right w:w="0" w:type="dxa"/>
          </w:tblCellMar>
        </w:tblPrEx>
        <w:trPr>
          <w:trHeight w:val="397" w:hRule="atLeast"/>
        </w:trPr>
        <w:tc>
          <w:tcPr>
            <w:tcW w:w="325" w:type="pct"/>
            <w:vMerge w:val="continue"/>
            <w:tcBorders>
              <w:top w:val="single" w:color="auto" w:sz="4" w:space="0"/>
              <w:left w:val="single" w:color="auto" w:sz="4" w:space="0"/>
              <w:bottom w:val="single" w:color="000000" w:sz="8" w:space="0"/>
              <w:right w:val="single" w:color="auto" w:sz="8" w:space="0"/>
            </w:tcBorders>
            <w:vAlign w:val="center"/>
          </w:tcPr>
          <w:p w14:paraId="2040EF86">
            <w:pPr>
              <w:spacing w:line="240" w:lineRule="auto"/>
              <w:ind w:firstLine="0" w:firstLineChars="0"/>
              <w:jc w:val="center"/>
              <w:rPr>
                <w:color w:val="000000"/>
                <w:sz w:val="21"/>
                <w:szCs w:val="21"/>
              </w:rPr>
            </w:pPr>
          </w:p>
        </w:tc>
        <w:tc>
          <w:tcPr>
            <w:tcW w:w="764" w:type="pct"/>
            <w:vMerge w:val="continue"/>
            <w:tcBorders>
              <w:top w:val="single" w:color="auto" w:sz="4" w:space="0"/>
              <w:left w:val="single" w:color="auto" w:sz="8" w:space="0"/>
              <w:bottom w:val="single" w:color="000000" w:sz="8" w:space="0"/>
              <w:right w:val="single" w:color="auto" w:sz="8" w:space="0"/>
            </w:tcBorders>
            <w:vAlign w:val="center"/>
          </w:tcPr>
          <w:p w14:paraId="7631BAC6">
            <w:pPr>
              <w:spacing w:line="240" w:lineRule="auto"/>
              <w:ind w:firstLine="0" w:firstLineChars="0"/>
              <w:jc w:val="center"/>
              <w:rPr>
                <w:color w:val="000000"/>
                <w:sz w:val="21"/>
                <w:szCs w:val="21"/>
              </w:rPr>
            </w:pPr>
          </w:p>
        </w:tc>
        <w:tc>
          <w:tcPr>
            <w:tcW w:w="1239" w:type="pct"/>
            <w:tcBorders>
              <w:top w:val="single" w:color="auto" w:sz="4" w:space="0"/>
              <w:left w:val="nil"/>
              <w:bottom w:val="single" w:color="auto" w:sz="8" w:space="0"/>
              <w:right w:val="single" w:color="auto" w:sz="8" w:space="0"/>
            </w:tcBorders>
            <w:shd w:val="clear" w:color="auto" w:fill="auto"/>
            <w:tcMar>
              <w:top w:w="15" w:type="dxa"/>
              <w:left w:w="15" w:type="dxa"/>
              <w:bottom w:w="0" w:type="dxa"/>
              <w:right w:w="15" w:type="dxa"/>
            </w:tcMar>
            <w:vAlign w:val="center"/>
          </w:tcPr>
          <w:p w14:paraId="6CD728A0">
            <w:pPr>
              <w:spacing w:line="240" w:lineRule="auto"/>
              <w:ind w:firstLine="0" w:firstLineChars="0"/>
              <w:jc w:val="center"/>
              <w:rPr>
                <w:color w:val="000000"/>
                <w:sz w:val="21"/>
                <w:szCs w:val="21"/>
              </w:rPr>
            </w:pPr>
            <w:r>
              <w:rPr>
                <w:color w:val="000000"/>
                <w:sz w:val="21"/>
                <w:szCs w:val="21"/>
              </w:rPr>
              <w:t>接地干线</w:t>
            </w:r>
          </w:p>
        </w:tc>
        <w:tc>
          <w:tcPr>
            <w:tcW w:w="439" w:type="pct"/>
            <w:tcBorders>
              <w:top w:val="single" w:color="auto" w:sz="4" w:space="0"/>
              <w:left w:val="nil"/>
              <w:bottom w:val="single" w:color="auto" w:sz="8" w:space="0"/>
              <w:right w:val="single" w:color="auto" w:sz="8" w:space="0"/>
            </w:tcBorders>
            <w:shd w:val="clear" w:color="auto" w:fill="auto"/>
            <w:tcMar>
              <w:top w:w="15" w:type="dxa"/>
              <w:left w:w="15" w:type="dxa"/>
              <w:bottom w:w="0" w:type="dxa"/>
              <w:right w:w="15" w:type="dxa"/>
            </w:tcMar>
            <w:vAlign w:val="center"/>
          </w:tcPr>
          <w:p w14:paraId="153E7525">
            <w:pPr>
              <w:spacing w:line="240" w:lineRule="auto"/>
              <w:ind w:firstLine="0" w:firstLineChars="0"/>
              <w:jc w:val="center"/>
              <w:rPr>
                <w:color w:val="000000"/>
                <w:sz w:val="21"/>
                <w:szCs w:val="21"/>
              </w:rPr>
            </w:pPr>
            <w:r>
              <w:rPr>
                <w:color w:val="000000"/>
                <w:sz w:val="21"/>
                <w:szCs w:val="21"/>
              </w:rPr>
              <w:t>m</w:t>
            </w:r>
          </w:p>
        </w:tc>
        <w:tc>
          <w:tcPr>
            <w:tcW w:w="431" w:type="pct"/>
            <w:tcBorders>
              <w:top w:val="single" w:color="auto" w:sz="4" w:space="0"/>
              <w:left w:val="nil"/>
              <w:bottom w:val="single" w:color="auto" w:sz="8" w:space="0"/>
              <w:right w:val="single" w:color="auto" w:sz="8" w:space="0"/>
            </w:tcBorders>
            <w:shd w:val="clear" w:color="auto" w:fill="auto"/>
            <w:tcMar>
              <w:top w:w="15" w:type="dxa"/>
              <w:left w:w="15" w:type="dxa"/>
              <w:bottom w:w="0" w:type="dxa"/>
              <w:right w:w="15" w:type="dxa"/>
            </w:tcMar>
            <w:vAlign w:val="center"/>
          </w:tcPr>
          <w:p w14:paraId="1820B907">
            <w:pPr>
              <w:spacing w:line="240" w:lineRule="auto"/>
              <w:ind w:firstLine="0" w:firstLineChars="0"/>
              <w:jc w:val="center"/>
              <w:rPr>
                <w:color w:val="000000"/>
                <w:sz w:val="21"/>
                <w:szCs w:val="21"/>
              </w:rPr>
            </w:pPr>
            <w:r>
              <w:rPr>
                <w:color w:val="000000"/>
                <w:sz w:val="21"/>
                <w:szCs w:val="21"/>
              </w:rPr>
              <w:t>280</w:t>
            </w:r>
          </w:p>
        </w:tc>
        <w:tc>
          <w:tcPr>
            <w:tcW w:w="646" w:type="pct"/>
            <w:tcBorders>
              <w:top w:val="single" w:color="auto" w:sz="4" w:space="0"/>
              <w:left w:val="nil"/>
              <w:bottom w:val="single" w:color="auto" w:sz="8" w:space="0"/>
              <w:right w:val="single" w:color="auto" w:sz="8" w:space="0"/>
            </w:tcBorders>
            <w:shd w:val="clear" w:color="auto" w:fill="auto"/>
            <w:tcMar>
              <w:top w:w="15" w:type="dxa"/>
              <w:left w:w="15" w:type="dxa"/>
              <w:bottom w:w="0" w:type="dxa"/>
              <w:right w:w="15" w:type="dxa"/>
            </w:tcMar>
            <w:vAlign w:val="center"/>
          </w:tcPr>
          <w:p w14:paraId="3A66F7F1">
            <w:pPr>
              <w:spacing w:line="240" w:lineRule="auto"/>
              <w:ind w:firstLine="0" w:firstLineChars="0"/>
              <w:jc w:val="center"/>
              <w:rPr>
                <w:color w:val="000000"/>
                <w:sz w:val="21"/>
                <w:szCs w:val="21"/>
              </w:rPr>
            </w:pPr>
            <w:r>
              <w:rPr>
                <w:color w:val="000000"/>
                <w:sz w:val="21"/>
                <w:szCs w:val="21"/>
              </w:rPr>
              <w:t>1.2</w:t>
            </w:r>
          </w:p>
        </w:tc>
        <w:tc>
          <w:tcPr>
            <w:tcW w:w="1152" w:type="pct"/>
            <w:tcBorders>
              <w:top w:val="single" w:color="auto" w:sz="4" w:space="0"/>
              <w:left w:val="nil"/>
              <w:bottom w:val="single" w:color="auto" w:sz="8" w:space="0"/>
              <w:right w:val="single" w:color="auto" w:sz="8" w:space="0"/>
            </w:tcBorders>
            <w:shd w:val="clear" w:color="auto" w:fill="auto"/>
            <w:tcMar>
              <w:top w:w="15" w:type="dxa"/>
              <w:left w:w="15" w:type="dxa"/>
              <w:bottom w:w="0" w:type="dxa"/>
              <w:right w:w="15" w:type="dxa"/>
            </w:tcMar>
            <w:vAlign w:val="center"/>
          </w:tcPr>
          <w:p w14:paraId="1B42AD72">
            <w:pPr>
              <w:spacing w:line="240" w:lineRule="auto"/>
              <w:ind w:firstLine="0" w:firstLineChars="0"/>
              <w:jc w:val="center"/>
              <w:rPr>
                <w:color w:val="000000"/>
                <w:sz w:val="21"/>
                <w:szCs w:val="21"/>
              </w:rPr>
            </w:pPr>
          </w:p>
        </w:tc>
      </w:tr>
      <w:tr w14:paraId="123C1821">
        <w:tblPrEx>
          <w:tblCellMar>
            <w:top w:w="0" w:type="dxa"/>
            <w:left w:w="0" w:type="dxa"/>
            <w:bottom w:w="0" w:type="dxa"/>
            <w:right w:w="0" w:type="dxa"/>
          </w:tblCellMar>
        </w:tblPrEx>
        <w:trPr>
          <w:trHeight w:val="397" w:hRule="atLeast"/>
        </w:trPr>
        <w:tc>
          <w:tcPr>
            <w:tcW w:w="325" w:type="pct"/>
            <w:vMerge w:val="continue"/>
            <w:tcBorders>
              <w:top w:val="nil"/>
              <w:left w:val="single" w:color="auto" w:sz="4" w:space="0"/>
              <w:bottom w:val="single" w:color="000000" w:sz="8" w:space="0"/>
              <w:right w:val="single" w:color="auto" w:sz="8" w:space="0"/>
            </w:tcBorders>
            <w:vAlign w:val="center"/>
          </w:tcPr>
          <w:p w14:paraId="195B249C">
            <w:pPr>
              <w:spacing w:line="240" w:lineRule="auto"/>
              <w:ind w:firstLine="0" w:firstLineChars="0"/>
              <w:jc w:val="center"/>
              <w:rPr>
                <w:color w:val="000000"/>
                <w:sz w:val="21"/>
                <w:szCs w:val="21"/>
              </w:rPr>
            </w:pPr>
          </w:p>
        </w:tc>
        <w:tc>
          <w:tcPr>
            <w:tcW w:w="764" w:type="pct"/>
            <w:vMerge w:val="continue"/>
            <w:tcBorders>
              <w:top w:val="nil"/>
              <w:left w:val="single" w:color="auto" w:sz="8" w:space="0"/>
              <w:bottom w:val="single" w:color="000000" w:sz="8" w:space="0"/>
              <w:right w:val="single" w:color="auto" w:sz="8" w:space="0"/>
            </w:tcBorders>
            <w:vAlign w:val="center"/>
          </w:tcPr>
          <w:p w14:paraId="58982A2B">
            <w:pPr>
              <w:spacing w:line="240" w:lineRule="auto"/>
              <w:ind w:firstLine="0" w:firstLineChars="0"/>
              <w:jc w:val="center"/>
              <w:rPr>
                <w:color w:val="000000"/>
                <w:sz w:val="21"/>
                <w:szCs w:val="21"/>
              </w:rPr>
            </w:pPr>
          </w:p>
        </w:tc>
        <w:tc>
          <w:tcPr>
            <w:tcW w:w="1239"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6096A7FC">
            <w:pPr>
              <w:spacing w:line="240" w:lineRule="auto"/>
              <w:ind w:firstLine="0" w:firstLineChars="0"/>
              <w:jc w:val="center"/>
              <w:rPr>
                <w:color w:val="000000"/>
                <w:sz w:val="21"/>
                <w:szCs w:val="21"/>
              </w:rPr>
            </w:pPr>
            <w:r>
              <w:rPr>
                <w:color w:val="000000"/>
                <w:sz w:val="21"/>
                <w:szCs w:val="21"/>
              </w:rPr>
              <w:t>应急照明灯</w:t>
            </w:r>
          </w:p>
        </w:tc>
        <w:tc>
          <w:tcPr>
            <w:tcW w:w="439"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0EB74BC3">
            <w:pPr>
              <w:spacing w:line="240" w:lineRule="auto"/>
              <w:ind w:firstLine="0" w:firstLineChars="0"/>
              <w:jc w:val="center"/>
              <w:rPr>
                <w:color w:val="000000"/>
                <w:sz w:val="21"/>
                <w:szCs w:val="21"/>
              </w:rPr>
            </w:pPr>
            <w:r>
              <w:rPr>
                <w:color w:val="000000"/>
                <w:sz w:val="21"/>
                <w:szCs w:val="21"/>
              </w:rPr>
              <w:t>盏</w:t>
            </w:r>
          </w:p>
        </w:tc>
        <w:tc>
          <w:tcPr>
            <w:tcW w:w="431"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28E229D2">
            <w:pPr>
              <w:spacing w:line="240" w:lineRule="auto"/>
              <w:ind w:firstLine="0" w:firstLineChars="0"/>
              <w:jc w:val="center"/>
              <w:rPr>
                <w:color w:val="000000"/>
                <w:sz w:val="21"/>
                <w:szCs w:val="21"/>
              </w:rPr>
            </w:pPr>
            <w:r>
              <w:rPr>
                <w:color w:val="000000"/>
                <w:sz w:val="21"/>
                <w:szCs w:val="21"/>
              </w:rPr>
              <w:t>4</w:t>
            </w:r>
          </w:p>
        </w:tc>
        <w:tc>
          <w:tcPr>
            <w:tcW w:w="646"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076B16B0">
            <w:pPr>
              <w:spacing w:line="240" w:lineRule="auto"/>
              <w:ind w:firstLine="0" w:firstLineChars="0"/>
              <w:jc w:val="center"/>
              <w:rPr>
                <w:color w:val="000000"/>
                <w:sz w:val="21"/>
                <w:szCs w:val="21"/>
              </w:rPr>
            </w:pPr>
            <w:r>
              <w:rPr>
                <w:color w:val="000000"/>
                <w:sz w:val="21"/>
                <w:szCs w:val="21"/>
              </w:rPr>
              <w:t>1.2</w:t>
            </w:r>
          </w:p>
        </w:tc>
        <w:tc>
          <w:tcPr>
            <w:tcW w:w="1152"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325216A9">
            <w:pPr>
              <w:spacing w:line="240" w:lineRule="auto"/>
              <w:ind w:firstLine="0" w:firstLineChars="0"/>
              <w:jc w:val="center"/>
              <w:rPr>
                <w:color w:val="000000"/>
                <w:sz w:val="21"/>
                <w:szCs w:val="21"/>
              </w:rPr>
            </w:pPr>
          </w:p>
        </w:tc>
      </w:tr>
      <w:tr w14:paraId="31B56E75">
        <w:tblPrEx>
          <w:tblCellMar>
            <w:top w:w="0" w:type="dxa"/>
            <w:left w:w="0" w:type="dxa"/>
            <w:bottom w:w="0" w:type="dxa"/>
            <w:right w:w="0" w:type="dxa"/>
          </w:tblCellMar>
        </w:tblPrEx>
        <w:trPr>
          <w:trHeight w:val="397" w:hRule="atLeast"/>
        </w:trPr>
        <w:tc>
          <w:tcPr>
            <w:tcW w:w="325" w:type="pct"/>
            <w:vMerge w:val="continue"/>
            <w:tcBorders>
              <w:top w:val="nil"/>
              <w:left w:val="single" w:color="auto" w:sz="4" w:space="0"/>
              <w:bottom w:val="single" w:color="000000" w:sz="8" w:space="0"/>
              <w:right w:val="single" w:color="auto" w:sz="8" w:space="0"/>
            </w:tcBorders>
            <w:vAlign w:val="center"/>
          </w:tcPr>
          <w:p w14:paraId="26766F73">
            <w:pPr>
              <w:spacing w:line="240" w:lineRule="auto"/>
              <w:ind w:firstLine="0" w:firstLineChars="0"/>
              <w:jc w:val="center"/>
              <w:rPr>
                <w:color w:val="000000"/>
                <w:sz w:val="21"/>
                <w:szCs w:val="21"/>
              </w:rPr>
            </w:pPr>
          </w:p>
        </w:tc>
        <w:tc>
          <w:tcPr>
            <w:tcW w:w="764" w:type="pct"/>
            <w:vMerge w:val="continue"/>
            <w:tcBorders>
              <w:top w:val="nil"/>
              <w:left w:val="single" w:color="auto" w:sz="8" w:space="0"/>
              <w:bottom w:val="single" w:color="000000" w:sz="8" w:space="0"/>
              <w:right w:val="single" w:color="auto" w:sz="8" w:space="0"/>
            </w:tcBorders>
            <w:vAlign w:val="center"/>
          </w:tcPr>
          <w:p w14:paraId="289E50DE">
            <w:pPr>
              <w:spacing w:line="240" w:lineRule="auto"/>
              <w:ind w:firstLine="0" w:firstLineChars="0"/>
              <w:jc w:val="center"/>
              <w:rPr>
                <w:color w:val="000000"/>
                <w:sz w:val="21"/>
                <w:szCs w:val="21"/>
              </w:rPr>
            </w:pPr>
          </w:p>
        </w:tc>
        <w:tc>
          <w:tcPr>
            <w:tcW w:w="1239"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5C911011">
            <w:pPr>
              <w:spacing w:line="240" w:lineRule="auto"/>
              <w:ind w:firstLine="0" w:firstLineChars="0"/>
              <w:jc w:val="center"/>
              <w:rPr>
                <w:color w:val="000000"/>
                <w:sz w:val="21"/>
                <w:szCs w:val="21"/>
              </w:rPr>
            </w:pPr>
            <w:r>
              <w:rPr>
                <w:color w:val="000000"/>
                <w:sz w:val="21"/>
                <w:szCs w:val="21"/>
              </w:rPr>
              <w:t>接闪带</w:t>
            </w:r>
          </w:p>
        </w:tc>
        <w:tc>
          <w:tcPr>
            <w:tcW w:w="439"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44223797">
            <w:pPr>
              <w:spacing w:line="240" w:lineRule="auto"/>
              <w:ind w:firstLine="0" w:firstLineChars="0"/>
              <w:jc w:val="center"/>
              <w:rPr>
                <w:color w:val="000000"/>
                <w:sz w:val="21"/>
                <w:szCs w:val="21"/>
              </w:rPr>
            </w:pPr>
            <w:r>
              <w:rPr>
                <w:color w:val="000000"/>
                <w:sz w:val="21"/>
                <w:szCs w:val="21"/>
              </w:rPr>
              <w:t>m</w:t>
            </w:r>
          </w:p>
        </w:tc>
        <w:tc>
          <w:tcPr>
            <w:tcW w:w="431"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6FBB6668">
            <w:pPr>
              <w:spacing w:line="240" w:lineRule="auto"/>
              <w:ind w:firstLine="0" w:firstLineChars="0"/>
              <w:jc w:val="center"/>
              <w:rPr>
                <w:color w:val="000000"/>
                <w:sz w:val="21"/>
                <w:szCs w:val="21"/>
              </w:rPr>
            </w:pPr>
            <w:r>
              <w:rPr>
                <w:color w:val="000000"/>
                <w:sz w:val="21"/>
                <w:szCs w:val="21"/>
              </w:rPr>
              <w:t>60</w:t>
            </w:r>
          </w:p>
        </w:tc>
        <w:tc>
          <w:tcPr>
            <w:tcW w:w="646"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035499B9">
            <w:pPr>
              <w:spacing w:line="240" w:lineRule="auto"/>
              <w:ind w:firstLine="0" w:firstLineChars="0"/>
              <w:jc w:val="center"/>
              <w:rPr>
                <w:color w:val="000000"/>
                <w:sz w:val="21"/>
                <w:szCs w:val="21"/>
              </w:rPr>
            </w:pPr>
            <w:r>
              <w:rPr>
                <w:color w:val="000000"/>
                <w:sz w:val="21"/>
                <w:szCs w:val="21"/>
              </w:rPr>
              <w:t>1.2</w:t>
            </w:r>
          </w:p>
        </w:tc>
        <w:tc>
          <w:tcPr>
            <w:tcW w:w="1152"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5F99FE16">
            <w:pPr>
              <w:spacing w:line="240" w:lineRule="auto"/>
              <w:ind w:firstLine="0" w:firstLineChars="0"/>
              <w:jc w:val="center"/>
              <w:rPr>
                <w:color w:val="000000"/>
                <w:sz w:val="21"/>
                <w:szCs w:val="21"/>
              </w:rPr>
            </w:pPr>
          </w:p>
        </w:tc>
      </w:tr>
      <w:tr w14:paraId="4776AFD6">
        <w:tblPrEx>
          <w:tblCellMar>
            <w:top w:w="0" w:type="dxa"/>
            <w:left w:w="0" w:type="dxa"/>
            <w:bottom w:w="0" w:type="dxa"/>
            <w:right w:w="0" w:type="dxa"/>
          </w:tblCellMar>
        </w:tblPrEx>
        <w:trPr>
          <w:trHeight w:val="397" w:hRule="atLeast"/>
        </w:trPr>
        <w:tc>
          <w:tcPr>
            <w:tcW w:w="325" w:type="pct"/>
            <w:vMerge w:val="continue"/>
            <w:tcBorders>
              <w:top w:val="nil"/>
              <w:left w:val="single" w:color="auto" w:sz="4" w:space="0"/>
              <w:bottom w:val="single" w:color="000000" w:sz="8" w:space="0"/>
              <w:right w:val="single" w:color="auto" w:sz="8" w:space="0"/>
            </w:tcBorders>
            <w:vAlign w:val="center"/>
          </w:tcPr>
          <w:p w14:paraId="185B4E88">
            <w:pPr>
              <w:spacing w:line="240" w:lineRule="auto"/>
              <w:ind w:firstLine="0" w:firstLineChars="0"/>
              <w:jc w:val="center"/>
              <w:rPr>
                <w:color w:val="000000"/>
                <w:sz w:val="21"/>
                <w:szCs w:val="21"/>
              </w:rPr>
            </w:pPr>
          </w:p>
        </w:tc>
        <w:tc>
          <w:tcPr>
            <w:tcW w:w="764" w:type="pct"/>
            <w:vMerge w:val="continue"/>
            <w:tcBorders>
              <w:top w:val="nil"/>
              <w:left w:val="single" w:color="auto" w:sz="8" w:space="0"/>
              <w:bottom w:val="single" w:color="000000" w:sz="8" w:space="0"/>
              <w:right w:val="single" w:color="auto" w:sz="8" w:space="0"/>
            </w:tcBorders>
            <w:vAlign w:val="center"/>
          </w:tcPr>
          <w:p w14:paraId="01E06A96">
            <w:pPr>
              <w:spacing w:line="240" w:lineRule="auto"/>
              <w:ind w:firstLine="0" w:firstLineChars="0"/>
              <w:jc w:val="center"/>
              <w:rPr>
                <w:color w:val="000000"/>
                <w:sz w:val="21"/>
                <w:szCs w:val="21"/>
              </w:rPr>
            </w:pPr>
          </w:p>
        </w:tc>
        <w:tc>
          <w:tcPr>
            <w:tcW w:w="1239"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1965B24B">
            <w:pPr>
              <w:spacing w:line="240" w:lineRule="auto"/>
              <w:ind w:firstLine="0" w:firstLineChars="0"/>
              <w:jc w:val="center"/>
              <w:rPr>
                <w:color w:val="000000"/>
                <w:sz w:val="21"/>
                <w:szCs w:val="21"/>
              </w:rPr>
            </w:pPr>
            <w:r>
              <w:rPr>
                <w:color w:val="000000"/>
                <w:sz w:val="21"/>
                <w:szCs w:val="21"/>
              </w:rPr>
              <w:t>电气安全标志</w:t>
            </w:r>
          </w:p>
        </w:tc>
        <w:tc>
          <w:tcPr>
            <w:tcW w:w="439"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6D75AAC2">
            <w:pPr>
              <w:spacing w:line="240" w:lineRule="auto"/>
              <w:ind w:firstLine="0" w:firstLineChars="0"/>
              <w:jc w:val="center"/>
              <w:rPr>
                <w:color w:val="000000"/>
                <w:sz w:val="21"/>
                <w:szCs w:val="21"/>
              </w:rPr>
            </w:pPr>
            <w:r>
              <w:rPr>
                <w:color w:val="000000"/>
                <w:sz w:val="21"/>
                <w:szCs w:val="21"/>
              </w:rPr>
              <w:t>个</w:t>
            </w:r>
          </w:p>
        </w:tc>
        <w:tc>
          <w:tcPr>
            <w:tcW w:w="431"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5624B835">
            <w:pPr>
              <w:spacing w:line="240" w:lineRule="auto"/>
              <w:ind w:firstLine="0" w:firstLineChars="0"/>
              <w:jc w:val="center"/>
              <w:rPr>
                <w:color w:val="000000"/>
                <w:sz w:val="21"/>
                <w:szCs w:val="21"/>
              </w:rPr>
            </w:pPr>
            <w:r>
              <w:rPr>
                <w:color w:val="000000"/>
                <w:sz w:val="21"/>
                <w:szCs w:val="21"/>
              </w:rPr>
              <w:t>20</w:t>
            </w:r>
          </w:p>
        </w:tc>
        <w:tc>
          <w:tcPr>
            <w:tcW w:w="646"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59BB9A1A">
            <w:pPr>
              <w:spacing w:line="240" w:lineRule="auto"/>
              <w:ind w:firstLine="0" w:firstLineChars="0"/>
              <w:jc w:val="center"/>
              <w:rPr>
                <w:color w:val="000000"/>
                <w:sz w:val="21"/>
                <w:szCs w:val="21"/>
              </w:rPr>
            </w:pPr>
            <w:r>
              <w:rPr>
                <w:color w:val="000000"/>
                <w:sz w:val="21"/>
                <w:szCs w:val="21"/>
              </w:rPr>
              <w:t>1.25</w:t>
            </w:r>
          </w:p>
        </w:tc>
        <w:tc>
          <w:tcPr>
            <w:tcW w:w="1152"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0D13B0EA">
            <w:pPr>
              <w:spacing w:line="240" w:lineRule="auto"/>
              <w:ind w:firstLine="0" w:firstLineChars="0"/>
              <w:jc w:val="center"/>
              <w:rPr>
                <w:color w:val="000000"/>
                <w:sz w:val="21"/>
                <w:szCs w:val="21"/>
              </w:rPr>
            </w:pPr>
          </w:p>
        </w:tc>
      </w:tr>
      <w:tr w14:paraId="71D8EDAE">
        <w:tblPrEx>
          <w:tblCellMar>
            <w:top w:w="0" w:type="dxa"/>
            <w:left w:w="0" w:type="dxa"/>
            <w:bottom w:w="0" w:type="dxa"/>
            <w:right w:w="0" w:type="dxa"/>
          </w:tblCellMar>
        </w:tblPrEx>
        <w:trPr>
          <w:trHeight w:val="397" w:hRule="atLeast"/>
        </w:trPr>
        <w:tc>
          <w:tcPr>
            <w:tcW w:w="325" w:type="pct"/>
            <w:vMerge w:val="restart"/>
            <w:tcBorders>
              <w:top w:val="nil"/>
              <w:left w:val="single" w:color="auto" w:sz="8" w:space="0"/>
              <w:bottom w:val="single" w:color="000000" w:sz="8" w:space="0"/>
              <w:right w:val="single" w:color="auto" w:sz="8" w:space="0"/>
            </w:tcBorders>
            <w:shd w:val="clear" w:color="auto" w:fill="auto"/>
            <w:tcMar>
              <w:top w:w="15" w:type="dxa"/>
              <w:left w:w="15" w:type="dxa"/>
              <w:bottom w:w="0" w:type="dxa"/>
              <w:right w:w="15" w:type="dxa"/>
            </w:tcMar>
            <w:vAlign w:val="center"/>
          </w:tcPr>
          <w:p w14:paraId="2F4492BD">
            <w:pPr>
              <w:spacing w:line="240" w:lineRule="auto"/>
              <w:ind w:firstLine="0" w:firstLineChars="0"/>
              <w:jc w:val="center"/>
              <w:rPr>
                <w:color w:val="000000"/>
                <w:sz w:val="21"/>
                <w:szCs w:val="21"/>
              </w:rPr>
            </w:pPr>
            <w:r>
              <w:rPr>
                <w:color w:val="000000"/>
                <w:sz w:val="21"/>
                <w:szCs w:val="21"/>
              </w:rPr>
              <w:t>5</w:t>
            </w:r>
          </w:p>
        </w:tc>
        <w:tc>
          <w:tcPr>
            <w:tcW w:w="764" w:type="pct"/>
            <w:vMerge w:val="restart"/>
            <w:tcBorders>
              <w:top w:val="nil"/>
              <w:left w:val="single" w:color="auto" w:sz="8" w:space="0"/>
              <w:bottom w:val="single" w:color="000000" w:sz="8" w:space="0"/>
              <w:right w:val="single" w:color="auto" w:sz="8" w:space="0"/>
            </w:tcBorders>
            <w:shd w:val="clear" w:color="auto" w:fill="auto"/>
            <w:tcMar>
              <w:top w:w="15" w:type="dxa"/>
              <w:left w:w="15" w:type="dxa"/>
              <w:bottom w:w="0" w:type="dxa"/>
              <w:right w:w="15" w:type="dxa"/>
            </w:tcMar>
            <w:vAlign w:val="center"/>
          </w:tcPr>
          <w:p w14:paraId="74BE2902">
            <w:pPr>
              <w:spacing w:line="240" w:lineRule="auto"/>
              <w:ind w:firstLine="0" w:firstLineChars="0"/>
              <w:jc w:val="center"/>
              <w:rPr>
                <w:color w:val="000000"/>
                <w:sz w:val="21"/>
                <w:szCs w:val="21"/>
              </w:rPr>
            </w:pPr>
            <w:r>
              <w:rPr>
                <w:color w:val="000000"/>
                <w:sz w:val="21"/>
                <w:szCs w:val="21"/>
              </w:rPr>
              <w:t>监测设施</w:t>
            </w:r>
          </w:p>
        </w:tc>
        <w:tc>
          <w:tcPr>
            <w:tcW w:w="1239"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3E383573">
            <w:pPr>
              <w:spacing w:line="240" w:lineRule="auto"/>
              <w:ind w:firstLine="0" w:firstLineChars="0"/>
              <w:jc w:val="center"/>
              <w:rPr>
                <w:color w:val="000000"/>
                <w:sz w:val="21"/>
                <w:szCs w:val="21"/>
              </w:rPr>
            </w:pPr>
            <w:r>
              <w:rPr>
                <w:color w:val="000000"/>
                <w:sz w:val="21"/>
                <w:szCs w:val="21"/>
              </w:rPr>
              <w:t>表面位移监测</w:t>
            </w:r>
          </w:p>
        </w:tc>
        <w:tc>
          <w:tcPr>
            <w:tcW w:w="439"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0D676335">
            <w:pPr>
              <w:spacing w:line="240" w:lineRule="auto"/>
              <w:ind w:firstLine="0" w:firstLineChars="0"/>
              <w:jc w:val="center"/>
              <w:rPr>
                <w:color w:val="000000"/>
                <w:sz w:val="21"/>
                <w:szCs w:val="21"/>
              </w:rPr>
            </w:pPr>
            <w:r>
              <w:rPr>
                <w:color w:val="000000"/>
                <w:sz w:val="21"/>
                <w:szCs w:val="21"/>
              </w:rPr>
              <w:t>个</w:t>
            </w:r>
          </w:p>
        </w:tc>
        <w:tc>
          <w:tcPr>
            <w:tcW w:w="431"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5255A758">
            <w:pPr>
              <w:spacing w:line="240" w:lineRule="auto"/>
              <w:ind w:firstLine="0" w:firstLineChars="0"/>
              <w:jc w:val="center"/>
              <w:rPr>
                <w:color w:val="000000"/>
                <w:sz w:val="21"/>
                <w:szCs w:val="21"/>
              </w:rPr>
            </w:pPr>
            <w:r>
              <w:rPr>
                <w:rFonts w:hint="eastAsia"/>
                <w:color w:val="000000"/>
                <w:sz w:val="21"/>
                <w:szCs w:val="21"/>
              </w:rPr>
              <w:t>7</w:t>
            </w:r>
          </w:p>
        </w:tc>
        <w:tc>
          <w:tcPr>
            <w:tcW w:w="646"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3B01B290">
            <w:pPr>
              <w:spacing w:line="240" w:lineRule="auto"/>
              <w:ind w:firstLine="0" w:firstLineChars="0"/>
              <w:jc w:val="center"/>
              <w:rPr>
                <w:color w:val="000000"/>
                <w:sz w:val="21"/>
                <w:szCs w:val="21"/>
              </w:rPr>
            </w:pPr>
            <w:r>
              <w:rPr>
                <w:color w:val="000000"/>
                <w:sz w:val="21"/>
                <w:szCs w:val="21"/>
              </w:rPr>
              <w:t>15</w:t>
            </w:r>
          </w:p>
        </w:tc>
        <w:tc>
          <w:tcPr>
            <w:tcW w:w="1152"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4B2BFEC0">
            <w:pPr>
              <w:spacing w:line="240" w:lineRule="auto"/>
              <w:ind w:firstLine="0" w:firstLineChars="0"/>
              <w:jc w:val="center"/>
              <w:rPr>
                <w:color w:val="000000"/>
                <w:sz w:val="21"/>
                <w:szCs w:val="21"/>
              </w:rPr>
            </w:pPr>
            <w:r>
              <w:rPr>
                <w:color w:val="000000"/>
                <w:sz w:val="21"/>
                <w:szCs w:val="21"/>
              </w:rPr>
              <w:t>含RTK设备</w:t>
            </w:r>
          </w:p>
        </w:tc>
      </w:tr>
      <w:tr w14:paraId="61040E5D">
        <w:tblPrEx>
          <w:tblCellMar>
            <w:top w:w="0" w:type="dxa"/>
            <w:left w:w="0" w:type="dxa"/>
            <w:bottom w:w="0" w:type="dxa"/>
            <w:right w:w="0" w:type="dxa"/>
          </w:tblCellMar>
        </w:tblPrEx>
        <w:trPr>
          <w:trHeight w:val="397" w:hRule="atLeast"/>
        </w:trPr>
        <w:tc>
          <w:tcPr>
            <w:tcW w:w="325" w:type="pct"/>
            <w:vMerge w:val="continue"/>
            <w:tcBorders>
              <w:top w:val="nil"/>
              <w:left w:val="single" w:color="auto" w:sz="8" w:space="0"/>
              <w:bottom w:val="single" w:color="000000" w:sz="8" w:space="0"/>
              <w:right w:val="single" w:color="auto" w:sz="8" w:space="0"/>
            </w:tcBorders>
            <w:vAlign w:val="center"/>
          </w:tcPr>
          <w:p w14:paraId="2A231590">
            <w:pPr>
              <w:spacing w:line="240" w:lineRule="auto"/>
              <w:ind w:firstLine="0" w:firstLineChars="0"/>
              <w:jc w:val="center"/>
              <w:rPr>
                <w:color w:val="000000"/>
                <w:sz w:val="21"/>
                <w:szCs w:val="21"/>
              </w:rPr>
            </w:pPr>
          </w:p>
        </w:tc>
        <w:tc>
          <w:tcPr>
            <w:tcW w:w="764" w:type="pct"/>
            <w:vMerge w:val="continue"/>
            <w:tcBorders>
              <w:top w:val="nil"/>
              <w:left w:val="single" w:color="auto" w:sz="8" w:space="0"/>
              <w:bottom w:val="single" w:color="000000" w:sz="8" w:space="0"/>
              <w:right w:val="single" w:color="auto" w:sz="8" w:space="0"/>
            </w:tcBorders>
            <w:vAlign w:val="center"/>
          </w:tcPr>
          <w:p w14:paraId="1EFEF7C7">
            <w:pPr>
              <w:spacing w:line="240" w:lineRule="auto"/>
              <w:ind w:firstLine="0" w:firstLineChars="0"/>
              <w:jc w:val="center"/>
              <w:rPr>
                <w:color w:val="000000"/>
                <w:sz w:val="21"/>
                <w:szCs w:val="21"/>
              </w:rPr>
            </w:pPr>
          </w:p>
        </w:tc>
        <w:tc>
          <w:tcPr>
            <w:tcW w:w="1239"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36744531">
            <w:pPr>
              <w:spacing w:line="240" w:lineRule="auto"/>
              <w:ind w:firstLine="0" w:firstLineChars="0"/>
              <w:jc w:val="center"/>
              <w:rPr>
                <w:color w:val="000000"/>
                <w:sz w:val="21"/>
                <w:szCs w:val="21"/>
              </w:rPr>
            </w:pPr>
            <w:r>
              <w:rPr>
                <w:color w:val="000000"/>
                <w:sz w:val="21"/>
                <w:szCs w:val="21"/>
              </w:rPr>
              <w:t>翻斗式雨量计</w:t>
            </w:r>
          </w:p>
        </w:tc>
        <w:tc>
          <w:tcPr>
            <w:tcW w:w="439"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258F2F9C">
            <w:pPr>
              <w:spacing w:line="240" w:lineRule="auto"/>
              <w:ind w:firstLine="0" w:firstLineChars="0"/>
              <w:jc w:val="center"/>
              <w:rPr>
                <w:color w:val="000000"/>
                <w:sz w:val="21"/>
                <w:szCs w:val="21"/>
              </w:rPr>
            </w:pPr>
            <w:r>
              <w:rPr>
                <w:color w:val="000000"/>
                <w:sz w:val="21"/>
                <w:szCs w:val="21"/>
              </w:rPr>
              <w:t>套</w:t>
            </w:r>
          </w:p>
        </w:tc>
        <w:tc>
          <w:tcPr>
            <w:tcW w:w="431"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0122401A">
            <w:pPr>
              <w:spacing w:line="240" w:lineRule="auto"/>
              <w:ind w:firstLine="0" w:firstLineChars="0"/>
              <w:jc w:val="center"/>
              <w:rPr>
                <w:color w:val="000000"/>
                <w:sz w:val="21"/>
                <w:szCs w:val="21"/>
              </w:rPr>
            </w:pPr>
            <w:r>
              <w:rPr>
                <w:color w:val="000000"/>
                <w:sz w:val="21"/>
                <w:szCs w:val="21"/>
              </w:rPr>
              <w:t>1</w:t>
            </w:r>
          </w:p>
        </w:tc>
        <w:tc>
          <w:tcPr>
            <w:tcW w:w="646"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1A01E36A">
            <w:pPr>
              <w:spacing w:line="240" w:lineRule="auto"/>
              <w:ind w:firstLine="0" w:firstLineChars="0"/>
              <w:jc w:val="center"/>
              <w:rPr>
                <w:color w:val="000000"/>
                <w:sz w:val="21"/>
                <w:szCs w:val="21"/>
              </w:rPr>
            </w:pPr>
            <w:r>
              <w:rPr>
                <w:color w:val="000000"/>
                <w:sz w:val="21"/>
                <w:szCs w:val="21"/>
              </w:rPr>
              <w:t>2</w:t>
            </w:r>
          </w:p>
        </w:tc>
        <w:tc>
          <w:tcPr>
            <w:tcW w:w="1152"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557E154D">
            <w:pPr>
              <w:spacing w:line="240" w:lineRule="auto"/>
              <w:ind w:firstLine="0" w:firstLineChars="0"/>
              <w:jc w:val="center"/>
              <w:rPr>
                <w:color w:val="000000"/>
                <w:sz w:val="21"/>
                <w:szCs w:val="21"/>
              </w:rPr>
            </w:pPr>
          </w:p>
        </w:tc>
      </w:tr>
      <w:tr w14:paraId="05965021">
        <w:tblPrEx>
          <w:tblCellMar>
            <w:top w:w="0" w:type="dxa"/>
            <w:left w:w="0" w:type="dxa"/>
            <w:bottom w:w="0" w:type="dxa"/>
            <w:right w:w="0" w:type="dxa"/>
          </w:tblCellMar>
        </w:tblPrEx>
        <w:trPr>
          <w:trHeight w:val="397" w:hRule="atLeast"/>
        </w:trPr>
        <w:tc>
          <w:tcPr>
            <w:tcW w:w="325" w:type="pct"/>
            <w:vMerge w:val="continue"/>
            <w:tcBorders>
              <w:top w:val="nil"/>
              <w:left w:val="single" w:color="auto" w:sz="8" w:space="0"/>
              <w:bottom w:val="single" w:color="000000" w:sz="8" w:space="0"/>
              <w:right w:val="single" w:color="auto" w:sz="8" w:space="0"/>
            </w:tcBorders>
            <w:vAlign w:val="center"/>
          </w:tcPr>
          <w:p w14:paraId="73A7F0C8">
            <w:pPr>
              <w:spacing w:line="240" w:lineRule="auto"/>
              <w:ind w:firstLine="0" w:firstLineChars="0"/>
              <w:jc w:val="center"/>
              <w:rPr>
                <w:color w:val="000000"/>
                <w:sz w:val="21"/>
                <w:szCs w:val="21"/>
              </w:rPr>
            </w:pPr>
          </w:p>
        </w:tc>
        <w:tc>
          <w:tcPr>
            <w:tcW w:w="764" w:type="pct"/>
            <w:vMerge w:val="continue"/>
            <w:tcBorders>
              <w:top w:val="nil"/>
              <w:left w:val="single" w:color="auto" w:sz="8" w:space="0"/>
              <w:bottom w:val="single" w:color="000000" w:sz="8" w:space="0"/>
              <w:right w:val="single" w:color="auto" w:sz="8" w:space="0"/>
            </w:tcBorders>
            <w:vAlign w:val="center"/>
          </w:tcPr>
          <w:p w14:paraId="0CCD112F">
            <w:pPr>
              <w:spacing w:line="240" w:lineRule="auto"/>
              <w:ind w:firstLine="0" w:firstLineChars="0"/>
              <w:jc w:val="center"/>
              <w:rPr>
                <w:color w:val="000000"/>
                <w:sz w:val="21"/>
                <w:szCs w:val="21"/>
              </w:rPr>
            </w:pPr>
          </w:p>
        </w:tc>
        <w:tc>
          <w:tcPr>
            <w:tcW w:w="1239"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3218FA89">
            <w:pPr>
              <w:spacing w:line="240" w:lineRule="auto"/>
              <w:ind w:firstLine="0" w:firstLineChars="0"/>
              <w:jc w:val="center"/>
              <w:rPr>
                <w:color w:val="000000"/>
                <w:sz w:val="21"/>
                <w:szCs w:val="21"/>
              </w:rPr>
            </w:pPr>
            <w:r>
              <w:rPr>
                <w:color w:val="000000"/>
                <w:sz w:val="21"/>
                <w:szCs w:val="21"/>
              </w:rPr>
              <w:t>视频监控</w:t>
            </w:r>
          </w:p>
        </w:tc>
        <w:tc>
          <w:tcPr>
            <w:tcW w:w="439"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03503809">
            <w:pPr>
              <w:spacing w:line="240" w:lineRule="auto"/>
              <w:ind w:firstLine="0" w:firstLineChars="0"/>
              <w:jc w:val="center"/>
              <w:rPr>
                <w:color w:val="000000"/>
                <w:sz w:val="21"/>
                <w:szCs w:val="21"/>
              </w:rPr>
            </w:pPr>
            <w:r>
              <w:rPr>
                <w:color w:val="000000"/>
                <w:sz w:val="21"/>
                <w:szCs w:val="21"/>
              </w:rPr>
              <w:t>台</w:t>
            </w:r>
          </w:p>
        </w:tc>
        <w:tc>
          <w:tcPr>
            <w:tcW w:w="431"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378251B7">
            <w:pPr>
              <w:spacing w:line="240" w:lineRule="auto"/>
              <w:ind w:firstLine="0" w:firstLineChars="0"/>
              <w:jc w:val="center"/>
              <w:rPr>
                <w:color w:val="000000"/>
                <w:sz w:val="21"/>
                <w:szCs w:val="21"/>
              </w:rPr>
            </w:pPr>
            <w:r>
              <w:rPr>
                <w:color w:val="000000"/>
                <w:sz w:val="21"/>
                <w:szCs w:val="21"/>
              </w:rPr>
              <w:t>2</w:t>
            </w:r>
          </w:p>
        </w:tc>
        <w:tc>
          <w:tcPr>
            <w:tcW w:w="646"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1D85A5E9">
            <w:pPr>
              <w:spacing w:line="240" w:lineRule="auto"/>
              <w:ind w:firstLine="0" w:firstLineChars="0"/>
              <w:jc w:val="center"/>
              <w:rPr>
                <w:color w:val="000000"/>
                <w:sz w:val="21"/>
                <w:szCs w:val="21"/>
              </w:rPr>
            </w:pPr>
            <w:r>
              <w:rPr>
                <w:color w:val="000000"/>
                <w:sz w:val="21"/>
                <w:szCs w:val="21"/>
              </w:rPr>
              <w:t>5</w:t>
            </w:r>
          </w:p>
        </w:tc>
        <w:tc>
          <w:tcPr>
            <w:tcW w:w="1152"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2B3AB09D">
            <w:pPr>
              <w:spacing w:line="240" w:lineRule="auto"/>
              <w:ind w:firstLine="0" w:firstLineChars="0"/>
              <w:jc w:val="center"/>
              <w:rPr>
                <w:color w:val="000000"/>
                <w:sz w:val="21"/>
                <w:szCs w:val="21"/>
              </w:rPr>
            </w:pPr>
          </w:p>
        </w:tc>
      </w:tr>
      <w:tr w14:paraId="46BC541E">
        <w:tblPrEx>
          <w:tblCellMar>
            <w:top w:w="0" w:type="dxa"/>
            <w:left w:w="0" w:type="dxa"/>
            <w:bottom w:w="0" w:type="dxa"/>
            <w:right w:w="0" w:type="dxa"/>
          </w:tblCellMar>
        </w:tblPrEx>
        <w:trPr>
          <w:trHeight w:val="397" w:hRule="atLeast"/>
        </w:trPr>
        <w:tc>
          <w:tcPr>
            <w:tcW w:w="325" w:type="pct"/>
            <w:vMerge w:val="continue"/>
            <w:tcBorders>
              <w:top w:val="nil"/>
              <w:left w:val="single" w:color="auto" w:sz="8" w:space="0"/>
              <w:bottom w:val="single" w:color="000000" w:sz="8" w:space="0"/>
              <w:right w:val="single" w:color="auto" w:sz="8" w:space="0"/>
            </w:tcBorders>
            <w:vAlign w:val="center"/>
          </w:tcPr>
          <w:p w14:paraId="728CB456">
            <w:pPr>
              <w:spacing w:line="240" w:lineRule="auto"/>
              <w:ind w:firstLine="0" w:firstLineChars="0"/>
              <w:jc w:val="center"/>
              <w:rPr>
                <w:color w:val="000000"/>
                <w:sz w:val="21"/>
                <w:szCs w:val="21"/>
              </w:rPr>
            </w:pPr>
          </w:p>
        </w:tc>
        <w:tc>
          <w:tcPr>
            <w:tcW w:w="764" w:type="pct"/>
            <w:vMerge w:val="continue"/>
            <w:tcBorders>
              <w:top w:val="nil"/>
              <w:left w:val="single" w:color="auto" w:sz="8" w:space="0"/>
              <w:bottom w:val="single" w:color="000000" w:sz="8" w:space="0"/>
              <w:right w:val="single" w:color="auto" w:sz="8" w:space="0"/>
            </w:tcBorders>
            <w:vAlign w:val="center"/>
          </w:tcPr>
          <w:p w14:paraId="1AEF49D8">
            <w:pPr>
              <w:spacing w:line="240" w:lineRule="auto"/>
              <w:ind w:firstLine="0" w:firstLineChars="0"/>
              <w:jc w:val="center"/>
              <w:rPr>
                <w:color w:val="000000"/>
                <w:sz w:val="21"/>
                <w:szCs w:val="21"/>
              </w:rPr>
            </w:pPr>
          </w:p>
        </w:tc>
        <w:tc>
          <w:tcPr>
            <w:tcW w:w="1239"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68F0AE05">
            <w:pPr>
              <w:spacing w:line="240" w:lineRule="auto"/>
              <w:ind w:firstLine="0" w:firstLineChars="0"/>
              <w:jc w:val="center"/>
              <w:rPr>
                <w:color w:val="000000"/>
                <w:sz w:val="21"/>
                <w:szCs w:val="21"/>
              </w:rPr>
            </w:pPr>
            <w:r>
              <w:rPr>
                <w:color w:val="000000"/>
                <w:sz w:val="21"/>
                <w:szCs w:val="21"/>
              </w:rPr>
              <w:t>采集设备及软件等</w:t>
            </w:r>
          </w:p>
        </w:tc>
        <w:tc>
          <w:tcPr>
            <w:tcW w:w="439"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7450EBC0">
            <w:pPr>
              <w:spacing w:line="240" w:lineRule="auto"/>
              <w:ind w:firstLine="0" w:firstLineChars="0"/>
              <w:jc w:val="center"/>
              <w:rPr>
                <w:color w:val="000000"/>
                <w:sz w:val="21"/>
                <w:szCs w:val="21"/>
              </w:rPr>
            </w:pPr>
            <w:r>
              <w:rPr>
                <w:color w:val="000000"/>
                <w:sz w:val="21"/>
                <w:szCs w:val="21"/>
              </w:rPr>
              <w:t>套</w:t>
            </w:r>
          </w:p>
        </w:tc>
        <w:tc>
          <w:tcPr>
            <w:tcW w:w="431"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5F712134">
            <w:pPr>
              <w:spacing w:line="240" w:lineRule="auto"/>
              <w:ind w:firstLine="0" w:firstLineChars="0"/>
              <w:jc w:val="center"/>
              <w:rPr>
                <w:color w:val="000000"/>
                <w:sz w:val="21"/>
                <w:szCs w:val="21"/>
              </w:rPr>
            </w:pPr>
            <w:r>
              <w:rPr>
                <w:color w:val="000000"/>
                <w:sz w:val="21"/>
                <w:szCs w:val="21"/>
              </w:rPr>
              <w:t>1</w:t>
            </w:r>
          </w:p>
        </w:tc>
        <w:tc>
          <w:tcPr>
            <w:tcW w:w="646"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1213BCDB">
            <w:pPr>
              <w:spacing w:line="240" w:lineRule="auto"/>
              <w:ind w:firstLine="0" w:firstLineChars="0"/>
              <w:jc w:val="center"/>
              <w:rPr>
                <w:color w:val="000000"/>
                <w:sz w:val="21"/>
                <w:szCs w:val="21"/>
              </w:rPr>
            </w:pPr>
            <w:r>
              <w:rPr>
                <w:color w:val="000000"/>
                <w:sz w:val="21"/>
                <w:szCs w:val="21"/>
              </w:rPr>
              <w:t>5</w:t>
            </w:r>
          </w:p>
        </w:tc>
        <w:tc>
          <w:tcPr>
            <w:tcW w:w="1152"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1A40E5CB">
            <w:pPr>
              <w:spacing w:line="240" w:lineRule="auto"/>
              <w:ind w:firstLine="0" w:firstLineChars="0"/>
              <w:jc w:val="center"/>
              <w:rPr>
                <w:color w:val="000000"/>
                <w:sz w:val="21"/>
                <w:szCs w:val="21"/>
              </w:rPr>
            </w:pPr>
          </w:p>
        </w:tc>
      </w:tr>
      <w:tr w14:paraId="6865D18A">
        <w:tblPrEx>
          <w:tblCellMar>
            <w:top w:w="0" w:type="dxa"/>
            <w:left w:w="0" w:type="dxa"/>
            <w:bottom w:w="0" w:type="dxa"/>
            <w:right w:w="0" w:type="dxa"/>
          </w:tblCellMar>
        </w:tblPrEx>
        <w:trPr>
          <w:trHeight w:val="397" w:hRule="atLeast"/>
        </w:trPr>
        <w:tc>
          <w:tcPr>
            <w:tcW w:w="325" w:type="pct"/>
            <w:vMerge w:val="restart"/>
            <w:tcBorders>
              <w:top w:val="nil"/>
              <w:left w:val="single" w:color="auto" w:sz="8" w:space="0"/>
              <w:bottom w:val="single" w:color="000000" w:sz="8" w:space="0"/>
              <w:right w:val="single" w:color="auto" w:sz="8" w:space="0"/>
            </w:tcBorders>
            <w:shd w:val="clear" w:color="auto" w:fill="auto"/>
            <w:tcMar>
              <w:top w:w="15" w:type="dxa"/>
              <w:left w:w="15" w:type="dxa"/>
              <w:bottom w:w="0" w:type="dxa"/>
              <w:right w:w="15" w:type="dxa"/>
            </w:tcMar>
            <w:vAlign w:val="center"/>
          </w:tcPr>
          <w:p w14:paraId="41F3E5A7">
            <w:pPr>
              <w:spacing w:line="240" w:lineRule="auto"/>
              <w:ind w:firstLine="0" w:firstLineChars="0"/>
              <w:jc w:val="center"/>
              <w:rPr>
                <w:color w:val="000000"/>
                <w:sz w:val="21"/>
                <w:szCs w:val="21"/>
              </w:rPr>
            </w:pPr>
            <w:r>
              <w:rPr>
                <w:color w:val="000000"/>
                <w:sz w:val="21"/>
                <w:szCs w:val="21"/>
              </w:rPr>
              <w:t>6</w:t>
            </w:r>
          </w:p>
        </w:tc>
        <w:tc>
          <w:tcPr>
            <w:tcW w:w="764" w:type="pct"/>
            <w:vMerge w:val="restart"/>
            <w:tcBorders>
              <w:top w:val="nil"/>
              <w:left w:val="single" w:color="auto" w:sz="8" w:space="0"/>
              <w:bottom w:val="single" w:color="000000" w:sz="8" w:space="0"/>
              <w:right w:val="single" w:color="auto" w:sz="8" w:space="0"/>
            </w:tcBorders>
            <w:shd w:val="clear" w:color="auto" w:fill="auto"/>
            <w:tcMar>
              <w:top w:w="15" w:type="dxa"/>
              <w:left w:w="15" w:type="dxa"/>
              <w:bottom w:w="0" w:type="dxa"/>
              <w:right w:w="15" w:type="dxa"/>
            </w:tcMar>
            <w:vAlign w:val="center"/>
          </w:tcPr>
          <w:p w14:paraId="44BE20F1">
            <w:pPr>
              <w:spacing w:line="240" w:lineRule="auto"/>
              <w:ind w:firstLine="0" w:firstLineChars="0"/>
              <w:jc w:val="center"/>
              <w:rPr>
                <w:color w:val="000000"/>
                <w:sz w:val="21"/>
                <w:szCs w:val="21"/>
              </w:rPr>
            </w:pPr>
            <w:r>
              <w:rPr>
                <w:color w:val="000000"/>
                <w:sz w:val="21"/>
                <w:szCs w:val="21"/>
              </w:rPr>
              <w:t>矿山应急救援器材设备</w:t>
            </w:r>
          </w:p>
        </w:tc>
        <w:tc>
          <w:tcPr>
            <w:tcW w:w="1239"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4D029F42">
            <w:pPr>
              <w:spacing w:line="240" w:lineRule="auto"/>
              <w:ind w:firstLine="0" w:firstLineChars="0"/>
              <w:jc w:val="center"/>
              <w:rPr>
                <w:color w:val="000000"/>
                <w:sz w:val="21"/>
                <w:szCs w:val="21"/>
              </w:rPr>
            </w:pPr>
            <w:r>
              <w:rPr>
                <w:color w:val="000000"/>
                <w:sz w:val="21"/>
                <w:szCs w:val="21"/>
              </w:rPr>
              <w:t>救护担架</w:t>
            </w:r>
          </w:p>
        </w:tc>
        <w:tc>
          <w:tcPr>
            <w:tcW w:w="439"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78A47B6B">
            <w:pPr>
              <w:spacing w:line="240" w:lineRule="auto"/>
              <w:ind w:firstLine="0" w:firstLineChars="0"/>
              <w:jc w:val="center"/>
              <w:rPr>
                <w:color w:val="000000"/>
                <w:sz w:val="21"/>
                <w:szCs w:val="21"/>
              </w:rPr>
            </w:pPr>
            <w:r>
              <w:rPr>
                <w:color w:val="000000"/>
                <w:sz w:val="21"/>
                <w:szCs w:val="21"/>
              </w:rPr>
              <w:t>个</w:t>
            </w:r>
          </w:p>
        </w:tc>
        <w:tc>
          <w:tcPr>
            <w:tcW w:w="431"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591FACE8">
            <w:pPr>
              <w:spacing w:line="240" w:lineRule="auto"/>
              <w:ind w:firstLine="0" w:firstLineChars="0"/>
              <w:jc w:val="center"/>
              <w:rPr>
                <w:color w:val="000000"/>
                <w:sz w:val="21"/>
                <w:szCs w:val="21"/>
              </w:rPr>
            </w:pPr>
            <w:r>
              <w:rPr>
                <w:color w:val="000000"/>
                <w:sz w:val="21"/>
                <w:szCs w:val="21"/>
              </w:rPr>
              <w:t>4</w:t>
            </w:r>
          </w:p>
        </w:tc>
        <w:tc>
          <w:tcPr>
            <w:tcW w:w="646"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2F3935FF">
            <w:pPr>
              <w:spacing w:line="240" w:lineRule="auto"/>
              <w:ind w:firstLine="0" w:firstLineChars="0"/>
              <w:jc w:val="center"/>
              <w:rPr>
                <w:color w:val="000000"/>
                <w:sz w:val="21"/>
                <w:szCs w:val="21"/>
              </w:rPr>
            </w:pPr>
            <w:r>
              <w:rPr>
                <w:color w:val="000000"/>
                <w:sz w:val="21"/>
                <w:szCs w:val="21"/>
              </w:rPr>
              <w:t>0.1</w:t>
            </w:r>
          </w:p>
        </w:tc>
        <w:tc>
          <w:tcPr>
            <w:tcW w:w="1152"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40D938D3">
            <w:pPr>
              <w:spacing w:line="240" w:lineRule="auto"/>
              <w:ind w:firstLine="0" w:firstLineChars="0"/>
              <w:jc w:val="center"/>
              <w:rPr>
                <w:color w:val="000000"/>
                <w:sz w:val="21"/>
                <w:szCs w:val="21"/>
              </w:rPr>
            </w:pPr>
          </w:p>
        </w:tc>
      </w:tr>
      <w:tr w14:paraId="10E2A4B6">
        <w:tblPrEx>
          <w:tblCellMar>
            <w:top w:w="0" w:type="dxa"/>
            <w:left w:w="0" w:type="dxa"/>
            <w:bottom w:w="0" w:type="dxa"/>
            <w:right w:w="0" w:type="dxa"/>
          </w:tblCellMar>
        </w:tblPrEx>
        <w:trPr>
          <w:trHeight w:val="397" w:hRule="atLeast"/>
        </w:trPr>
        <w:tc>
          <w:tcPr>
            <w:tcW w:w="325" w:type="pct"/>
            <w:vMerge w:val="continue"/>
            <w:tcBorders>
              <w:top w:val="nil"/>
              <w:left w:val="single" w:color="auto" w:sz="8" w:space="0"/>
              <w:bottom w:val="single" w:color="000000" w:sz="8" w:space="0"/>
              <w:right w:val="single" w:color="auto" w:sz="8" w:space="0"/>
            </w:tcBorders>
            <w:vAlign w:val="center"/>
          </w:tcPr>
          <w:p w14:paraId="252481A3">
            <w:pPr>
              <w:spacing w:line="240" w:lineRule="auto"/>
              <w:ind w:firstLine="0" w:firstLineChars="0"/>
              <w:jc w:val="center"/>
              <w:rPr>
                <w:color w:val="000000"/>
                <w:sz w:val="21"/>
                <w:szCs w:val="21"/>
              </w:rPr>
            </w:pPr>
          </w:p>
        </w:tc>
        <w:tc>
          <w:tcPr>
            <w:tcW w:w="764" w:type="pct"/>
            <w:vMerge w:val="continue"/>
            <w:tcBorders>
              <w:top w:val="nil"/>
              <w:left w:val="single" w:color="auto" w:sz="8" w:space="0"/>
              <w:bottom w:val="single" w:color="000000" w:sz="8" w:space="0"/>
              <w:right w:val="single" w:color="auto" w:sz="8" w:space="0"/>
            </w:tcBorders>
            <w:vAlign w:val="center"/>
          </w:tcPr>
          <w:p w14:paraId="048E1047">
            <w:pPr>
              <w:spacing w:line="240" w:lineRule="auto"/>
              <w:ind w:firstLine="0" w:firstLineChars="0"/>
              <w:jc w:val="center"/>
              <w:rPr>
                <w:color w:val="000000"/>
                <w:sz w:val="21"/>
                <w:szCs w:val="21"/>
              </w:rPr>
            </w:pPr>
          </w:p>
        </w:tc>
        <w:tc>
          <w:tcPr>
            <w:tcW w:w="1239"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591320E6">
            <w:pPr>
              <w:spacing w:line="240" w:lineRule="auto"/>
              <w:ind w:firstLine="0" w:firstLineChars="0"/>
              <w:jc w:val="center"/>
              <w:rPr>
                <w:color w:val="000000"/>
                <w:sz w:val="21"/>
                <w:szCs w:val="21"/>
              </w:rPr>
            </w:pPr>
            <w:r>
              <w:rPr>
                <w:color w:val="000000"/>
                <w:sz w:val="21"/>
                <w:szCs w:val="21"/>
              </w:rPr>
              <w:t>被褥</w:t>
            </w:r>
          </w:p>
        </w:tc>
        <w:tc>
          <w:tcPr>
            <w:tcW w:w="439"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4DE1FEBB">
            <w:pPr>
              <w:spacing w:line="240" w:lineRule="auto"/>
              <w:ind w:firstLine="0" w:firstLineChars="0"/>
              <w:jc w:val="center"/>
              <w:rPr>
                <w:color w:val="000000"/>
                <w:sz w:val="21"/>
                <w:szCs w:val="21"/>
              </w:rPr>
            </w:pPr>
            <w:r>
              <w:rPr>
                <w:color w:val="000000"/>
                <w:sz w:val="21"/>
                <w:szCs w:val="21"/>
              </w:rPr>
              <w:t>套</w:t>
            </w:r>
          </w:p>
        </w:tc>
        <w:tc>
          <w:tcPr>
            <w:tcW w:w="431"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71F62A57">
            <w:pPr>
              <w:spacing w:line="240" w:lineRule="auto"/>
              <w:ind w:firstLine="0" w:firstLineChars="0"/>
              <w:jc w:val="center"/>
              <w:rPr>
                <w:color w:val="000000"/>
                <w:sz w:val="21"/>
                <w:szCs w:val="21"/>
              </w:rPr>
            </w:pPr>
            <w:r>
              <w:rPr>
                <w:color w:val="000000"/>
                <w:sz w:val="21"/>
                <w:szCs w:val="21"/>
              </w:rPr>
              <w:t>5</w:t>
            </w:r>
          </w:p>
        </w:tc>
        <w:tc>
          <w:tcPr>
            <w:tcW w:w="646"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0BC346B7">
            <w:pPr>
              <w:spacing w:line="240" w:lineRule="auto"/>
              <w:ind w:firstLine="0" w:firstLineChars="0"/>
              <w:jc w:val="center"/>
              <w:rPr>
                <w:color w:val="000000"/>
                <w:sz w:val="21"/>
                <w:szCs w:val="21"/>
              </w:rPr>
            </w:pPr>
            <w:r>
              <w:rPr>
                <w:color w:val="000000"/>
                <w:sz w:val="21"/>
                <w:szCs w:val="21"/>
              </w:rPr>
              <w:t>0.2</w:t>
            </w:r>
          </w:p>
        </w:tc>
        <w:tc>
          <w:tcPr>
            <w:tcW w:w="1152"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5D7C9EBD">
            <w:pPr>
              <w:spacing w:line="240" w:lineRule="auto"/>
              <w:ind w:firstLine="0" w:firstLineChars="0"/>
              <w:jc w:val="center"/>
              <w:rPr>
                <w:color w:val="000000"/>
                <w:sz w:val="21"/>
                <w:szCs w:val="21"/>
              </w:rPr>
            </w:pPr>
          </w:p>
        </w:tc>
      </w:tr>
      <w:tr w14:paraId="351971B0">
        <w:tblPrEx>
          <w:tblCellMar>
            <w:top w:w="0" w:type="dxa"/>
            <w:left w:w="0" w:type="dxa"/>
            <w:bottom w:w="0" w:type="dxa"/>
            <w:right w:w="0" w:type="dxa"/>
          </w:tblCellMar>
        </w:tblPrEx>
        <w:trPr>
          <w:trHeight w:val="397" w:hRule="atLeast"/>
        </w:trPr>
        <w:tc>
          <w:tcPr>
            <w:tcW w:w="325" w:type="pct"/>
            <w:vMerge w:val="continue"/>
            <w:tcBorders>
              <w:top w:val="nil"/>
              <w:left w:val="single" w:color="auto" w:sz="8" w:space="0"/>
              <w:bottom w:val="single" w:color="000000" w:sz="8" w:space="0"/>
              <w:right w:val="single" w:color="auto" w:sz="8" w:space="0"/>
            </w:tcBorders>
            <w:vAlign w:val="center"/>
          </w:tcPr>
          <w:p w14:paraId="61D58ABE">
            <w:pPr>
              <w:spacing w:line="240" w:lineRule="auto"/>
              <w:ind w:firstLine="0" w:firstLineChars="0"/>
              <w:jc w:val="center"/>
              <w:rPr>
                <w:color w:val="000000"/>
                <w:sz w:val="21"/>
                <w:szCs w:val="21"/>
              </w:rPr>
            </w:pPr>
          </w:p>
        </w:tc>
        <w:tc>
          <w:tcPr>
            <w:tcW w:w="764" w:type="pct"/>
            <w:vMerge w:val="continue"/>
            <w:tcBorders>
              <w:top w:val="nil"/>
              <w:left w:val="single" w:color="auto" w:sz="8" w:space="0"/>
              <w:bottom w:val="single" w:color="000000" w:sz="8" w:space="0"/>
              <w:right w:val="single" w:color="auto" w:sz="8" w:space="0"/>
            </w:tcBorders>
            <w:vAlign w:val="center"/>
          </w:tcPr>
          <w:p w14:paraId="583896CE">
            <w:pPr>
              <w:spacing w:line="240" w:lineRule="auto"/>
              <w:ind w:firstLine="0" w:firstLineChars="0"/>
              <w:jc w:val="center"/>
              <w:rPr>
                <w:color w:val="000000"/>
                <w:sz w:val="21"/>
                <w:szCs w:val="21"/>
              </w:rPr>
            </w:pPr>
          </w:p>
        </w:tc>
        <w:tc>
          <w:tcPr>
            <w:tcW w:w="1239"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0DFE3960">
            <w:pPr>
              <w:spacing w:line="240" w:lineRule="auto"/>
              <w:ind w:firstLine="0" w:firstLineChars="0"/>
              <w:jc w:val="center"/>
              <w:rPr>
                <w:color w:val="000000"/>
                <w:sz w:val="21"/>
                <w:szCs w:val="21"/>
              </w:rPr>
            </w:pPr>
            <w:r>
              <w:rPr>
                <w:color w:val="000000"/>
                <w:sz w:val="21"/>
                <w:szCs w:val="21"/>
              </w:rPr>
              <w:t>救护药箱</w:t>
            </w:r>
          </w:p>
        </w:tc>
        <w:tc>
          <w:tcPr>
            <w:tcW w:w="439"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6CEBD7DD">
            <w:pPr>
              <w:spacing w:line="240" w:lineRule="auto"/>
              <w:ind w:firstLine="0" w:firstLineChars="0"/>
              <w:jc w:val="center"/>
              <w:rPr>
                <w:color w:val="000000"/>
                <w:sz w:val="21"/>
                <w:szCs w:val="21"/>
              </w:rPr>
            </w:pPr>
            <w:r>
              <w:rPr>
                <w:color w:val="000000"/>
                <w:sz w:val="21"/>
                <w:szCs w:val="21"/>
              </w:rPr>
              <w:t>个</w:t>
            </w:r>
          </w:p>
        </w:tc>
        <w:tc>
          <w:tcPr>
            <w:tcW w:w="431"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2EC517C5">
            <w:pPr>
              <w:spacing w:line="240" w:lineRule="auto"/>
              <w:ind w:firstLine="0" w:firstLineChars="0"/>
              <w:jc w:val="center"/>
              <w:rPr>
                <w:color w:val="000000"/>
                <w:sz w:val="21"/>
                <w:szCs w:val="21"/>
              </w:rPr>
            </w:pPr>
            <w:r>
              <w:rPr>
                <w:color w:val="000000"/>
                <w:sz w:val="21"/>
                <w:szCs w:val="21"/>
              </w:rPr>
              <w:t>5</w:t>
            </w:r>
          </w:p>
        </w:tc>
        <w:tc>
          <w:tcPr>
            <w:tcW w:w="646"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5A2DBC5A">
            <w:pPr>
              <w:spacing w:line="240" w:lineRule="auto"/>
              <w:ind w:firstLine="0" w:firstLineChars="0"/>
              <w:jc w:val="center"/>
              <w:rPr>
                <w:color w:val="000000"/>
                <w:sz w:val="21"/>
                <w:szCs w:val="21"/>
              </w:rPr>
            </w:pPr>
            <w:r>
              <w:rPr>
                <w:color w:val="000000"/>
                <w:sz w:val="21"/>
                <w:szCs w:val="21"/>
              </w:rPr>
              <w:t>0.2</w:t>
            </w:r>
          </w:p>
        </w:tc>
        <w:tc>
          <w:tcPr>
            <w:tcW w:w="1152"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279FB618">
            <w:pPr>
              <w:spacing w:line="240" w:lineRule="auto"/>
              <w:ind w:firstLine="0" w:firstLineChars="0"/>
              <w:jc w:val="center"/>
              <w:rPr>
                <w:color w:val="000000"/>
                <w:sz w:val="21"/>
                <w:szCs w:val="21"/>
              </w:rPr>
            </w:pPr>
          </w:p>
        </w:tc>
      </w:tr>
      <w:tr w14:paraId="424C81A7">
        <w:tblPrEx>
          <w:tblCellMar>
            <w:top w:w="0" w:type="dxa"/>
            <w:left w:w="0" w:type="dxa"/>
            <w:bottom w:w="0" w:type="dxa"/>
            <w:right w:w="0" w:type="dxa"/>
          </w:tblCellMar>
        </w:tblPrEx>
        <w:trPr>
          <w:trHeight w:val="397" w:hRule="atLeast"/>
        </w:trPr>
        <w:tc>
          <w:tcPr>
            <w:tcW w:w="325" w:type="pct"/>
            <w:vMerge w:val="continue"/>
            <w:tcBorders>
              <w:top w:val="nil"/>
              <w:left w:val="single" w:color="auto" w:sz="8" w:space="0"/>
              <w:bottom w:val="single" w:color="000000" w:sz="8" w:space="0"/>
              <w:right w:val="single" w:color="auto" w:sz="8" w:space="0"/>
            </w:tcBorders>
            <w:vAlign w:val="center"/>
          </w:tcPr>
          <w:p w14:paraId="2C2B44E8">
            <w:pPr>
              <w:spacing w:line="240" w:lineRule="auto"/>
              <w:ind w:firstLine="0" w:firstLineChars="0"/>
              <w:jc w:val="center"/>
              <w:rPr>
                <w:color w:val="000000"/>
                <w:sz w:val="21"/>
                <w:szCs w:val="21"/>
              </w:rPr>
            </w:pPr>
          </w:p>
        </w:tc>
        <w:tc>
          <w:tcPr>
            <w:tcW w:w="764" w:type="pct"/>
            <w:vMerge w:val="continue"/>
            <w:tcBorders>
              <w:top w:val="nil"/>
              <w:left w:val="single" w:color="auto" w:sz="8" w:space="0"/>
              <w:bottom w:val="single" w:color="000000" w:sz="8" w:space="0"/>
              <w:right w:val="single" w:color="auto" w:sz="8" w:space="0"/>
            </w:tcBorders>
            <w:vAlign w:val="center"/>
          </w:tcPr>
          <w:p w14:paraId="12FF3533">
            <w:pPr>
              <w:spacing w:line="240" w:lineRule="auto"/>
              <w:ind w:firstLine="0" w:firstLineChars="0"/>
              <w:jc w:val="center"/>
              <w:rPr>
                <w:color w:val="000000"/>
                <w:sz w:val="21"/>
                <w:szCs w:val="21"/>
              </w:rPr>
            </w:pPr>
          </w:p>
        </w:tc>
        <w:tc>
          <w:tcPr>
            <w:tcW w:w="1239"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63A8B2DA">
            <w:pPr>
              <w:spacing w:line="240" w:lineRule="auto"/>
              <w:ind w:firstLine="0" w:firstLineChars="0"/>
              <w:jc w:val="center"/>
              <w:rPr>
                <w:color w:val="000000"/>
                <w:sz w:val="21"/>
                <w:szCs w:val="21"/>
              </w:rPr>
            </w:pPr>
            <w:r>
              <w:rPr>
                <w:color w:val="000000"/>
                <w:sz w:val="21"/>
                <w:szCs w:val="21"/>
              </w:rPr>
              <w:t>便携式氧气瓶</w:t>
            </w:r>
          </w:p>
        </w:tc>
        <w:tc>
          <w:tcPr>
            <w:tcW w:w="439"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59E2406B">
            <w:pPr>
              <w:spacing w:line="240" w:lineRule="auto"/>
              <w:ind w:firstLine="0" w:firstLineChars="0"/>
              <w:jc w:val="center"/>
              <w:rPr>
                <w:color w:val="000000"/>
                <w:sz w:val="21"/>
                <w:szCs w:val="21"/>
              </w:rPr>
            </w:pPr>
            <w:r>
              <w:rPr>
                <w:color w:val="000000"/>
                <w:sz w:val="21"/>
                <w:szCs w:val="21"/>
              </w:rPr>
              <w:t>个</w:t>
            </w:r>
          </w:p>
        </w:tc>
        <w:tc>
          <w:tcPr>
            <w:tcW w:w="431"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57CE1FF0">
            <w:pPr>
              <w:spacing w:line="240" w:lineRule="auto"/>
              <w:ind w:firstLine="0" w:firstLineChars="0"/>
              <w:jc w:val="center"/>
              <w:rPr>
                <w:color w:val="000000"/>
                <w:sz w:val="21"/>
                <w:szCs w:val="21"/>
              </w:rPr>
            </w:pPr>
            <w:r>
              <w:rPr>
                <w:color w:val="000000"/>
                <w:sz w:val="21"/>
                <w:szCs w:val="21"/>
              </w:rPr>
              <w:t>10</w:t>
            </w:r>
          </w:p>
        </w:tc>
        <w:tc>
          <w:tcPr>
            <w:tcW w:w="646"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19AC1694">
            <w:pPr>
              <w:spacing w:line="240" w:lineRule="auto"/>
              <w:ind w:firstLine="0" w:firstLineChars="0"/>
              <w:jc w:val="center"/>
              <w:rPr>
                <w:color w:val="000000"/>
                <w:sz w:val="21"/>
                <w:szCs w:val="21"/>
              </w:rPr>
            </w:pPr>
            <w:r>
              <w:rPr>
                <w:color w:val="000000"/>
                <w:sz w:val="21"/>
                <w:szCs w:val="21"/>
              </w:rPr>
              <w:t>0.5</w:t>
            </w:r>
          </w:p>
        </w:tc>
        <w:tc>
          <w:tcPr>
            <w:tcW w:w="1152"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79EADDD1">
            <w:pPr>
              <w:spacing w:line="240" w:lineRule="auto"/>
              <w:ind w:firstLine="0" w:firstLineChars="0"/>
              <w:jc w:val="center"/>
              <w:rPr>
                <w:color w:val="000000"/>
                <w:sz w:val="21"/>
                <w:szCs w:val="21"/>
              </w:rPr>
            </w:pPr>
          </w:p>
        </w:tc>
      </w:tr>
      <w:tr w14:paraId="2043A5D8">
        <w:tblPrEx>
          <w:tblCellMar>
            <w:top w:w="0" w:type="dxa"/>
            <w:left w:w="0" w:type="dxa"/>
            <w:bottom w:w="0" w:type="dxa"/>
            <w:right w:w="0" w:type="dxa"/>
          </w:tblCellMar>
        </w:tblPrEx>
        <w:trPr>
          <w:trHeight w:val="397" w:hRule="atLeast"/>
        </w:trPr>
        <w:tc>
          <w:tcPr>
            <w:tcW w:w="325" w:type="pct"/>
            <w:vMerge w:val="continue"/>
            <w:tcBorders>
              <w:top w:val="nil"/>
              <w:left w:val="single" w:color="auto" w:sz="8" w:space="0"/>
              <w:bottom w:val="single" w:color="000000" w:sz="8" w:space="0"/>
              <w:right w:val="single" w:color="auto" w:sz="8" w:space="0"/>
            </w:tcBorders>
            <w:vAlign w:val="center"/>
          </w:tcPr>
          <w:p w14:paraId="0C16BEB6">
            <w:pPr>
              <w:spacing w:line="240" w:lineRule="auto"/>
              <w:ind w:firstLine="0" w:firstLineChars="0"/>
              <w:jc w:val="center"/>
              <w:rPr>
                <w:color w:val="000000"/>
                <w:sz w:val="21"/>
                <w:szCs w:val="21"/>
              </w:rPr>
            </w:pPr>
          </w:p>
        </w:tc>
        <w:tc>
          <w:tcPr>
            <w:tcW w:w="764" w:type="pct"/>
            <w:vMerge w:val="continue"/>
            <w:tcBorders>
              <w:top w:val="nil"/>
              <w:left w:val="single" w:color="auto" w:sz="8" w:space="0"/>
              <w:bottom w:val="single" w:color="000000" w:sz="8" w:space="0"/>
              <w:right w:val="single" w:color="auto" w:sz="8" w:space="0"/>
            </w:tcBorders>
            <w:vAlign w:val="center"/>
          </w:tcPr>
          <w:p w14:paraId="5F9EF3D4">
            <w:pPr>
              <w:spacing w:line="240" w:lineRule="auto"/>
              <w:ind w:firstLine="0" w:firstLineChars="0"/>
              <w:jc w:val="center"/>
              <w:rPr>
                <w:color w:val="000000"/>
                <w:sz w:val="21"/>
                <w:szCs w:val="21"/>
              </w:rPr>
            </w:pPr>
          </w:p>
        </w:tc>
        <w:tc>
          <w:tcPr>
            <w:tcW w:w="1239"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6FFCF031">
            <w:pPr>
              <w:spacing w:line="240" w:lineRule="auto"/>
              <w:ind w:firstLine="0" w:firstLineChars="0"/>
              <w:jc w:val="center"/>
              <w:rPr>
                <w:color w:val="000000"/>
                <w:sz w:val="21"/>
                <w:szCs w:val="21"/>
              </w:rPr>
            </w:pPr>
            <w:r>
              <w:rPr>
                <w:color w:val="000000"/>
                <w:sz w:val="21"/>
                <w:szCs w:val="21"/>
              </w:rPr>
              <w:t>移动式探照灯</w:t>
            </w:r>
          </w:p>
        </w:tc>
        <w:tc>
          <w:tcPr>
            <w:tcW w:w="439"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55978262">
            <w:pPr>
              <w:spacing w:line="240" w:lineRule="auto"/>
              <w:ind w:firstLine="0" w:firstLineChars="0"/>
              <w:jc w:val="center"/>
              <w:rPr>
                <w:color w:val="000000"/>
                <w:sz w:val="21"/>
                <w:szCs w:val="21"/>
              </w:rPr>
            </w:pPr>
            <w:r>
              <w:rPr>
                <w:color w:val="000000"/>
                <w:sz w:val="21"/>
                <w:szCs w:val="21"/>
              </w:rPr>
              <w:t>台</w:t>
            </w:r>
          </w:p>
        </w:tc>
        <w:tc>
          <w:tcPr>
            <w:tcW w:w="431"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3071C9BC">
            <w:pPr>
              <w:spacing w:line="240" w:lineRule="auto"/>
              <w:ind w:firstLine="0" w:firstLineChars="0"/>
              <w:jc w:val="center"/>
              <w:rPr>
                <w:color w:val="000000"/>
                <w:sz w:val="21"/>
                <w:szCs w:val="21"/>
              </w:rPr>
            </w:pPr>
            <w:r>
              <w:rPr>
                <w:color w:val="000000"/>
                <w:sz w:val="21"/>
                <w:szCs w:val="21"/>
              </w:rPr>
              <w:t>4</w:t>
            </w:r>
          </w:p>
        </w:tc>
        <w:tc>
          <w:tcPr>
            <w:tcW w:w="646"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18550CDD">
            <w:pPr>
              <w:spacing w:line="240" w:lineRule="auto"/>
              <w:ind w:firstLine="0" w:firstLineChars="0"/>
              <w:jc w:val="center"/>
              <w:rPr>
                <w:color w:val="000000"/>
                <w:sz w:val="21"/>
                <w:szCs w:val="21"/>
              </w:rPr>
            </w:pPr>
            <w:r>
              <w:rPr>
                <w:color w:val="000000"/>
                <w:sz w:val="21"/>
                <w:szCs w:val="21"/>
              </w:rPr>
              <w:t>0.5</w:t>
            </w:r>
          </w:p>
        </w:tc>
        <w:tc>
          <w:tcPr>
            <w:tcW w:w="1152"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11DB2C6A">
            <w:pPr>
              <w:spacing w:line="240" w:lineRule="auto"/>
              <w:ind w:firstLine="0" w:firstLineChars="0"/>
              <w:jc w:val="center"/>
              <w:rPr>
                <w:color w:val="000000"/>
                <w:sz w:val="21"/>
                <w:szCs w:val="21"/>
              </w:rPr>
            </w:pPr>
          </w:p>
        </w:tc>
      </w:tr>
      <w:tr w14:paraId="387C2B56">
        <w:tblPrEx>
          <w:tblCellMar>
            <w:top w:w="0" w:type="dxa"/>
            <w:left w:w="0" w:type="dxa"/>
            <w:bottom w:w="0" w:type="dxa"/>
            <w:right w:w="0" w:type="dxa"/>
          </w:tblCellMar>
        </w:tblPrEx>
        <w:trPr>
          <w:trHeight w:val="397" w:hRule="atLeast"/>
        </w:trPr>
        <w:tc>
          <w:tcPr>
            <w:tcW w:w="325" w:type="pct"/>
            <w:vMerge w:val="continue"/>
            <w:tcBorders>
              <w:top w:val="nil"/>
              <w:left w:val="single" w:color="auto" w:sz="8" w:space="0"/>
              <w:bottom w:val="single" w:color="000000" w:sz="8" w:space="0"/>
              <w:right w:val="single" w:color="auto" w:sz="8" w:space="0"/>
            </w:tcBorders>
            <w:vAlign w:val="center"/>
          </w:tcPr>
          <w:p w14:paraId="5E3DFFF2">
            <w:pPr>
              <w:spacing w:line="240" w:lineRule="auto"/>
              <w:ind w:firstLine="0" w:firstLineChars="0"/>
              <w:jc w:val="center"/>
              <w:rPr>
                <w:color w:val="000000"/>
                <w:sz w:val="21"/>
                <w:szCs w:val="21"/>
              </w:rPr>
            </w:pPr>
          </w:p>
        </w:tc>
        <w:tc>
          <w:tcPr>
            <w:tcW w:w="764" w:type="pct"/>
            <w:vMerge w:val="continue"/>
            <w:tcBorders>
              <w:top w:val="nil"/>
              <w:left w:val="single" w:color="auto" w:sz="8" w:space="0"/>
              <w:bottom w:val="single" w:color="000000" w:sz="8" w:space="0"/>
              <w:right w:val="single" w:color="auto" w:sz="8" w:space="0"/>
            </w:tcBorders>
            <w:vAlign w:val="center"/>
          </w:tcPr>
          <w:p w14:paraId="0B90D4C3">
            <w:pPr>
              <w:spacing w:line="240" w:lineRule="auto"/>
              <w:ind w:firstLine="0" w:firstLineChars="0"/>
              <w:jc w:val="center"/>
              <w:rPr>
                <w:color w:val="000000"/>
                <w:sz w:val="21"/>
                <w:szCs w:val="21"/>
              </w:rPr>
            </w:pPr>
          </w:p>
        </w:tc>
        <w:tc>
          <w:tcPr>
            <w:tcW w:w="1239"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4E3EFB41">
            <w:pPr>
              <w:spacing w:line="240" w:lineRule="auto"/>
              <w:ind w:firstLine="0" w:firstLineChars="0"/>
              <w:jc w:val="center"/>
              <w:rPr>
                <w:color w:val="000000"/>
                <w:sz w:val="21"/>
                <w:szCs w:val="21"/>
              </w:rPr>
            </w:pPr>
            <w:r>
              <w:rPr>
                <w:color w:val="000000"/>
                <w:sz w:val="21"/>
                <w:szCs w:val="21"/>
              </w:rPr>
              <w:t>千斤顶</w:t>
            </w:r>
          </w:p>
        </w:tc>
        <w:tc>
          <w:tcPr>
            <w:tcW w:w="439"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6139D237">
            <w:pPr>
              <w:spacing w:line="240" w:lineRule="auto"/>
              <w:ind w:firstLine="0" w:firstLineChars="0"/>
              <w:jc w:val="center"/>
              <w:rPr>
                <w:color w:val="000000"/>
                <w:sz w:val="21"/>
                <w:szCs w:val="21"/>
              </w:rPr>
            </w:pPr>
            <w:r>
              <w:rPr>
                <w:color w:val="000000"/>
                <w:sz w:val="21"/>
                <w:szCs w:val="21"/>
              </w:rPr>
              <w:t>台</w:t>
            </w:r>
          </w:p>
        </w:tc>
        <w:tc>
          <w:tcPr>
            <w:tcW w:w="431"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02426D83">
            <w:pPr>
              <w:spacing w:line="240" w:lineRule="auto"/>
              <w:ind w:firstLine="0" w:firstLineChars="0"/>
              <w:jc w:val="center"/>
              <w:rPr>
                <w:color w:val="000000"/>
                <w:sz w:val="21"/>
                <w:szCs w:val="21"/>
              </w:rPr>
            </w:pPr>
            <w:r>
              <w:rPr>
                <w:color w:val="000000"/>
                <w:sz w:val="21"/>
                <w:szCs w:val="21"/>
              </w:rPr>
              <w:t>3</w:t>
            </w:r>
          </w:p>
        </w:tc>
        <w:tc>
          <w:tcPr>
            <w:tcW w:w="646"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496FF2C9">
            <w:pPr>
              <w:spacing w:line="240" w:lineRule="auto"/>
              <w:ind w:firstLine="0" w:firstLineChars="0"/>
              <w:jc w:val="center"/>
              <w:rPr>
                <w:color w:val="000000"/>
                <w:sz w:val="21"/>
                <w:szCs w:val="21"/>
              </w:rPr>
            </w:pPr>
            <w:r>
              <w:rPr>
                <w:color w:val="000000"/>
                <w:sz w:val="21"/>
                <w:szCs w:val="21"/>
              </w:rPr>
              <w:t>0.3</w:t>
            </w:r>
          </w:p>
        </w:tc>
        <w:tc>
          <w:tcPr>
            <w:tcW w:w="1152"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66C1EBB3">
            <w:pPr>
              <w:spacing w:line="240" w:lineRule="auto"/>
              <w:ind w:firstLine="0" w:firstLineChars="0"/>
              <w:jc w:val="center"/>
              <w:rPr>
                <w:color w:val="000000"/>
                <w:sz w:val="21"/>
                <w:szCs w:val="21"/>
              </w:rPr>
            </w:pPr>
          </w:p>
        </w:tc>
      </w:tr>
      <w:tr w14:paraId="1BFA9E27">
        <w:tblPrEx>
          <w:tblCellMar>
            <w:top w:w="0" w:type="dxa"/>
            <w:left w:w="0" w:type="dxa"/>
            <w:bottom w:w="0" w:type="dxa"/>
            <w:right w:w="0" w:type="dxa"/>
          </w:tblCellMar>
        </w:tblPrEx>
        <w:trPr>
          <w:trHeight w:val="397" w:hRule="atLeast"/>
        </w:trPr>
        <w:tc>
          <w:tcPr>
            <w:tcW w:w="325" w:type="pct"/>
            <w:vMerge w:val="continue"/>
            <w:tcBorders>
              <w:top w:val="nil"/>
              <w:left w:val="single" w:color="auto" w:sz="8" w:space="0"/>
              <w:bottom w:val="single" w:color="000000" w:sz="8" w:space="0"/>
              <w:right w:val="single" w:color="auto" w:sz="8" w:space="0"/>
            </w:tcBorders>
            <w:vAlign w:val="center"/>
          </w:tcPr>
          <w:p w14:paraId="0E975F02">
            <w:pPr>
              <w:spacing w:line="240" w:lineRule="auto"/>
              <w:ind w:firstLine="0" w:firstLineChars="0"/>
              <w:jc w:val="center"/>
              <w:rPr>
                <w:color w:val="000000"/>
                <w:sz w:val="21"/>
                <w:szCs w:val="21"/>
              </w:rPr>
            </w:pPr>
          </w:p>
        </w:tc>
        <w:tc>
          <w:tcPr>
            <w:tcW w:w="764" w:type="pct"/>
            <w:vMerge w:val="continue"/>
            <w:tcBorders>
              <w:top w:val="nil"/>
              <w:left w:val="single" w:color="auto" w:sz="8" w:space="0"/>
              <w:bottom w:val="single" w:color="000000" w:sz="8" w:space="0"/>
              <w:right w:val="single" w:color="auto" w:sz="8" w:space="0"/>
            </w:tcBorders>
            <w:vAlign w:val="center"/>
          </w:tcPr>
          <w:p w14:paraId="60247E41">
            <w:pPr>
              <w:spacing w:line="240" w:lineRule="auto"/>
              <w:ind w:firstLine="0" w:firstLineChars="0"/>
              <w:jc w:val="center"/>
              <w:rPr>
                <w:color w:val="000000"/>
                <w:sz w:val="21"/>
                <w:szCs w:val="21"/>
              </w:rPr>
            </w:pPr>
          </w:p>
        </w:tc>
        <w:tc>
          <w:tcPr>
            <w:tcW w:w="1239"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730C7C18">
            <w:pPr>
              <w:spacing w:line="240" w:lineRule="auto"/>
              <w:ind w:firstLine="0" w:firstLineChars="0"/>
              <w:jc w:val="center"/>
              <w:rPr>
                <w:color w:val="000000"/>
                <w:sz w:val="21"/>
                <w:szCs w:val="21"/>
              </w:rPr>
            </w:pPr>
            <w:r>
              <w:rPr>
                <w:color w:val="000000"/>
                <w:sz w:val="21"/>
                <w:szCs w:val="21"/>
              </w:rPr>
              <w:t>安全带</w:t>
            </w:r>
          </w:p>
        </w:tc>
        <w:tc>
          <w:tcPr>
            <w:tcW w:w="439"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4101A7EB">
            <w:pPr>
              <w:spacing w:line="240" w:lineRule="auto"/>
              <w:ind w:firstLine="0" w:firstLineChars="0"/>
              <w:jc w:val="center"/>
              <w:rPr>
                <w:color w:val="000000"/>
                <w:sz w:val="21"/>
                <w:szCs w:val="21"/>
              </w:rPr>
            </w:pPr>
            <w:r>
              <w:rPr>
                <w:color w:val="000000"/>
                <w:sz w:val="21"/>
                <w:szCs w:val="21"/>
              </w:rPr>
              <w:t>套</w:t>
            </w:r>
          </w:p>
        </w:tc>
        <w:tc>
          <w:tcPr>
            <w:tcW w:w="431"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7793BE4E">
            <w:pPr>
              <w:spacing w:line="240" w:lineRule="auto"/>
              <w:ind w:firstLine="0" w:firstLineChars="0"/>
              <w:jc w:val="center"/>
              <w:rPr>
                <w:color w:val="000000"/>
                <w:sz w:val="21"/>
                <w:szCs w:val="21"/>
              </w:rPr>
            </w:pPr>
            <w:r>
              <w:rPr>
                <w:color w:val="000000"/>
                <w:sz w:val="21"/>
                <w:szCs w:val="21"/>
              </w:rPr>
              <w:t>10</w:t>
            </w:r>
          </w:p>
        </w:tc>
        <w:tc>
          <w:tcPr>
            <w:tcW w:w="646"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79F8B1AA">
            <w:pPr>
              <w:spacing w:line="240" w:lineRule="auto"/>
              <w:ind w:firstLine="0" w:firstLineChars="0"/>
              <w:jc w:val="center"/>
              <w:rPr>
                <w:color w:val="000000"/>
                <w:sz w:val="21"/>
                <w:szCs w:val="21"/>
              </w:rPr>
            </w:pPr>
            <w:r>
              <w:rPr>
                <w:color w:val="000000"/>
                <w:sz w:val="21"/>
                <w:szCs w:val="21"/>
              </w:rPr>
              <w:t>0.2</w:t>
            </w:r>
          </w:p>
        </w:tc>
        <w:tc>
          <w:tcPr>
            <w:tcW w:w="1152"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54C4C65C">
            <w:pPr>
              <w:spacing w:line="240" w:lineRule="auto"/>
              <w:ind w:firstLine="0" w:firstLineChars="0"/>
              <w:jc w:val="center"/>
              <w:rPr>
                <w:color w:val="000000"/>
                <w:sz w:val="21"/>
                <w:szCs w:val="21"/>
              </w:rPr>
            </w:pPr>
          </w:p>
        </w:tc>
      </w:tr>
      <w:tr w14:paraId="354C4FB2">
        <w:tblPrEx>
          <w:tblCellMar>
            <w:top w:w="0" w:type="dxa"/>
            <w:left w:w="0" w:type="dxa"/>
            <w:bottom w:w="0" w:type="dxa"/>
            <w:right w:w="0" w:type="dxa"/>
          </w:tblCellMar>
        </w:tblPrEx>
        <w:trPr>
          <w:trHeight w:val="397" w:hRule="atLeast"/>
        </w:trPr>
        <w:tc>
          <w:tcPr>
            <w:tcW w:w="325" w:type="pct"/>
            <w:vMerge w:val="continue"/>
            <w:tcBorders>
              <w:top w:val="nil"/>
              <w:left w:val="single" w:color="auto" w:sz="8" w:space="0"/>
              <w:bottom w:val="single" w:color="000000" w:sz="8" w:space="0"/>
              <w:right w:val="single" w:color="auto" w:sz="8" w:space="0"/>
            </w:tcBorders>
            <w:vAlign w:val="center"/>
          </w:tcPr>
          <w:p w14:paraId="7891F2C4">
            <w:pPr>
              <w:spacing w:line="240" w:lineRule="auto"/>
              <w:ind w:firstLine="0" w:firstLineChars="0"/>
              <w:jc w:val="center"/>
              <w:rPr>
                <w:color w:val="000000"/>
                <w:sz w:val="21"/>
                <w:szCs w:val="21"/>
              </w:rPr>
            </w:pPr>
          </w:p>
        </w:tc>
        <w:tc>
          <w:tcPr>
            <w:tcW w:w="764" w:type="pct"/>
            <w:vMerge w:val="continue"/>
            <w:tcBorders>
              <w:top w:val="nil"/>
              <w:left w:val="single" w:color="auto" w:sz="8" w:space="0"/>
              <w:bottom w:val="single" w:color="000000" w:sz="8" w:space="0"/>
              <w:right w:val="single" w:color="auto" w:sz="8" w:space="0"/>
            </w:tcBorders>
            <w:vAlign w:val="center"/>
          </w:tcPr>
          <w:p w14:paraId="121B36AD">
            <w:pPr>
              <w:spacing w:line="240" w:lineRule="auto"/>
              <w:ind w:firstLine="0" w:firstLineChars="0"/>
              <w:jc w:val="center"/>
              <w:rPr>
                <w:color w:val="000000"/>
                <w:sz w:val="21"/>
                <w:szCs w:val="21"/>
              </w:rPr>
            </w:pPr>
          </w:p>
        </w:tc>
        <w:tc>
          <w:tcPr>
            <w:tcW w:w="1239"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390D4CDC">
            <w:pPr>
              <w:spacing w:line="240" w:lineRule="auto"/>
              <w:ind w:firstLine="0" w:firstLineChars="0"/>
              <w:jc w:val="center"/>
              <w:rPr>
                <w:color w:val="000000"/>
                <w:sz w:val="21"/>
                <w:szCs w:val="21"/>
              </w:rPr>
            </w:pPr>
            <w:r>
              <w:rPr>
                <w:color w:val="000000"/>
                <w:sz w:val="21"/>
                <w:szCs w:val="21"/>
              </w:rPr>
              <w:t>撬棍</w:t>
            </w:r>
          </w:p>
        </w:tc>
        <w:tc>
          <w:tcPr>
            <w:tcW w:w="439"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4E4A6EBC">
            <w:pPr>
              <w:spacing w:line="240" w:lineRule="auto"/>
              <w:ind w:firstLine="0" w:firstLineChars="0"/>
              <w:jc w:val="center"/>
              <w:rPr>
                <w:color w:val="000000"/>
                <w:sz w:val="21"/>
                <w:szCs w:val="21"/>
              </w:rPr>
            </w:pPr>
            <w:r>
              <w:rPr>
                <w:color w:val="000000"/>
                <w:sz w:val="21"/>
                <w:szCs w:val="21"/>
              </w:rPr>
              <w:t>根</w:t>
            </w:r>
          </w:p>
        </w:tc>
        <w:tc>
          <w:tcPr>
            <w:tcW w:w="431"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188701D5">
            <w:pPr>
              <w:spacing w:line="240" w:lineRule="auto"/>
              <w:ind w:firstLine="0" w:firstLineChars="0"/>
              <w:jc w:val="center"/>
              <w:rPr>
                <w:color w:val="000000"/>
                <w:sz w:val="21"/>
                <w:szCs w:val="21"/>
              </w:rPr>
            </w:pPr>
            <w:r>
              <w:rPr>
                <w:color w:val="000000"/>
                <w:sz w:val="21"/>
                <w:szCs w:val="21"/>
              </w:rPr>
              <w:t>6</w:t>
            </w:r>
          </w:p>
        </w:tc>
        <w:tc>
          <w:tcPr>
            <w:tcW w:w="646"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0E5E1290">
            <w:pPr>
              <w:spacing w:line="240" w:lineRule="auto"/>
              <w:ind w:firstLine="0" w:firstLineChars="0"/>
              <w:jc w:val="center"/>
              <w:rPr>
                <w:color w:val="000000"/>
                <w:sz w:val="21"/>
                <w:szCs w:val="21"/>
              </w:rPr>
            </w:pPr>
            <w:r>
              <w:rPr>
                <w:color w:val="000000"/>
                <w:sz w:val="21"/>
                <w:szCs w:val="21"/>
              </w:rPr>
              <w:t>0.1</w:t>
            </w:r>
          </w:p>
        </w:tc>
        <w:tc>
          <w:tcPr>
            <w:tcW w:w="1152"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49FACB0B">
            <w:pPr>
              <w:spacing w:line="240" w:lineRule="auto"/>
              <w:ind w:firstLine="0" w:firstLineChars="0"/>
              <w:jc w:val="center"/>
              <w:rPr>
                <w:color w:val="000000"/>
                <w:sz w:val="21"/>
                <w:szCs w:val="21"/>
              </w:rPr>
            </w:pPr>
          </w:p>
        </w:tc>
      </w:tr>
      <w:tr w14:paraId="7AAFA8E3">
        <w:tblPrEx>
          <w:tblCellMar>
            <w:top w:w="0" w:type="dxa"/>
            <w:left w:w="0" w:type="dxa"/>
            <w:bottom w:w="0" w:type="dxa"/>
            <w:right w:w="0" w:type="dxa"/>
          </w:tblCellMar>
        </w:tblPrEx>
        <w:trPr>
          <w:trHeight w:val="397" w:hRule="atLeast"/>
        </w:trPr>
        <w:tc>
          <w:tcPr>
            <w:tcW w:w="325" w:type="pct"/>
            <w:vMerge w:val="continue"/>
            <w:tcBorders>
              <w:top w:val="nil"/>
              <w:left w:val="single" w:color="auto" w:sz="8" w:space="0"/>
              <w:bottom w:val="single" w:color="000000" w:sz="8" w:space="0"/>
              <w:right w:val="single" w:color="auto" w:sz="8" w:space="0"/>
            </w:tcBorders>
            <w:vAlign w:val="center"/>
          </w:tcPr>
          <w:p w14:paraId="4B9A2C51">
            <w:pPr>
              <w:spacing w:line="240" w:lineRule="auto"/>
              <w:ind w:firstLine="0" w:firstLineChars="0"/>
              <w:jc w:val="center"/>
              <w:rPr>
                <w:color w:val="000000"/>
                <w:sz w:val="21"/>
                <w:szCs w:val="21"/>
              </w:rPr>
            </w:pPr>
          </w:p>
        </w:tc>
        <w:tc>
          <w:tcPr>
            <w:tcW w:w="764" w:type="pct"/>
            <w:vMerge w:val="continue"/>
            <w:tcBorders>
              <w:top w:val="nil"/>
              <w:left w:val="single" w:color="auto" w:sz="8" w:space="0"/>
              <w:bottom w:val="single" w:color="000000" w:sz="8" w:space="0"/>
              <w:right w:val="single" w:color="auto" w:sz="8" w:space="0"/>
            </w:tcBorders>
            <w:vAlign w:val="center"/>
          </w:tcPr>
          <w:p w14:paraId="74A2F24B">
            <w:pPr>
              <w:spacing w:line="240" w:lineRule="auto"/>
              <w:ind w:firstLine="0" w:firstLineChars="0"/>
              <w:jc w:val="center"/>
              <w:rPr>
                <w:color w:val="000000"/>
                <w:sz w:val="21"/>
                <w:szCs w:val="21"/>
              </w:rPr>
            </w:pPr>
          </w:p>
        </w:tc>
        <w:tc>
          <w:tcPr>
            <w:tcW w:w="1239"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2A362367">
            <w:pPr>
              <w:spacing w:line="240" w:lineRule="auto"/>
              <w:ind w:firstLine="0" w:firstLineChars="0"/>
              <w:jc w:val="center"/>
              <w:rPr>
                <w:color w:val="000000"/>
                <w:sz w:val="21"/>
                <w:szCs w:val="21"/>
              </w:rPr>
            </w:pPr>
            <w:r>
              <w:rPr>
                <w:color w:val="000000"/>
                <w:sz w:val="21"/>
                <w:szCs w:val="21"/>
              </w:rPr>
              <w:t>灭火器</w:t>
            </w:r>
          </w:p>
        </w:tc>
        <w:tc>
          <w:tcPr>
            <w:tcW w:w="439"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79F8FF81">
            <w:pPr>
              <w:spacing w:line="240" w:lineRule="auto"/>
              <w:ind w:firstLine="0" w:firstLineChars="0"/>
              <w:jc w:val="center"/>
              <w:rPr>
                <w:color w:val="000000"/>
                <w:sz w:val="21"/>
                <w:szCs w:val="21"/>
              </w:rPr>
            </w:pPr>
            <w:r>
              <w:rPr>
                <w:color w:val="000000"/>
                <w:sz w:val="21"/>
                <w:szCs w:val="21"/>
              </w:rPr>
              <w:t>台</w:t>
            </w:r>
          </w:p>
        </w:tc>
        <w:tc>
          <w:tcPr>
            <w:tcW w:w="431"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606EF6F1">
            <w:pPr>
              <w:spacing w:line="240" w:lineRule="auto"/>
              <w:ind w:firstLine="0" w:firstLineChars="0"/>
              <w:jc w:val="center"/>
              <w:rPr>
                <w:color w:val="000000"/>
                <w:sz w:val="21"/>
                <w:szCs w:val="21"/>
              </w:rPr>
            </w:pPr>
            <w:r>
              <w:rPr>
                <w:color w:val="000000"/>
                <w:sz w:val="21"/>
                <w:szCs w:val="21"/>
              </w:rPr>
              <w:t>10</w:t>
            </w:r>
          </w:p>
        </w:tc>
        <w:tc>
          <w:tcPr>
            <w:tcW w:w="646"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1C0457CA">
            <w:pPr>
              <w:spacing w:line="240" w:lineRule="auto"/>
              <w:ind w:firstLine="0" w:firstLineChars="0"/>
              <w:jc w:val="center"/>
              <w:rPr>
                <w:color w:val="000000"/>
                <w:sz w:val="21"/>
                <w:szCs w:val="21"/>
              </w:rPr>
            </w:pPr>
            <w:r>
              <w:rPr>
                <w:color w:val="000000"/>
                <w:sz w:val="21"/>
                <w:szCs w:val="21"/>
              </w:rPr>
              <w:t>1.2</w:t>
            </w:r>
          </w:p>
        </w:tc>
        <w:tc>
          <w:tcPr>
            <w:tcW w:w="1152"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6DA8AADC">
            <w:pPr>
              <w:spacing w:line="240" w:lineRule="auto"/>
              <w:ind w:firstLine="0" w:firstLineChars="0"/>
              <w:jc w:val="center"/>
              <w:rPr>
                <w:color w:val="000000"/>
                <w:sz w:val="21"/>
                <w:szCs w:val="21"/>
              </w:rPr>
            </w:pPr>
          </w:p>
        </w:tc>
      </w:tr>
      <w:tr w14:paraId="5367CA20">
        <w:tblPrEx>
          <w:tblCellMar>
            <w:top w:w="0" w:type="dxa"/>
            <w:left w:w="0" w:type="dxa"/>
            <w:bottom w:w="0" w:type="dxa"/>
            <w:right w:w="0" w:type="dxa"/>
          </w:tblCellMar>
        </w:tblPrEx>
        <w:trPr>
          <w:trHeight w:val="397" w:hRule="atLeast"/>
        </w:trPr>
        <w:tc>
          <w:tcPr>
            <w:tcW w:w="325" w:type="pct"/>
            <w:vMerge w:val="continue"/>
            <w:tcBorders>
              <w:top w:val="nil"/>
              <w:left w:val="single" w:color="auto" w:sz="8" w:space="0"/>
              <w:bottom w:val="single" w:color="000000" w:sz="8" w:space="0"/>
              <w:right w:val="single" w:color="auto" w:sz="8" w:space="0"/>
            </w:tcBorders>
            <w:vAlign w:val="center"/>
          </w:tcPr>
          <w:p w14:paraId="3FEF0D1E">
            <w:pPr>
              <w:spacing w:line="240" w:lineRule="auto"/>
              <w:ind w:firstLine="0" w:firstLineChars="0"/>
              <w:jc w:val="center"/>
              <w:rPr>
                <w:color w:val="000000"/>
                <w:sz w:val="21"/>
                <w:szCs w:val="21"/>
              </w:rPr>
            </w:pPr>
          </w:p>
        </w:tc>
        <w:tc>
          <w:tcPr>
            <w:tcW w:w="764" w:type="pct"/>
            <w:vMerge w:val="continue"/>
            <w:tcBorders>
              <w:top w:val="nil"/>
              <w:left w:val="single" w:color="auto" w:sz="8" w:space="0"/>
              <w:bottom w:val="single" w:color="000000" w:sz="8" w:space="0"/>
              <w:right w:val="single" w:color="auto" w:sz="8" w:space="0"/>
            </w:tcBorders>
            <w:vAlign w:val="center"/>
          </w:tcPr>
          <w:p w14:paraId="50D70D17">
            <w:pPr>
              <w:spacing w:line="240" w:lineRule="auto"/>
              <w:ind w:firstLine="0" w:firstLineChars="0"/>
              <w:jc w:val="center"/>
              <w:rPr>
                <w:color w:val="000000"/>
                <w:sz w:val="21"/>
                <w:szCs w:val="21"/>
              </w:rPr>
            </w:pPr>
          </w:p>
        </w:tc>
        <w:tc>
          <w:tcPr>
            <w:tcW w:w="1239"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651E1959">
            <w:pPr>
              <w:spacing w:line="240" w:lineRule="auto"/>
              <w:ind w:firstLine="0" w:firstLineChars="0"/>
              <w:jc w:val="center"/>
              <w:rPr>
                <w:color w:val="000000"/>
                <w:sz w:val="21"/>
                <w:szCs w:val="21"/>
              </w:rPr>
            </w:pPr>
            <w:r>
              <w:rPr>
                <w:color w:val="000000"/>
                <w:sz w:val="21"/>
                <w:szCs w:val="21"/>
              </w:rPr>
              <w:t>对讲机</w:t>
            </w:r>
          </w:p>
        </w:tc>
        <w:tc>
          <w:tcPr>
            <w:tcW w:w="439"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4EBF5E0C">
            <w:pPr>
              <w:spacing w:line="240" w:lineRule="auto"/>
              <w:ind w:firstLine="0" w:firstLineChars="0"/>
              <w:jc w:val="center"/>
              <w:rPr>
                <w:color w:val="000000"/>
                <w:sz w:val="21"/>
                <w:szCs w:val="21"/>
              </w:rPr>
            </w:pPr>
            <w:r>
              <w:rPr>
                <w:color w:val="000000"/>
                <w:sz w:val="21"/>
                <w:szCs w:val="21"/>
              </w:rPr>
              <w:t>部</w:t>
            </w:r>
          </w:p>
        </w:tc>
        <w:tc>
          <w:tcPr>
            <w:tcW w:w="431"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1E87CFB9">
            <w:pPr>
              <w:spacing w:line="240" w:lineRule="auto"/>
              <w:ind w:firstLine="0" w:firstLineChars="0"/>
              <w:jc w:val="center"/>
              <w:rPr>
                <w:color w:val="000000"/>
                <w:sz w:val="21"/>
                <w:szCs w:val="21"/>
              </w:rPr>
            </w:pPr>
            <w:r>
              <w:rPr>
                <w:color w:val="000000"/>
                <w:sz w:val="21"/>
                <w:szCs w:val="21"/>
              </w:rPr>
              <w:t>15</w:t>
            </w:r>
          </w:p>
        </w:tc>
        <w:tc>
          <w:tcPr>
            <w:tcW w:w="646"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5B38AC1F">
            <w:pPr>
              <w:spacing w:line="240" w:lineRule="auto"/>
              <w:ind w:firstLine="0" w:firstLineChars="0"/>
              <w:jc w:val="center"/>
              <w:rPr>
                <w:color w:val="000000"/>
                <w:sz w:val="21"/>
                <w:szCs w:val="21"/>
              </w:rPr>
            </w:pPr>
            <w:r>
              <w:rPr>
                <w:color w:val="000000"/>
                <w:sz w:val="21"/>
                <w:szCs w:val="21"/>
              </w:rPr>
              <w:t>1.5</w:t>
            </w:r>
          </w:p>
        </w:tc>
        <w:tc>
          <w:tcPr>
            <w:tcW w:w="1152"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282FF8C8">
            <w:pPr>
              <w:spacing w:line="240" w:lineRule="auto"/>
              <w:ind w:firstLine="0" w:firstLineChars="0"/>
              <w:jc w:val="center"/>
              <w:rPr>
                <w:color w:val="000000"/>
                <w:sz w:val="21"/>
                <w:szCs w:val="21"/>
              </w:rPr>
            </w:pPr>
          </w:p>
        </w:tc>
      </w:tr>
      <w:tr w14:paraId="5AA39DA2">
        <w:tblPrEx>
          <w:tblCellMar>
            <w:top w:w="0" w:type="dxa"/>
            <w:left w:w="0" w:type="dxa"/>
            <w:bottom w:w="0" w:type="dxa"/>
            <w:right w:w="0" w:type="dxa"/>
          </w:tblCellMar>
        </w:tblPrEx>
        <w:trPr>
          <w:trHeight w:val="397" w:hRule="atLeast"/>
        </w:trPr>
        <w:tc>
          <w:tcPr>
            <w:tcW w:w="325" w:type="pct"/>
            <w:vMerge w:val="continue"/>
            <w:tcBorders>
              <w:top w:val="nil"/>
              <w:left w:val="single" w:color="auto" w:sz="8" w:space="0"/>
              <w:bottom w:val="single" w:color="000000" w:sz="8" w:space="0"/>
              <w:right w:val="single" w:color="auto" w:sz="8" w:space="0"/>
            </w:tcBorders>
            <w:vAlign w:val="center"/>
          </w:tcPr>
          <w:p w14:paraId="4FC213AD">
            <w:pPr>
              <w:spacing w:line="240" w:lineRule="auto"/>
              <w:ind w:firstLine="0" w:firstLineChars="0"/>
              <w:jc w:val="center"/>
              <w:rPr>
                <w:color w:val="000000"/>
                <w:sz w:val="21"/>
                <w:szCs w:val="21"/>
              </w:rPr>
            </w:pPr>
          </w:p>
        </w:tc>
        <w:tc>
          <w:tcPr>
            <w:tcW w:w="764" w:type="pct"/>
            <w:vMerge w:val="continue"/>
            <w:tcBorders>
              <w:top w:val="nil"/>
              <w:left w:val="single" w:color="auto" w:sz="8" w:space="0"/>
              <w:bottom w:val="single" w:color="000000" w:sz="8" w:space="0"/>
              <w:right w:val="single" w:color="auto" w:sz="8" w:space="0"/>
            </w:tcBorders>
            <w:vAlign w:val="center"/>
          </w:tcPr>
          <w:p w14:paraId="6379BCD2">
            <w:pPr>
              <w:spacing w:line="240" w:lineRule="auto"/>
              <w:ind w:firstLine="0" w:firstLineChars="0"/>
              <w:jc w:val="center"/>
              <w:rPr>
                <w:color w:val="000000"/>
                <w:sz w:val="21"/>
                <w:szCs w:val="21"/>
              </w:rPr>
            </w:pPr>
          </w:p>
        </w:tc>
        <w:tc>
          <w:tcPr>
            <w:tcW w:w="1239"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504DB07C">
            <w:pPr>
              <w:spacing w:line="240" w:lineRule="auto"/>
              <w:ind w:firstLine="0" w:firstLineChars="0"/>
              <w:jc w:val="center"/>
              <w:rPr>
                <w:color w:val="000000"/>
                <w:sz w:val="21"/>
                <w:szCs w:val="21"/>
              </w:rPr>
            </w:pPr>
            <w:r>
              <w:rPr>
                <w:color w:val="000000"/>
                <w:sz w:val="21"/>
                <w:szCs w:val="21"/>
              </w:rPr>
              <w:t>物资运输车</w:t>
            </w:r>
          </w:p>
        </w:tc>
        <w:tc>
          <w:tcPr>
            <w:tcW w:w="439"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4F7869FA">
            <w:pPr>
              <w:spacing w:line="240" w:lineRule="auto"/>
              <w:ind w:firstLine="0" w:firstLineChars="0"/>
              <w:jc w:val="center"/>
              <w:rPr>
                <w:color w:val="000000"/>
                <w:sz w:val="21"/>
                <w:szCs w:val="21"/>
              </w:rPr>
            </w:pPr>
            <w:r>
              <w:rPr>
                <w:color w:val="000000"/>
                <w:sz w:val="21"/>
                <w:szCs w:val="21"/>
              </w:rPr>
              <w:t>台</w:t>
            </w:r>
          </w:p>
        </w:tc>
        <w:tc>
          <w:tcPr>
            <w:tcW w:w="431"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598668FF">
            <w:pPr>
              <w:spacing w:line="240" w:lineRule="auto"/>
              <w:ind w:firstLine="0" w:firstLineChars="0"/>
              <w:jc w:val="center"/>
              <w:rPr>
                <w:color w:val="000000"/>
                <w:sz w:val="21"/>
                <w:szCs w:val="21"/>
              </w:rPr>
            </w:pPr>
            <w:r>
              <w:rPr>
                <w:color w:val="000000"/>
                <w:sz w:val="21"/>
                <w:szCs w:val="21"/>
              </w:rPr>
              <w:t>2</w:t>
            </w:r>
          </w:p>
        </w:tc>
        <w:tc>
          <w:tcPr>
            <w:tcW w:w="646"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1476DBED">
            <w:pPr>
              <w:spacing w:line="240" w:lineRule="auto"/>
              <w:ind w:firstLine="0" w:firstLineChars="0"/>
              <w:jc w:val="center"/>
              <w:rPr>
                <w:color w:val="000000"/>
                <w:sz w:val="21"/>
                <w:szCs w:val="21"/>
              </w:rPr>
            </w:pPr>
          </w:p>
        </w:tc>
        <w:tc>
          <w:tcPr>
            <w:tcW w:w="1152"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2EDFCC0B">
            <w:pPr>
              <w:spacing w:line="240" w:lineRule="auto"/>
              <w:ind w:firstLine="0" w:firstLineChars="0"/>
              <w:jc w:val="center"/>
              <w:rPr>
                <w:color w:val="000000"/>
                <w:sz w:val="21"/>
                <w:szCs w:val="21"/>
              </w:rPr>
            </w:pPr>
            <w:r>
              <w:rPr>
                <w:color w:val="000000"/>
                <w:sz w:val="21"/>
                <w:szCs w:val="21"/>
              </w:rPr>
              <w:t>利用矿山设备</w:t>
            </w:r>
          </w:p>
        </w:tc>
      </w:tr>
      <w:tr w14:paraId="5A8AC11A">
        <w:tblPrEx>
          <w:tblCellMar>
            <w:top w:w="0" w:type="dxa"/>
            <w:left w:w="0" w:type="dxa"/>
            <w:bottom w:w="0" w:type="dxa"/>
            <w:right w:w="0" w:type="dxa"/>
          </w:tblCellMar>
        </w:tblPrEx>
        <w:trPr>
          <w:trHeight w:val="397" w:hRule="atLeast"/>
        </w:trPr>
        <w:tc>
          <w:tcPr>
            <w:tcW w:w="325" w:type="pct"/>
            <w:vMerge w:val="continue"/>
            <w:tcBorders>
              <w:top w:val="nil"/>
              <w:left w:val="single" w:color="auto" w:sz="8" w:space="0"/>
              <w:bottom w:val="single" w:color="000000" w:sz="8" w:space="0"/>
              <w:right w:val="single" w:color="auto" w:sz="8" w:space="0"/>
            </w:tcBorders>
            <w:vAlign w:val="center"/>
          </w:tcPr>
          <w:p w14:paraId="51E32F4F">
            <w:pPr>
              <w:spacing w:line="240" w:lineRule="auto"/>
              <w:ind w:firstLine="0" w:firstLineChars="0"/>
              <w:jc w:val="center"/>
              <w:rPr>
                <w:color w:val="000000"/>
                <w:sz w:val="21"/>
                <w:szCs w:val="21"/>
              </w:rPr>
            </w:pPr>
          </w:p>
        </w:tc>
        <w:tc>
          <w:tcPr>
            <w:tcW w:w="764" w:type="pct"/>
            <w:vMerge w:val="continue"/>
            <w:tcBorders>
              <w:top w:val="nil"/>
              <w:left w:val="single" w:color="auto" w:sz="8" w:space="0"/>
              <w:bottom w:val="single" w:color="000000" w:sz="8" w:space="0"/>
              <w:right w:val="single" w:color="auto" w:sz="8" w:space="0"/>
            </w:tcBorders>
            <w:vAlign w:val="center"/>
          </w:tcPr>
          <w:p w14:paraId="139AD347">
            <w:pPr>
              <w:spacing w:line="240" w:lineRule="auto"/>
              <w:ind w:firstLine="0" w:firstLineChars="0"/>
              <w:jc w:val="center"/>
              <w:rPr>
                <w:color w:val="000000"/>
                <w:sz w:val="21"/>
                <w:szCs w:val="21"/>
              </w:rPr>
            </w:pPr>
          </w:p>
        </w:tc>
        <w:tc>
          <w:tcPr>
            <w:tcW w:w="1239"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35A7FBA6">
            <w:pPr>
              <w:spacing w:line="240" w:lineRule="auto"/>
              <w:ind w:firstLine="0" w:firstLineChars="0"/>
              <w:jc w:val="center"/>
              <w:rPr>
                <w:color w:val="000000"/>
                <w:sz w:val="21"/>
                <w:szCs w:val="21"/>
              </w:rPr>
            </w:pPr>
            <w:r>
              <w:rPr>
                <w:color w:val="000000"/>
                <w:sz w:val="21"/>
                <w:szCs w:val="21"/>
              </w:rPr>
              <w:t>其他器材及工具</w:t>
            </w:r>
          </w:p>
        </w:tc>
        <w:tc>
          <w:tcPr>
            <w:tcW w:w="439"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086DD345">
            <w:pPr>
              <w:spacing w:line="240" w:lineRule="auto"/>
              <w:ind w:firstLine="0" w:firstLineChars="0"/>
              <w:jc w:val="center"/>
              <w:rPr>
                <w:color w:val="000000"/>
                <w:sz w:val="21"/>
                <w:szCs w:val="21"/>
              </w:rPr>
            </w:pPr>
          </w:p>
        </w:tc>
        <w:tc>
          <w:tcPr>
            <w:tcW w:w="431"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784EA7E0">
            <w:pPr>
              <w:spacing w:line="240" w:lineRule="auto"/>
              <w:ind w:firstLine="0" w:firstLineChars="0"/>
              <w:jc w:val="center"/>
              <w:rPr>
                <w:color w:val="000000"/>
                <w:sz w:val="21"/>
                <w:szCs w:val="21"/>
              </w:rPr>
            </w:pPr>
          </w:p>
        </w:tc>
        <w:tc>
          <w:tcPr>
            <w:tcW w:w="646"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7C8B23D9">
            <w:pPr>
              <w:spacing w:line="240" w:lineRule="auto"/>
              <w:ind w:firstLine="0" w:firstLineChars="0"/>
              <w:jc w:val="center"/>
              <w:rPr>
                <w:color w:val="000000"/>
                <w:sz w:val="21"/>
                <w:szCs w:val="21"/>
              </w:rPr>
            </w:pPr>
            <w:r>
              <w:rPr>
                <w:color w:val="000000"/>
                <w:sz w:val="21"/>
                <w:szCs w:val="21"/>
              </w:rPr>
              <w:t>0.5</w:t>
            </w:r>
          </w:p>
        </w:tc>
        <w:tc>
          <w:tcPr>
            <w:tcW w:w="1152"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00EB3632">
            <w:pPr>
              <w:spacing w:line="240" w:lineRule="auto"/>
              <w:ind w:firstLine="0" w:firstLineChars="0"/>
              <w:jc w:val="center"/>
              <w:rPr>
                <w:color w:val="000000"/>
                <w:sz w:val="21"/>
                <w:szCs w:val="21"/>
              </w:rPr>
            </w:pPr>
          </w:p>
        </w:tc>
      </w:tr>
      <w:tr w14:paraId="7AC20C27">
        <w:tblPrEx>
          <w:tblCellMar>
            <w:top w:w="0" w:type="dxa"/>
            <w:left w:w="0" w:type="dxa"/>
            <w:bottom w:w="0" w:type="dxa"/>
            <w:right w:w="0" w:type="dxa"/>
          </w:tblCellMar>
        </w:tblPrEx>
        <w:trPr>
          <w:trHeight w:val="397" w:hRule="atLeast"/>
        </w:trPr>
        <w:tc>
          <w:tcPr>
            <w:tcW w:w="325" w:type="pct"/>
            <w:vMerge w:val="restart"/>
            <w:tcBorders>
              <w:top w:val="nil"/>
              <w:left w:val="single" w:color="auto" w:sz="8" w:space="0"/>
              <w:bottom w:val="single" w:color="000000" w:sz="8" w:space="0"/>
              <w:right w:val="single" w:color="auto" w:sz="8" w:space="0"/>
            </w:tcBorders>
            <w:shd w:val="clear" w:color="auto" w:fill="auto"/>
            <w:tcMar>
              <w:top w:w="15" w:type="dxa"/>
              <w:left w:w="15" w:type="dxa"/>
              <w:bottom w:w="0" w:type="dxa"/>
              <w:right w:w="15" w:type="dxa"/>
            </w:tcMar>
            <w:vAlign w:val="center"/>
          </w:tcPr>
          <w:p w14:paraId="181EF158">
            <w:pPr>
              <w:spacing w:line="240" w:lineRule="auto"/>
              <w:ind w:firstLine="0" w:firstLineChars="0"/>
              <w:jc w:val="center"/>
              <w:rPr>
                <w:color w:val="000000"/>
                <w:sz w:val="21"/>
                <w:szCs w:val="21"/>
              </w:rPr>
            </w:pPr>
            <w:r>
              <w:rPr>
                <w:color w:val="000000"/>
                <w:sz w:val="21"/>
                <w:szCs w:val="21"/>
              </w:rPr>
              <w:t>7</w:t>
            </w:r>
          </w:p>
        </w:tc>
        <w:tc>
          <w:tcPr>
            <w:tcW w:w="764" w:type="pct"/>
            <w:vMerge w:val="restart"/>
            <w:tcBorders>
              <w:top w:val="nil"/>
              <w:left w:val="single" w:color="auto" w:sz="8" w:space="0"/>
              <w:bottom w:val="single" w:color="000000" w:sz="8" w:space="0"/>
              <w:right w:val="single" w:color="auto" w:sz="8" w:space="0"/>
            </w:tcBorders>
            <w:shd w:val="clear" w:color="auto" w:fill="auto"/>
            <w:tcMar>
              <w:top w:w="15" w:type="dxa"/>
              <w:left w:w="15" w:type="dxa"/>
              <w:bottom w:w="0" w:type="dxa"/>
              <w:right w:w="15" w:type="dxa"/>
            </w:tcMar>
            <w:vAlign w:val="center"/>
          </w:tcPr>
          <w:p w14:paraId="761D7550">
            <w:pPr>
              <w:spacing w:line="240" w:lineRule="auto"/>
              <w:ind w:firstLine="0" w:firstLineChars="0"/>
              <w:jc w:val="center"/>
              <w:rPr>
                <w:color w:val="000000"/>
                <w:sz w:val="21"/>
                <w:szCs w:val="21"/>
              </w:rPr>
            </w:pPr>
            <w:r>
              <w:rPr>
                <w:color w:val="000000"/>
                <w:sz w:val="21"/>
                <w:szCs w:val="21"/>
              </w:rPr>
              <w:t>通信联络系统</w:t>
            </w:r>
          </w:p>
        </w:tc>
        <w:tc>
          <w:tcPr>
            <w:tcW w:w="1239" w:type="pct"/>
            <w:vMerge w:val="restart"/>
            <w:tcBorders>
              <w:top w:val="nil"/>
              <w:left w:val="nil"/>
              <w:right w:val="single" w:color="auto" w:sz="8" w:space="0"/>
            </w:tcBorders>
            <w:shd w:val="clear" w:color="auto" w:fill="auto"/>
            <w:tcMar>
              <w:top w:w="15" w:type="dxa"/>
              <w:left w:w="15" w:type="dxa"/>
              <w:bottom w:w="0" w:type="dxa"/>
              <w:right w:w="15" w:type="dxa"/>
            </w:tcMar>
            <w:vAlign w:val="center"/>
          </w:tcPr>
          <w:p w14:paraId="632A6EAE">
            <w:pPr>
              <w:spacing w:line="240" w:lineRule="auto"/>
              <w:ind w:firstLine="0" w:firstLineChars="0"/>
              <w:jc w:val="center"/>
              <w:rPr>
                <w:color w:val="000000"/>
                <w:sz w:val="21"/>
                <w:szCs w:val="21"/>
              </w:rPr>
            </w:pPr>
            <w:r>
              <w:rPr>
                <w:color w:val="000000"/>
                <w:sz w:val="21"/>
                <w:szCs w:val="21"/>
              </w:rPr>
              <w:t>固定电话、手机、无线对讲机</w:t>
            </w:r>
          </w:p>
        </w:tc>
        <w:tc>
          <w:tcPr>
            <w:tcW w:w="439" w:type="pct"/>
            <w:vMerge w:val="restart"/>
            <w:tcBorders>
              <w:top w:val="nil"/>
              <w:left w:val="single" w:color="auto" w:sz="8" w:space="0"/>
              <w:bottom w:val="single" w:color="000000" w:sz="8" w:space="0"/>
              <w:right w:val="single" w:color="auto" w:sz="8" w:space="0"/>
            </w:tcBorders>
            <w:shd w:val="clear" w:color="auto" w:fill="auto"/>
            <w:tcMar>
              <w:top w:w="15" w:type="dxa"/>
              <w:left w:w="15" w:type="dxa"/>
              <w:bottom w:w="0" w:type="dxa"/>
              <w:right w:w="15" w:type="dxa"/>
            </w:tcMar>
            <w:vAlign w:val="center"/>
          </w:tcPr>
          <w:p w14:paraId="6DE4E359">
            <w:pPr>
              <w:spacing w:line="240" w:lineRule="auto"/>
              <w:ind w:firstLine="0" w:firstLineChars="0"/>
              <w:jc w:val="center"/>
              <w:rPr>
                <w:color w:val="000000"/>
                <w:sz w:val="21"/>
                <w:szCs w:val="21"/>
              </w:rPr>
            </w:pPr>
            <w:r>
              <w:rPr>
                <w:color w:val="000000"/>
                <w:sz w:val="21"/>
                <w:szCs w:val="21"/>
              </w:rPr>
              <w:t>台</w:t>
            </w:r>
          </w:p>
        </w:tc>
        <w:tc>
          <w:tcPr>
            <w:tcW w:w="431" w:type="pct"/>
            <w:vMerge w:val="restart"/>
            <w:tcBorders>
              <w:top w:val="nil"/>
              <w:left w:val="single" w:color="auto" w:sz="8" w:space="0"/>
              <w:bottom w:val="single" w:color="000000" w:sz="8" w:space="0"/>
              <w:right w:val="single" w:color="auto" w:sz="8" w:space="0"/>
            </w:tcBorders>
            <w:shd w:val="clear" w:color="auto" w:fill="auto"/>
            <w:tcMar>
              <w:top w:w="15" w:type="dxa"/>
              <w:left w:w="15" w:type="dxa"/>
              <w:bottom w:w="0" w:type="dxa"/>
              <w:right w:w="15" w:type="dxa"/>
            </w:tcMar>
            <w:vAlign w:val="center"/>
          </w:tcPr>
          <w:p w14:paraId="00F2BAE2">
            <w:pPr>
              <w:spacing w:line="240" w:lineRule="auto"/>
              <w:ind w:firstLine="0" w:firstLineChars="0"/>
              <w:jc w:val="center"/>
              <w:rPr>
                <w:color w:val="000000"/>
                <w:sz w:val="21"/>
                <w:szCs w:val="21"/>
              </w:rPr>
            </w:pPr>
            <w:r>
              <w:rPr>
                <w:color w:val="000000"/>
                <w:sz w:val="21"/>
                <w:szCs w:val="21"/>
              </w:rPr>
              <w:t>10</w:t>
            </w:r>
          </w:p>
        </w:tc>
        <w:tc>
          <w:tcPr>
            <w:tcW w:w="646" w:type="pct"/>
            <w:vMerge w:val="restart"/>
            <w:tcBorders>
              <w:top w:val="nil"/>
              <w:left w:val="single" w:color="auto" w:sz="8" w:space="0"/>
              <w:bottom w:val="single" w:color="000000" w:sz="8" w:space="0"/>
              <w:right w:val="single" w:color="auto" w:sz="8" w:space="0"/>
            </w:tcBorders>
            <w:shd w:val="clear" w:color="auto" w:fill="auto"/>
            <w:tcMar>
              <w:top w:w="15" w:type="dxa"/>
              <w:left w:w="15" w:type="dxa"/>
              <w:bottom w:w="0" w:type="dxa"/>
              <w:right w:w="15" w:type="dxa"/>
            </w:tcMar>
            <w:vAlign w:val="center"/>
          </w:tcPr>
          <w:p w14:paraId="7AF812CA">
            <w:pPr>
              <w:spacing w:line="240" w:lineRule="auto"/>
              <w:ind w:firstLine="0" w:firstLineChars="0"/>
              <w:jc w:val="center"/>
              <w:rPr>
                <w:color w:val="000000"/>
                <w:sz w:val="21"/>
                <w:szCs w:val="21"/>
              </w:rPr>
            </w:pPr>
            <w:r>
              <w:rPr>
                <w:color w:val="000000"/>
                <w:sz w:val="21"/>
                <w:szCs w:val="21"/>
              </w:rPr>
              <w:t>0.5</w:t>
            </w:r>
          </w:p>
        </w:tc>
        <w:tc>
          <w:tcPr>
            <w:tcW w:w="1152" w:type="pct"/>
            <w:vMerge w:val="restart"/>
            <w:tcBorders>
              <w:top w:val="nil"/>
              <w:left w:val="nil"/>
              <w:right w:val="single" w:color="auto" w:sz="8" w:space="0"/>
            </w:tcBorders>
            <w:shd w:val="clear" w:color="auto" w:fill="auto"/>
            <w:tcMar>
              <w:top w:w="15" w:type="dxa"/>
              <w:left w:w="15" w:type="dxa"/>
              <w:bottom w:w="0" w:type="dxa"/>
              <w:right w:w="15" w:type="dxa"/>
            </w:tcMar>
            <w:vAlign w:val="center"/>
          </w:tcPr>
          <w:p w14:paraId="19F5D369">
            <w:pPr>
              <w:spacing w:line="240" w:lineRule="auto"/>
              <w:ind w:firstLine="0" w:firstLineChars="0"/>
              <w:jc w:val="center"/>
              <w:rPr>
                <w:color w:val="000000"/>
                <w:sz w:val="21"/>
                <w:szCs w:val="21"/>
              </w:rPr>
            </w:pPr>
            <w:r>
              <w:rPr>
                <w:color w:val="000000"/>
                <w:sz w:val="21"/>
                <w:szCs w:val="21"/>
              </w:rPr>
              <w:t>单班班</w:t>
            </w:r>
          </w:p>
          <w:p w14:paraId="06BC241C">
            <w:pPr>
              <w:spacing w:line="240" w:lineRule="auto"/>
              <w:ind w:firstLine="0" w:firstLineChars="0"/>
              <w:jc w:val="center"/>
              <w:rPr>
                <w:color w:val="000000"/>
                <w:sz w:val="21"/>
                <w:szCs w:val="21"/>
              </w:rPr>
            </w:pPr>
            <w:r>
              <w:rPr>
                <w:color w:val="000000"/>
                <w:sz w:val="21"/>
                <w:szCs w:val="21"/>
              </w:rPr>
              <w:t>长、专职安全员</w:t>
            </w:r>
          </w:p>
        </w:tc>
      </w:tr>
      <w:tr w14:paraId="0C4F4EEC">
        <w:tblPrEx>
          <w:tblCellMar>
            <w:top w:w="0" w:type="dxa"/>
            <w:left w:w="0" w:type="dxa"/>
            <w:bottom w:w="0" w:type="dxa"/>
            <w:right w:w="0" w:type="dxa"/>
          </w:tblCellMar>
        </w:tblPrEx>
        <w:trPr>
          <w:trHeight w:val="397" w:hRule="atLeast"/>
        </w:trPr>
        <w:tc>
          <w:tcPr>
            <w:tcW w:w="325" w:type="pct"/>
            <w:vMerge w:val="continue"/>
            <w:tcBorders>
              <w:top w:val="nil"/>
              <w:left w:val="single" w:color="auto" w:sz="8" w:space="0"/>
              <w:bottom w:val="single" w:color="000000" w:sz="8" w:space="0"/>
              <w:right w:val="single" w:color="auto" w:sz="8" w:space="0"/>
            </w:tcBorders>
            <w:vAlign w:val="center"/>
          </w:tcPr>
          <w:p w14:paraId="0159270A">
            <w:pPr>
              <w:spacing w:line="240" w:lineRule="auto"/>
              <w:ind w:firstLine="0" w:firstLineChars="0"/>
              <w:jc w:val="center"/>
              <w:rPr>
                <w:color w:val="000000"/>
                <w:sz w:val="21"/>
                <w:szCs w:val="21"/>
              </w:rPr>
            </w:pPr>
          </w:p>
        </w:tc>
        <w:tc>
          <w:tcPr>
            <w:tcW w:w="764" w:type="pct"/>
            <w:vMerge w:val="continue"/>
            <w:tcBorders>
              <w:top w:val="nil"/>
              <w:left w:val="single" w:color="auto" w:sz="8" w:space="0"/>
              <w:bottom w:val="single" w:color="000000" w:sz="8" w:space="0"/>
              <w:right w:val="single" w:color="auto" w:sz="8" w:space="0"/>
            </w:tcBorders>
            <w:vAlign w:val="center"/>
          </w:tcPr>
          <w:p w14:paraId="543B4947">
            <w:pPr>
              <w:spacing w:line="240" w:lineRule="auto"/>
              <w:ind w:firstLine="0" w:firstLineChars="0"/>
              <w:jc w:val="center"/>
              <w:rPr>
                <w:color w:val="000000"/>
                <w:sz w:val="21"/>
                <w:szCs w:val="21"/>
              </w:rPr>
            </w:pPr>
          </w:p>
        </w:tc>
        <w:tc>
          <w:tcPr>
            <w:tcW w:w="1239" w:type="pct"/>
            <w:vMerge w:val="continue"/>
            <w:tcBorders>
              <w:left w:val="nil"/>
              <w:bottom w:val="single" w:color="auto" w:sz="8" w:space="0"/>
              <w:right w:val="single" w:color="auto" w:sz="8" w:space="0"/>
            </w:tcBorders>
            <w:shd w:val="clear" w:color="auto" w:fill="auto"/>
            <w:tcMar>
              <w:top w:w="15" w:type="dxa"/>
              <w:left w:w="15" w:type="dxa"/>
              <w:bottom w:w="0" w:type="dxa"/>
              <w:right w:w="15" w:type="dxa"/>
            </w:tcMar>
            <w:vAlign w:val="center"/>
          </w:tcPr>
          <w:p w14:paraId="01770DCD">
            <w:pPr>
              <w:spacing w:line="240" w:lineRule="auto"/>
              <w:ind w:firstLine="0" w:firstLineChars="0"/>
              <w:jc w:val="center"/>
              <w:rPr>
                <w:color w:val="000000"/>
                <w:sz w:val="21"/>
                <w:szCs w:val="21"/>
              </w:rPr>
            </w:pPr>
          </w:p>
        </w:tc>
        <w:tc>
          <w:tcPr>
            <w:tcW w:w="439" w:type="pct"/>
            <w:vMerge w:val="continue"/>
            <w:tcBorders>
              <w:top w:val="nil"/>
              <w:left w:val="single" w:color="auto" w:sz="8" w:space="0"/>
              <w:bottom w:val="single" w:color="000000" w:sz="8" w:space="0"/>
              <w:right w:val="single" w:color="auto" w:sz="8" w:space="0"/>
            </w:tcBorders>
            <w:vAlign w:val="center"/>
          </w:tcPr>
          <w:p w14:paraId="4F592AB8">
            <w:pPr>
              <w:spacing w:line="240" w:lineRule="auto"/>
              <w:ind w:firstLine="0" w:firstLineChars="0"/>
              <w:jc w:val="center"/>
              <w:rPr>
                <w:color w:val="000000"/>
                <w:sz w:val="21"/>
                <w:szCs w:val="21"/>
              </w:rPr>
            </w:pPr>
          </w:p>
        </w:tc>
        <w:tc>
          <w:tcPr>
            <w:tcW w:w="431" w:type="pct"/>
            <w:vMerge w:val="continue"/>
            <w:tcBorders>
              <w:top w:val="nil"/>
              <w:left w:val="single" w:color="auto" w:sz="8" w:space="0"/>
              <w:bottom w:val="single" w:color="000000" w:sz="8" w:space="0"/>
              <w:right w:val="single" w:color="auto" w:sz="8" w:space="0"/>
            </w:tcBorders>
            <w:vAlign w:val="center"/>
          </w:tcPr>
          <w:p w14:paraId="2AC8A5FE">
            <w:pPr>
              <w:spacing w:line="240" w:lineRule="auto"/>
              <w:ind w:firstLine="0" w:firstLineChars="0"/>
              <w:jc w:val="center"/>
              <w:rPr>
                <w:color w:val="000000"/>
                <w:sz w:val="21"/>
                <w:szCs w:val="21"/>
              </w:rPr>
            </w:pPr>
          </w:p>
        </w:tc>
        <w:tc>
          <w:tcPr>
            <w:tcW w:w="646" w:type="pct"/>
            <w:vMerge w:val="continue"/>
            <w:tcBorders>
              <w:top w:val="nil"/>
              <w:left w:val="single" w:color="auto" w:sz="8" w:space="0"/>
              <w:bottom w:val="single" w:color="000000" w:sz="8" w:space="0"/>
              <w:right w:val="single" w:color="auto" w:sz="8" w:space="0"/>
            </w:tcBorders>
            <w:vAlign w:val="center"/>
          </w:tcPr>
          <w:p w14:paraId="6E94DBB6">
            <w:pPr>
              <w:spacing w:line="240" w:lineRule="auto"/>
              <w:ind w:firstLine="0" w:firstLineChars="0"/>
              <w:jc w:val="center"/>
              <w:rPr>
                <w:color w:val="000000"/>
                <w:sz w:val="21"/>
                <w:szCs w:val="21"/>
              </w:rPr>
            </w:pPr>
          </w:p>
        </w:tc>
        <w:tc>
          <w:tcPr>
            <w:tcW w:w="1152" w:type="pct"/>
            <w:vMerge w:val="continue"/>
            <w:tcBorders>
              <w:left w:val="nil"/>
              <w:bottom w:val="single" w:color="auto" w:sz="8" w:space="0"/>
              <w:right w:val="single" w:color="auto" w:sz="8" w:space="0"/>
            </w:tcBorders>
            <w:shd w:val="clear" w:color="auto" w:fill="auto"/>
            <w:tcMar>
              <w:top w:w="15" w:type="dxa"/>
              <w:left w:w="15" w:type="dxa"/>
              <w:bottom w:w="0" w:type="dxa"/>
              <w:right w:w="15" w:type="dxa"/>
            </w:tcMar>
            <w:vAlign w:val="center"/>
          </w:tcPr>
          <w:p w14:paraId="5FBDB82C">
            <w:pPr>
              <w:spacing w:line="240" w:lineRule="auto"/>
              <w:ind w:firstLine="0" w:firstLineChars="0"/>
              <w:jc w:val="center"/>
              <w:rPr>
                <w:color w:val="000000"/>
                <w:sz w:val="21"/>
                <w:szCs w:val="21"/>
              </w:rPr>
            </w:pPr>
          </w:p>
        </w:tc>
      </w:tr>
      <w:tr w14:paraId="423D2452">
        <w:tblPrEx>
          <w:tblCellMar>
            <w:top w:w="0" w:type="dxa"/>
            <w:left w:w="0" w:type="dxa"/>
            <w:bottom w:w="0" w:type="dxa"/>
            <w:right w:w="0" w:type="dxa"/>
          </w:tblCellMar>
        </w:tblPrEx>
        <w:trPr>
          <w:trHeight w:val="397" w:hRule="atLeast"/>
        </w:trPr>
        <w:tc>
          <w:tcPr>
            <w:tcW w:w="325" w:type="pct"/>
            <w:vMerge w:val="restart"/>
            <w:tcBorders>
              <w:top w:val="nil"/>
              <w:left w:val="single" w:color="auto" w:sz="8" w:space="0"/>
              <w:bottom w:val="single" w:color="000000" w:sz="8" w:space="0"/>
              <w:right w:val="single" w:color="auto" w:sz="8" w:space="0"/>
            </w:tcBorders>
            <w:shd w:val="clear" w:color="auto" w:fill="auto"/>
            <w:tcMar>
              <w:top w:w="15" w:type="dxa"/>
              <w:left w:w="15" w:type="dxa"/>
              <w:bottom w:w="0" w:type="dxa"/>
              <w:right w:w="15" w:type="dxa"/>
            </w:tcMar>
            <w:vAlign w:val="center"/>
          </w:tcPr>
          <w:p w14:paraId="59936C87">
            <w:pPr>
              <w:spacing w:line="240" w:lineRule="auto"/>
              <w:ind w:firstLine="0" w:firstLineChars="0"/>
              <w:jc w:val="center"/>
              <w:rPr>
                <w:color w:val="000000"/>
                <w:sz w:val="21"/>
                <w:szCs w:val="21"/>
              </w:rPr>
            </w:pPr>
            <w:r>
              <w:rPr>
                <w:color w:val="000000"/>
                <w:sz w:val="21"/>
                <w:szCs w:val="21"/>
              </w:rPr>
              <w:t>8</w:t>
            </w:r>
          </w:p>
        </w:tc>
        <w:tc>
          <w:tcPr>
            <w:tcW w:w="764" w:type="pct"/>
            <w:vMerge w:val="restart"/>
            <w:tcBorders>
              <w:top w:val="nil"/>
              <w:left w:val="single" w:color="auto" w:sz="8" w:space="0"/>
              <w:bottom w:val="single" w:color="000000" w:sz="8" w:space="0"/>
              <w:right w:val="single" w:color="auto" w:sz="8" w:space="0"/>
            </w:tcBorders>
            <w:shd w:val="clear" w:color="auto" w:fill="auto"/>
            <w:tcMar>
              <w:top w:w="15" w:type="dxa"/>
              <w:left w:w="15" w:type="dxa"/>
              <w:bottom w:w="0" w:type="dxa"/>
              <w:right w:w="15" w:type="dxa"/>
            </w:tcMar>
            <w:vAlign w:val="center"/>
          </w:tcPr>
          <w:p w14:paraId="07B76B1C">
            <w:pPr>
              <w:spacing w:line="240" w:lineRule="auto"/>
              <w:ind w:firstLine="0" w:firstLineChars="0"/>
              <w:jc w:val="center"/>
              <w:rPr>
                <w:color w:val="000000"/>
                <w:sz w:val="21"/>
                <w:szCs w:val="21"/>
              </w:rPr>
            </w:pPr>
            <w:r>
              <w:rPr>
                <w:color w:val="000000"/>
                <w:sz w:val="21"/>
                <w:szCs w:val="21"/>
              </w:rPr>
              <w:t>个人安全防护用品</w:t>
            </w:r>
          </w:p>
        </w:tc>
        <w:tc>
          <w:tcPr>
            <w:tcW w:w="1239"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2294D283">
            <w:pPr>
              <w:spacing w:line="240" w:lineRule="auto"/>
              <w:ind w:firstLine="0" w:firstLineChars="0"/>
              <w:jc w:val="center"/>
              <w:rPr>
                <w:color w:val="000000"/>
                <w:sz w:val="21"/>
                <w:szCs w:val="21"/>
              </w:rPr>
            </w:pPr>
            <w:r>
              <w:rPr>
                <w:color w:val="000000"/>
                <w:sz w:val="21"/>
                <w:szCs w:val="21"/>
              </w:rPr>
              <w:t>安全帽</w:t>
            </w:r>
          </w:p>
        </w:tc>
        <w:tc>
          <w:tcPr>
            <w:tcW w:w="439"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425CAE0D">
            <w:pPr>
              <w:spacing w:line="240" w:lineRule="auto"/>
              <w:ind w:firstLine="0" w:firstLineChars="0"/>
              <w:jc w:val="center"/>
              <w:rPr>
                <w:color w:val="000000"/>
                <w:sz w:val="21"/>
                <w:szCs w:val="21"/>
              </w:rPr>
            </w:pPr>
            <w:r>
              <w:rPr>
                <w:color w:val="000000"/>
                <w:sz w:val="21"/>
                <w:szCs w:val="21"/>
              </w:rPr>
              <w:t>顶</w:t>
            </w:r>
          </w:p>
        </w:tc>
        <w:tc>
          <w:tcPr>
            <w:tcW w:w="431"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788E06FB">
            <w:pPr>
              <w:spacing w:line="240" w:lineRule="auto"/>
              <w:ind w:firstLine="0" w:firstLineChars="0"/>
              <w:jc w:val="center"/>
              <w:rPr>
                <w:color w:val="000000"/>
                <w:sz w:val="21"/>
                <w:szCs w:val="21"/>
              </w:rPr>
            </w:pPr>
            <w:r>
              <w:rPr>
                <w:rFonts w:hint="eastAsia"/>
                <w:color w:val="000000"/>
                <w:sz w:val="21"/>
                <w:szCs w:val="21"/>
              </w:rPr>
              <w:t>24</w:t>
            </w:r>
          </w:p>
        </w:tc>
        <w:tc>
          <w:tcPr>
            <w:tcW w:w="646"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7BAEB85A">
            <w:pPr>
              <w:spacing w:line="240" w:lineRule="auto"/>
              <w:ind w:firstLine="0" w:firstLineChars="0"/>
              <w:jc w:val="center"/>
              <w:rPr>
                <w:color w:val="000000"/>
                <w:sz w:val="21"/>
                <w:szCs w:val="21"/>
              </w:rPr>
            </w:pPr>
            <w:r>
              <w:rPr>
                <w:color w:val="000000"/>
                <w:sz w:val="21"/>
                <w:szCs w:val="21"/>
              </w:rPr>
              <w:t>1.2</w:t>
            </w:r>
          </w:p>
        </w:tc>
        <w:tc>
          <w:tcPr>
            <w:tcW w:w="1152"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78E3478F">
            <w:pPr>
              <w:spacing w:line="240" w:lineRule="auto"/>
              <w:ind w:firstLine="0" w:firstLineChars="0"/>
              <w:jc w:val="center"/>
              <w:rPr>
                <w:color w:val="000000"/>
                <w:sz w:val="21"/>
                <w:szCs w:val="21"/>
              </w:rPr>
            </w:pPr>
          </w:p>
        </w:tc>
      </w:tr>
      <w:tr w14:paraId="2C81BF14">
        <w:tblPrEx>
          <w:tblCellMar>
            <w:top w:w="0" w:type="dxa"/>
            <w:left w:w="0" w:type="dxa"/>
            <w:bottom w:w="0" w:type="dxa"/>
            <w:right w:w="0" w:type="dxa"/>
          </w:tblCellMar>
        </w:tblPrEx>
        <w:trPr>
          <w:trHeight w:val="397" w:hRule="atLeast"/>
        </w:trPr>
        <w:tc>
          <w:tcPr>
            <w:tcW w:w="325" w:type="pct"/>
            <w:vMerge w:val="continue"/>
            <w:tcBorders>
              <w:top w:val="nil"/>
              <w:left w:val="single" w:color="auto" w:sz="8" w:space="0"/>
              <w:bottom w:val="single" w:color="000000" w:sz="8" w:space="0"/>
              <w:right w:val="single" w:color="auto" w:sz="8" w:space="0"/>
            </w:tcBorders>
            <w:vAlign w:val="center"/>
          </w:tcPr>
          <w:p w14:paraId="3EA742DE">
            <w:pPr>
              <w:spacing w:line="240" w:lineRule="auto"/>
              <w:ind w:firstLine="0" w:firstLineChars="0"/>
              <w:jc w:val="center"/>
              <w:rPr>
                <w:color w:val="000000"/>
                <w:sz w:val="21"/>
                <w:szCs w:val="21"/>
              </w:rPr>
            </w:pPr>
          </w:p>
        </w:tc>
        <w:tc>
          <w:tcPr>
            <w:tcW w:w="764" w:type="pct"/>
            <w:vMerge w:val="continue"/>
            <w:tcBorders>
              <w:top w:val="nil"/>
              <w:left w:val="single" w:color="auto" w:sz="8" w:space="0"/>
              <w:bottom w:val="single" w:color="000000" w:sz="8" w:space="0"/>
              <w:right w:val="single" w:color="auto" w:sz="8" w:space="0"/>
            </w:tcBorders>
            <w:vAlign w:val="center"/>
          </w:tcPr>
          <w:p w14:paraId="31BD19C3">
            <w:pPr>
              <w:spacing w:line="240" w:lineRule="auto"/>
              <w:ind w:firstLine="0" w:firstLineChars="0"/>
              <w:jc w:val="center"/>
              <w:rPr>
                <w:color w:val="000000"/>
                <w:sz w:val="21"/>
                <w:szCs w:val="21"/>
              </w:rPr>
            </w:pPr>
          </w:p>
        </w:tc>
        <w:tc>
          <w:tcPr>
            <w:tcW w:w="1239"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3E9222E2">
            <w:pPr>
              <w:spacing w:line="240" w:lineRule="auto"/>
              <w:ind w:firstLine="0" w:firstLineChars="0"/>
              <w:jc w:val="center"/>
              <w:rPr>
                <w:color w:val="000000"/>
                <w:sz w:val="21"/>
                <w:szCs w:val="21"/>
              </w:rPr>
            </w:pPr>
            <w:r>
              <w:rPr>
                <w:color w:val="000000"/>
                <w:sz w:val="21"/>
                <w:szCs w:val="21"/>
              </w:rPr>
              <w:t>安全带</w:t>
            </w:r>
          </w:p>
        </w:tc>
        <w:tc>
          <w:tcPr>
            <w:tcW w:w="439"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0751182A">
            <w:pPr>
              <w:spacing w:line="240" w:lineRule="auto"/>
              <w:ind w:firstLine="0" w:firstLineChars="0"/>
              <w:jc w:val="center"/>
              <w:rPr>
                <w:color w:val="000000"/>
                <w:sz w:val="21"/>
                <w:szCs w:val="21"/>
              </w:rPr>
            </w:pPr>
            <w:r>
              <w:rPr>
                <w:color w:val="000000"/>
                <w:sz w:val="21"/>
                <w:szCs w:val="21"/>
              </w:rPr>
              <w:t>套</w:t>
            </w:r>
          </w:p>
        </w:tc>
        <w:tc>
          <w:tcPr>
            <w:tcW w:w="431"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4D18B17D">
            <w:pPr>
              <w:spacing w:line="240" w:lineRule="auto"/>
              <w:ind w:firstLine="0" w:firstLineChars="0"/>
              <w:jc w:val="center"/>
              <w:rPr>
                <w:color w:val="000000"/>
                <w:sz w:val="21"/>
                <w:szCs w:val="21"/>
              </w:rPr>
            </w:pPr>
            <w:r>
              <w:rPr>
                <w:color w:val="000000"/>
                <w:sz w:val="21"/>
                <w:szCs w:val="21"/>
              </w:rPr>
              <w:t>4</w:t>
            </w:r>
          </w:p>
        </w:tc>
        <w:tc>
          <w:tcPr>
            <w:tcW w:w="646"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475DE505">
            <w:pPr>
              <w:spacing w:line="240" w:lineRule="auto"/>
              <w:ind w:firstLine="0" w:firstLineChars="0"/>
              <w:jc w:val="center"/>
              <w:rPr>
                <w:color w:val="000000"/>
                <w:sz w:val="21"/>
                <w:szCs w:val="21"/>
              </w:rPr>
            </w:pPr>
            <w:r>
              <w:rPr>
                <w:color w:val="000000"/>
                <w:sz w:val="21"/>
                <w:szCs w:val="21"/>
              </w:rPr>
              <w:t>0.5</w:t>
            </w:r>
          </w:p>
        </w:tc>
        <w:tc>
          <w:tcPr>
            <w:tcW w:w="1152"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7827DE22">
            <w:pPr>
              <w:spacing w:line="240" w:lineRule="auto"/>
              <w:ind w:firstLine="0" w:firstLineChars="0"/>
              <w:jc w:val="center"/>
              <w:rPr>
                <w:color w:val="000000"/>
                <w:sz w:val="21"/>
                <w:szCs w:val="21"/>
              </w:rPr>
            </w:pPr>
            <w:r>
              <w:rPr>
                <w:color w:val="000000"/>
                <w:sz w:val="21"/>
                <w:szCs w:val="21"/>
              </w:rPr>
              <w:t>涉及高处作业人员</w:t>
            </w:r>
          </w:p>
        </w:tc>
      </w:tr>
      <w:tr w14:paraId="1678CDE7">
        <w:tblPrEx>
          <w:tblCellMar>
            <w:top w:w="0" w:type="dxa"/>
            <w:left w:w="0" w:type="dxa"/>
            <w:bottom w:w="0" w:type="dxa"/>
            <w:right w:w="0" w:type="dxa"/>
          </w:tblCellMar>
        </w:tblPrEx>
        <w:trPr>
          <w:trHeight w:val="397" w:hRule="atLeast"/>
        </w:trPr>
        <w:tc>
          <w:tcPr>
            <w:tcW w:w="325" w:type="pct"/>
            <w:vMerge w:val="continue"/>
            <w:tcBorders>
              <w:top w:val="nil"/>
              <w:left w:val="single" w:color="auto" w:sz="8" w:space="0"/>
              <w:bottom w:val="single" w:color="000000" w:sz="8" w:space="0"/>
              <w:right w:val="single" w:color="auto" w:sz="8" w:space="0"/>
            </w:tcBorders>
            <w:vAlign w:val="center"/>
          </w:tcPr>
          <w:p w14:paraId="088C3E82">
            <w:pPr>
              <w:spacing w:line="240" w:lineRule="auto"/>
              <w:ind w:firstLine="0" w:firstLineChars="0"/>
              <w:jc w:val="center"/>
              <w:rPr>
                <w:color w:val="000000"/>
                <w:sz w:val="21"/>
                <w:szCs w:val="21"/>
              </w:rPr>
            </w:pPr>
          </w:p>
        </w:tc>
        <w:tc>
          <w:tcPr>
            <w:tcW w:w="764" w:type="pct"/>
            <w:vMerge w:val="continue"/>
            <w:tcBorders>
              <w:top w:val="nil"/>
              <w:left w:val="single" w:color="auto" w:sz="8" w:space="0"/>
              <w:bottom w:val="single" w:color="000000" w:sz="8" w:space="0"/>
              <w:right w:val="single" w:color="auto" w:sz="8" w:space="0"/>
            </w:tcBorders>
            <w:vAlign w:val="center"/>
          </w:tcPr>
          <w:p w14:paraId="0746A559">
            <w:pPr>
              <w:spacing w:line="240" w:lineRule="auto"/>
              <w:ind w:firstLine="0" w:firstLineChars="0"/>
              <w:jc w:val="center"/>
              <w:rPr>
                <w:color w:val="000000"/>
                <w:sz w:val="21"/>
                <w:szCs w:val="21"/>
              </w:rPr>
            </w:pPr>
          </w:p>
        </w:tc>
        <w:tc>
          <w:tcPr>
            <w:tcW w:w="1239"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3C41E993">
            <w:pPr>
              <w:spacing w:line="240" w:lineRule="auto"/>
              <w:ind w:firstLine="0" w:firstLineChars="0"/>
              <w:jc w:val="center"/>
              <w:rPr>
                <w:color w:val="000000"/>
                <w:sz w:val="21"/>
                <w:szCs w:val="21"/>
              </w:rPr>
            </w:pPr>
            <w:r>
              <w:rPr>
                <w:rFonts w:hint="eastAsia"/>
                <w:color w:val="000000"/>
                <w:sz w:val="21"/>
                <w:szCs w:val="21"/>
              </w:rPr>
              <w:t>其他</w:t>
            </w:r>
          </w:p>
        </w:tc>
        <w:tc>
          <w:tcPr>
            <w:tcW w:w="439"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47AA869E">
            <w:pPr>
              <w:spacing w:line="240" w:lineRule="auto"/>
              <w:ind w:firstLine="0" w:firstLineChars="0"/>
              <w:jc w:val="center"/>
              <w:rPr>
                <w:color w:val="000000"/>
                <w:sz w:val="21"/>
                <w:szCs w:val="21"/>
              </w:rPr>
            </w:pPr>
          </w:p>
        </w:tc>
        <w:tc>
          <w:tcPr>
            <w:tcW w:w="431"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73FB298C">
            <w:pPr>
              <w:spacing w:line="240" w:lineRule="auto"/>
              <w:ind w:firstLine="0" w:firstLineChars="0"/>
              <w:jc w:val="center"/>
              <w:rPr>
                <w:color w:val="000000"/>
                <w:sz w:val="21"/>
                <w:szCs w:val="21"/>
              </w:rPr>
            </w:pPr>
          </w:p>
        </w:tc>
        <w:tc>
          <w:tcPr>
            <w:tcW w:w="646"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0575CB03">
            <w:pPr>
              <w:spacing w:line="240" w:lineRule="auto"/>
              <w:ind w:firstLine="0" w:firstLineChars="0"/>
              <w:jc w:val="center"/>
              <w:rPr>
                <w:color w:val="000000"/>
                <w:sz w:val="21"/>
                <w:szCs w:val="21"/>
              </w:rPr>
            </w:pPr>
            <w:r>
              <w:rPr>
                <w:color w:val="000000"/>
                <w:sz w:val="21"/>
                <w:szCs w:val="21"/>
              </w:rPr>
              <w:t>10</w:t>
            </w:r>
          </w:p>
        </w:tc>
        <w:tc>
          <w:tcPr>
            <w:tcW w:w="1152"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12F9DBFA">
            <w:pPr>
              <w:spacing w:line="240" w:lineRule="auto"/>
              <w:ind w:firstLine="0" w:firstLineChars="0"/>
              <w:jc w:val="center"/>
              <w:rPr>
                <w:color w:val="000000"/>
                <w:sz w:val="21"/>
                <w:szCs w:val="21"/>
              </w:rPr>
            </w:pPr>
            <w:r>
              <w:rPr>
                <w:color w:val="000000"/>
                <w:sz w:val="21"/>
                <w:szCs w:val="21"/>
              </w:rPr>
              <w:t>全矿工作人员</w:t>
            </w:r>
          </w:p>
        </w:tc>
      </w:tr>
      <w:tr w14:paraId="3E1EE81B">
        <w:tblPrEx>
          <w:tblCellMar>
            <w:top w:w="0" w:type="dxa"/>
            <w:left w:w="0" w:type="dxa"/>
            <w:bottom w:w="0" w:type="dxa"/>
            <w:right w:w="0" w:type="dxa"/>
          </w:tblCellMar>
        </w:tblPrEx>
        <w:trPr>
          <w:trHeight w:val="340" w:hRule="atLeast"/>
        </w:trPr>
        <w:tc>
          <w:tcPr>
            <w:tcW w:w="325" w:type="pct"/>
            <w:vMerge w:val="restart"/>
            <w:tcBorders>
              <w:top w:val="nil"/>
              <w:left w:val="single" w:color="auto" w:sz="8" w:space="0"/>
              <w:bottom w:val="single" w:color="000000" w:sz="8" w:space="0"/>
              <w:right w:val="single" w:color="auto" w:sz="8" w:space="0"/>
            </w:tcBorders>
            <w:shd w:val="clear" w:color="auto" w:fill="auto"/>
            <w:tcMar>
              <w:top w:w="15" w:type="dxa"/>
              <w:left w:w="15" w:type="dxa"/>
              <w:bottom w:w="0" w:type="dxa"/>
              <w:right w:w="15" w:type="dxa"/>
            </w:tcMar>
            <w:vAlign w:val="center"/>
          </w:tcPr>
          <w:p w14:paraId="337FE6B8">
            <w:pPr>
              <w:spacing w:line="240" w:lineRule="auto"/>
              <w:ind w:firstLine="0" w:firstLineChars="0"/>
              <w:jc w:val="center"/>
              <w:rPr>
                <w:color w:val="000000"/>
                <w:sz w:val="21"/>
                <w:szCs w:val="21"/>
              </w:rPr>
            </w:pPr>
            <w:r>
              <w:rPr>
                <w:color w:val="000000"/>
                <w:sz w:val="21"/>
                <w:szCs w:val="21"/>
              </w:rPr>
              <w:t>9</w:t>
            </w:r>
          </w:p>
        </w:tc>
        <w:tc>
          <w:tcPr>
            <w:tcW w:w="764" w:type="pct"/>
            <w:vMerge w:val="restart"/>
            <w:tcBorders>
              <w:top w:val="nil"/>
              <w:left w:val="single" w:color="auto" w:sz="8" w:space="0"/>
              <w:bottom w:val="single" w:color="000000" w:sz="8" w:space="0"/>
              <w:right w:val="single" w:color="auto" w:sz="8" w:space="0"/>
            </w:tcBorders>
            <w:shd w:val="clear" w:color="auto" w:fill="auto"/>
            <w:tcMar>
              <w:top w:w="15" w:type="dxa"/>
              <w:left w:w="15" w:type="dxa"/>
              <w:bottom w:w="0" w:type="dxa"/>
              <w:right w:w="15" w:type="dxa"/>
            </w:tcMar>
            <w:vAlign w:val="center"/>
          </w:tcPr>
          <w:p w14:paraId="4CC2E57A">
            <w:pPr>
              <w:spacing w:line="240" w:lineRule="auto"/>
              <w:ind w:firstLine="0" w:firstLineChars="0"/>
              <w:jc w:val="center"/>
              <w:rPr>
                <w:color w:val="000000"/>
                <w:sz w:val="21"/>
                <w:szCs w:val="21"/>
              </w:rPr>
            </w:pPr>
            <w:r>
              <w:rPr>
                <w:color w:val="000000"/>
                <w:sz w:val="21"/>
                <w:szCs w:val="21"/>
              </w:rPr>
              <w:t>安全标志</w:t>
            </w:r>
          </w:p>
        </w:tc>
        <w:tc>
          <w:tcPr>
            <w:tcW w:w="1239" w:type="pct"/>
            <w:vMerge w:val="restart"/>
            <w:tcBorders>
              <w:top w:val="nil"/>
              <w:left w:val="single" w:color="auto" w:sz="8" w:space="0"/>
              <w:bottom w:val="single" w:color="000000" w:sz="8" w:space="0"/>
              <w:right w:val="single" w:color="auto" w:sz="8" w:space="0"/>
            </w:tcBorders>
            <w:shd w:val="clear" w:color="auto" w:fill="auto"/>
            <w:tcMar>
              <w:top w:w="15" w:type="dxa"/>
              <w:left w:w="15" w:type="dxa"/>
              <w:bottom w:w="0" w:type="dxa"/>
              <w:right w:w="15" w:type="dxa"/>
            </w:tcMar>
            <w:vAlign w:val="center"/>
          </w:tcPr>
          <w:p w14:paraId="6BEA61D8">
            <w:pPr>
              <w:spacing w:line="240" w:lineRule="auto"/>
              <w:ind w:firstLine="0" w:firstLineChars="0"/>
              <w:jc w:val="center"/>
              <w:rPr>
                <w:color w:val="000000"/>
                <w:sz w:val="21"/>
                <w:szCs w:val="21"/>
              </w:rPr>
            </w:pPr>
          </w:p>
        </w:tc>
        <w:tc>
          <w:tcPr>
            <w:tcW w:w="439" w:type="pct"/>
            <w:vMerge w:val="restart"/>
            <w:tcBorders>
              <w:top w:val="nil"/>
              <w:left w:val="single" w:color="auto" w:sz="8" w:space="0"/>
              <w:bottom w:val="single" w:color="000000" w:sz="8" w:space="0"/>
              <w:right w:val="single" w:color="auto" w:sz="8" w:space="0"/>
            </w:tcBorders>
            <w:shd w:val="clear" w:color="auto" w:fill="auto"/>
            <w:tcMar>
              <w:top w:w="15" w:type="dxa"/>
              <w:left w:w="15" w:type="dxa"/>
              <w:bottom w:w="0" w:type="dxa"/>
              <w:right w:w="15" w:type="dxa"/>
            </w:tcMar>
            <w:vAlign w:val="center"/>
          </w:tcPr>
          <w:p w14:paraId="19B88439">
            <w:pPr>
              <w:spacing w:line="240" w:lineRule="auto"/>
              <w:ind w:firstLine="0" w:firstLineChars="0"/>
              <w:jc w:val="center"/>
              <w:rPr>
                <w:color w:val="000000"/>
                <w:sz w:val="21"/>
                <w:szCs w:val="21"/>
              </w:rPr>
            </w:pPr>
          </w:p>
        </w:tc>
        <w:tc>
          <w:tcPr>
            <w:tcW w:w="431" w:type="pct"/>
            <w:vMerge w:val="restart"/>
            <w:tcBorders>
              <w:top w:val="nil"/>
              <w:left w:val="single" w:color="auto" w:sz="8" w:space="0"/>
              <w:bottom w:val="single" w:color="000000" w:sz="8" w:space="0"/>
              <w:right w:val="single" w:color="auto" w:sz="8" w:space="0"/>
            </w:tcBorders>
            <w:shd w:val="clear" w:color="auto" w:fill="auto"/>
            <w:tcMar>
              <w:top w:w="15" w:type="dxa"/>
              <w:left w:w="15" w:type="dxa"/>
              <w:bottom w:w="0" w:type="dxa"/>
              <w:right w:w="15" w:type="dxa"/>
            </w:tcMar>
            <w:vAlign w:val="center"/>
          </w:tcPr>
          <w:p w14:paraId="56B52FC9">
            <w:pPr>
              <w:spacing w:line="240" w:lineRule="auto"/>
              <w:ind w:firstLine="0" w:firstLineChars="0"/>
              <w:jc w:val="center"/>
              <w:rPr>
                <w:color w:val="000000"/>
                <w:sz w:val="21"/>
                <w:szCs w:val="21"/>
              </w:rPr>
            </w:pPr>
          </w:p>
        </w:tc>
        <w:tc>
          <w:tcPr>
            <w:tcW w:w="646" w:type="pct"/>
            <w:vMerge w:val="restart"/>
            <w:tcBorders>
              <w:top w:val="nil"/>
              <w:left w:val="single" w:color="auto" w:sz="8" w:space="0"/>
              <w:bottom w:val="single" w:color="000000" w:sz="8" w:space="0"/>
              <w:right w:val="single" w:color="auto" w:sz="8" w:space="0"/>
            </w:tcBorders>
            <w:shd w:val="clear" w:color="auto" w:fill="auto"/>
            <w:tcMar>
              <w:top w:w="15" w:type="dxa"/>
              <w:left w:w="15" w:type="dxa"/>
              <w:bottom w:w="0" w:type="dxa"/>
              <w:right w:w="15" w:type="dxa"/>
            </w:tcMar>
            <w:vAlign w:val="center"/>
          </w:tcPr>
          <w:p w14:paraId="7FF70AE2">
            <w:pPr>
              <w:spacing w:line="240" w:lineRule="auto"/>
              <w:ind w:firstLine="0" w:firstLineChars="0"/>
              <w:jc w:val="center"/>
              <w:rPr>
                <w:color w:val="000000"/>
                <w:sz w:val="21"/>
                <w:szCs w:val="21"/>
              </w:rPr>
            </w:pPr>
            <w:r>
              <w:rPr>
                <w:color w:val="000000"/>
                <w:sz w:val="21"/>
                <w:szCs w:val="21"/>
              </w:rPr>
              <w:t>5</w:t>
            </w:r>
          </w:p>
        </w:tc>
        <w:tc>
          <w:tcPr>
            <w:tcW w:w="1152" w:type="pct"/>
            <w:vMerge w:val="restart"/>
            <w:tcBorders>
              <w:top w:val="nil"/>
              <w:left w:val="single" w:color="auto" w:sz="8" w:space="0"/>
              <w:bottom w:val="single" w:color="000000" w:sz="8" w:space="0"/>
              <w:right w:val="single" w:color="auto" w:sz="8" w:space="0"/>
            </w:tcBorders>
            <w:shd w:val="clear" w:color="auto" w:fill="auto"/>
            <w:tcMar>
              <w:top w:w="15" w:type="dxa"/>
              <w:left w:w="15" w:type="dxa"/>
              <w:bottom w:w="0" w:type="dxa"/>
              <w:right w:w="15" w:type="dxa"/>
            </w:tcMar>
            <w:vAlign w:val="center"/>
          </w:tcPr>
          <w:p w14:paraId="43696A46">
            <w:pPr>
              <w:spacing w:line="240" w:lineRule="auto"/>
              <w:ind w:firstLine="0" w:firstLineChars="0"/>
              <w:jc w:val="center"/>
              <w:rPr>
                <w:color w:val="000000"/>
                <w:sz w:val="21"/>
                <w:szCs w:val="21"/>
              </w:rPr>
            </w:pPr>
            <w:r>
              <w:rPr>
                <w:color w:val="000000"/>
                <w:sz w:val="21"/>
                <w:szCs w:val="21"/>
              </w:rPr>
              <w:t>矿区存在危险源的地方</w:t>
            </w:r>
          </w:p>
        </w:tc>
      </w:tr>
      <w:tr w14:paraId="429A5CCA">
        <w:tblPrEx>
          <w:tblCellMar>
            <w:top w:w="0" w:type="dxa"/>
            <w:left w:w="0" w:type="dxa"/>
            <w:bottom w:w="0" w:type="dxa"/>
            <w:right w:w="0" w:type="dxa"/>
          </w:tblCellMar>
        </w:tblPrEx>
        <w:trPr>
          <w:trHeight w:val="397" w:hRule="atLeast"/>
        </w:trPr>
        <w:tc>
          <w:tcPr>
            <w:tcW w:w="325" w:type="pct"/>
            <w:vMerge w:val="continue"/>
            <w:tcBorders>
              <w:top w:val="nil"/>
              <w:left w:val="single" w:color="auto" w:sz="8" w:space="0"/>
              <w:bottom w:val="single" w:color="000000" w:sz="8" w:space="0"/>
              <w:right w:val="single" w:color="auto" w:sz="8" w:space="0"/>
            </w:tcBorders>
            <w:tcMar>
              <w:top w:w="15" w:type="dxa"/>
              <w:left w:w="15" w:type="dxa"/>
              <w:bottom w:w="0" w:type="dxa"/>
              <w:right w:w="15" w:type="dxa"/>
            </w:tcMar>
            <w:vAlign w:val="center"/>
          </w:tcPr>
          <w:p w14:paraId="42BB2422">
            <w:pPr>
              <w:spacing w:line="240" w:lineRule="auto"/>
              <w:ind w:firstLine="0" w:firstLineChars="0"/>
              <w:jc w:val="center"/>
              <w:rPr>
                <w:color w:val="000000"/>
                <w:sz w:val="21"/>
                <w:szCs w:val="21"/>
              </w:rPr>
            </w:pPr>
          </w:p>
        </w:tc>
        <w:tc>
          <w:tcPr>
            <w:tcW w:w="764" w:type="pct"/>
            <w:vMerge w:val="continue"/>
            <w:tcBorders>
              <w:top w:val="nil"/>
              <w:left w:val="single" w:color="auto" w:sz="8" w:space="0"/>
              <w:bottom w:val="single" w:color="000000" w:sz="8" w:space="0"/>
              <w:right w:val="single" w:color="auto" w:sz="8" w:space="0"/>
            </w:tcBorders>
            <w:tcMar>
              <w:top w:w="15" w:type="dxa"/>
              <w:left w:w="15" w:type="dxa"/>
              <w:bottom w:w="0" w:type="dxa"/>
              <w:right w:w="15" w:type="dxa"/>
            </w:tcMar>
            <w:vAlign w:val="center"/>
          </w:tcPr>
          <w:p w14:paraId="2065FB67">
            <w:pPr>
              <w:spacing w:line="240" w:lineRule="auto"/>
              <w:ind w:firstLine="0" w:firstLineChars="0"/>
              <w:jc w:val="center"/>
              <w:rPr>
                <w:color w:val="000000"/>
                <w:sz w:val="21"/>
                <w:szCs w:val="21"/>
              </w:rPr>
            </w:pPr>
          </w:p>
        </w:tc>
        <w:tc>
          <w:tcPr>
            <w:tcW w:w="1239" w:type="pct"/>
            <w:vMerge w:val="continue"/>
            <w:tcBorders>
              <w:top w:val="nil"/>
              <w:left w:val="single" w:color="auto" w:sz="8" w:space="0"/>
              <w:bottom w:val="single" w:color="000000" w:sz="8" w:space="0"/>
              <w:right w:val="single" w:color="auto" w:sz="8" w:space="0"/>
            </w:tcBorders>
            <w:tcMar>
              <w:top w:w="15" w:type="dxa"/>
              <w:left w:w="15" w:type="dxa"/>
              <w:bottom w:w="0" w:type="dxa"/>
              <w:right w:w="15" w:type="dxa"/>
            </w:tcMar>
            <w:vAlign w:val="center"/>
          </w:tcPr>
          <w:p w14:paraId="036A6A19">
            <w:pPr>
              <w:spacing w:line="240" w:lineRule="auto"/>
              <w:ind w:firstLine="0" w:firstLineChars="0"/>
              <w:jc w:val="center"/>
              <w:rPr>
                <w:color w:val="000000"/>
                <w:sz w:val="21"/>
                <w:szCs w:val="21"/>
              </w:rPr>
            </w:pPr>
          </w:p>
        </w:tc>
        <w:tc>
          <w:tcPr>
            <w:tcW w:w="439" w:type="pct"/>
            <w:vMerge w:val="continue"/>
            <w:tcBorders>
              <w:top w:val="nil"/>
              <w:left w:val="single" w:color="auto" w:sz="8" w:space="0"/>
              <w:bottom w:val="single" w:color="000000" w:sz="8" w:space="0"/>
              <w:right w:val="single" w:color="auto" w:sz="8" w:space="0"/>
            </w:tcBorders>
            <w:tcMar>
              <w:top w:w="15" w:type="dxa"/>
              <w:left w:w="15" w:type="dxa"/>
              <w:bottom w:w="0" w:type="dxa"/>
              <w:right w:w="15" w:type="dxa"/>
            </w:tcMar>
            <w:vAlign w:val="center"/>
          </w:tcPr>
          <w:p w14:paraId="24750618">
            <w:pPr>
              <w:spacing w:line="240" w:lineRule="auto"/>
              <w:ind w:firstLine="0" w:firstLineChars="0"/>
              <w:jc w:val="center"/>
              <w:rPr>
                <w:color w:val="000000"/>
                <w:sz w:val="21"/>
                <w:szCs w:val="21"/>
              </w:rPr>
            </w:pPr>
          </w:p>
        </w:tc>
        <w:tc>
          <w:tcPr>
            <w:tcW w:w="431" w:type="pct"/>
            <w:vMerge w:val="continue"/>
            <w:tcBorders>
              <w:top w:val="nil"/>
              <w:left w:val="single" w:color="auto" w:sz="8" w:space="0"/>
              <w:bottom w:val="single" w:color="000000" w:sz="8" w:space="0"/>
              <w:right w:val="single" w:color="auto" w:sz="8" w:space="0"/>
            </w:tcBorders>
            <w:tcMar>
              <w:top w:w="15" w:type="dxa"/>
              <w:left w:w="15" w:type="dxa"/>
              <w:bottom w:w="0" w:type="dxa"/>
              <w:right w:w="15" w:type="dxa"/>
            </w:tcMar>
            <w:vAlign w:val="center"/>
          </w:tcPr>
          <w:p w14:paraId="3877855C">
            <w:pPr>
              <w:spacing w:line="240" w:lineRule="auto"/>
              <w:ind w:firstLine="0" w:firstLineChars="0"/>
              <w:jc w:val="center"/>
              <w:rPr>
                <w:color w:val="000000"/>
                <w:sz w:val="21"/>
                <w:szCs w:val="21"/>
              </w:rPr>
            </w:pPr>
          </w:p>
        </w:tc>
        <w:tc>
          <w:tcPr>
            <w:tcW w:w="646" w:type="pct"/>
            <w:vMerge w:val="continue"/>
            <w:tcBorders>
              <w:top w:val="nil"/>
              <w:left w:val="single" w:color="auto" w:sz="8" w:space="0"/>
              <w:bottom w:val="single" w:color="000000" w:sz="8" w:space="0"/>
              <w:right w:val="single" w:color="auto" w:sz="8" w:space="0"/>
            </w:tcBorders>
            <w:tcMar>
              <w:top w:w="15" w:type="dxa"/>
              <w:left w:w="15" w:type="dxa"/>
              <w:bottom w:w="0" w:type="dxa"/>
              <w:right w:w="15" w:type="dxa"/>
            </w:tcMar>
            <w:vAlign w:val="center"/>
          </w:tcPr>
          <w:p w14:paraId="5C43EE91">
            <w:pPr>
              <w:spacing w:line="240" w:lineRule="auto"/>
              <w:ind w:firstLine="0" w:firstLineChars="0"/>
              <w:jc w:val="center"/>
              <w:rPr>
                <w:color w:val="000000"/>
                <w:sz w:val="21"/>
                <w:szCs w:val="21"/>
              </w:rPr>
            </w:pPr>
          </w:p>
        </w:tc>
        <w:tc>
          <w:tcPr>
            <w:tcW w:w="1152" w:type="pct"/>
            <w:vMerge w:val="continue"/>
            <w:tcBorders>
              <w:top w:val="nil"/>
              <w:left w:val="single" w:color="auto" w:sz="8" w:space="0"/>
              <w:bottom w:val="single" w:color="000000" w:sz="8" w:space="0"/>
              <w:right w:val="single" w:color="auto" w:sz="8" w:space="0"/>
            </w:tcBorders>
            <w:tcMar>
              <w:top w:w="15" w:type="dxa"/>
              <w:left w:w="15" w:type="dxa"/>
              <w:bottom w:w="0" w:type="dxa"/>
              <w:right w:w="15" w:type="dxa"/>
            </w:tcMar>
            <w:vAlign w:val="center"/>
          </w:tcPr>
          <w:p w14:paraId="352409D7">
            <w:pPr>
              <w:spacing w:line="240" w:lineRule="auto"/>
              <w:ind w:firstLine="0" w:firstLineChars="0"/>
              <w:jc w:val="center"/>
              <w:rPr>
                <w:color w:val="000000"/>
                <w:sz w:val="21"/>
                <w:szCs w:val="21"/>
              </w:rPr>
            </w:pPr>
          </w:p>
        </w:tc>
      </w:tr>
      <w:tr w14:paraId="7EEA86B8">
        <w:tblPrEx>
          <w:tblCellMar>
            <w:top w:w="0" w:type="dxa"/>
            <w:left w:w="0" w:type="dxa"/>
            <w:bottom w:w="0" w:type="dxa"/>
            <w:right w:w="0" w:type="dxa"/>
          </w:tblCellMar>
        </w:tblPrEx>
        <w:trPr>
          <w:trHeight w:val="397" w:hRule="atLeast"/>
        </w:trPr>
        <w:tc>
          <w:tcPr>
            <w:tcW w:w="325" w:type="pct"/>
            <w:tcBorders>
              <w:top w:val="nil"/>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6E68980">
            <w:pPr>
              <w:spacing w:line="240" w:lineRule="auto"/>
              <w:ind w:firstLine="0" w:firstLineChars="0"/>
              <w:jc w:val="center"/>
              <w:rPr>
                <w:color w:val="000000"/>
                <w:sz w:val="21"/>
                <w:szCs w:val="21"/>
              </w:rPr>
            </w:pPr>
            <w:r>
              <w:rPr>
                <w:color w:val="000000"/>
                <w:sz w:val="21"/>
                <w:szCs w:val="21"/>
              </w:rPr>
              <w:t>10</w:t>
            </w:r>
          </w:p>
        </w:tc>
        <w:tc>
          <w:tcPr>
            <w:tcW w:w="764"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4535BE5A">
            <w:pPr>
              <w:spacing w:line="240" w:lineRule="auto"/>
              <w:ind w:firstLine="0" w:firstLineChars="0"/>
              <w:jc w:val="center"/>
              <w:rPr>
                <w:color w:val="000000"/>
                <w:sz w:val="21"/>
                <w:szCs w:val="21"/>
              </w:rPr>
            </w:pPr>
            <w:r>
              <w:rPr>
                <w:color w:val="000000"/>
                <w:sz w:val="21"/>
                <w:szCs w:val="21"/>
              </w:rPr>
              <w:t>合计</w:t>
            </w:r>
          </w:p>
        </w:tc>
        <w:tc>
          <w:tcPr>
            <w:tcW w:w="1239"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39D46E25">
            <w:pPr>
              <w:spacing w:line="240" w:lineRule="auto"/>
              <w:ind w:firstLine="0" w:firstLineChars="0"/>
              <w:jc w:val="center"/>
              <w:rPr>
                <w:color w:val="000000"/>
                <w:sz w:val="21"/>
                <w:szCs w:val="21"/>
              </w:rPr>
            </w:pPr>
          </w:p>
        </w:tc>
        <w:tc>
          <w:tcPr>
            <w:tcW w:w="439"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2592470D">
            <w:pPr>
              <w:spacing w:line="240" w:lineRule="auto"/>
              <w:ind w:firstLine="0" w:firstLineChars="0"/>
              <w:jc w:val="center"/>
              <w:rPr>
                <w:color w:val="000000"/>
                <w:sz w:val="21"/>
                <w:szCs w:val="21"/>
              </w:rPr>
            </w:pPr>
          </w:p>
        </w:tc>
        <w:tc>
          <w:tcPr>
            <w:tcW w:w="431"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77BC8DBE">
            <w:pPr>
              <w:spacing w:line="240" w:lineRule="auto"/>
              <w:ind w:firstLine="0" w:firstLineChars="0"/>
              <w:jc w:val="center"/>
              <w:rPr>
                <w:color w:val="000000"/>
                <w:sz w:val="21"/>
                <w:szCs w:val="21"/>
              </w:rPr>
            </w:pPr>
          </w:p>
        </w:tc>
        <w:tc>
          <w:tcPr>
            <w:tcW w:w="646"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1796B1EE">
            <w:pPr>
              <w:spacing w:line="240" w:lineRule="auto"/>
              <w:ind w:firstLine="0" w:firstLineChars="0"/>
              <w:jc w:val="center"/>
              <w:rPr>
                <w:color w:val="000000"/>
                <w:sz w:val="21"/>
                <w:szCs w:val="21"/>
              </w:rPr>
            </w:pPr>
            <w:r>
              <w:rPr>
                <w:color w:val="000000"/>
                <w:sz w:val="21"/>
                <w:szCs w:val="21"/>
              </w:rPr>
              <w:t>90.25</w:t>
            </w:r>
          </w:p>
        </w:tc>
        <w:tc>
          <w:tcPr>
            <w:tcW w:w="1152" w:type="pct"/>
            <w:tcBorders>
              <w:top w:val="nil"/>
              <w:left w:val="nil"/>
              <w:bottom w:val="single" w:color="auto" w:sz="8" w:space="0"/>
              <w:right w:val="single" w:color="auto" w:sz="8" w:space="0"/>
            </w:tcBorders>
            <w:shd w:val="clear" w:color="auto" w:fill="auto"/>
            <w:tcMar>
              <w:top w:w="15" w:type="dxa"/>
              <w:left w:w="15" w:type="dxa"/>
              <w:bottom w:w="0" w:type="dxa"/>
              <w:right w:w="15" w:type="dxa"/>
            </w:tcMar>
            <w:vAlign w:val="center"/>
          </w:tcPr>
          <w:p w14:paraId="0B34AD57">
            <w:pPr>
              <w:spacing w:line="240" w:lineRule="auto"/>
              <w:ind w:firstLine="0" w:firstLineChars="0"/>
              <w:jc w:val="center"/>
              <w:rPr>
                <w:color w:val="000000"/>
                <w:sz w:val="21"/>
                <w:szCs w:val="21"/>
              </w:rPr>
            </w:pPr>
          </w:p>
        </w:tc>
      </w:tr>
    </w:tbl>
    <w:p w14:paraId="256F9243">
      <w:pPr>
        <w:pStyle w:val="6"/>
        <w:ind w:firstLine="562"/>
        <w:rPr>
          <w:rFonts w:eastAsia="宋体"/>
          <w:b/>
        </w:rPr>
      </w:pPr>
      <w:bookmarkStart w:id="428" w:name="_Toc22102"/>
      <w:bookmarkStart w:id="429" w:name="_Toc7743"/>
      <w:bookmarkStart w:id="430" w:name="_Toc4116"/>
      <w:bookmarkStart w:id="431" w:name="_Toc4475"/>
      <w:bookmarkStart w:id="432" w:name="_Toc454614271"/>
      <w:bookmarkStart w:id="433" w:name="_Toc20777"/>
      <w:bookmarkStart w:id="434" w:name="_Toc59420522"/>
      <w:bookmarkStart w:id="435" w:name="_Toc21635"/>
      <w:r>
        <w:rPr>
          <w:rFonts w:eastAsia="宋体"/>
          <w:b/>
        </w:rPr>
        <w:t>2.4.15工程量对照</w:t>
      </w:r>
    </w:p>
    <w:p w14:paraId="4F774634">
      <w:pPr>
        <w:ind w:firstLine="560"/>
      </w:pPr>
      <w:r>
        <w:rPr>
          <w:rFonts w:hint="eastAsia" w:ascii="Times New Roman" w:hAnsi="Times New Roman" w:cs="Times New Roman"/>
          <w:color w:val="auto"/>
          <w:sz w:val="28"/>
          <w:lang w:val="en-US" w:eastAsia="zh-CN"/>
        </w:rPr>
        <w:t>XX。</w:t>
      </w:r>
    </w:p>
    <w:p w14:paraId="549AD8EC">
      <w:pPr>
        <w:pStyle w:val="6"/>
        <w:ind w:firstLine="562"/>
        <w:rPr>
          <w:rFonts w:eastAsia="宋体"/>
          <w:b/>
        </w:rPr>
      </w:pPr>
      <w:r>
        <w:rPr>
          <w:rFonts w:eastAsia="宋体"/>
          <w:b/>
        </w:rPr>
        <w:t>2.4.16设计变更</w:t>
      </w:r>
      <w:bookmarkEnd w:id="428"/>
      <w:bookmarkEnd w:id="429"/>
      <w:bookmarkEnd w:id="430"/>
      <w:bookmarkEnd w:id="431"/>
      <w:bookmarkEnd w:id="432"/>
      <w:bookmarkEnd w:id="433"/>
      <w:bookmarkEnd w:id="434"/>
      <w:bookmarkEnd w:id="435"/>
    </w:p>
    <w:p w14:paraId="78C8EFA0">
      <w:pPr>
        <w:pStyle w:val="29"/>
        <w:ind w:right="360" w:firstLine="560"/>
        <w:jc w:val="both"/>
        <w:rPr>
          <w:color w:val="000000" w:themeColor="text1"/>
          <w:szCs w:val="28"/>
          <w14:textFill>
            <w14:solidFill>
              <w14:schemeClr w14:val="tx1"/>
            </w14:solidFill>
          </w14:textFill>
        </w:rPr>
      </w:pPr>
      <w:r>
        <w:rPr>
          <w:rFonts w:hint="eastAsia" w:ascii="Times New Roman" w:hAnsi="Times New Roman" w:cs="Times New Roman"/>
          <w:color w:val="auto"/>
          <w:sz w:val="28"/>
          <w:lang w:val="en-US" w:eastAsia="zh-CN"/>
        </w:rPr>
        <w:t>XX。</w:t>
      </w:r>
    </w:p>
    <w:p w14:paraId="4F9DC23D">
      <w:pPr>
        <w:pStyle w:val="5"/>
        <w:spacing w:before="0" w:beforeLines="0"/>
        <w:rPr>
          <w:b/>
          <w:bCs w:val="0"/>
        </w:rPr>
      </w:pPr>
      <w:bookmarkStart w:id="436" w:name="_Toc21059"/>
      <w:bookmarkStart w:id="437" w:name="_Toc24722"/>
      <w:bookmarkStart w:id="438" w:name="_Toc8424"/>
      <w:bookmarkStart w:id="439" w:name="_Toc454614272"/>
      <w:bookmarkStart w:id="440" w:name="_Toc30810"/>
      <w:bookmarkStart w:id="441" w:name="_Toc59420523"/>
      <w:bookmarkStart w:id="442" w:name="_Toc6620"/>
      <w:bookmarkStart w:id="443" w:name="_Toc17373"/>
      <w:bookmarkStart w:id="444" w:name="_Toc30599"/>
      <w:bookmarkStart w:id="445" w:name="_Toc29653"/>
      <w:r>
        <w:rPr>
          <w:b/>
          <w:bCs w:val="0"/>
        </w:rPr>
        <w:t>2.5施工及监理概况</w:t>
      </w:r>
      <w:bookmarkEnd w:id="436"/>
      <w:bookmarkEnd w:id="437"/>
      <w:bookmarkEnd w:id="438"/>
      <w:bookmarkEnd w:id="439"/>
      <w:bookmarkEnd w:id="440"/>
      <w:bookmarkEnd w:id="441"/>
      <w:bookmarkEnd w:id="442"/>
      <w:bookmarkEnd w:id="443"/>
      <w:bookmarkEnd w:id="444"/>
      <w:bookmarkEnd w:id="445"/>
    </w:p>
    <w:p w14:paraId="4422DFDA">
      <w:pPr>
        <w:ind w:firstLine="560"/>
      </w:pPr>
      <w:r>
        <w:rPr>
          <w:rFonts w:hint="eastAsia" w:ascii="Times New Roman" w:hAnsi="Times New Roman" w:cs="Times New Roman"/>
          <w:color w:val="auto"/>
          <w:sz w:val="28"/>
          <w:lang w:val="en-US" w:eastAsia="zh-CN"/>
        </w:rPr>
        <w:t>XX。</w:t>
      </w:r>
    </w:p>
    <w:p w14:paraId="08F2948D">
      <w:pPr>
        <w:pStyle w:val="5"/>
        <w:spacing w:before="0" w:beforeLines="0"/>
        <w:rPr>
          <w:b/>
          <w:bCs w:val="0"/>
        </w:rPr>
      </w:pPr>
      <w:bookmarkStart w:id="446" w:name="_Toc25754"/>
      <w:bookmarkStart w:id="447" w:name="_Toc20598"/>
      <w:bookmarkStart w:id="448" w:name="_Toc21273"/>
      <w:bookmarkStart w:id="449" w:name="_Toc27151"/>
      <w:bookmarkStart w:id="450" w:name="_Toc17982"/>
      <w:bookmarkStart w:id="451" w:name="_Toc15544"/>
      <w:bookmarkStart w:id="452" w:name="_Toc13999"/>
      <w:bookmarkStart w:id="453" w:name="_Toc59420526"/>
      <w:bookmarkStart w:id="454" w:name="_Toc2290"/>
      <w:bookmarkStart w:id="455" w:name="_Toc454614273"/>
      <w:r>
        <w:rPr>
          <w:b/>
          <w:bCs w:val="0"/>
        </w:rPr>
        <w:t>2.6试运行概况</w:t>
      </w:r>
      <w:bookmarkEnd w:id="446"/>
      <w:bookmarkEnd w:id="447"/>
      <w:bookmarkEnd w:id="448"/>
      <w:bookmarkEnd w:id="449"/>
      <w:bookmarkEnd w:id="450"/>
      <w:bookmarkEnd w:id="451"/>
      <w:bookmarkEnd w:id="452"/>
      <w:bookmarkEnd w:id="453"/>
      <w:bookmarkEnd w:id="454"/>
      <w:bookmarkEnd w:id="455"/>
    </w:p>
    <w:p w14:paraId="6433A8A5">
      <w:pPr>
        <w:ind w:firstLine="560"/>
      </w:pPr>
      <w:r>
        <w:rPr>
          <w:rFonts w:hint="eastAsia" w:ascii="Times New Roman" w:hAnsi="Times New Roman" w:cs="Times New Roman"/>
          <w:color w:val="auto"/>
          <w:sz w:val="28"/>
          <w:lang w:val="en-US" w:eastAsia="zh-CN"/>
        </w:rPr>
        <w:t>XX。</w:t>
      </w:r>
    </w:p>
    <w:p w14:paraId="2CD9A29A">
      <w:pPr>
        <w:pStyle w:val="5"/>
        <w:spacing w:before="0" w:beforeLines="0"/>
        <w:rPr>
          <w:b/>
          <w:bCs w:val="0"/>
        </w:rPr>
      </w:pPr>
      <w:bookmarkStart w:id="456" w:name="_Toc22386"/>
      <w:bookmarkStart w:id="457" w:name="_Toc26807"/>
      <w:bookmarkStart w:id="458" w:name="_Toc454614274"/>
      <w:bookmarkStart w:id="459" w:name="_Toc7044"/>
      <w:bookmarkStart w:id="460" w:name="_Toc29513"/>
      <w:bookmarkStart w:id="461" w:name="_Toc8022"/>
      <w:bookmarkStart w:id="462" w:name="_Toc24361"/>
      <w:bookmarkStart w:id="463" w:name="_Toc6371"/>
      <w:bookmarkStart w:id="464" w:name="_Toc29842"/>
      <w:bookmarkStart w:id="465" w:name="_Toc59420527"/>
      <w:r>
        <w:rPr>
          <w:b/>
          <w:bCs w:val="0"/>
        </w:rPr>
        <w:t>2.7安全设施概况</w:t>
      </w:r>
      <w:bookmarkEnd w:id="456"/>
      <w:bookmarkEnd w:id="457"/>
      <w:bookmarkEnd w:id="458"/>
      <w:bookmarkEnd w:id="459"/>
      <w:bookmarkEnd w:id="460"/>
      <w:bookmarkEnd w:id="461"/>
      <w:bookmarkEnd w:id="462"/>
      <w:bookmarkEnd w:id="463"/>
      <w:bookmarkEnd w:id="464"/>
      <w:bookmarkEnd w:id="465"/>
    </w:p>
    <w:p w14:paraId="343FAD8F">
      <w:pPr>
        <w:keepNext/>
        <w:keepLines/>
        <w:spacing w:line="240" w:lineRule="auto"/>
        <w:ind w:firstLine="0" w:firstLineChars="0"/>
        <w:jc w:val="center"/>
        <w:rPr>
          <w:bCs/>
          <w:sz w:val="24"/>
          <w:szCs w:val="24"/>
        </w:rPr>
      </w:pPr>
      <w:r>
        <w:rPr>
          <w:bCs/>
          <w:sz w:val="24"/>
          <w:szCs w:val="24"/>
        </w:rPr>
        <w:t>表2.7-1  基本安全设施目录</w:t>
      </w: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3"/>
        <w:gridCol w:w="8667"/>
      </w:tblGrid>
      <w:tr w14:paraId="43D68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blHeader/>
          <w:jc w:val="center"/>
        </w:trPr>
        <w:tc>
          <w:tcPr>
            <w:tcW w:w="793" w:type="dxa"/>
            <w:vAlign w:val="center"/>
          </w:tcPr>
          <w:p w14:paraId="09F228F6">
            <w:pPr>
              <w:keepNext/>
              <w:keepLines/>
              <w:spacing w:line="240" w:lineRule="auto"/>
              <w:ind w:firstLine="0" w:firstLineChars="0"/>
              <w:jc w:val="center"/>
              <w:rPr>
                <w:b/>
                <w:bCs/>
                <w:sz w:val="21"/>
                <w:szCs w:val="21"/>
              </w:rPr>
            </w:pPr>
            <w:r>
              <w:rPr>
                <w:b/>
                <w:bCs/>
                <w:sz w:val="21"/>
                <w:szCs w:val="21"/>
              </w:rPr>
              <w:t>序号</w:t>
            </w:r>
          </w:p>
        </w:tc>
        <w:tc>
          <w:tcPr>
            <w:tcW w:w="8667" w:type="dxa"/>
            <w:vAlign w:val="center"/>
          </w:tcPr>
          <w:p w14:paraId="2A1A08F6">
            <w:pPr>
              <w:keepNext/>
              <w:keepLines/>
              <w:spacing w:line="240" w:lineRule="auto"/>
              <w:ind w:firstLine="0" w:firstLineChars="0"/>
              <w:jc w:val="center"/>
              <w:rPr>
                <w:b/>
                <w:bCs/>
                <w:sz w:val="21"/>
                <w:szCs w:val="21"/>
              </w:rPr>
            </w:pPr>
            <w:r>
              <w:rPr>
                <w:b/>
                <w:bCs/>
                <w:sz w:val="21"/>
                <w:szCs w:val="21"/>
              </w:rPr>
              <w:t>名  称</w:t>
            </w:r>
          </w:p>
        </w:tc>
      </w:tr>
      <w:tr w14:paraId="496F2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793" w:type="dxa"/>
            <w:vMerge w:val="restart"/>
            <w:vAlign w:val="center"/>
          </w:tcPr>
          <w:p w14:paraId="1781D5A6">
            <w:pPr>
              <w:spacing w:line="240" w:lineRule="auto"/>
              <w:ind w:firstLine="0" w:firstLineChars="0"/>
              <w:jc w:val="center"/>
              <w:rPr>
                <w:sz w:val="21"/>
                <w:szCs w:val="21"/>
              </w:rPr>
            </w:pPr>
            <w:r>
              <w:rPr>
                <w:sz w:val="21"/>
                <w:szCs w:val="21"/>
              </w:rPr>
              <w:t>1</w:t>
            </w:r>
          </w:p>
        </w:tc>
        <w:tc>
          <w:tcPr>
            <w:tcW w:w="8667" w:type="dxa"/>
            <w:vAlign w:val="center"/>
          </w:tcPr>
          <w:p w14:paraId="6AEE0CD5">
            <w:pPr>
              <w:spacing w:line="240" w:lineRule="auto"/>
              <w:ind w:firstLine="0" w:firstLineChars="0"/>
              <w:jc w:val="left"/>
              <w:rPr>
                <w:sz w:val="21"/>
                <w:szCs w:val="21"/>
              </w:rPr>
            </w:pPr>
            <w:r>
              <w:rPr>
                <w:sz w:val="21"/>
                <w:szCs w:val="21"/>
              </w:rPr>
              <w:t>露天采场</w:t>
            </w:r>
          </w:p>
        </w:tc>
      </w:tr>
      <w:tr w14:paraId="250A1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93" w:type="dxa"/>
            <w:vMerge w:val="continue"/>
            <w:vAlign w:val="center"/>
          </w:tcPr>
          <w:p w14:paraId="47E42CE2">
            <w:pPr>
              <w:spacing w:line="240" w:lineRule="auto"/>
              <w:ind w:firstLine="0" w:firstLineChars="0"/>
              <w:jc w:val="center"/>
              <w:rPr>
                <w:sz w:val="21"/>
                <w:szCs w:val="21"/>
              </w:rPr>
            </w:pPr>
          </w:p>
        </w:tc>
        <w:tc>
          <w:tcPr>
            <w:tcW w:w="8667" w:type="dxa"/>
            <w:vAlign w:val="center"/>
          </w:tcPr>
          <w:p w14:paraId="179AB478">
            <w:pPr>
              <w:spacing w:line="240" w:lineRule="auto"/>
              <w:ind w:firstLine="0" w:firstLineChars="0"/>
              <w:jc w:val="left"/>
              <w:rPr>
                <w:sz w:val="21"/>
                <w:szCs w:val="21"/>
              </w:rPr>
            </w:pPr>
            <w:r>
              <w:rPr>
                <w:sz w:val="21"/>
                <w:szCs w:val="21"/>
              </w:rPr>
              <w:t>（1）边坡角；（</w:t>
            </w:r>
            <w:r>
              <w:rPr>
                <w:rFonts w:hint="eastAsia"/>
                <w:sz w:val="21"/>
                <w:szCs w:val="21"/>
              </w:rPr>
              <w:t>2</w:t>
            </w:r>
            <w:r>
              <w:rPr>
                <w:sz w:val="21"/>
                <w:szCs w:val="21"/>
              </w:rPr>
              <w:t>）爆破安全距离界线；（</w:t>
            </w:r>
            <w:r>
              <w:rPr>
                <w:rFonts w:hint="eastAsia"/>
                <w:sz w:val="21"/>
                <w:szCs w:val="21"/>
              </w:rPr>
              <w:t>3</w:t>
            </w:r>
            <w:r>
              <w:rPr>
                <w:sz w:val="21"/>
                <w:szCs w:val="21"/>
              </w:rPr>
              <w:t>）防尘、防噪措施。</w:t>
            </w:r>
          </w:p>
        </w:tc>
      </w:tr>
      <w:tr w14:paraId="610D1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793" w:type="dxa"/>
            <w:vMerge w:val="restart"/>
            <w:vAlign w:val="center"/>
          </w:tcPr>
          <w:p w14:paraId="0EE0A756">
            <w:pPr>
              <w:spacing w:line="240" w:lineRule="auto"/>
              <w:ind w:firstLine="0" w:firstLineChars="0"/>
              <w:jc w:val="center"/>
              <w:rPr>
                <w:sz w:val="21"/>
                <w:szCs w:val="21"/>
              </w:rPr>
            </w:pPr>
            <w:r>
              <w:rPr>
                <w:sz w:val="21"/>
                <w:szCs w:val="21"/>
              </w:rPr>
              <w:t>2</w:t>
            </w:r>
          </w:p>
        </w:tc>
        <w:tc>
          <w:tcPr>
            <w:tcW w:w="8667" w:type="dxa"/>
            <w:vAlign w:val="center"/>
          </w:tcPr>
          <w:p w14:paraId="5B8038BA">
            <w:pPr>
              <w:spacing w:line="240" w:lineRule="auto"/>
              <w:ind w:firstLine="0" w:firstLineChars="0"/>
              <w:jc w:val="left"/>
              <w:rPr>
                <w:sz w:val="21"/>
                <w:szCs w:val="21"/>
              </w:rPr>
            </w:pPr>
            <w:r>
              <w:rPr>
                <w:sz w:val="21"/>
                <w:szCs w:val="21"/>
              </w:rPr>
              <w:t>防排水</w:t>
            </w:r>
          </w:p>
        </w:tc>
      </w:tr>
      <w:tr w14:paraId="26160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jc w:val="center"/>
        </w:trPr>
        <w:tc>
          <w:tcPr>
            <w:tcW w:w="793" w:type="dxa"/>
            <w:vMerge w:val="continue"/>
            <w:vAlign w:val="center"/>
          </w:tcPr>
          <w:p w14:paraId="4D535B76">
            <w:pPr>
              <w:spacing w:line="240" w:lineRule="auto"/>
              <w:ind w:firstLine="0" w:firstLineChars="0"/>
              <w:jc w:val="center"/>
              <w:rPr>
                <w:sz w:val="21"/>
                <w:szCs w:val="21"/>
              </w:rPr>
            </w:pPr>
          </w:p>
        </w:tc>
        <w:tc>
          <w:tcPr>
            <w:tcW w:w="8667" w:type="dxa"/>
            <w:vAlign w:val="center"/>
          </w:tcPr>
          <w:p w14:paraId="11E8ABDD">
            <w:pPr>
              <w:numPr>
                <w:ilvl w:val="0"/>
                <w:numId w:val="11"/>
              </w:numPr>
              <w:spacing w:line="240" w:lineRule="auto"/>
              <w:ind w:firstLine="0" w:firstLineChars="0"/>
              <w:jc w:val="left"/>
              <w:rPr>
                <w:sz w:val="21"/>
                <w:szCs w:val="21"/>
              </w:rPr>
            </w:pPr>
            <w:r>
              <w:rPr>
                <w:sz w:val="21"/>
                <w:szCs w:val="21"/>
              </w:rPr>
              <w:t>排水沟；露天采场排水设施。</w:t>
            </w:r>
          </w:p>
        </w:tc>
      </w:tr>
      <w:tr w14:paraId="14644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793" w:type="dxa"/>
            <w:vMerge w:val="restart"/>
            <w:vAlign w:val="center"/>
          </w:tcPr>
          <w:p w14:paraId="367C8F94">
            <w:pPr>
              <w:spacing w:line="240" w:lineRule="auto"/>
              <w:ind w:firstLine="0" w:firstLineChars="0"/>
              <w:jc w:val="center"/>
              <w:rPr>
                <w:sz w:val="21"/>
                <w:szCs w:val="21"/>
              </w:rPr>
            </w:pPr>
            <w:r>
              <w:rPr>
                <w:sz w:val="21"/>
                <w:szCs w:val="21"/>
              </w:rPr>
              <w:t>3</w:t>
            </w:r>
          </w:p>
        </w:tc>
        <w:tc>
          <w:tcPr>
            <w:tcW w:w="8667" w:type="dxa"/>
            <w:vAlign w:val="center"/>
          </w:tcPr>
          <w:p w14:paraId="639CE0AD">
            <w:pPr>
              <w:spacing w:line="240" w:lineRule="auto"/>
              <w:ind w:firstLine="0" w:firstLineChars="0"/>
              <w:jc w:val="left"/>
              <w:rPr>
                <w:sz w:val="21"/>
                <w:szCs w:val="21"/>
              </w:rPr>
            </w:pPr>
            <w:r>
              <w:rPr>
                <w:sz w:val="21"/>
                <w:szCs w:val="21"/>
              </w:rPr>
              <w:t>供、配电设施</w:t>
            </w:r>
          </w:p>
        </w:tc>
      </w:tr>
      <w:tr w14:paraId="7E8B9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3" w:hRule="atLeast"/>
          <w:jc w:val="center"/>
        </w:trPr>
        <w:tc>
          <w:tcPr>
            <w:tcW w:w="793" w:type="dxa"/>
            <w:vMerge w:val="continue"/>
            <w:vAlign w:val="center"/>
          </w:tcPr>
          <w:p w14:paraId="6693A167">
            <w:pPr>
              <w:spacing w:line="240" w:lineRule="auto"/>
              <w:ind w:firstLine="0" w:firstLineChars="0"/>
              <w:jc w:val="center"/>
              <w:rPr>
                <w:sz w:val="21"/>
                <w:szCs w:val="21"/>
              </w:rPr>
            </w:pPr>
          </w:p>
        </w:tc>
        <w:tc>
          <w:tcPr>
            <w:tcW w:w="8667" w:type="dxa"/>
            <w:vAlign w:val="center"/>
          </w:tcPr>
          <w:p w14:paraId="48A3D278">
            <w:pPr>
              <w:spacing w:line="240" w:lineRule="auto"/>
              <w:ind w:firstLine="0" w:firstLineChars="0"/>
              <w:jc w:val="left"/>
              <w:rPr>
                <w:sz w:val="21"/>
                <w:szCs w:val="21"/>
              </w:rPr>
            </w:pPr>
            <w:r>
              <w:rPr>
                <w:sz w:val="21"/>
                <w:szCs w:val="21"/>
              </w:rPr>
              <w:t>（1）矿山供电电源、线路及总降压主变压器容量、向采矿场供电线路。</w:t>
            </w:r>
          </w:p>
          <w:p w14:paraId="4FCE2E91">
            <w:pPr>
              <w:spacing w:line="240" w:lineRule="auto"/>
              <w:ind w:firstLine="0" w:firstLineChars="0"/>
              <w:jc w:val="left"/>
              <w:rPr>
                <w:sz w:val="21"/>
                <w:szCs w:val="21"/>
              </w:rPr>
            </w:pPr>
            <w:r>
              <w:rPr>
                <w:sz w:val="21"/>
                <w:szCs w:val="21"/>
              </w:rPr>
              <w:t>（2）采矿场供电线路、保护及避雷设施。</w:t>
            </w:r>
          </w:p>
          <w:p w14:paraId="33DD5CE0">
            <w:pPr>
              <w:spacing w:line="240" w:lineRule="auto"/>
              <w:ind w:firstLine="0" w:firstLineChars="0"/>
              <w:jc w:val="left"/>
              <w:rPr>
                <w:sz w:val="21"/>
                <w:szCs w:val="21"/>
              </w:rPr>
            </w:pPr>
            <w:r>
              <w:rPr>
                <w:sz w:val="21"/>
                <w:szCs w:val="21"/>
              </w:rPr>
              <w:t>（3）高、低压供配电中性点接地方式。</w:t>
            </w:r>
          </w:p>
          <w:p w14:paraId="4E40BBF1">
            <w:pPr>
              <w:spacing w:line="240" w:lineRule="auto"/>
              <w:ind w:firstLine="0" w:firstLineChars="0"/>
              <w:jc w:val="left"/>
              <w:rPr>
                <w:sz w:val="21"/>
                <w:szCs w:val="21"/>
              </w:rPr>
            </w:pPr>
            <w:r>
              <w:rPr>
                <w:sz w:val="21"/>
                <w:szCs w:val="21"/>
              </w:rPr>
              <w:t>（4）高压供配电系统继电保护装置。</w:t>
            </w:r>
          </w:p>
          <w:p w14:paraId="2476D9BB">
            <w:pPr>
              <w:spacing w:line="240" w:lineRule="auto"/>
              <w:ind w:firstLine="0" w:firstLineChars="0"/>
              <w:jc w:val="left"/>
              <w:rPr>
                <w:sz w:val="21"/>
                <w:szCs w:val="21"/>
              </w:rPr>
            </w:pPr>
            <w:r>
              <w:rPr>
                <w:sz w:val="21"/>
                <w:szCs w:val="21"/>
              </w:rPr>
              <w:t>（5）变、配电室的金属丝网门。</w:t>
            </w:r>
          </w:p>
        </w:tc>
      </w:tr>
      <w:tr w14:paraId="3A6A7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793" w:type="dxa"/>
            <w:vMerge w:val="restart"/>
            <w:vAlign w:val="center"/>
          </w:tcPr>
          <w:p w14:paraId="4B675DDE">
            <w:pPr>
              <w:spacing w:line="240" w:lineRule="auto"/>
              <w:ind w:firstLine="0" w:firstLineChars="0"/>
              <w:jc w:val="center"/>
              <w:rPr>
                <w:sz w:val="21"/>
                <w:szCs w:val="21"/>
              </w:rPr>
            </w:pPr>
            <w:r>
              <w:rPr>
                <w:sz w:val="21"/>
                <w:szCs w:val="21"/>
              </w:rPr>
              <w:t>4</w:t>
            </w:r>
          </w:p>
        </w:tc>
        <w:tc>
          <w:tcPr>
            <w:tcW w:w="8667" w:type="dxa"/>
            <w:vAlign w:val="center"/>
          </w:tcPr>
          <w:p w14:paraId="5788E949">
            <w:pPr>
              <w:spacing w:line="240" w:lineRule="auto"/>
              <w:ind w:firstLine="0" w:firstLineChars="0"/>
              <w:jc w:val="left"/>
              <w:rPr>
                <w:sz w:val="21"/>
                <w:szCs w:val="21"/>
              </w:rPr>
            </w:pPr>
            <w:r>
              <w:rPr>
                <w:sz w:val="21"/>
                <w:szCs w:val="21"/>
              </w:rPr>
              <w:t>通信系统</w:t>
            </w:r>
          </w:p>
        </w:tc>
      </w:tr>
      <w:tr w14:paraId="3170C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793" w:type="dxa"/>
            <w:vMerge w:val="continue"/>
          </w:tcPr>
          <w:p w14:paraId="21168466">
            <w:pPr>
              <w:spacing w:line="240" w:lineRule="auto"/>
              <w:ind w:firstLine="0" w:firstLineChars="0"/>
              <w:rPr>
                <w:sz w:val="21"/>
                <w:szCs w:val="21"/>
              </w:rPr>
            </w:pPr>
          </w:p>
        </w:tc>
        <w:tc>
          <w:tcPr>
            <w:tcW w:w="8667" w:type="dxa"/>
            <w:vAlign w:val="center"/>
          </w:tcPr>
          <w:p w14:paraId="77E1EDE8">
            <w:pPr>
              <w:spacing w:line="240" w:lineRule="auto"/>
              <w:ind w:firstLine="0" w:firstLineChars="0"/>
              <w:jc w:val="left"/>
              <w:rPr>
                <w:sz w:val="21"/>
                <w:szCs w:val="21"/>
              </w:rPr>
            </w:pPr>
            <w:r>
              <w:rPr>
                <w:sz w:val="21"/>
                <w:szCs w:val="21"/>
              </w:rPr>
              <w:t>（1）联络通信系统。</w:t>
            </w:r>
          </w:p>
        </w:tc>
      </w:tr>
    </w:tbl>
    <w:p w14:paraId="4EA6558E">
      <w:pPr>
        <w:spacing w:before="193" w:beforeLines="50" w:line="240" w:lineRule="auto"/>
        <w:ind w:firstLine="0" w:firstLineChars="0"/>
        <w:jc w:val="center"/>
        <w:rPr>
          <w:bCs/>
          <w:sz w:val="24"/>
          <w:szCs w:val="24"/>
        </w:rPr>
      </w:pPr>
      <w:r>
        <w:rPr>
          <w:bCs/>
          <w:sz w:val="24"/>
          <w:szCs w:val="24"/>
        </w:rPr>
        <w:t>表2.7-2 专用安全设施目录</w:t>
      </w: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2840"/>
        <w:gridCol w:w="5760"/>
      </w:tblGrid>
      <w:tr w14:paraId="7DC49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blHeader/>
          <w:jc w:val="center"/>
        </w:trPr>
        <w:tc>
          <w:tcPr>
            <w:tcW w:w="780" w:type="dxa"/>
            <w:vAlign w:val="center"/>
          </w:tcPr>
          <w:p w14:paraId="5E2D1707">
            <w:pPr>
              <w:tabs>
                <w:tab w:val="right" w:leader="dot" w:pos="8432"/>
              </w:tabs>
              <w:spacing w:line="240" w:lineRule="auto"/>
              <w:ind w:firstLine="0" w:firstLineChars="0"/>
              <w:jc w:val="center"/>
              <w:rPr>
                <w:b/>
                <w:bCs/>
                <w:sz w:val="21"/>
                <w:szCs w:val="21"/>
              </w:rPr>
            </w:pPr>
            <w:r>
              <w:rPr>
                <w:b/>
                <w:bCs/>
                <w:sz w:val="21"/>
                <w:szCs w:val="21"/>
              </w:rPr>
              <w:t>序号</w:t>
            </w:r>
          </w:p>
        </w:tc>
        <w:tc>
          <w:tcPr>
            <w:tcW w:w="2840" w:type="dxa"/>
            <w:vAlign w:val="center"/>
          </w:tcPr>
          <w:p w14:paraId="02D95DB5">
            <w:pPr>
              <w:tabs>
                <w:tab w:val="right" w:leader="dot" w:pos="8432"/>
              </w:tabs>
              <w:spacing w:line="240" w:lineRule="auto"/>
              <w:ind w:firstLine="0" w:firstLineChars="0"/>
              <w:jc w:val="center"/>
              <w:rPr>
                <w:b/>
                <w:bCs/>
                <w:sz w:val="21"/>
                <w:szCs w:val="21"/>
              </w:rPr>
            </w:pPr>
            <w:r>
              <w:rPr>
                <w:b/>
                <w:bCs/>
                <w:sz w:val="21"/>
                <w:szCs w:val="21"/>
              </w:rPr>
              <w:t>项目</w:t>
            </w:r>
          </w:p>
        </w:tc>
        <w:tc>
          <w:tcPr>
            <w:tcW w:w="5760" w:type="dxa"/>
            <w:vAlign w:val="center"/>
          </w:tcPr>
          <w:p w14:paraId="67ECAD63">
            <w:pPr>
              <w:tabs>
                <w:tab w:val="right" w:leader="dot" w:pos="8432"/>
              </w:tabs>
              <w:spacing w:line="240" w:lineRule="auto"/>
              <w:ind w:firstLine="0" w:firstLineChars="0"/>
              <w:jc w:val="center"/>
              <w:rPr>
                <w:b/>
                <w:bCs/>
                <w:sz w:val="21"/>
                <w:szCs w:val="21"/>
              </w:rPr>
            </w:pPr>
            <w:r>
              <w:rPr>
                <w:b/>
                <w:bCs/>
                <w:sz w:val="21"/>
                <w:szCs w:val="21"/>
              </w:rPr>
              <w:t>安全设施（设备）名称</w:t>
            </w:r>
          </w:p>
        </w:tc>
      </w:tr>
      <w:tr w14:paraId="27853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780" w:type="dxa"/>
            <w:vAlign w:val="center"/>
          </w:tcPr>
          <w:p w14:paraId="79F49629">
            <w:pPr>
              <w:spacing w:line="240" w:lineRule="auto"/>
              <w:ind w:firstLine="0" w:firstLineChars="0"/>
              <w:jc w:val="center"/>
              <w:rPr>
                <w:sz w:val="21"/>
                <w:szCs w:val="21"/>
              </w:rPr>
            </w:pPr>
            <w:r>
              <w:rPr>
                <w:sz w:val="21"/>
                <w:szCs w:val="21"/>
              </w:rPr>
              <w:t>1</w:t>
            </w:r>
          </w:p>
        </w:tc>
        <w:tc>
          <w:tcPr>
            <w:tcW w:w="2840" w:type="dxa"/>
            <w:vAlign w:val="center"/>
          </w:tcPr>
          <w:p w14:paraId="3731978F">
            <w:pPr>
              <w:spacing w:line="240" w:lineRule="auto"/>
              <w:ind w:firstLine="0" w:firstLineChars="0"/>
              <w:jc w:val="center"/>
              <w:rPr>
                <w:sz w:val="21"/>
                <w:szCs w:val="21"/>
              </w:rPr>
            </w:pPr>
            <w:r>
              <w:rPr>
                <w:sz w:val="21"/>
                <w:szCs w:val="21"/>
              </w:rPr>
              <w:t>露天采场</w:t>
            </w:r>
          </w:p>
        </w:tc>
        <w:tc>
          <w:tcPr>
            <w:tcW w:w="5760" w:type="dxa"/>
            <w:vAlign w:val="center"/>
          </w:tcPr>
          <w:p w14:paraId="04901BC0">
            <w:pPr>
              <w:spacing w:line="240" w:lineRule="auto"/>
              <w:ind w:firstLine="0" w:firstLineChars="0"/>
              <w:jc w:val="left"/>
              <w:rPr>
                <w:sz w:val="21"/>
                <w:szCs w:val="21"/>
              </w:rPr>
            </w:pPr>
            <w:r>
              <w:rPr>
                <w:sz w:val="21"/>
                <w:szCs w:val="21"/>
              </w:rPr>
              <w:t>露天采场所设的边界安全护栏及警示标志、露天采场隔离设施、爆破安全设施（含警示旗、报警器、警戒带等）。</w:t>
            </w:r>
          </w:p>
        </w:tc>
      </w:tr>
      <w:tr w14:paraId="4A17F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780" w:type="dxa"/>
            <w:vAlign w:val="center"/>
          </w:tcPr>
          <w:p w14:paraId="3D8A1DC1">
            <w:pPr>
              <w:spacing w:line="240" w:lineRule="auto"/>
              <w:ind w:firstLine="0" w:firstLineChars="0"/>
              <w:jc w:val="center"/>
              <w:rPr>
                <w:sz w:val="21"/>
                <w:szCs w:val="21"/>
              </w:rPr>
            </w:pPr>
            <w:r>
              <w:rPr>
                <w:sz w:val="21"/>
                <w:szCs w:val="21"/>
              </w:rPr>
              <w:t>2</w:t>
            </w:r>
          </w:p>
        </w:tc>
        <w:tc>
          <w:tcPr>
            <w:tcW w:w="2840" w:type="dxa"/>
            <w:vAlign w:val="center"/>
          </w:tcPr>
          <w:p w14:paraId="76A4467B">
            <w:pPr>
              <w:spacing w:line="240" w:lineRule="auto"/>
              <w:ind w:firstLine="0" w:firstLineChars="0"/>
              <w:jc w:val="center"/>
              <w:rPr>
                <w:sz w:val="21"/>
                <w:szCs w:val="21"/>
              </w:rPr>
            </w:pPr>
            <w:r>
              <w:rPr>
                <w:sz w:val="21"/>
                <w:szCs w:val="21"/>
              </w:rPr>
              <w:t>汽车运输</w:t>
            </w:r>
          </w:p>
        </w:tc>
        <w:tc>
          <w:tcPr>
            <w:tcW w:w="5760" w:type="dxa"/>
            <w:vAlign w:val="center"/>
          </w:tcPr>
          <w:p w14:paraId="1730E6EE">
            <w:pPr>
              <w:spacing w:line="240" w:lineRule="auto"/>
              <w:ind w:firstLine="0" w:firstLineChars="0"/>
              <w:jc w:val="left"/>
              <w:rPr>
                <w:sz w:val="21"/>
                <w:szCs w:val="21"/>
              </w:rPr>
            </w:pPr>
            <w:r>
              <w:rPr>
                <w:sz w:val="21"/>
                <w:szCs w:val="21"/>
              </w:rPr>
              <w:t>运输线路安全警示标志；错车道；道路安全车挡；卸矿点的安全挡车设施。</w:t>
            </w:r>
          </w:p>
        </w:tc>
      </w:tr>
      <w:tr w14:paraId="69410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780" w:type="dxa"/>
            <w:vAlign w:val="center"/>
          </w:tcPr>
          <w:p w14:paraId="1380DF54">
            <w:pPr>
              <w:spacing w:line="240" w:lineRule="auto"/>
              <w:ind w:firstLine="0" w:firstLineChars="0"/>
              <w:jc w:val="center"/>
              <w:rPr>
                <w:sz w:val="21"/>
                <w:szCs w:val="21"/>
              </w:rPr>
            </w:pPr>
            <w:r>
              <w:rPr>
                <w:sz w:val="21"/>
                <w:szCs w:val="21"/>
              </w:rPr>
              <w:t>3</w:t>
            </w:r>
          </w:p>
        </w:tc>
        <w:tc>
          <w:tcPr>
            <w:tcW w:w="2840" w:type="dxa"/>
            <w:vAlign w:val="center"/>
          </w:tcPr>
          <w:p w14:paraId="52044918">
            <w:pPr>
              <w:tabs>
                <w:tab w:val="right" w:leader="dot" w:pos="8432"/>
              </w:tabs>
              <w:spacing w:line="240" w:lineRule="auto"/>
              <w:ind w:firstLine="0" w:firstLineChars="0"/>
              <w:jc w:val="center"/>
              <w:rPr>
                <w:sz w:val="21"/>
                <w:szCs w:val="21"/>
              </w:rPr>
            </w:pPr>
            <w:r>
              <w:rPr>
                <w:sz w:val="21"/>
                <w:szCs w:val="21"/>
              </w:rPr>
              <w:t>矿山应急救援器材及设备</w:t>
            </w:r>
          </w:p>
        </w:tc>
        <w:tc>
          <w:tcPr>
            <w:tcW w:w="5760" w:type="dxa"/>
            <w:vAlign w:val="center"/>
          </w:tcPr>
          <w:p w14:paraId="097504AD">
            <w:pPr>
              <w:tabs>
                <w:tab w:val="right" w:leader="dot" w:pos="8432"/>
              </w:tabs>
              <w:spacing w:line="240" w:lineRule="auto"/>
              <w:ind w:firstLine="0" w:firstLineChars="0"/>
              <w:jc w:val="left"/>
              <w:rPr>
                <w:sz w:val="21"/>
                <w:szCs w:val="21"/>
              </w:rPr>
            </w:pPr>
            <w:r>
              <w:rPr>
                <w:sz w:val="21"/>
                <w:szCs w:val="21"/>
              </w:rPr>
              <w:t>对讲机、液压起重器、千斤顶、工具组、安全帽、水鞋、担架、急救箱、安全带、安全绳、应急灯、帐篷、切割锯、灭火器、运输车辆、固定电话、手机、无线对讲机等。</w:t>
            </w:r>
          </w:p>
        </w:tc>
      </w:tr>
      <w:tr w14:paraId="148EC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780" w:type="dxa"/>
            <w:vAlign w:val="center"/>
          </w:tcPr>
          <w:p w14:paraId="7E42E204">
            <w:pPr>
              <w:spacing w:line="240" w:lineRule="auto"/>
              <w:ind w:firstLine="0" w:firstLineChars="0"/>
              <w:jc w:val="center"/>
              <w:rPr>
                <w:sz w:val="21"/>
                <w:szCs w:val="21"/>
              </w:rPr>
            </w:pPr>
            <w:r>
              <w:rPr>
                <w:sz w:val="21"/>
                <w:szCs w:val="21"/>
              </w:rPr>
              <w:t>4</w:t>
            </w:r>
          </w:p>
        </w:tc>
        <w:tc>
          <w:tcPr>
            <w:tcW w:w="2840" w:type="dxa"/>
            <w:vAlign w:val="center"/>
          </w:tcPr>
          <w:p w14:paraId="66E59CE0">
            <w:pPr>
              <w:tabs>
                <w:tab w:val="right" w:leader="dot" w:pos="8432"/>
              </w:tabs>
              <w:spacing w:line="240" w:lineRule="auto"/>
              <w:ind w:firstLine="0" w:firstLineChars="0"/>
              <w:jc w:val="center"/>
              <w:rPr>
                <w:sz w:val="21"/>
                <w:szCs w:val="21"/>
              </w:rPr>
            </w:pPr>
            <w:r>
              <w:rPr>
                <w:sz w:val="21"/>
                <w:szCs w:val="21"/>
              </w:rPr>
              <w:t>个人安全防护用品</w:t>
            </w:r>
          </w:p>
        </w:tc>
        <w:tc>
          <w:tcPr>
            <w:tcW w:w="5760" w:type="dxa"/>
            <w:vAlign w:val="center"/>
          </w:tcPr>
          <w:p w14:paraId="11C02D19">
            <w:pPr>
              <w:tabs>
                <w:tab w:val="right" w:leader="dot" w:pos="8432"/>
              </w:tabs>
              <w:spacing w:line="240" w:lineRule="auto"/>
              <w:ind w:firstLine="0" w:firstLineChars="0"/>
              <w:jc w:val="left"/>
              <w:rPr>
                <w:sz w:val="21"/>
                <w:szCs w:val="21"/>
              </w:rPr>
            </w:pPr>
            <w:r>
              <w:rPr>
                <w:sz w:val="21"/>
                <w:szCs w:val="21"/>
              </w:rPr>
              <w:t>按不同岗位的防护用品需要，按时发放个人安全防护用品，并督促正确使用。</w:t>
            </w:r>
          </w:p>
        </w:tc>
      </w:tr>
      <w:tr w14:paraId="30442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780" w:type="dxa"/>
            <w:vAlign w:val="center"/>
          </w:tcPr>
          <w:p w14:paraId="44242A22">
            <w:pPr>
              <w:spacing w:line="240" w:lineRule="auto"/>
              <w:ind w:firstLine="0" w:firstLineChars="0"/>
              <w:jc w:val="center"/>
              <w:rPr>
                <w:sz w:val="21"/>
                <w:szCs w:val="21"/>
              </w:rPr>
            </w:pPr>
            <w:r>
              <w:rPr>
                <w:sz w:val="21"/>
                <w:szCs w:val="21"/>
              </w:rPr>
              <w:t>5</w:t>
            </w:r>
          </w:p>
        </w:tc>
        <w:tc>
          <w:tcPr>
            <w:tcW w:w="2840" w:type="dxa"/>
            <w:vAlign w:val="center"/>
          </w:tcPr>
          <w:p w14:paraId="3A7122E2">
            <w:pPr>
              <w:tabs>
                <w:tab w:val="right" w:leader="dot" w:pos="8432"/>
              </w:tabs>
              <w:spacing w:line="240" w:lineRule="auto"/>
              <w:ind w:firstLine="0" w:firstLineChars="0"/>
              <w:jc w:val="left"/>
              <w:rPr>
                <w:sz w:val="21"/>
                <w:szCs w:val="21"/>
              </w:rPr>
            </w:pPr>
            <w:r>
              <w:rPr>
                <w:sz w:val="21"/>
                <w:szCs w:val="21"/>
              </w:rPr>
              <w:t>矿山、交通、电气安全标志</w:t>
            </w:r>
          </w:p>
        </w:tc>
        <w:tc>
          <w:tcPr>
            <w:tcW w:w="5760" w:type="dxa"/>
            <w:vAlign w:val="center"/>
          </w:tcPr>
          <w:p w14:paraId="21540B59">
            <w:pPr>
              <w:tabs>
                <w:tab w:val="right" w:leader="dot" w:pos="8432"/>
              </w:tabs>
              <w:spacing w:line="240" w:lineRule="auto"/>
              <w:ind w:firstLine="0" w:firstLineChars="0"/>
              <w:jc w:val="left"/>
              <w:rPr>
                <w:sz w:val="21"/>
                <w:szCs w:val="21"/>
              </w:rPr>
            </w:pPr>
            <w:r>
              <w:rPr>
                <w:sz w:val="21"/>
                <w:szCs w:val="21"/>
              </w:rPr>
              <w:t>矿山根据自身的生产工艺和生产系统的特点，在全矿区域内的所有生产点设置符合要求的安全标志。</w:t>
            </w:r>
          </w:p>
        </w:tc>
      </w:tr>
    </w:tbl>
    <w:p w14:paraId="41B029B8">
      <w:pPr>
        <w:pStyle w:val="5"/>
        <w:spacing w:before="386" w:beforeLines="100"/>
        <w:rPr>
          <w:b/>
          <w:bCs w:val="0"/>
        </w:rPr>
      </w:pPr>
      <w:bookmarkStart w:id="466" w:name="_Toc6338"/>
      <w:bookmarkStart w:id="467" w:name="_Toc6082"/>
      <w:bookmarkStart w:id="468" w:name="_Toc25233"/>
      <w:bookmarkStart w:id="469" w:name="_Toc59420528"/>
      <w:bookmarkStart w:id="470" w:name="_Toc1187"/>
      <w:bookmarkStart w:id="471" w:name="_Toc467"/>
      <w:bookmarkStart w:id="472" w:name="_Toc15726"/>
      <w:bookmarkStart w:id="473" w:name="_Toc30374"/>
      <w:bookmarkStart w:id="474" w:name="_Toc25663"/>
      <w:bookmarkStart w:id="475" w:name="_Toc454614310"/>
      <w:r>
        <w:rPr>
          <w:b/>
          <w:bCs w:val="0"/>
        </w:rPr>
        <w:t>2.8矿山建设情况图片</w:t>
      </w:r>
      <w:bookmarkEnd w:id="466"/>
      <w:bookmarkEnd w:id="467"/>
      <w:bookmarkEnd w:id="468"/>
      <w:bookmarkEnd w:id="469"/>
      <w:bookmarkEnd w:id="470"/>
      <w:bookmarkEnd w:id="471"/>
      <w:bookmarkEnd w:id="472"/>
    </w:p>
    <w:p w14:paraId="03F95B91">
      <w:pPr>
        <w:ind w:firstLine="560"/>
        <w:rPr>
          <w:rFonts w:hint="eastAsia" w:ascii="Times New Roman" w:hAnsi="Times New Roman" w:cs="Times New Roman"/>
          <w:color w:val="auto"/>
          <w:sz w:val="28"/>
          <w:lang w:val="en-US" w:eastAsia="zh-CN"/>
        </w:rPr>
      </w:pPr>
      <w:bookmarkStart w:id="476" w:name="_Toc59420529"/>
      <w:bookmarkStart w:id="477" w:name="_Toc8455"/>
      <w:bookmarkStart w:id="478" w:name="_Toc31371"/>
      <w:bookmarkStart w:id="479" w:name="_Toc31589"/>
      <w:bookmarkStart w:id="480" w:name="_Toc19320"/>
      <w:r>
        <w:rPr>
          <w:rFonts w:hint="eastAsia" w:ascii="Times New Roman" w:hAnsi="Times New Roman" w:cs="Times New Roman"/>
          <w:color w:val="auto"/>
          <w:sz w:val="28"/>
          <w:lang w:val="en-US" w:eastAsia="zh-CN"/>
        </w:rPr>
        <w:t>XX。</w:t>
      </w:r>
    </w:p>
    <w:p w14:paraId="5474247A">
      <w:pPr>
        <w:pStyle w:val="21"/>
        <w:ind w:left="0" w:leftChars="0" w:firstLine="0" w:firstLineChars="0"/>
        <w:jc w:val="center"/>
        <w:rPr>
          <w:rFonts w:ascii="Times New Roman" w:hAnsi="Times New Roman"/>
          <w:szCs w:val="21"/>
        </w:rPr>
      </w:pPr>
    </w:p>
    <w:p w14:paraId="005EE7AA">
      <w:pPr>
        <w:pStyle w:val="21"/>
        <w:ind w:left="0" w:leftChars="0" w:firstLine="0" w:firstLineChars="0"/>
        <w:jc w:val="center"/>
        <w:rPr>
          <w:rFonts w:ascii="Times New Roman" w:hAnsi="Times New Roman"/>
          <w:szCs w:val="21"/>
        </w:rPr>
        <w:sectPr>
          <w:pgSz w:w="11905" w:h="16838"/>
          <w:pgMar w:top="1417" w:right="1134" w:bottom="1134" w:left="1587" w:header="850" w:footer="850" w:gutter="0"/>
          <w:cols w:space="720" w:num="1"/>
          <w:docGrid w:type="lines" w:linePitch="386" w:charSpace="0"/>
        </w:sectPr>
      </w:pPr>
    </w:p>
    <w:p w14:paraId="103A7523">
      <w:pPr>
        <w:pStyle w:val="4"/>
        <w:rPr>
          <w:b/>
          <w:bCs w:val="0"/>
          <w:szCs w:val="36"/>
        </w:rPr>
      </w:pPr>
      <w:bookmarkStart w:id="481" w:name="_Toc27246"/>
      <w:r>
        <w:rPr>
          <w:b/>
          <w:bCs w:val="0"/>
        </w:rPr>
        <w:t>3 安全设施符合性评价</w:t>
      </w:r>
      <w:bookmarkEnd w:id="473"/>
      <w:bookmarkEnd w:id="474"/>
      <w:bookmarkEnd w:id="475"/>
      <w:bookmarkEnd w:id="476"/>
      <w:bookmarkEnd w:id="477"/>
      <w:bookmarkEnd w:id="478"/>
      <w:bookmarkEnd w:id="479"/>
      <w:bookmarkEnd w:id="480"/>
      <w:bookmarkEnd w:id="481"/>
    </w:p>
    <w:p w14:paraId="2DAC80AE">
      <w:pPr>
        <w:pStyle w:val="20"/>
        <w:ind w:firstLine="560"/>
        <w:rPr>
          <w:snapToGrid w:val="0"/>
          <w:kern w:val="0"/>
          <w:szCs w:val="28"/>
        </w:rPr>
      </w:pPr>
      <w:bookmarkStart w:id="482" w:name="_Toc454614311"/>
      <w:bookmarkStart w:id="483" w:name="_Toc9022"/>
      <w:bookmarkStart w:id="484" w:name="_Toc4575"/>
      <w:bookmarkStart w:id="485" w:name="_Toc13693"/>
      <w:bookmarkStart w:id="486" w:name="_Toc236050037"/>
      <w:r>
        <w:rPr>
          <w:rFonts w:hint="eastAsia" w:ascii="Times New Roman" w:hAnsi="Times New Roman" w:cs="Times New Roman"/>
          <w:color w:val="auto"/>
          <w:sz w:val="28"/>
          <w:lang w:val="en-US" w:eastAsia="zh-CN"/>
        </w:rPr>
        <w:t>XX。</w:t>
      </w:r>
    </w:p>
    <w:bookmarkEnd w:id="482"/>
    <w:bookmarkEnd w:id="483"/>
    <w:bookmarkEnd w:id="484"/>
    <w:bookmarkEnd w:id="485"/>
    <w:p w14:paraId="5BCE865A">
      <w:pPr>
        <w:pStyle w:val="21"/>
        <w:ind w:left="560" w:firstLine="560"/>
        <w:rPr>
          <w:rFonts w:ascii="Times New Roman" w:hAnsi="Times New Roman"/>
          <w:szCs w:val="22"/>
        </w:rPr>
      </w:pPr>
    </w:p>
    <w:p w14:paraId="1D05220F">
      <w:pPr>
        <w:pStyle w:val="21"/>
        <w:ind w:left="560" w:firstLine="560"/>
        <w:rPr>
          <w:rFonts w:ascii="Times New Roman" w:hAnsi="Times New Roman"/>
          <w:szCs w:val="22"/>
        </w:rPr>
        <w:sectPr>
          <w:pgSz w:w="11906" w:h="16838"/>
          <w:pgMar w:top="1417" w:right="1134" w:bottom="1134" w:left="1588" w:header="851" w:footer="992" w:gutter="0"/>
          <w:cols w:space="720" w:num="1"/>
          <w:docGrid w:type="lines" w:linePitch="381" w:charSpace="0"/>
        </w:sectPr>
      </w:pPr>
    </w:p>
    <w:bookmarkEnd w:id="312"/>
    <w:bookmarkEnd w:id="313"/>
    <w:bookmarkEnd w:id="314"/>
    <w:bookmarkEnd w:id="315"/>
    <w:bookmarkEnd w:id="316"/>
    <w:bookmarkEnd w:id="317"/>
    <w:bookmarkEnd w:id="486"/>
    <w:p w14:paraId="68F85A7C">
      <w:pPr>
        <w:pStyle w:val="4"/>
        <w:rPr>
          <w:b/>
          <w:bCs w:val="0"/>
        </w:rPr>
      </w:pPr>
      <w:bookmarkStart w:id="487" w:name="_Toc454614345"/>
      <w:bookmarkStart w:id="488" w:name="_Toc59420561"/>
      <w:bookmarkStart w:id="489" w:name="_Toc21236"/>
      <w:bookmarkStart w:id="490" w:name="_Toc28006"/>
      <w:bookmarkStart w:id="491" w:name="_Toc2671"/>
      <w:bookmarkStart w:id="492" w:name="_Toc28038"/>
      <w:bookmarkStart w:id="493" w:name="_Toc2717"/>
      <w:bookmarkStart w:id="494" w:name="_Toc37"/>
      <w:bookmarkStart w:id="495" w:name="_Toc11806"/>
      <w:bookmarkStart w:id="496" w:name="_Toc297117755"/>
      <w:bookmarkStart w:id="497" w:name="_Toc384121719"/>
      <w:bookmarkStart w:id="498" w:name="_Toc236128204"/>
      <w:r>
        <w:rPr>
          <w:b/>
          <w:bCs w:val="0"/>
        </w:rPr>
        <w:t>4 安全对策措施建议</w:t>
      </w:r>
      <w:bookmarkEnd w:id="487"/>
      <w:bookmarkEnd w:id="488"/>
      <w:bookmarkEnd w:id="489"/>
      <w:bookmarkEnd w:id="490"/>
      <w:bookmarkEnd w:id="491"/>
      <w:bookmarkEnd w:id="492"/>
      <w:bookmarkEnd w:id="493"/>
      <w:bookmarkEnd w:id="494"/>
      <w:bookmarkEnd w:id="495"/>
    </w:p>
    <w:bookmarkEnd w:id="496"/>
    <w:bookmarkEnd w:id="497"/>
    <w:bookmarkEnd w:id="498"/>
    <w:p w14:paraId="1AB43A5D">
      <w:pPr>
        <w:pStyle w:val="5"/>
        <w:spacing w:before="0" w:beforeLines="0"/>
        <w:rPr>
          <w:b/>
          <w:bCs w:val="0"/>
        </w:rPr>
      </w:pPr>
      <w:bookmarkStart w:id="499" w:name="_Toc30023"/>
      <w:bookmarkStart w:id="500" w:name="_Toc14784"/>
      <w:bookmarkStart w:id="501" w:name="_Toc9443"/>
      <w:bookmarkStart w:id="502" w:name="_Toc59420562"/>
      <w:bookmarkStart w:id="503" w:name="_Toc32144"/>
      <w:bookmarkStart w:id="504" w:name="_Toc27724"/>
      <w:bookmarkStart w:id="505" w:name="_Toc384121724"/>
      <w:bookmarkStart w:id="506" w:name="_Toc31588"/>
      <w:bookmarkStart w:id="507" w:name="_Toc4247"/>
      <w:bookmarkStart w:id="508" w:name="_Toc454614347"/>
      <w:bookmarkStart w:id="509" w:name="_Toc7152"/>
      <w:bookmarkStart w:id="510" w:name="_Toc236128207"/>
      <w:r>
        <w:rPr>
          <w:b/>
          <w:bCs w:val="0"/>
        </w:rPr>
        <w:t>4.1企业整改完成落实情况</w:t>
      </w:r>
      <w:bookmarkEnd w:id="499"/>
      <w:bookmarkEnd w:id="500"/>
      <w:bookmarkEnd w:id="501"/>
      <w:bookmarkEnd w:id="502"/>
      <w:bookmarkEnd w:id="503"/>
      <w:bookmarkEnd w:id="504"/>
    </w:p>
    <w:p w14:paraId="0F2FCA2B">
      <w:pPr>
        <w:pStyle w:val="6"/>
        <w:ind w:firstLine="562"/>
        <w:rPr>
          <w:rFonts w:eastAsia="宋体"/>
          <w:b/>
        </w:rPr>
      </w:pPr>
      <w:bookmarkStart w:id="511" w:name="_Toc24491"/>
      <w:bookmarkStart w:id="512" w:name="_Toc16836"/>
      <w:bookmarkStart w:id="513" w:name="_Toc15012"/>
      <w:bookmarkStart w:id="514" w:name="_Toc16905"/>
      <w:bookmarkStart w:id="515" w:name="_Toc29548"/>
      <w:r>
        <w:rPr>
          <w:rFonts w:eastAsia="宋体"/>
          <w:b/>
        </w:rPr>
        <w:t>4.1.1主要存在问题及整改建议</w:t>
      </w:r>
      <w:bookmarkEnd w:id="511"/>
      <w:bookmarkEnd w:id="512"/>
      <w:bookmarkEnd w:id="513"/>
      <w:bookmarkEnd w:id="514"/>
      <w:bookmarkEnd w:id="515"/>
    </w:p>
    <w:p w14:paraId="13A0E2EF">
      <w:pPr>
        <w:pStyle w:val="20"/>
        <w:ind w:firstLine="560"/>
        <w:rPr>
          <w:snapToGrid w:val="0"/>
          <w:kern w:val="0"/>
          <w:szCs w:val="28"/>
        </w:rPr>
      </w:pPr>
      <w:r>
        <w:rPr>
          <w:rFonts w:hint="eastAsia" w:ascii="Times New Roman" w:hAnsi="Times New Roman" w:cs="Times New Roman"/>
          <w:color w:val="auto"/>
          <w:sz w:val="28"/>
          <w:lang w:val="en-US" w:eastAsia="zh-CN"/>
        </w:rPr>
        <w:t>XX。</w:t>
      </w:r>
    </w:p>
    <w:p w14:paraId="1E2E96E2">
      <w:pPr>
        <w:pStyle w:val="6"/>
        <w:ind w:firstLine="562"/>
        <w:rPr>
          <w:rFonts w:eastAsia="宋体"/>
          <w:b/>
        </w:rPr>
      </w:pPr>
      <w:bookmarkStart w:id="516" w:name="_Toc21444"/>
      <w:bookmarkStart w:id="517" w:name="_Toc448"/>
      <w:bookmarkStart w:id="518" w:name="_Toc18248"/>
      <w:bookmarkStart w:id="519" w:name="_Toc18615"/>
      <w:r>
        <w:rPr>
          <w:rFonts w:eastAsia="宋体"/>
          <w:b/>
        </w:rPr>
        <w:t>4.1.2整改</w:t>
      </w:r>
      <w:bookmarkEnd w:id="516"/>
      <w:bookmarkEnd w:id="517"/>
      <w:bookmarkEnd w:id="518"/>
      <w:bookmarkEnd w:id="519"/>
      <w:r>
        <w:rPr>
          <w:rFonts w:eastAsia="宋体"/>
          <w:b/>
        </w:rPr>
        <w:t>及确认</w:t>
      </w:r>
    </w:p>
    <w:p w14:paraId="5D17C584">
      <w:pPr>
        <w:adjustRightInd/>
        <w:snapToGrid/>
        <w:ind w:firstLine="560"/>
        <w:rPr>
          <w:szCs w:val="28"/>
        </w:rPr>
      </w:pPr>
      <w:r>
        <w:rPr>
          <w:rFonts w:hint="eastAsia" w:ascii="Times New Roman" w:hAnsi="Times New Roman" w:cs="Times New Roman"/>
          <w:color w:val="auto"/>
          <w:sz w:val="28"/>
          <w:lang w:val="en-US" w:eastAsia="zh-CN"/>
        </w:rPr>
        <w:t>XX。</w:t>
      </w:r>
    </w:p>
    <w:p w14:paraId="74013DA7">
      <w:pPr>
        <w:pStyle w:val="5"/>
        <w:spacing w:before="0" w:beforeLines="0"/>
        <w:rPr>
          <w:b/>
          <w:bCs w:val="0"/>
        </w:rPr>
      </w:pPr>
      <w:bookmarkStart w:id="520" w:name="_Toc25270"/>
      <w:bookmarkStart w:id="521" w:name="_Toc23848"/>
      <w:bookmarkStart w:id="522" w:name="_Toc59420563"/>
      <w:bookmarkStart w:id="523" w:name="_Toc12903"/>
      <w:bookmarkStart w:id="524" w:name="_Toc8850"/>
      <w:bookmarkStart w:id="525" w:name="_Toc26959"/>
      <w:r>
        <w:rPr>
          <w:b/>
          <w:bCs w:val="0"/>
        </w:rPr>
        <w:t>4.2安全对策措施建议</w:t>
      </w:r>
      <w:bookmarkEnd w:id="520"/>
      <w:bookmarkEnd w:id="521"/>
      <w:bookmarkEnd w:id="522"/>
      <w:bookmarkEnd w:id="523"/>
      <w:bookmarkEnd w:id="524"/>
      <w:bookmarkEnd w:id="525"/>
    </w:p>
    <w:p w14:paraId="6EA734AA">
      <w:pPr>
        <w:pStyle w:val="6"/>
        <w:ind w:firstLine="562"/>
        <w:rPr>
          <w:rFonts w:eastAsia="宋体"/>
          <w:b/>
          <w:bCs w:val="0"/>
        </w:rPr>
      </w:pPr>
      <w:bookmarkStart w:id="526" w:name="_Toc21123"/>
      <w:bookmarkStart w:id="527" w:name="_Toc3608"/>
      <w:bookmarkStart w:id="528" w:name="_Toc11438"/>
      <w:bookmarkStart w:id="529" w:name="_Toc59420564"/>
      <w:r>
        <w:rPr>
          <w:rFonts w:eastAsia="宋体"/>
          <w:b/>
          <w:bCs w:val="0"/>
        </w:rPr>
        <w:t>4.</w:t>
      </w:r>
      <w:bookmarkEnd w:id="505"/>
      <w:r>
        <w:rPr>
          <w:rFonts w:eastAsia="宋体"/>
          <w:b/>
          <w:bCs w:val="0"/>
        </w:rPr>
        <w:t>2.1露天采场</w:t>
      </w:r>
      <w:bookmarkEnd w:id="506"/>
      <w:bookmarkEnd w:id="507"/>
      <w:bookmarkEnd w:id="508"/>
      <w:bookmarkEnd w:id="509"/>
      <w:bookmarkEnd w:id="526"/>
      <w:bookmarkEnd w:id="527"/>
      <w:bookmarkEnd w:id="528"/>
      <w:bookmarkEnd w:id="529"/>
    </w:p>
    <w:p w14:paraId="1F9C477C">
      <w:pPr>
        <w:ind w:firstLine="560"/>
        <w:rPr>
          <w:color w:val="000000" w:themeColor="text1"/>
          <w14:textFill>
            <w14:solidFill>
              <w14:schemeClr w14:val="tx1"/>
            </w14:solidFill>
          </w14:textFill>
        </w:rPr>
      </w:pPr>
      <w:r>
        <w:t>1.严格按照安全设施设计的要求进行开采作业，严格执行自上而下分台阶</w:t>
      </w:r>
      <w:r>
        <w:rPr>
          <w:color w:val="000000" w:themeColor="text1"/>
          <w14:textFill>
            <w14:solidFill>
              <w14:schemeClr w14:val="tx1"/>
            </w14:solidFill>
          </w14:textFill>
        </w:rPr>
        <w:t>开采，生产过程中的工作平台、安全平台、清扫平台、台阶高度及边坡角应满足设计要求。</w:t>
      </w:r>
    </w:p>
    <w:p w14:paraId="496F1EE9">
      <w:pPr>
        <w:ind w:firstLine="560"/>
        <w:rPr>
          <w:color w:val="000000" w:themeColor="text1"/>
          <w14:textFill>
            <w14:solidFill>
              <w14:schemeClr w14:val="tx1"/>
            </w14:solidFill>
          </w14:textFill>
        </w:rPr>
      </w:pPr>
      <w:r>
        <w:rPr>
          <w:color w:val="000000" w:themeColor="text1"/>
          <w14:textFill>
            <w14:solidFill>
              <w14:schemeClr w14:val="tx1"/>
            </w14:solidFill>
          </w14:textFill>
        </w:rPr>
        <w:t>2.在生产过程中应严格按设计规定的范围开采，</w:t>
      </w:r>
      <w:r>
        <w:rPr>
          <w:rFonts w:hint="eastAsia"/>
          <w:color w:val="000000" w:themeColor="text1"/>
          <w14:textFill>
            <w14:solidFill>
              <w14:schemeClr w14:val="tx1"/>
            </w14:solidFill>
          </w14:textFill>
        </w:rPr>
        <w:t>禁采区应当设置明显的标志标识。</w:t>
      </w:r>
      <w:r>
        <w:rPr>
          <w:color w:val="000000" w:themeColor="text1"/>
          <w14:textFill>
            <w14:solidFill>
              <w14:schemeClr w14:val="tx1"/>
            </w14:solidFill>
          </w14:textFill>
        </w:rPr>
        <w:t>生产平台、安全平台、台阶高度及边坡角应满足安全设施设计的要求。严禁采用“高陡边坡一面墙”、“掏挖式”开采，严禁在高陡边帮下作业。</w:t>
      </w:r>
    </w:p>
    <w:p w14:paraId="4701B9B2">
      <w:pPr>
        <w:ind w:firstLine="560"/>
        <w:rPr>
          <w:color w:val="000000" w:themeColor="text1"/>
          <w14:textFill>
            <w14:solidFill>
              <w14:schemeClr w14:val="tx1"/>
            </w14:solidFill>
          </w14:textFill>
        </w:rPr>
      </w:pPr>
      <w:r>
        <w:rPr>
          <w:color w:val="000000" w:themeColor="text1"/>
          <w14:textFill>
            <w14:solidFill>
              <w14:schemeClr w14:val="tx1"/>
            </w14:solidFill>
          </w14:textFill>
        </w:rPr>
        <w:t>3.加强采场现场安全生产管理，采场边坡上下严禁同时作业，无关人员禁止进入采场；雨季做好采场防洪排水工作，防止采场边坡失稳。</w:t>
      </w:r>
    </w:p>
    <w:p w14:paraId="283DAE78">
      <w:pPr>
        <w:ind w:firstLine="560"/>
        <w:rPr>
          <w:color w:val="000000" w:themeColor="text1"/>
          <w14:textFill>
            <w14:solidFill>
              <w14:schemeClr w14:val="tx1"/>
            </w14:solidFill>
          </w14:textFill>
        </w:rPr>
      </w:pPr>
      <w:r>
        <w:rPr>
          <w:color w:val="000000" w:themeColor="text1"/>
          <w14:textFill>
            <w14:solidFill>
              <w14:schemeClr w14:val="tx1"/>
            </w14:solidFill>
          </w14:textFill>
        </w:rPr>
        <w:t>4.矿山露天采场后期终了高度较高，应建立边坡安全管理和检查制度，</w:t>
      </w:r>
      <w:r>
        <w:rPr>
          <w:color w:val="000000" w:themeColor="text1"/>
          <w:szCs w:val="28"/>
          <w14:textFill>
            <w14:solidFill>
              <w14:schemeClr w14:val="tx1"/>
            </w14:solidFill>
          </w14:textFill>
        </w:rPr>
        <w:t>对边坡进行稳定性观测及边坡稳定性分析辨识，建立边坡稳定性分析报告，日常加强管理</w:t>
      </w:r>
      <w:r>
        <w:rPr>
          <w:color w:val="000000" w:themeColor="text1"/>
          <w14:textFill>
            <w14:solidFill>
              <w14:schemeClr w14:val="tx1"/>
            </w14:solidFill>
          </w14:textFill>
        </w:rPr>
        <w:t>定期进行边坡检查；特别是暴雨后应加强巡视检查，发现隐患立即处理；发现边坡不稳定征兆，应及时停工，撤出设备，采取护坡、削坡等处理措施。</w:t>
      </w:r>
    </w:p>
    <w:p w14:paraId="615AEC09">
      <w:pPr>
        <w:ind w:firstLine="560"/>
        <w:rPr>
          <w:color w:val="000000" w:themeColor="text1"/>
          <w14:textFill>
            <w14:solidFill>
              <w14:schemeClr w14:val="tx1"/>
            </w14:solidFill>
          </w14:textFill>
        </w:rPr>
      </w:pPr>
      <w:r>
        <w:rPr>
          <w:color w:val="000000" w:themeColor="text1"/>
          <w14:textFill>
            <w14:solidFill>
              <w14:schemeClr w14:val="tx1"/>
            </w14:solidFill>
          </w14:textFill>
        </w:rPr>
        <w:t>5.</w:t>
      </w:r>
      <w:r>
        <w:rPr>
          <w:color w:val="000000" w:themeColor="text1"/>
          <w:szCs w:val="28"/>
          <w14:textFill>
            <w14:solidFill>
              <w14:schemeClr w14:val="tx1"/>
            </w14:solidFill>
          </w14:textFill>
        </w:rPr>
        <w:t>矿山应建立健全边坡安全管理和检查制度。</w:t>
      </w:r>
      <w:r>
        <w:rPr>
          <w:rFonts w:hint="eastAsia"/>
          <w:color w:val="000000" w:themeColor="text1"/>
          <w:szCs w:val="28"/>
          <w14:textFill>
            <w14:solidFill>
              <w14:schemeClr w14:val="tx1"/>
            </w14:solidFill>
          </w14:textFill>
        </w:rPr>
        <w:t>严格</w:t>
      </w:r>
      <w:r>
        <w:rPr>
          <w:rFonts w:hint="eastAsia"/>
          <w:color w:val="000000" w:themeColor="text1"/>
          <w14:textFill>
            <w14:solidFill>
              <w14:schemeClr w14:val="tx1"/>
            </w14:solidFill>
          </w14:textFill>
        </w:rPr>
        <w:t>按照设计建设边坡监测设施。</w:t>
      </w:r>
      <w:r>
        <w:rPr>
          <w:color w:val="000000" w:themeColor="text1"/>
          <w14:textFill>
            <w14:solidFill>
              <w14:schemeClr w14:val="tx1"/>
            </w14:solidFill>
          </w14:textFill>
        </w:rPr>
        <w:t>现状边坡超100m后应当逐年做边坡稳定性分析</w:t>
      </w:r>
      <w:r>
        <w:rPr>
          <w:rFonts w:hint="eastAsia"/>
          <w:color w:val="000000" w:themeColor="text1"/>
          <w14:textFill>
            <w14:solidFill>
              <w14:schemeClr w14:val="tx1"/>
            </w14:solidFill>
          </w14:textFill>
        </w:rPr>
        <w:t>，边坡高度未超100m的情况下应当每五年进行一次</w:t>
      </w:r>
      <w:r>
        <w:rPr>
          <w:color w:val="000000" w:themeColor="text1"/>
          <w14:textFill>
            <w14:solidFill>
              <w14:schemeClr w14:val="tx1"/>
            </w14:solidFill>
          </w14:textFill>
        </w:rPr>
        <w:t>边坡稳定性分析。</w:t>
      </w:r>
    </w:p>
    <w:p w14:paraId="781E092E">
      <w:pPr>
        <w:ind w:firstLine="560"/>
      </w:pPr>
      <w:r>
        <w:rPr>
          <w:color w:val="000000" w:themeColor="text1"/>
          <w14:textFill>
            <w14:solidFill>
              <w14:schemeClr w14:val="tx1"/>
            </w14:solidFill>
          </w14:textFill>
        </w:rPr>
        <w:t>6.矿山在采剥作业过程中，对采剥下来的废石、废土的临时堆放，应进行有序管理，设置相应防排水设施，防止发生滑坡、坍塌、泥</w:t>
      </w:r>
      <w:r>
        <w:t>石流，造成生产安全事故。</w:t>
      </w:r>
    </w:p>
    <w:p w14:paraId="335329D7">
      <w:pPr>
        <w:ind w:firstLine="560"/>
      </w:pPr>
      <w:r>
        <w:t>7.</w:t>
      </w:r>
      <w:r>
        <w:rPr>
          <w:szCs w:val="28"/>
        </w:rPr>
        <w:t>矿山在爆破过程中应严格按照设计要求圈定300m爆破警戒范围，所有无关人员撤出300m外安全地点，并在路口设置岗警戒。</w:t>
      </w:r>
    </w:p>
    <w:p w14:paraId="1878E7F6">
      <w:pPr>
        <w:ind w:firstLine="560"/>
      </w:pPr>
      <w:r>
        <w:t>8.爆破采用定时爆破，让职工有规律地避炮。加强职工和附近村民的安全教育，让职工和村民事先知道警戒范围、警戒标志、声响信号的意义。爆破前同时发出音响和视觉信号，使危险区内的人员能清楚地听到和看到。爆破时派专人负责警戒，严禁任何人员进入爆破警戒线范围以内。</w:t>
      </w:r>
    </w:p>
    <w:p w14:paraId="71678D73">
      <w:pPr>
        <w:ind w:firstLine="560"/>
      </w:pPr>
      <w:r>
        <w:t>9.在露天境界边界设可靠围栏和醒目的警示标志，防止无关人员及牲畜误入采区。</w:t>
      </w:r>
    </w:p>
    <w:p w14:paraId="2CAA60C0">
      <w:pPr>
        <w:autoSpaceDE w:val="0"/>
        <w:autoSpaceDN w:val="0"/>
        <w:ind w:firstLine="560"/>
        <w:rPr>
          <w:szCs w:val="28"/>
        </w:rPr>
      </w:pPr>
      <w:bookmarkStart w:id="530" w:name="_Toc6221"/>
      <w:bookmarkStart w:id="531" w:name="_Toc454614348"/>
      <w:bookmarkStart w:id="532" w:name="_Toc59420565"/>
      <w:bookmarkStart w:id="533" w:name="_Toc1961"/>
      <w:bookmarkStart w:id="534" w:name="_Toc2768"/>
      <w:bookmarkStart w:id="535" w:name="_Toc15286"/>
      <w:bookmarkStart w:id="536" w:name="_Toc3998"/>
      <w:bookmarkStart w:id="537" w:name="_Toc29902"/>
      <w:r>
        <w:rPr>
          <w:szCs w:val="28"/>
        </w:rPr>
        <w:t>10.矿山须在露天境界边坡外围及高处边缘设置安全护栏，防止人员误入及发生高处坠落。</w:t>
      </w:r>
    </w:p>
    <w:p w14:paraId="1F4E75DA">
      <w:pPr>
        <w:autoSpaceDE w:val="0"/>
        <w:autoSpaceDN w:val="0"/>
        <w:ind w:firstLine="560"/>
      </w:pPr>
      <w:r>
        <w:rPr>
          <w:szCs w:val="28"/>
        </w:rPr>
        <w:t>11.加强边坡的监测和分析，在出现滑坡征兆时，根据具体条件，选择合理的治理措施，例如挡土墙。</w:t>
      </w:r>
    </w:p>
    <w:p w14:paraId="200BE658">
      <w:pPr>
        <w:pStyle w:val="6"/>
        <w:ind w:firstLine="562"/>
        <w:rPr>
          <w:rFonts w:eastAsia="宋体"/>
          <w:b/>
          <w:bCs w:val="0"/>
        </w:rPr>
      </w:pPr>
      <w:r>
        <w:rPr>
          <w:rFonts w:eastAsia="宋体"/>
          <w:b/>
          <w:bCs w:val="0"/>
        </w:rPr>
        <w:t>4.2.2采场防排水系统</w:t>
      </w:r>
      <w:bookmarkEnd w:id="530"/>
      <w:bookmarkEnd w:id="531"/>
      <w:bookmarkEnd w:id="532"/>
      <w:bookmarkEnd w:id="533"/>
      <w:bookmarkEnd w:id="534"/>
      <w:bookmarkEnd w:id="535"/>
      <w:bookmarkEnd w:id="536"/>
      <w:bookmarkEnd w:id="537"/>
    </w:p>
    <w:p w14:paraId="03906FA6">
      <w:pPr>
        <w:ind w:firstLine="560"/>
      </w:pPr>
      <w:bookmarkStart w:id="538" w:name="_Toc25038"/>
      <w:bookmarkStart w:id="539" w:name="_Toc13098"/>
      <w:bookmarkStart w:id="540" w:name="_Toc10554"/>
      <w:bookmarkStart w:id="541" w:name="_Toc454614349"/>
      <w:bookmarkStart w:id="542" w:name="_Toc59420566"/>
      <w:bookmarkStart w:id="543" w:name="_Toc26089"/>
      <w:bookmarkStart w:id="544" w:name="_Toc352"/>
      <w:bookmarkStart w:id="545" w:name="_Toc28302"/>
      <w:r>
        <w:t>1.矿山今后形成新的运输道路和台阶过程中，应逐步按照设计要求修建公路内侧排水沟和台阶排水沟，定期对台阶排水沟和排水沟进行检查，并加强日常清理维护工作。</w:t>
      </w:r>
    </w:p>
    <w:p w14:paraId="5717F730">
      <w:pPr>
        <w:ind w:firstLine="560"/>
      </w:pPr>
      <w:r>
        <w:t>2.雨季来临前，应对所有防排水系统进行安全大检查，并将影响生产、生活的隐患及时排除，同时加大对汛期的安全检查力度，及时处理汛期中发生的问题，确保排水系统的有效性。</w:t>
      </w:r>
    </w:p>
    <w:p w14:paraId="4D72DC01">
      <w:pPr>
        <w:ind w:firstLine="560"/>
      </w:pPr>
      <w:r>
        <w:t>3.每年应制定防排水措施，并定期检查措施执行情况。</w:t>
      </w:r>
    </w:p>
    <w:p w14:paraId="4A6EFDF6">
      <w:pPr>
        <w:ind w:firstLine="560"/>
      </w:pPr>
      <w:r>
        <w:t>4.</w:t>
      </w:r>
      <w:r>
        <w:rPr>
          <w:rFonts w:hint="eastAsia"/>
        </w:rPr>
        <w:t>形成封闭圈后应严格按照设计设置相应的机械排水系统</w:t>
      </w:r>
      <w:r>
        <w:t>。</w:t>
      </w:r>
    </w:p>
    <w:p w14:paraId="1F1199EA">
      <w:pPr>
        <w:ind w:firstLine="560"/>
      </w:pPr>
      <w:r>
        <w:t>5.汛期时应做好矿区的防汛工作，包括明确防汛安全生产责任制，建立紧急预案，疏通矿区内外的截水沟，详细检查排洪系统的安全状况，配备足够物资，确保通讯、照明、道路、供电可靠和畅通等。</w:t>
      </w:r>
    </w:p>
    <w:p w14:paraId="014A6DCB">
      <w:pPr>
        <w:pStyle w:val="6"/>
        <w:ind w:firstLine="562"/>
        <w:rPr>
          <w:rFonts w:eastAsia="宋体"/>
          <w:b/>
          <w:bCs w:val="0"/>
        </w:rPr>
      </w:pPr>
      <w:r>
        <w:rPr>
          <w:rFonts w:eastAsia="宋体"/>
          <w:b/>
          <w:bCs w:val="0"/>
        </w:rPr>
        <w:t>4.2.3矿岩运输系统</w:t>
      </w:r>
      <w:bookmarkEnd w:id="538"/>
      <w:bookmarkEnd w:id="539"/>
      <w:bookmarkEnd w:id="540"/>
      <w:bookmarkEnd w:id="541"/>
      <w:bookmarkEnd w:id="542"/>
      <w:bookmarkEnd w:id="543"/>
      <w:bookmarkEnd w:id="544"/>
      <w:bookmarkEnd w:id="545"/>
    </w:p>
    <w:p w14:paraId="1F62B8AC">
      <w:pPr>
        <w:ind w:firstLine="560"/>
      </w:pPr>
      <w:bookmarkStart w:id="546" w:name="_Toc10045"/>
      <w:bookmarkStart w:id="547" w:name="_Toc454614350"/>
      <w:bookmarkStart w:id="548" w:name="_Toc2611"/>
      <w:bookmarkStart w:id="549" w:name="_Toc14649"/>
      <w:r>
        <w:t>1.矿用自卸汽车的常规定期检验周期为每年一次，矿用自卸汽车初次投入使用前或大修后交付使用前须进行检验。</w:t>
      </w:r>
    </w:p>
    <w:p w14:paraId="2953739B">
      <w:pPr>
        <w:ind w:firstLine="560"/>
      </w:pPr>
      <w:r>
        <w:t>2.每次作业前对路面、台阶边缘、上下边坡、运行范围进行检查，清理边坡浮石，防止车辆压塌路面或边坡而发生翻车事故，防止滑坡、滚石砸坏车辆。</w:t>
      </w:r>
    </w:p>
    <w:p w14:paraId="0186CD7A">
      <w:pPr>
        <w:ind w:firstLine="560"/>
      </w:pPr>
      <w:r>
        <w:t>3.禁止人员、设备上下同时作业。设置相应的警示标志，加强人员安全教育培训保证矿山安全生产。</w:t>
      </w:r>
    </w:p>
    <w:p w14:paraId="2B857A14">
      <w:pPr>
        <w:ind w:firstLine="560"/>
        <w:rPr>
          <w:color w:val="000000" w:themeColor="text1"/>
          <w14:textFill>
            <w14:solidFill>
              <w14:schemeClr w14:val="tx1"/>
            </w14:solidFill>
          </w14:textFill>
        </w:rPr>
      </w:pPr>
      <w:r>
        <w:t>4.雾天或烟尘弥漫影响能见度时，应开亮车前黄灯与标志灯，并靠右侧减速行驶</w:t>
      </w:r>
      <w:r>
        <w:rPr>
          <w:color w:val="000000" w:themeColor="text1"/>
          <w14:textFill>
            <w14:solidFill>
              <w14:schemeClr w14:val="tx1"/>
            </w14:solidFill>
          </w14:textFill>
        </w:rPr>
        <w:t>，前后车间距应不小于30m。视距不足30m时，应靠右暂停行驶，并不应熄灭车前、车后的警示灯。</w:t>
      </w:r>
    </w:p>
    <w:p w14:paraId="3AA92EAA">
      <w:pPr>
        <w:ind w:firstLine="560"/>
        <w:rPr>
          <w:color w:val="000000" w:themeColor="text1"/>
          <w14:textFill>
            <w14:solidFill>
              <w14:schemeClr w14:val="tx1"/>
            </w14:solidFill>
          </w14:textFill>
        </w:rPr>
      </w:pPr>
      <w:r>
        <w:rPr>
          <w:color w:val="000000" w:themeColor="text1"/>
          <w14:textFill>
            <w14:solidFill>
              <w14:schemeClr w14:val="tx1"/>
            </w14:solidFill>
          </w14:textFill>
        </w:rPr>
        <w:t>5.运输过程中应加强对道路的维护、监测以及汽车的检修</w:t>
      </w:r>
      <w:r>
        <w:rPr>
          <w:rFonts w:hint="eastAsia"/>
          <w:color w:val="000000" w:themeColor="text1"/>
          <w14:textFill>
            <w14:solidFill>
              <w14:schemeClr w14:val="tx1"/>
            </w14:solidFill>
          </w14:textFill>
        </w:rPr>
        <w:t>，定期对车辆刹车、轮胎、声光报警装置等安全设施进行检查，确保车辆处于安全状态。车辆驾驶人员应当持证上岗，上岗前应当驾驶人员进行身心健康进行检查</w:t>
      </w:r>
      <w:r>
        <w:rPr>
          <w:color w:val="000000" w:themeColor="text1"/>
          <w14:textFill>
            <w14:solidFill>
              <w14:schemeClr w14:val="tx1"/>
            </w14:solidFill>
          </w14:textFill>
        </w:rPr>
        <w:t>。</w:t>
      </w:r>
    </w:p>
    <w:p w14:paraId="077011D8">
      <w:pPr>
        <w:ind w:firstLine="560"/>
        <w:rPr>
          <w:color w:val="000000" w:themeColor="text1"/>
          <w14:textFill>
            <w14:solidFill>
              <w14:schemeClr w14:val="tx1"/>
            </w14:solidFill>
          </w14:textFill>
        </w:rPr>
      </w:pPr>
      <w:r>
        <w:rPr>
          <w:color w:val="000000" w:themeColor="text1"/>
          <w14:textFill>
            <w14:solidFill>
              <w14:schemeClr w14:val="tx1"/>
            </w14:solidFill>
          </w14:textFill>
        </w:rPr>
        <w:t>6.待进入装车位置的汽车必须停在挖掘机最大回转半径范围之外，正在装车的汽车必须停在挖掘机尾部回转半径之外。</w:t>
      </w:r>
    </w:p>
    <w:p w14:paraId="71693606">
      <w:pPr>
        <w:ind w:firstLine="560"/>
        <w:rPr>
          <w:color w:val="000000" w:themeColor="text1"/>
          <w14:textFill>
            <w14:solidFill>
              <w14:schemeClr w14:val="tx1"/>
            </w14:solidFill>
          </w14:textFill>
        </w:rPr>
      </w:pPr>
      <w:r>
        <w:rPr>
          <w:color w:val="000000" w:themeColor="text1"/>
          <w14:textFill>
            <w14:solidFill>
              <w14:schemeClr w14:val="tx1"/>
            </w14:solidFill>
          </w14:textFill>
        </w:rPr>
        <w:t>7.矿山应加强运输道路及边缘的日常检查，及时清理道路边缘的浮石，补充完善急弯等危险路段的反光镜、安全标志、限速标志等。</w:t>
      </w:r>
    </w:p>
    <w:p w14:paraId="6C4A8AF9">
      <w:pPr>
        <w:ind w:firstLine="560"/>
      </w:pPr>
      <w:r>
        <w:rPr>
          <w:color w:val="000000" w:themeColor="text1"/>
          <w14:textFill>
            <w14:solidFill>
              <w14:schemeClr w14:val="tx1"/>
            </w14:solidFill>
          </w14:textFill>
        </w:rPr>
        <w:t>8.后期应严格按照相关规范要求逐步对非矿用运输车辆进行</w:t>
      </w:r>
      <w:r>
        <w:t>淘汰更换。</w:t>
      </w:r>
    </w:p>
    <w:p w14:paraId="02C269F9">
      <w:pPr>
        <w:ind w:firstLine="560"/>
      </w:pPr>
      <w:r>
        <w:t>9.按照设计对错车道进行布置，满足错车要求。</w:t>
      </w:r>
    </w:p>
    <w:p w14:paraId="77681E24">
      <w:pPr>
        <w:ind w:firstLine="560"/>
      </w:pPr>
      <w:r>
        <w:t>10.矿山运输道路已修至2745m基建平台，企业应按照设计要求对运输道路进行修建并完善，同时在道路外侧边坡一侧设置安全车挡，确保设备运输的安全。</w:t>
      </w:r>
    </w:p>
    <w:p w14:paraId="70593D1E">
      <w:pPr>
        <w:ind w:firstLine="560"/>
      </w:pPr>
      <w:r>
        <w:t>11.定期进行道路维护，及时清除运输道路上</w:t>
      </w:r>
      <w:r>
        <w:rPr>
          <w:rFonts w:hint="eastAsia"/>
        </w:rPr>
        <w:t>杂物</w:t>
      </w:r>
      <w:r>
        <w:t>，保持运输道路平整。</w:t>
      </w:r>
    </w:p>
    <w:p w14:paraId="2A8AAA5A">
      <w:pPr>
        <w:pStyle w:val="6"/>
        <w:ind w:firstLine="562"/>
        <w:rPr>
          <w:rFonts w:eastAsia="宋体"/>
          <w:b/>
          <w:bCs w:val="0"/>
        </w:rPr>
      </w:pPr>
      <w:bookmarkStart w:id="550" w:name="_Toc32604"/>
      <w:bookmarkStart w:id="551" w:name="_Toc2957"/>
      <w:bookmarkStart w:id="552" w:name="_Toc17299"/>
      <w:bookmarkStart w:id="553" w:name="_Toc22782"/>
      <w:bookmarkStart w:id="554" w:name="_Toc59420567"/>
      <w:r>
        <w:rPr>
          <w:rFonts w:eastAsia="宋体"/>
          <w:b/>
          <w:bCs w:val="0"/>
        </w:rPr>
        <w:t>4.2.4供配电</w:t>
      </w:r>
      <w:bookmarkEnd w:id="550"/>
      <w:bookmarkEnd w:id="551"/>
      <w:bookmarkEnd w:id="552"/>
      <w:bookmarkEnd w:id="553"/>
      <w:bookmarkEnd w:id="554"/>
    </w:p>
    <w:p w14:paraId="24B5FB50">
      <w:pPr>
        <w:pStyle w:val="161"/>
        <w:numPr>
          <w:ilvl w:val="0"/>
          <w:numId w:val="0"/>
        </w:numPr>
        <w:adjustRightInd w:val="0"/>
        <w:snapToGrid w:val="0"/>
        <w:ind w:firstLine="560" w:firstLineChars="200"/>
      </w:pPr>
      <w:r>
        <w:t>1.矿山电气设备可能被人触及的裸露带电部分，应设置安全防护罩或防护栏及安全警示标志。</w:t>
      </w:r>
    </w:p>
    <w:p w14:paraId="747703E0">
      <w:pPr>
        <w:pStyle w:val="161"/>
        <w:numPr>
          <w:ilvl w:val="0"/>
          <w:numId w:val="0"/>
        </w:numPr>
        <w:adjustRightInd w:val="0"/>
        <w:snapToGrid w:val="0"/>
        <w:ind w:firstLine="560" w:firstLineChars="200"/>
      </w:pPr>
      <w:r>
        <w:t>2.建议按要求配备绝缘工器具，并定期对绝缘工器具进行检测检验。</w:t>
      </w:r>
    </w:p>
    <w:p w14:paraId="14DCA416">
      <w:pPr>
        <w:pStyle w:val="161"/>
        <w:numPr>
          <w:ilvl w:val="0"/>
          <w:numId w:val="0"/>
        </w:numPr>
        <w:adjustRightInd w:val="0"/>
        <w:snapToGrid w:val="0"/>
        <w:ind w:firstLine="560" w:firstLineChars="200"/>
      </w:pPr>
      <w:r>
        <w:t>3.建议规范敷设矿山电线、电缆，禁止沿地敷设。</w:t>
      </w:r>
    </w:p>
    <w:p w14:paraId="6F8F8F45">
      <w:pPr>
        <w:pStyle w:val="161"/>
        <w:numPr>
          <w:ilvl w:val="0"/>
          <w:numId w:val="0"/>
        </w:numPr>
        <w:adjustRightInd w:val="0"/>
        <w:snapToGrid w:val="0"/>
        <w:ind w:firstLine="560" w:firstLineChars="200"/>
      </w:pPr>
      <w:r>
        <w:t>4.在进行电气检修作业应有人员监督、并设置“有人作业，禁止合闸”等标志。</w:t>
      </w:r>
    </w:p>
    <w:p w14:paraId="71783B81">
      <w:pPr>
        <w:pStyle w:val="161"/>
        <w:numPr>
          <w:ilvl w:val="0"/>
          <w:numId w:val="0"/>
        </w:numPr>
        <w:adjustRightInd w:val="0"/>
        <w:snapToGrid w:val="0"/>
        <w:ind w:firstLine="560" w:firstLineChars="200"/>
      </w:pPr>
      <w:r>
        <w:t>5.电气设备的接地、过流、漏电保护装置应保持完好、有效。</w:t>
      </w:r>
    </w:p>
    <w:bookmarkEnd w:id="546"/>
    <w:bookmarkEnd w:id="547"/>
    <w:bookmarkEnd w:id="548"/>
    <w:bookmarkEnd w:id="549"/>
    <w:p w14:paraId="2C8FC45E">
      <w:pPr>
        <w:pStyle w:val="6"/>
        <w:ind w:firstLine="562"/>
        <w:rPr>
          <w:rFonts w:eastAsia="宋体"/>
          <w:b/>
          <w:bCs w:val="0"/>
        </w:rPr>
      </w:pPr>
      <w:bookmarkStart w:id="555" w:name="_Toc22838"/>
      <w:bookmarkStart w:id="556" w:name="_Toc59420568"/>
      <w:bookmarkStart w:id="557" w:name="_Toc15908"/>
      <w:bookmarkStart w:id="558" w:name="_Toc25995"/>
      <w:bookmarkStart w:id="559" w:name="_Toc18224"/>
      <w:bookmarkStart w:id="560" w:name="_Toc454614351"/>
      <w:bookmarkStart w:id="561" w:name="_Toc18518"/>
      <w:bookmarkStart w:id="562" w:name="_Toc13042"/>
      <w:r>
        <w:rPr>
          <w:rFonts w:eastAsia="宋体"/>
          <w:b/>
          <w:bCs w:val="0"/>
        </w:rPr>
        <w:t>4.2.5总平面布置</w:t>
      </w:r>
      <w:bookmarkEnd w:id="555"/>
      <w:bookmarkEnd w:id="556"/>
      <w:bookmarkEnd w:id="557"/>
      <w:bookmarkEnd w:id="558"/>
      <w:bookmarkEnd w:id="559"/>
      <w:bookmarkEnd w:id="560"/>
      <w:bookmarkEnd w:id="561"/>
      <w:bookmarkEnd w:id="562"/>
    </w:p>
    <w:p w14:paraId="226D1168">
      <w:pPr>
        <w:pStyle w:val="17"/>
        <w:numPr>
          <w:ilvl w:val="0"/>
          <w:numId w:val="12"/>
        </w:numPr>
        <w:ind w:firstLine="560"/>
      </w:pPr>
      <w:r>
        <w:t>建议矿山在值班室等场所补充相应的消防器材，并建档登记，定期检查。</w:t>
      </w:r>
    </w:p>
    <w:p w14:paraId="4D4192A8">
      <w:pPr>
        <w:pStyle w:val="17"/>
        <w:numPr>
          <w:ilvl w:val="0"/>
          <w:numId w:val="12"/>
        </w:numPr>
        <w:ind w:firstLine="560"/>
      </w:pPr>
      <w:r>
        <w:t>各类场地、道路边坡采取加固措施，确保边坡稳固。</w:t>
      </w:r>
    </w:p>
    <w:p w14:paraId="67A402A2">
      <w:pPr>
        <w:pStyle w:val="17"/>
        <w:numPr>
          <w:ilvl w:val="0"/>
          <w:numId w:val="12"/>
        </w:numPr>
        <w:ind w:firstLine="560"/>
      </w:pPr>
      <w:r>
        <w:t>加强破碎站的安全管理及设施设备的安全检查，发现问题时及时处理。</w:t>
      </w:r>
    </w:p>
    <w:p w14:paraId="1A05E542">
      <w:pPr>
        <w:pStyle w:val="17"/>
        <w:numPr>
          <w:ilvl w:val="0"/>
          <w:numId w:val="12"/>
        </w:numPr>
        <w:ind w:firstLine="560"/>
      </w:pPr>
      <w:r>
        <w:t>开采过程中应防止越界开采，严格遵守设计要求进行开采，在矿界设置围栏。</w:t>
      </w:r>
    </w:p>
    <w:p w14:paraId="6F38D7BC">
      <w:pPr>
        <w:pStyle w:val="17"/>
        <w:numPr>
          <w:ilvl w:val="0"/>
          <w:numId w:val="12"/>
        </w:numPr>
        <w:ind w:firstLine="560"/>
      </w:pPr>
      <w:r>
        <w:t>电气设备的接地、过流、漏电保护装置应保持完好、有效。</w:t>
      </w:r>
    </w:p>
    <w:p w14:paraId="72B9416D">
      <w:pPr>
        <w:pStyle w:val="6"/>
        <w:ind w:firstLine="562"/>
        <w:rPr>
          <w:rFonts w:eastAsia="宋体"/>
          <w:b/>
          <w:bCs w:val="0"/>
        </w:rPr>
      </w:pPr>
      <w:bookmarkStart w:id="563" w:name="_Toc59420569"/>
      <w:bookmarkStart w:id="564" w:name="_Toc24405"/>
      <w:bookmarkStart w:id="565" w:name="_Toc2127"/>
      <w:bookmarkStart w:id="566" w:name="_Toc17444"/>
      <w:bookmarkStart w:id="567" w:name="_Toc8258"/>
      <w:bookmarkStart w:id="568" w:name="_Toc454614352"/>
      <w:bookmarkStart w:id="569" w:name="_Toc2789"/>
      <w:bookmarkStart w:id="570" w:name="_Toc28287"/>
      <w:r>
        <w:rPr>
          <w:rFonts w:eastAsia="宋体"/>
          <w:b/>
          <w:bCs w:val="0"/>
        </w:rPr>
        <w:t>4.2.6安全标志</w:t>
      </w:r>
      <w:bookmarkEnd w:id="563"/>
      <w:bookmarkEnd w:id="564"/>
      <w:bookmarkEnd w:id="565"/>
      <w:bookmarkEnd w:id="566"/>
    </w:p>
    <w:p w14:paraId="480FF5CC">
      <w:pPr>
        <w:ind w:firstLine="560"/>
      </w:pPr>
      <w:r>
        <w:t>1.矿山应使用经具有专业资质的检测、检验机构检测、检验合格，取得安全使用证或者安全标志的设备设施。</w:t>
      </w:r>
    </w:p>
    <w:p w14:paraId="27556F0C">
      <w:pPr>
        <w:ind w:firstLine="560"/>
      </w:pPr>
      <w:r>
        <w:t>2.建议矿山结合开采进度情况，完善露天采场界境安全护栏和安全警示标志，完善运输道路、边坡等危险区域安全警示标志，并定期维护更新矿山安全警示标志。</w:t>
      </w:r>
    </w:p>
    <w:p w14:paraId="1391F455">
      <w:pPr>
        <w:ind w:firstLine="560"/>
      </w:pPr>
      <w:r>
        <w:t>3.作业前应认真检查作业地点的安全情况，发现严重危及人身安全的征兆时，应迅速撤出危险区，同时设置警戒和警示标志，禁止人员和车辆通行，并报告矿山有关部门及时处理，处理结果应记录存档。</w:t>
      </w:r>
    </w:p>
    <w:p w14:paraId="6157139B">
      <w:pPr>
        <w:pStyle w:val="27"/>
        <w:spacing w:after="0" w:line="360" w:lineRule="auto"/>
        <w:ind w:leftChars="0" w:firstLine="560"/>
      </w:pPr>
      <w:r>
        <w:t>4.定期对矿山内安全警示标志进行检查和维护，保证安全警示标志标牌的完好和有效。</w:t>
      </w:r>
    </w:p>
    <w:p w14:paraId="6497FA06">
      <w:pPr>
        <w:pStyle w:val="6"/>
        <w:ind w:firstLine="562"/>
        <w:rPr>
          <w:rFonts w:eastAsia="宋体"/>
          <w:b/>
          <w:bCs w:val="0"/>
        </w:rPr>
      </w:pPr>
      <w:bookmarkStart w:id="571" w:name="_Toc2167"/>
      <w:bookmarkStart w:id="572" w:name="_Toc5618"/>
      <w:bookmarkStart w:id="573" w:name="_Toc13026"/>
      <w:bookmarkStart w:id="574" w:name="_Toc16478"/>
      <w:bookmarkStart w:id="575" w:name="_Toc24975"/>
      <w:r>
        <w:rPr>
          <w:rFonts w:eastAsia="宋体"/>
          <w:b/>
          <w:bCs w:val="0"/>
        </w:rPr>
        <w:t>4.2.7个人安全防护单元</w:t>
      </w:r>
      <w:bookmarkEnd w:id="571"/>
      <w:bookmarkEnd w:id="572"/>
      <w:bookmarkEnd w:id="573"/>
      <w:bookmarkEnd w:id="574"/>
      <w:bookmarkEnd w:id="575"/>
    </w:p>
    <w:p w14:paraId="355F946B">
      <w:pPr>
        <w:ind w:firstLine="560"/>
      </w:pPr>
      <w:r>
        <w:t>1.企业应按要求为从业人员提供合格的个人安全防护用品，如防护耳塞、防尘口罩、安全帽等，并监督其正确使用。</w:t>
      </w:r>
    </w:p>
    <w:p w14:paraId="2ECD975A">
      <w:pPr>
        <w:ind w:firstLine="560"/>
      </w:pPr>
      <w:r>
        <w:t>2.完善个人安全防护用品发放和领用记录。</w:t>
      </w:r>
    </w:p>
    <w:p w14:paraId="2034204E">
      <w:pPr>
        <w:ind w:firstLine="560"/>
      </w:pPr>
      <w:r>
        <w:t>3.企业应当安排专项经费用于矿山配备劳动防护用品，不得以货币或者其他物品替代，该项经费计入生产成本，据实列支。</w:t>
      </w:r>
    </w:p>
    <w:p w14:paraId="0AC80431">
      <w:pPr>
        <w:ind w:firstLine="560"/>
      </w:pPr>
      <w:r>
        <w:t>4.企业从业人员在作业过程中，应当严格遵守本单位的安全生产规章制度和操作规程，服从管理，正确佩戴和使用劳动防护用品。</w:t>
      </w:r>
    </w:p>
    <w:p w14:paraId="36557397">
      <w:pPr>
        <w:ind w:firstLine="560"/>
      </w:pPr>
      <w:r>
        <w:t>5.企业应加强对外来人员的个体防护安全管理，要求与进行作业的劳动者相同的标准，正确佩戴和使用劳动防护用品。</w:t>
      </w:r>
    </w:p>
    <w:p w14:paraId="07402CA5">
      <w:pPr>
        <w:pStyle w:val="6"/>
        <w:ind w:firstLine="562"/>
        <w:rPr>
          <w:rFonts w:eastAsia="宋体"/>
          <w:b/>
          <w:bCs w:val="0"/>
        </w:rPr>
      </w:pPr>
      <w:bookmarkStart w:id="576" w:name="_Toc21991"/>
      <w:bookmarkStart w:id="577" w:name="_Toc19736"/>
      <w:bookmarkStart w:id="578" w:name="_Toc59420570"/>
      <w:bookmarkStart w:id="579" w:name="_Toc11041"/>
      <w:r>
        <w:rPr>
          <w:rFonts w:eastAsia="宋体"/>
          <w:b/>
          <w:bCs w:val="0"/>
        </w:rPr>
        <w:t>4.2.8安全管理</w:t>
      </w:r>
      <w:bookmarkEnd w:id="567"/>
      <w:bookmarkEnd w:id="568"/>
      <w:bookmarkEnd w:id="569"/>
      <w:bookmarkEnd w:id="570"/>
      <w:bookmarkEnd w:id="576"/>
      <w:bookmarkEnd w:id="577"/>
      <w:bookmarkEnd w:id="578"/>
      <w:bookmarkEnd w:id="579"/>
    </w:p>
    <w:p w14:paraId="43FD5FAD">
      <w:pPr>
        <w:ind w:firstLine="560"/>
      </w:pPr>
      <w:r>
        <w:t>1.矿山应定期组织全体从业人员学习培训安全知识和技能，熟悉有关安全生产规章制度和安全操作规程，掌握本岗位的安全操作技能，提高职工安全生产与危险防范的能力。</w:t>
      </w:r>
    </w:p>
    <w:p w14:paraId="6A4C505A">
      <w:pPr>
        <w:ind w:firstLine="560"/>
      </w:pPr>
      <w:r>
        <w:t>2.企业应及时取得主要负责人、安全管理人员合格证并持证上岗。</w:t>
      </w:r>
    </w:p>
    <w:p w14:paraId="0CB38B1A">
      <w:pPr>
        <w:ind w:firstLine="560"/>
      </w:pPr>
      <w:r>
        <w:t>3.加强监督检查作业人员佩戴劳保用品用具，认真做好劳动防护用品的发放、检查、使用、报废记录，未佩戴安全保护用品用具的人员不得上岗作业。</w:t>
      </w:r>
    </w:p>
    <w:p w14:paraId="5EEC2854">
      <w:pPr>
        <w:ind w:firstLine="560"/>
      </w:pPr>
      <w:r>
        <w:t>4.建立完善各级安全生产会议记录档案、各类从业人员安全教育培训、考核、持证情况档案、现场安全检查、事故隐患及其整改情况档案、职工违章处罚情况档案、职工劳动防护用品发放管理档案、伤亡事故统计档案、安全生产责任制签订、考核情况档案。</w:t>
      </w:r>
    </w:p>
    <w:p w14:paraId="24D40E16">
      <w:pPr>
        <w:ind w:firstLine="560"/>
      </w:pPr>
      <w:r>
        <w:t>5.企业应建立健全安全生产责任制、安全管理制度、安全操作规程，并认真落实，加强安全生产管理，不断</w:t>
      </w:r>
      <w:r>
        <w:rPr>
          <w:kern w:val="0"/>
        </w:rPr>
        <w:t>改善安全生产条件，确保安全生产</w:t>
      </w:r>
      <w:r>
        <w:t>。</w:t>
      </w:r>
    </w:p>
    <w:p w14:paraId="762D2739">
      <w:pPr>
        <w:ind w:firstLine="560"/>
      </w:pPr>
      <w:r>
        <w:t>6.建议企业定期组织矿山</w:t>
      </w:r>
      <w:r>
        <w:rPr>
          <w:bCs/>
        </w:rPr>
        <w:t>生产安全事故</w:t>
      </w:r>
      <w:r>
        <w:t>应急演练，</w:t>
      </w:r>
      <w:r>
        <w:rPr>
          <w:bCs/>
        </w:rPr>
        <w:t>保存演练记录，对应急预案演练效果进行评估，对预案内容的针对性和实用性进行分析，并对应急预案是否需要修订作出结论</w:t>
      </w:r>
      <w:r>
        <w:t>。</w:t>
      </w:r>
    </w:p>
    <w:p w14:paraId="3D46AF9E">
      <w:pPr>
        <w:ind w:firstLine="560"/>
      </w:pPr>
      <w:r>
        <w:t>7.企业应定期对从业人员进行应急教育和培训，保证从业人员具备必要的应急知识。</w:t>
      </w:r>
    </w:p>
    <w:p w14:paraId="5BCC0841">
      <w:pPr>
        <w:ind w:firstLine="560"/>
      </w:pPr>
      <w:r>
        <w:rPr>
          <w:snapToGrid w:val="0"/>
          <w:kern w:val="0"/>
        </w:rPr>
        <w:t>8.</w:t>
      </w:r>
      <w:r>
        <w:t>企业应建立应急值班制度，配备应急值班人员，并根据本单位可能发生的生产安全事故的特点和危害，配备必要的应急救援器材、设备和物资，并进行经常性维护、保养，保证正常运转。</w:t>
      </w:r>
    </w:p>
    <w:p w14:paraId="3D6586DF">
      <w:pPr>
        <w:ind w:firstLine="560"/>
      </w:pPr>
      <w:r>
        <w:t>9.企业应当配备相应专业的注册安全工程师，应当有注册安全工程师从事安全生产管理工作，应当配备具有采矿、地质、机电等矿山相关专业中专及以上学历或者中级及以上技术职称的专职技术人员，每个专业至少配备1人。</w:t>
      </w:r>
    </w:p>
    <w:p w14:paraId="7AF3EA02">
      <w:pPr>
        <w:ind w:firstLine="560"/>
      </w:pPr>
      <w:r>
        <w:t>10.矿山主要负责人应当每月对照金属非金属矿山重大生产安全事故隐患判定标准，组织开展全面排查，形成重大事故隐患排查治理报告签字备查。</w:t>
      </w:r>
    </w:p>
    <w:p w14:paraId="7A653620">
      <w:pPr>
        <w:ind w:firstLine="560"/>
      </w:pPr>
      <w:r>
        <w:t>11.矿山应与附近企业签订安全应急救援互助协议，</w:t>
      </w:r>
      <w:r>
        <w:rPr>
          <w:color w:val="000000"/>
          <w:szCs w:val="28"/>
        </w:rPr>
        <w:t>减少生产安全事故所造成的人员伤亡和财产损失。</w:t>
      </w:r>
    </w:p>
    <w:p w14:paraId="17DA5CF1">
      <w:pPr>
        <w:ind w:firstLine="560"/>
      </w:pPr>
      <w:r>
        <w:t>12.矿山取得安全生产许可证后，应按相关要求开展安全生产标准化创建工作。</w:t>
      </w:r>
    </w:p>
    <w:p w14:paraId="2F2C5202">
      <w:pPr>
        <w:ind w:firstLine="560"/>
      </w:pPr>
      <w:r>
        <w:t>13.露天矿山应保存下列图纸，并根据实际情况的变化第3个月更新一次：</w:t>
      </w:r>
    </w:p>
    <w:p w14:paraId="5252E301">
      <w:pPr>
        <w:ind w:firstLine="560"/>
      </w:pPr>
      <w:r>
        <w:t>——地形地质图；</w:t>
      </w:r>
    </w:p>
    <w:p w14:paraId="50DB73C1">
      <w:pPr>
        <w:ind w:firstLine="560"/>
      </w:pPr>
      <w:r>
        <w:t>——采剥工程年末图；</w:t>
      </w:r>
    </w:p>
    <w:p w14:paraId="0DF49D84">
      <w:pPr>
        <w:ind w:firstLine="560"/>
      </w:pPr>
      <w:r>
        <w:t>——采场边坡工程平面及剖面图；</w:t>
      </w:r>
    </w:p>
    <w:p w14:paraId="7C4B81BA">
      <w:pPr>
        <w:ind w:firstLine="560"/>
      </w:pPr>
      <w:r>
        <w:t>——采场最终境界图；</w:t>
      </w:r>
    </w:p>
    <w:p w14:paraId="77BCC649">
      <w:pPr>
        <w:ind w:firstLine="560"/>
      </w:pPr>
      <w:r>
        <w:t>——排土场年末图；</w:t>
      </w:r>
    </w:p>
    <w:p w14:paraId="200FD954">
      <w:pPr>
        <w:ind w:firstLine="560"/>
      </w:pPr>
      <w:r>
        <w:t>——排土场工程平面及剖面图；</w:t>
      </w:r>
    </w:p>
    <w:p w14:paraId="1B113A45">
      <w:pPr>
        <w:ind w:firstLine="560"/>
      </w:pPr>
      <w:r>
        <w:t>——供配电系统图；</w:t>
      </w:r>
    </w:p>
    <w:p w14:paraId="7EF518DE">
      <w:pPr>
        <w:ind w:firstLine="560"/>
      </w:pPr>
      <w:r>
        <w:t>——防排水系统图。</w:t>
      </w:r>
    </w:p>
    <w:p w14:paraId="1BC7F882">
      <w:pPr>
        <w:numPr>
          <w:ilvl w:val="0"/>
          <w:numId w:val="13"/>
        </w:numPr>
        <w:ind w:firstLine="560"/>
      </w:pPr>
      <w:r>
        <w:t>建立健全安全风险分级管控和事故隐患排查治理双重预防机制，强化安全风险辨识管控，确定管控重点，落实管控责任，加强隐患排查治理，分析隐患成因，制定落实消除措施。</w:t>
      </w:r>
    </w:p>
    <w:p w14:paraId="61955071">
      <w:pPr>
        <w:numPr>
          <w:ilvl w:val="0"/>
          <w:numId w:val="13"/>
        </w:numPr>
        <w:ind w:firstLine="560"/>
      </w:pPr>
      <w:r>
        <w:t>矿山正常生产后会形成采场边坡，矿山应当健全边坡日常管理制度，对露天矿边坡进行实时动态监测，同时配置专职安全员对边坡安全进行巡视检查。</w:t>
      </w:r>
    </w:p>
    <w:p w14:paraId="383BE840">
      <w:pPr>
        <w:pStyle w:val="4"/>
        <w:rPr>
          <w:b/>
          <w:bCs w:val="0"/>
          <w:szCs w:val="36"/>
        </w:rPr>
      </w:pPr>
      <w:bookmarkStart w:id="580" w:name="_Toc454614357"/>
      <w:bookmarkStart w:id="581" w:name="_Toc59420572"/>
      <w:bookmarkStart w:id="582" w:name="_Toc12603"/>
      <w:bookmarkStart w:id="583" w:name="_Toc297117769"/>
      <w:bookmarkStart w:id="584" w:name="_Toc15777"/>
      <w:bookmarkStart w:id="585" w:name="_Toc384121737"/>
      <w:bookmarkStart w:id="586" w:name="_Toc28881"/>
      <w:bookmarkStart w:id="587" w:name="_Toc4869"/>
      <w:r>
        <w:br w:type="page"/>
      </w:r>
      <w:bookmarkStart w:id="588" w:name="_Toc18602"/>
      <w:bookmarkStart w:id="589" w:name="_Toc14019"/>
      <w:bookmarkStart w:id="590" w:name="_Toc8912"/>
      <w:bookmarkStart w:id="591" w:name="_Toc423"/>
      <w:r>
        <w:rPr>
          <w:b/>
          <w:bCs w:val="0"/>
        </w:rPr>
        <w:t>5 安全验收评价结论</w:t>
      </w:r>
      <w:bookmarkEnd w:id="510"/>
      <w:bookmarkEnd w:id="580"/>
      <w:bookmarkEnd w:id="581"/>
      <w:bookmarkEnd w:id="582"/>
      <w:bookmarkEnd w:id="583"/>
      <w:bookmarkEnd w:id="584"/>
      <w:bookmarkEnd w:id="585"/>
      <w:bookmarkEnd w:id="586"/>
      <w:bookmarkEnd w:id="587"/>
      <w:bookmarkEnd w:id="588"/>
      <w:bookmarkEnd w:id="589"/>
      <w:bookmarkEnd w:id="590"/>
      <w:bookmarkEnd w:id="591"/>
    </w:p>
    <w:p w14:paraId="6D49B9FC">
      <w:pPr>
        <w:pStyle w:val="5"/>
        <w:spacing w:before="0" w:beforeLines="0"/>
        <w:rPr>
          <w:b/>
          <w:bCs w:val="0"/>
        </w:rPr>
      </w:pPr>
      <w:bookmarkStart w:id="592" w:name="_Toc21257"/>
      <w:bookmarkStart w:id="593" w:name="_Toc4403"/>
      <w:bookmarkStart w:id="594" w:name="_Toc1584"/>
      <w:bookmarkStart w:id="595" w:name="_Toc20552"/>
      <w:bookmarkStart w:id="596" w:name="_Toc24567"/>
      <w:bookmarkStart w:id="597" w:name="_Toc28045"/>
      <w:bookmarkStart w:id="598" w:name="_Toc14842"/>
      <w:bookmarkStart w:id="599" w:name="_Toc6197"/>
      <w:bookmarkStart w:id="600" w:name="_Toc26436"/>
      <w:bookmarkStart w:id="601" w:name="_Toc11918"/>
      <w:r>
        <w:rPr>
          <w:b/>
          <w:bCs w:val="0"/>
        </w:rPr>
        <w:t>5.1验收检查项总结</w:t>
      </w:r>
      <w:bookmarkEnd w:id="592"/>
      <w:bookmarkEnd w:id="593"/>
      <w:bookmarkEnd w:id="594"/>
      <w:bookmarkEnd w:id="595"/>
      <w:bookmarkEnd w:id="596"/>
      <w:bookmarkEnd w:id="597"/>
      <w:bookmarkEnd w:id="598"/>
      <w:bookmarkEnd w:id="599"/>
    </w:p>
    <w:p w14:paraId="4070F77A">
      <w:pPr>
        <w:ind w:firstLine="560"/>
      </w:pPr>
      <w:r>
        <w:rPr>
          <w:snapToGrid w:val="0"/>
          <w:kern w:val="0"/>
        </w:rPr>
        <w:t>通过对安全设施“三同时”程序、</w:t>
      </w:r>
      <w:r>
        <w:t>露天采场、采场防排水系统、矿岩运输系统、供配电、总平面布置、通信系统、个人安全防护、安全标志、安全管理、重大事故隐患判定</w:t>
      </w:r>
      <w:r>
        <w:rPr>
          <w:snapToGrid w:val="0"/>
          <w:kern w:val="0"/>
        </w:rPr>
        <w:t>11个单元的安全检查。</w:t>
      </w:r>
      <w:r>
        <w:t>本次验收检查项总数为9</w:t>
      </w:r>
      <w:r>
        <w:rPr>
          <w:rFonts w:hint="eastAsia"/>
        </w:rPr>
        <w:t>6</w:t>
      </w:r>
      <w:r>
        <w:t>项，其中否决项检查结果为“不符合”的0项，一般项检查结果为“不符合”的</w:t>
      </w:r>
      <w:r>
        <w:rPr>
          <w:rFonts w:hint="eastAsia"/>
        </w:rPr>
        <w:t>2</w:t>
      </w:r>
      <w:r>
        <w:t>项。</w:t>
      </w:r>
    </w:p>
    <w:p w14:paraId="48D2D1C5">
      <w:pPr>
        <w:spacing w:line="240" w:lineRule="auto"/>
        <w:ind w:firstLine="480"/>
        <w:jc w:val="center"/>
        <w:rPr>
          <w:sz w:val="24"/>
          <w:szCs w:val="24"/>
        </w:rPr>
      </w:pPr>
      <w:r>
        <w:rPr>
          <w:sz w:val="24"/>
          <w:szCs w:val="24"/>
        </w:rPr>
        <w:t>表5.1-1  验收检查项总结</w:t>
      </w: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4"/>
        <w:gridCol w:w="2574"/>
        <w:gridCol w:w="1020"/>
        <w:gridCol w:w="1571"/>
        <w:gridCol w:w="1020"/>
        <w:gridCol w:w="1571"/>
        <w:gridCol w:w="1020"/>
      </w:tblGrid>
      <w:tr w14:paraId="1A16D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vAlign w:val="center"/>
          </w:tcPr>
          <w:p w14:paraId="5AC65339">
            <w:pPr>
              <w:spacing w:line="240" w:lineRule="auto"/>
              <w:ind w:firstLine="0" w:firstLineChars="0"/>
              <w:jc w:val="center"/>
              <w:rPr>
                <w:b/>
                <w:bCs/>
                <w:sz w:val="21"/>
                <w:szCs w:val="21"/>
              </w:rPr>
            </w:pPr>
            <w:bookmarkStart w:id="602" w:name="_Toc16092"/>
            <w:bookmarkStart w:id="603" w:name="_Toc12467"/>
            <w:bookmarkStart w:id="604" w:name="_Toc32521"/>
            <w:bookmarkStart w:id="605" w:name="_Toc26111"/>
            <w:bookmarkStart w:id="606" w:name="_Toc1762"/>
            <w:r>
              <w:rPr>
                <w:b/>
                <w:bCs/>
                <w:sz w:val="21"/>
                <w:szCs w:val="21"/>
              </w:rPr>
              <w:t>序号</w:t>
            </w:r>
          </w:p>
        </w:tc>
        <w:tc>
          <w:tcPr>
            <w:tcW w:w="0" w:type="auto"/>
            <w:vMerge w:val="restart"/>
            <w:vAlign w:val="center"/>
          </w:tcPr>
          <w:p w14:paraId="057397B0">
            <w:pPr>
              <w:spacing w:line="240" w:lineRule="auto"/>
              <w:ind w:firstLine="0" w:firstLineChars="0"/>
              <w:jc w:val="center"/>
              <w:rPr>
                <w:b/>
                <w:bCs/>
                <w:sz w:val="21"/>
                <w:szCs w:val="21"/>
              </w:rPr>
            </w:pPr>
            <w:r>
              <w:rPr>
                <w:b/>
                <w:bCs/>
                <w:sz w:val="21"/>
                <w:szCs w:val="21"/>
              </w:rPr>
              <w:t>评价单元</w:t>
            </w:r>
          </w:p>
        </w:tc>
        <w:tc>
          <w:tcPr>
            <w:tcW w:w="0" w:type="auto"/>
            <w:vMerge w:val="restart"/>
            <w:vAlign w:val="center"/>
          </w:tcPr>
          <w:p w14:paraId="3E8EF695">
            <w:pPr>
              <w:spacing w:line="240" w:lineRule="auto"/>
              <w:ind w:firstLine="0" w:firstLineChars="0"/>
              <w:jc w:val="center"/>
              <w:rPr>
                <w:b/>
                <w:bCs/>
                <w:sz w:val="21"/>
                <w:szCs w:val="21"/>
              </w:rPr>
            </w:pPr>
            <w:r>
              <w:rPr>
                <w:b/>
                <w:bCs/>
                <w:sz w:val="21"/>
                <w:szCs w:val="21"/>
              </w:rPr>
              <w:t>检查项数</w:t>
            </w:r>
          </w:p>
        </w:tc>
        <w:tc>
          <w:tcPr>
            <w:tcW w:w="0" w:type="auto"/>
            <w:gridSpan w:val="2"/>
            <w:vAlign w:val="center"/>
          </w:tcPr>
          <w:p w14:paraId="0D967C16">
            <w:pPr>
              <w:spacing w:line="240" w:lineRule="auto"/>
              <w:ind w:firstLine="0" w:firstLineChars="0"/>
              <w:jc w:val="center"/>
              <w:rPr>
                <w:b/>
                <w:bCs/>
                <w:sz w:val="21"/>
                <w:szCs w:val="21"/>
              </w:rPr>
            </w:pPr>
            <w:r>
              <w:rPr>
                <w:b/>
                <w:bCs/>
                <w:sz w:val="21"/>
                <w:szCs w:val="21"/>
              </w:rPr>
              <w:t>否决项</w:t>
            </w:r>
          </w:p>
        </w:tc>
        <w:tc>
          <w:tcPr>
            <w:tcW w:w="0" w:type="auto"/>
            <w:gridSpan w:val="2"/>
            <w:vAlign w:val="center"/>
          </w:tcPr>
          <w:p w14:paraId="6123162E">
            <w:pPr>
              <w:spacing w:line="240" w:lineRule="auto"/>
              <w:ind w:firstLine="0" w:firstLineChars="0"/>
              <w:jc w:val="center"/>
              <w:rPr>
                <w:b/>
                <w:bCs/>
                <w:sz w:val="21"/>
                <w:szCs w:val="21"/>
              </w:rPr>
            </w:pPr>
            <w:r>
              <w:rPr>
                <w:b/>
                <w:bCs/>
                <w:sz w:val="21"/>
                <w:szCs w:val="21"/>
              </w:rPr>
              <w:t>一般项</w:t>
            </w:r>
          </w:p>
        </w:tc>
      </w:tr>
      <w:tr w14:paraId="0B5FA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14:paraId="79AD4C74">
            <w:pPr>
              <w:spacing w:line="240" w:lineRule="auto"/>
              <w:ind w:firstLine="0" w:firstLineChars="0"/>
              <w:jc w:val="center"/>
              <w:rPr>
                <w:b/>
                <w:bCs/>
                <w:sz w:val="21"/>
                <w:szCs w:val="21"/>
              </w:rPr>
            </w:pPr>
          </w:p>
        </w:tc>
        <w:tc>
          <w:tcPr>
            <w:tcW w:w="0" w:type="auto"/>
            <w:vMerge w:val="continue"/>
            <w:vAlign w:val="center"/>
          </w:tcPr>
          <w:p w14:paraId="085B01F1">
            <w:pPr>
              <w:spacing w:line="240" w:lineRule="auto"/>
              <w:ind w:firstLine="0" w:firstLineChars="0"/>
              <w:jc w:val="center"/>
              <w:rPr>
                <w:b/>
                <w:bCs/>
                <w:sz w:val="21"/>
                <w:szCs w:val="21"/>
              </w:rPr>
            </w:pPr>
          </w:p>
        </w:tc>
        <w:tc>
          <w:tcPr>
            <w:tcW w:w="0" w:type="auto"/>
            <w:vMerge w:val="continue"/>
            <w:vAlign w:val="center"/>
          </w:tcPr>
          <w:p w14:paraId="26664182">
            <w:pPr>
              <w:spacing w:line="240" w:lineRule="auto"/>
              <w:ind w:firstLine="0" w:firstLineChars="0"/>
              <w:jc w:val="center"/>
              <w:rPr>
                <w:b/>
                <w:bCs/>
                <w:sz w:val="21"/>
                <w:szCs w:val="21"/>
              </w:rPr>
            </w:pPr>
          </w:p>
        </w:tc>
        <w:tc>
          <w:tcPr>
            <w:tcW w:w="0" w:type="auto"/>
            <w:vAlign w:val="center"/>
          </w:tcPr>
          <w:p w14:paraId="3BEBF297">
            <w:pPr>
              <w:spacing w:line="240" w:lineRule="auto"/>
              <w:ind w:firstLine="0" w:firstLineChars="0"/>
              <w:jc w:val="center"/>
              <w:rPr>
                <w:b/>
                <w:bCs/>
                <w:sz w:val="21"/>
                <w:szCs w:val="21"/>
              </w:rPr>
            </w:pPr>
            <w:r>
              <w:rPr>
                <w:b/>
                <w:bCs/>
                <w:sz w:val="21"/>
                <w:szCs w:val="21"/>
              </w:rPr>
              <w:t>符合项</w:t>
            </w:r>
          </w:p>
        </w:tc>
        <w:tc>
          <w:tcPr>
            <w:tcW w:w="0" w:type="auto"/>
            <w:vAlign w:val="center"/>
          </w:tcPr>
          <w:p w14:paraId="65C666F1">
            <w:pPr>
              <w:spacing w:line="240" w:lineRule="auto"/>
              <w:ind w:firstLine="0" w:firstLineChars="0"/>
              <w:jc w:val="center"/>
              <w:rPr>
                <w:b/>
                <w:bCs/>
                <w:sz w:val="21"/>
                <w:szCs w:val="21"/>
              </w:rPr>
            </w:pPr>
            <w:r>
              <w:rPr>
                <w:b/>
                <w:bCs/>
                <w:sz w:val="21"/>
                <w:szCs w:val="21"/>
              </w:rPr>
              <w:t>不符合项</w:t>
            </w:r>
          </w:p>
        </w:tc>
        <w:tc>
          <w:tcPr>
            <w:tcW w:w="0" w:type="auto"/>
            <w:vAlign w:val="center"/>
          </w:tcPr>
          <w:p w14:paraId="07680E76">
            <w:pPr>
              <w:spacing w:line="240" w:lineRule="auto"/>
              <w:ind w:firstLine="0" w:firstLineChars="0"/>
              <w:jc w:val="center"/>
              <w:rPr>
                <w:b/>
                <w:bCs/>
                <w:sz w:val="21"/>
                <w:szCs w:val="21"/>
              </w:rPr>
            </w:pPr>
            <w:r>
              <w:rPr>
                <w:b/>
                <w:bCs/>
                <w:sz w:val="21"/>
                <w:szCs w:val="21"/>
              </w:rPr>
              <w:t>符合项</w:t>
            </w:r>
          </w:p>
        </w:tc>
        <w:tc>
          <w:tcPr>
            <w:tcW w:w="0" w:type="auto"/>
            <w:vAlign w:val="center"/>
          </w:tcPr>
          <w:p w14:paraId="3DFF6F5A">
            <w:pPr>
              <w:spacing w:line="240" w:lineRule="auto"/>
              <w:ind w:firstLine="0" w:firstLineChars="0"/>
              <w:jc w:val="center"/>
              <w:rPr>
                <w:b/>
                <w:bCs/>
                <w:sz w:val="21"/>
                <w:szCs w:val="21"/>
              </w:rPr>
            </w:pPr>
            <w:r>
              <w:rPr>
                <w:b/>
                <w:bCs/>
                <w:sz w:val="21"/>
                <w:szCs w:val="21"/>
              </w:rPr>
              <w:t>不符合项</w:t>
            </w:r>
          </w:p>
        </w:tc>
      </w:tr>
      <w:tr w14:paraId="5A107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0" w:type="auto"/>
            <w:vAlign w:val="center"/>
          </w:tcPr>
          <w:p w14:paraId="6FE95F16">
            <w:pPr>
              <w:spacing w:line="240" w:lineRule="auto"/>
              <w:ind w:firstLine="0" w:firstLineChars="0"/>
              <w:jc w:val="center"/>
              <w:rPr>
                <w:sz w:val="21"/>
                <w:szCs w:val="21"/>
              </w:rPr>
            </w:pPr>
            <w:r>
              <w:rPr>
                <w:sz w:val="21"/>
                <w:szCs w:val="21"/>
              </w:rPr>
              <w:t>1</w:t>
            </w:r>
          </w:p>
        </w:tc>
        <w:tc>
          <w:tcPr>
            <w:tcW w:w="0" w:type="auto"/>
            <w:vAlign w:val="center"/>
          </w:tcPr>
          <w:p w14:paraId="66F1BCFC">
            <w:pPr>
              <w:spacing w:line="240" w:lineRule="auto"/>
              <w:ind w:firstLine="0" w:firstLineChars="0"/>
              <w:jc w:val="center"/>
              <w:rPr>
                <w:sz w:val="21"/>
                <w:szCs w:val="21"/>
              </w:rPr>
            </w:pPr>
            <w:r>
              <w:rPr>
                <w:sz w:val="21"/>
                <w:szCs w:val="21"/>
              </w:rPr>
              <w:t>安全设施“三同时”程序单元</w:t>
            </w:r>
          </w:p>
        </w:tc>
        <w:tc>
          <w:tcPr>
            <w:tcW w:w="0" w:type="auto"/>
            <w:vAlign w:val="center"/>
          </w:tcPr>
          <w:p w14:paraId="62EC0243">
            <w:pPr>
              <w:spacing w:line="240" w:lineRule="auto"/>
              <w:ind w:firstLine="0" w:firstLineChars="0"/>
              <w:jc w:val="center"/>
              <w:rPr>
                <w:sz w:val="21"/>
                <w:szCs w:val="21"/>
              </w:rPr>
            </w:pPr>
            <w:r>
              <w:rPr>
                <w:sz w:val="21"/>
                <w:szCs w:val="21"/>
              </w:rPr>
              <w:t>6</w:t>
            </w:r>
          </w:p>
        </w:tc>
        <w:tc>
          <w:tcPr>
            <w:tcW w:w="0" w:type="auto"/>
            <w:vAlign w:val="center"/>
          </w:tcPr>
          <w:p w14:paraId="131FA1B4">
            <w:pPr>
              <w:spacing w:line="240" w:lineRule="auto"/>
              <w:ind w:firstLine="0" w:firstLineChars="0"/>
              <w:jc w:val="center"/>
              <w:rPr>
                <w:sz w:val="21"/>
                <w:szCs w:val="21"/>
              </w:rPr>
            </w:pPr>
            <w:r>
              <w:rPr>
                <w:sz w:val="21"/>
                <w:szCs w:val="21"/>
              </w:rPr>
              <w:t>5</w:t>
            </w:r>
          </w:p>
        </w:tc>
        <w:tc>
          <w:tcPr>
            <w:tcW w:w="0" w:type="auto"/>
            <w:vAlign w:val="center"/>
          </w:tcPr>
          <w:p w14:paraId="3F8B364E">
            <w:pPr>
              <w:spacing w:line="240" w:lineRule="auto"/>
              <w:ind w:firstLine="0" w:firstLineChars="0"/>
              <w:jc w:val="center"/>
              <w:rPr>
                <w:sz w:val="21"/>
                <w:szCs w:val="21"/>
              </w:rPr>
            </w:pPr>
            <w:r>
              <w:rPr>
                <w:sz w:val="21"/>
                <w:szCs w:val="21"/>
              </w:rPr>
              <w:t>0</w:t>
            </w:r>
          </w:p>
        </w:tc>
        <w:tc>
          <w:tcPr>
            <w:tcW w:w="0" w:type="auto"/>
            <w:vAlign w:val="center"/>
          </w:tcPr>
          <w:p w14:paraId="5AAF25DA">
            <w:pPr>
              <w:spacing w:line="240" w:lineRule="auto"/>
              <w:ind w:firstLine="0" w:firstLineChars="0"/>
              <w:jc w:val="center"/>
              <w:rPr>
                <w:sz w:val="21"/>
                <w:szCs w:val="21"/>
              </w:rPr>
            </w:pPr>
            <w:r>
              <w:rPr>
                <w:sz w:val="21"/>
                <w:szCs w:val="21"/>
              </w:rPr>
              <w:t>1</w:t>
            </w:r>
          </w:p>
        </w:tc>
        <w:tc>
          <w:tcPr>
            <w:tcW w:w="0" w:type="auto"/>
            <w:vAlign w:val="center"/>
          </w:tcPr>
          <w:p w14:paraId="0C4BFC08">
            <w:pPr>
              <w:spacing w:line="240" w:lineRule="auto"/>
              <w:ind w:firstLine="0" w:firstLineChars="0"/>
              <w:jc w:val="center"/>
              <w:rPr>
                <w:sz w:val="21"/>
                <w:szCs w:val="21"/>
              </w:rPr>
            </w:pPr>
            <w:r>
              <w:rPr>
                <w:sz w:val="21"/>
                <w:szCs w:val="21"/>
              </w:rPr>
              <w:t>0</w:t>
            </w:r>
          </w:p>
        </w:tc>
      </w:tr>
      <w:tr w14:paraId="181DB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0" w:type="auto"/>
            <w:vAlign w:val="center"/>
          </w:tcPr>
          <w:p w14:paraId="45D57631">
            <w:pPr>
              <w:spacing w:line="240" w:lineRule="auto"/>
              <w:ind w:firstLine="0" w:firstLineChars="0"/>
              <w:jc w:val="center"/>
              <w:rPr>
                <w:sz w:val="21"/>
                <w:szCs w:val="21"/>
              </w:rPr>
            </w:pPr>
            <w:r>
              <w:rPr>
                <w:sz w:val="21"/>
                <w:szCs w:val="21"/>
              </w:rPr>
              <w:t>2</w:t>
            </w:r>
          </w:p>
        </w:tc>
        <w:tc>
          <w:tcPr>
            <w:tcW w:w="0" w:type="auto"/>
            <w:vAlign w:val="center"/>
          </w:tcPr>
          <w:p w14:paraId="29242200">
            <w:pPr>
              <w:spacing w:line="240" w:lineRule="auto"/>
              <w:ind w:firstLine="0" w:firstLineChars="0"/>
              <w:jc w:val="center"/>
              <w:rPr>
                <w:sz w:val="21"/>
                <w:szCs w:val="21"/>
              </w:rPr>
            </w:pPr>
            <w:r>
              <w:rPr>
                <w:sz w:val="21"/>
                <w:szCs w:val="21"/>
              </w:rPr>
              <w:t>露天采场单元</w:t>
            </w:r>
          </w:p>
        </w:tc>
        <w:tc>
          <w:tcPr>
            <w:tcW w:w="0" w:type="auto"/>
            <w:vAlign w:val="center"/>
          </w:tcPr>
          <w:p w14:paraId="6A391890">
            <w:pPr>
              <w:spacing w:line="240" w:lineRule="auto"/>
              <w:ind w:firstLine="0" w:firstLineChars="0"/>
              <w:jc w:val="center"/>
              <w:rPr>
                <w:sz w:val="21"/>
                <w:szCs w:val="21"/>
              </w:rPr>
            </w:pPr>
            <w:r>
              <w:rPr>
                <w:sz w:val="21"/>
                <w:szCs w:val="21"/>
              </w:rPr>
              <w:t>23</w:t>
            </w:r>
          </w:p>
        </w:tc>
        <w:tc>
          <w:tcPr>
            <w:tcW w:w="0" w:type="auto"/>
            <w:vAlign w:val="center"/>
          </w:tcPr>
          <w:p w14:paraId="2B703FDA">
            <w:pPr>
              <w:spacing w:line="240" w:lineRule="auto"/>
              <w:ind w:firstLine="0" w:firstLineChars="0"/>
              <w:jc w:val="center"/>
              <w:rPr>
                <w:sz w:val="21"/>
                <w:szCs w:val="21"/>
              </w:rPr>
            </w:pPr>
            <w:r>
              <w:rPr>
                <w:sz w:val="21"/>
                <w:szCs w:val="21"/>
              </w:rPr>
              <w:t>0</w:t>
            </w:r>
          </w:p>
        </w:tc>
        <w:tc>
          <w:tcPr>
            <w:tcW w:w="0" w:type="auto"/>
            <w:vAlign w:val="center"/>
          </w:tcPr>
          <w:p w14:paraId="0C4E6B7C">
            <w:pPr>
              <w:spacing w:line="240" w:lineRule="auto"/>
              <w:ind w:firstLine="0" w:firstLineChars="0"/>
              <w:jc w:val="center"/>
              <w:rPr>
                <w:sz w:val="21"/>
                <w:szCs w:val="21"/>
              </w:rPr>
            </w:pPr>
            <w:r>
              <w:rPr>
                <w:sz w:val="21"/>
                <w:szCs w:val="21"/>
              </w:rPr>
              <w:t>0</w:t>
            </w:r>
          </w:p>
        </w:tc>
        <w:tc>
          <w:tcPr>
            <w:tcW w:w="0" w:type="auto"/>
            <w:vAlign w:val="center"/>
          </w:tcPr>
          <w:p w14:paraId="377E2CFE">
            <w:pPr>
              <w:spacing w:line="240" w:lineRule="auto"/>
              <w:ind w:firstLine="0" w:firstLineChars="0"/>
              <w:jc w:val="center"/>
              <w:rPr>
                <w:sz w:val="21"/>
                <w:szCs w:val="21"/>
              </w:rPr>
            </w:pPr>
            <w:r>
              <w:rPr>
                <w:sz w:val="21"/>
                <w:szCs w:val="21"/>
              </w:rPr>
              <w:t>23</w:t>
            </w:r>
          </w:p>
        </w:tc>
        <w:tc>
          <w:tcPr>
            <w:tcW w:w="0" w:type="auto"/>
            <w:vAlign w:val="center"/>
          </w:tcPr>
          <w:p w14:paraId="7E90E7E8">
            <w:pPr>
              <w:spacing w:line="240" w:lineRule="auto"/>
              <w:ind w:firstLine="0" w:firstLineChars="0"/>
              <w:jc w:val="center"/>
              <w:rPr>
                <w:sz w:val="21"/>
                <w:szCs w:val="21"/>
              </w:rPr>
            </w:pPr>
            <w:r>
              <w:rPr>
                <w:sz w:val="21"/>
                <w:szCs w:val="21"/>
              </w:rPr>
              <w:t>0</w:t>
            </w:r>
          </w:p>
        </w:tc>
      </w:tr>
      <w:tr w14:paraId="64398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0" w:type="auto"/>
            <w:vAlign w:val="center"/>
          </w:tcPr>
          <w:p w14:paraId="46B9902B">
            <w:pPr>
              <w:spacing w:line="240" w:lineRule="auto"/>
              <w:ind w:firstLine="0" w:firstLineChars="0"/>
              <w:jc w:val="center"/>
              <w:rPr>
                <w:sz w:val="21"/>
                <w:szCs w:val="21"/>
              </w:rPr>
            </w:pPr>
            <w:r>
              <w:rPr>
                <w:sz w:val="21"/>
                <w:szCs w:val="21"/>
              </w:rPr>
              <w:t>3</w:t>
            </w:r>
          </w:p>
        </w:tc>
        <w:tc>
          <w:tcPr>
            <w:tcW w:w="0" w:type="auto"/>
            <w:vAlign w:val="center"/>
          </w:tcPr>
          <w:p w14:paraId="57DCA6C6">
            <w:pPr>
              <w:spacing w:line="240" w:lineRule="auto"/>
              <w:ind w:firstLine="0" w:firstLineChars="0"/>
              <w:jc w:val="center"/>
              <w:rPr>
                <w:sz w:val="21"/>
                <w:szCs w:val="21"/>
              </w:rPr>
            </w:pPr>
            <w:r>
              <w:rPr>
                <w:sz w:val="21"/>
                <w:szCs w:val="21"/>
              </w:rPr>
              <w:t>采场防排水系统单元</w:t>
            </w:r>
          </w:p>
        </w:tc>
        <w:tc>
          <w:tcPr>
            <w:tcW w:w="0" w:type="auto"/>
            <w:vAlign w:val="center"/>
          </w:tcPr>
          <w:p w14:paraId="46F6DC03">
            <w:pPr>
              <w:spacing w:line="240" w:lineRule="auto"/>
              <w:ind w:firstLine="0" w:firstLineChars="0"/>
              <w:jc w:val="center"/>
              <w:rPr>
                <w:sz w:val="21"/>
                <w:szCs w:val="21"/>
              </w:rPr>
            </w:pPr>
            <w:r>
              <w:rPr>
                <w:sz w:val="21"/>
                <w:szCs w:val="21"/>
              </w:rPr>
              <w:t>2</w:t>
            </w:r>
          </w:p>
        </w:tc>
        <w:tc>
          <w:tcPr>
            <w:tcW w:w="0" w:type="auto"/>
            <w:vAlign w:val="center"/>
          </w:tcPr>
          <w:p w14:paraId="07633004">
            <w:pPr>
              <w:spacing w:line="240" w:lineRule="auto"/>
              <w:ind w:firstLine="0" w:firstLineChars="0"/>
              <w:jc w:val="center"/>
              <w:rPr>
                <w:sz w:val="21"/>
                <w:szCs w:val="21"/>
              </w:rPr>
            </w:pPr>
            <w:r>
              <w:rPr>
                <w:sz w:val="21"/>
                <w:szCs w:val="21"/>
              </w:rPr>
              <w:t>0</w:t>
            </w:r>
          </w:p>
        </w:tc>
        <w:tc>
          <w:tcPr>
            <w:tcW w:w="0" w:type="auto"/>
            <w:vAlign w:val="center"/>
          </w:tcPr>
          <w:p w14:paraId="0335C387">
            <w:pPr>
              <w:spacing w:line="240" w:lineRule="auto"/>
              <w:ind w:firstLine="0" w:firstLineChars="0"/>
              <w:jc w:val="center"/>
              <w:rPr>
                <w:sz w:val="21"/>
                <w:szCs w:val="21"/>
              </w:rPr>
            </w:pPr>
            <w:r>
              <w:rPr>
                <w:sz w:val="21"/>
                <w:szCs w:val="21"/>
              </w:rPr>
              <w:t>0</w:t>
            </w:r>
          </w:p>
        </w:tc>
        <w:tc>
          <w:tcPr>
            <w:tcW w:w="0" w:type="auto"/>
            <w:vAlign w:val="center"/>
          </w:tcPr>
          <w:p w14:paraId="409ABCC1">
            <w:pPr>
              <w:spacing w:line="240" w:lineRule="auto"/>
              <w:ind w:firstLine="0" w:firstLineChars="0"/>
              <w:jc w:val="center"/>
              <w:rPr>
                <w:sz w:val="21"/>
                <w:szCs w:val="21"/>
              </w:rPr>
            </w:pPr>
            <w:r>
              <w:rPr>
                <w:sz w:val="21"/>
                <w:szCs w:val="21"/>
              </w:rPr>
              <w:t>2</w:t>
            </w:r>
          </w:p>
        </w:tc>
        <w:tc>
          <w:tcPr>
            <w:tcW w:w="0" w:type="auto"/>
            <w:vAlign w:val="center"/>
          </w:tcPr>
          <w:p w14:paraId="0B480020">
            <w:pPr>
              <w:spacing w:line="240" w:lineRule="auto"/>
              <w:ind w:firstLine="0" w:firstLineChars="0"/>
              <w:jc w:val="center"/>
              <w:rPr>
                <w:sz w:val="21"/>
                <w:szCs w:val="21"/>
              </w:rPr>
            </w:pPr>
            <w:r>
              <w:rPr>
                <w:sz w:val="21"/>
                <w:szCs w:val="21"/>
              </w:rPr>
              <w:t>0</w:t>
            </w:r>
          </w:p>
        </w:tc>
      </w:tr>
      <w:tr w14:paraId="6C865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exact"/>
          <w:jc w:val="center"/>
        </w:trPr>
        <w:tc>
          <w:tcPr>
            <w:tcW w:w="0" w:type="auto"/>
            <w:vAlign w:val="center"/>
          </w:tcPr>
          <w:p w14:paraId="0DB3CFC6">
            <w:pPr>
              <w:spacing w:line="240" w:lineRule="auto"/>
              <w:ind w:firstLine="0" w:firstLineChars="0"/>
              <w:jc w:val="center"/>
              <w:rPr>
                <w:sz w:val="21"/>
                <w:szCs w:val="21"/>
              </w:rPr>
            </w:pPr>
            <w:r>
              <w:rPr>
                <w:sz w:val="21"/>
                <w:szCs w:val="21"/>
              </w:rPr>
              <w:t>4</w:t>
            </w:r>
          </w:p>
        </w:tc>
        <w:tc>
          <w:tcPr>
            <w:tcW w:w="0" w:type="auto"/>
            <w:vAlign w:val="center"/>
          </w:tcPr>
          <w:p w14:paraId="4636A18A">
            <w:pPr>
              <w:spacing w:line="240" w:lineRule="auto"/>
              <w:ind w:firstLine="0" w:firstLineChars="0"/>
              <w:jc w:val="center"/>
              <w:rPr>
                <w:sz w:val="21"/>
                <w:szCs w:val="21"/>
              </w:rPr>
            </w:pPr>
            <w:r>
              <w:rPr>
                <w:sz w:val="21"/>
                <w:szCs w:val="21"/>
              </w:rPr>
              <w:t>矿岩运输系统单元</w:t>
            </w:r>
          </w:p>
        </w:tc>
        <w:tc>
          <w:tcPr>
            <w:tcW w:w="0" w:type="auto"/>
            <w:vAlign w:val="center"/>
          </w:tcPr>
          <w:p w14:paraId="38E01754">
            <w:pPr>
              <w:spacing w:line="240" w:lineRule="auto"/>
              <w:ind w:firstLine="0" w:firstLineChars="0"/>
              <w:jc w:val="center"/>
              <w:rPr>
                <w:sz w:val="21"/>
                <w:szCs w:val="21"/>
              </w:rPr>
            </w:pPr>
            <w:r>
              <w:rPr>
                <w:sz w:val="21"/>
                <w:szCs w:val="21"/>
              </w:rPr>
              <w:t>6</w:t>
            </w:r>
          </w:p>
        </w:tc>
        <w:tc>
          <w:tcPr>
            <w:tcW w:w="0" w:type="auto"/>
            <w:vAlign w:val="center"/>
          </w:tcPr>
          <w:p w14:paraId="07EBD673">
            <w:pPr>
              <w:spacing w:line="240" w:lineRule="auto"/>
              <w:ind w:firstLine="0" w:firstLineChars="0"/>
              <w:jc w:val="center"/>
              <w:rPr>
                <w:sz w:val="21"/>
                <w:szCs w:val="21"/>
              </w:rPr>
            </w:pPr>
            <w:r>
              <w:rPr>
                <w:sz w:val="21"/>
                <w:szCs w:val="21"/>
              </w:rPr>
              <w:t>0</w:t>
            </w:r>
          </w:p>
        </w:tc>
        <w:tc>
          <w:tcPr>
            <w:tcW w:w="0" w:type="auto"/>
            <w:vAlign w:val="center"/>
          </w:tcPr>
          <w:p w14:paraId="7D8EA096">
            <w:pPr>
              <w:spacing w:line="240" w:lineRule="auto"/>
              <w:ind w:firstLine="0" w:firstLineChars="0"/>
              <w:jc w:val="center"/>
              <w:rPr>
                <w:sz w:val="21"/>
                <w:szCs w:val="21"/>
              </w:rPr>
            </w:pPr>
            <w:r>
              <w:rPr>
                <w:sz w:val="21"/>
                <w:szCs w:val="21"/>
              </w:rPr>
              <w:t>0</w:t>
            </w:r>
          </w:p>
        </w:tc>
        <w:tc>
          <w:tcPr>
            <w:tcW w:w="0" w:type="auto"/>
            <w:vAlign w:val="center"/>
          </w:tcPr>
          <w:p w14:paraId="63B39E24">
            <w:pPr>
              <w:spacing w:line="240" w:lineRule="auto"/>
              <w:ind w:firstLine="0" w:firstLineChars="0"/>
              <w:jc w:val="center"/>
              <w:rPr>
                <w:sz w:val="21"/>
                <w:szCs w:val="21"/>
              </w:rPr>
            </w:pPr>
            <w:r>
              <w:rPr>
                <w:sz w:val="21"/>
                <w:szCs w:val="21"/>
              </w:rPr>
              <w:t>6</w:t>
            </w:r>
          </w:p>
        </w:tc>
        <w:tc>
          <w:tcPr>
            <w:tcW w:w="0" w:type="auto"/>
            <w:vAlign w:val="center"/>
          </w:tcPr>
          <w:p w14:paraId="7CC6AA75">
            <w:pPr>
              <w:spacing w:line="240" w:lineRule="auto"/>
              <w:ind w:firstLine="0" w:firstLineChars="0"/>
              <w:jc w:val="center"/>
              <w:rPr>
                <w:sz w:val="21"/>
                <w:szCs w:val="21"/>
              </w:rPr>
            </w:pPr>
            <w:r>
              <w:rPr>
                <w:sz w:val="21"/>
                <w:szCs w:val="21"/>
              </w:rPr>
              <w:t>0</w:t>
            </w:r>
          </w:p>
        </w:tc>
      </w:tr>
      <w:tr w14:paraId="4DFE2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0" w:type="auto"/>
            <w:vAlign w:val="center"/>
          </w:tcPr>
          <w:p w14:paraId="783D244B">
            <w:pPr>
              <w:spacing w:line="240" w:lineRule="auto"/>
              <w:ind w:firstLine="0" w:firstLineChars="0"/>
              <w:jc w:val="center"/>
              <w:rPr>
                <w:sz w:val="21"/>
                <w:szCs w:val="21"/>
              </w:rPr>
            </w:pPr>
            <w:r>
              <w:rPr>
                <w:sz w:val="21"/>
                <w:szCs w:val="21"/>
              </w:rPr>
              <w:t>5</w:t>
            </w:r>
          </w:p>
        </w:tc>
        <w:tc>
          <w:tcPr>
            <w:tcW w:w="0" w:type="auto"/>
            <w:vAlign w:val="center"/>
          </w:tcPr>
          <w:p w14:paraId="5CA63B45">
            <w:pPr>
              <w:spacing w:line="240" w:lineRule="auto"/>
              <w:ind w:firstLine="0" w:firstLineChars="0"/>
              <w:jc w:val="center"/>
              <w:rPr>
                <w:sz w:val="21"/>
                <w:szCs w:val="21"/>
              </w:rPr>
            </w:pPr>
            <w:r>
              <w:rPr>
                <w:sz w:val="21"/>
                <w:szCs w:val="21"/>
              </w:rPr>
              <w:t>供配电系统单元</w:t>
            </w:r>
          </w:p>
        </w:tc>
        <w:tc>
          <w:tcPr>
            <w:tcW w:w="0" w:type="auto"/>
            <w:vAlign w:val="center"/>
          </w:tcPr>
          <w:p w14:paraId="703CA0CD">
            <w:pPr>
              <w:spacing w:line="240" w:lineRule="auto"/>
              <w:ind w:firstLine="0" w:firstLineChars="0"/>
              <w:jc w:val="center"/>
              <w:rPr>
                <w:sz w:val="21"/>
                <w:szCs w:val="21"/>
              </w:rPr>
            </w:pPr>
            <w:r>
              <w:rPr>
                <w:sz w:val="21"/>
                <w:szCs w:val="21"/>
              </w:rPr>
              <w:t>10</w:t>
            </w:r>
          </w:p>
        </w:tc>
        <w:tc>
          <w:tcPr>
            <w:tcW w:w="0" w:type="auto"/>
            <w:vAlign w:val="center"/>
          </w:tcPr>
          <w:p w14:paraId="60F1D766">
            <w:pPr>
              <w:spacing w:line="240" w:lineRule="auto"/>
              <w:ind w:firstLine="0" w:firstLineChars="0"/>
              <w:jc w:val="center"/>
              <w:rPr>
                <w:sz w:val="21"/>
                <w:szCs w:val="21"/>
              </w:rPr>
            </w:pPr>
            <w:r>
              <w:rPr>
                <w:sz w:val="21"/>
                <w:szCs w:val="21"/>
              </w:rPr>
              <w:t>0</w:t>
            </w:r>
          </w:p>
        </w:tc>
        <w:tc>
          <w:tcPr>
            <w:tcW w:w="0" w:type="auto"/>
            <w:vAlign w:val="center"/>
          </w:tcPr>
          <w:p w14:paraId="38E158DE">
            <w:pPr>
              <w:spacing w:line="240" w:lineRule="auto"/>
              <w:ind w:firstLine="0" w:firstLineChars="0"/>
              <w:jc w:val="center"/>
              <w:rPr>
                <w:sz w:val="21"/>
                <w:szCs w:val="21"/>
              </w:rPr>
            </w:pPr>
            <w:r>
              <w:rPr>
                <w:sz w:val="21"/>
                <w:szCs w:val="21"/>
              </w:rPr>
              <w:t>0</w:t>
            </w:r>
          </w:p>
        </w:tc>
        <w:tc>
          <w:tcPr>
            <w:tcW w:w="0" w:type="auto"/>
            <w:vAlign w:val="center"/>
          </w:tcPr>
          <w:p w14:paraId="381B1D4F">
            <w:pPr>
              <w:spacing w:line="240" w:lineRule="auto"/>
              <w:ind w:firstLine="0" w:firstLineChars="0"/>
              <w:jc w:val="center"/>
              <w:rPr>
                <w:sz w:val="21"/>
                <w:szCs w:val="21"/>
              </w:rPr>
            </w:pPr>
            <w:r>
              <w:rPr>
                <w:sz w:val="21"/>
                <w:szCs w:val="21"/>
              </w:rPr>
              <w:t>10</w:t>
            </w:r>
          </w:p>
        </w:tc>
        <w:tc>
          <w:tcPr>
            <w:tcW w:w="0" w:type="auto"/>
            <w:vAlign w:val="center"/>
          </w:tcPr>
          <w:p w14:paraId="03401F51">
            <w:pPr>
              <w:spacing w:line="240" w:lineRule="auto"/>
              <w:ind w:firstLine="0" w:firstLineChars="0"/>
              <w:jc w:val="center"/>
              <w:rPr>
                <w:sz w:val="21"/>
                <w:szCs w:val="21"/>
              </w:rPr>
            </w:pPr>
            <w:r>
              <w:rPr>
                <w:sz w:val="21"/>
                <w:szCs w:val="21"/>
              </w:rPr>
              <w:t>0</w:t>
            </w:r>
          </w:p>
        </w:tc>
      </w:tr>
      <w:tr w14:paraId="4605F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0" w:type="auto"/>
            <w:vAlign w:val="center"/>
          </w:tcPr>
          <w:p w14:paraId="296DD67F">
            <w:pPr>
              <w:spacing w:line="240" w:lineRule="auto"/>
              <w:ind w:firstLine="0" w:firstLineChars="0"/>
              <w:jc w:val="center"/>
              <w:rPr>
                <w:sz w:val="21"/>
                <w:szCs w:val="21"/>
              </w:rPr>
            </w:pPr>
            <w:r>
              <w:rPr>
                <w:sz w:val="21"/>
                <w:szCs w:val="21"/>
              </w:rPr>
              <w:t>6</w:t>
            </w:r>
          </w:p>
        </w:tc>
        <w:tc>
          <w:tcPr>
            <w:tcW w:w="0" w:type="auto"/>
            <w:vAlign w:val="center"/>
          </w:tcPr>
          <w:p w14:paraId="75CA9B54">
            <w:pPr>
              <w:spacing w:line="240" w:lineRule="auto"/>
              <w:ind w:firstLine="0" w:firstLineChars="0"/>
              <w:jc w:val="center"/>
              <w:rPr>
                <w:sz w:val="21"/>
                <w:szCs w:val="21"/>
              </w:rPr>
            </w:pPr>
            <w:r>
              <w:rPr>
                <w:sz w:val="21"/>
                <w:szCs w:val="21"/>
              </w:rPr>
              <w:t>总平面布置单元</w:t>
            </w:r>
          </w:p>
        </w:tc>
        <w:tc>
          <w:tcPr>
            <w:tcW w:w="0" w:type="auto"/>
            <w:vAlign w:val="center"/>
          </w:tcPr>
          <w:p w14:paraId="78B5D382">
            <w:pPr>
              <w:spacing w:line="240" w:lineRule="auto"/>
              <w:ind w:firstLine="0" w:firstLineChars="0"/>
              <w:jc w:val="center"/>
              <w:rPr>
                <w:sz w:val="21"/>
                <w:szCs w:val="21"/>
              </w:rPr>
            </w:pPr>
            <w:r>
              <w:rPr>
                <w:sz w:val="21"/>
                <w:szCs w:val="21"/>
              </w:rPr>
              <w:t>12</w:t>
            </w:r>
          </w:p>
        </w:tc>
        <w:tc>
          <w:tcPr>
            <w:tcW w:w="0" w:type="auto"/>
            <w:vAlign w:val="center"/>
          </w:tcPr>
          <w:p w14:paraId="728014F0">
            <w:pPr>
              <w:spacing w:line="240" w:lineRule="auto"/>
              <w:ind w:firstLine="0" w:firstLineChars="0"/>
              <w:jc w:val="center"/>
              <w:rPr>
                <w:sz w:val="21"/>
                <w:szCs w:val="21"/>
              </w:rPr>
            </w:pPr>
            <w:r>
              <w:rPr>
                <w:sz w:val="21"/>
                <w:szCs w:val="21"/>
              </w:rPr>
              <w:t>0</w:t>
            </w:r>
          </w:p>
        </w:tc>
        <w:tc>
          <w:tcPr>
            <w:tcW w:w="0" w:type="auto"/>
            <w:vAlign w:val="center"/>
          </w:tcPr>
          <w:p w14:paraId="36B03EFD">
            <w:pPr>
              <w:spacing w:line="240" w:lineRule="auto"/>
              <w:ind w:firstLine="0" w:firstLineChars="0"/>
              <w:jc w:val="center"/>
              <w:rPr>
                <w:sz w:val="21"/>
                <w:szCs w:val="21"/>
              </w:rPr>
            </w:pPr>
            <w:r>
              <w:rPr>
                <w:sz w:val="21"/>
                <w:szCs w:val="21"/>
              </w:rPr>
              <w:t>0</w:t>
            </w:r>
          </w:p>
        </w:tc>
        <w:tc>
          <w:tcPr>
            <w:tcW w:w="0" w:type="auto"/>
            <w:vAlign w:val="center"/>
          </w:tcPr>
          <w:p w14:paraId="226D36DF">
            <w:pPr>
              <w:spacing w:line="240" w:lineRule="auto"/>
              <w:ind w:firstLine="0" w:firstLineChars="0"/>
              <w:jc w:val="center"/>
              <w:rPr>
                <w:sz w:val="21"/>
                <w:szCs w:val="21"/>
              </w:rPr>
            </w:pPr>
            <w:r>
              <w:rPr>
                <w:sz w:val="21"/>
                <w:szCs w:val="21"/>
              </w:rPr>
              <w:t>12</w:t>
            </w:r>
          </w:p>
        </w:tc>
        <w:tc>
          <w:tcPr>
            <w:tcW w:w="0" w:type="auto"/>
            <w:vAlign w:val="center"/>
          </w:tcPr>
          <w:p w14:paraId="52DEBD03">
            <w:pPr>
              <w:spacing w:line="240" w:lineRule="auto"/>
              <w:ind w:firstLine="0" w:firstLineChars="0"/>
              <w:jc w:val="center"/>
              <w:rPr>
                <w:sz w:val="21"/>
                <w:szCs w:val="21"/>
              </w:rPr>
            </w:pPr>
            <w:r>
              <w:rPr>
                <w:sz w:val="21"/>
                <w:szCs w:val="21"/>
              </w:rPr>
              <w:t>0</w:t>
            </w:r>
          </w:p>
        </w:tc>
      </w:tr>
      <w:tr w14:paraId="1CE9C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0" w:type="auto"/>
            <w:vAlign w:val="center"/>
          </w:tcPr>
          <w:p w14:paraId="6E0EB940">
            <w:pPr>
              <w:spacing w:line="240" w:lineRule="auto"/>
              <w:ind w:firstLine="0" w:firstLineChars="0"/>
              <w:jc w:val="center"/>
              <w:rPr>
                <w:sz w:val="21"/>
                <w:szCs w:val="21"/>
              </w:rPr>
            </w:pPr>
            <w:r>
              <w:rPr>
                <w:sz w:val="21"/>
                <w:szCs w:val="21"/>
              </w:rPr>
              <w:t>7</w:t>
            </w:r>
          </w:p>
        </w:tc>
        <w:tc>
          <w:tcPr>
            <w:tcW w:w="0" w:type="auto"/>
            <w:vAlign w:val="center"/>
          </w:tcPr>
          <w:p w14:paraId="45E5C376">
            <w:pPr>
              <w:spacing w:line="240" w:lineRule="auto"/>
              <w:ind w:firstLine="0" w:firstLineChars="0"/>
              <w:jc w:val="center"/>
              <w:rPr>
                <w:sz w:val="21"/>
                <w:szCs w:val="21"/>
              </w:rPr>
            </w:pPr>
            <w:r>
              <w:rPr>
                <w:sz w:val="21"/>
                <w:szCs w:val="21"/>
              </w:rPr>
              <w:t>通信系统单元</w:t>
            </w:r>
          </w:p>
        </w:tc>
        <w:tc>
          <w:tcPr>
            <w:tcW w:w="0" w:type="auto"/>
            <w:vAlign w:val="center"/>
          </w:tcPr>
          <w:p w14:paraId="1A885F69">
            <w:pPr>
              <w:spacing w:line="240" w:lineRule="auto"/>
              <w:ind w:firstLine="0" w:firstLineChars="0"/>
              <w:jc w:val="center"/>
              <w:rPr>
                <w:sz w:val="21"/>
                <w:szCs w:val="21"/>
              </w:rPr>
            </w:pPr>
            <w:r>
              <w:rPr>
                <w:sz w:val="21"/>
                <w:szCs w:val="21"/>
              </w:rPr>
              <w:t>2</w:t>
            </w:r>
          </w:p>
        </w:tc>
        <w:tc>
          <w:tcPr>
            <w:tcW w:w="0" w:type="auto"/>
            <w:vAlign w:val="center"/>
          </w:tcPr>
          <w:p w14:paraId="7CC0F4F1">
            <w:pPr>
              <w:spacing w:line="240" w:lineRule="auto"/>
              <w:ind w:firstLine="0" w:firstLineChars="0"/>
              <w:jc w:val="center"/>
              <w:rPr>
                <w:sz w:val="21"/>
                <w:szCs w:val="21"/>
              </w:rPr>
            </w:pPr>
            <w:r>
              <w:rPr>
                <w:sz w:val="21"/>
                <w:szCs w:val="21"/>
              </w:rPr>
              <w:t>0</w:t>
            </w:r>
          </w:p>
        </w:tc>
        <w:tc>
          <w:tcPr>
            <w:tcW w:w="0" w:type="auto"/>
            <w:vAlign w:val="center"/>
          </w:tcPr>
          <w:p w14:paraId="1181AB6D">
            <w:pPr>
              <w:spacing w:line="240" w:lineRule="auto"/>
              <w:ind w:firstLine="0" w:firstLineChars="0"/>
              <w:jc w:val="center"/>
              <w:rPr>
                <w:sz w:val="21"/>
                <w:szCs w:val="21"/>
              </w:rPr>
            </w:pPr>
            <w:r>
              <w:rPr>
                <w:sz w:val="21"/>
                <w:szCs w:val="21"/>
              </w:rPr>
              <w:t>0</w:t>
            </w:r>
          </w:p>
        </w:tc>
        <w:tc>
          <w:tcPr>
            <w:tcW w:w="0" w:type="auto"/>
            <w:vAlign w:val="center"/>
          </w:tcPr>
          <w:p w14:paraId="369A4166">
            <w:pPr>
              <w:spacing w:line="240" w:lineRule="auto"/>
              <w:ind w:firstLine="0" w:firstLineChars="0"/>
              <w:jc w:val="center"/>
              <w:rPr>
                <w:sz w:val="21"/>
                <w:szCs w:val="21"/>
              </w:rPr>
            </w:pPr>
            <w:r>
              <w:rPr>
                <w:sz w:val="21"/>
                <w:szCs w:val="21"/>
              </w:rPr>
              <w:t>2</w:t>
            </w:r>
          </w:p>
          <w:p w14:paraId="56CBC6DC">
            <w:pPr>
              <w:spacing w:line="240" w:lineRule="auto"/>
              <w:ind w:firstLine="0" w:firstLineChars="0"/>
              <w:jc w:val="center"/>
              <w:rPr>
                <w:sz w:val="21"/>
                <w:szCs w:val="21"/>
              </w:rPr>
            </w:pPr>
            <w:r>
              <w:rPr>
                <w:sz w:val="21"/>
                <w:szCs w:val="21"/>
              </w:rPr>
              <w:t>（</w:t>
            </w:r>
            <w:r>
              <w:rPr>
                <w:rFonts w:hint="eastAsia"/>
                <w:sz w:val="21"/>
                <w:szCs w:val="21"/>
              </w:rPr>
              <w:t>1</w:t>
            </w:r>
            <w:r>
              <w:rPr>
                <w:sz w:val="21"/>
                <w:szCs w:val="21"/>
              </w:rPr>
              <w:t>项不涉及）</w:t>
            </w:r>
          </w:p>
        </w:tc>
        <w:tc>
          <w:tcPr>
            <w:tcW w:w="0" w:type="auto"/>
            <w:vAlign w:val="center"/>
          </w:tcPr>
          <w:p w14:paraId="6298D9D6">
            <w:pPr>
              <w:spacing w:line="240" w:lineRule="auto"/>
              <w:ind w:firstLine="0" w:firstLineChars="0"/>
              <w:jc w:val="center"/>
              <w:rPr>
                <w:sz w:val="21"/>
                <w:szCs w:val="21"/>
              </w:rPr>
            </w:pPr>
            <w:r>
              <w:rPr>
                <w:sz w:val="21"/>
                <w:szCs w:val="21"/>
              </w:rPr>
              <w:t>0</w:t>
            </w:r>
          </w:p>
        </w:tc>
      </w:tr>
      <w:tr w14:paraId="3DFAB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0" w:type="auto"/>
            <w:vAlign w:val="center"/>
          </w:tcPr>
          <w:p w14:paraId="4E8B05EE">
            <w:pPr>
              <w:spacing w:line="240" w:lineRule="auto"/>
              <w:ind w:firstLine="0" w:firstLineChars="0"/>
              <w:jc w:val="center"/>
              <w:rPr>
                <w:sz w:val="21"/>
                <w:szCs w:val="21"/>
              </w:rPr>
            </w:pPr>
            <w:r>
              <w:rPr>
                <w:sz w:val="21"/>
                <w:szCs w:val="21"/>
              </w:rPr>
              <w:t>8</w:t>
            </w:r>
          </w:p>
        </w:tc>
        <w:tc>
          <w:tcPr>
            <w:tcW w:w="0" w:type="auto"/>
            <w:vAlign w:val="center"/>
          </w:tcPr>
          <w:p w14:paraId="466F58F9">
            <w:pPr>
              <w:spacing w:line="240" w:lineRule="auto"/>
              <w:ind w:firstLine="0" w:firstLineChars="0"/>
              <w:jc w:val="center"/>
              <w:rPr>
                <w:sz w:val="21"/>
                <w:szCs w:val="21"/>
              </w:rPr>
            </w:pPr>
            <w:r>
              <w:rPr>
                <w:sz w:val="21"/>
                <w:szCs w:val="21"/>
              </w:rPr>
              <w:t>个人安全防护单元</w:t>
            </w:r>
          </w:p>
        </w:tc>
        <w:tc>
          <w:tcPr>
            <w:tcW w:w="0" w:type="auto"/>
            <w:vAlign w:val="center"/>
          </w:tcPr>
          <w:p w14:paraId="38B5164F">
            <w:pPr>
              <w:spacing w:line="240" w:lineRule="auto"/>
              <w:ind w:firstLine="0" w:firstLineChars="0"/>
              <w:jc w:val="center"/>
              <w:rPr>
                <w:sz w:val="21"/>
                <w:szCs w:val="21"/>
              </w:rPr>
            </w:pPr>
            <w:r>
              <w:rPr>
                <w:sz w:val="21"/>
                <w:szCs w:val="21"/>
              </w:rPr>
              <w:t>2</w:t>
            </w:r>
          </w:p>
        </w:tc>
        <w:tc>
          <w:tcPr>
            <w:tcW w:w="0" w:type="auto"/>
            <w:vAlign w:val="center"/>
          </w:tcPr>
          <w:p w14:paraId="1625A3FA">
            <w:pPr>
              <w:spacing w:line="240" w:lineRule="auto"/>
              <w:ind w:firstLine="0" w:firstLineChars="0"/>
              <w:jc w:val="center"/>
              <w:rPr>
                <w:sz w:val="21"/>
                <w:szCs w:val="21"/>
              </w:rPr>
            </w:pPr>
            <w:r>
              <w:rPr>
                <w:sz w:val="21"/>
                <w:szCs w:val="21"/>
              </w:rPr>
              <w:t>0</w:t>
            </w:r>
          </w:p>
        </w:tc>
        <w:tc>
          <w:tcPr>
            <w:tcW w:w="0" w:type="auto"/>
            <w:vAlign w:val="center"/>
          </w:tcPr>
          <w:p w14:paraId="3D10680A">
            <w:pPr>
              <w:spacing w:line="240" w:lineRule="auto"/>
              <w:ind w:firstLine="0" w:firstLineChars="0"/>
              <w:jc w:val="center"/>
              <w:rPr>
                <w:sz w:val="21"/>
                <w:szCs w:val="21"/>
              </w:rPr>
            </w:pPr>
            <w:r>
              <w:rPr>
                <w:sz w:val="21"/>
                <w:szCs w:val="21"/>
              </w:rPr>
              <w:t>0</w:t>
            </w:r>
          </w:p>
        </w:tc>
        <w:tc>
          <w:tcPr>
            <w:tcW w:w="0" w:type="auto"/>
            <w:vAlign w:val="center"/>
          </w:tcPr>
          <w:p w14:paraId="397426A5">
            <w:pPr>
              <w:spacing w:line="240" w:lineRule="auto"/>
              <w:ind w:firstLine="0" w:firstLineChars="0"/>
              <w:jc w:val="center"/>
              <w:rPr>
                <w:sz w:val="21"/>
                <w:szCs w:val="21"/>
              </w:rPr>
            </w:pPr>
            <w:r>
              <w:rPr>
                <w:sz w:val="21"/>
                <w:szCs w:val="21"/>
              </w:rPr>
              <w:t>2</w:t>
            </w:r>
          </w:p>
        </w:tc>
        <w:tc>
          <w:tcPr>
            <w:tcW w:w="0" w:type="auto"/>
            <w:vAlign w:val="center"/>
          </w:tcPr>
          <w:p w14:paraId="37FB47B5">
            <w:pPr>
              <w:spacing w:line="240" w:lineRule="auto"/>
              <w:ind w:firstLine="0" w:firstLineChars="0"/>
              <w:jc w:val="center"/>
              <w:rPr>
                <w:sz w:val="21"/>
                <w:szCs w:val="21"/>
              </w:rPr>
            </w:pPr>
            <w:r>
              <w:rPr>
                <w:sz w:val="21"/>
                <w:szCs w:val="21"/>
              </w:rPr>
              <w:t>0</w:t>
            </w:r>
          </w:p>
        </w:tc>
      </w:tr>
      <w:tr w14:paraId="18B9D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0" w:type="auto"/>
            <w:vAlign w:val="center"/>
          </w:tcPr>
          <w:p w14:paraId="55E508F4">
            <w:pPr>
              <w:spacing w:line="240" w:lineRule="auto"/>
              <w:ind w:firstLine="0" w:firstLineChars="0"/>
              <w:jc w:val="center"/>
              <w:rPr>
                <w:sz w:val="21"/>
                <w:szCs w:val="21"/>
              </w:rPr>
            </w:pPr>
            <w:r>
              <w:rPr>
                <w:sz w:val="21"/>
                <w:szCs w:val="21"/>
              </w:rPr>
              <w:t>9</w:t>
            </w:r>
          </w:p>
        </w:tc>
        <w:tc>
          <w:tcPr>
            <w:tcW w:w="0" w:type="auto"/>
            <w:vAlign w:val="center"/>
          </w:tcPr>
          <w:p w14:paraId="4E955DF1">
            <w:pPr>
              <w:spacing w:line="240" w:lineRule="auto"/>
              <w:ind w:firstLine="0" w:firstLineChars="0"/>
              <w:jc w:val="center"/>
              <w:rPr>
                <w:sz w:val="21"/>
                <w:szCs w:val="21"/>
              </w:rPr>
            </w:pPr>
            <w:r>
              <w:rPr>
                <w:sz w:val="21"/>
                <w:szCs w:val="21"/>
              </w:rPr>
              <w:t>安全标志单元</w:t>
            </w:r>
          </w:p>
        </w:tc>
        <w:tc>
          <w:tcPr>
            <w:tcW w:w="0" w:type="auto"/>
            <w:vAlign w:val="center"/>
          </w:tcPr>
          <w:p w14:paraId="5341D691">
            <w:pPr>
              <w:spacing w:line="240" w:lineRule="auto"/>
              <w:ind w:firstLine="0" w:firstLineChars="0"/>
              <w:jc w:val="center"/>
              <w:rPr>
                <w:sz w:val="21"/>
                <w:szCs w:val="21"/>
              </w:rPr>
            </w:pPr>
            <w:r>
              <w:rPr>
                <w:sz w:val="21"/>
                <w:szCs w:val="21"/>
              </w:rPr>
              <w:t>4</w:t>
            </w:r>
          </w:p>
        </w:tc>
        <w:tc>
          <w:tcPr>
            <w:tcW w:w="0" w:type="auto"/>
            <w:vAlign w:val="center"/>
          </w:tcPr>
          <w:p w14:paraId="1FD167B9">
            <w:pPr>
              <w:spacing w:line="240" w:lineRule="auto"/>
              <w:ind w:firstLine="0" w:firstLineChars="0"/>
              <w:jc w:val="center"/>
              <w:rPr>
                <w:sz w:val="21"/>
                <w:szCs w:val="21"/>
              </w:rPr>
            </w:pPr>
            <w:r>
              <w:rPr>
                <w:sz w:val="21"/>
                <w:szCs w:val="21"/>
              </w:rPr>
              <w:t>0</w:t>
            </w:r>
          </w:p>
        </w:tc>
        <w:tc>
          <w:tcPr>
            <w:tcW w:w="0" w:type="auto"/>
            <w:vAlign w:val="center"/>
          </w:tcPr>
          <w:p w14:paraId="3F84DF07">
            <w:pPr>
              <w:spacing w:line="240" w:lineRule="auto"/>
              <w:ind w:firstLine="0" w:firstLineChars="0"/>
              <w:jc w:val="center"/>
              <w:rPr>
                <w:sz w:val="21"/>
                <w:szCs w:val="21"/>
              </w:rPr>
            </w:pPr>
            <w:r>
              <w:rPr>
                <w:sz w:val="21"/>
                <w:szCs w:val="21"/>
              </w:rPr>
              <w:t>0</w:t>
            </w:r>
          </w:p>
        </w:tc>
        <w:tc>
          <w:tcPr>
            <w:tcW w:w="0" w:type="auto"/>
            <w:vAlign w:val="center"/>
          </w:tcPr>
          <w:p w14:paraId="676CD992">
            <w:pPr>
              <w:spacing w:line="240" w:lineRule="auto"/>
              <w:ind w:firstLine="0" w:firstLineChars="0"/>
              <w:jc w:val="center"/>
              <w:rPr>
                <w:sz w:val="21"/>
                <w:szCs w:val="21"/>
              </w:rPr>
            </w:pPr>
            <w:r>
              <w:rPr>
                <w:sz w:val="21"/>
                <w:szCs w:val="21"/>
              </w:rPr>
              <w:t>4</w:t>
            </w:r>
          </w:p>
        </w:tc>
        <w:tc>
          <w:tcPr>
            <w:tcW w:w="0" w:type="auto"/>
            <w:vAlign w:val="center"/>
          </w:tcPr>
          <w:p w14:paraId="55E3A18F">
            <w:pPr>
              <w:spacing w:line="240" w:lineRule="auto"/>
              <w:ind w:firstLine="0" w:firstLineChars="0"/>
              <w:jc w:val="center"/>
              <w:rPr>
                <w:sz w:val="21"/>
                <w:szCs w:val="21"/>
              </w:rPr>
            </w:pPr>
            <w:r>
              <w:rPr>
                <w:sz w:val="21"/>
                <w:szCs w:val="21"/>
              </w:rPr>
              <w:t>0</w:t>
            </w:r>
          </w:p>
        </w:tc>
      </w:tr>
      <w:tr w14:paraId="04A79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0" w:type="auto"/>
            <w:vAlign w:val="center"/>
          </w:tcPr>
          <w:p w14:paraId="2D823FBB">
            <w:pPr>
              <w:spacing w:line="240" w:lineRule="auto"/>
              <w:ind w:firstLine="0" w:firstLineChars="0"/>
              <w:jc w:val="center"/>
              <w:rPr>
                <w:sz w:val="21"/>
                <w:szCs w:val="21"/>
              </w:rPr>
            </w:pPr>
            <w:r>
              <w:rPr>
                <w:sz w:val="21"/>
                <w:szCs w:val="21"/>
              </w:rPr>
              <w:t>10</w:t>
            </w:r>
          </w:p>
        </w:tc>
        <w:tc>
          <w:tcPr>
            <w:tcW w:w="0" w:type="auto"/>
            <w:vAlign w:val="center"/>
          </w:tcPr>
          <w:p w14:paraId="78D3C2D8">
            <w:pPr>
              <w:spacing w:line="240" w:lineRule="auto"/>
              <w:ind w:firstLine="0" w:firstLineChars="0"/>
              <w:jc w:val="center"/>
              <w:rPr>
                <w:sz w:val="21"/>
                <w:szCs w:val="21"/>
              </w:rPr>
            </w:pPr>
            <w:r>
              <w:rPr>
                <w:sz w:val="21"/>
                <w:szCs w:val="21"/>
              </w:rPr>
              <w:t>安全管理单元</w:t>
            </w:r>
          </w:p>
        </w:tc>
        <w:tc>
          <w:tcPr>
            <w:tcW w:w="0" w:type="auto"/>
            <w:vAlign w:val="center"/>
          </w:tcPr>
          <w:p w14:paraId="6EE6D778">
            <w:pPr>
              <w:spacing w:line="240" w:lineRule="auto"/>
              <w:ind w:firstLine="0" w:firstLineChars="0"/>
              <w:jc w:val="center"/>
              <w:rPr>
                <w:sz w:val="21"/>
                <w:szCs w:val="21"/>
              </w:rPr>
            </w:pPr>
            <w:r>
              <w:rPr>
                <w:sz w:val="21"/>
                <w:szCs w:val="21"/>
              </w:rPr>
              <w:t>14</w:t>
            </w:r>
          </w:p>
        </w:tc>
        <w:tc>
          <w:tcPr>
            <w:tcW w:w="0" w:type="auto"/>
            <w:vAlign w:val="center"/>
          </w:tcPr>
          <w:p w14:paraId="28E5124D">
            <w:pPr>
              <w:spacing w:line="240" w:lineRule="auto"/>
              <w:ind w:firstLine="0" w:firstLineChars="0"/>
              <w:jc w:val="center"/>
              <w:rPr>
                <w:sz w:val="21"/>
                <w:szCs w:val="21"/>
              </w:rPr>
            </w:pPr>
            <w:r>
              <w:rPr>
                <w:sz w:val="21"/>
                <w:szCs w:val="21"/>
              </w:rPr>
              <w:t>1</w:t>
            </w:r>
          </w:p>
        </w:tc>
        <w:tc>
          <w:tcPr>
            <w:tcW w:w="0" w:type="auto"/>
            <w:vAlign w:val="center"/>
          </w:tcPr>
          <w:p w14:paraId="76FBE99D">
            <w:pPr>
              <w:spacing w:line="240" w:lineRule="auto"/>
              <w:ind w:firstLine="0" w:firstLineChars="0"/>
              <w:jc w:val="center"/>
              <w:rPr>
                <w:sz w:val="21"/>
                <w:szCs w:val="21"/>
              </w:rPr>
            </w:pPr>
            <w:r>
              <w:rPr>
                <w:sz w:val="21"/>
                <w:szCs w:val="21"/>
              </w:rPr>
              <w:t>0</w:t>
            </w:r>
          </w:p>
        </w:tc>
        <w:tc>
          <w:tcPr>
            <w:tcW w:w="0" w:type="auto"/>
            <w:vAlign w:val="center"/>
          </w:tcPr>
          <w:p w14:paraId="393E1D7A">
            <w:pPr>
              <w:spacing w:line="240" w:lineRule="auto"/>
              <w:ind w:firstLine="0" w:firstLineChars="0"/>
              <w:jc w:val="center"/>
              <w:rPr>
                <w:sz w:val="21"/>
                <w:szCs w:val="21"/>
              </w:rPr>
            </w:pPr>
            <w:r>
              <w:rPr>
                <w:sz w:val="21"/>
                <w:szCs w:val="21"/>
              </w:rPr>
              <w:t>9</w:t>
            </w:r>
          </w:p>
        </w:tc>
        <w:tc>
          <w:tcPr>
            <w:tcW w:w="0" w:type="auto"/>
            <w:vAlign w:val="center"/>
          </w:tcPr>
          <w:p w14:paraId="1EFDAB76">
            <w:pPr>
              <w:spacing w:line="240" w:lineRule="auto"/>
              <w:ind w:firstLine="0" w:firstLineChars="0"/>
              <w:jc w:val="center"/>
              <w:rPr>
                <w:sz w:val="21"/>
                <w:szCs w:val="21"/>
              </w:rPr>
            </w:pPr>
            <w:r>
              <w:rPr>
                <w:sz w:val="21"/>
                <w:szCs w:val="21"/>
              </w:rPr>
              <w:t>2</w:t>
            </w:r>
          </w:p>
        </w:tc>
      </w:tr>
      <w:tr w14:paraId="684EA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0" w:type="auto"/>
            <w:vAlign w:val="center"/>
          </w:tcPr>
          <w:p w14:paraId="2C0DDCA1">
            <w:pPr>
              <w:spacing w:line="240" w:lineRule="auto"/>
              <w:ind w:firstLine="0" w:firstLineChars="0"/>
              <w:jc w:val="center"/>
              <w:rPr>
                <w:sz w:val="21"/>
                <w:szCs w:val="21"/>
              </w:rPr>
            </w:pPr>
            <w:r>
              <w:rPr>
                <w:sz w:val="21"/>
                <w:szCs w:val="21"/>
              </w:rPr>
              <w:t>11</w:t>
            </w:r>
          </w:p>
        </w:tc>
        <w:tc>
          <w:tcPr>
            <w:tcW w:w="0" w:type="auto"/>
            <w:vAlign w:val="center"/>
          </w:tcPr>
          <w:p w14:paraId="2AD5DC37">
            <w:pPr>
              <w:spacing w:line="240" w:lineRule="auto"/>
              <w:ind w:firstLine="0" w:firstLineChars="0"/>
              <w:jc w:val="center"/>
              <w:rPr>
                <w:sz w:val="21"/>
                <w:szCs w:val="21"/>
              </w:rPr>
            </w:pPr>
            <w:r>
              <w:rPr>
                <w:sz w:val="21"/>
                <w:szCs w:val="21"/>
              </w:rPr>
              <w:t>重大事故隐患判定</w:t>
            </w:r>
          </w:p>
        </w:tc>
        <w:tc>
          <w:tcPr>
            <w:tcW w:w="0" w:type="auto"/>
            <w:vAlign w:val="center"/>
          </w:tcPr>
          <w:p w14:paraId="696DE7A5">
            <w:pPr>
              <w:spacing w:line="240" w:lineRule="auto"/>
              <w:ind w:firstLine="0" w:firstLineChars="0"/>
              <w:jc w:val="center"/>
              <w:rPr>
                <w:sz w:val="21"/>
                <w:szCs w:val="21"/>
              </w:rPr>
            </w:pPr>
            <w:r>
              <w:rPr>
                <w:sz w:val="21"/>
                <w:szCs w:val="21"/>
              </w:rPr>
              <w:t>15</w:t>
            </w:r>
          </w:p>
        </w:tc>
        <w:tc>
          <w:tcPr>
            <w:tcW w:w="0" w:type="auto"/>
            <w:vAlign w:val="center"/>
          </w:tcPr>
          <w:p w14:paraId="385C9197">
            <w:pPr>
              <w:spacing w:line="240" w:lineRule="auto"/>
              <w:ind w:firstLine="0" w:firstLineChars="0"/>
              <w:jc w:val="center"/>
              <w:rPr>
                <w:sz w:val="21"/>
                <w:szCs w:val="21"/>
              </w:rPr>
            </w:pPr>
            <w:r>
              <w:rPr>
                <w:sz w:val="21"/>
                <w:szCs w:val="21"/>
              </w:rPr>
              <w:t>15</w:t>
            </w:r>
          </w:p>
          <w:p w14:paraId="524A0FDE">
            <w:pPr>
              <w:spacing w:line="240" w:lineRule="auto"/>
              <w:ind w:firstLine="0" w:firstLineChars="0"/>
              <w:jc w:val="center"/>
              <w:rPr>
                <w:sz w:val="21"/>
                <w:szCs w:val="21"/>
              </w:rPr>
            </w:pPr>
            <w:r>
              <w:rPr>
                <w:sz w:val="21"/>
                <w:szCs w:val="21"/>
              </w:rPr>
              <w:t>（</w:t>
            </w:r>
            <w:r>
              <w:rPr>
                <w:rFonts w:hint="eastAsia"/>
                <w:sz w:val="21"/>
                <w:szCs w:val="21"/>
              </w:rPr>
              <w:t>4</w:t>
            </w:r>
            <w:r>
              <w:rPr>
                <w:sz w:val="21"/>
                <w:szCs w:val="21"/>
              </w:rPr>
              <w:t>项不涉及）</w:t>
            </w:r>
          </w:p>
        </w:tc>
        <w:tc>
          <w:tcPr>
            <w:tcW w:w="0" w:type="auto"/>
            <w:vAlign w:val="center"/>
          </w:tcPr>
          <w:p w14:paraId="7E4F9275">
            <w:pPr>
              <w:spacing w:line="240" w:lineRule="auto"/>
              <w:ind w:firstLine="0" w:firstLineChars="0"/>
              <w:jc w:val="center"/>
              <w:rPr>
                <w:sz w:val="21"/>
                <w:szCs w:val="21"/>
              </w:rPr>
            </w:pPr>
            <w:r>
              <w:rPr>
                <w:sz w:val="21"/>
                <w:szCs w:val="21"/>
              </w:rPr>
              <w:t>0</w:t>
            </w:r>
          </w:p>
        </w:tc>
        <w:tc>
          <w:tcPr>
            <w:tcW w:w="0" w:type="auto"/>
            <w:vAlign w:val="center"/>
          </w:tcPr>
          <w:p w14:paraId="4DB29866">
            <w:pPr>
              <w:spacing w:line="240" w:lineRule="auto"/>
              <w:ind w:firstLine="0" w:firstLineChars="0"/>
              <w:jc w:val="center"/>
              <w:rPr>
                <w:sz w:val="21"/>
                <w:szCs w:val="21"/>
              </w:rPr>
            </w:pPr>
            <w:r>
              <w:rPr>
                <w:sz w:val="21"/>
                <w:szCs w:val="21"/>
              </w:rPr>
              <w:t>0</w:t>
            </w:r>
          </w:p>
        </w:tc>
        <w:tc>
          <w:tcPr>
            <w:tcW w:w="0" w:type="auto"/>
            <w:vAlign w:val="center"/>
          </w:tcPr>
          <w:p w14:paraId="578D71AC">
            <w:pPr>
              <w:spacing w:line="240" w:lineRule="auto"/>
              <w:ind w:firstLine="0" w:firstLineChars="0"/>
              <w:jc w:val="center"/>
              <w:rPr>
                <w:sz w:val="21"/>
                <w:szCs w:val="21"/>
              </w:rPr>
            </w:pPr>
            <w:r>
              <w:rPr>
                <w:sz w:val="21"/>
                <w:szCs w:val="21"/>
              </w:rPr>
              <w:t>0</w:t>
            </w:r>
          </w:p>
        </w:tc>
      </w:tr>
      <w:tr w14:paraId="01B57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0" w:type="auto"/>
            <w:vAlign w:val="center"/>
          </w:tcPr>
          <w:p w14:paraId="2D64BA70">
            <w:pPr>
              <w:spacing w:line="240" w:lineRule="auto"/>
              <w:ind w:firstLine="0" w:firstLineChars="0"/>
              <w:jc w:val="center"/>
              <w:rPr>
                <w:sz w:val="21"/>
                <w:szCs w:val="21"/>
              </w:rPr>
            </w:pPr>
            <w:r>
              <w:rPr>
                <w:sz w:val="21"/>
                <w:szCs w:val="21"/>
              </w:rPr>
              <w:t>12</w:t>
            </w:r>
          </w:p>
        </w:tc>
        <w:tc>
          <w:tcPr>
            <w:tcW w:w="0" w:type="auto"/>
            <w:vAlign w:val="center"/>
          </w:tcPr>
          <w:p w14:paraId="0C5127B8">
            <w:pPr>
              <w:spacing w:line="240" w:lineRule="auto"/>
              <w:ind w:firstLine="0" w:firstLineChars="0"/>
              <w:jc w:val="center"/>
              <w:rPr>
                <w:sz w:val="21"/>
                <w:szCs w:val="21"/>
              </w:rPr>
            </w:pPr>
            <w:r>
              <w:rPr>
                <w:sz w:val="21"/>
                <w:szCs w:val="21"/>
              </w:rPr>
              <w:t>合计</w:t>
            </w:r>
          </w:p>
        </w:tc>
        <w:tc>
          <w:tcPr>
            <w:tcW w:w="0" w:type="auto"/>
            <w:vAlign w:val="center"/>
          </w:tcPr>
          <w:p w14:paraId="206D66D5">
            <w:pPr>
              <w:spacing w:line="240" w:lineRule="auto"/>
              <w:ind w:firstLine="0" w:firstLineChars="0"/>
              <w:jc w:val="center"/>
              <w:rPr>
                <w:sz w:val="21"/>
                <w:szCs w:val="21"/>
              </w:rPr>
            </w:pPr>
            <w:r>
              <w:rPr>
                <w:sz w:val="21"/>
                <w:szCs w:val="21"/>
              </w:rPr>
              <w:t>96</w:t>
            </w:r>
          </w:p>
        </w:tc>
        <w:tc>
          <w:tcPr>
            <w:tcW w:w="0" w:type="auto"/>
            <w:vAlign w:val="center"/>
          </w:tcPr>
          <w:p w14:paraId="200EBA92">
            <w:pPr>
              <w:spacing w:line="240" w:lineRule="auto"/>
              <w:ind w:firstLine="0" w:firstLineChars="0"/>
              <w:jc w:val="center"/>
              <w:rPr>
                <w:sz w:val="21"/>
                <w:szCs w:val="21"/>
              </w:rPr>
            </w:pPr>
            <w:r>
              <w:rPr>
                <w:sz w:val="21"/>
                <w:szCs w:val="21"/>
              </w:rPr>
              <w:t>21</w:t>
            </w:r>
          </w:p>
        </w:tc>
        <w:tc>
          <w:tcPr>
            <w:tcW w:w="0" w:type="auto"/>
            <w:vAlign w:val="center"/>
          </w:tcPr>
          <w:p w14:paraId="70182790">
            <w:pPr>
              <w:spacing w:line="240" w:lineRule="auto"/>
              <w:ind w:firstLine="0" w:firstLineChars="0"/>
              <w:jc w:val="center"/>
              <w:rPr>
                <w:sz w:val="21"/>
                <w:szCs w:val="21"/>
              </w:rPr>
            </w:pPr>
            <w:r>
              <w:rPr>
                <w:sz w:val="21"/>
                <w:szCs w:val="21"/>
              </w:rPr>
              <w:t>0</w:t>
            </w:r>
          </w:p>
        </w:tc>
        <w:tc>
          <w:tcPr>
            <w:tcW w:w="0" w:type="auto"/>
            <w:vAlign w:val="center"/>
          </w:tcPr>
          <w:p w14:paraId="69B2A5D0">
            <w:pPr>
              <w:spacing w:line="240" w:lineRule="auto"/>
              <w:ind w:firstLine="0" w:firstLineChars="0"/>
              <w:jc w:val="center"/>
              <w:rPr>
                <w:sz w:val="21"/>
                <w:szCs w:val="21"/>
              </w:rPr>
            </w:pPr>
            <w:r>
              <w:rPr>
                <w:sz w:val="21"/>
                <w:szCs w:val="21"/>
              </w:rPr>
              <w:t>73</w:t>
            </w:r>
          </w:p>
        </w:tc>
        <w:tc>
          <w:tcPr>
            <w:tcW w:w="0" w:type="auto"/>
            <w:vAlign w:val="center"/>
          </w:tcPr>
          <w:p w14:paraId="059008FD">
            <w:pPr>
              <w:spacing w:line="240" w:lineRule="auto"/>
              <w:ind w:firstLine="0" w:firstLineChars="0"/>
              <w:jc w:val="center"/>
              <w:rPr>
                <w:sz w:val="21"/>
                <w:szCs w:val="21"/>
              </w:rPr>
            </w:pPr>
            <w:r>
              <w:rPr>
                <w:sz w:val="21"/>
                <w:szCs w:val="21"/>
              </w:rPr>
              <w:t>2</w:t>
            </w:r>
          </w:p>
        </w:tc>
      </w:tr>
    </w:tbl>
    <w:p w14:paraId="2AD6A3A2">
      <w:pPr>
        <w:pStyle w:val="5"/>
        <w:spacing w:before="0" w:beforeLines="0"/>
        <w:rPr>
          <w:b/>
          <w:bCs w:val="0"/>
        </w:rPr>
      </w:pPr>
      <w:bookmarkStart w:id="607" w:name="_Toc21492"/>
      <w:r>
        <w:rPr>
          <w:b/>
          <w:bCs w:val="0"/>
        </w:rPr>
        <w:t>5.2验收评价结论</w:t>
      </w:r>
      <w:bookmarkEnd w:id="600"/>
      <w:bookmarkEnd w:id="601"/>
      <w:bookmarkEnd w:id="602"/>
      <w:bookmarkEnd w:id="603"/>
      <w:bookmarkEnd w:id="604"/>
      <w:bookmarkEnd w:id="605"/>
      <w:bookmarkEnd w:id="606"/>
      <w:bookmarkEnd w:id="607"/>
    </w:p>
    <w:p w14:paraId="075035E7">
      <w:pPr>
        <w:ind w:firstLine="560"/>
      </w:pPr>
      <w:bookmarkStart w:id="608" w:name="_Toc59420575"/>
      <w:bookmarkStart w:id="609" w:name="_Toc27400"/>
      <w:bookmarkStart w:id="610" w:name="_Toc323133181"/>
      <w:bookmarkStart w:id="611" w:name="_Toc3257"/>
      <w:bookmarkStart w:id="612" w:name="_Toc8289"/>
      <w:bookmarkStart w:id="613" w:name="_Toc454614362"/>
      <w:bookmarkStart w:id="614" w:name="_Toc9546"/>
      <w:r>
        <w:t>评价小组通过对永善县茂林镇松林村海子采石场的现场开采生产现状调查，对各项安全管理资料、各单项工程竣工验收文件的查阅和分析，根据该项目的特点，对照《安全设施设计》进行安全设施符合性评价，根据《国家安全监管总局关于规范金属非金属矿山建设项目安全设施竣工验收工作的通知》（安监总管一﹝2016﹞14号）附表《金属非金属露天矿山建设项目安全设施竣工验收表》的验收要求，依据国家相关法律、法规及标准规范，评价小组作出评价结论如下：</w:t>
      </w:r>
    </w:p>
    <w:p w14:paraId="2B30A44E">
      <w:pPr>
        <w:ind w:firstLine="560"/>
      </w:pPr>
      <w:r>
        <w:t>永善县茂林镇松林村海子采石场证照齐全、有效，企业委托有效资质单位编制了《永善县茂林镇松林村海子采石场50万t/a露天采矿工程安全预评价》、</w:t>
      </w:r>
      <w:r>
        <w:rPr>
          <w:rFonts w:hint="eastAsia"/>
        </w:rPr>
        <w:t>《永善润佳制造有限责任公司永善县茂林镇松林村海子采石场50万t/a露天采矿工程安全设施设计》</w:t>
      </w:r>
      <w:r>
        <w:t>，安全设施设计通过专家审查。已委托辽宁诺诚安全科技有限公司进行安全设施验收评价，建设项目“三同时”手续完善，符合国家有关法律、法规规定和标准规范要求。</w:t>
      </w:r>
    </w:p>
    <w:p w14:paraId="041BFF75">
      <w:pPr>
        <w:ind w:firstLine="560"/>
      </w:pPr>
      <w:r>
        <w:t>经评价，各单元符合相关规程、规范、标准要求，无否决项，建设项目按设计要求完成了基本建设，建设程序符合“三同时”要求，设备设施可靠有效。按</w:t>
      </w:r>
      <w:r>
        <w:rPr>
          <w:rFonts w:hint="eastAsia"/>
        </w:rPr>
        <w:t>《永善润佳制造有限责任公司永善县茂林镇松林村海子采石场50万t/a露天采矿工程安全设施设计》</w:t>
      </w:r>
      <w:r>
        <w:t>及《金属非金属露天矿山建设项目安全设施竣工验收表》进行对照检查，共检查项目96项，有89项合格，5项不涉及，有2项不合格，检查项目不合格项比例为2÷91×100%≈2.2%，未超过5%，不合格项中没有否决项。</w:t>
      </w:r>
    </w:p>
    <w:p w14:paraId="4123EB0B">
      <w:pPr>
        <w:ind w:firstLine="562"/>
        <w:rPr>
          <w:b/>
          <w:bCs/>
        </w:rPr>
      </w:pPr>
      <w:r>
        <w:rPr>
          <w:b/>
          <w:bCs/>
        </w:rPr>
        <w:t>安全验收评价结论：</w:t>
      </w:r>
      <w:r>
        <w:rPr>
          <w:rFonts w:hint="eastAsia"/>
          <w:b/>
          <w:bCs/>
        </w:rPr>
        <w:t>永善润佳制造有限责任公司</w:t>
      </w:r>
      <w:r>
        <w:rPr>
          <w:b/>
          <w:bCs/>
        </w:rPr>
        <w:t>永善县茂林镇松林村海子采石场50万t/a露天采矿工程安全设施符合国家及云南省安全相关法律、法规、标准及规范的要求，具备安全验收条件。</w:t>
      </w:r>
    </w:p>
    <w:p w14:paraId="19FCE009">
      <w:pPr>
        <w:ind w:firstLine="560"/>
      </w:pPr>
      <w:r>
        <w:t>总之，安全生产是一个不断完善的动态过程，企业应按照本报告提出的对策措施建议进行整改完善。在今后的安全生产过程中，应根据安全生产条件的变化和国家法规的进一步要求，不断完善安全技术措施和管理措施，提升安全技术水平，预防生产安全事故的发生，切实保障人民生命和企业财产的安全。</w:t>
      </w:r>
    </w:p>
    <w:p w14:paraId="152B8759">
      <w:pPr>
        <w:pStyle w:val="4"/>
        <w:rPr>
          <w:b/>
          <w:bCs w:val="0"/>
          <w:szCs w:val="36"/>
        </w:rPr>
      </w:pPr>
      <w:r>
        <w:br w:type="page"/>
      </w:r>
      <w:bookmarkStart w:id="615" w:name="_Toc30286"/>
      <w:bookmarkStart w:id="616" w:name="_Toc7659"/>
      <w:bookmarkStart w:id="617" w:name="_Toc14029"/>
      <w:bookmarkStart w:id="618" w:name="_Toc2665"/>
      <w:r>
        <w:rPr>
          <w:b/>
          <w:bCs w:val="0"/>
        </w:rPr>
        <w:t>6 附件</w:t>
      </w:r>
      <w:bookmarkEnd w:id="608"/>
      <w:bookmarkEnd w:id="609"/>
      <w:bookmarkEnd w:id="610"/>
      <w:bookmarkEnd w:id="611"/>
      <w:bookmarkEnd w:id="612"/>
      <w:bookmarkEnd w:id="613"/>
      <w:r>
        <w:rPr>
          <w:b/>
          <w:bCs w:val="0"/>
        </w:rPr>
        <w:t>及附图</w:t>
      </w:r>
      <w:bookmarkEnd w:id="614"/>
      <w:bookmarkEnd w:id="615"/>
      <w:bookmarkEnd w:id="616"/>
      <w:bookmarkEnd w:id="617"/>
      <w:bookmarkEnd w:id="618"/>
    </w:p>
    <w:p w14:paraId="41F41F26">
      <w:pPr>
        <w:pStyle w:val="5"/>
        <w:spacing w:before="0" w:beforeLines="0"/>
        <w:rPr>
          <w:b/>
          <w:bCs w:val="0"/>
        </w:rPr>
      </w:pPr>
      <w:bookmarkStart w:id="619" w:name="_Toc21779"/>
      <w:bookmarkStart w:id="620" w:name="_Toc18955"/>
      <w:bookmarkStart w:id="621" w:name="_Toc3055"/>
      <w:bookmarkStart w:id="622" w:name="_Toc24798"/>
      <w:bookmarkStart w:id="623" w:name="_Toc18107"/>
      <w:r>
        <w:rPr>
          <w:b/>
          <w:bCs w:val="0"/>
        </w:rPr>
        <w:t>6.1 附件</w:t>
      </w:r>
      <w:bookmarkEnd w:id="619"/>
      <w:bookmarkEnd w:id="620"/>
      <w:bookmarkEnd w:id="621"/>
      <w:bookmarkEnd w:id="622"/>
      <w:bookmarkEnd w:id="623"/>
    </w:p>
    <w:p w14:paraId="4D5BC906">
      <w:pPr>
        <w:spacing w:line="500" w:lineRule="exact"/>
        <w:ind w:firstLine="560"/>
      </w:pPr>
      <w:r>
        <w:t>附件1：安全评价委托书</w:t>
      </w:r>
      <w:r>
        <w:tab/>
      </w:r>
    </w:p>
    <w:p w14:paraId="553BCB50">
      <w:pPr>
        <w:spacing w:line="500" w:lineRule="exact"/>
        <w:ind w:firstLine="560"/>
      </w:pPr>
      <w:r>
        <w:t>附件2：材料真实性承诺书</w:t>
      </w:r>
    </w:p>
    <w:p w14:paraId="71F3979F">
      <w:pPr>
        <w:spacing w:line="500" w:lineRule="exact"/>
        <w:ind w:firstLine="560"/>
      </w:pPr>
      <w:r>
        <w:t>附件3：营业执照</w:t>
      </w:r>
    </w:p>
    <w:p w14:paraId="290CAD9E">
      <w:pPr>
        <w:spacing w:line="500" w:lineRule="exact"/>
        <w:ind w:firstLine="560"/>
      </w:pPr>
      <w:r>
        <w:t>附件4：采矿许可证</w:t>
      </w:r>
      <w:r>
        <w:tab/>
      </w:r>
    </w:p>
    <w:p w14:paraId="666D4DCE">
      <w:pPr>
        <w:spacing w:line="500" w:lineRule="exact"/>
        <w:ind w:firstLine="560"/>
      </w:pPr>
      <w:r>
        <w:t>附件</w:t>
      </w:r>
      <w:r>
        <w:rPr>
          <w:rFonts w:hint="eastAsia"/>
        </w:rPr>
        <w:t>6</w:t>
      </w:r>
      <w:r>
        <w:t>：安全管理机构成立文件及主要负责人、安全管理人员任命文件</w:t>
      </w:r>
    </w:p>
    <w:p w14:paraId="0A4EB5A6">
      <w:pPr>
        <w:spacing w:line="500" w:lineRule="exact"/>
        <w:ind w:firstLine="560"/>
      </w:pPr>
      <w:r>
        <w:rPr>
          <w:rFonts w:hint="eastAsia"/>
        </w:rPr>
        <w:t>附件5：云南省固定资产投资项目备案证</w:t>
      </w:r>
    </w:p>
    <w:p w14:paraId="089B64AB">
      <w:pPr>
        <w:spacing w:line="500" w:lineRule="exact"/>
        <w:ind w:firstLine="560"/>
      </w:pPr>
      <w:r>
        <w:t>附件</w:t>
      </w:r>
      <w:r>
        <w:rPr>
          <w:rFonts w:hint="eastAsia"/>
        </w:rPr>
        <w:t>7</w:t>
      </w:r>
      <w:r>
        <w:t>：</w:t>
      </w:r>
      <w:r>
        <w:rPr>
          <w:szCs w:val="28"/>
        </w:rPr>
        <w:t>主要负责人、安全管理人员考核合格证及特种作业人员操作证</w:t>
      </w:r>
    </w:p>
    <w:p w14:paraId="4C71B2E9">
      <w:pPr>
        <w:spacing w:line="500" w:lineRule="exact"/>
        <w:ind w:firstLine="560"/>
      </w:pPr>
      <w:r>
        <w:t>附件</w:t>
      </w:r>
      <w:r>
        <w:rPr>
          <w:rFonts w:hint="eastAsia"/>
        </w:rPr>
        <w:t>8</w:t>
      </w:r>
      <w:r>
        <w:t>：安全生产责任制、管理制度、操作规程封面及目录</w:t>
      </w:r>
    </w:p>
    <w:p w14:paraId="40E976BA">
      <w:pPr>
        <w:spacing w:line="500" w:lineRule="exact"/>
        <w:ind w:firstLine="560"/>
      </w:pPr>
      <w:r>
        <w:t>附件</w:t>
      </w:r>
      <w:r>
        <w:rPr>
          <w:rFonts w:hint="eastAsia"/>
        </w:rPr>
        <w:t>9</w:t>
      </w:r>
      <w:r>
        <w:t>：保险缴费凭证</w:t>
      </w:r>
    </w:p>
    <w:p w14:paraId="577C8E7E">
      <w:pPr>
        <w:spacing w:line="500" w:lineRule="exact"/>
        <w:ind w:firstLine="560"/>
      </w:pPr>
      <w:r>
        <w:t>附件</w:t>
      </w:r>
      <w:r>
        <w:rPr>
          <w:rFonts w:hint="eastAsia"/>
        </w:rPr>
        <w:t>10</w:t>
      </w:r>
      <w:r>
        <w:t>：应急预案备案登记表</w:t>
      </w:r>
    </w:p>
    <w:p w14:paraId="60735834">
      <w:pPr>
        <w:spacing w:line="500" w:lineRule="exact"/>
        <w:ind w:firstLine="560"/>
      </w:pPr>
      <w:r>
        <w:t>附件1</w:t>
      </w:r>
      <w:r>
        <w:rPr>
          <w:rFonts w:hint="eastAsia"/>
        </w:rPr>
        <w:t>1</w:t>
      </w:r>
      <w:r>
        <w:t>：部分安全生产台账记录</w:t>
      </w:r>
    </w:p>
    <w:p w14:paraId="440BBA54">
      <w:pPr>
        <w:spacing w:line="500" w:lineRule="exact"/>
        <w:ind w:firstLine="560"/>
      </w:pPr>
      <w:r>
        <w:t>附件1</w:t>
      </w:r>
      <w:r>
        <w:rPr>
          <w:rFonts w:hint="eastAsia"/>
        </w:rPr>
        <w:t>2</w:t>
      </w:r>
      <w:r>
        <w:t>：关于成立矿山应急小组的通知</w:t>
      </w:r>
    </w:p>
    <w:p w14:paraId="10F7F086">
      <w:pPr>
        <w:spacing w:line="500" w:lineRule="exact"/>
        <w:ind w:firstLine="560"/>
      </w:pPr>
      <w:r>
        <w:t>附件1</w:t>
      </w:r>
      <w:r>
        <w:rPr>
          <w:rFonts w:hint="eastAsia"/>
        </w:rPr>
        <w:t>3</w:t>
      </w:r>
      <w:r>
        <w:t>：应急救援协议书</w:t>
      </w:r>
    </w:p>
    <w:p w14:paraId="12D30D83">
      <w:pPr>
        <w:spacing w:line="500" w:lineRule="exact"/>
        <w:ind w:firstLine="560"/>
      </w:pPr>
      <w:r>
        <w:rPr>
          <w:rFonts w:hint="eastAsia"/>
        </w:rPr>
        <w:t>附件14：矿山天然牧草地情况说明</w:t>
      </w:r>
    </w:p>
    <w:p w14:paraId="45BA2358">
      <w:pPr>
        <w:spacing w:line="500" w:lineRule="exact"/>
        <w:ind w:firstLine="560"/>
      </w:pPr>
      <w:r>
        <w:t>附件15：矿山电力安全协议</w:t>
      </w:r>
    </w:p>
    <w:p w14:paraId="10EACF1F">
      <w:pPr>
        <w:spacing w:line="500" w:lineRule="exact"/>
        <w:ind w:firstLine="560"/>
      </w:pPr>
      <w:r>
        <w:t>附件16：房屋租赁协议及县应急局租赁证明</w:t>
      </w:r>
    </w:p>
    <w:p w14:paraId="1B189E2C">
      <w:pPr>
        <w:spacing w:line="500" w:lineRule="exact"/>
        <w:ind w:firstLine="560"/>
      </w:pPr>
      <w:r>
        <w:t>附件1</w:t>
      </w:r>
      <w:r>
        <w:rPr>
          <w:rFonts w:hint="eastAsia"/>
        </w:rPr>
        <w:t>7</w:t>
      </w:r>
      <w:r>
        <w:t>：安全预评价报告资质、扉页</w:t>
      </w:r>
    </w:p>
    <w:p w14:paraId="1A78C385">
      <w:pPr>
        <w:spacing w:line="500" w:lineRule="exact"/>
        <w:ind w:firstLine="560"/>
      </w:pPr>
      <w:r>
        <w:t>附件1</w:t>
      </w:r>
      <w:r>
        <w:rPr>
          <w:rFonts w:hint="eastAsia"/>
        </w:rPr>
        <w:t>8</w:t>
      </w:r>
      <w:r>
        <w:t>：安全设施设计封面、扉页、资质</w:t>
      </w:r>
    </w:p>
    <w:p w14:paraId="25F18E60">
      <w:pPr>
        <w:spacing w:line="500" w:lineRule="exact"/>
        <w:ind w:firstLine="560"/>
      </w:pPr>
      <w:r>
        <w:t>附件1</w:t>
      </w:r>
      <w:r>
        <w:rPr>
          <w:rFonts w:hint="eastAsia"/>
        </w:rPr>
        <w:t>9</w:t>
      </w:r>
      <w:r>
        <w:t>：应急管理部门审查意见</w:t>
      </w:r>
    </w:p>
    <w:p w14:paraId="3EEFB02C">
      <w:pPr>
        <w:spacing w:line="500" w:lineRule="exact"/>
        <w:ind w:firstLine="560"/>
      </w:pPr>
      <w:r>
        <w:t>附件</w:t>
      </w:r>
      <w:r>
        <w:rPr>
          <w:rFonts w:hint="eastAsia"/>
        </w:rPr>
        <w:t>20</w:t>
      </w:r>
      <w:r>
        <w:t>：爆破单位证照、爆破合同</w:t>
      </w:r>
    </w:p>
    <w:p w14:paraId="0C4663C6">
      <w:pPr>
        <w:spacing w:line="500" w:lineRule="exact"/>
        <w:ind w:firstLine="560"/>
      </w:pPr>
      <w:r>
        <w:t>附件</w:t>
      </w:r>
      <w:r>
        <w:rPr>
          <w:rFonts w:hint="eastAsia"/>
        </w:rPr>
        <w:t>21</w:t>
      </w:r>
      <w:r>
        <w:t>：</w:t>
      </w:r>
      <w:r>
        <w:rPr>
          <w:rFonts w:hint="eastAsia"/>
        </w:rPr>
        <w:t>设计</w:t>
      </w:r>
      <w:r>
        <w:t>变更说明</w:t>
      </w:r>
    </w:p>
    <w:p w14:paraId="036E69F7">
      <w:pPr>
        <w:spacing w:line="500" w:lineRule="exact"/>
        <w:ind w:firstLine="560"/>
      </w:pPr>
      <w:r>
        <w:rPr>
          <w:rFonts w:hint="eastAsia"/>
        </w:rPr>
        <w:t>附件22：</w:t>
      </w:r>
      <w:r>
        <w:t>施工总结报告</w:t>
      </w:r>
      <w:r>
        <w:rPr>
          <w:rFonts w:hint="eastAsia"/>
        </w:rPr>
        <w:t>封面、</w:t>
      </w:r>
      <w:r>
        <w:t>扉页、资质</w:t>
      </w:r>
    </w:p>
    <w:p w14:paraId="3DE3E3B3">
      <w:pPr>
        <w:spacing w:line="500" w:lineRule="exact"/>
        <w:ind w:firstLine="560"/>
      </w:pPr>
      <w:r>
        <w:t>附件</w:t>
      </w:r>
      <w:r>
        <w:rPr>
          <w:rFonts w:hint="eastAsia"/>
        </w:rPr>
        <w:t>23</w:t>
      </w:r>
      <w:r>
        <w:t>：施工项目部成立文件</w:t>
      </w:r>
    </w:p>
    <w:p w14:paraId="6AA321FE">
      <w:pPr>
        <w:spacing w:line="500" w:lineRule="exact"/>
        <w:ind w:firstLine="560"/>
      </w:pPr>
      <w:r>
        <w:t>附件</w:t>
      </w:r>
      <w:r>
        <w:rPr>
          <w:rFonts w:hint="eastAsia"/>
        </w:rPr>
        <w:t>24</w:t>
      </w:r>
      <w:r>
        <w:t>：监理总结报告</w:t>
      </w:r>
      <w:r>
        <w:rPr>
          <w:rFonts w:hint="eastAsia"/>
        </w:rPr>
        <w:t>封面、</w:t>
      </w:r>
      <w:r>
        <w:tab/>
      </w:r>
      <w:r>
        <w:t>扉页、资质</w:t>
      </w:r>
    </w:p>
    <w:p w14:paraId="0F5BF08F">
      <w:pPr>
        <w:spacing w:line="500" w:lineRule="exact"/>
        <w:ind w:firstLine="560"/>
      </w:pPr>
      <w:r>
        <w:t>附件2</w:t>
      </w:r>
      <w:r>
        <w:rPr>
          <w:rFonts w:hint="eastAsia"/>
        </w:rPr>
        <w:t>5</w:t>
      </w:r>
      <w:r>
        <w:t>：监理项目部成立文件</w:t>
      </w:r>
    </w:p>
    <w:p w14:paraId="552844E9">
      <w:pPr>
        <w:spacing w:line="500" w:lineRule="exact"/>
        <w:ind w:firstLine="560"/>
      </w:pPr>
      <w:r>
        <w:t>附件2</w:t>
      </w:r>
      <w:r>
        <w:rPr>
          <w:rFonts w:hint="eastAsia"/>
        </w:rPr>
        <w:t>6</w:t>
      </w:r>
      <w:r>
        <w:t>：试运行总结报告</w:t>
      </w:r>
    </w:p>
    <w:p w14:paraId="04E889DF">
      <w:pPr>
        <w:spacing w:line="500" w:lineRule="exact"/>
        <w:ind w:firstLine="560"/>
      </w:pPr>
      <w:r>
        <w:t>附件2</w:t>
      </w:r>
      <w:r>
        <w:rPr>
          <w:rFonts w:hint="eastAsia"/>
        </w:rPr>
        <w:t>7</w:t>
      </w:r>
      <w:r>
        <w:t>：安全设施自查</w:t>
      </w:r>
    </w:p>
    <w:p w14:paraId="67FDE0B7">
      <w:pPr>
        <w:spacing w:line="500" w:lineRule="exact"/>
        <w:ind w:firstLine="560"/>
      </w:pPr>
      <w:r>
        <w:t>附件2</w:t>
      </w:r>
      <w:r>
        <w:rPr>
          <w:rFonts w:hint="eastAsia"/>
        </w:rPr>
        <w:t>8</w:t>
      </w:r>
      <w:r>
        <w:t>：整改意见回复</w:t>
      </w:r>
    </w:p>
    <w:p w14:paraId="11A2A8DF">
      <w:pPr>
        <w:spacing w:line="500" w:lineRule="exact"/>
        <w:ind w:firstLine="560"/>
      </w:pPr>
      <w:r>
        <w:t>附件2</w:t>
      </w:r>
      <w:r>
        <w:rPr>
          <w:rFonts w:hint="eastAsia"/>
        </w:rPr>
        <w:t>9</w:t>
      </w:r>
      <w:r>
        <w:t>：安全评价检测检验机构从业告知书</w:t>
      </w:r>
    </w:p>
    <w:p w14:paraId="28352511">
      <w:pPr>
        <w:pStyle w:val="5"/>
        <w:spacing w:before="0" w:beforeLines="0"/>
        <w:rPr>
          <w:b/>
          <w:bCs w:val="0"/>
        </w:rPr>
      </w:pPr>
      <w:bookmarkStart w:id="624" w:name="_Toc10629"/>
      <w:bookmarkStart w:id="625" w:name="_Toc16328"/>
      <w:bookmarkStart w:id="626" w:name="_Toc27928"/>
      <w:bookmarkStart w:id="627" w:name="_Toc28122"/>
      <w:bookmarkStart w:id="628" w:name="_Toc8976"/>
      <w:r>
        <w:rPr>
          <w:b/>
          <w:bCs w:val="0"/>
        </w:rPr>
        <w:t>6.2 附图</w:t>
      </w:r>
      <w:bookmarkEnd w:id="624"/>
      <w:bookmarkEnd w:id="625"/>
      <w:bookmarkEnd w:id="626"/>
      <w:bookmarkEnd w:id="627"/>
      <w:bookmarkEnd w:id="628"/>
    </w:p>
    <w:p w14:paraId="7BA5B030">
      <w:pPr>
        <w:adjustRightInd/>
        <w:ind w:firstLine="560"/>
        <w:rPr>
          <w:szCs w:val="28"/>
        </w:rPr>
      </w:pPr>
      <w:r>
        <w:rPr>
          <w:szCs w:val="28"/>
        </w:rPr>
        <w:t>附图</w:t>
      </w:r>
      <w:r>
        <w:rPr>
          <w:rFonts w:hint="eastAsia"/>
          <w:szCs w:val="28"/>
        </w:rPr>
        <w:t>1</w:t>
      </w:r>
      <w:r>
        <w:rPr>
          <w:szCs w:val="28"/>
        </w:rPr>
        <w:t>：现状实测图</w:t>
      </w:r>
    </w:p>
    <w:p w14:paraId="1E6509BD">
      <w:pPr>
        <w:adjustRightInd/>
        <w:ind w:firstLine="560"/>
        <w:rPr>
          <w:szCs w:val="28"/>
        </w:rPr>
      </w:pPr>
      <w:r>
        <w:rPr>
          <w:szCs w:val="28"/>
        </w:rPr>
        <w:t>附图</w:t>
      </w:r>
      <w:r>
        <w:rPr>
          <w:rFonts w:hint="eastAsia"/>
          <w:szCs w:val="28"/>
        </w:rPr>
        <w:t>2</w:t>
      </w:r>
      <w:r>
        <w:rPr>
          <w:szCs w:val="28"/>
        </w:rPr>
        <w:t>：总平面布置竣工图</w:t>
      </w:r>
    </w:p>
    <w:p w14:paraId="25336B82">
      <w:pPr>
        <w:adjustRightInd/>
        <w:ind w:firstLine="560"/>
        <w:rPr>
          <w:szCs w:val="28"/>
        </w:rPr>
      </w:pPr>
      <w:r>
        <w:rPr>
          <w:szCs w:val="28"/>
        </w:rPr>
        <w:t>附图</w:t>
      </w:r>
      <w:r>
        <w:rPr>
          <w:rFonts w:hint="eastAsia"/>
          <w:szCs w:val="28"/>
        </w:rPr>
        <w:t>3</w:t>
      </w:r>
      <w:r>
        <w:rPr>
          <w:szCs w:val="28"/>
        </w:rPr>
        <w:t>：开拓运输系统基</w:t>
      </w:r>
      <w:bookmarkStart w:id="629" w:name="_GoBack"/>
      <w:bookmarkEnd w:id="629"/>
      <w:r>
        <w:rPr>
          <w:szCs w:val="28"/>
        </w:rPr>
        <w:t>建竣工图</w:t>
      </w:r>
    </w:p>
    <w:p w14:paraId="40B01785">
      <w:pPr>
        <w:adjustRightInd/>
        <w:ind w:firstLine="560"/>
        <w:rPr>
          <w:szCs w:val="28"/>
        </w:rPr>
      </w:pPr>
      <w:r>
        <w:rPr>
          <w:szCs w:val="28"/>
        </w:rPr>
        <w:t>附图</w:t>
      </w:r>
      <w:r>
        <w:rPr>
          <w:rFonts w:hint="eastAsia"/>
          <w:szCs w:val="28"/>
        </w:rPr>
        <w:t>4</w:t>
      </w:r>
      <w:r>
        <w:rPr>
          <w:szCs w:val="28"/>
        </w:rPr>
        <w:t>：开拓运输道路横断面图</w:t>
      </w:r>
    </w:p>
    <w:p w14:paraId="3E83131F">
      <w:pPr>
        <w:adjustRightInd/>
        <w:ind w:firstLine="560"/>
        <w:rPr>
          <w:szCs w:val="28"/>
        </w:rPr>
      </w:pPr>
      <w:r>
        <w:rPr>
          <w:szCs w:val="28"/>
        </w:rPr>
        <w:t>附图</w:t>
      </w:r>
      <w:r>
        <w:rPr>
          <w:rFonts w:hint="eastAsia"/>
          <w:szCs w:val="28"/>
        </w:rPr>
        <w:t>5</w:t>
      </w:r>
      <w:r>
        <w:rPr>
          <w:szCs w:val="28"/>
        </w:rPr>
        <w:t>：防排水系统基建竣工图</w:t>
      </w:r>
    </w:p>
    <w:p w14:paraId="7B1856B9">
      <w:pPr>
        <w:adjustRightInd/>
        <w:ind w:firstLine="560"/>
        <w:rPr>
          <w:rFonts w:hint="eastAsia"/>
          <w:szCs w:val="28"/>
        </w:rPr>
      </w:pPr>
      <w:r>
        <w:rPr>
          <w:rFonts w:hint="eastAsia"/>
          <w:szCs w:val="28"/>
        </w:rPr>
        <w:t>附图6：公路标准断面竣工图</w:t>
      </w:r>
    </w:p>
    <w:p w14:paraId="458162E1">
      <w:pPr>
        <w:adjustRightInd/>
        <w:ind w:firstLine="560"/>
        <w:rPr>
          <w:szCs w:val="28"/>
        </w:rPr>
      </w:pPr>
      <w:r>
        <w:rPr>
          <w:szCs w:val="28"/>
        </w:rPr>
        <w:t>附图</w:t>
      </w:r>
      <w:r>
        <w:rPr>
          <w:rFonts w:hint="eastAsia"/>
          <w:szCs w:val="28"/>
        </w:rPr>
        <w:t>7</w:t>
      </w:r>
      <w:r>
        <w:rPr>
          <w:szCs w:val="28"/>
        </w:rPr>
        <w:t>：供配电系统竣工图</w:t>
      </w:r>
    </w:p>
    <w:sectPr>
      <w:pgSz w:w="11905" w:h="16838"/>
      <w:pgMar w:top="1417" w:right="1134" w:bottom="1134" w:left="1587" w:header="850" w:footer="794" w:gutter="0"/>
      <w:cols w:space="720" w:num="1"/>
      <w:docGrid w:type="lines" w:linePitch="38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Tahoma">
    <w:panose1 w:val="020B0604030504040204"/>
    <w:charset w:val="00"/>
    <w:family w:val="swiss"/>
    <w:pitch w:val="default"/>
    <w:sig w:usb0="E1002EFF" w:usb1="C000605B" w:usb2="00000029" w:usb3="00000000" w:csb0="200101FF" w:csb1="2028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方正小标宋简体">
    <w:altName w:val="宋体"/>
    <w:panose1 w:val="00000000000000000000"/>
    <w:charset w:val="86"/>
    <w:family w:val="auto"/>
    <w:pitch w:val="default"/>
    <w:sig w:usb0="00000000" w:usb1="00000000" w:usb2="00000010" w:usb3="00000000" w:csb0="00040000" w:csb1="00000000"/>
  </w:font>
  <w:font w:name="Arail">
    <w:altName w:val="宋体"/>
    <w:panose1 w:val="00000000000000000000"/>
    <w:charset w:val="00"/>
    <w:family w:val="auto"/>
    <w:pitch w:val="default"/>
    <w:sig w:usb0="00000000" w:usb1="00000000" w:usb2="00000000" w:usb3="00000000" w:csb0="00040001" w:csb1="00000000"/>
  </w:font>
  <w:font w:name="Arial Narrow">
    <w:panose1 w:val="020B0606020202030204"/>
    <w:charset w:val="00"/>
    <w:family w:val="swiss"/>
    <w:pitch w:val="default"/>
    <w:sig w:usb0="00000287" w:usb1="00000800" w:usb2="00000000" w:usb3="00000000" w:csb0="2000009F" w:csb1="DFD70000"/>
  </w:font>
  <w:font w:name="华文中宋">
    <w:panose1 w:val="02010600040101010101"/>
    <w:charset w:val="86"/>
    <w:family w:val="auto"/>
    <w:pitch w:val="default"/>
    <w:sig w:usb0="00000287" w:usb1="080F0000" w:usb2="00000000" w:usb3="00000000" w:csb0="0004009F" w:csb1="DFD70000"/>
  </w:font>
  <w:font w:name="楷体_GB2312">
    <w:altName w:val="楷体"/>
    <w:panose1 w:val="00000000000000000000"/>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Arial Unicode MS">
    <w:altName w:val="宋体"/>
    <w:panose1 w:val="020B0604020202020204"/>
    <w:charset w:val="86"/>
    <w:family w:val="roman"/>
    <w:pitch w:val="default"/>
    <w:sig w:usb0="00000000" w:usb1="00000000" w:usb2="0000003F" w:usb3="00000000" w:csb0="603F01FF" w:csb1="FFFF0000"/>
  </w:font>
  <w:font w:name="Verdana">
    <w:panose1 w:val="020B0604030504040204"/>
    <w:charset w:val="00"/>
    <w:family w:val="swiss"/>
    <w:pitch w:val="default"/>
    <w:sig w:usb0="A00006FF" w:usb1="4000205B" w:usb2="00000010" w:usb3="00000000" w:csb0="2000019F" w:csb1="00000000"/>
  </w:font>
  <w:font w:name="等线">
    <w:panose1 w:val="02010600030101010101"/>
    <w:charset w:val="86"/>
    <w:family w:val="auto"/>
    <w:pitch w:val="default"/>
    <w:sig w:usb0="A00002BF" w:usb1="38CF7CFA" w:usb2="00000016" w:usb3="00000000" w:csb0="0004000F" w:csb1="0000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71424D">
    <w:pPr>
      <w:pStyle w:val="29"/>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6584FF">
    <w:pPr>
      <w:pStyle w:val="29"/>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D3E5C1">
    <w:pPr>
      <w:pStyle w:val="29"/>
      <w:tabs>
        <w:tab w:val="right" w:pos="9184"/>
        <w:tab w:val="clear" w:pos="4153"/>
        <w:tab w:val="clear" w:pos="8306"/>
      </w:tabs>
      <w:ind w:firstLine="0" w:firstLineChars="0"/>
    </w:pPr>
    <w:r>
      <w:rPr>
        <w:rFonts w:ascii="楷体" w:hAnsi="楷体" w:eastAsia="楷体"/>
        <w:sz w:val="21"/>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F006AA">
    <w:pPr>
      <w:pStyle w:val="29"/>
      <w:ind w:firstLine="560"/>
      <w:rPr>
        <w:sz w:val="2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B297CC">
    <w:pPr>
      <w:spacing w:line="240" w:lineRule="auto"/>
      <w:ind w:firstLine="0" w:firstLineChars="0"/>
      <w:jc w:val="left"/>
    </w:pPr>
    <w:r>
      <w:rPr>
        <w:sz w:val="21"/>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31"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7FAB475">
                          <w:pPr>
                            <w:pStyle w:val="29"/>
                            <w:ind w:firstLine="420"/>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p>
                      </w:txbxContent>
                    </wps:txbx>
                    <wps:bodyPr vert="horz" wrap="none" lIns="0" tIns="0" rIns="0" bIns="0" anchor="t" anchorCtr="0">
                      <a:spAutoFit/>
                    </wps:bodyPr>
                  </wps:wsp>
                </a:graphicData>
              </a:graphic>
            </wp:anchor>
          </w:drawing>
        </mc:Choice>
        <mc:Fallback>
          <w:pict>
            <v:shape id="文本框 10"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6pebnPAAAABQEAAA8AAAAAAAAAAQAgAAAAIgAA&#10;AGRycy9kb3ducmV2LnhtbFBLAQIUABQAAAAIAIdO4kACXqAO2AEAALQDAAAOAAAAAAAAAAEAIAAA&#10;AB4BAABkcnMvZTJvRG9jLnhtbFBLBQYAAAAABgAGAFkBAABoBQAAAAA=&#10;">
              <v:fill on="f" focussize="0,0"/>
              <v:stroke on="f"/>
              <v:imagedata o:title=""/>
              <o:lock v:ext="edit" aspectratio="f"/>
              <v:textbox inset="0mm,0mm,0mm,0mm" style="mso-fit-shape-to-text:t;">
                <w:txbxContent>
                  <w:p w14:paraId="27FAB475">
                    <w:pPr>
                      <w:pStyle w:val="29"/>
                      <w:ind w:firstLine="420"/>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p>
                </w:txbxContent>
              </v:textbox>
            </v:shape>
          </w:pict>
        </mc:Fallback>
      </mc:AlternateContent>
    </w:r>
    <w:r>
      <w:rPr>
        <w:rFonts w:hint="eastAsia" w:ascii="宋体" w:hAnsi="宋体" w:cs="宋体"/>
        <w:sz w:val="21"/>
        <w:szCs w:val="21"/>
      </w:rPr>
      <w:drawing>
        <wp:inline distT="0" distB="0" distL="114300" distR="114300">
          <wp:extent cx="360045" cy="133985"/>
          <wp:effectExtent l="0" t="0" r="0" b="5080"/>
          <wp:docPr id="34" name="图片 24" descr="1"/>
          <wp:cNvGraphicFramePr/>
          <a:graphic xmlns:a="http://schemas.openxmlformats.org/drawingml/2006/main">
            <a:graphicData uri="http://schemas.openxmlformats.org/drawingml/2006/picture">
              <pic:pic xmlns:pic="http://schemas.openxmlformats.org/drawingml/2006/picture">
                <pic:nvPicPr>
                  <pic:cNvPr id="34" name="图片 24" descr="1"/>
                  <pic:cNvPicPr/>
                </pic:nvPicPr>
                <pic:blipFill>
                  <a:blip r:embed="rId1"/>
                  <a:stretch>
                    <a:fillRect/>
                  </a:stretch>
                </pic:blipFill>
                <pic:spPr>
                  <a:xfrm>
                    <a:off x="0" y="0"/>
                    <a:ext cx="360045" cy="133985"/>
                  </a:xfrm>
                  <a:prstGeom prst="rect">
                    <a:avLst/>
                  </a:prstGeom>
                  <a:noFill/>
                  <a:ln>
                    <a:noFill/>
                  </a:ln>
                </pic:spPr>
              </pic:pic>
            </a:graphicData>
          </a:graphic>
        </wp:inline>
      </w:drawing>
    </w:r>
    <w:r>
      <w:rPr>
        <w:rFonts w:ascii="楷体" w:hAnsi="楷体" w:eastAsia="楷体"/>
        <w:sz w:val="21"/>
        <w:szCs w:val="21"/>
      </w:rPr>
      <mc:AlternateContent>
        <mc:Choice Requires="wps">
          <w:drawing>
            <wp:anchor distT="0" distB="0" distL="114300" distR="114300" simplePos="0" relativeHeight="251659264" behindDoc="0" locked="0" layoutInCell="1" allowOverlap="1">
              <wp:simplePos x="0" y="0"/>
              <wp:positionH relativeFrom="column">
                <wp:posOffset>-1270</wp:posOffset>
              </wp:positionH>
              <wp:positionV relativeFrom="paragraph">
                <wp:posOffset>-635</wp:posOffset>
              </wp:positionV>
              <wp:extent cx="5835015" cy="635"/>
              <wp:effectExtent l="0" t="0" r="0" b="0"/>
              <wp:wrapNone/>
              <wp:docPr id="30" name="直线 3"/>
              <wp:cNvGraphicFramePr/>
              <a:graphic xmlns:a="http://schemas.openxmlformats.org/drawingml/2006/main">
                <a:graphicData uri="http://schemas.microsoft.com/office/word/2010/wordprocessingShape">
                  <wps:wsp>
                    <wps:cNvCnPr/>
                    <wps:spPr>
                      <a:xfrm>
                        <a:off x="0" y="0"/>
                        <a:ext cx="5835015" cy="635"/>
                      </a:xfrm>
                      <a:prstGeom prst="line">
                        <a:avLst/>
                      </a:prstGeom>
                      <a:ln w="6350" cap="flat" cmpd="sng">
                        <a:solidFill>
                          <a:srgbClr val="000000"/>
                        </a:solidFill>
                        <a:prstDash val="solid"/>
                        <a:headEnd type="none" w="med" len="med"/>
                        <a:tailEnd type="none" w="med" len="med"/>
                      </a:ln>
                    </wps:spPr>
                    <wps:bodyPr/>
                  </wps:wsp>
                </a:graphicData>
              </a:graphic>
            </wp:anchor>
          </w:drawing>
        </mc:Choice>
        <mc:Fallback>
          <w:pict>
            <v:line id="直线 3" o:spid="_x0000_s1026" o:spt="20" style="position:absolute;left:0pt;margin-left:-0.1pt;margin-top:-0.05pt;height:0.05pt;width:459.45pt;z-index:251659264;mso-width-relative:page;mso-height-relative:page;" filled="f" stroked="t" coordsize="21600,21600" o:gfxdata="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FsO3eHSAAAABAEAAA8AAAAAAAAA&#10;AQAgAAAAIgAAAGRycy9kb3ducmV2LnhtbFBLAQIUABQAAAAIAIdO4kCtob3O3gEAANIDAAAOAAAA&#10;AAAAAAEAIAAAACEBAABkcnMvZTJvRG9jLnhtbFBLBQYAAAAABgAGAFkBAABxBQAAAAA=&#10;">
              <v:fill on="f" focussize="0,0"/>
              <v:stroke weight="0.5pt" color="#000000" joinstyle="round"/>
              <v:imagedata o:title=""/>
              <o:lock v:ext="edit" aspectratio="f"/>
            </v:line>
          </w:pict>
        </mc:Fallback>
      </mc:AlternateContent>
    </w:r>
    <w:r>
      <w:rPr>
        <w:rFonts w:hint="eastAsia" w:ascii="楷体" w:hAnsi="楷体" w:eastAsia="楷体"/>
        <w:sz w:val="21"/>
        <w:szCs w:val="21"/>
      </w:rPr>
      <w:t>辽宁诺诚安全科技有限公司</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BE4731">
    <w:pPr>
      <w:pStyle w:val="29"/>
      <w:pBdr>
        <w:top w:val="single" w:color="auto" w:sz="4" w:space="0"/>
      </w:pBdr>
      <w:ind w:firstLine="210" w:firstLineChars="100"/>
    </w:pPr>
    <w:r>
      <w:rPr>
        <w:sz w:val="21"/>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32"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B5A32F2">
                          <w:pPr>
                            <w:pStyle w:val="29"/>
                            <w:ind w:firstLine="420"/>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p>
                      </w:txbxContent>
                    </wps:txbx>
                    <wps:bodyPr vert="horz" wrap="none" lIns="0" tIns="0" rIns="0" bIns="0" anchor="t" anchorCtr="0">
                      <a:spAutoFit/>
                    </wps:bodyPr>
                  </wps:wsp>
                </a:graphicData>
              </a:graphic>
            </wp:anchor>
          </w:drawing>
        </mc:Choice>
        <mc:Fallback>
          <w:pict>
            <v:shape id="文本框 11"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6pebnPAAAABQEAAA8AAAAAAAAAAQAgAAAAIgAA&#10;AGRycy9kb3ducmV2LnhtbFBLAQIUABQAAAAIAIdO4kDnBVFO2AEAALQDAAAOAAAAAAAAAAEAIAAA&#10;AB4BAABkcnMvZTJvRG9jLnhtbFBLBQYAAAAABgAGAFkBAABoBQAAAAA=&#10;">
              <v:fill on="f" focussize="0,0"/>
              <v:stroke on="f"/>
              <v:imagedata o:title=""/>
              <o:lock v:ext="edit" aspectratio="f"/>
              <v:textbox inset="0mm,0mm,0mm,0mm" style="mso-fit-shape-to-text:t;">
                <w:txbxContent>
                  <w:p w14:paraId="3B5A32F2">
                    <w:pPr>
                      <w:pStyle w:val="29"/>
                      <w:ind w:firstLine="420"/>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p>
                </w:txbxContent>
              </v:textbox>
            </v:shape>
          </w:pict>
        </mc:Fallback>
      </mc:AlternateContent>
    </w:r>
    <w:r>
      <w:rPr>
        <w:rFonts w:hint="eastAsia" w:ascii="宋体" w:hAnsi="宋体" w:cs="宋体"/>
        <w:sz w:val="21"/>
        <w:szCs w:val="21"/>
      </w:rPr>
      <w:drawing>
        <wp:inline distT="0" distB="0" distL="114300" distR="114300">
          <wp:extent cx="360045" cy="133985"/>
          <wp:effectExtent l="0" t="0" r="0" b="5080"/>
          <wp:docPr id="35" name="图片 25" descr="1"/>
          <wp:cNvGraphicFramePr/>
          <a:graphic xmlns:a="http://schemas.openxmlformats.org/drawingml/2006/main">
            <a:graphicData uri="http://schemas.openxmlformats.org/drawingml/2006/picture">
              <pic:pic xmlns:pic="http://schemas.openxmlformats.org/drawingml/2006/picture">
                <pic:nvPicPr>
                  <pic:cNvPr id="35" name="图片 25" descr="1"/>
                  <pic:cNvPicPr/>
                </pic:nvPicPr>
                <pic:blipFill>
                  <a:blip r:embed="rId1"/>
                  <a:stretch>
                    <a:fillRect/>
                  </a:stretch>
                </pic:blipFill>
                <pic:spPr>
                  <a:xfrm>
                    <a:off x="0" y="0"/>
                    <a:ext cx="360045" cy="133985"/>
                  </a:xfrm>
                  <a:prstGeom prst="rect">
                    <a:avLst/>
                  </a:prstGeom>
                  <a:noFill/>
                  <a:ln>
                    <a:noFill/>
                  </a:ln>
                </pic:spPr>
              </pic:pic>
            </a:graphicData>
          </a:graphic>
        </wp:inline>
      </w:drawing>
    </w:r>
    <w:r>
      <w:rPr>
        <w:rFonts w:hint="eastAsia" w:ascii="楷体" w:hAnsi="楷体" w:eastAsia="楷体"/>
        <w:sz w:val="21"/>
      </w:rPr>
      <w:t>辽宁诺诚安全科技有限公司</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D2314">
    <w:pPr>
      <w:pStyle w:val="29"/>
      <w:pBdr>
        <w:top w:val="single" w:color="auto" w:sz="4" w:space="0"/>
      </w:pBdr>
      <w:ind w:firstLine="210" w:firstLineChars="100"/>
    </w:pPr>
    <w:r>
      <w:rPr>
        <w:sz w:val="21"/>
      </w:rPr>
      <mc:AlternateContent>
        <mc:Choice Requires="wps">
          <w:drawing>
            <wp:anchor distT="0" distB="0" distL="114300" distR="114300" simplePos="0" relativeHeight="251662336" behindDoc="0" locked="0" layoutInCell="1" allowOverlap="1">
              <wp:simplePos x="0" y="0"/>
              <wp:positionH relativeFrom="margin">
                <wp:posOffset>5282565</wp:posOffset>
              </wp:positionH>
              <wp:positionV relativeFrom="paragraph">
                <wp:posOffset>-1905</wp:posOffset>
              </wp:positionV>
              <wp:extent cx="554355" cy="297180"/>
              <wp:effectExtent l="0" t="0" r="17780" b="7620"/>
              <wp:wrapNone/>
              <wp:docPr id="33" name="文本框 12"/>
              <wp:cNvGraphicFramePr/>
              <a:graphic xmlns:a="http://schemas.openxmlformats.org/drawingml/2006/main">
                <a:graphicData uri="http://schemas.microsoft.com/office/word/2010/wordprocessingShape">
                  <wps:wsp>
                    <wps:cNvSpPr txBox="1"/>
                    <wps:spPr>
                      <a:xfrm>
                        <a:off x="0" y="0"/>
                        <a:ext cx="554348" cy="297455"/>
                      </a:xfrm>
                      <a:prstGeom prst="rect">
                        <a:avLst/>
                      </a:prstGeom>
                      <a:noFill/>
                      <a:ln>
                        <a:noFill/>
                      </a:ln>
                    </wps:spPr>
                    <wps:txbx>
                      <w:txbxContent>
                        <w:p w14:paraId="46D953F7">
                          <w:pPr>
                            <w:pStyle w:val="29"/>
                            <w:ind w:firstLine="420"/>
                          </w:pP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p>
                      </w:txbxContent>
                    </wps:txbx>
                    <wps:bodyPr vert="horz" wrap="square" lIns="0" tIns="0" rIns="0" bIns="0" anchor="t" anchorCtr="0">
                      <a:noAutofit/>
                    </wps:bodyPr>
                  </wps:wsp>
                </a:graphicData>
              </a:graphic>
            </wp:anchor>
          </w:drawing>
        </mc:Choice>
        <mc:Fallback>
          <w:pict>
            <v:shape id="文本框 12" o:spid="_x0000_s1026" o:spt="202" type="#_x0000_t202" style="position:absolute;left:0pt;margin-left:415.95pt;margin-top:-0.15pt;height:23.4pt;width:43.65pt;mso-position-horizontal-relative:margin;z-index:251662336;mso-width-relative:page;mso-height-relative:page;" filled="f" stroked="f" coordsize="21600,21600" o:gfxdata="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Ad5bo32AAAAAgBAAAP&#10;AAAAAAAAAAEAIAAAACIAAABkcnMvZG93bnJldi54bWxQSwECFAAUAAAACACHTuJA5/7ww98BAAC0&#10;AwAADgAAAAAAAAABACAAAAAnAQAAZHJzL2Uyb0RvYy54bWxQSwUGAAAAAAYABgBZAQAAeAUAAAAA&#10;">
              <v:fill on="f" focussize="0,0"/>
              <v:stroke on="f"/>
              <v:imagedata o:title=""/>
              <o:lock v:ext="edit" aspectratio="f"/>
              <v:textbox inset="0mm,0mm,0mm,0mm">
                <w:txbxContent>
                  <w:p w14:paraId="46D953F7">
                    <w:pPr>
                      <w:pStyle w:val="29"/>
                      <w:ind w:firstLine="420"/>
                    </w:pP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p>
                </w:txbxContent>
              </v:textbox>
            </v:shape>
          </w:pict>
        </mc:Fallback>
      </mc:AlternateContent>
    </w:r>
    <w:r>
      <w:rPr>
        <w:rFonts w:hint="eastAsia" w:ascii="宋体" w:hAnsi="宋体" w:cs="宋体"/>
        <w:sz w:val="21"/>
        <w:szCs w:val="21"/>
      </w:rPr>
      <w:drawing>
        <wp:inline distT="0" distB="0" distL="114300" distR="114300">
          <wp:extent cx="360045" cy="133985"/>
          <wp:effectExtent l="0" t="0" r="0" b="5080"/>
          <wp:docPr id="36" name="图片 20" descr="1"/>
          <wp:cNvGraphicFramePr/>
          <a:graphic xmlns:a="http://schemas.openxmlformats.org/drawingml/2006/main">
            <a:graphicData uri="http://schemas.openxmlformats.org/drawingml/2006/picture">
              <pic:pic xmlns:pic="http://schemas.openxmlformats.org/drawingml/2006/picture">
                <pic:nvPicPr>
                  <pic:cNvPr id="36" name="图片 20" descr="1"/>
                  <pic:cNvPicPr/>
                </pic:nvPicPr>
                <pic:blipFill>
                  <a:blip r:embed="rId1"/>
                  <a:stretch>
                    <a:fillRect/>
                  </a:stretch>
                </pic:blipFill>
                <pic:spPr>
                  <a:xfrm>
                    <a:off x="0" y="0"/>
                    <a:ext cx="360045" cy="133985"/>
                  </a:xfrm>
                  <a:prstGeom prst="rect">
                    <a:avLst/>
                  </a:prstGeom>
                  <a:noFill/>
                  <a:ln>
                    <a:noFill/>
                  </a:ln>
                </pic:spPr>
              </pic:pic>
            </a:graphicData>
          </a:graphic>
        </wp:inline>
      </w:drawing>
    </w:r>
    <w:r>
      <w:rPr>
        <w:rFonts w:hint="eastAsia" w:ascii="楷体" w:hAnsi="楷体" w:eastAsia="楷体"/>
        <w:sz w:val="21"/>
      </w:rPr>
      <w:t>辽宁诺诚安全科技有限公司</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560"/>
      </w:pPr>
      <w:r>
        <w:separator/>
      </w:r>
    </w:p>
  </w:footnote>
  <w:footnote w:type="continuationSeparator" w:id="1">
    <w:p>
      <w:pPr>
        <w:spacing w:line="36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76CECA">
    <w:pPr>
      <w:ind w:firstLine="5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7D7E1A">
    <w:pPr>
      <w:pStyle w:val="30"/>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C97226">
    <w:pPr>
      <w:pStyle w:val="30"/>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B7400F">
    <w:pPr>
      <w:ind w:firstLine="5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9F4540">
    <w:pPr>
      <w:pStyle w:val="30"/>
      <w:spacing w:line="240" w:lineRule="auto"/>
      <w:ind w:firstLine="0" w:firstLineChars="0"/>
      <w:rPr>
        <w:rFonts w:hint="eastAsia" w:ascii="楷体" w:hAnsi="楷体" w:eastAsia="楷体"/>
      </w:rPr>
    </w:pPr>
    <w:r>
      <w:rPr>
        <w:rFonts w:hint="eastAsia" w:ascii="楷体" w:hAnsi="楷体" w:eastAsia="楷体"/>
        <w:kern w:val="0"/>
        <w:sz w:val="21"/>
        <w:szCs w:val="21"/>
      </w:rPr>
      <w:t>永善县茂林镇松林村海子采石场50万t/a露天采矿工程安全设施验收评价报告</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2153D6">
    <w:pPr>
      <w:pStyle w:val="30"/>
      <w:spacing w:line="240" w:lineRule="auto"/>
      <w:ind w:firstLine="0" w:firstLineChars="0"/>
      <w:rPr>
        <w:rFonts w:hint="eastAsia" w:ascii="楷体" w:hAnsi="楷体" w:eastAsia="楷体"/>
      </w:rPr>
    </w:pPr>
    <w:r>
      <w:rPr>
        <w:rFonts w:hint="eastAsia" w:ascii="楷体" w:hAnsi="楷体" w:eastAsia="楷体"/>
        <w:kern w:val="0"/>
        <w:sz w:val="21"/>
        <w:szCs w:val="21"/>
      </w:rPr>
      <w:t>永善县茂林镇松林村海子采石场50万t/a露天采矿工程安全设施验收评价报告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2"/>
    <w:multiLevelType w:val="singleLevel"/>
    <w:tmpl w:val="00000002"/>
    <w:lvl w:ilvl="0" w:tentative="0">
      <w:start w:val="1"/>
      <w:numFmt w:val="decimal"/>
      <w:pStyle w:val="16"/>
      <w:lvlText w:val="%1."/>
      <w:lvlJc w:val="left"/>
      <w:pPr>
        <w:tabs>
          <w:tab w:val="left" w:pos="360"/>
        </w:tabs>
        <w:ind w:left="360" w:hanging="360"/>
      </w:pPr>
    </w:lvl>
  </w:abstractNum>
  <w:abstractNum w:abstractNumId="1">
    <w:nsid w:val="00000004"/>
    <w:multiLevelType w:val="singleLevel"/>
    <w:tmpl w:val="00000004"/>
    <w:lvl w:ilvl="0" w:tentative="0">
      <w:start w:val="1"/>
      <w:numFmt w:val="decimal"/>
      <w:pStyle w:val="14"/>
      <w:lvlText w:val="%1."/>
      <w:lvlJc w:val="left"/>
      <w:pPr>
        <w:tabs>
          <w:tab w:val="left" w:pos="780"/>
        </w:tabs>
        <w:ind w:left="780" w:hanging="360"/>
      </w:pPr>
    </w:lvl>
  </w:abstractNum>
  <w:abstractNum w:abstractNumId="2">
    <w:nsid w:val="00000006"/>
    <w:multiLevelType w:val="multilevel"/>
    <w:tmpl w:val="00000006"/>
    <w:lvl w:ilvl="0" w:tentative="0">
      <w:start w:val="1"/>
      <w:numFmt w:val="chineseCountingThousand"/>
      <w:isLgl/>
      <w:suff w:val="nothing"/>
      <w:lvlText w:val="第%1章"/>
      <w:lvlJc w:val="left"/>
      <w:pPr>
        <w:ind w:left="0" w:firstLine="0"/>
      </w:pPr>
      <w:rPr>
        <w:rFonts w:hint="default" w:ascii="Times New Roman" w:hAnsi="Times New Roman" w:eastAsia="宋体"/>
        <w:b/>
        <w:bCs w:val="0"/>
        <w:i w:val="0"/>
        <w:iCs w:val="0"/>
        <w:caps w:val="0"/>
        <w:smallCaps w:val="0"/>
        <w:strike w:val="0"/>
        <w:dstrike w:val="0"/>
        <w:vanish w:val="0"/>
        <w:color w:val="000000"/>
        <w:spacing w:val="0"/>
        <w:kern w:val="0"/>
        <w:position w:val="0"/>
        <w:sz w:val="44"/>
        <w:u w:val="none"/>
        <w:vertAlign w:val="baseline"/>
      </w:rPr>
    </w:lvl>
    <w:lvl w:ilvl="1" w:tentative="0">
      <w:start w:val="1"/>
      <w:numFmt w:val="decimal"/>
      <w:pStyle w:val="152"/>
      <w:isLgl/>
      <w:suff w:val="nothing"/>
      <w:lvlText w:val="%1.%2"/>
      <w:lvlJc w:val="left"/>
      <w:pPr>
        <w:ind w:left="0" w:firstLine="0"/>
      </w:pPr>
      <w:rPr>
        <w:rFonts w:hint="default" w:ascii="Times New Roman" w:hAnsi="Times New Roman" w:eastAsia="宋体"/>
        <w:b/>
        <w:bCs w:val="0"/>
        <w:i w:val="0"/>
        <w:iCs w:val="0"/>
        <w:caps w:val="0"/>
        <w:smallCaps w:val="0"/>
        <w:strike w:val="0"/>
        <w:dstrike w:val="0"/>
        <w:vanish w:val="0"/>
        <w:color w:val="000000"/>
        <w:spacing w:val="0"/>
        <w:kern w:val="0"/>
        <w:position w:val="0"/>
        <w:sz w:val="32"/>
        <w:u w:val="none"/>
        <w:vertAlign w:val="baseline"/>
      </w:rPr>
    </w:lvl>
    <w:lvl w:ilvl="2" w:tentative="0">
      <w:start w:val="1"/>
      <w:numFmt w:val="decimal"/>
      <w:isLgl/>
      <w:suff w:val="nothing"/>
      <w:lvlText w:val="%1.%2.%3"/>
      <w:lvlJc w:val="left"/>
      <w:pPr>
        <w:ind w:left="0" w:firstLine="0"/>
      </w:pPr>
      <w:rPr>
        <w:b/>
        <w:bCs w:val="0"/>
        <w:i w:val="0"/>
        <w:iCs w:val="0"/>
        <w:caps w:val="0"/>
        <w:smallCaps w:val="0"/>
        <w:strike w:val="0"/>
        <w:dstrike w:val="0"/>
        <w:outline w:val="0"/>
        <w:shadow w:val="0"/>
        <w:emboss w:val="0"/>
        <w:imprint w:val="0"/>
        <w:vanish w:val="0"/>
        <w:spacing w:val="0"/>
        <w:position w:val="0"/>
        <w:u w:val="none"/>
        <w:vertAlign w:val="baseline"/>
      </w:rPr>
    </w:lvl>
    <w:lvl w:ilvl="3" w:tentative="0">
      <w:start w:val="1"/>
      <w:numFmt w:val="decimal"/>
      <w:isLgl/>
      <w:suff w:val="nothing"/>
      <w:lvlText w:val="%1.%2.%3.%4"/>
      <w:lvlJc w:val="left"/>
      <w:pPr>
        <w:ind w:left="0" w:firstLine="0"/>
      </w:pPr>
      <w:rPr>
        <w:rFonts w:hint="default" w:ascii="Times New Roman" w:hAnsi="Times New Roman" w:eastAsia="宋体"/>
        <w:b/>
        <w:bCs w:val="0"/>
        <w:i w:val="0"/>
        <w:iCs w:val="0"/>
        <w:caps w:val="0"/>
        <w:smallCaps w:val="0"/>
        <w:strike w:val="0"/>
        <w:dstrike w:val="0"/>
        <w:vanish w:val="0"/>
        <w:color w:val="000000"/>
        <w:spacing w:val="0"/>
        <w:kern w:val="0"/>
        <w:position w:val="0"/>
        <w:sz w:val="28"/>
        <w:u w:val="none"/>
        <w:vertAlign w:val="baseline"/>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3">
    <w:nsid w:val="00000008"/>
    <w:multiLevelType w:val="singleLevel"/>
    <w:tmpl w:val="00000008"/>
    <w:lvl w:ilvl="0" w:tentative="0">
      <w:start w:val="1"/>
      <w:numFmt w:val="decimal"/>
      <w:suff w:val="nothing"/>
      <w:lvlText w:val="（%1）"/>
      <w:lvlJc w:val="left"/>
    </w:lvl>
  </w:abstractNum>
  <w:abstractNum w:abstractNumId="4">
    <w:nsid w:val="00000009"/>
    <w:multiLevelType w:val="singleLevel"/>
    <w:tmpl w:val="00000009"/>
    <w:lvl w:ilvl="0" w:tentative="0">
      <w:start w:val="1"/>
      <w:numFmt w:val="decimal"/>
      <w:suff w:val="nothing"/>
      <w:lvlText w:val="（%1）"/>
      <w:lvlJc w:val="left"/>
    </w:lvl>
  </w:abstractNum>
  <w:abstractNum w:abstractNumId="5">
    <w:nsid w:val="0000000B"/>
    <w:multiLevelType w:val="multilevel"/>
    <w:tmpl w:val="0000000B"/>
    <w:lvl w:ilvl="0" w:tentative="0">
      <w:start w:val="1"/>
      <w:numFmt w:val="decimal"/>
      <w:pStyle w:val="161"/>
      <w:suff w:val="nothing"/>
      <w:lvlText w:val="%1、"/>
      <w:lvlJc w:val="left"/>
      <w:pPr>
        <w:ind w:left="0" w:firstLine="561"/>
      </w:pPr>
      <w:rPr>
        <w:b w:val="0"/>
        <w:bCs w:val="0"/>
        <w:i w:val="0"/>
        <w:iCs w:val="0"/>
        <w:caps w:val="0"/>
        <w:smallCaps w:val="0"/>
        <w:strike w:val="0"/>
        <w:dstrike w:val="0"/>
        <w:outline w:val="0"/>
        <w:shadow w:val="0"/>
        <w:emboss w:val="0"/>
        <w:imprint w:val="0"/>
        <w:vanish w:val="0"/>
        <w:color w:val="auto"/>
        <w:spacing w:val="0"/>
        <w:position w:val="0"/>
        <w:u w:val="none"/>
        <w:vertAlign w:val="baseline"/>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6">
    <w:nsid w:val="0000000C"/>
    <w:multiLevelType w:val="singleLevel"/>
    <w:tmpl w:val="0000000C"/>
    <w:lvl w:ilvl="0" w:tentative="0">
      <w:start w:val="1"/>
      <w:numFmt w:val="decimal"/>
      <w:suff w:val="nothing"/>
      <w:lvlText w:val="（%1）"/>
      <w:lvlJc w:val="left"/>
    </w:lvl>
  </w:abstractNum>
  <w:abstractNum w:abstractNumId="7">
    <w:nsid w:val="0000000E"/>
    <w:multiLevelType w:val="singleLevel"/>
    <w:tmpl w:val="0000000E"/>
    <w:lvl w:ilvl="0" w:tentative="0">
      <w:start w:val="1"/>
      <w:numFmt w:val="decimal"/>
      <w:suff w:val="nothing"/>
      <w:lvlText w:val="%1."/>
      <w:lvlJc w:val="left"/>
    </w:lvl>
  </w:abstractNum>
  <w:abstractNum w:abstractNumId="8">
    <w:nsid w:val="0000000F"/>
    <w:multiLevelType w:val="singleLevel"/>
    <w:tmpl w:val="0000000F"/>
    <w:lvl w:ilvl="0" w:tentative="0">
      <w:start w:val="1"/>
      <w:numFmt w:val="decimal"/>
      <w:suff w:val="nothing"/>
      <w:lvlText w:val="（%1）"/>
      <w:lvlJc w:val="left"/>
    </w:lvl>
  </w:abstractNum>
  <w:abstractNum w:abstractNumId="9">
    <w:nsid w:val="00000011"/>
    <w:multiLevelType w:val="singleLevel"/>
    <w:tmpl w:val="00000011"/>
    <w:lvl w:ilvl="0" w:tentative="0">
      <w:start w:val="1"/>
      <w:numFmt w:val="decimal"/>
      <w:suff w:val="nothing"/>
      <w:lvlText w:val="（%1）"/>
      <w:lvlJc w:val="left"/>
    </w:lvl>
  </w:abstractNum>
  <w:abstractNum w:abstractNumId="10">
    <w:nsid w:val="00000012"/>
    <w:multiLevelType w:val="singleLevel"/>
    <w:tmpl w:val="00000012"/>
    <w:lvl w:ilvl="0" w:tentative="0">
      <w:start w:val="1"/>
      <w:numFmt w:val="decimal"/>
      <w:suff w:val="nothing"/>
      <w:lvlText w:val="（%1）"/>
      <w:lvlJc w:val="left"/>
    </w:lvl>
  </w:abstractNum>
  <w:abstractNum w:abstractNumId="11">
    <w:nsid w:val="00000015"/>
    <w:multiLevelType w:val="singleLevel"/>
    <w:tmpl w:val="00000015"/>
    <w:lvl w:ilvl="0" w:tentative="0">
      <w:start w:val="1"/>
      <w:numFmt w:val="decimal"/>
      <w:suff w:val="nothing"/>
      <w:lvlText w:val="（%1）"/>
      <w:lvlJc w:val="left"/>
    </w:lvl>
  </w:abstractNum>
  <w:abstractNum w:abstractNumId="12">
    <w:nsid w:val="03760DC4"/>
    <w:multiLevelType w:val="singleLevel"/>
    <w:tmpl w:val="03760DC4"/>
    <w:lvl w:ilvl="0" w:tentative="0">
      <w:start w:val="14"/>
      <w:numFmt w:val="decimal"/>
      <w:lvlText w:val="%1."/>
      <w:lvlJc w:val="left"/>
      <w:pPr>
        <w:tabs>
          <w:tab w:val="left" w:pos="312"/>
        </w:tabs>
      </w:pPr>
    </w:lvl>
  </w:abstractNum>
  <w:num w:numId="1">
    <w:abstractNumId w:val="1"/>
  </w:num>
  <w:num w:numId="2">
    <w:abstractNumId w:val="0"/>
  </w:num>
  <w:num w:numId="3">
    <w:abstractNumId w:val="2"/>
  </w:num>
  <w:num w:numId="4">
    <w:abstractNumId w:val="5"/>
  </w:num>
  <w:num w:numId="5">
    <w:abstractNumId w:val="4"/>
  </w:num>
  <w:num w:numId="6">
    <w:abstractNumId w:val="11"/>
  </w:num>
  <w:num w:numId="7">
    <w:abstractNumId w:val="6"/>
  </w:num>
  <w:num w:numId="8">
    <w:abstractNumId w:val="9"/>
  </w:num>
  <w:num w:numId="9">
    <w:abstractNumId w:val="3"/>
  </w:num>
  <w:num w:numId="10">
    <w:abstractNumId w:val="10"/>
  </w:num>
  <w:num w:numId="11">
    <w:abstractNumId w:val="8"/>
  </w:num>
  <w:num w:numId="12">
    <w:abstractNumId w:val="7"/>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drawingGridHorizontalSpacing w:val="140"/>
  <w:drawingGridVerticalSpacing w:val="381"/>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BiZWQwMTQ1NjNmOTA1MTM1YjQ1ZTY3ZTU0NjRkNzcifQ=="/>
  </w:docVars>
  <w:rsids>
    <w:rsidRoot w:val="00172A27"/>
    <w:rsid w:val="00010DB9"/>
    <w:rsid w:val="000113EB"/>
    <w:rsid w:val="00011753"/>
    <w:rsid w:val="00015FED"/>
    <w:rsid w:val="00022AE8"/>
    <w:rsid w:val="0002779B"/>
    <w:rsid w:val="00032842"/>
    <w:rsid w:val="000337A0"/>
    <w:rsid w:val="00033DDD"/>
    <w:rsid w:val="00033E5B"/>
    <w:rsid w:val="00045528"/>
    <w:rsid w:val="00045705"/>
    <w:rsid w:val="0004658E"/>
    <w:rsid w:val="00052D60"/>
    <w:rsid w:val="00067E4B"/>
    <w:rsid w:val="00070CC9"/>
    <w:rsid w:val="000815EF"/>
    <w:rsid w:val="00081E86"/>
    <w:rsid w:val="000853B7"/>
    <w:rsid w:val="000871C3"/>
    <w:rsid w:val="00096E91"/>
    <w:rsid w:val="00097B05"/>
    <w:rsid w:val="000A1801"/>
    <w:rsid w:val="000A4854"/>
    <w:rsid w:val="000A4C82"/>
    <w:rsid w:val="000B27BB"/>
    <w:rsid w:val="000B27BF"/>
    <w:rsid w:val="000B3B97"/>
    <w:rsid w:val="000B40EC"/>
    <w:rsid w:val="000B5624"/>
    <w:rsid w:val="000C3657"/>
    <w:rsid w:val="000C6BAA"/>
    <w:rsid w:val="000C7F91"/>
    <w:rsid w:val="000D2EF3"/>
    <w:rsid w:val="000E2DA2"/>
    <w:rsid w:val="000F76D3"/>
    <w:rsid w:val="001045A6"/>
    <w:rsid w:val="00111969"/>
    <w:rsid w:val="00111FE0"/>
    <w:rsid w:val="001122BA"/>
    <w:rsid w:val="00113CA3"/>
    <w:rsid w:val="0011755F"/>
    <w:rsid w:val="0012772D"/>
    <w:rsid w:val="0012792E"/>
    <w:rsid w:val="00127B66"/>
    <w:rsid w:val="001546F4"/>
    <w:rsid w:val="00156D35"/>
    <w:rsid w:val="00162C01"/>
    <w:rsid w:val="00166843"/>
    <w:rsid w:val="00172A27"/>
    <w:rsid w:val="00173866"/>
    <w:rsid w:val="00175892"/>
    <w:rsid w:val="001814AA"/>
    <w:rsid w:val="001A0C31"/>
    <w:rsid w:val="001B0839"/>
    <w:rsid w:val="001B3C50"/>
    <w:rsid w:val="001B4D11"/>
    <w:rsid w:val="001B51DB"/>
    <w:rsid w:val="001B65DF"/>
    <w:rsid w:val="001B6862"/>
    <w:rsid w:val="001C440C"/>
    <w:rsid w:val="001E216B"/>
    <w:rsid w:val="001F0088"/>
    <w:rsid w:val="001F7A89"/>
    <w:rsid w:val="00211551"/>
    <w:rsid w:val="0021255D"/>
    <w:rsid w:val="00217D0F"/>
    <w:rsid w:val="00222A52"/>
    <w:rsid w:val="0022725E"/>
    <w:rsid w:val="002276BC"/>
    <w:rsid w:val="00227BA4"/>
    <w:rsid w:val="00235D9D"/>
    <w:rsid w:val="002362FB"/>
    <w:rsid w:val="00242C22"/>
    <w:rsid w:val="0024721A"/>
    <w:rsid w:val="00251DFB"/>
    <w:rsid w:val="00251F8E"/>
    <w:rsid w:val="002645FA"/>
    <w:rsid w:val="00267084"/>
    <w:rsid w:val="00267266"/>
    <w:rsid w:val="00272088"/>
    <w:rsid w:val="00297DEB"/>
    <w:rsid w:val="002A1F23"/>
    <w:rsid w:val="002B0344"/>
    <w:rsid w:val="002B05B1"/>
    <w:rsid w:val="002B3A1E"/>
    <w:rsid w:val="002C0CA0"/>
    <w:rsid w:val="002D0A4F"/>
    <w:rsid w:val="002D3870"/>
    <w:rsid w:val="002F1063"/>
    <w:rsid w:val="002F5CF1"/>
    <w:rsid w:val="003014FC"/>
    <w:rsid w:val="003065F6"/>
    <w:rsid w:val="00307945"/>
    <w:rsid w:val="00314227"/>
    <w:rsid w:val="0031671C"/>
    <w:rsid w:val="00316A23"/>
    <w:rsid w:val="00322995"/>
    <w:rsid w:val="00327AE6"/>
    <w:rsid w:val="00330EDA"/>
    <w:rsid w:val="00334900"/>
    <w:rsid w:val="00334FE9"/>
    <w:rsid w:val="00340BDB"/>
    <w:rsid w:val="00344761"/>
    <w:rsid w:val="00347104"/>
    <w:rsid w:val="00353A92"/>
    <w:rsid w:val="00356B23"/>
    <w:rsid w:val="003605F8"/>
    <w:rsid w:val="003624C1"/>
    <w:rsid w:val="003656FA"/>
    <w:rsid w:val="00370AFA"/>
    <w:rsid w:val="00387C85"/>
    <w:rsid w:val="003A684D"/>
    <w:rsid w:val="003B174C"/>
    <w:rsid w:val="003B3723"/>
    <w:rsid w:val="003B4DED"/>
    <w:rsid w:val="003C3766"/>
    <w:rsid w:val="003D2D79"/>
    <w:rsid w:val="003D659C"/>
    <w:rsid w:val="003D779B"/>
    <w:rsid w:val="003D7CDD"/>
    <w:rsid w:val="003E0F9E"/>
    <w:rsid w:val="003E1741"/>
    <w:rsid w:val="003E5052"/>
    <w:rsid w:val="003E56AB"/>
    <w:rsid w:val="003F3056"/>
    <w:rsid w:val="003F7914"/>
    <w:rsid w:val="0040459F"/>
    <w:rsid w:val="0040699D"/>
    <w:rsid w:val="0041070D"/>
    <w:rsid w:val="0041484F"/>
    <w:rsid w:val="0042527A"/>
    <w:rsid w:val="0042713B"/>
    <w:rsid w:val="004327F4"/>
    <w:rsid w:val="00434CE4"/>
    <w:rsid w:val="00436C15"/>
    <w:rsid w:val="00437040"/>
    <w:rsid w:val="00442A2B"/>
    <w:rsid w:val="00447DF5"/>
    <w:rsid w:val="00452D45"/>
    <w:rsid w:val="00453D01"/>
    <w:rsid w:val="0045407B"/>
    <w:rsid w:val="00455847"/>
    <w:rsid w:val="00464653"/>
    <w:rsid w:val="00464B28"/>
    <w:rsid w:val="0046570E"/>
    <w:rsid w:val="00465C51"/>
    <w:rsid w:val="00467723"/>
    <w:rsid w:val="004740C6"/>
    <w:rsid w:val="0047496E"/>
    <w:rsid w:val="00480FEE"/>
    <w:rsid w:val="004815A3"/>
    <w:rsid w:val="00483760"/>
    <w:rsid w:val="00483968"/>
    <w:rsid w:val="0048542C"/>
    <w:rsid w:val="004B2CC1"/>
    <w:rsid w:val="004B478F"/>
    <w:rsid w:val="004C0982"/>
    <w:rsid w:val="004C1731"/>
    <w:rsid w:val="004C622A"/>
    <w:rsid w:val="004C6A2E"/>
    <w:rsid w:val="004C6EE1"/>
    <w:rsid w:val="004D0833"/>
    <w:rsid w:val="004D6055"/>
    <w:rsid w:val="004F04CC"/>
    <w:rsid w:val="004F1F0A"/>
    <w:rsid w:val="004F35DA"/>
    <w:rsid w:val="004F4A58"/>
    <w:rsid w:val="004F6774"/>
    <w:rsid w:val="00512FC5"/>
    <w:rsid w:val="0051446D"/>
    <w:rsid w:val="00516575"/>
    <w:rsid w:val="00521010"/>
    <w:rsid w:val="00523167"/>
    <w:rsid w:val="00523E82"/>
    <w:rsid w:val="00523FBC"/>
    <w:rsid w:val="00524628"/>
    <w:rsid w:val="005251A0"/>
    <w:rsid w:val="00526550"/>
    <w:rsid w:val="0053594C"/>
    <w:rsid w:val="00537623"/>
    <w:rsid w:val="00543340"/>
    <w:rsid w:val="00544BE5"/>
    <w:rsid w:val="00546E46"/>
    <w:rsid w:val="005565FF"/>
    <w:rsid w:val="00562BA6"/>
    <w:rsid w:val="005706E1"/>
    <w:rsid w:val="0057169B"/>
    <w:rsid w:val="00574692"/>
    <w:rsid w:val="00577179"/>
    <w:rsid w:val="00592861"/>
    <w:rsid w:val="005A5468"/>
    <w:rsid w:val="005A75AC"/>
    <w:rsid w:val="005B1B8D"/>
    <w:rsid w:val="005B247A"/>
    <w:rsid w:val="005B399D"/>
    <w:rsid w:val="005B790A"/>
    <w:rsid w:val="005C6968"/>
    <w:rsid w:val="005C761D"/>
    <w:rsid w:val="005D4410"/>
    <w:rsid w:val="005D484D"/>
    <w:rsid w:val="005E7DFD"/>
    <w:rsid w:val="00601B82"/>
    <w:rsid w:val="0061047D"/>
    <w:rsid w:val="0061078E"/>
    <w:rsid w:val="00611D4C"/>
    <w:rsid w:val="00615DA5"/>
    <w:rsid w:val="006257F0"/>
    <w:rsid w:val="006263C6"/>
    <w:rsid w:val="0062724C"/>
    <w:rsid w:val="006304C0"/>
    <w:rsid w:val="00630C03"/>
    <w:rsid w:val="00633AC4"/>
    <w:rsid w:val="006365AE"/>
    <w:rsid w:val="00641CDD"/>
    <w:rsid w:val="006443A7"/>
    <w:rsid w:val="00652F45"/>
    <w:rsid w:val="00653C3D"/>
    <w:rsid w:val="00653CBE"/>
    <w:rsid w:val="00657A72"/>
    <w:rsid w:val="006607AC"/>
    <w:rsid w:val="00665C55"/>
    <w:rsid w:val="00671FD5"/>
    <w:rsid w:val="00682BC4"/>
    <w:rsid w:val="00691010"/>
    <w:rsid w:val="00694034"/>
    <w:rsid w:val="00694FCC"/>
    <w:rsid w:val="006B0AA5"/>
    <w:rsid w:val="006B3A40"/>
    <w:rsid w:val="006C5D7D"/>
    <w:rsid w:val="006C6BD8"/>
    <w:rsid w:val="006D1323"/>
    <w:rsid w:val="006D188D"/>
    <w:rsid w:val="006E080E"/>
    <w:rsid w:val="006E1E9D"/>
    <w:rsid w:val="006E7793"/>
    <w:rsid w:val="006F0B58"/>
    <w:rsid w:val="006F0FF1"/>
    <w:rsid w:val="007057F0"/>
    <w:rsid w:val="00723DE2"/>
    <w:rsid w:val="00724884"/>
    <w:rsid w:val="007412C9"/>
    <w:rsid w:val="00744CCF"/>
    <w:rsid w:val="00745A55"/>
    <w:rsid w:val="00745D5E"/>
    <w:rsid w:val="00746D1A"/>
    <w:rsid w:val="0075086F"/>
    <w:rsid w:val="00756394"/>
    <w:rsid w:val="00771894"/>
    <w:rsid w:val="00773214"/>
    <w:rsid w:val="00773F9F"/>
    <w:rsid w:val="007753A1"/>
    <w:rsid w:val="00790FF4"/>
    <w:rsid w:val="00792AD8"/>
    <w:rsid w:val="00795ACB"/>
    <w:rsid w:val="00797518"/>
    <w:rsid w:val="007A0223"/>
    <w:rsid w:val="007A1B5E"/>
    <w:rsid w:val="007A442B"/>
    <w:rsid w:val="007A7476"/>
    <w:rsid w:val="007B4473"/>
    <w:rsid w:val="007B594F"/>
    <w:rsid w:val="007C49DA"/>
    <w:rsid w:val="007D2692"/>
    <w:rsid w:val="007D6B3E"/>
    <w:rsid w:val="007E20F6"/>
    <w:rsid w:val="007E2EBD"/>
    <w:rsid w:val="007F3B18"/>
    <w:rsid w:val="007F5979"/>
    <w:rsid w:val="0080667B"/>
    <w:rsid w:val="00815C8B"/>
    <w:rsid w:val="008165A6"/>
    <w:rsid w:val="0082058F"/>
    <w:rsid w:val="00824941"/>
    <w:rsid w:val="00827006"/>
    <w:rsid w:val="008274F4"/>
    <w:rsid w:val="0082798A"/>
    <w:rsid w:val="00830F1E"/>
    <w:rsid w:val="00833A92"/>
    <w:rsid w:val="0084144B"/>
    <w:rsid w:val="0084324A"/>
    <w:rsid w:val="00843287"/>
    <w:rsid w:val="00846428"/>
    <w:rsid w:val="008607CF"/>
    <w:rsid w:val="008621ED"/>
    <w:rsid w:val="008628B4"/>
    <w:rsid w:val="00864C60"/>
    <w:rsid w:val="00870854"/>
    <w:rsid w:val="00872C0E"/>
    <w:rsid w:val="00873478"/>
    <w:rsid w:val="0087355D"/>
    <w:rsid w:val="00883AAA"/>
    <w:rsid w:val="008902C9"/>
    <w:rsid w:val="00891AD6"/>
    <w:rsid w:val="0089536E"/>
    <w:rsid w:val="00897BC1"/>
    <w:rsid w:val="008A2A10"/>
    <w:rsid w:val="008B3FC3"/>
    <w:rsid w:val="008B50E1"/>
    <w:rsid w:val="008C4223"/>
    <w:rsid w:val="008D37B4"/>
    <w:rsid w:val="008D5F2A"/>
    <w:rsid w:val="008E1B15"/>
    <w:rsid w:val="008E21BF"/>
    <w:rsid w:val="008E488C"/>
    <w:rsid w:val="008E5A52"/>
    <w:rsid w:val="008E745A"/>
    <w:rsid w:val="008F4E86"/>
    <w:rsid w:val="009068DA"/>
    <w:rsid w:val="00912B98"/>
    <w:rsid w:val="00916552"/>
    <w:rsid w:val="00922983"/>
    <w:rsid w:val="0092348E"/>
    <w:rsid w:val="00924032"/>
    <w:rsid w:val="00924548"/>
    <w:rsid w:val="00924B7E"/>
    <w:rsid w:val="00927A3E"/>
    <w:rsid w:val="00931562"/>
    <w:rsid w:val="00935691"/>
    <w:rsid w:val="00940F7A"/>
    <w:rsid w:val="0094273B"/>
    <w:rsid w:val="009461D6"/>
    <w:rsid w:val="00955785"/>
    <w:rsid w:val="009575CF"/>
    <w:rsid w:val="0096506F"/>
    <w:rsid w:val="00966D02"/>
    <w:rsid w:val="00973EFC"/>
    <w:rsid w:val="00980F14"/>
    <w:rsid w:val="009817BB"/>
    <w:rsid w:val="00984A5A"/>
    <w:rsid w:val="009859CD"/>
    <w:rsid w:val="009932BE"/>
    <w:rsid w:val="00997695"/>
    <w:rsid w:val="00997773"/>
    <w:rsid w:val="009A1EA6"/>
    <w:rsid w:val="009B44C8"/>
    <w:rsid w:val="009B5BFD"/>
    <w:rsid w:val="009B757F"/>
    <w:rsid w:val="009B7D03"/>
    <w:rsid w:val="009C053B"/>
    <w:rsid w:val="009C0D62"/>
    <w:rsid w:val="009C3A34"/>
    <w:rsid w:val="009D12FF"/>
    <w:rsid w:val="009D1B3B"/>
    <w:rsid w:val="009D5954"/>
    <w:rsid w:val="009E1FB7"/>
    <w:rsid w:val="009E2E7C"/>
    <w:rsid w:val="009E5594"/>
    <w:rsid w:val="009F2502"/>
    <w:rsid w:val="009F55B0"/>
    <w:rsid w:val="009F70B0"/>
    <w:rsid w:val="00A078DB"/>
    <w:rsid w:val="00A135F8"/>
    <w:rsid w:val="00A17D5F"/>
    <w:rsid w:val="00A33E34"/>
    <w:rsid w:val="00A418D4"/>
    <w:rsid w:val="00A42C73"/>
    <w:rsid w:val="00A439C5"/>
    <w:rsid w:val="00A45173"/>
    <w:rsid w:val="00A46129"/>
    <w:rsid w:val="00A50687"/>
    <w:rsid w:val="00A54F30"/>
    <w:rsid w:val="00A56856"/>
    <w:rsid w:val="00A60345"/>
    <w:rsid w:val="00A61403"/>
    <w:rsid w:val="00A661EF"/>
    <w:rsid w:val="00A6776D"/>
    <w:rsid w:val="00A6798A"/>
    <w:rsid w:val="00A7055D"/>
    <w:rsid w:val="00A77FEF"/>
    <w:rsid w:val="00A8273D"/>
    <w:rsid w:val="00A85886"/>
    <w:rsid w:val="00A85A17"/>
    <w:rsid w:val="00A9329B"/>
    <w:rsid w:val="00A93E3D"/>
    <w:rsid w:val="00A949BE"/>
    <w:rsid w:val="00A9556B"/>
    <w:rsid w:val="00AA5AB6"/>
    <w:rsid w:val="00AA5AFD"/>
    <w:rsid w:val="00AA67A3"/>
    <w:rsid w:val="00AB2175"/>
    <w:rsid w:val="00AB41C0"/>
    <w:rsid w:val="00AC33B1"/>
    <w:rsid w:val="00AC4E2D"/>
    <w:rsid w:val="00AD45B3"/>
    <w:rsid w:val="00AD6CF9"/>
    <w:rsid w:val="00AE5A05"/>
    <w:rsid w:val="00AE7379"/>
    <w:rsid w:val="00AF0301"/>
    <w:rsid w:val="00AF7A2D"/>
    <w:rsid w:val="00B11F7A"/>
    <w:rsid w:val="00B1793B"/>
    <w:rsid w:val="00B21ED4"/>
    <w:rsid w:val="00B25897"/>
    <w:rsid w:val="00B30F44"/>
    <w:rsid w:val="00B43CAC"/>
    <w:rsid w:val="00B45C20"/>
    <w:rsid w:val="00B5023D"/>
    <w:rsid w:val="00B52AFF"/>
    <w:rsid w:val="00B532DD"/>
    <w:rsid w:val="00B53965"/>
    <w:rsid w:val="00B5628A"/>
    <w:rsid w:val="00B56B78"/>
    <w:rsid w:val="00B57025"/>
    <w:rsid w:val="00B57EC7"/>
    <w:rsid w:val="00B60C5F"/>
    <w:rsid w:val="00B616DD"/>
    <w:rsid w:val="00B646C9"/>
    <w:rsid w:val="00B658E4"/>
    <w:rsid w:val="00B71538"/>
    <w:rsid w:val="00B72A1B"/>
    <w:rsid w:val="00B7521C"/>
    <w:rsid w:val="00B7571C"/>
    <w:rsid w:val="00B77AF9"/>
    <w:rsid w:val="00B81DA7"/>
    <w:rsid w:val="00B84CB6"/>
    <w:rsid w:val="00B85EF7"/>
    <w:rsid w:val="00B91BF3"/>
    <w:rsid w:val="00B91C18"/>
    <w:rsid w:val="00BA4F29"/>
    <w:rsid w:val="00BB68ED"/>
    <w:rsid w:val="00BC3751"/>
    <w:rsid w:val="00BC4AD6"/>
    <w:rsid w:val="00BC5D91"/>
    <w:rsid w:val="00BC759E"/>
    <w:rsid w:val="00BD0795"/>
    <w:rsid w:val="00BD701F"/>
    <w:rsid w:val="00BE7AEC"/>
    <w:rsid w:val="00BE7E66"/>
    <w:rsid w:val="00C0394B"/>
    <w:rsid w:val="00C10234"/>
    <w:rsid w:val="00C110A0"/>
    <w:rsid w:val="00C13329"/>
    <w:rsid w:val="00C13BC0"/>
    <w:rsid w:val="00C220C7"/>
    <w:rsid w:val="00C239C1"/>
    <w:rsid w:val="00C33EE0"/>
    <w:rsid w:val="00C36FD5"/>
    <w:rsid w:val="00C37EDB"/>
    <w:rsid w:val="00C44D3F"/>
    <w:rsid w:val="00C571B4"/>
    <w:rsid w:val="00C600AD"/>
    <w:rsid w:val="00C72B23"/>
    <w:rsid w:val="00C8107F"/>
    <w:rsid w:val="00C8454B"/>
    <w:rsid w:val="00C86D26"/>
    <w:rsid w:val="00C931CD"/>
    <w:rsid w:val="00C9714A"/>
    <w:rsid w:val="00CA55F8"/>
    <w:rsid w:val="00CA5C86"/>
    <w:rsid w:val="00CA6054"/>
    <w:rsid w:val="00CB5048"/>
    <w:rsid w:val="00CB5EBD"/>
    <w:rsid w:val="00CB6AC6"/>
    <w:rsid w:val="00CC065F"/>
    <w:rsid w:val="00CC2105"/>
    <w:rsid w:val="00CC6132"/>
    <w:rsid w:val="00CC6EE1"/>
    <w:rsid w:val="00CD2258"/>
    <w:rsid w:val="00CE15B5"/>
    <w:rsid w:val="00CE1B33"/>
    <w:rsid w:val="00CF29CE"/>
    <w:rsid w:val="00CF6126"/>
    <w:rsid w:val="00D00856"/>
    <w:rsid w:val="00D01A26"/>
    <w:rsid w:val="00D044B7"/>
    <w:rsid w:val="00D14792"/>
    <w:rsid w:val="00D15621"/>
    <w:rsid w:val="00D17F8C"/>
    <w:rsid w:val="00D202E6"/>
    <w:rsid w:val="00D226B7"/>
    <w:rsid w:val="00D226F8"/>
    <w:rsid w:val="00D26C7F"/>
    <w:rsid w:val="00D27F67"/>
    <w:rsid w:val="00D40783"/>
    <w:rsid w:val="00D43820"/>
    <w:rsid w:val="00D43EF0"/>
    <w:rsid w:val="00D51C99"/>
    <w:rsid w:val="00D53A71"/>
    <w:rsid w:val="00D6482D"/>
    <w:rsid w:val="00D70792"/>
    <w:rsid w:val="00D72532"/>
    <w:rsid w:val="00D734AB"/>
    <w:rsid w:val="00D77AD8"/>
    <w:rsid w:val="00D82F77"/>
    <w:rsid w:val="00D8475F"/>
    <w:rsid w:val="00D84BAE"/>
    <w:rsid w:val="00D85B33"/>
    <w:rsid w:val="00DA2697"/>
    <w:rsid w:val="00DA4551"/>
    <w:rsid w:val="00DA6248"/>
    <w:rsid w:val="00DA76BE"/>
    <w:rsid w:val="00DC157B"/>
    <w:rsid w:val="00DC22EB"/>
    <w:rsid w:val="00DD0985"/>
    <w:rsid w:val="00DD1F8D"/>
    <w:rsid w:val="00DD7556"/>
    <w:rsid w:val="00DD7EE1"/>
    <w:rsid w:val="00DE2CC6"/>
    <w:rsid w:val="00DE45F1"/>
    <w:rsid w:val="00DE561F"/>
    <w:rsid w:val="00DF2DD3"/>
    <w:rsid w:val="00DF5075"/>
    <w:rsid w:val="00E00E62"/>
    <w:rsid w:val="00E038A0"/>
    <w:rsid w:val="00E04E2F"/>
    <w:rsid w:val="00E10CDF"/>
    <w:rsid w:val="00E12348"/>
    <w:rsid w:val="00E13FBA"/>
    <w:rsid w:val="00E213CA"/>
    <w:rsid w:val="00E26D73"/>
    <w:rsid w:val="00E32233"/>
    <w:rsid w:val="00E33DA4"/>
    <w:rsid w:val="00E34942"/>
    <w:rsid w:val="00E36229"/>
    <w:rsid w:val="00E36614"/>
    <w:rsid w:val="00E37AB5"/>
    <w:rsid w:val="00E51F6C"/>
    <w:rsid w:val="00E53AAA"/>
    <w:rsid w:val="00E55074"/>
    <w:rsid w:val="00E6525F"/>
    <w:rsid w:val="00E667D7"/>
    <w:rsid w:val="00E66FC4"/>
    <w:rsid w:val="00E82C93"/>
    <w:rsid w:val="00E937D6"/>
    <w:rsid w:val="00E942BB"/>
    <w:rsid w:val="00E9490D"/>
    <w:rsid w:val="00EA5AB4"/>
    <w:rsid w:val="00EB3682"/>
    <w:rsid w:val="00EB798B"/>
    <w:rsid w:val="00EC4804"/>
    <w:rsid w:val="00ED7067"/>
    <w:rsid w:val="00EE7B15"/>
    <w:rsid w:val="00EF216E"/>
    <w:rsid w:val="00EF3A84"/>
    <w:rsid w:val="00EF67AF"/>
    <w:rsid w:val="00F01B8B"/>
    <w:rsid w:val="00F077D6"/>
    <w:rsid w:val="00F133E9"/>
    <w:rsid w:val="00F13D69"/>
    <w:rsid w:val="00F279B1"/>
    <w:rsid w:val="00F361BE"/>
    <w:rsid w:val="00F37E09"/>
    <w:rsid w:val="00F4076D"/>
    <w:rsid w:val="00F40D7A"/>
    <w:rsid w:val="00F571D1"/>
    <w:rsid w:val="00F57780"/>
    <w:rsid w:val="00F57A9B"/>
    <w:rsid w:val="00F63CC2"/>
    <w:rsid w:val="00F70146"/>
    <w:rsid w:val="00F73B62"/>
    <w:rsid w:val="00F75967"/>
    <w:rsid w:val="00F82B7C"/>
    <w:rsid w:val="00F87CE4"/>
    <w:rsid w:val="00F91989"/>
    <w:rsid w:val="00F97104"/>
    <w:rsid w:val="00FA1EBD"/>
    <w:rsid w:val="00FA7C7F"/>
    <w:rsid w:val="00FA7F7E"/>
    <w:rsid w:val="00FB58D0"/>
    <w:rsid w:val="00FC0E25"/>
    <w:rsid w:val="00FC2487"/>
    <w:rsid w:val="00FC71B8"/>
    <w:rsid w:val="00FC7E0D"/>
    <w:rsid w:val="00FD038C"/>
    <w:rsid w:val="00FD3B0F"/>
    <w:rsid w:val="00FE0479"/>
    <w:rsid w:val="00FE258F"/>
    <w:rsid w:val="00FE2EB6"/>
    <w:rsid w:val="00FE4B16"/>
    <w:rsid w:val="00FE6349"/>
    <w:rsid w:val="00FE6CEA"/>
    <w:rsid w:val="00FF083B"/>
    <w:rsid w:val="00FF2955"/>
    <w:rsid w:val="00FF52AE"/>
    <w:rsid w:val="01D32DCE"/>
    <w:rsid w:val="02606269"/>
    <w:rsid w:val="03190CB5"/>
    <w:rsid w:val="032E3D7E"/>
    <w:rsid w:val="03914CEF"/>
    <w:rsid w:val="03990700"/>
    <w:rsid w:val="03B8000B"/>
    <w:rsid w:val="040A4E99"/>
    <w:rsid w:val="04106F71"/>
    <w:rsid w:val="04482F65"/>
    <w:rsid w:val="04F41BA7"/>
    <w:rsid w:val="058C2611"/>
    <w:rsid w:val="06232E77"/>
    <w:rsid w:val="06541342"/>
    <w:rsid w:val="07314CDD"/>
    <w:rsid w:val="07F43A9E"/>
    <w:rsid w:val="08030185"/>
    <w:rsid w:val="0A621EFE"/>
    <w:rsid w:val="0B8B62CA"/>
    <w:rsid w:val="0E2A0950"/>
    <w:rsid w:val="0E616AE8"/>
    <w:rsid w:val="0EE04D7C"/>
    <w:rsid w:val="0F126F86"/>
    <w:rsid w:val="0F621C35"/>
    <w:rsid w:val="0FBD67DF"/>
    <w:rsid w:val="0FDB2683"/>
    <w:rsid w:val="10660DA4"/>
    <w:rsid w:val="10960816"/>
    <w:rsid w:val="12A92424"/>
    <w:rsid w:val="12AA12B5"/>
    <w:rsid w:val="12CD7B1B"/>
    <w:rsid w:val="135C0F52"/>
    <w:rsid w:val="135F403C"/>
    <w:rsid w:val="14293EC2"/>
    <w:rsid w:val="15270864"/>
    <w:rsid w:val="16BF1FDC"/>
    <w:rsid w:val="17771FF6"/>
    <w:rsid w:val="18762204"/>
    <w:rsid w:val="18D059A1"/>
    <w:rsid w:val="18E012D2"/>
    <w:rsid w:val="1A366198"/>
    <w:rsid w:val="1B2F535B"/>
    <w:rsid w:val="1B773A61"/>
    <w:rsid w:val="1CF25D43"/>
    <w:rsid w:val="1D2039E9"/>
    <w:rsid w:val="1DAB47A7"/>
    <w:rsid w:val="1DE653AC"/>
    <w:rsid w:val="1E5D2470"/>
    <w:rsid w:val="1F2710FE"/>
    <w:rsid w:val="1F4849A4"/>
    <w:rsid w:val="1FA15E62"/>
    <w:rsid w:val="1FA271A7"/>
    <w:rsid w:val="20532D7A"/>
    <w:rsid w:val="210B598F"/>
    <w:rsid w:val="21980FC0"/>
    <w:rsid w:val="2337440A"/>
    <w:rsid w:val="23645B24"/>
    <w:rsid w:val="238E494F"/>
    <w:rsid w:val="244B2840"/>
    <w:rsid w:val="260F29A7"/>
    <w:rsid w:val="268B16B8"/>
    <w:rsid w:val="26C27E20"/>
    <w:rsid w:val="28176166"/>
    <w:rsid w:val="28A33FFB"/>
    <w:rsid w:val="28C22244"/>
    <w:rsid w:val="29FB3C7C"/>
    <w:rsid w:val="2A1C713C"/>
    <w:rsid w:val="2AC87626"/>
    <w:rsid w:val="2BAB4636"/>
    <w:rsid w:val="2BCC070B"/>
    <w:rsid w:val="2CB1684E"/>
    <w:rsid w:val="2D300825"/>
    <w:rsid w:val="2D7447AC"/>
    <w:rsid w:val="2DA328A9"/>
    <w:rsid w:val="2EEF195A"/>
    <w:rsid w:val="2F1806F8"/>
    <w:rsid w:val="2F233D96"/>
    <w:rsid w:val="2F2A170E"/>
    <w:rsid w:val="30322A82"/>
    <w:rsid w:val="303A2619"/>
    <w:rsid w:val="310857FE"/>
    <w:rsid w:val="31BE699F"/>
    <w:rsid w:val="31E7736D"/>
    <w:rsid w:val="329D695D"/>
    <w:rsid w:val="32CC15F8"/>
    <w:rsid w:val="33A855B9"/>
    <w:rsid w:val="33DE1D0A"/>
    <w:rsid w:val="34303209"/>
    <w:rsid w:val="35AB052E"/>
    <w:rsid w:val="36104B70"/>
    <w:rsid w:val="363C1475"/>
    <w:rsid w:val="36F71A12"/>
    <w:rsid w:val="37571E1F"/>
    <w:rsid w:val="37973414"/>
    <w:rsid w:val="379C1C92"/>
    <w:rsid w:val="38AB68CF"/>
    <w:rsid w:val="39651072"/>
    <w:rsid w:val="3A302FC3"/>
    <w:rsid w:val="3B1D0681"/>
    <w:rsid w:val="3B3F2CA7"/>
    <w:rsid w:val="3BCA7EFB"/>
    <w:rsid w:val="3BFC6E29"/>
    <w:rsid w:val="3C855459"/>
    <w:rsid w:val="3E2F1ADA"/>
    <w:rsid w:val="3EAC648D"/>
    <w:rsid w:val="3F370D16"/>
    <w:rsid w:val="407A2C84"/>
    <w:rsid w:val="407D392A"/>
    <w:rsid w:val="42284D2F"/>
    <w:rsid w:val="42CF0FDA"/>
    <w:rsid w:val="42E346E6"/>
    <w:rsid w:val="433F136A"/>
    <w:rsid w:val="43481BC2"/>
    <w:rsid w:val="438356FB"/>
    <w:rsid w:val="44275948"/>
    <w:rsid w:val="44EB79FC"/>
    <w:rsid w:val="45163349"/>
    <w:rsid w:val="45265E9F"/>
    <w:rsid w:val="453273D9"/>
    <w:rsid w:val="454C0B75"/>
    <w:rsid w:val="47BE4BDB"/>
    <w:rsid w:val="48214116"/>
    <w:rsid w:val="482C6361"/>
    <w:rsid w:val="48E44E8E"/>
    <w:rsid w:val="492A1C6F"/>
    <w:rsid w:val="493C5CD0"/>
    <w:rsid w:val="497C731C"/>
    <w:rsid w:val="4A81411A"/>
    <w:rsid w:val="4AC54177"/>
    <w:rsid w:val="4B660CA4"/>
    <w:rsid w:val="4C045E77"/>
    <w:rsid w:val="4CC8211F"/>
    <w:rsid w:val="4D460673"/>
    <w:rsid w:val="4DDB0E73"/>
    <w:rsid w:val="4E7035E8"/>
    <w:rsid w:val="4F3778FE"/>
    <w:rsid w:val="5074270E"/>
    <w:rsid w:val="50AA0669"/>
    <w:rsid w:val="50C53BB8"/>
    <w:rsid w:val="51607EC5"/>
    <w:rsid w:val="53F25E92"/>
    <w:rsid w:val="543C4095"/>
    <w:rsid w:val="54B72464"/>
    <w:rsid w:val="55086699"/>
    <w:rsid w:val="554A79C4"/>
    <w:rsid w:val="567159ED"/>
    <w:rsid w:val="568D0913"/>
    <w:rsid w:val="56AC6A8E"/>
    <w:rsid w:val="59FF3688"/>
    <w:rsid w:val="5A047DDA"/>
    <w:rsid w:val="5B7F63EC"/>
    <w:rsid w:val="5BBA50DF"/>
    <w:rsid w:val="5C477480"/>
    <w:rsid w:val="5C7E07AE"/>
    <w:rsid w:val="5D026E4B"/>
    <w:rsid w:val="5DD62B9F"/>
    <w:rsid w:val="5E1D0669"/>
    <w:rsid w:val="5E644849"/>
    <w:rsid w:val="5EAD2C70"/>
    <w:rsid w:val="5EB8400E"/>
    <w:rsid w:val="5EE0391C"/>
    <w:rsid w:val="5F9B4A66"/>
    <w:rsid w:val="5FBF1411"/>
    <w:rsid w:val="60FD0443"/>
    <w:rsid w:val="61A134C4"/>
    <w:rsid w:val="62061579"/>
    <w:rsid w:val="6339737F"/>
    <w:rsid w:val="64E30C80"/>
    <w:rsid w:val="666E7D7D"/>
    <w:rsid w:val="66C263AD"/>
    <w:rsid w:val="66CC44DA"/>
    <w:rsid w:val="66EF3CC4"/>
    <w:rsid w:val="67845130"/>
    <w:rsid w:val="69DF56C6"/>
    <w:rsid w:val="6B6B4B40"/>
    <w:rsid w:val="6C300DB3"/>
    <w:rsid w:val="6CAC4EEF"/>
    <w:rsid w:val="6CE34991"/>
    <w:rsid w:val="70871AD7"/>
    <w:rsid w:val="71082014"/>
    <w:rsid w:val="71A212BE"/>
    <w:rsid w:val="72406FD7"/>
    <w:rsid w:val="73C418F5"/>
    <w:rsid w:val="76743012"/>
    <w:rsid w:val="76F854DD"/>
    <w:rsid w:val="77807800"/>
    <w:rsid w:val="783A4B51"/>
    <w:rsid w:val="792E168A"/>
    <w:rsid w:val="793F40D3"/>
    <w:rsid w:val="79954710"/>
    <w:rsid w:val="79EC0D2C"/>
    <w:rsid w:val="7A5F59C8"/>
    <w:rsid w:val="7B102112"/>
    <w:rsid w:val="7B8D51B9"/>
    <w:rsid w:val="7CEC1640"/>
    <w:rsid w:val="7D62492B"/>
    <w:rsid w:val="7DA01451"/>
    <w:rsid w:val="7E5C05A5"/>
    <w:rsid w:val="7EE60CF5"/>
    <w:rsid w:val="7EF75FC5"/>
    <w:rsid w:val="7F5D4081"/>
    <w:rsid w:val="7FF474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qFormat="1" w:unhideWhenUsed="0" w:uiPriority="0" w:semiHidden="0" w:name="table of authorities"/>
    <w:lsdException w:uiPriority="99" w:name="macro"/>
    <w:lsdException w:qFormat="1" w:unhideWhenUsed="0" w:uiPriority="0" w:semiHidden="0" w:name="toa heading"/>
    <w:lsdException w:qFormat="1" w:unhideWhenUsed="0" w:uiPriority="0" w:semiHidden="0" w:name="List"/>
    <w:lsdException w:uiPriority="99" w:name="List Bullet"/>
    <w:lsdException w:qFormat="1" w:unhideWhenUsed="0" w:uiPriority="0"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qFormat="1" w:unhideWhenUsed="0" w:uiPriority="0" w:semiHidden="0"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iPriority="99" w:semiHidden="0" w:name="HTML Preformatted"/>
    <w:lsdException w:qFormat="1" w:unhideWhenUsed="0" w:uiPriority="0" w:semiHidden="0" w:name="HTML Sample"/>
    <w:lsdException w:uiPriority="99"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napToGrid w:val="0"/>
      <w:spacing w:line="360" w:lineRule="auto"/>
      <w:ind w:firstLine="640" w:firstLineChars="200"/>
      <w:jc w:val="both"/>
    </w:pPr>
    <w:rPr>
      <w:rFonts w:ascii="Times New Roman" w:hAnsi="Times New Roman" w:eastAsia="宋体" w:cs="Times New Roman"/>
      <w:kern w:val="2"/>
      <w:sz w:val="28"/>
      <w:lang w:val="en-US" w:eastAsia="zh-CN" w:bidi="ar-SA"/>
    </w:rPr>
  </w:style>
  <w:style w:type="paragraph" w:styleId="4">
    <w:name w:val="heading 1"/>
    <w:basedOn w:val="1"/>
    <w:next w:val="1"/>
    <w:link w:val="60"/>
    <w:qFormat/>
    <w:uiPriority w:val="0"/>
    <w:pPr>
      <w:keepNext/>
      <w:keepLines/>
      <w:ind w:firstLine="0" w:firstLineChars="0"/>
      <w:jc w:val="center"/>
      <w:outlineLvl w:val="0"/>
    </w:pPr>
    <w:rPr>
      <w:rFonts w:eastAsia="黑体"/>
      <w:bCs/>
      <w:kern w:val="44"/>
      <w:sz w:val="32"/>
      <w:szCs w:val="44"/>
    </w:rPr>
  </w:style>
  <w:style w:type="paragraph" w:styleId="5">
    <w:name w:val="heading 2"/>
    <w:basedOn w:val="1"/>
    <w:next w:val="1"/>
    <w:link w:val="61"/>
    <w:qFormat/>
    <w:uiPriority w:val="0"/>
    <w:pPr>
      <w:keepNext/>
      <w:keepLines/>
      <w:spacing w:before="156" w:beforeLines="50"/>
      <w:ind w:firstLine="0" w:firstLineChars="0"/>
      <w:jc w:val="center"/>
      <w:outlineLvl w:val="1"/>
    </w:pPr>
    <w:rPr>
      <w:rFonts w:eastAsia="黑体"/>
      <w:bCs/>
      <w:sz w:val="30"/>
      <w:szCs w:val="32"/>
    </w:rPr>
  </w:style>
  <w:style w:type="paragraph" w:styleId="6">
    <w:name w:val="heading 3"/>
    <w:basedOn w:val="1"/>
    <w:next w:val="1"/>
    <w:link w:val="62"/>
    <w:qFormat/>
    <w:uiPriority w:val="0"/>
    <w:pPr>
      <w:keepNext/>
      <w:keepLines/>
      <w:ind w:firstLine="880"/>
      <w:outlineLvl w:val="2"/>
    </w:pPr>
    <w:rPr>
      <w:rFonts w:eastAsia="黑体"/>
      <w:bCs/>
      <w:szCs w:val="32"/>
    </w:rPr>
  </w:style>
  <w:style w:type="paragraph" w:styleId="7">
    <w:name w:val="heading 4"/>
    <w:basedOn w:val="1"/>
    <w:next w:val="1"/>
    <w:link w:val="63"/>
    <w:qFormat/>
    <w:uiPriority w:val="0"/>
    <w:pPr>
      <w:keepNext/>
      <w:keepLines/>
      <w:ind w:firstLine="880"/>
      <w:outlineLvl w:val="3"/>
    </w:pPr>
    <w:rPr>
      <w:rFonts w:eastAsia="黑体"/>
      <w:bCs/>
      <w:szCs w:val="28"/>
    </w:rPr>
  </w:style>
  <w:style w:type="paragraph" w:styleId="8">
    <w:name w:val="heading 5"/>
    <w:basedOn w:val="1"/>
    <w:next w:val="1"/>
    <w:qFormat/>
    <w:uiPriority w:val="0"/>
    <w:pPr>
      <w:keepNext/>
      <w:keepLines/>
      <w:spacing w:before="280" w:after="290" w:line="374" w:lineRule="auto"/>
      <w:outlineLvl w:val="4"/>
    </w:pPr>
    <w:rPr>
      <w:b/>
      <w:bCs/>
      <w:szCs w:val="28"/>
    </w:rPr>
  </w:style>
  <w:style w:type="paragraph" w:styleId="9">
    <w:name w:val="heading 6"/>
    <w:basedOn w:val="1"/>
    <w:next w:val="1"/>
    <w:qFormat/>
    <w:uiPriority w:val="0"/>
    <w:pPr>
      <w:keepNext/>
      <w:keepLines/>
      <w:spacing w:before="240" w:after="64" w:line="319" w:lineRule="auto"/>
      <w:outlineLvl w:val="5"/>
    </w:pPr>
    <w:rPr>
      <w:rFonts w:ascii="Arial" w:hAnsi="Arial" w:eastAsia="黑体"/>
      <w:b/>
      <w:bCs/>
      <w:sz w:val="24"/>
    </w:rPr>
  </w:style>
  <w:style w:type="paragraph" w:styleId="10">
    <w:name w:val="heading 7"/>
    <w:basedOn w:val="1"/>
    <w:next w:val="1"/>
    <w:qFormat/>
    <w:uiPriority w:val="0"/>
    <w:pPr>
      <w:keepNext/>
      <w:keepLines/>
      <w:spacing w:before="240" w:after="64" w:line="319" w:lineRule="auto"/>
      <w:outlineLvl w:val="6"/>
    </w:pPr>
    <w:rPr>
      <w:b/>
      <w:bCs/>
      <w:sz w:val="24"/>
    </w:rPr>
  </w:style>
  <w:style w:type="paragraph" w:styleId="11">
    <w:name w:val="heading 8"/>
    <w:basedOn w:val="1"/>
    <w:next w:val="1"/>
    <w:link w:val="64"/>
    <w:qFormat/>
    <w:uiPriority w:val="0"/>
    <w:pPr>
      <w:keepNext/>
      <w:keepLines/>
      <w:spacing w:before="240" w:after="64" w:line="319" w:lineRule="auto"/>
      <w:outlineLvl w:val="7"/>
    </w:pPr>
    <w:rPr>
      <w:rFonts w:ascii="Arial" w:hAnsi="Arial" w:eastAsia="黑体"/>
      <w:sz w:val="24"/>
    </w:rPr>
  </w:style>
  <w:style w:type="paragraph" w:styleId="12">
    <w:name w:val="heading 9"/>
    <w:basedOn w:val="1"/>
    <w:next w:val="1"/>
    <w:qFormat/>
    <w:uiPriority w:val="0"/>
    <w:pPr>
      <w:keepNext/>
      <w:keepLines/>
      <w:spacing w:before="240" w:after="64" w:line="319" w:lineRule="auto"/>
      <w:outlineLvl w:val="8"/>
    </w:pPr>
    <w:rPr>
      <w:rFonts w:ascii="Arial" w:hAnsi="Arial" w:eastAsia="黑体"/>
      <w:szCs w:val="21"/>
    </w:rPr>
  </w:style>
  <w:style w:type="character" w:default="1" w:styleId="46">
    <w:name w:val="Default Paragraph Font"/>
    <w:semiHidden/>
    <w:unhideWhenUsed/>
    <w:uiPriority w:val="1"/>
  </w:style>
  <w:style w:type="table" w:default="1" w:styleId="44">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link w:val="69"/>
    <w:qFormat/>
    <w:uiPriority w:val="0"/>
    <w:pPr>
      <w:ind w:firstLine="420" w:firstLineChars="100"/>
    </w:pPr>
  </w:style>
  <w:style w:type="paragraph" w:styleId="3">
    <w:name w:val="Body Text"/>
    <w:basedOn w:val="1"/>
    <w:link w:val="66"/>
    <w:qFormat/>
    <w:uiPriority w:val="0"/>
    <w:pPr>
      <w:spacing w:after="120"/>
    </w:pPr>
    <w:rPr>
      <w:sz w:val="21"/>
      <w:szCs w:val="24"/>
    </w:rPr>
  </w:style>
  <w:style w:type="paragraph" w:styleId="13">
    <w:name w:val="toc 7"/>
    <w:basedOn w:val="1"/>
    <w:next w:val="1"/>
    <w:qFormat/>
    <w:uiPriority w:val="39"/>
    <w:pPr>
      <w:ind w:left="2520" w:leftChars="1200"/>
    </w:pPr>
  </w:style>
  <w:style w:type="paragraph" w:styleId="14">
    <w:name w:val="List Number 2"/>
    <w:basedOn w:val="1"/>
    <w:qFormat/>
    <w:uiPriority w:val="0"/>
    <w:pPr>
      <w:numPr>
        <w:ilvl w:val="0"/>
        <w:numId w:val="1"/>
      </w:numPr>
      <w:contextualSpacing/>
    </w:pPr>
  </w:style>
  <w:style w:type="paragraph" w:styleId="15">
    <w:name w:val="table of authorities"/>
    <w:basedOn w:val="1"/>
    <w:next w:val="1"/>
    <w:qFormat/>
    <w:uiPriority w:val="0"/>
    <w:pPr>
      <w:ind w:left="280" w:hanging="280"/>
      <w:jc w:val="left"/>
    </w:pPr>
    <w:rPr>
      <w:rFonts w:ascii="Calibri" w:hAnsi="Calibri"/>
      <w:sz w:val="20"/>
    </w:rPr>
  </w:style>
  <w:style w:type="paragraph" w:styleId="16">
    <w:name w:val="List Number"/>
    <w:basedOn w:val="1"/>
    <w:qFormat/>
    <w:uiPriority w:val="0"/>
    <w:pPr>
      <w:numPr>
        <w:ilvl w:val="0"/>
        <w:numId w:val="2"/>
      </w:numPr>
    </w:pPr>
  </w:style>
  <w:style w:type="paragraph" w:styleId="17">
    <w:name w:val="Normal Indent"/>
    <w:basedOn w:val="1"/>
    <w:qFormat/>
    <w:uiPriority w:val="0"/>
    <w:pPr>
      <w:ind w:firstLine="420"/>
    </w:pPr>
  </w:style>
  <w:style w:type="paragraph" w:styleId="18">
    <w:name w:val="Document Map"/>
    <w:basedOn w:val="1"/>
    <w:qFormat/>
    <w:uiPriority w:val="0"/>
    <w:pPr>
      <w:shd w:val="clear" w:color="auto" w:fill="000080"/>
    </w:pPr>
  </w:style>
  <w:style w:type="paragraph" w:styleId="19">
    <w:name w:val="toa heading"/>
    <w:basedOn w:val="1"/>
    <w:next w:val="1"/>
    <w:qFormat/>
    <w:uiPriority w:val="0"/>
    <w:pPr>
      <w:spacing w:before="240" w:after="120"/>
      <w:jc w:val="center"/>
    </w:pPr>
    <w:rPr>
      <w:rFonts w:ascii="Calibri" w:hAnsi="Calibri" w:cs="Arial"/>
      <w:smallCaps/>
      <w:sz w:val="22"/>
      <w:szCs w:val="22"/>
      <w:u w:val="single"/>
    </w:rPr>
  </w:style>
  <w:style w:type="paragraph" w:styleId="20">
    <w:name w:val="annotation text"/>
    <w:basedOn w:val="1"/>
    <w:link w:val="65"/>
    <w:qFormat/>
    <w:uiPriority w:val="0"/>
    <w:rPr>
      <w:szCs w:val="24"/>
    </w:rPr>
  </w:style>
  <w:style w:type="paragraph" w:styleId="21">
    <w:name w:val="Body Text Indent"/>
    <w:basedOn w:val="1"/>
    <w:link w:val="67"/>
    <w:qFormat/>
    <w:uiPriority w:val="0"/>
    <w:pPr>
      <w:spacing w:after="120"/>
      <w:ind w:left="420" w:leftChars="200"/>
    </w:pPr>
    <w:rPr>
      <w:rFonts w:ascii="Tahoma" w:hAnsi="Tahoma"/>
      <w:szCs w:val="24"/>
    </w:rPr>
  </w:style>
  <w:style w:type="paragraph" w:styleId="22">
    <w:name w:val="index 4"/>
    <w:basedOn w:val="1"/>
    <w:next w:val="1"/>
    <w:qFormat/>
    <w:uiPriority w:val="0"/>
    <w:pPr>
      <w:spacing w:line="480" w:lineRule="exact"/>
      <w:ind w:left="600" w:leftChars="600" w:firstLine="200"/>
    </w:pPr>
    <w:rPr>
      <w:rFonts w:eastAsia="仿宋_GB2312"/>
      <w:kern w:val="0"/>
      <w:szCs w:val="28"/>
    </w:rPr>
  </w:style>
  <w:style w:type="paragraph" w:styleId="23">
    <w:name w:val="toc 5"/>
    <w:basedOn w:val="1"/>
    <w:next w:val="1"/>
    <w:qFormat/>
    <w:uiPriority w:val="39"/>
    <w:pPr>
      <w:ind w:left="1680" w:leftChars="800"/>
    </w:pPr>
  </w:style>
  <w:style w:type="paragraph" w:styleId="24">
    <w:name w:val="toc 3"/>
    <w:basedOn w:val="1"/>
    <w:next w:val="1"/>
    <w:qFormat/>
    <w:uiPriority w:val="39"/>
    <w:pPr>
      <w:ind w:left="840" w:leftChars="400"/>
    </w:pPr>
  </w:style>
  <w:style w:type="paragraph" w:styleId="25">
    <w:name w:val="Plain Text"/>
    <w:basedOn w:val="1"/>
    <w:qFormat/>
    <w:uiPriority w:val="0"/>
    <w:pPr>
      <w:adjustRightInd/>
      <w:snapToGrid/>
      <w:spacing w:line="240" w:lineRule="auto"/>
      <w:ind w:firstLine="0" w:firstLineChars="0"/>
    </w:pPr>
    <w:rPr>
      <w:rFonts w:ascii="宋体" w:hAnsi="Courier New"/>
      <w:sz w:val="21"/>
      <w:szCs w:val="21"/>
    </w:rPr>
  </w:style>
  <w:style w:type="paragraph" w:styleId="26">
    <w:name w:val="toc 8"/>
    <w:basedOn w:val="1"/>
    <w:next w:val="1"/>
    <w:qFormat/>
    <w:uiPriority w:val="39"/>
    <w:pPr>
      <w:ind w:left="2940" w:leftChars="1400"/>
    </w:pPr>
  </w:style>
  <w:style w:type="paragraph" w:styleId="27">
    <w:name w:val="Body Text Indent 2"/>
    <w:basedOn w:val="1"/>
    <w:qFormat/>
    <w:uiPriority w:val="0"/>
    <w:pPr>
      <w:spacing w:after="120" w:line="480" w:lineRule="auto"/>
      <w:ind w:left="200" w:leftChars="200"/>
    </w:pPr>
  </w:style>
  <w:style w:type="paragraph" w:styleId="28">
    <w:name w:val="Balloon Text"/>
    <w:basedOn w:val="1"/>
    <w:qFormat/>
    <w:uiPriority w:val="0"/>
    <w:rPr>
      <w:sz w:val="18"/>
      <w:szCs w:val="18"/>
    </w:rPr>
  </w:style>
  <w:style w:type="paragraph" w:styleId="29">
    <w:name w:val="footer"/>
    <w:basedOn w:val="1"/>
    <w:next w:val="25"/>
    <w:qFormat/>
    <w:uiPriority w:val="99"/>
    <w:pPr>
      <w:tabs>
        <w:tab w:val="center" w:pos="4153"/>
        <w:tab w:val="right" w:pos="8306"/>
      </w:tabs>
      <w:jc w:val="left"/>
    </w:pPr>
    <w:rPr>
      <w:sz w:val="18"/>
      <w:szCs w:val="18"/>
    </w:rPr>
  </w:style>
  <w:style w:type="paragraph" w:styleId="30">
    <w:name w:val="header"/>
    <w:basedOn w:val="1"/>
    <w:qFormat/>
    <w:uiPriority w:val="0"/>
    <w:pPr>
      <w:pBdr>
        <w:bottom w:val="single" w:color="auto" w:sz="6" w:space="1"/>
      </w:pBdr>
      <w:tabs>
        <w:tab w:val="center" w:pos="4153"/>
        <w:tab w:val="right" w:pos="8306"/>
      </w:tabs>
      <w:jc w:val="center"/>
    </w:pPr>
    <w:rPr>
      <w:sz w:val="18"/>
      <w:szCs w:val="18"/>
    </w:rPr>
  </w:style>
  <w:style w:type="paragraph" w:styleId="31">
    <w:name w:val="toc 1"/>
    <w:basedOn w:val="1"/>
    <w:next w:val="1"/>
    <w:qFormat/>
    <w:uiPriority w:val="39"/>
    <w:rPr>
      <w:b/>
    </w:rPr>
  </w:style>
  <w:style w:type="paragraph" w:styleId="32">
    <w:name w:val="toc 4"/>
    <w:basedOn w:val="1"/>
    <w:next w:val="1"/>
    <w:qFormat/>
    <w:uiPriority w:val="39"/>
    <w:pPr>
      <w:ind w:left="1260" w:leftChars="600"/>
    </w:pPr>
  </w:style>
  <w:style w:type="paragraph" w:styleId="33">
    <w:name w:val="List"/>
    <w:basedOn w:val="1"/>
    <w:qFormat/>
    <w:uiPriority w:val="0"/>
    <w:pPr>
      <w:ind w:left="200" w:hanging="200" w:hangingChars="200"/>
      <w:contextualSpacing/>
    </w:pPr>
  </w:style>
  <w:style w:type="paragraph" w:styleId="34">
    <w:name w:val="toc 6"/>
    <w:basedOn w:val="1"/>
    <w:next w:val="1"/>
    <w:qFormat/>
    <w:uiPriority w:val="39"/>
    <w:pPr>
      <w:ind w:left="2100" w:leftChars="1000"/>
    </w:pPr>
  </w:style>
  <w:style w:type="paragraph" w:styleId="35">
    <w:name w:val="Body Text Indent 3"/>
    <w:basedOn w:val="1"/>
    <w:link w:val="68"/>
    <w:qFormat/>
    <w:uiPriority w:val="0"/>
    <w:pPr>
      <w:widowControl/>
      <w:suppressAutoHyphens/>
      <w:spacing w:line="500" w:lineRule="atLeast"/>
      <w:ind w:firstLine="456"/>
    </w:pPr>
    <w:rPr>
      <w:kern w:val="0"/>
      <w:sz w:val="24"/>
    </w:rPr>
  </w:style>
  <w:style w:type="paragraph" w:styleId="36">
    <w:name w:val="toc 2"/>
    <w:basedOn w:val="1"/>
    <w:next w:val="1"/>
    <w:qFormat/>
    <w:uiPriority w:val="39"/>
    <w:pPr>
      <w:ind w:left="420" w:leftChars="200"/>
    </w:pPr>
  </w:style>
  <w:style w:type="paragraph" w:styleId="37">
    <w:name w:val="toc 9"/>
    <w:basedOn w:val="1"/>
    <w:next w:val="1"/>
    <w:qFormat/>
    <w:uiPriority w:val="39"/>
    <w:pPr>
      <w:ind w:left="3360" w:leftChars="1600"/>
    </w:pPr>
  </w:style>
  <w:style w:type="paragraph" w:styleId="38">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szCs w:val="24"/>
    </w:rPr>
  </w:style>
  <w:style w:type="paragraph" w:styleId="39">
    <w:name w:val="Normal (Web)"/>
    <w:basedOn w:val="1"/>
    <w:qFormat/>
    <w:uiPriority w:val="0"/>
    <w:pPr>
      <w:widowControl/>
      <w:jc w:val="left"/>
    </w:pPr>
    <w:rPr>
      <w:rFonts w:ascii="宋体" w:hAnsi="宋体" w:cs="宋体"/>
      <w:kern w:val="0"/>
      <w:sz w:val="24"/>
    </w:rPr>
  </w:style>
  <w:style w:type="paragraph" w:styleId="40">
    <w:name w:val="Title"/>
    <w:basedOn w:val="1"/>
    <w:qFormat/>
    <w:uiPriority w:val="0"/>
    <w:pPr>
      <w:spacing w:before="240" w:after="60"/>
      <w:jc w:val="center"/>
      <w:outlineLvl w:val="0"/>
    </w:pPr>
    <w:rPr>
      <w:rFonts w:ascii="Arial" w:hAnsi="Arial" w:eastAsia="方正小标宋简体" w:cs="Arial"/>
      <w:bCs/>
      <w:sz w:val="36"/>
      <w:szCs w:val="32"/>
    </w:rPr>
  </w:style>
  <w:style w:type="paragraph" w:styleId="41">
    <w:name w:val="annotation subject"/>
    <w:basedOn w:val="20"/>
    <w:next w:val="20"/>
    <w:qFormat/>
    <w:uiPriority w:val="0"/>
    <w:rPr>
      <w:b/>
      <w:bCs/>
    </w:rPr>
  </w:style>
  <w:style w:type="paragraph" w:styleId="42">
    <w:name w:val="Body Text First Indent 2"/>
    <w:basedOn w:val="21"/>
    <w:next w:val="43"/>
    <w:link w:val="70"/>
    <w:qFormat/>
    <w:uiPriority w:val="0"/>
    <w:pPr>
      <w:ind w:firstLine="420"/>
    </w:pPr>
  </w:style>
  <w:style w:type="paragraph" w:customStyle="1" w:styleId="43">
    <w:name w:val="样式 正文首行缩进 2 + (符号) 仿宋_GB2312 小三 行距: 单倍行距"/>
    <w:basedOn w:val="42"/>
    <w:next w:val="1"/>
    <w:qFormat/>
    <w:uiPriority w:val="0"/>
    <w:pPr>
      <w:tabs>
        <w:tab w:val="left" w:pos="5327"/>
        <w:tab w:val="left" w:pos="6326"/>
        <w:tab w:val="left" w:pos="7230"/>
        <w:tab w:val="left" w:pos="9301"/>
      </w:tabs>
      <w:ind w:left="0" w:firstLine="600"/>
    </w:pPr>
    <w:rPr>
      <w:rFonts w:ascii="仿宋_GB2312" w:hAnsi="仿宋_GB2312" w:cs="仿宋_GB2312"/>
      <w:color w:val="000000"/>
      <w:kern w:val="28"/>
    </w:rPr>
  </w:style>
  <w:style w:type="table" w:styleId="45">
    <w:name w:val="Table Grid"/>
    <w:basedOn w:val="4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7">
    <w:name w:val="Strong"/>
    <w:qFormat/>
    <w:uiPriority w:val="0"/>
    <w:rPr>
      <w:rFonts w:ascii="Tahoma" w:hAnsi="Tahoma"/>
      <w:b/>
      <w:szCs w:val="21"/>
    </w:rPr>
  </w:style>
  <w:style w:type="character" w:styleId="48">
    <w:name w:val="page number"/>
    <w:qFormat/>
    <w:uiPriority w:val="0"/>
  </w:style>
  <w:style w:type="character" w:styleId="49">
    <w:name w:val="FollowedHyperlink"/>
    <w:qFormat/>
    <w:uiPriority w:val="0"/>
    <w:rPr>
      <w:color w:val="136EC2"/>
      <w:u w:val="single"/>
    </w:rPr>
  </w:style>
  <w:style w:type="character" w:styleId="50">
    <w:name w:val="Emphasis"/>
    <w:qFormat/>
    <w:uiPriority w:val="0"/>
  </w:style>
  <w:style w:type="character" w:styleId="51">
    <w:name w:val="HTML Definition"/>
    <w:qFormat/>
    <w:uiPriority w:val="0"/>
  </w:style>
  <w:style w:type="character" w:styleId="52">
    <w:name w:val="HTML Variable"/>
    <w:qFormat/>
    <w:uiPriority w:val="0"/>
  </w:style>
  <w:style w:type="character" w:styleId="53">
    <w:name w:val="Hyperlink"/>
    <w:qFormat/>
    <w:uiPriority w:val="99"/>
    <w:rPr>
      <w:color w:val="136EC2"/>
      <w:u w:val="single"/>
    </w:rPr>
  </w:style>
  <w:style w:type="character" w:styleId="54">
    <w:name w:val="HTML Code"/>
    <w:qFormat/>
    <w:uiPriority w:val="0"/>
    <w:rPr>
      <w:rFonts w:ascii="Courier New" w:hAnsi="Courier New" w:eastAsia="Courier New" w:cs="Courier New"/>
      <w:sz w:val="20"/>
    </w:rPr>
  </w:style>
  <w:style w:type="character" w:styleId="55">
    <w:name w:val="annotation reference"/>
    <w:qFormat/>
    <w:uiPriority w:val="0"/>
    <w:rPr>
      <w:sz w:val="21"/>
      <w:szCs w:val="21"/>
    </w:rPr>
  </w:style>
  <w:style w:type="character" w:styleId="56">
    <w:name w:val="HTML Cite"/>
    <w:qFormat/>
    <w:uiPriority w:val="0"/>
  </w:style>
  <w:style w:type="character" w:styleId="57">
    <w:name w:val="HTML Keyboard"/>
    <w:qFormat/>
    <w:uiPriority w:val="0"/>
    <w:rPr>
      <w:rFonts w:ascii="Courier New" w:hAnsi="Courier New" w:eastAsia="Courier New" w:cs="Courier New"/>
      <w:sz w:val="20"/>
    </w:rPr>
  </w:style>
  <w:style w:type="character" w:styleId="58">
    <w:name w:val="HTML Sample"/>
    <w:qFormat/>
    <w:uiPriority w:val="0"/>
    <w:rPr>
      <w:rFonts w:ascii="Courier New" w:hAnsi="Courier New" w:eastAsia="Courier New" w:cs="Courier New"/>
    </w:rPr>
  </w:style>
  <w:style w:type="paragraph" w:customStyle="1" w:styleId="59">
    <w:name w:val="标书正文"/>
    <w:basedOn w:val="1"/>
    <w:qFormat/>
    <w:uiPriority w:val="0"/>
    <w:pPr>
      <w:tabs>
        <w:tab w:val="left" w:pos="2415"/>
      </w:tabs>
      <w:spacing w:line="560" w:lineRule="exact"/>
      <w:jc w:val="center"/>
    </w:pPr>
    <w:rPr>
      <w:rFonts w:ascii="Calibri" w:hAnsi="Calibri"/>
      <w:szCs w:val="24"/>
    </w:rPr>
  </w:style>
  <w:style w:type="character" w:customStyle="1" w:styleId="60">
    <w:name w:val="标题 1 字符"/>
    <w:link w:val="4"/>
    <w:qFormat/>
    <w:uiPriority w:val="0"/>
    <w:rPr>
      <w:rFonts w:ascii="Times New Roman" w:hAnsi="Times New Roman" w:eastAsia="黑体"/>
      <w:bCs/>
      <w:kern w:val="44"/>
      <w:sz w:val="32"/>
      <w:szCs w:val="44"/>
      <w:lang w:val="en-US" w:eastAsia="zh-CN" w:bidi="ar-SA"/>
    </w:rPr>
  </w:style>
  <w:style w:type="character" w:customStyle="1" w:styleId="61">
    <w:name w:val="标题 2 字符"/>
    <w:link w:val="5"/>
    <w:qFormat/>
    <w:uiPriority w:val="0"/>
    <w:rPr>
      <w:rFonts w:ascii="Times New Roman" w:hAnsi="Times New Roman" w:eastAsia="黑体"/>
      <w:bCs/>
      <w:sz w:val="30"/>
      <w:szCs w:val="32"/>
    </w:rPr>
  </w:style>
  <w:style w:type="character" w:customStyle="1" w:styleId="62">
    <w:name w:val="标题 3 字符"/>
    <w:link w:val="6"/>
    <w:qFormat/>
    <w:uiPriority w:val="0"/>
    <w:rPr>
      <w:rFonts w:ascii="Times New Roman" w:hAnsi="Times New Roman" w:eastAsia="黑体"/>
      <w:bCs/>
      <w:kern w:val="2"/>
      <w:sz w:val="28"/>
      <w:szCs w:val="32"/>
      <w:lang w:val="en-US" w:eastAsia="zh-CN" w:bidi="ar-SA"/>
    </w:rPr>
  </w:style>
  <w:style w:type="character" w:customStyle="1" w:styleId="63">
    <w:name w:val="标题 4 字符"/>
    <w:link w:val="7"/>
    <w:qFormat/>
    <w:uiPriority w:val="0"/>
    <w:rPr>
      <w:rFonts w:ascii="Times New Roman" w:hAnsi="Times New Roman" w:eastAsia="黑体"/>
      <w:bCs/>
      <w:kern w:val="2"/>
      <w:sz w:val="28"/>
      <w:szCs w:val="28"/>
      <w:lang w:val="en-US" w:eastAsia="zh-CN" w:bidi="ar-SA"/>
    </w:rPr>
  </w:style>
  <w:style w:type="character" w:customStyle="1" w:styleId="64">
    <w:name w:val="标题 8 字符"/>
    <w:link w:val="11"/>
    <w:qFormat/>
    <w:uiPriority w:val="0"/>
    <w:rPr>
      <w:rFonts w:ascii="Arial" w:hAnsi="Arial" w:eastAsia="黑体"/>
      <w:sz w:val="24"/>
    </w:rPr>
  </w:style>
  <w:style w:type="character" w:customStyle="1" w:styleId="65">
    <w:name w:val="批注文字 字符"/>
    <w:link w:val="20"/>
    <w:qFormat/>
    <w:uiPriority w:val="0"/>
    <w:rPr>
      <w:rFonts w:eastAsia="宋体"/>
      <w:kern w:val="2"/>
      <w:sz w:val="28"/>
      <w:szCs w:val="24"/>
    </w:rPr>
  </w:style>
  <w:style w:type="character" w:customStyle="1" w:styleId="66">
    <w:name w:val="正文文本 字符"/>
    <w:link w:val="3"/>
    <w:qFormat/>
    <w:uiPriority w:val="0"/>
    <w:rPr>
      <w:kern w:val="2"/>
      <w:sz w:val="21"/>
      <w:szCs w:val="24"/>
    </w:rPr>
  </w:style>
  <w:style w:type="character" w:customStyle="1" w:styleId="67">
    <w:name w:val="正文文本缩进 字符"/>
    <w:link w:val="21"/>
    <w:qFormat/>
    <w:uiPriority w:val="0"/>
    <w:rPr>
      <w:rFonts w:ascii="Tahoma" w:hAnsi="Tahoma"/>
      <w:kern w:val="2"/>
      <w:sz w:val="28"/>
      <w:szCs w:val="24"/>
    </w:rPr>
  </w:style>
  <w:style w:type="character" w:customStyle="1" w:styleId="68">
    <w:name w:val="正文文本缩进 3 字符"/>
    <w:link w:val="35"/>
    <w:qFormat/>
    <w:uiPriority w:val="0"/>
    <w:rPr>
      <w:kern w:val="0"/>
      <w:sz w:val="24"/>
      <w:szCs w:val="20"/>
    </w:rPr>
  </w:style>
  <w:style w:type="character" w:customStyle="1" w:styleId="69">
    <w:name w:val="正文文本首行缩进 字符"/>
    <w:link w:val="2"/>
    <w:qFormat/>
    <w:uiPriority w:val="0"/>
  </w:style>
  <w:style w:type="character" w:customStyle="1" w:styleId="70">
    <w:name w:val="正文文本首行缩进 2 字符"/>
    <w:link w:val="42"/>
    <w:qFormat/>
    <w:uiPriority w:val="0"/>
  </w:style>
  <w:style w:type="character" w:customStyle="1" w:styleId="71">
    <w:name w:val="morelink-item"/>
    <w:qFormat/>
    <w:uiPriority w:val="0"/>
  </w:style>
  <w:style w:type="character" w:customStyle="1" w:styleId="72">
    <w:name w:val="页眉 字符"/>
    <w:qFormat/>
    <w:uiPriority w:val="0"/>
    <w:rPr>
      <w:kern w:val="2"/>
      <w:sz w:val="18"/>
      <w:szCs w:val="18"/>
    </w:rPr>
  </w:style>
  <w:style w:type="character" w:customStyle="1" w:styleId="73">
    <w:name w:val="sort1"/>
    <w:qFormat/>
    <w:uiPriority w:val="0"/>
  </w:style>
  <w:style w:type="character" w:customStyle="1" w:styleId="74">
    <w:name w:val="bds_more8"/>
    <w:qFormat/>
    <w:uiPriority w:val="0"/>
  </w:style>
  <w:style w:type="character" w:customStyle="1" w:styleId="75">
    <w:name w:val="apple-style-span"/>
    <w:qFormat/>
    <w:uiPriority w:val="0"/>
  </w:style>
  <w:style w:type="character" w:customStyle="1" w:styleId="76">
    <w:name w:val="desc"/>
    <w:qFormat/>
    <w:uiPriority w:val="0"/>
    <w:rPr>
      <w:color w:val="000000"/>
      <w:sz w:val="18"/>
      <w:szCs w:val="18"/>
    </w:rPr>
  </w:style>
  <w:style w:type="character" w:customStyle="1" w:styleId="77">
    <w:name w:val="bds_more6"/>
    <w:qFormat/>
    <w:uiPriority w:val="0"/>
  </w:style>
  <w:style w:type="character" w:customStyle="1" w:styleId="78">
    <w:name w:val="sidecatalog-index2"/>
    <w:qFormat/>
    <w:uiPriority w:val="0"/>
    <w:rPr>
      <w:rFonts w:ascii="Arail" w:hAnsi="Arail" w:eastAsia="Arail" w:cs="Arail"/>
      <w:color w:val="999999"/>
      <w:sz w:val="21"/>
      <w:szCs w:val="21"/>
    </w:rPr>
  </w:style>
  <w:style w:type="character" w:customStyle="1" w:styleId="79">
    <w:name w:val="页脚 字符"/>
    <w:qFormat/>
    <w:uiPriority w:val="99"/>
    <w:rPr>
      <w:kern w:val="2"/>
      <w:sz w:val="18"/>
      <w:szCs w:val="18"/>
    </w:rPr>
  </w:style>
  <w:style w:type="character" w:customStyle="1" w:styleId="80">
    <w:name w:val="_Style 78"/>
    <w:qFormat/>
    <w:uiPriority w:val="99"/>
    <w:rPr>
      <w:rFonts w:ascii="Tahoma" w:hAnsi="Tahoma"/>
      <w:color w:val="605E5C"/>
      <w:szCs w:val="21"/>
      <w:shd w:val="clear" w:color="auto" w:fill="E1DFDD"/>
    </w:rPr>
  </w:style>
  <w:style w:type="character" w:customStyle="1" w:styleId="81">
    <w:name w:val="bds_nopic1"/>
    <w:qFormat/>
    <w:uiPriority w:val="0"/>
  </w:style>
  <w:style w:type="character" w:customStyle="1" w:styleId="82">
    <w:name w:val="bds_more4"/>
    <w:qFormat/>
    <w:uiPriority w:val="0"/>
  </w:style>
  <w:style w:type="character" w:customStyle="1" w:styleId="83">
    <w:name w:val="样式2 Char Char"/>
    <w:link w:val="84"/>
    <w:qFormat/>
    <w:uiPriority w:val="0"/>
    <w:rPr>
      <w:kern w:val="2"/>
      <w:sz w:val="18"/>
      <w:szCs w:val="18"/>
    </w:rPr>
  </w:style>
  <w:style w:type="paragraph" w:customStyle="1" w:styleId="84">
    <w:name w:val="样式2"/>
    <w:basedOn w:val="29"/>
    <w:link w:val="83"/>
    <w:qFormat/>
    <w:uiPriority w:val="0"/>
    <w:pPr>
      <w:spacing w:line="276" w:lineRule="auto"/>
    </w:pPr>
  </w:style>
  <w:style w:type="character" w:customStyle="1" w:styleId="85">
    <w:name w:val="plus"/>
    <w:qFormat/>
    <w:uiPriority w:val="0"/>
    <w:rPr>
      <w:b/>
      <w:vanish/>
      <w:color w:val="1F8DEF"/>
      <w:sz w:val="24"/>
      <w:szCs w:val="24"/>
    </w:rPr>
  </w:style>
  <w:style w:type="character" w:customStyle="1" w:styleId="86">
    <w:name w:val="正文1 Char Char Char Char"/>
    <w:qFormat/>
    <w:uiPriority w:val="0"/>
    <w:rPr>
      <w:rFonts w:ascii="Arial Narrow" w:hAnsi="Arial Narrow" w:eastAsia="宋体"/>
      <w:color w:val="000000"/>
      <w:kern w:val="10"/>
      <w:sz w:val="28"/>
      <w:szCs w:val="28"/>
      <w:lang w:val="zh-CN" w:eastAsia="zh-CN" w:bidi="ar-SA"/>
    </w:rPr>
  </w:style>
  <w:style w:type="character" w:customStyle="1" w:styleId="87">
    <w:name w:val="sidecatalog-dot1"/>
    <w:qFormat/>
    <w:uiPriority w:val="0"/>
  </w:style>
  <w:style w:type="character" w:customStyle="1" w:styleId="88">
    <w:name w:val="desc12"/>
    <w:qFormat/>
    <w:uiPriority w:val="0"/>
    <w:rPr>
      <w:color w:val="000000"/>
      <w:sz w:val="18"/>
      <w:szCs w:val="18"/>
    </w:rPr>
  </w:style>
  <w:style w:type="character" w:customStyle="1" w:styleId="89">
    <w:name w:val="bds_more10"/>
    <w:qFormat/>
    <w:uiPriority w:val="0"/>
  </w:style>
  <w:style w:type="character" w:customStyle="1" w:styleId="90">
    <w:name w:val="wtt1"/>
    <w:qFormat/>
    <w:uiPriority w:val="0"/>
    <w:rPr>
      <w:sz w:val="21"/>
      <w:szCs w:val="21"/>
    </w:rPr>
  </w:style>
  <w:style w:type="character" w:customStyle="1" w:styleId="91">
    <w:name w:val="标题 1 Char"/>
    <w:qFormat/>
    <w:uiPriority w:val="0"/>
    <w:rPr>
      <w:rFonts w:hint="eastAsia" w:ascii="宋体" w:hAnsi="宋体" w:eastAsia="宋体"/>
      <w:b/>
      <w:bCs/>
      <w:kern w:val="44"/>
      <w:sz w:val="44"/>
      <w:szCs w:val="44"/>
      <w:lang w:val="en-US" w:eastAsia="zh-CN" w:bidi="ar-SA"/>
    </w:rPr>
  </w:style>
  <w:style w:type="character" w:customStyle="1" w:styleId="92">
    <w:name w:val="bds_nopic2"/>
    <w:qFormat/>
    <w:uiPriority w:val="0"/>
  </w:style>
  <w:style w:type="character" w:customStyle="1" w:styleId="93">
    <w:name w:val="sidecatalog-index1"/>
    <w:qFormat/>
    <w:uiPriority w:val="0"/>
    <w:rPr>
      <w:rFonts w:ascii="Arial" w:hAnsi="Arial" w:cs="Arial"/>
      <w:b/>
      <w:color w:val="999999"/>
      <w:sz w:val="21"/>
      <w:szCs w:val="21"/>
    </w:rPr>
  </w:style>
  <w:style w:type="character" w:customStyle="1" w:styleId="94">
    <w:name w:val="标题 2 Char Char"/>
    <w:qFormat/>
    <w:uiPriority w:val="0"/>
    <w:rPr>
      <w:rFonts w:hint="default" w:ascii="Arial" w:hAnsi="Arial" w:eastAsia="黑体" w:cs="Arial"/>
      <w:b/>
      <w:sz w:val="30"/>
    </w:rPr>
  </w:style>
  <w:style w:type="character" w:customStyle="1" w:styleId="95">
    <w:name w:val="fontstyle11"/>
    <w:qFormat/>
    <w:uiPriority w:val="0"/>
    <w:rPr>
      <w:rFonts w:hint="default" w:ascii="Times New Roman" w:hAnsi="Times New Roman" w:cs="Times New Roman"/>
      <w:color w:val="000000"/>
      <w:sz w:val="28"/>
      <w:szCs w:val="28"/>
    </w:rPr>
  </w:style>
  <w:style w:type="character" w:customStyle="1" w:styleId="96">
    <w:name w:val="sort"/>
    <w:qFormat/>
    <w:uiPriority w:val="0"/>
    <w:rPr>
      <w:color w:val="FFFFFF"/>
      <w:bdr w:val="single" w:color="auto" w:sz="24" w:space="0"/>
    </w:rPr>
  </w:style>
  <w:style w:type="character" w:customStyle="1" w:styleId="97">
    <w:name w:val="bds_more3"/>
    <w:qFormat/>
    <w:uiPriority w:val="0"/>
  </w:style>
  <w:style w:type="character" w:customStyle="1" w:styleId="98">
    <w:name w:val="bds_more2"/>
    <w:qFormat/>
    <w:uiPriority w:val="0"/>
    <w:rPr>
      <w:rFonts w:hint="eastAsia" w:ascii="宋体" w:hAnsi="宋体" w:eastAsia="宋体" w:cs="宋体"/>
    </w:rPr>
  </w:style>
  <w:style w:type="character" w:customStyle="1" w:styleId="99">
    <w:name w:val="sidecatalog-dot"/>
    <w:qFormat/>
    <w:uiPriority w:val="0"/>
  </w:style>
  <w:style w:type="character" w:customStyle="1" w:styleId="100">
    <w:name w:val="lemmatitleh12"/>
    <w:qFormat/>
    <w:uiPriority w:val="0"/>
  </w:style>
  <w:style w:type="character" w:customStyle="1" w:styleId="101">
    <w:name w:val="bds_more1"/>
    <w:qFormat/>
    <w:uiPriority w:val="0"/>
  </w:style>
  <w:style w:type="character" w:customStyle="1" w:styleId="102">
    <w:name w:val="bds_nopic"/>
    <w:qFormat/>
    <w:uiPriority w:val="0"/>
  </w:style>
  <w:style w:type="character" w:customStyle="1" w:styleId="103">
    <w:name w:val="fontstyle21"/>
    <w:qFormat/>
    <w:uiPriority w:val="0"/>
    <w:rPr>
      <w:rFonts w:hint="default" w:ascii="Times New Roman" w:hAnsi="Times New Roman" w:cs="Times New Roman"/>
      <w:color w:val="000000"/>
      <w:sz w:val="28"/>
      <w:szCs w:val="28"/>
    </w:rPr>
  </w:style>
  <w:style w:type="character" w:customStyle="1" w:styleId="104">
    <w:name w:val="polysemyexp"/>
    <w:qFormat/>
    <w:uiPriority w:val="0"/>
    <w:rPr>
      <w:color w:val="AAAAAA"/>
      <w:sz w:val="18"/>
      <w:szCs w:val="18"/>
    </w:rPr>
  </w:style>
  <w:style w:type="character" w:customStyle="1" w:styleId="105">
    <w:name w:val="headline-content2"/>
    <w:qFormat/>
    <w:uiPriority w:val="0"/>
  </w:style>
  <w:style w:type="character" w:customStyle="1" w:styleId="106">
    <w:name w:val="ttitle"/>
    <w:qFormat/>
    <w:uiPriority w:val="0"/>
  </w:style>
  <w:style w:type="character" w:customStyle="1" w:styleId="107">
    <w:name w:val="样式3 Char Char"/>
    <w:link w:val="108"/>
    <w:qFormat/>
    <w:uiPriority w:val="0"/>
    <w:rPr>
      <w:kern w:val="2"/>
      <w:sz w:val="21"/>
      <w:szCs w:val="18"/>
    </w:rPr>
  </w:style>
  <w:style w:type="paragraph" w:customStyle="1" w:styleId="108">
    <w:name w:val="样式3"/>
    <w:basedOn w:val="29"/>
    <w:link w:val="107"/>
    <w:qFormat/>
    <w:uiPriority w:val="0"/>
    <w:pPr>
      <w:spacing w:line="276" w:lineRule="auto"/>
    </w:pPr>
    <w:rPr>
      <w:sz w:val="21"/>
    </w:rPr>
  </w:style>
  <w:style w:type="character" w:customStyle="1" w:styleId="109">
    <w:name w:val="样式 标题 33h33rd levelH3l3CT条标题1.1.1段标题 3 Char1标题 3 Char ... Char Char"/>
    <w:link w:val="110"/>
    <w:qFormat/>
    <w:uiPriority w:val="0"/>
    <w:rPr>
      <w:rFonts w:ascii="宋体" w:hAnsi="宋体" w:eastAsia="宋体"/>
      <w:b/>
      <w:kern w:val="2"/>
      <w:sz w:val="28"/>
      <w:szCs w:val="32"/>
      <w:lang w:val="en-US" w:eastAsia="zh-CN" w:bidi="ar-SA"/>
    </w:rPr>
  </w:style>
  <w:style w:type="paragraph" w:customStyle="1" w:styleId="110">
    <w:name w:val="样式 标题 33h33rd levelH3l3CT条标题1.1.1段标题 3 Char1标题 3 Char ..."/>
    <w:basedOn w:val="6"/>
    <w:link w:val="109"/>
    <w:qFormat/>
    <w:uiPriority w:val="0"/>
    <w:pPr>
      <w:spacing w:after="120" w:line="240" w:lineRule="auto"/>
    </w:pPr>
    <w:rPr>
      <w:rFonts w:ascii="宋体" w:hAnsi="宋体" w:eastAsia="宋体"/>
      <w:b/>
    </w:rPr>
  </w:style>
  <w:style w:type="character" w:customStyle="1" w:styleId="111">
    <w:name w:val="bds_more9"/>
    <w:qFormat/>
    <w:uiPriority w:val="0"/>
  </w:style>
  <w:style w:type="character" w:customStyle="1" w:styleId="112">
    <w:name w:val="bds_more"/>
    <w:qFormat/>
    <w:uiPriority w:val="0"/>
  </w:style>
  <w:style w:type="character" w:customStyle="1" w:styleId="113">
    <w:name w:val="bds_more7"/>
    <w:qFormat/>
    <w:uiPriority w:val="0"/>
    <w:rPr>
      <w:rFonts w:hint="eastAsia" w:ascii="宋体" w:hAnsi="宋体" w:eastAsia="宋体" w:cs="宋体"/>
    </w:rPr>
  </w:style>
  <w:style w:type="character" w:customStyle="1" w:styleId="114">
    <w:name w:val="fontstyle01"/>
    <w:qFormat/>
    <w:uiPriority w:val="0"/>
    <w:rPr>
      <w:rFonts w:hint="eastAsia" w:ascii="宋体" w:hAnsi="宋体" w:eastAsia="宋体"/>
      <w:color w:val="000000"/>
      <w:sz w:val="28"/>
      <w:szCs w:val="28"/>
    </w:rPr>
  </w:style>
  <w:style w:type="character" w:customStyle="1" w:styleId="115">
    <w:name w:val="polysemyred"/>
    <w:qFormat/>
    <w:uiPriority w:val="0"/>
    <w:rPr>
      <w:color w:val="FF6666"/>
      <w:sz w:val="18"/>
      <w:szCs w:val="18"/>
    </w:rPr>
  </w:style>
  <w:style w:type="character" w:customStyle="1" w:styleId="116">
    <w:name w:val="样式1 Char Char"/>
    <w:link w:val="117"/>
    <w:qFormat/>
    <w:uiPriority w:val="0"/>
    <w:rPr>
      <w:kern w:val="2"/>
      <w:sz w:val="18"/>
      <w:szCs w:val="18"/>
    </w:rPr>
  </w:style>
  <w:style w:type="paragraph" w:customStyle="1" w:styleId="117">
    <w:name w:val="样式1"/>
    <w:basedOn w:val="30"/>
    <w:link w:val="116"/>
    <w:qFormat/>
    <w:uiPriority w:val="0"/>
    <w:pPr>
      <w:pBdr>
        <w:bottom w:val="none" w:color="auto" w:sz="0" w:space="0"/>
      </w:pBdr>
    </w:pPr>
  </w:style>
  <w:style w:type="character" w:customStyle="1" w:styleId="118">
    <w:name w:val="lemmatitleh1"/>
    <w:qFormat/>
    <w:uiPriority w:val="0"/>
  </w:style>
  <w:style w:type="paragraph" w:customStyle="1" w:styleId="119">
    <w:name w:val="正文文本缩进 21"/>
    <w:basedOn w:val="1"/>
    <w:qFormat/>
    <w:uiPriority w:val="0"/>
    <w:pPr>
      <w:widowControl/>
      <w:spacing w:after="120" w:line="480" w:lineRule="auto"/>
      <w:ind w:left="200" w:leftChars="200"/>
      <w:jc w:val="left"/>
    </w:pPr>
    <w:rPr>
      <w:rFonts w:ascii="宋体" w:hAnsi="宋体"/>
      <w:sz w:val="21"/>
    </w:rPr>
  </w:style>
  <w:style w:type="paragraph" w:customStyle="1" w:styleId="120">
    <w:name w:val="CM21"/>
    <w:qFormat/>
    <w:uiPriority w:val="0"/>
    <w:pPr>
      <w:spacing w:line="546" w:lineRule="atLeast"/>
    </w:pPr>
    <w:rPr>
      <w:rFonts w:hint="eastAsia" w:ascii="Times New Roman" w:hAnsi="Times New Roman" w:eastAsia="宋体" w:cs="Times New Roman"/>
      <w:lang w:val="en-US" w:eastAsia="zh-CN" w:bidi="ar-SA"/>
    </w:rPr>
  </w:style>
  <w:style w:type="paragraph" w:customStyle="1" w:styleId="121">
    <w:name w:val="Char Char Char Char"/>
    <w:basedOn w:val="1"/>
    <w:qFormat/>
    <w:uiPriority w:val="0"/>
    <w:rPr>
      <w:szCs w:val="21"/>
    </w:rPr>
  </w:style>
  <w:style w:type="paragraph" w:customStyle="1" w:styleId="122">
    <w:name w:val="Body text|1"/>
    <w:basedOn w:val="1"/>
    <w:qFormat/>
    <w:uiPriority w:val="0"/>
    <w:pPr>
      <w:spacing w:line="408" w:lineRule="auto"/>
      <w:ind w:firstLine="400"/>
    </w:pPr>
    <w:rPr>
      <w:rFonts w:ascii="宋体" w:hAnsi="宋体" w:cs="宋体"/>
      <w:szCs w:val="28"/>
      <w:lang w:val="zh-TW" w:eastAsia="zh-TW" w:bidi="zh-TW"/>
    </w:rPr>
  </w:style>
  <w:style w:type="paragraph" w:customStyle="1" w:styleId="123">
    <w:name w:val="CM30"/>
    <w:basedOn w:val="124"/>
    <w:next w:val="124"/>
    <w:qFormat/>
    <w:uiPriority w:val="0"/>
    <w:rPr>
      <w:rFonts w:hint="eastAsia"/>
    </w:rPr>
  </w:style>
  <w:style w:type="paragraph" w:customStyle="1" w:styleId="124">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125">
    <w:name w:val="表头"/>
    <w:basedOn w:val="1"/>
    <w:qFormat/>
    <w:uiPriority w:val="0"/>
    <w:pPr>
      <w:jc w:val="center"/>
    </w:pPr>
  </w:style>
  <w:style w:type="paragraph" w:customStyle="1" w:styleId="126">
    <w:name w:val="默认段落字体 Para Char Char Char Char Char Char Char Char Char3 Char Char Char Char"/>
    <w:basedOn w:val="18"/>
    <w:qFormat/>
    <w:uiPriority w:val="0"/>
    <w:pPr>
      <w:spacing w:line="240" w:lineRule="exact"/>
      <w:ind w:left="357"/>
      <w:jc w:val="left"/>
      <w:outlineLvl w:val="3"/>
    </w:pPr>
    <w:rPr>
      <w:rFonts w:ascii="Tahoma" w:hAnsi="Tahoma"/>
      <w:sz w:val="21"/>
      <w:szCs w:val="21"/>
    </w:rPr>
  </w:style>
  <w:style w:type="paragraph" w:customStyle="1" w:styleId="127">
    <w:name w:val="CM29"/>
    <w:qFormat/>
    <w:uiPriority w:val="0"/>
    <w:rPr>
      <w:rFonts w:hint="eastAsia" w:ascii="Times New Roman" w:hAnsi="Times New Roman" w:eastAsia="宋体" w:cs="Times New Roman"/>
      <w:lang w:val="en-US" w:eastAsia="zh-CN" w:bidi="ar-SA"/>
    </w:rPr>
  </w:style>
  <w:style w:type="paragraph" w:customStyle="1" w:styleId="128">
    <w:name w:val="列出段落2"/>
    <w:basedOn w:val="1"/>
    <w:qFormat/>
    <w:uiPriority w:val="0"/>
    <w:pPr>
      <w:spacing w:line="360" w:lineRule="atLeast"/>
      <w:ind w:firstLine="420"/>
      <w:jc w:val="left"/>
    </w:pPr>
    <w:rPr>
      <w:kern w:val="0"/>
      <w:sz w:val="24"/>
    </w:rPr>
  </w:style>
  <w:style w:type="paragraph" w:customStyle="1" w:styleId="129">
    <w:name w:val="正文五号"/>
    <w:qFormat/>
    <w:uiPriority w:val="0"/>
    <w:pPr>
      <w:adjustRightInd w:val="0"/>
      <w:jc w:val="both"/>
    </w:pPr>
    <w:rPr>
      <w:rFonts w:ascii="Times New Roman" w:hAnsi="Times New Roman" w:eastAsia="宋体" w:cs="Times New Roman"/>
      <w:sz w:val="21"/>
      <w:lang w:val="en-US" w:eastAsia="zh-CN" w:bidi="ar-SA"/>
    </w:rPr>
  </w:style>
  <w:style w:type="paragraph" w:customStyle="1" w:styleId="130">
    <w:name w:val="CM10"/>
    <w:basedOn w:val="124"/>
    <w:next w:val="124"/>
    <w:qFormat/>
    <w:uiPriority w:val="0"/>
    <w:pPr>
      <w:spacing w:line="546" w:lineRule="atLeast"/>
    </w:pPr>
    <w:rPr>
      <w:rFonts w:hint="eastAsia"/>
    </w:rPr>
  </w:style>
  <w:style w:type="paragraph" w:customStyle="1" w:styleId="131">
    <w:name w:val="表格内容"/>
    <w:basedOn w:val="1"/>
    <w:next w:val="17"/>
    <w:qFormat/>
    <w:uiPriority w:val="0"/>
    <w:pPr>
      <w:widowControl/>
      <w:tabs>
        <w:tab w:val="left" w:pos="5327"/>
        <w:tab w:val="left" w:pos="6326"/>
        <w:tab w:val="left" w:pos="7230"/>
        <w:tab w:val="left" w:pos="9301"/>
      </w:tabs>
      <w:spacing w:line="360" w:lineRule="exact"/>
      <w:ind w:firstLine="0" w:firstLineChars="0"/>
      <w:jc w:val="center"/>
    </w:pPr>
    <w:rPr>
      <w:rFonts w:ascii="Arial Narrow" w:hAnsi="Arial Narrow" w:eastAsia="华文中宋" w:cs="宋体"/>
      <w:b/>
      <w:kern w:val="0"/>
      <w:sz w:val="24"/>
      <w:szCs w:val="28"/>
    </w:rPr>
  </w:style>
  <w:style w:type="paragraph" w:customStyle="1" w:styleId="132">
    <w:name w:val="列出段落1"/>
    <w:basedOn w:val="1"/>
    <w:qFormat/>
    <w:uiPriority w:val="0"/>
    <w:pPr>
      <w:ind w:firstLine="420"/>
    </w:pPr>
    <w:rPr>
      <w:sz w:val="21"/>
    </w:rPr>
  </w:style>
  <w:style w:type="paragraph" w:customStyle="1" w:styleId="133">
    <w:name w:val="正文1 Char Char Char Char Char Char Char"/>
    <w:basedOn w:val="1"/>
    <w:qFormat/>
    <w:uiPriority w:val="0"/>
    <w:pPr>
      <w:tabs>
        <w:tab w:val="left" w:pos="5327"/>
        <w:tab w:val="left" w:pos="6326"/>
        <w:tab w:val="left" w:pos="7230"/>
        <w:tab w:val="left" w:pos="9301"/>
      </w:tabs>
      <w:autoSpaceDE w:val="0"/>
      <w:autoSpaceDN w:val="0"/>
      <w:spacing w:line="600" w:lineRule="exact"/>
      <w:ind w:firstLine="560"/>
      <w:jc w:val="left"/>
    </w:pPr>
    <w:rPr>
      <w:rFonts w:ascii="Arial Narrow" w:hAnsi="Arial Narrow" w:eastAsia="仿宋_GB2312"/>
      <w:color w:val="000000"/>
      <w:kern w:val="10"/>
      <w:szCs w:val="28"/>
    </w:rPr>
  </w:style>
  <w:style w:type="paragraph" w:customStyle="1" w:styleId="134">
    <w:name w:val="CM16"/>
    <w:qFormat/>
    <w:uiPriority w:val="0"/>
    <w:pPr>
      <w:spacing w:line="546" w:lineRule="atLeast"/>
    </w:pPr>
    <w:rPr>
      <w:rFonts w:hint="eastAsia" w:ascii="Times New Roman" w:hAnsi="Times New Roman" w:eastAsia="宋体" w:cs="Times New Roman"/>
      <w:lang w:val="en-US" w:eastAsia="zh-CN" w:bidi="ar-SA"/>
    </w:rPr>
  </w:style>
  <w:style w:type="paragraph" w:customStyle="1" w:styleId="135">
    <w:name w:val="正文首行缩进 2 Char Char"/>
    <w:basedOn w:val="136"/>
    <w:qFormat/>
    <w:uiPriority w:val="0"/>
    <w:pPr>
      <w:ind w:firstLine="420" w:firstLineChars="200"/>
    </w:pPr>
    <w:rPr>
      <w:sz w:val="24"/>
    </w:rPr>
  </w:style>
  <w:style w:type="paragraph" w:customStyle="1" w:styleId="136">
    <w:name w:val="正文文本缩进 Char Char"/>
    <w:basedOn w:val="1"/>
    <w:qFormat/>
    <w:uiPriority w:val="0"/>
    <w:pPr>
      <w:ind w:firstLine="538" w:firstLineChars="192"/>
    </w:pPr>
    <w:rPr>
      <w:rFonts w:hint="eastAsia"/>
    </w:rPr>
  </w:style>
  <w:style w:type="paragraph" w:customStyle="1" w:styleId="137">
    <w:name w:val="_Style 45"/>
    <w:basedOn w:val="18"/>
    <w:qFormat/>
    <w:uiPriority w:val="0"/>
    <w:pPr>
      <w:spacing w:line="240" w:lineRule="exact"/>
      <w:ind w:left="357"/>
      <w:jc w:val="left"/>
      <w:outlineLvl w:val="3"/>
    </w:pPr>
    <w:rPr>
      <w:rFonts w:ascii="Tahoma" w:hAnsi="Tahoma"/>
      <w:szCs w:val="21"/>
    </w:rPr>
  </w:style>
  <w:style w:type="paragraph" w:customStyle="1" w:styleId="138">
    <w:name w:val="纯文本1"/>
    <w:basedOn w:val="1"/>
    <w:next w:val="1"/>
    <w:qFormat/>
    <w:uiPriority w:val="0"/>
    <w:rPr>
      <w:rFonts w:ascii="宋体" w:hAnsi="Courier New" w:cs="Courier New"/>
      <w:szCs w:val="21"/>
    </w:rPr>
  </w:style>
  <w:style w:type="paragraph" w:customStyle="1" w:styleId="139">
    <w:name w:val="封面正文"/>
    <w:qFormat/>
    <w:uiPriority w:val="0"/>
    <w:pPr>
      <w:jc w:val="both"/>
    </w:pPr>
    <w:rPr>
      <w:rFonts w:ascii="Calibri" w:hAnsi="Calibri" w:eastAsia="宋体" w:cs="Times New Roman"/>
      <w:snapToGrid w:val="0"/>
      <w:lang w:val="en-US" w:eastAsia="zh-CN" w:bidi="ar-SA"/>
    </w:rPr>
  </w:style>
  <w:style w:type="paragraph" w:customStyle="1" w:styleId="140">
    <w:name w:val="CM5"/>
    <w:basedOn w:val="124"/>
    <w:next w:val="124"/>
    <w:qFormat/>
    <w:uiPriority w:val="0"/>
    <w:pPr>
      <w:spacing w:line="546" w:lineRule="atLeast"/>
    </w:pPr>
    <w:rPr>
      <w:rFonts w:hint="eastAsia"/>
    </w:rPr>
  </w:style>
  <w:style w:type="paragraph" w:customStyle="1" w:styleId="141">
    <w:name w:val="CM12"/>
    <w:qFormat/>
    <w:uiPriority w:val="0"/>
    <w:pPr>
      <w:spacing w:line="556" w:lineRule="atLeast"/>
    </w:pPr>
    <w:rPr>
      <w:rFonts w:hint="eastAsia" w:ascii="Times New Roman" w:hAnsi="Times New Roman" w:eastAsia="宋体" w:cs="Times New Roman"/>
      <w:lang w:val="en-US" w:eastAsia="zh-CN" w:bidi="ar-SA"/>
    </w:rPr>
  </w:style>
  <w:style w:type="paragraph" w:customStyle="1" w:styleId="142">
    <w:name w:val="正文文本首行缩进1"/>
    <w:basedOn w:val="3"/>
    <w:next w:val="1"/>
    <w:qFormat/>
    <w:uiPriority w:val="0"/>
    <w:pPr>
      <w:spacing w:line="275" w:lineRule="atLeast"/>
      <w:ind w:firstLine="420"/>
      <w:textAlignment w:val="baseline"/>
    </w:pPr>
    <w:rPr>
      <w:rFonts w:ascii="宋体" w:eastAsia="楷体_GB2312"/>
      <w:sz w:val="24"/>
      <w:szCs w:val="20"/>
    </w:rPr>
  </w:style>
  <w:style w:type="paragraph" w:customStyle="1" w:styleId="143">
    <w:name w:val="正文3"/>
    <w:basedOn w:val="1"/>
    <w:qFormat/>
    <w:uiPriority w:val="0"/>
    <w:pPr>
      <w:tabs>
        <w:tab w:val="left" w:pos="360"/>
        <w:tab w:val="left" w:pos="5327"/>
        <w:tab w:val="left" w:pos="6326"/>
        <w:tab w:val="left" w:pos="7230"/>
        <w:tab w:val="left" w:pos="9301"/>
      </w:tabs>
      <w:autoSpaceDE w:val="0"/>
      <w:autoSpaceDN w:val="0"/>
      <w:spacing w:line="560" w:lineRule="exact"/>
      <w:ind w:firstLine="200"/>
      <w:jc w:val="left"/>
      <w:textAlignment w:val="baseline"/>
    </w:pPr>
    <w:rPr>
      <w:rFonts w:ascii="Arial Narrow" w:hAnsi="Arial Narrow" w:cs="宋体"/>
      <w:color w:val="000000"/>
      <w:szCs w:val="28"/>
    </w:rPr>
  </w:style>
  <w:style w:type="paragraph" w:customStyle="1" w:styleId="144">
    <w:name w:val="_Style 142"/>
    <w:qFormat/>
    <w:uiPriority w:val="0"/>
    <w:rPr>
      <w:rFonts w:ascii="Times New Roman" w:hAnsi="Times New Roman" w:eastAsia="宋体" w:cs="Times New Roman"/>
      <w:kern w:val="2"/>
      <w:sz w:val="28"/>
      <w:szCs w:val="24"/>
      <w:lang w:val="en-US" w:eastAsia="zh-CN" w:bidi="ar-SA"/>
    </w:rPr>
  </w:style>
  <w:style w:type="paragraph" w:customStyle="1" w:styleId="145">
    <w:name w:val="使用正文"/>
    <w:basedOn w:val="1"/>
    <w:qFormat/>
    <w:uiPriority w:val="0"/>
    <w:pPr>
      <w:spacing w:line="460" w:lineRule="exact"/>
      <w:ind w:firstLine="200"/>
    </w:pPr>
    <w:rPr>
      <w:rFonts w:ascii="Calibri" w:hAnsi="Calibri"/>
      <w:sz w:val="26"/>
      <w:szCs w:val="26"/>
    </w:rPr>
  </w:style>
  <w:style w:type="paragraph" w:customStyle="1" w:styleId="146">
    <w:name w:val="表格 标题"/>
    <w:next w:val="1"/>
    <w:qFormat/>
    <w:uiPriority w:val="0"/>
    <w:pPr>
      <w:spacing w:line="360" w:lineRule="auto"/>
      <w:jc w:val="center"/>
    </w:pPr>
    <w:rPr>
      <w:rFonts w:ascii="Times New Roman" w:hAnsi="Times New Roman" w:eastAsia="宋体" w:cs="Times New Roman"/>
      <w:b/>
      <w:kern w:val="2"/>
      <w:sz w:val="24"/>
      <w:szCs w:val="24"/>
      <w:lang w:val="en-US" w:eastAsia="zh-CN" w:bidi="ar-SA"/>
    </w:rPr>
  </w:style>
  <w:style w:type="paragraph" w:customStyle="1" w:styleId="147">
    <w:name w:val="Table Paragraph"/>
    <w:basedOn w:val="1"/>
    <w:qFormat/>
    <w:uiPriority w:val="0"/>
  </w:style>
  <w:style w:type="paragraph" w:customStyle="1" w:styleId="148">
    <w:name w:val="正文文本首行缩进 21"/>
    <w:basedOn w:val="149"/>
    <w:qFormat/>
    <w:uiPriority w:val="0"/>
    <w:pPr>
      <w:ind w:firstLine="420" w:firstLineChars="200"/>
    </w:pPr>
    <w:rPr>
      <w:sz w:val="24"/>
    </w:rPr>
  </w:style>
  <w:style w:type="paragraph" w:customStyle="1" w:styleId="149">
    <w:name w:val="正文文本缩进1"/>
    <w:basedOn w:val="1"/>
    <w:next w:val="142"/>
    <w:qFormat/>
    <w:uiPriority w:val="0"/>
    <w:pPr>
      <w:ind w:firstLine="538" w:firstLineChars="192"/>
    </w:pPr>
  </w:style>
  <w:style w:type="paragraph" w:customStyle="1" w:styleId="150">
    <w:name w:val="xl40"/>
    <w:basedOn w:val="1"/>
    <w:qFormat/>
    <w:uiPriority w:val="0"/>
    <w:pPr>
      <w:widowControl/>
      <w:pBdr>
        <w:bottom w:val="single" w:color="auto" w:sz="8" w:space="0"/>
      </w:pBdr>
      <w:spacing w:before="100" w:beforeAutospacing="1" w:after="100" w:afterAutospacing="1"/>
      <w:jc w:val="center"/>
    </w:pPr>
    <w:rPr>
      <w:rFonts w:ascii="楷体_GB2312" w:hAnsi="宋体" w:eastAsia="楷体_GB2312"/>
      <w:kern w:val="0"/>
      <w:sz w:val="24"/>
    </w:rPr>
  </w:style>
  <w:style w:type="paragraph" w:customStyle="1" w:styleId="151">
    <w:name w:val="样式5"/>
    <w:basedOn w:val="1"/>
    <w:qFormat/>
    <w:uiPriority w:val="0"/>
    <w:pPr>
      <w:adjustRightInd/>
      <w:spacing w:line="480" w:lineRule="exact"/>
      <w:ind w:firstLine="200"/>
    </w:pPr>
    <w:rPr>
      <w:rFonts w:eastAsia="仿宋_GB2312"/>
      <w:sz w:val="24"/>
    </w:rPr>
  </w:style>
  <w:style w:type="paragraph" w:customStyle="1" w:styleId="152">
    <w:name w:val="标题 2级"/>
    <w:next w:val="1"/>
    <w:qFormat/>
    <w:uiPriority w:val="0"/>
    <w:pPr>
      <w:numPr>
        <w:ilvl w:val="1"/>
        <w:numId w:val="3"/>
      </w:numPr>
      <w:adjustRightInd w:val="0"/>
      <w:snapToGrid w:val="0"/>
      <w:spacing w:line="360" w:lineRule="auto"/>
      <w:outlineLvl w:val="1"/>
    </w:pPr>
    <w:rPr>
      <w:rFonts w:ascii="Calibri" w:hAnsi="Calibri" w:eastAsia="宋体" w:cs="Times New Roman"/>
      <w:b/>
      <w:kern w:val="2"/>
      <w:sz w:val="30"/>
      <w:szCs w:val="30"/>
      <w:lang w:val="en-US" w:eastAsia="zh-CN" w:bidi="ar-SA"/>
    </w:rPr>
  </w:style>
  <w:style w:type="paragraph" w:customStyle="1" w:styleId="153">
    <w:name w:val="Char Char Char Char Char Char Char Char Char Char Char Char Char Char"/>
    <w:qFormat/>
    <w:uiPriority w:val="0"/>
    <w:pPr>
      <w:widowControl w:val="0"/>
      <w:spacing w:line="300" w:lineRule="auto"/>
      <w:ind w:firstLine="480" w:firstLineChars="200"/>
      <w:jc w:val="both"/>
    </w:pPr>
    <w:rPr>
      <w:rFonts w:ascii="Times New Roman" w:hAnsi="Times New Roman" w:eastAsia="仿宋_GB2312" w:cs="Times New Roman"/>
      <w:kern w:val="2"/>
      <w:sz w:val="24"/>
      <w:szCs w:val="24"/>
      <w:lang w:val="en-US" w:eastAsia="zh-CN" w:bidi="ar-SA"/>
    </w:rPr>
  </w:style>
  <w:style w:type="paragraph" w:customStyle="1" w:styleId="154">
    <w:name w:val="样式 正文首行缩进 + 首行缩进:  1 字符"/>
    <w:basedOn w:val="2"/>
    <w:qFormat/>
    <w:uiPriority w:val="0"/>
    <w:pPr>
      <w:tabs>
        <w:tab w:val="left" w:pos="5327"/>
        <w:tab w:val="left" w:pos="6326"/>
        <w:tab w:val="left" w:pos="7230"/>
        <w:tab w:val="left" w:pos="9301"/>
      </w:tabs>
      <w:spacing w:after="0" w:line="560" w:lineRule="exact"/>
      <w:ind w:firstLine="560" w:firstLineChars="200"/>
    </w:pPr>
    <w:rPr>
      <w:rFonts w:ascii="宋体" w:hAnsi="宋体"/>
      <w:color w:val="FF0000"/>
      <w:kern w:val="10"/>
      <w:szCs w:val="28"/>
    </w:rPr>
  </w:style>
  <w:style w:type="paragraph" w:customStyle="1" w:styleId="155">
    <w:name w:val="样式8"/>
    <w:basedOn w:val="35"/>
    <w:qFormat/>
    <w:uiPriority w:val="0"/>
    <w:pPr>
      <w:widowControl w:val="0"/>
      <w:tabs>
        <w:tab w:val="center" w:pos="4153"/>
        <w:tab w:val="right" w:pos="8306"/>
      </w:tabs>
      <w:suppressAutoHyphens w:val="0"/>
      <w:spacing w:line="500" w:lineRule="exact"/>
      <w:ind w:firstLine="540" w:firstLineChars="0"/>
    </w:pPr>
    <w:rPr>
      <w:rFonts w:ascii="宋体" w:hAnsi="宋体"/>
      <w:sz w:val="28"/>
      <w:szCs w:val="28"/>
    </w:rPr>
  </w:style>
  <w:style w:type="paragraph" w:customStyle="1" w:styleId="156">
    <w:name w:val="CM31"/>
    <w:basedOn w:val="124"/>
    <w:next w:val="124"/>
    <w:qFormat/>
    <w:uiPriority w:val="0"/>
    <w:rPr>
      <w:rFonts w:hint="eastAsia"/>
    </w:rPr>
  </w:style>
  <w:style w:type="paragraph" w:customStyle="1" w:styleId="157">
    <w:name w:val="CM7"/>
    <w:basedOn w:val="124"/>
    <w:next w:val="124"/>
    <w:qFormat/>
    <w:uiPriority w:val="0"/>
    <w:pPr>
      <w:spacing w:line="546" w:lineRule="atLeast"/>
    </w:pPr>
    <w:rPr>
      <w:rFonts w:hint="eastAsia"/>
    </w:rPr>
  </w:style>
  <w:style w:type="paragraph" w:customStyle="1" w:styleId="158">
    <w:name w:val="CM9"/>
    <w:basedOn w:val="124"/>
    <w:next w:val="124"/>
    <w:qFormat/>
    <w:uiPriority w:val="0"/>
    <w:pPr>
      <w:spacing w:line="546" w:lineRule="atLeast"/>
    </w:pPr>
    <w:rPr>
      <w:rFonts w:hint="eastAsia"/>
    </w:rPr>
  </w:style>
  <w:style w:type="paragraph" w:customStyle="1" w:styleId="159">
    <w:name w:val="555555"/>
    <w:basedOn w:val="25"/>
    <w:qFormat/>
    <w:uiPriority w:val="0"/>
    <w:rPr>
      <w:rFonts w:hAnsi="宋体"/>
    </w:rPr>
  </w:style>
  <w:style w:type="paragraph" w:customStyle="1" w:styleId="160">
    <w:name w:val="正文首行缩进 Char Char"/>
    <w:basedOn w:val="3"/>
    <w:next w:val="135"/>
    <w:qFormat/>
    <w:uiPriority w:val="0"/>
    <w:pPr>
      <w:spacing w:line="275" w:lineRule="atLeast"/>
      <w:ind w:firstLine="420"/>
      <w:textAlignment w:val="baseline"/>
    </w:pPr>
    <w:rPr>
      <w:rFonts w:hint="eastAsia" w:ascii="宋体" w:eastAsia="楷体_GB2312"/>
      <w:sz w:val="24"/>
    </w:rPr>
  </w:style>
  <w:style w:type="paragraph" w:customStyle="1" w:styleId="161">
    <w:name w:val="序号 2"/>
    <w:qFormat/>
    <w:uiPriority w:val="0"/>
    <w:pPr>
      <w:numPr>
        <w:ilvl w:val="0"/>
        <w:numId w:val="4"/>
      </w:numPr>
      <w:spacing w:line="360" w:lineRule="auto"/>
      <w:jc w:val="both"/>
    </w:pPr>
    <w:rPr>
      <w:rFonts w:ascii="Times New Roman" w:hAnsi="Times New Roman" w:eastAsia="宋体" w:cs="Times New Roman"/>
      <w:kern w:val="2"/>
      <w:sz w:val="28"/>
      <w:szCs w:val="28"/>
      <w:lang w:val="en-US" w:eastAsia="zh-CN" w:bidi="ar-SA"/>
    </w:rPr>
  </w:style>
  <w:style w:type="paragraph" w:customStyle="1" w:styleId="162">
    <w:name w:val="表格 内容"/>
    <w:basedOn w:val="1"/>
    <w:qFormat/>
    <w:uiPriority w:val="0"/>
    <w:pPr>
      <w:spacing w:line="360" w:lineRule="exact"/>
      <w:jc w:val="center"/>
    </w:pPr>
  </w:style>
  <w:style w:type="paragraph" w:customStyle="1" w:styleId="163">
    <w:name w:val="tlarea1"/>
    <w:basedOn w:val="1"/>
    <w:qFormat/>
    <w:uiPriority w:val="0"/>
    <w:pPr>
      <w:widowControl/>
      <w:spacing w:before="100" w:beforeAutospacing="1" w:after="100" w:afterAutospacing="1"/>
      <w:jc w:val="left"/>
    </w:pPr>
    <w:rPr>
      <w:rFonts w:ascii="宋体" w:hAnsi="宋体" w:cs="宋体"/>
      <w:spacing w:val="56"/>
      <w:kern w:val="0"/>
      <w:sz w:val="40"/>
      <w:szCs w:val="40"/>
    </w:rPr>
  </w:style>
  <w:style w:type="paragraph" w:customStyle="1" w:styleId="164">
    <w:name w:val="填表5"/>
    <w:qFormat/>
    <w:uiPriority w:val="0"/>
    <w:pPr>
      <w:adjustRightInd w:val="0"/>
      <w:snapToGrid w:val="0"/>
      <w:jc w:val="center"/>
    </w:pPr>
    <w:rPr>
      <w:rFonts w:ascii="宋体" w:hAnsi="Times New Roman" w:eastAsia="宋体" w:cs="Times New Roman"/>
      <w:kern w:val="2"/>
      <w:sz w:val="24"/>
      <w:szCs w:val="24"/>
      <w:lang w:val="en-US" w:eastAsia="zh-CN" w:bidi="ar-SA"/>
    </w:rPr>
  </w:style>
  <w:style w:type="paragraph" w:customStyle="1" w:styleId="165">
    <w:name w:val="正文1"/>
    <w:basedOn w:val="1"/>
    <w:qFormat/>
    <w:uiPriority w:val="0"/>
    <w:pPr>
      <w:ind w:firstLine="560"/>
      <w:jc w:val="left"/>
    </w:pPr>
    <w:rPr>
      <w:rFonts w:ascii="宋体" w:hAnsi="宋体"/>
      <w:color w:val="000000"/>
      <w:kern w:val="0"/>
      <w:szCs w:val="28"/>
    </w:rPr>
  </w:style>
  <w:style w:type="paragraph" w:customStyle="1" w:styleId="166">
    <w:name w:val="图表名"/>
    <w:basedOn w:val="1"/>
    <w:qFormat/>
    <w:uiPriority w:val="0"/>
    <w:pPr>
      <w:ind w:firstLine="0" w:firstLineChars="0"/>
      <w:jc w:val="center"/>
    </w:pPr>
    <w:rPr>
      <w:b/>
      <w:sz w:val="21"/>
    </w:rPr>
  </w:style>
  <w:style w:type="paragraph" w:customStyle="1" w:styleId="167">
    <w:name w:val="正文非煤评价"/>
    <w:qFormat/>
    <w:uiPriority w:val="0"/>
    <w:pPr>
      <w:spacing w:line="360" w:lineRule="auto"/>
      <w:ind w:firstLine="200" w:firstLineChars="200"/>
      <w:jc w:val="both"/>
    </w:pPr>
    <w:rPr>
      <w:rFonts w:ascii="Times New Roman" w:hAnsi="Times New Roman" w:eastAsia="宋体" w:cs="Times New Roman"/>
      <w:kern w:val="2"/>
      <w:sz w:val="28"/>
      <w:szCs w:val="28"/>
      <w:lang w:val="en-US" w:eastAsia="zh-CN" w:bidi="ar-SA"/>
    </w:rPr>
  </w:style>
  <w:style w:type="paragraph" w:customStyle="1" w:styleId="168">
    <w:name w:val="明显引用1"/>
    <w:next w:val="1"/>
    <w:qFormat/>
    <w:uiPriority w:val="0"/>
    <w:pPr>
      <w:wordWrap w:val="0"/>
      <w:spacing w:before="360" w:after="360"/>
      <w:ind w:left="950" w:right="950"/>
      <w:jc w:val="center"/>
    </w:pPr>
    <w:rPr>
      <w:rFonts w:ascii="Times New Roman" w:hAnsi="Times New Roman" w:eastAsia="宋体" w:cs="Times New Roman"/>
      <w:i/>
      <w:sz w:val="21"/>
      <w:lang w:val="en-US" w:eastAsia="zh-CN" w:bidi="ar-SA"/>
    </w:rPr>
  </w:style>
  <w:style w:type="paragraph" w:customStyle="1" w:styleId="169">
    <w:name w:val="xl31"/>
    <w:basedOn w:val="1"/>
    <w:qFormat/>
    <w:uiPriority w:val="0"/>
    <w:pPr>
      <w:widowControl/>
      <w:pBdr>
        <w:bottom w:val="single" w:color="auto" w:sz="4" w:space="0"/>
        <w:right w:val="single" w:color="auto" w:sz="4" w:space="0"/>
      </w:pBdr>
      <w:spacing w:before="100" w:beforeAutospacing="1" w:after="100" w:afterAutospacing="1"/>
    </w:pPr>
    <w:rPr>
      <w:rFonts w:eastAsia="Arial Unicode MS"/>
      <w:kern w:val="0"/>
      <w:szCs w:val="21"/>
    </w:rPr>
  </w:style>
  <w:style w:type="paragraph" w:customStyle="1" w:styleId="170">
    <w:name w:val="样式 首行缩进:  2 字符"/>
    <w:basedOn w:val="1"/>
    <w:qFormat/>
    <w:uiPriority w:val="0"/>
    <w:pPr>
      <w:ind w:firstLine="200"/>
    </w:pPr>
  </w:style>
  <w:style w:type="paragraph" w:customStyle="1" w:styleId="171">
    <w:name w:val="p0"/>
    <w:basedOn w:val="1"/>
    <w:qFormat/>
    <w:uiPriority w:val="0"/>
    <w:pPr>
      <w:widowControl/>
    </w:pPr>
    <w:rPr>
      <w:rFonts w:ascii="Calibri" w:hAnsi="Calibri" w:cs="宋体"/>
      <w:kern w:val="0"/>
      <w:szCs w:val="21"/>
    </w:rPr>
  </w:style>
  <w:style w:type="paragraph" w:customStyle="1" w:styleId="172">
    <w:name w:val="正文一"/>
    <w:basedOn w:val="3"/>
    <w:qFormat/>
    <w:uiPriority w:val="0"/>
    <w:pPr>
      <w:spacing w:line="560" w:lineRule="exact"/>
      <w:ind w:firstLine="639" w:firstLineChars="225"/>
    </w:pPr>
    <w:rPr>
      <w:rFonts w:ascii="仿宋_GB2312" w:eastAsia="仿宋_GB2312" w:cs="宋体"/>
      <w:spacing w:val="2"/>
      <w:sz w:val="28"/>
      <w:szCs w:val="20"/>
    </w:rPr>
  </w:style>
  <w:style w:type="paragraph" w:customStyle="1" w:styleId="173">
    <w:name w:val="CM8"/>
    <w:qFormat/>
    <w:uiPriority w:val="0"/>
    <w:pPr>
      <w:snapToGrid w:val="0"/>
      <w:spacing w:line="360" w:lineRule="auto"/>
      <w:ind w:firstLine="880" w:firstLineChars="200"/>
      <w:jc w:val="both"/>
    </w:pPr>
    <w:rPr>
      <w:rFonts w:ascii="Times New Roman" w:hAnsi="黑体" w:eastAsia="宋体" w:cs="黑体"/>
      <w:sz w:val="28"/>
      <w:lang w:val="en-US" w:eastAsia="zh-CN" w:bidi="ar-SA"/>
    </w:rPr>
  </w:style>
  <w:style w:type="paragraph" w:customStyle="1" w:styleId="174">
    <w:name w:val="正文文字"/>
    <w:basedOn w:val="1"/>
    <w:qFormat/>
    <w:uiPriority w:val="0"/>
    <w:pPr>
      <w:ind w:firstLine="480"/>
    </w:pPr>
  </w:style>
  <w:style w:type="paragraph" w:customStyle="1" w:styleId="175">
    <w:name w:val="正W"/>
    <w:basedOn w:val="1"/>
    <w:qFormat/>
    <w:uiPriority w:val="0"/>
    <w:pPr>
      <w:spacing w:line="520" w:lineRule="exact"/>
      <w:ind w:firstLine="964"/>
    </w:pPr>
    <w:rPr>
      <w:rFonts w:ascii="宋体" w:hAnsi="宋体"/>
    </w:rPr>
  </w:style>
  <w:style w:type="paragraph" w:customStyle="1" w:styleId="176">
    <w:name w:val="正文1 Char Char"/>
    <w:basedOn w:val="1"/>
    <w:qFormat/>
    <w:uiPriority w:val="0"/>
    <w:pPr>
      <w:widowControl/>
      <w:jc w:val="left"/>
    </w:pPr>
    <w:rPr>
      <w:kern w:val="0"/>
      <w:szCs w:val="24"/>
    </w:rPr>
  </w:style>
  <w:style w:type="paragraph" w:customStyle="1" w:styleId="177">
    <w:name w:val="标题8"/>
    <w:basedOn w:val="1"/>
    <w:qFormat/>
    <w:uiPriority w:val="0"/>
    <w:pPr>
      <w:tabs>
        <w:tab w:val="left" w:pos="6280"/>
      </w:tabs>
      <w:spacing w:before="100" w:beforeAutospacing="1" w:after="100" w:afterAutospacing="1"/>
      <w:jc w:val="center"/>
    </w:pPr>
    <w:rPr>
      <w:rFonts w:eastAsia="仿宋_GB2312"/>
      <w:sz w:val="22"/>
      <w:szCs w:val="22"/>
    </w:rPr>
  </w:style>
  <w:style w:type="paragraph" w:customStyle="1" w:styleId="178">
    <w:name w:val="小表格"/>
    <w:basedOn w:val="1"/>
    <w:qFormat/>
    <w:uiPriority w:val="0"/>
    <w:pPr>
      <w:spacing w:line="240" w:lineRule="auto"/>
      <w:ind w:firstLine="0" w:firstLineChars="0"/>
      <w:jc w:val="center"/>
    </w:pPr>
    <w:rPr>
      <w:sz w:val="21"/>
    </w:rPr>
  </w:style>
  <w:style w:type="paragraph" w:customStyle="1" w:styleId="179">
    <w:name w:val="标题4"/>
    <w:basedOn w:val="22"/>
    <w:next w:val="1"/>
    <w:qFormat/>
    <w:uiPriority w:val="0"/>
    <w:pPr>
      <w:adjustRightInd/>
      <w:snapToGrid/>
      <w:spacing w:before="156" w:beforeLines="50" w:after="156" w:afterLines="50" w:line="240" w:lineRule="auto"/>
      <w:ind w:left="0" w:leftChars="0" w:firstLine="0" w:firstLineChars="0"/>
    </w:pPr>
    <w:rPr>
      <w:rFonts w:ascii="宋体" w:hAnsi="Arial Narrow" w:eastAsia="宋体"/>
    </w:rPr>
  </w:style>
  <w:style w:type="paragraph" w:customStyle="1" w:styleId="180">
    <w:name w:val="正文文本 21"/>
    <w:basedOn w:val="1"/>
    <w:qFormat/>
    <w:uiPriority w:val="0"/>
    <w:pPr>
      <w:widowControl/>
      <w:spacing w:after="120" w:line="480" w:lineRule="auto"/>
      <w:ind w:firstLine="420"/>
    </w:pPr>
    <w:rPr>
      <w:color w:val="000000"/>
      <w:sz w:val="18"/>
      <w:szCs w:val="18"/>
      <w:lang w:bidi="en-US"/>
    </w:rPr>
  </w:style>
  <w:style w:type="paragraph" w:customStyle="1" w:styleId="181">
    <w:name w:val="CM27"/>
    <w:basedOn w:val="124"/>
    <w:next w:val="124"/>
    <w:qFormat/>
    <w:uiPriority w:val="0"/>
    <w:rPr>
      <w:rFonts w:hint="eastAsia"/>
    </w:rPr>
  </w:style>
  <w:style w:type="paragraph" w:customStyle="1" w:styleId="182">
    <w:name w:val="默认段落字体 Para Char Char Char Char Char Char Char Char Char1 Char Char Char Char Char Char Char"/>
    <w:basedOn w:val="18"/>
    <w:qFormat/>
    <w:uiPriority w:val="0"/>
  </w:style>
  <w:style w:type="paragraph" w:customStyle="1" w:styleId="183">
    <w:name w:val="无间隔1"/>
    <w:basedOn w:val="125"/>
    <w:qFormat/>
    <w:uiPriority w:val="0"/>
    <w:rPr>
      <w:rFonts w:hint="eastAsia"/>
      <w:sz w:val="24"/>
    </w:rPr>
  </w:style>
  <w:style w:type="paragraph" w:customStyle="1" w:styleId="184">
    <w:name w:val="Char Char Char Char Char Char1 Char"/>
    <w:basedOn w:val="1"/>
    <w:qFormat/>
    <w:uiPriority w:val="0"/>
  </w:style>
  <w:style w:type="paragraph" w:customStyle="1" w:styleId="185">
    <w:name w:val="Char Char Char Char1"/>
    <w:basedOn w:val="1"/>
    <w:qFormat/>
    <w:uiPriority w:val="0"/>
  </w:style>
  <w:style w:type="paragraph" w:customStyle="1" w:styleId="186">
    <w:name w:val="CM23"/>
    <w:basedOn w:val="124"/>
    <w:next w:val="124"/>
    <w:qFormat/>
    <w:uiPriority w:val="0"/>
    <w:rPr>
      <w:rFonts w:cs="黑体"/>
      <w:color w:val="auto"/>
    </w:rPr>
  </w:style>
  <w:style w:type="paragraph" w:customStyle="1" w:styleId="187">
    <w:name w:val="CM20"/>
    <w:basedOn w:val="124"/>
    <w:next w:val="124"/>
    <w:qFormat/>
    <w:uiPriority w:val="0"/>
    <w:pPr>
      <w:spacing w:line="546" w:lineRule="atLeast"/>
    </w:pPr>
    <w:rPr>
      <w:rFonts w:hint="eastAsia"/>
    </w:rPr>
  </w:style>
  <w:style w:type="paragraph" w:customStyle="1" w:styleId="188">
    <w:name w:val="HTML 地址1"/>
    <w:basedOn w:val="1"/>
    <w:qFormat/>
    <w:uiPriority w:val="0"/>
    <w:pPr>
      <w:widowControl/>
      <w:spacing w:before="100" w:beforeAutospacing="1" w:after="100" w:afterAutospacing="1"/>
      <w:jc w:val="left"/>
    </w:pPr>
    <w:rPr>
      <w:rFonts w:ascii="宋体" w:hAnsi="宋体"/>
      <w:kern w:val="0"/>
    </w:rPr>
  </w:style>
  <w:style w:type="paragraph" w:customStyle="1" w:styleId="189">
    <w:name w:val="Char1 Char Char Char Char Char Char"/>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190">
    <w:name w:val="Char"/>
    <w:basedOn w:val="1"/>
    <w:next w:val="1"/>
    <w:qFormat/>
    <w:uiPriority w:val="0"/>
  </w:style>
  <w:style w:type="paragraph" w:styleId="191">
    <w:name w:val="List Paragraph"/>
    <w:basedOn w:val="1"/>
    <w:qFormat/>
    <w:uiPriority w:val="34"/>
    <w:pPr>
      <w:adjustRightInd/>
      <w:snapToGrid/>
      <w:spacing w:line="240" w:lineRule="auto"/>
      <w:ind w:firstLine="420"/>
    </w:pPr>
    <w:rPr>
      <w:sz w:val="21"/>
      <w:szCs w:val="22"/>
    </w:rPr>
  </w:style>
  <w:style w:type="character" w:customStyle="1" w:styleId="192">
    <w:name w:val="文本1 字符"/>
    <w:link w:val="193"/>
    <w:qFormat/>
    <w:uiPriority w:val="0"/>
    <w:rPr>
      <w:rFonts w:ascii="宋体" w:hAnsi="宋体"/>
      <w:sz w:val="28"/>
      <w:szCs w:val="28"/>
    </w:rPr>
  </w:style>
  <w:style w:type="paragraph" w:customStyle="1" w:styleId="193">
    <w:name w:val="文本1"/>
    <w:basedOn w:val="1"/>
    <w:link w:val="192"/>
    <w:qFormat/>
    <w:uiPriority w:val="0"/>
    <w:pPr>
      <w:ind w:firstLine="560"/>
    </w:pPr>
    <w:rPr>
      <w:rFonts w:ascii="宋体" w:hAnsi="宋体"/>
      <w:szCs w:val="28"/>
    </w:rPr>
  </w:style>
  <w:style w:type="paragraph" w:customStyle="1" w:styleId="194">
    <w:name w:val="表文字"/>
    <w:basedOn w:val="125"/>
    <w:qFormat/>
    <w:uiPriority w:val="0"/>
    <w:pPr>
      <w:spacing w:line="240" w:lineRule="auto"/>
    </w:pPr>
    <w:rPr>
      <w:sz w:val="24"/>
      <w:szCs w:val="21"/>
    </w:rPr>
  </w:style>
  <w:style w:type="table" w:customStyle="1" w:styleId="195">
    <w:name w:val="Table Normal"/>
    <w:semiHidden/>
    <w:unhideWhenUsed/>
    <w:qFormat/>
    <w:uiPriority w:val="0"/>
    <w:rPr>
      <w:rFonts w:ascii="Arial" w:hAnsi="Arial" w:cs="Arial" w:eastAsiaTheme="minorEastAsia"/>
    </w:rPr>
    <w:tblPr>
      <w:tblCellMar>
        <w:top w:w="0" w:type="dxa"/>
        <w:left w:w="0" w:type="dxa"/>
        <w:bottom w:w="0" w:type="dxa"/>
        <w:right w:w="0" w:type="dxa"/>
      </w:tblCellMar>
    </w:tblPr>
  </w:style>
  <w:style w:type="paragraph" w:customStyle="1" w:styleId="196">
    <w:name w:val="标题5"/>
    <w:basedOn w:val="1"/>
    <w:qFormat/>
    <w:uiPriority w:val="5"/>
    <w:pPr>
      <w:keepNext/>
      <w:keepLines/>
      <w:ind w:firstLine="200"/>
      <w:outlineLvl w:val="4"/>
    </w:pPr>
    <w:rPr>
      <w:b/>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2.png"/><Relationship Id="rId18" Type="http://schemas.openxmlformats.org/officeDocument/2006/relationships/theme" Target="theme/theme1.xml"/><Relationship Id="rId17" Type="http://schemas.openxmlformats.org/officeDocument/2006/relationships/footer" Target="footer7.xml"/><Relationship Id="rId16" Type="http://schemas.openxmlformats.org/officeDocument/2006/relationships/header" Target="header6.xml"/><Relationship Id="rId15" Type="http://schemas.openxmlformats.org/officeDocument/2006/relationships/footer" Target="footer6.xml"/><Relationship Id="rId14" Type="http://schemas.openxmlformats.org/officeDocument/2006/relationships/header" Target="header5.xml"/><Relationship Id="rId13" Type="http://schemas.openxmlformats.org/officeDocument/2006/relationships/footer" Target="footer5.xml"/><Relationship Id="rId12" Type="http://schemas.openxmlformats.org/officeDocument/2006/relationships/header" Target="header4.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footer5.xml.rels><?xml version="1.0" encoding="UTF-8" standalone="yes"?>
<Relationships xmlns="http://schemas.openxmlformats.org/package/2006/relationships"><Relationship Id="rId1" Type="http://schemas.openxmlformats.org/officeDocument/2006/relationships/image" Target="media/image1.png"/></Relationships>
</file>

<file path=word/_rels/footer6.xml.rels><?xml version="1.0" encoding="UTF-8" standalone="yes"?>
<Relationships xmlns="http://schemas.openxmlformats.org/package/2006/relationships"><Relationship Id="rId1" Type="http://schemas.openxmlformats.org/officeDocument/2006/relationships/image" Target="media/image1.png"/></Relationships>
</file>

<file path=word/_rels/footer7.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65</Pages>
  <Words>14287</Words>
  <Characters>17077</Characters>
  <Lines>3354</Lines>
  <Paragraphs>3036</Paragraphs>
  <TotalTime>4</TotalTime>
  <ScaleCrop>false</ScaleCrop>
  <LinksUpToDate>false</LinksUpToDate>
  <CharactersWithSpaces>17197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2022-10-29T14:19:00Z</dcterms:created>
  <dc:creator>anjianjukuanganke</dc:creator>
  <cp:lastModifiedBy>赵健威</cp:lastModifiedBy>
  <cp:lastPrinted>2025-05-28T06:12:00Z</cp:lastPrinted>
  <dcterms:modified xsi:type="dcterms:W3CDTF">2026-08-05T08:13:54Z</dcterms:modified>
  <dc:title>前   言</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84A5868E1394404EB0F94088FCD47E66_13</vt:lpwstr>
  </property>
  <property fmtid="{D5CDD505-2E9C-101B-9397-08002B2CF9AE}" pid="4" name="KSOTemplateDocerSaveRecord">
    <vt:lpwstr>eyJoZGlkIjoiYTBiZWQwMTQ1NjNmOTA1MTM1YjQ1ZTY3ZTU0NjRkNzciLCJ1c2VySWQiOiI0MDE3ODY4MDgifQ==</vt:lpwstr>
  </property>
</Properties>
</file>