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98DD1F5">
      <w:pPr>
        <w:pStyle w:val="47"/>
        <w:rPr>
          <w:rFonts w:hint="default" w:ascii="Times New Roman" w:hAnsi="Times New Roman" w:cs="Times New Roman"/>
          <w:b/>
          <w:color w:val="auto"/>
          <w:sz w:val="36"/>
          <w:szCs w:val="36"/>
        </w:rPr>
      </w:pPr>
      <w:bookmarkStart w:id="0" w:name="OLE_LINK39"/>
      <w:bookmarkStart w:id="1" w:name="_Toc87774321"/>
      <w:bookmarkStart w:id="2" w:name="_Toc4624"/>
      <w:bookmarkStart w:id="3" w:name="_Toc20862"/>
      <w:bookmarkStart w:id="4" w:name="_Toc9990"/>
      <w:bookmarkStart w:id="5" w:name="_Toc162433052"/>
      <w:bookmarkStart w:id="6" w:name="_Toc104976971"/>
      <w:bookmarkStart w:id="7" w:name="_Toc88228656"/>
      <w:bookmarkStart w:id="8" w:name="_Toc24002"/>
      <w:bookmarkStart w:id="9" w:name="_Toc29950"/>
      <w:bookmarkStart w:id="10" w:name="_Toc87589374"/>
      <w:bookmarkStart w:id="11" w:name="_Toc6636"/>
      <w:bookmarkStart w:id="12" w:name="_Toc177553535"/>
    </w:p>
    <w:p w14:paraId="44A5A993">
      <w:pPr>
        <w:pStyle w:val="47"/>
        <w:rPr>
          <w:rFonts w:hint="default" w:ascii="Times New Roman" w:hAnsi="Times New Roman" w:cs="Times New Roman"/>
          <w:b/>
          <w:color w:val="auto"/>
          <w:sz w:val="36"/>
          <w:szCs w:val="36"/>
        </w:rPr>
      </w:pPr>
    </w:p>
    <w:p w14:paraId="54DC52A3">
      <w:pPr>
        <w:pStyle w:val="47"/>
        <w:rPr>
          <w:rFonts w:hint="default" w:ascii="Times New Roman" w:hAnsi="Times New Roman" w:cs="Times New Roman"/>
          <w:b/>
          <w:color w:val="auto"/>
          <w:sz w:val="36"/>
          <w:szCs w:val="36"/>
        </w:rPr>
      </w:pPr>
    </w:p>
    <w:p w14:paraId="623CAB11">
      <w:pPr>
        <w:pStyle w:val="47"/>
        <w:spacing w:line="360" w:lineRule="auto"/>
        <w:jc w:val="center"/>
        <w:rPr>
          <w:rFonts w:hint="default" w:ascii="Times New Roman" w:hAnsi="Times New Roman" w:eastAsia="宋体" w:cs="Times New Roman"/>
          <w:b/>
          <w:bCs/>
          <w:snapToGrid w:val="0"/>
          <w:color w:val="auto"/>
          <w:sz w:val="44"/>
          <w:szCs w:val="44"/>
          <w:lang w:eastAsia="zh-CN"/>
        </w:rPr>
      </w:pPr>
      <w:r>
        <w:rPr>
          <w:rFonts w:hint="default" w:ascii="Times New Roman" w:hAnsi="Times New Roman" w:cs="Times New Roman"/>
          <w:b/>
          <w:bCs/>
          <w:snapToGrid w:val="0"/>
          <w:color w:val="auto"/>
          <w:sz w:val="44"/>
          <w:szCs w:val="44"/>
          <w:lang w:eastAsia="zh-CN"/>
        </w:rPr>
        <w:t>弥勒市瑞垠矿业有限公司</w:t>
      </w:r>
    </w:p>
    <w:p w14:paraId="013296BA">
      <w:pPr>
        <w:pStyle w:val="47"/>
        <w:spacing w:line="360" w:lineRule="auto"/>
        <w:jc w:val="center"/>
        <w:rPr>
          <w:rFonts w:hint="default" w:ascii="Times New Roman" w:hAnsi="Times New Roman" w:cs="Times New Roman"/>
          <w:b/>
          <w:bCs/>
          <w:snapToGrid w:val="0"/>
          <w:color w:val="auto"/>
          <w:sz w:val="44"/>
          <w:szCs w:val="44"/>
          <w:lang w:eastAsia="zh-CN"/>
        </w:rPr>
      </w:pPr>
      <w:r>
        <w:rPr>
          <w:rFonts w:hint="default" w:ascii="Times New Roman" w:hAnsi="Times New Roman" w:cs="Times New Roman"/>
          <w:b/>
          <w:bCs/>
          <w:snapToGrid w:val="0"/>
          <w:color w:val="auto"/>
          <w:sz w:val="44"/>
          <w:szCs w:val="44"/>
          <w:lang w:eastAsia="zh-CN"/>
        </w:rPr>
        <w:t>弥勒市小沙冲砂场22.22</w:t>
      </w:r>
      <w:r>
        <w:rPr>
          <w:rFonts w:hint="default" w:ascii="Times New Roman" w:hAnsi="Times New Roman" w:cs="Times New Roman"/>
          <w:b/>
          <w:bCs/>
          <w:snapToGrid w:val="0"/>
          <w:color w:val="auto"/>
          <w:sz w:val="44"/>
          <w:szCs w:val="44"/>
          <w:lang w:val="en-US" w:eastAsia="zh-CN"/>
        </w:rPr>
        <w:t>万</w:t>
      </w:r>
      <w:r>
        <w:rPr>
          <w:rFonts w:hint="default" w:ascii="Times New Roman" w:hAnsi="Times New Roman" w:cs="Times New Roman"/>
          <w:b/>
          <w:bCs/>
          <w:snapToGrid w:val="0"/>
          <w:color w:val="auto"/>
          <w:sz w:val="44"/>
          <w:szCs w:val="44"/>
          <w:lang w:eastAsia="zh-CN"/>
        </w:rPr>
        <w:t>m</w:t>
      </w:r>
      <w:r>
        <w:rPr>
          <w:rFonts w:hint="default" w:ascii="Times New Roman" w:hAnsi="Times New Roman" w:cs="Times New Roman"/>
          <w:b/>
          <w:bCs/>
          <w:snapToGrid w:val="0"/>
          <w:color w:val="auto"/>
          <w:sz w:val="44"/>
          <w:szCs w:val="44"/>
          <w:vertAlign w:val="superscript"/>
          <w:lang w:eastAsia="zh-CN"/>
        </w:rPr>
        <w:t>3</w:t>
      </w:r>
      <w:r>
        <w:rPr>
          <w:rFonts w:hint="default" w:ascii="Times New Roman" w:hAnsi="Times New Roman" w:cs="Times New Roman"/>
          <w:b/>
          <w:bCs/>
          <w:snapToGrid w:val="0"/>
          <w:color w:val="auto"/>
          <w:sz w:val="44"/>
          <w:szCs w:val="44"/>
          <w:lang w:val="en-US" w:eastAsia="zh-CN"/>
        </w:rPr>
        <w:t>/</w:t>
      </w:r>
      <w:r>
        <w:rPr>
          <w:rFonts w:hint="default" w:ascii="Times New Roman" w:hAnsi="Times New Roman" w:cs="Times New Roman"/>
          <w:b/>
          <w:bCs/>
          <w:snapToGrid w:val="0"/>
          <w:color w:val="auto"/>
          <w:sz w:val="44"/>
          <w:szCs w:val="44"/>
          <w:lang w:eastAsia="zh-CN"/>
        </w:rPr>
        <w:t>a（50万t</w:t>
      </w:r>
      <w:r>
        <w:rPr>
          <w:rFonts w:hint="default" w:ascii="Times New Roman" w:hAnsi="Times New Roman" w:cs="Times New Roman"/>
          <w:b/>
          <w:bCs/>
          <w:snapToGrid w:val="0"/>
          <w:color w:val="auto"/>
          <w:sz w:val="44"/>
          <w:szCs w:val="44"/>
          <w:lang w:val="en-US" w:eastAsia="zh-CN"/>
        </w:rPr>
        <w:t>/</w:t>
      </w:r>
      <w:r>
        <w:rPr>
          <w:rFonts w:hint="default" w:ascii="Times New Roman" w:hAnsi="Times New Roman" w:cs="Times New Roman"/>
          <w:b/>
          <w:bCs/>
          <w:snapToGrid w:val="0"/>
          <w:color w:val="auto"/>
          <w:sz w:val="44"/>
          <w:szCs w:val="44"/>
          <w:lang w:eastAsia="zh-CN"/>
        </w:rPr>
        <w:t>a）</w:t>
      </w:r>
    </w:p>
    <w:p w14:paraId="69A811FE">
      <w:pPr>
        <w:pStyle w:val="47"/>
        <w:spacing w:line="360" w:lineRule="auto"/>
        <w:jc w:val="center"/>
        <w:rPr>
          <w:rFonts w:hint="default" w:ascii="Times New Roman" w:hAnsi="Times New Roman" w:eastAsia="宋体" w:cs="Times New Roman"/>
          <w:b/>
          <w:bCs/>
          <w:snapToGrid w:val="0"/>
          <w:color w:val="auto"/>
          <w:sz w:val="44"/>
          <w:szCs w:val="44"/>
          <w:lang w:eastAsia="zh-CN"/>
        </w:rPr>
      </w:pPr>
      <w:r>
        <w:rPr>
          <w:rFonts w:hint="default" w:ascii="Times New Roman" w:hAnsi="Times New Roman" w:cs="Times New Roman"/>
          <w:b/>
          <w:bCs/>
          <w:snapToGrid w:val="0"/>
          <w:color w:val="auto"/>
          <w:sz w:val="44"/>
          <w:szCs w:val="44"/>
          <w:lang w:eastAsia="zh-CN"/>
        </w:rPr>
        <w:t>露天采矿工程</w:t>
      </w:r>
    </w:p>
    <w:p w14:paraId="05A65B97">
      <w:pPr>
        <w:pStyle w:val="47"/>
        <w:spacing w:line="360" w:lineRule="auto"/>
        <w:jc w:val="center"/>
        <w:rPr>
          <w:rFonts w:hint="default" w:ascii="Times New Roman" w:hAnsi="Times New Roman" w:cs="Times New Roman"/>
          <w:b/>
          <w:bCs/>
          <w:snapToGrid w:val="0"/>
          <w:color w:val="auto"/>
          <w:sz w:val="44"/>
          <w:szCs w:val="44"/>
        </w:rPr>
      </w:pPr>
    </w:p>
    <w:p w14:paraId="3FD8EDFA">
      <w:pPr>
        <w:adjustRightInd w:val="0"/>
        <w:snapToGrid w:val="0"/>
        <w:spacing w:line="360" w:lineRule="auto"/>
        <w:jc w:val="center"/>
        <w:rPr>
          <w:rFonts w:hint="default" w:ascii="Times New Roman" w:hAnsi="Times New Roman" w:cs="Times New Roman"/>
          <w:b/>
          <w:bCs/>
          <w:snapToGrid w:val="0"/>
          <w:kern w:val="0"/>
          <w:sz w:val="52"/>
          <w:szCs w:val="52"/>
        </w:rPr>
      </w:pPr>
      <w:r>
        <w:rPr>
          <w:rFonts w:hint="default" w:ascii="Times New Roman" w:hAnsi="Times New Roman" w:cs="Times New Roman"/>
          <w:b/>
          <w:bCs/>
          <w:snapToGrid w:val="0"/>
          <w:kern w:val="0"/>
          <w:sz w:val="52"/>
          <w:szCs w:val="52"/>
        </w:rPr>
        <w:t>安全预评价报告</w:t>
      </w:r>
    </w:p>
    <w:bookmarkEnd w:id="0"/>
    <w:p w14:paraId="70057425">
      <w:pPr>
        <w:autoSpaceDE w:val="0"/>
        <w:autoSpaceDN w:val="0"/>
        <w:adjustRightInd w:val="0"/>
        <w:snapToGrid/>
        <w:spacing w:line="360" w:lineRule="auto"/>
        <w:ind w:firstLine="0" w:firstLineChars="0"/>
        <w:jc w:val="center"/>
        <w:rPr>
          <w:rFonts w:hint="default" w:ascii="Times New Roman" w:hAnsi="Times New Roman" w:eastAsia="宋体" w:cs="Times New Roman"/>
          <w:kern w:val="0"/>
          <w:sz w:val="30"/>
          <w:szCs w:val="30"/>
        </w:rPr>
      </w:pPr>
    </w:p>
    <w:p w14:paraId="3FC80652">
      <w:pPr>
        <w:autoSpaceDE w:val="0"/>
        <w:autoSpaceDN w:val="0"/>
        <w:adjustRightInd w:val="0"/>
        <w:snapToGrid/>
        <w:spacing w:line="360" w:lineRule="auto"/>
        <w:ind w:firstLine="0" w:firstLineChars="0"/>
        <w:jc w:val="center"/>
        <w:rPr>
          <w:rFonts w:hint="default" w:ascii="Times New Roman" w:hAnsi="Times New Roman" w:eastAsia="宋体" w:cs="Times New Roman"/>
          <w:kern w:val="0"/>
          <w:sz w:val="30"/>
          <w:szCs w:val="30"/>
        </w:rPr>
      </w:pPr>
    </w:p>
    <w:p w14:paraId="41F3F197">
      <w:pPr>
        <w:autoSpaceDE w:val="0"/>
        <w:autoSpaceDN w:val="0"/>
        <w:adjustRightInd w:val="0"/>
        <w:snapToGrid/>
        <w:spacing w:line="360" w:lineRule="auto"/>
        <w:ind w:firstLine="0" w:firstLineChars="0"/>
        <w:jc w:val="center"/>
        <w:rPr>
          <w:rFonts w:hint="default" w:ascii="Times New Roman" w:hAnsi="Times New Roman" w:eastAsia="宋体" w:cs="Times New Roman"/>
          <w:kern w:val="0"/>
          <w:sz w:val="30"/>
          <w:szCs w:val="30"/>
        </w:rPr>
      </w:pPr>
    </w:p>
    <w:p w14:paraId="7E74F310">
      <w:pPr>
        <w:pStyle w:val="47"/>
        <w:jc w:val="center"/>
        <w:rPr>
          <w:rFonts w:hint="default" w:ascii="Times New Roman" w:hAnsi="Times New Roman" w:cs="Times New Roman"/>
          <w:color w:val="auto"/>
          <w:szCs w:val="21"/>
        </w:rPr>
      </w:pPr>
    </w:p>
    <w:p w14:paraId="7E867E69">
      <w:pPr>
        <w:pStyle w:val="47"/>
        <w:jc w:val="center"/>
        <w:rPr>
          <w:rFonts w:hint="default" w:ascii="Times New Roman" w:hAnsi="Times New Roman" w:eastAsia="宋体" w:cs="Times New Roman"/>
          <w:kern w:val="0"/>
          <w:sz w:val="30"/>
          <w:szCs w:val="30"/>
        </w:rPr>
      </w:pPr>
      <w:r>
        <w:rPr>
          <w:rFonts w:hint="default" w:ascii="Times New Roman" w:hAnsi="Times New Roman" w:cs="Times New Roman"/>
        </w:rPr>
        <w:drawing>
          <wp:inline distT="0" distB="0" distL="114300" distR="114300">
            <wp:extent cx="2656840" cy="1630045"/>
            <wp:effectExtent l="0" t="0" r="10160" b="8255"/>
            <wp:docPr id="50" name="图片 2" descr="aa21e77fe407a0da11c082e736ee5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2" descr="aa21e77fe407a0da11c082e736ee588"/>
                    <pic:cNvPicPr>
                      <a:picLocks noChangeAspect="1"/>
                    </pic:cNvPicPr>
                  </pic:nvPicPr>
                  <pic:blipFill>
                    <a:blip r:embed="rId17"/>
                    <a:stretch>
                      <a:fillRect/>
                    </a:stretch>
                  </pic:blipFill>
                  <pic:spPr>
                    <a:xfrm>
                      <a:off x="0" y="0"/>
                      <a:ext cx="2656840" cy="1630045"/>
                    </a:xfrm>
                    <a:prstGeom prst="rect">
                      <a:avLst/>
                    </a:prstGeom>
                    <a:noFill/>
                    <a:ln>
                      <a:noFill/>
                    </a:ln>
                  </pic:spPr>
                </pic:pic>
              </a:graphicData>
            </a:graphic>
          </wp:inline>
        </w:drawing>
      </w:r>
    </w:p>
    <w:p w14:paraId="7A49A8D5">
      <w:pPr>
        <w:autoSpaceDE w:val="0"/>
        <w:autoSpaceDN w:val="0"/>
        <w:adjustRightInd w:val="0"/>
        <w:snapToGrid/>
        <w:spacing w:line="360" w:lineRule="auto"/>
        <w:ind w:firstLine="0" w:firstLineChars="0"/>
        <w:jc w:val="center"/>
        <w:rPr>
          <w:rFonts w:hint="default" w:ascii="Times New Roman" w:hAnsi="Times New Roman" w:eastAsia="宋体" w:cs="Times New Roman"/>
          <w:kern w:val="0"/>
          <w:sz w:val="30"/>
          <w:szCs w:val="30"/>
        </w:rPr>
      </w:pPr>
    </w:p>
    <w:p w14:paraId="3C0E2A2B">
      <w:pPr>
        <w:autoSpaceDE w:val="0"/>
        <w:autoSpaceDN w:val="0"/>
        <w:adjustRightInd w:val="0"/>
        <w:snapToGrid/>
        <w:spacing w:line="360" w:lineRule="auto"/>
        <w:ind w:firstLine="0" w:firstLineChars="0"/>
        <w:jc w:val="center"/>
        <w:rPr>
          <w:rFonts w:hint="default" w:ascii="Times New Roman" w:hAnsi="Times New Roman" w:eastAsia="宋体" w:cs="Times New Roman"/>
          <w:kern w:val="0"/>
          <w:sz w:val="30"/>
          <w:szCs w:val="30"/>
        </w:rPr>
      </w:pPr>
    </w:p>
    <w:p w14:paraId="25E51483">
      <w:pPr>
        <w:autoSpaceDE w:val="0"/>
        <w:autoSpaceDN w:val="0"/>
        <w:adjustRightInd w:val="0"/>
        <w:snapToGrid/>
        <w:spacing w:line="360" w:lineRule="auto"/>
        <w:ind w:firstLine="0" w:firstLineChars="0"/>
        <w:jc w:val="center"/>
        <w:rPr>
          <w:rFonts w:hint="default" w:ascii="Times New Roman" w:hAnsi="Times New Roman" w:eastAsia="宋体" w:cs="Times New Roman"/>
          <w:kern w:val="0"/>
          <w:sz w:val="30"/>
          <w:szCs w:val="30"/>
        </w:rPr>
      </w:pPr>
    </w:p>
    <w:p w14:paraId="0B7E75A2">
      <w:pPr>
        <w:spacing w:line="360" w:lineRule="auto"/>
        <w:ind w:left="-141" w:leftChars="-67" w:right="-313" w:rightChars="-149"/>
        <w:jc w:val="center"/>
        <w:rPr>
          <w:rFonts w:hint="default" w:ascii="Times New Roman" w:hAnsi="Times New Roman" w:cs="Times New Roman"/>
          <w:b/>
          <w:sz w:val="52"/>
          <w:szCs w:val="52"/>
        </w:rPr>
      </w:pPr>
      <w:r>
        <w:rPr>
          <w:rFonts w:hint="default" w:ascii="Times New Roman" w:hAnsi="Times New Roman" w:cs="Times New Roman"/>
          <w:b/>
          <w:sz w:val="44"/>
          <w:szCs w:val="44"/>
        </w:rPr>
        <w:t>辽宁诺诚安全科技有限公司</w:t>
      </w:r>
    </w:p>
    <w:p w14:paraId="5A07C638">
      <w:pPr>
        <w:spacing w:line="360" w:lineRule="auto"/>
        <w:jc w:val="center"/>
        <w:rPr>
          <w:rFonts w:hint="default" w:ascii="Times New Roman" w:hAnsi="Times New Roman" w:cs="Times New Roman"/>
          <w:b/>
          <w:sz w:val="32"/>
          <w:szCs w:val="32"/>
        </w:rPr>
      </w:pPr>
      <w:r>
        <w:rPr>
          <w:rFonts w:hint="default" w:ascii="Times New Roman" w:hAnsi="Times New Roman" w:cs="Times New Roman"/>
          <w:b/>
          <w:sz w:val="32"/>
          <w:szCs w:val="32"/>
        </w:rPr>
        <w:t>资质证书编号：APJ-（辽）-021</w:t>
      </w:r>
    </w:p>
    <w:p w14:paraId="26B6AF2D">
      <w:pPr>
        <w:jc w:val="center"/>
        <w:rPr>
          <w:rFonts w:hint="default" w:ascii="Times New Roman" w:hAnsi="Times New Roman" w:cs="Times New Roman"/>
          <w:b/>
          <w:sz w:val="32"/>
          <w:szCs w:val="32"/>
        </w:rPr>
      </w:pPr>
      <w:r>
        <w:rPr>
          <w:rFonts w:hint="default" w:ascii="Times New Roman" w:hAnsi="Times New Roman" w:cs="Times New Roman"/>
          <w:b/>
          <w:sz w:val="32"/>
          <w:szCs w:val="32"/>
        </w:rPr>
        <w:t>完成时间：202</w:t>
      </w:r>
      <w:r>
        <w:rPr>
          <w:rFonts w:hint="default" w:ascii="Times New Roman" w:hAnsi="Times New Roman" w:cs="Times New Roman"/>
          <w:b/>
          <w:sz w:val="32"/>
          <w:szCs w:val="32"/>
          <w:lang w:val="en-US" w:eastAsia="zh-CN"/>
        </w:rPr>
        <w:t>5</w:t>
      </w:r>
      <w:r>
        <w:rPr>
          <w:rFonts w:hint="default" w:ascii="Times New Roman" w:hAnsi="Times New Roman" w:cs="Times New Roman"/>
          <w:b/>
          <w:sz w:val="32"/>
          <w:szCs w:val="32"/>
        </w:rPr>
        <w:t>年</w:t>
      </w:r>
      <w:r>
        <w:rPr>
          <w:rFonts w:hint="eastAsia" w:cs="Times New Roman"/>
          <w:b/>
          <w:sz w:val="32"/>
          <w:szCs w:val="32"/>
          <w:lang w:val="en-US" w:eastAsia="zh-CN"/>
        </w:rPr>
        <w:t>10</w:t>
      </w:r>
      <w:r>
        <w:rPr>
          <w:rFonts w:hint="default" w:ascii="Times New Roman" w:hAnsi="Times New Roman" w:cs="Times New Roman"/>
          <w:b/>
          <w:sz w:val="32"/>
          <w:szCs w:val="32"/>
        </w:rPr>
        <w:t>月</w:t>
      </w:r>
    </w:p>
    <w:p w14:paraId="558140EC">
      <w:pPr>
        <w:ind w:right="420"/>
        <w:jc w:val="left"/>
        <w:rPr>
          <w:rFonts w:hint="default" w:ascii="Times New Roman" w:hAnsi="Times New Roman" w:cs="Times New Roman"/>
          <w:b/>
          <w:sz w:val="28"/>
          <w:szCs w:val="28"/>
        </w:rPr>
      </w:pPr>
    </w:p>
    <w:p w14:paraId="37612DE3">
      <w:pPr>
        <w:pStyle w:val="47"/>
        <w:rPr>
          <w:rFonts w:hint="default" w:ascii="Times New Roman" w:hAnsi="Times New Roman" w:cs="Times New Roman"/>
          <w:color w:val="auto"/>
        </w:rPr>
        <w:sectPr>
          <w:headerReference r:id="rId4" w:type="first"/>
          <w:headerReference r:id="rId3" w:type="default"/>
          <w:footerReference r:id="rId5" w:type="default"/>
          <w:pgSz w:w="11905" w:h="16838"/>
          <w:pgMar w:top="1418" w:right="1134" w:bottom="1134" w:left="1588" w:header="851" w:footer="992" w:gutter="0"/>
          <w:pgNumType w:fmt="numberInDash" w:start="1"/>
          <w:cols w:space="720" w:num="1"/>
          <w:titlePg/>
          <w:docGrid w:linePitch="332" w:charSpace="0"/>
        </w:sectPr>
      </w:pPr>
    </w:p>
    <w:p w14:paraId="26C2EB0B">
      <w:pPr>
        <w:pStyle w:val="47"/>
        <w:jc w:val="right"/>
        <w:rPr>
          <w:rFonts w:hint="default" w:ascii="Times New Roman" w:hAnsi="Times New Roman" w:eastAsia="宋体" w:cs="Times New Roman"/>
          <w:color w:val="auto"/>
          <w:sz w:val="32"/>
          <w:szCs w:val="32"/>
          <w:lang w:eastAsia="zh-CN"/>
        </w:rPr>
      </w:pPr>
      <w:r>
        <w:rPr>
          <w:rFonts w:hint="default" w:ascii="Times New Roman" w:hAnsi="Times New Roman" w:cs="Times New Roman"/>
          <w:b/>
          <w:color w:val="auto"/>
          <w:sz w:val="28"/>
          <w:szCs w:val="28"/>
          <w:lang w:eastAsia="zh-CN"/>
        </w:rPr>
        <w:t>NCAP/KS-YP-2025-013</w:t>
      </w:r>
    </w:p>
    <w:p w14:paraId="19766C99">
      <w:pPr>
        <w:pStyle w:val="47"/>
        <w:jc w:val="center"/>
        <w:rPr>
          <w:rFonts w:hint="default" w:ascii="Times New Roman" w:hAnsi="Times New Roman" w:cs="Times New Roman"/>
          <w:color w:val="auto"/>
          <w:sz w:val="32"/>
          <w:szCs w:val="32"/>
        </w:rPr>
      </w:pPr>
    </w:p>
    <w:p w14:paraId="660BEB40">
      <w:pPr>
        <w:pStyle w:val="47"/>
        <w:jc w:val="center"/>
        <w:rPr>
          <w:rFonts w:hint="default" w:ascii="Times New Roman" w:hAnsi="Times New Roman" w:cs="Times New Roman"/>
          <w:color w:val="auto"/>
          <w:sz w:val="32"/>
          <w:szCs w:val="32"/>
        </w:rPr>
      </w:pPr>
    </w:p>
    <w:p w14:paraId="5DC6E10B">
      <w:pPr>
        <w:pStyle w:val="47"/>
        <w:jc w:val="center"/>
        <w:rPr>
          <w:rFonts w:hint="default" w:ascii="Times New Roman" w:hAnsi="Times New Roman" w:cs="Times New Roman"/>
          <w:color w:val="auto"/>
          <w:sz w:val="32"/>
          <w:szCs w:val="32"/>
        </w:rPr>
      </w:pPr>
    </w:p>
    <w:p w14:paraId="1A9DB021">
      <w:pPr>
        <w:pStyle w:val="47"/>
        <w:spacing w:line="360" w:lineRule="auto"/>
        <w:jc w:val="center"/>
        <w:rPr>
          <w:rFonts w:hint="default" w:ascii="Times New Roman" w:hAnsi="Times New Roman" w:cs="Times New Roman"/>
          <w:b/>
          <w:bCs/>
          <w:snapToGrid w:val="0"/>
          <w:color w:val="auto"/>
          <w:sz w:val="32"/>
          <w:szCs w:val="32"/>
          <w:lang w:eastAsia="zh-CN"/>
        </w:rPr>
      </w:pPr>
      <w:r>
        <w:rPr>
          <w:rFonts w:hint="default" w:ascii="Times New Roman" w:hAnsi="Times New Roman" w:cs="Times New Roman"/>
          <w:b/>
          <w:bCs/>
          <w:snapToGrid w:val="0"/>
          <w:color w:val="auto"/>
          <w:sz w:val="32"/>
          <w:szCs w:val="32"/>
          <w:lang w:eastAsia="zh-CN"/>
        </w:rPr>
        <w:t>弥勒市瑞垠矿业有限公司</w:t>
      </w:r>
    </w:p>
    <w:p w14:paraId="6B206D73">
      <w:pPr>
        <w:pStyle w:val="47"/>
        <w:spacing w:line="360" w:lineRule="auto"/>
        <w:jc w:val="center"/>
        <w:rPr>
          <w:rFonts w:hint="default" w:ascii="Times New Roman" w:hAnsi="Times New Roman" w:eastAsia="宋体" w:cs="Times New Roman"/>
          <w:b/>
          <w:bCs/>
          <w:snapToGrid w:val="0"/>
          <w:color w:val="auto"/>
          <w:sz w:val="32"/>
          <w:szCs w:val="32"/>
          <w:lang w:eastAsia="zh-CN"/>
        </w:rPr>
      </w:pPr>
      <w:r>
        <w:rPr>
          <w:rFonts w:hint="default" w:ascii="Times New Roman" w:hAnsi="Times New Roman" w:cs="Times New Roman"/>
          <w:b/>
          <w:bCs/>
          <w:snapToGrid w:val="0"/>
          <w:color w:val="auto"/>
          <w:sz w:val="32"/>
          <w:szCs w:val="32"/>
          <w:lang w:eastAsia="zh-CN"/>
        </w:rPr>
        <w:t>弥勒市小沙冲砂场22.22</w:t>
      </w:r>
      <w:r>
        <w:rPr>
          <w:rFonts w:hint="default" w:ascii="Times New Roman" w:hAnsi="Times New Roman" w:cs="Times New Roman"/>
          <w:b/>
          <w:bCs/>
          <w:snapToGrid w:val="0"/>
          <w:color w:val="auto"/>
          <w:sz w:val="32"/>
          <w:szCs w:val="32"/>
          <w:lang w:val="en-US" w:eastAsia="zh-CN"/>
        </w:rPr>
        <w:t>万</w:t>
      </w:r>
      <w:r>
        <w:rPr>
          <w:rFonts w:hint="default" w:ascii="Times New Roman" w:hAnsi="Times New Roman" w:cs="Times New Roman"/>
          <w:b/>
          <w:bCs/>
          <w:snapToGrid w:val="0"/>
          <w:color w:val="auto"/>
          <w:sz w:val="32"/>
          <w:szCs w:val="32"/>
          <w:lang w:eastAsia="zh-CN"/>
        </w:rPr>
        <w:t>m</w:t>
      </w:r>
      <w:r>
        <w:rPr>
          <w:rFonts w:hint="default" w:ascii="Times New Roman" w:hAnsi="Times New Roman" w:cs="Times New Roman"/>
          <w:b/>
          <w:bCs/>
          <w:snapToGrid w:val="0"/>
          <w:color w:val="auto"/>
          <w:sz w:val="32"/>
          <w:szCs w:val="32"/>
          <w:vertAlign w:val="superscript"/>
          <w:lang w:eastAsia="zh-CN"/>
        </w:rPr>
        <w:t>3</w:t>
      </w:r>
      <w:r>
        <w:rPr>
          <w:rFonts w:hint="default" w:ascii="Times New Roman" w:hAnsi="Times New Roman" w:cs="Times New Roman"/>
          <w:b/>
          <w:bCs/>
          <w:snapToGrid w:val="0"/>
          <w:color w:val="auto"/>
          <w:sz w:val="32"/>
          <w:szCs w:val="32"/>
          <w:lang w:val="en-US" w:eastAsia="zh-CN"/>
        </w:rPr>
        <w:t>/</w:t>
      </w:r>
      <w:r>
        <w:rPr>
          <w:rFonts w:hint="default" w:ascii="Times New Roman" w:hAnsi="Times New Roman" w:cs="Times New Roman"/>
          <w:b/>
          <w:bCs/>
          <w:snapToGrid w:val="0"/>
          <w:color w:val="auto"/>
          <w:sz w:val="32"/>
          <w:szCs w:val="32"/>
          <w:lang w:eastAsia="zh-CN"/>
        </w:rPr>
        <w:t>a（50万t</w:t>
      </w:r>
      <w:r>
        <w:rPr>
          <w:rFonts w:hint="default" w:ascii="Times New Roman" w:hAnsi="Times New Roman" w:cs="Times New Roman"/>
          <w:b/>
          <w:bCs/>
          <w:snapToGrid w:val="0"/>
          <w:color w:val="auto"/>
          <w:sz w:val="32"/>
          <w:szCs w:val="32"/>
          <w:lang w:val="en-US" w:eastAsia="zh-CN"/>
        </w:rPr>
        <w:t>/</w:t>
      </w:r>
      <w:r>
        <w:rPr>
          <w:rFonts w:hint="default" w:ascii="Times New Roman" w:hAnsi="Times New Roman" w:cs="Times New Roman"/>
          <w:b/>
          <w:bCs/>
          <w:snapToGrid w:val="0"/>
          <w:color w:val="auto"/>
          <w:sz w:val="32"/>
          <w:szCs w:val="32"/>
          <w:lang w:eastAsia="zh-CN"/>
        </w:rPr>
        <w:t>a）露天采矿工程</w:t>
      </w:r>
    </w:p>
    <w:p w14:paraId="02C2E5E1">
      <w:pPr>
        <w:spacing w:line="360" w:lineRule="auto"/>
        <w:jc w:val="center"/>
        <w:rPr>
          <w:rFonts w:hint="default" w:ascii="Times New Roman" w:hAnsi="Times New Roman" w:cs="Times New Roman"/>
          <w:b/>
          <w:sz w:val="44"/>
          <w:szCs w:val="44"/>
        </w:rPr>
      </w:pPr>
      <w:r>
        <w:rPr>
          <w:rFonts w:hint="default" w:ascii="Times New Roman" w:hAnsi="Times New Roman" w:cs="Times New Roman"/>
          <w:b/>
          <w:bCs/>
          <w:snapToGrid w:val="0"/>
          <w:kern w:val="0"/>
          <w:sz w:val="44"/>
          <w:szCs w:val="44"/>
        </w:rPr>
        <w:t>安全预评价报告</w:t>
      </w:r>
    </w:p>
    <w:p w14:paraId="11996501">
      <w:pPr>
        <w:jc w:val="center"/>
        <w:rPr>
          <w:rFonts w:hint="default" w:ascii="Times New Roman" w:hAnsi="Times New Roman" w:cs="Times New Roman"/>
          <w:b/>
          <w:sz w:val="32"/>
          <w:szCs w:val="32"/>
        </w:rPr>
      </w:pPr>
    </w:p>
    <w:p w14:paraId="49054C51">
      <w:pPr>
        <w:jc w:val="center"/>
        <w:rPr>
          <w:rFonts w:hint="default" w:ascii="Times New Roman" w:hAnsi="Times New Roman" w:cs="Times New Roman"/>
          <w:b/>
          <w:sz w:val="32"/>
          <w:szCs w:val="32"/>
        </w:rPr>
      </w:pPr>
    </w:p>
    <w:p w14:paraId="58C2A22F">
      <w:pPr>
        <w:jc w:val="center"/>
        <w:rPr>
          <w:rFonts w:hint="default" w:ascii="Times New Roman" w:hAnsi="Times New Roman" w:cs="Times New Roman"/>
          <w:b/>
          <w:sz w:val="32"/>
          <w:szCs w:val="32"/>
        </w:rPr>
      </w:pPr>
    </w:p>
    <w:p w14:paraId="6ACF9E94">
      <w:pPr>
        <w:pStyle w:val="47"/>
        <w:jc w:val="center"/>
        <w:rPr>
          <w:rFonts w:hint="default" w:ascii="Times New Roman" w:hAnsi="Times New Roman" w:cs="Times New Roman"/>
          <w:b/>
          <w:color w:val="auto"/>
          <w:sz w:val="32"/>
          <w:szCs w:val="32"/>
        </w:rPr>
      </w:pPr>
    </w:p>
    <w:p w14:paraId="2BD36E97">
      <w:pPr>
        <w:pStyle w:val="47"/>
        <w:jc w:val="center"/>
        <w:rPr>
          <w:rFonts w:hint="default" w:ascii="Times New Roman" w:hAnsi="Times New Roman" w:cs="Times New Roman"/>
          <w:b/>
          <w:color w:val="auto"/>
          <w:sz w:val="32"/>
          <w:szCs w:val="32"/>
        </w:rPr>
      </w:pPr>
    </w:p>
    <w:p w14:paraId="79AC4DED">
      <w:pPr>
        <w:pStyle w:val="47"/>
        <w:jc w:val="center"/>
        <w:rPr>
          <w:rFonts w:hint="default" w:ascii="Times New Roman" w:hAnsi="Times New Roman" w:cs="Times New Roman"/>
          <w:b/>
          <w:color w:val="auto"/>
          <w:sz w:val="32"/>
          <w:szCs w:val="32"/>
        </w:rPr>
      </w:pPr>
    </w:p>
    <w:p w14:paraId="10B2367A">
      <w:pPr>
        <w:pStyle w:val="47"/>
        <w:jc w:val="center"/>
        <w:rPr>
          <w:rFonts w:hint="default" w:ascii="Times New Roman" w:hAnsi="Times New Roman" w:cs="Times New Roman"/>
          <w:b/>
          <w:color w:val="auto"/>
          <w:sz w:val="32"/>
          <w:szCs w:val="32"/>
        </w:rPr>
      </w:pPr>
    </w:p>
    <w:p w14:paraId="5A2871CE">
      <w:pPr>
        <w:jc w:val="center"/>
        <w:rPr>
          <w:rFonts w:hint="default" w:ascii="Times New Roman" w:hAnsi="Times New Roman" w:cs="Times New Roman"/>
          <w:b/>
          <w:sz w:val="32"/>
          <w:szCs w:val="32"/>
        </w:rPr>
      </w:pPr>
    </w:p>
    <w:p w14:paraId="3925FDFE">
      <w:pPr>
        <w:jc w:val="center"/>
        <w:rPr>
          <w:rFonts w:hint="default" w:ascii="Times New Roman" w:hAnsi="Times New Roman" w:cs="Times New Roman"/>
          <w:b/>
          <w:sz w:val="32"/>
          <w:szCs w:val="32"/>
        </w:rPr>
      </w:pPr>
    </w:p>
    <w:p w14:paraId="68AF9F85">
      <w:pPr>
        <w:jc w:val="center"/>
        <w:rPr>
          <w:rFonts w:hint="default" w:ascii="Times New Roman" w:hAnsi="Times New Roman" w:cs="Times New Roman"/>
          <w:b/>
          <w:sz w:val="32"/>
          <w:szCs w:val="32"/>
        </w:rPr>
      </w:pPr>
    </w:p>
    <w:p w14:paraId="1C990FC3">
      <w:pPr>
        <w:spacing w:line="480" w:lineRule="auto"/>
        <w:jc w:val="center"/>
        <w:rPr>
          <w:rFonts w:hint="default" w:ascii="Times New Roman" w:hAnsi="Times New Roman" w:cs="Times New Roman"/>
          <w:sz w:val="28"/>
          <w:szCs w:val="28"/>
        </w:rPr>
      </w:pPr>
      <w:r>
        <w:rPr>
          <w:rFonts w:hint="default" w:ascii="Times New Roman" w:hAnsi="Times New Roman" w:cs="Times New Roman"/>
          <w:bCs/>
          <w:sz w:val="28"/>
          <w:szCs w:val="28"/>
        </w:rPr>
        <w:t>法定代表人：</w:t>
      </w:r>
      <w:r>
        <w:rPr>
          <w:rFonts w:hint="default" w:ascii="Times New Roman" w:hAnsi="Times New Roman" w:cs="Times New Roman"/>
          <w:sz w:val="28"/>
          <w:szCs w:val="28"/>
        </w:rPr>
        <w:t>孙同辉</w:t>
      </w:r>
    </w:p>
    <w:p w14:paraId="2879DCA6">
      <w:pPr>
        <w:spacing w:line="480" w:lineRule="auto"/>
        <w:jc w:val="center"/>
        <w:rPr>
          <w:rFonts w:hint="default" w:ascii="Times New Roman" w:hAnsi="Times New Roman" w:cs="Times New Roman"/>
          <w:bCs/>
          <w:sz w:val="28"/>
          <w:szCs w:val="28"/>
        </w:rPr>
      </w:pPr>
      <w:r>
        <w:rPr>
          <w:rFonts w:hint="default" w:ascii="Times New Roman" w:hAnsi="Times New Roman" w:cs="Times New Roman"/>
          <w:bCs/>
          <w:sz w:val="28"/>
          <w:szCs w:val="28"/>
        </w:rPr>
        <w:t>技术负责人：张廷辉</w:t>
      </w:r>
    </w:p>
    <w:p w14:paraId="0A2AFA64">
      <w:pPr>
        <w:spacing w:line="480" w:lineRule="auto"/>
        <w:jc w:val="center"/>
        <w:rPr>
          <w:rFonts w:hint="default" w:ascii="Times New Roman" w:hAnsi="Times New Roman" w:cs="Times New Roman"/>
          <w:bCs/>
          <w:sz w:val="28"/>
          <w:szCs w:val="28"/>
        </w:rPr>
      </w:pPr>
      <w:r>
        <w:rPr>
          <w:rFonts w:hint="default" w:ascii="Times New Roman" w:hAnsi="Times New Roman" w:cs="Times New Roman"/>
          <w:bCs/>
          <w:sz w:val="28"/>
          <w:szCs w:val="28"/>
        </w:rPr>
        <w:t>评价项目负责人：杨会明</w:t>
      </w:r>
    </w:p>
    <w:p w14:paraId="5E4F61CD">
      <w:pPr>
        <w:pStyle w:val="47"/>
        <w:rPr>
          <w:rFonts w:hint="default" w:ascii="Times New Roman" w:hAnsi="Times New Roman" w:cs="Times New Roman"/>
          <w:bCs/>
          <w:color w:val="auto"/>
          <w:sz w:val="32"/>
          <w:szCs w:val="32"/>
        </w:rPr>
      </w:pPr>
    </w:p>
    <w:p w14:paraId="483166F1">
      <w:pPr>
        <w:pStyle w:val="47"/>
        <w:rPr>
          <w:rFonts w:hint="default" w:ascii="Times New Roman" w:hAnsi="Times New Roman" w:cs="Times New Roman"/>
          <w:bCs/>
          <w:color w:val="auto"/>
          <w:sz w:val="32"/>
          <w:szCs w:val="32"/>
        </w:rPr>
      </w:pPr>
    </w:p>
    <w:p w14:paraId="3E131423">
      <w:pPr>
        <w:pStyle w:val="47"/>
        <w:rPr>
          <w:rFonts w:hint="default" w:ascii="Times New Roman" w:hAnsi="Times New Roman" w:cs="Times New Roman"/>
          <w:bCs/>
          <w:color w:val="auto"/>
          <w:sz w:val="32"/>
          <w:szCs w:val="32"/>
        </w:rPr>
      </w:pPr>
    </w:p>
    <w:p w14:paraId="3ED5B25D">
      <w:pPr>
        <w:pStyle w:val="47"/>
        <w:rPr>
          <w:rFonts w:hint="default" w:ascii="Times New Roman" w:hAnsi="Times New Roman" w:cs="Times New Roman"/>
          <w:bCs/>
          <w:color w:val="auto"/>
          <w:sz w:val="32"/>
          <w:szCs w:val="32"/>
        </w:rPr>
      </w:pPr>
    </w:p>
    <w:p w14:paraId="24FA3F78">
      <w:pPr>
        <w:pStyle w:val="47"/>
        <w:rPr>
          <w:rFonts w:hint="default" w:ascii="Times New Roman" w:hAnsi="Times New Roman" w:cs="Times New Roman"/>
          <w:bCs/>
          <w:color w:val="auto"/>
          <w:sz w:val="32"/>
          <w:szCs w:val="32"/>
        </w:rPr>
      </w:pPr>
    </w:p>
    <w:p w14:paraId="7530361D">
      <w:pPr>
        <w:pStyle w:val="47"/>
        <w:rPr>
          <w:rFonts w:hint="default" w:ascii="Times New Roman" w:hAnsi="Times New Roman" w:cs="Times New Roman"/>
          <w:bCs/>
          <w:color w:val="auto"/>
          <w:sz w:val="32"/>
          <w:szCs w:val="32"/>
        </w:rPr>
      </w:pPr>
    </w:p>
    <w:p w14:paraId="168D4949">
      <w:pPr>
        <w:spacing w:line="360" w:lineRule="auto"/>
        <w:jc w:val="center"/>
        <w:rPr>
          <w:rFonts w:hint="default" w:ascii="Times New Roman" w:hAnsi="Times New Roman" w:cs="Times New Roman"/>
          <w:b/>
          <w:sz w:val="32"/>
          <w:szCs w:val="32"/>
        </w:rPr>
      </w:pPr>
      <w:r>
        <w:rPr>
          <w:rFonts w:hint="default" w:ascii="Times New Roman" w:hAnsi="Times New Roman" w:cs="Times New Roman"/>
          <w:b/>
          <w:sz w:val="24"/>
        </w:rPr>
        <w:t>完成时间：202</w:t>
      </w:r>
      <w:r>
        <w:rPr>
          <w:rFonts w:hint="default" w:ascii="Times New Roman" w:hAnsi="Times New Roman" w:cs="Times New Roman"/>
          <w:b/>
          <w:sz w:val="24"/>
          <w:lang w:val="en-US" w:eastAsia="zh-CN"/>
        </w:rPr>
        <w:t>5</w:t>
      </w:r>
      <w:r>
        <w:rPr>
          <w:rFonts w:hint="default" w:ascii="Times New Roman" w:hAnsi="Times New Roman" w:cs="Times New Roman"/>
          <w:b/>
          <w:sz w:val="24"/>
        </w:rPr>
        <w:t>年</w:t>
      </w:r>
      <w:r>
        <w:rPr>
          <w:rFonts w:hint="eastAsia" w:cs="Times New Roman"/>
          <w:b/>
          <w:sz w:val="24"/>
          <w:lang w:val="en-US" w:eastAsia="zh-CN"/>
        </w:rPr>
        <w:t>10</w:t>
      </w:r>
      <w:r>
        <w:rPr>
          <w:rFonts w:hint="default" w:ascii="Times New Roman" w:hAnsi="Times New Roman" w:cs="Times New Roman"/>
          <w:b/>
          <w:sz w:val="24"/>
        </w:rPr>
        <w:t>月</w:t>
      </w:r>
    </w:p>
    <w:p w14:paraId="0106F61E">
      <w:pPr>
        <w:spacing w:line="360" w:lineRule="auto"/>
        <w:jc w:val="center"/>
        <w:rPr>
          <w:rFonts w:hint="default" w:ascii="Times New Roman" w:hAnsi="Times New Roman" w:cs="Times New Roman"/>
          <w:szCs w:val="21"/>
        </w:rPr>
      </w:pPr>
      <w:r>
        <w:rPr>
          <w:rFonts w:hint="default" w:ascii="Times New Roman" w:hAnsi="Times New Roman" w:cs="Times New Roman"/>
          <w:szCs w:val="21"/>
        </w:rPr>
        <w:t>（安全评价机构公章）</w:t>
      </w:r>
    </w:p>
    <w:p w14:paraId="0AEFBD68">
      <w:pPr>
        <w:pStyle w:val="47"/>
        <w:rPr>
          <w:rFonts w:hint="default" w:ascii="Times New Roman" w:hAnsi="Times New Roman" w:cs="Times New Roman"/>
          <w:color w:val="auto"/>
          <w:sz w:val="21"/>
          <w:szCs w:val="21"/>
        </w:rPr>
      </w:pPr>
    </w:p>
    <w:p w14:paraId="53BBDDD0">
      <w:pPr>
        <w:pStyle w:val="10"/>
        <w:spacing w:before="27"/>
        <w:jc w:val="center"/>
        <w:rPr>
          <w:rFonts w:hint="default" w:ascii="Times New Roman" w:hAnsi="Times New Roman" w:cs="Times New Roman"/>
          <w:b/>
          <w:bCs/>
          <w:sz w:val="32"/>
          <w:szCs w:val="32"/>
        </w:rPr>
        <w:sectPr>
          <w:pgSz w:w="11905" w:h="16838"/>
          <w:pgMar w:top="1418" w:right="1134" w:bottom="1134" w:left="1588" w:header="851" w:footer="992" w:gutter="0"/>
          <w:pgNumType w:fmt="numberInDash" w:start="1"/>
          <w:cols w:space="720" w:num="1"/>
          <w:titlePg/>
          <w:docGrid w:linePitch="332" w:charSpace="0"/>
        </w:sectPr>
      </w:pPr>
    </w:p>
    <w:p w14:paraId="18F71027">
      <w:pPr>
        <w:pStyle w:val="10"/>
        <w:spacing w:before="27" w:line="360" w:lineRule="auto"/>
        <w:jc w:val="center"/>
        <w:rPr>
          <w:rFonts w:hint="default" w:ascii="Times New Roman" w:hAnsi="Times New Roman" w:cs="Times New Roman"/>
          <w:b/>
          <w:bCs/>
          <w:sz w:val="32"/>
          <w:szCs w:val="32"/>
        </w:rPr>
      </w:pPr>
      <w:r>
        <w:rPr>
          <w:rFonts w:hint="default" w:ascii="Times New Roman" w:hAnsi="Times New Roman" w:cs="Times New Roman"/>
          <w:b/>
          <w:bCs/>
          <w:sz w:val="32"/>
          <w:szCs w:val="32"/>
        </w:rPr>
        <w:t>评 价 人 员</w:t>
      </w:r>
    </w:p>
    <w:tbl>
      <w:tblPr>
        <w:tblStyle w:val="30"/>
        <w:tblW w:w="984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40"/>
        <w:gridCol w:w="1140"/>
        <w:gridCol w:w="1387"/>
        <w:gridCol w:w="2434"/>
        <w:gridCol w:w="1746"/>
        <w:gridCol w:w="1594"/>
      </w:tblGrid>
      <w:tr w14:paraId="13D120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1540" w:type="dxa"/>
            <w:tcBorders>
              <w:top w:val="single" w:color="auto" w:sz="4" w:space="0"/>
              <w:left w:val="single" w:color="auto" w:sz="4" w:space="0"/>
              <w:bottom w:val="single" w:color="auto" w:sz="4" w:space="0"/>
              <w:right w:val="single" w:color="auto" w:sz="4" w:space="0"/>
            </w:tcBorders>
            <w:noWrap w:val="0"/>
            <w:vAlign w:val="center"/>
          </w:tcPr>
          <w:p w14:paraId="0189FF40">
            <w:pPr>
              <w:jc w:val="center"/>
              <w:rPr>
                <w:rFonts w:hint="default" w:ascii="Times New Roman" w:hAnsi="Times New Roman" w:cs="Times New Roman"/>
                <w:sz w:val="24"/>
              </w:rPr>
            </w:pPr>
            <w:r>
              <w:rPr>
                <w:rFonts w:hint="default" w:ascii="Times New Roman" w:hAnsi="Times New Roman" w:cs="Times New Roman"/>
                <w:sz w:val="24"/>
              </w:rPr>
              <w:t>评价单位</w:t>
            </w:r>
          </w:p>
        </w:tc>
        <w:tc>
          <w:tcPr>
            <w:tcW w:w="8301" w:type="dxa"/>
            <w:gridSpan w:val="5"/>
            <w:tcBorders>
              <w:top w:val="single" w:color="auto" w:sz="4" w:space="0"/>
              <w:left w:val="single" w:color="auto" w:sz="4" w:space="0"/>
              <w:bottom w:val="single" w:color="auto" w:sz="4" w:space="0"/>
              <w:right w:val="single" w:color="auto" w:sz="4" w:space="0"/>
            </w:tcBorders>
            <w:noWrap w:val="0"/>
            <w:vAlign w:val="center"/>
          </w:tcPr>
          <w:p w14:paraId="7C06B176">
            <w:pPr>
              <w:jc w:val="center"/>
              <w:rPr>
                <w:rFonts w:hint="default" w:ascii="Times New Roman" w:hAnsi="Times New Roman" w:cs="Times New Roman"/>
                <w:sz w:val="24"/>
              </w:rPr>
            </w:pPr>
            <w:r>
              <w:rPr>
                <w:rFonts w:hint="default" w:ascii="Times New Roman" w:hAnsi="Times New Roman" w:cs="Times New Roman"/>
                <w:sz w:val="24"/>
              </w:rPr>
              <w:t>辽宁诺诚安全科技有限公司</w:t>
            </w:r>
          </w:p>
        </w:tc>
      </w:tr>
      <w:tr w14:paraId="6546E2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1540" w:type="dxa"/>
            <w:tcBorders>
              <w:top w:val="single" w:color="auto" w:sz="4" w:space="0"/>
              <w:left w:val="single" w:color="auto" w:sz="4" w:space="0"/>
              <w:bottom w:val="single" w:color="auto" w:sz="4" w:space="0"/>
              <w:right w:val="single" w:color="auto" w:sz="4" w:space="0"/>
            </w:tcBorders>
            <w:noWrap w:val="0"/>
            <w:vAlign w:val="center"/>
          </w:tcPr>
          <w:p w14:paraId="4C163B3B">
            <w:pPr>
              <w:jc w:val="center"/>
              <w:rPr>
                <w:rFonts w:hint="default" w:ascii="Times New Roman" w:hAnsi="Times New Roman" w:cs="Times New Roman"/>
                <w:sz w:val="24"/>
              </w:rPr>
            </w:pPr>
            <w:r>
              <w:rPr>
                <w:rFonts w:hint="default" w:ascii="Times New Roman" w:hAnsi="Times New Roman" w:cs="Times New Roman"/>
                <w:sz w:val="24"/>
              </w:rPr>
              <w:t>项目名称</w:t>
            </w:r>
          </w:p>
        </w:tc>
        <w:tc>
          <w:tcPr>
            <w:tcW w:w="8301" w:type="dxa"/>
            <w:gridSpan w:val="5"/>
            <w:tcBorders>
              <w:top w:val="single" w:color="auto" w:sz="4" w:space="0"/>
              <w:left w:val="single" w:color="auto" w:sz="4" w:space="0"/>
              <w:bottom w:val="single" w:color="auto" w:sz="4" w:space="0"/>
              <w:right w:val="single" w:color="auto" w:sz="4" w:space="0"/>
            </w:tcBorders>
            <w:noWrap w:val="0"/>
            <w:vAlign w:val="center"/>
          </w:tcPr>
          <w:p w14:paraId="7D2CA84C">
            <w:pPr>
              <w:jc w:val="center"/>
              <w:rPr>
                <w:rFonts w:hint="default" w:ascii="Times New Roman" w:hAnsi="Times New Roman" w:cs="Times New Roman"/>
                <w:sz w:val="24"/>
              </w:rPr>
            </w:pPr>
            <w:bookmarkStart w:id="13" w:name="_Hlk168854585"/>
            <w:r>
              <w:rPr>
                <w:rFonts w:hint="default" w:ascii="Times New Roman" w:hAnsi="Times New Roman" w:cs="Times New Roman"/>
                <w:sz w:val="24"/>
                <w:lang w:eastAsia="zh-CN"/>
              </w:rPr>
              <w:t>弥勒市瑞垠矿业有限公司弥勒市小沙冲砂场22.22万m</w:t>
            </w:r>
            <w:r>
              <w:rPr>
                <w:rFonts w:hint="default" w:ascii="Times New Roman" w:hAnsi="Times New Roman" w:cs="Times New Roman"/>
                <w:sz w:val="24"/>
                <w:vertAlign w:val="superscript"/>
                <w:lang w:eastAsia="zh-CN"/>
              </w:rPr>
              <w:t>3</w:t>
            </w:r>
            <w:r>
              <w:rPr>
                <w:rFonts w:hint="default" w:ascii="Times New Roman" w:hAnsi="Times New Roman" w:cs="Times New Roman"/>
                <w:sz w:val="24"/>
                <w:lang w:eastAsia="zh-CN"/>
              </w:rPr>
              <w:t>/a（50万t/a）露天采矿工程</w:t>
            </w:r>
            <w:bookmarkEnd w:id="13"/>
            <w:r>
              <w:rPr>
                <w:rFonts w:hint="default" w:ascii="Times New Roman" w:hAnsi="Times New Roman" w:cs="Times New Roman"/>
                <w:sz w:val="24"/>
              </w:rPr>
              <w:t>安全预评价报告</w:t>
            </w:r>
          </w:p>
        </w:tc>
      </w:tr>
      <w:tr w14:paraId="5B9395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1540" w:type="dxa"/>
            <w:tcBorders>
              <w:top w:val="single" w:color="auto" w:sz="4" w:space="0"/>
              <w:left w:val="single" w:color="auto" w:sz="4" w:space="0"/>
              <w:bottom w:val="single" w:color="auto" w:sz="4" w:space="0"/>
              <w:right w:val="single" w:color="auto" w:sz="4" w:space="0"/>
            </w:tcBorders>
            <w:noWrap w:val="0"/>
            <w:vAlign w:val="center"/>
          </w:tcPr>
          <w:p w14:paraId="683C3EE4">
            <w:pPr>
              <w:jc w:val="center"/>
              <w:rPr>
                <w:rFonts w:hint="default" w:ascii="Times New Roman" w:hAnsi="Times New Roman" w:cs="Times New Roman"/>
                <w:sz w:val="24"/>
              </w:rPr>
            </w:pPr>
            <w:r>
              <w:rPr>
                <w:rFonts w:hint="default" w:ascii="Times New Roman" w:hAnsi="Times New Roman" w:cs="Times New Roman"/>
                <w:sz w:val="24"/>
              </w:rPr>
              <w:t>评价人员</w:t>
            </w:r>
          </w:p>
        </w:tc>
        <w:tc>
          <w:tcPr>
            <w:tcW w:w="1140" w:type="dxa"/>
            <w:tcBorders>
              <w:top w:val="single" w:color="auto" w:sz="4" w:space="0"/>
              <w:left w:val="single" w:color="auto" w:sz="4" w:space="0"/>
              <w:bottom w:val="single" w:color="auto" w:sz="4" w:space="0"/>
              <w:right w:val="single" w:color="auto" w:sz="4" w:space="0"/>
            </w:tcBorders>
            <w:noWrap w:val="0"/>
            <w:vAlign w:val="center"/>
          </w:tcPr>
          <w:p w14:paraId="73F73477">
            <w:pPr>
              <w:jc w:val="center"/>
              <w:rPr>
                <w:rFonts w:hint="default" w:ascii="Times New Roman" w:hAnsi="Times New Roman" w:cs="Times New Roman"/>
                <w:sz w:val="24"/>
              </w:rPr>
            </w:pPr>
            <w:r>
              <w:rPr>
                <w:rFonts w:hint="default" w:ascii="Times New Roman" w:hAnsi="Times New Roman" w:cs="Times New Roman"/>
                <w:sz w:val="24"/>
              </w:rPr>
              <w:t>姓  名</w:t>
            </w:r>
          </w:p>
        </w:tc>
        <w:tc>
          <w:tcPr>
            <w:tcW w:w="1387" w:type="dxa"/>
            <w:tcBorders>
              <w:top w:val="single" w:color="auto" w:sz="4" w:space="0"/>
              <w:left w:val="single" w:color="auto" w:sz="4" w:space="0"/>
              <w:bottom w:val="single" w:color="auto" w:sz="4" w:space="0"/>
              <w:right w:val="single" w:color="auto" w:sz="4" w:space="0"/>
            </w:tcBorders>
            <w:noWrap w:val="0"/>
            <w:vAlign w:val="center"/>
          </w:tcPr>
          <w:p w14:paraId="51F4298B">
            <w:pPr>
              <w:jc w:val="center"/>
              <w:rPr>
                <w:rFonts w:hint="default" w:ascii="Times New Roman" w:hAnsi="Times New Roman" w:cs="Times New Roman"/>
                <w:sz w:val="24"/>
              </w:rPr>
            </w:pPr>
            <w:r>
              <w:rPr>
                <w:rFonts w:hint="default" w:ascii="Times New Roman" w:hAnsi="Times New Roman" w:cs="Times New Roman"/>
                <w:sz w:val="24"/>
              </w:rPr>
              <w:t>专业能力</w:t>
            </w:r>
          </w:p>
        </w:tc>
        <w:tc>
          <w:tcPr>
            <w:tcW w:w="2434" w:type="dxa"/>
            <w:tcBorders>
              <w:top w:val="single" w:color="auto" w:sz="4" w:space="0"/>
              <w:left w:val="single" w:color="auto" w:sz="4" w:space="0"/>
              <w:bottom w:val="single" w:color="auto" w:sz="4" w:space="0"/>
              <w:right w:val="single" w:color="auto" w:sz="4" w:space="0"/>
            </w:tcBorders>
            <w:noWrap w:val="0"/>
            <w:vAlign w:val="center"/>
          </w:tcPr>
          <w:p w14:paraId="7AE320A1">
            <w:pPr>
              <w:jc w:val="center"/>
              <w:rPr>
                <w:rFonts w:hint="default" w:ascii="Times New Roman" w:hAnsi="Times New Roman" w:cs="Times New Roman"/>
                <w:sz w:val="24"/>
              </w:rPr>
            </w:pPr>
            <w:r>
              <w:rPr>
                <w:rFonts w:hint="default" w:ascii="Times New Roman" w:hAnsi="Times New Roman" w:cs="Times New Roman"/>
                <w:sz w:val="24"/>
              </w:rPr>
              <w:t>资格证书号</w:t>
            </w:r>
          </w:p>
        </w:tc>
        <w:tc>
          <w:tcPr>
            <w:tcW w:w="1746" w:type="dxa"/>
            <w:tcBorders>
              <w:top w:val="single" w:color="auto" w:sz="4" w:space="0"/>
              <w:left w:val="single" w:color="auto" w:sz="4" w:space="0"/>
              <w:bottom w:val="single" w:color="auto" w:sz="4" w:space="0"/>
              <w:right w:val="single" w:color="auto" w:sz="4" w:space="0"/>
            </w:tcBorders>
            <w:noWrap w:val="0"/>
            <w:vAlign w:val="center"/>
          </w:tcPr>
          <w:p w14:paraId="7F8CC4DA">
            <w:pPr>
              <w:jc w:val="center"/>
              <w:rPr>
                <w:rFonts w:hint="default" w:ascii="Times New Roman" w:hAnsi="Times New Roman" w:cs="Times New Roman"/>
                <w:sz w:val="24"/>
              </w:rPr>
            </w:pPr>
            <w:r>
              <w:rPr>
                <w:rFonts w:hint="default" w:ascii="Times New Roman" w:hAnsi="Times New Roman" w:cs="Times New Roman"/>
                <w:sz w:val="24"/>
              </w:rPr>
              <w:t>从业登记编号</w:t>
            </w:r>
          </w:p>
        </w:tc>
        <w:tc>
          <w:tcPr>
            <w:tcW w:w="1594" w:type="dxa"/>
            <w:tcBorders>
              <w:top w:val="single" w:color="auto" w:sz="4" w:space="0"/>
              <w:left w:val="single" w:color="auto" w:sz="4" w:space="0"/>
              <w:bottom w:val="single" w:color="auto" w:sz="4" w:space="0"/>
              <w:right w:val="single" w:color="auto" w:sz="4" w:space="0"/>
            </w:tcBorders>
            <w:noWrap w:val="0"/>
            <w:vAlign w:val="center"/>
          </w:tcPr>
          <w:p w14:paraId="6909C22B">
            <w:pPr>
              <w:jc w:val="center"/>
              <w:rPr>
                <w:rFonts w:hint="default" w:ascii="Times New Roman" w:hAnsi="Times New Roman" w:cs="Times New Roman"/>
                <w:sz w:val="24"/>
              </w:rPr>
            </w:pPr>
            <w:r>
              <w:rPr>
                <w:rFonts w:hint="default" w:ascii="Times New Roman" w:hAnsi="Times New Roman" w:cs="Times New Roman"/>
                <w:sz w:val="24"/>
              </w:rPr>
              <w:t>签  字</w:t>
            </w:r>
          </w:p>
        </w:tc>
      </w:tr>
      <w:tr w14:paraId="54781E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1540" w:type="dxa"/>
            <w:tcBorders>
              <w:top w:val="single" w:color="auto" w:sz="4" w:space="0"/>
              <w:left w:val="single" w:color="auto" w:sz="4" w:space="0"/>
              <w:bottom w:val="single" w:color="auto" w:sz="4" w:space="0"/>
              <w:right w:val="single" w:color="auto" w:sz="4" w:space="0"/>
            </w:tcBorders>
            <w:noWrap w:val="0"/>
            <w:vAlign w:val="center"/>
          </w:tcPr>
          <w:p w14:paraId="125F6803">
            <w:pPr>
              <w:jc w:val="center"/>
              <w:rPr>
                <w:rFonts w:hint="default" w:ascii="Times New Roman" w:hAnsi="Times New Roman" w:cs="Times New Roman"/>
                <w:sz w:val="24"/>
              </w:rPr>
            </w:pPr>
            <w:r>
              <w:rPr>
                <w:rFonts w:hint="default" w:ascii="Times New Roman" w:hAnsi="Times New Roman" w:cs="Times New Roman"/>
                <w:sz w:val="24"/>
              </w:rPr>
              <w:t>项目负责人</w:t>
            </w:r>
          </w:p>
        </w:tc>
        <w:tc>
          <w:tcPr>
            <w:tcW w:w="1140" w:type="dxa"/>
            <w:tcBorders>
              <w:top w:val="single" w:color="auto" w:sz="4" w:space="0"/>
              <w:left w:val="single" w:color="auto" w:sz="4" w:space="0"/>
              <w:bottom w:val="single" w:color="auto" w:sz="4" w:space="0"/>
              <w:right w:val="single" w:color="auto" w:sz="4" w:space="0"/>
            </w:tcBorders>
            <w:noWrap w:val="0"/>
            <w:vAlign w:val="center"/>
          </w:tcPr>
          <w:p w14:paraId="29DF0775">
            <w:pPr>
              <w:adjustRightInd/>
              <w:spacing w:line="440" w:lineRule="exact"/>
              <w:ind w:firstLine="0" w:firstLineChars="0"/>
              <w:jc w:val="center"/>
              <w:rPr>
                <w:rFonts w:hint="default" w:ascii="Times New Roman" w:hAnsi="Times New Roman" w:cs="Times New Roman"/>
                <w:sz w:val="24"/>
              </w:rPr>
            </w:pPr>
            <w:r>
              <w:rPr>
                <w:rFonts w:hint="default" w:ascii="Times New Roman" w:hAnsi="Times New Roman" w:cs="Times New Roman"/>
                <w:color w:val="auto"/>
                <w:sz w:val="24"/>
                <w:szCs w:val="24"/>
              </w:rPr>
              <w:t>杨会明</w:t>
            </w:r>
          </w:p>
        </w:tc>
        <w:tc>
          <w:tcPr>
            <w:tcW w:w="1387" w:type="dxa"/>
            <w:tcBorders>
              <w:top w:val="single" w:color="auto" w:sz="4" w:space="0"/>
              <w:left w:val="single" w:color="auto" w:sz="4" w:space="0"/>
              <w:bottom w:val="single" w:color="auto" w:sz="4" w:space="0"/>
              <w:right w:val="single" w:color="auto" w:sz="4" w:space="0"/>
            </w:tcBorders>
            <w:noWrap w:val="0"/>
            <w:vAlign w:val="center"/>
          </w:tcPr>
          <w:p w14:paraId="0979EFD0">
            <w:pPr>
              <w:adjustRightInd/>
              <w:spacing w:line="440" w:lineRule="exact"/>
              <w:ind w:firstLine="0" w:firstLineChars="0"/>
              <w:jc w:val="center"/>
              <w:rPr>
                <w:rFonts w:hint="default" w:ascii="Times New Roman" w:hAnsi="Times New Roman" w:cs="Times New Roman"/>
                <w:sz w:val="24"/>
              </w:rPr>
            </w:pPr>
            <w:r>
              <w:rPr>
                <w:rFonts w:hint="default" w:ascii="Times New Roman" w:hAnsi="Times New Roman" w:cs="Times New Roman"/>
                <w:color w:val="auto"/>
                <w:sz w:val="24"/>
                <w:szCs w:val="24"/>
              </w:rPr>
              <w:t>通风</w:t>
            </w:r>
          </w:p>
        </w:tc>
        <w:tc>
          <w:tcPr>
            <w:tcW w:w="2434" w:type="dxa"/>
            <w:tcBorders>
              <w:top w:val="single" w:color="auto" w:sz="4" w:space="0"/>
              <w:left w:val="single" w:color="auto" w:sz="4" w:space="0"/>
              <w:bottom w:val="single" w:color="auto" w:sz="4" w:space="0"/>
              <w:right w:val="single" w:color="auto" w:sz="4" w:space="0"/>
            </w:tcBorders>
            <w:noWrap w:val="0"/>
            <w:vAlign w:val="center"/>
          </w:tcPr>
          <w:p w14:paraId="60D34D4D">
            <w:pPr>
              <w:adjustRightInd/>
              <w:spacing w:line="440" w:lineRule="exact"/>
              <w:ind w:firstLine="0" w:firstLineChars="0"/>
              <w:jc w:val="center"/>
              <w:rPr>
                <w:rFonts w:hint="default" w:ascii="Times New Roman" w:hAnsi="Times New Roman" w:cs="Times New Roman"/>
                <w:sz w:val="24"/>
              </w:rPr>
            </w:pPr>
            <w:r>
              <w:rPr>
                <w:rFonts w:hint="default" w:ascii="Times New Roman" w:hAnsi="Times New Roman" w:cs="Times New Roman"/>
                <w:color w:val="auto"/>
                <w:sz w:val="21"/>
                <w:szCs w:val="24"/>
              </w:rPr>
              <w:fldChar w:fldCharType="begin"/>
            </w:r>
            <w:r>
              <w:rPr>
                <w:rFonts w:hint="default" w:ascii="Times New Roman" w:hAnsi="Times New Roman" w:cs="Times New Roman"/>
                <w:color w:val="auto"/>
                <w:sz w:val="21"/>
                <w:szCs w:val="24"/>
              </w:rPr>
              <w:instrText xml:space="preserve"> HYPERLINK "http://cydj.5anquan.com/Admin/AprySearch/path=/Files/Image/ApryImg/Profession/Edit4239/" \o "http://cydj.5anquan.com/Admin/AprySearch/path=/Files/Image/ApryImg/Profession/Edit4239/" </w:instrText>
            </w:r>
            <w:r>
              <w:rPr>
                <w:rFonts w:hint="default" w:ascii="Times New Roman" w:hAnsi="Times New Roman" w:cs="Times New Roman"/>
                <w:color w:val="auto"/>
                <w:sz w:val="21"/>
                <w:szCs w:val="24"/>
              </w:rPr>
              <w:fldChar w:fldCharType="separate"/>
            </w:r>
            <w:r>
              <w:rPr>
                <w:rFonts w:hint="default" w:ascii="Times New Roman" w:hAnsi="Times New Roman" w:cs="Times New Roman"/>
                <w:color w:val="auto"/>
                <w:sz w:val="24"/>
                <w:szCs w:val="24"/>
              </w:rPr>
              <w:t>S011053000110192003194</w:t>
            </w:r>
            <w:r>
              <w:rPr>
                <w:rFonts w:hint="default" w:ascii="Times New Roman" w:hAnsi="Times New Roman" w:cs="Times New Roman"/>
                <w:color w:val="auto"/>
                <w:sz w:val="24"/>
                <w:szCs w:val="24"/>
              </w:rPr>
              <w:fldChar w:fldCharType="end"/>
            </w:r>
          </w:p>
        </w:tc>
        <w:tc>
          <w:tcPr>
            <w:tcW w:w="1746" w:type="dxa"/>
            <w:tcBorders>
              <w:top w:val="single" w:color="auto" w:sz="4" w:space="0"/>
              <w:left w:val="single" w:color="auto" w:sz="4" w:space="0"/>
              <w:bottom w:val="single" w:color="auto" w:sz="4" w:space="0"/>
              <w:right w:val="single" w:color="auto" w:sz="4" w:space="0"/>
            </w:tcBorders>
            <w:noWrap w:val="0"/>
            <w:vAlign w:val="center"/>
          </w:tcPr>
          <w:p w14:paraId="2F4EE6AF">
            <w:pPr>
              <w:adjustRightInd/>
              <w:spacing w:line="440" w:lineRule="exact"/>
              <w:ind w:firstLine="0" w:firstLineChars="0"/>
              <w:jc w:val="center"/>
              <w:rPr>
                <w:rFonts w:hint="default" w:ascii="Times New Roman" w:hAnsi="Times New Roman" w:cs="Times New Roman"/>
                <w:sz w:val="24"/>
              </w:rPr>
            </w:pPr>
            <w:r>
              <w:rPr>
                <w:rFonts w:hint="default" w:ascii="Times New Roman" w:hAnsi="Times New Roman" w:cs="Times New Roman"/>
                <w:color w:val="auto"/>
                <w:sz w:val="24"/>
                <w:szCs w:val="24"/>
              </w:rPr>
              <w:t>024910</w:t>
            </w:r>
          </w:p>
        </w:tc>
        <w:tc>
          <w:tcPr>
            <w:tcW w:w="1594" w:type="dxa"/>
            <w:tcBorders>
              <w:top w:val="single" w:color="auto" w:sz="4" w:space="0"/>
              <w:left w:val="single" w:color="auto" w:sz="4" w:space="0"/>
              <w:bottom w:val="single" w:color="auto" w:sz="4" w:space="0"/>
              <w:right w:val="single" w:color="auto" w:sz="4" w:space="0"/>
            </w:tcBorders>
            <w:noWrap w:val="0"/>
            <w:vAlign w:val="center"/>
          </w:tcPr>
          <w:p w14:paraId="7B125720">
            <w:pPr>
              <w:jc w:val="center"/>
              <w:rPr>
                <w:rFonts w:hint="default" w:ascii="Times New Roman" w:hAnsi="Times New Roman" w:cs="Times New Roman"/>
                <w:sz w:val="24"/>
              </w:rPr>
            </w:pPr>
          </w:p>
        </w:tc>
      </w:tr>
      <w:tr w14:paraId="0F4662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1540" w:type="dxa"/>
            <w:vMerge w:val="restart"/>
            <w:tcBorders>
              <w:top w:val="single" w:color="auto" w:sz="4" w:space="0"/>
              <w:left w:val="single" w:color="auto" w:sz="4" w:space="0"/>
              <w:right w:val="single" w:color="auto" w:sz="4" w:space="0"/>
            </w:tcBorders>
            <w:noWrap w:val="0"/>
            <w:vAlign w:val="center"/>
          </w:tcPr>
          <w:p w14:paraId="0FC9DF7F">
            <w:pPr>
              <w:jc w:val="center"/>
              <w:rPr>
                <w:rFonts w:hint="default" w:ascii="Times New Roman" w:hAnsi="Times New Roman" w:cs="Times New Roman"/>
                <w:sz w:val="24"/>
              </w:rPr>
            </w:pPr>
            <w:r>
              <w:rPr>
                <w:rFonts w:hint="default" w:ascii="Times New Roman" w:hAnsi="Times New Roman" w:cs="Times New Roman"/>
                <w:sz w:val="24"/>
              </w:rPr>
              <w:t>项目组成员</w:t>
            </w:r>
          </w:p>
        </w:tc>
        <w:tc>
          <w:tcPr>
            <w:tcW w:w="1140" w:type="dxa"/>
            <w:tcBorders>
              <w:top w:val="single" w:color="auto" w:sz="4" w:space="0"/>
              <w:left w:val="single" w:color="auto" w:sz="4" w:space="0"/>
              <w:bottom w:val="single" w:color="auto" w:sz="4" w:space="0"/>
              <w:right w:val="single" w:color="auto" w:sz="4" w:space="0"/>
            </w:tcBorders>
            <w:noWrap w:val="0"/>
            <w:vAlign w:val="center"/>
          </w:tcPr>
          <w:p w14:paraId="29083FEF">
            <w:pPr>
              <w:widowControl/>
              <w:adjustRightInd/>
              <w:snapToGrid/>
              <w:spacing w:line="240" w:lineRule="auto"/>
              <w:ind w:firstLine="0" w:firstLineChars="0"/>
              <w:jc w:val="center"/>
              <w:textAlignment w:val="center"/>
              <w:rPr>
                <w:rFonts w:hint="default" w:ascii="Times New Roman" w:hAnsi="Times New Roman" w:cs="Times New Roman"/>
                <w:sz w:val="24"/>
              </w:rPr>
            </w:pPr>
            <w:r>
              <w:rPr>
                <w:rFonts w:hint="default" w:ascii="Times New Roman" w:hAnsi="Times New Roman" w:cs="Times New Roman"/>
                <w:color w:val="auto"/>
                <w:sz w:val="24"/>
              </w:rPr>
              <w:t>李欣泽</w:t>
            </w:r>
          </w:p>
        </w:tc>
        <w:tc>
          <w:tcPr>
            <w:tcW w:w="1387" w:type="dxa"/>
            <w:tcBorders>
              <w:top w:val="single" w:color="auto" w:sz="4" w:space="0"/>
              <w:left w:val="single" w:color="auto" w:sz="4" w:space="0"/>
              <w:bottom w:val="single" w:color="auto" w:sz="4" w:space="0"/>
              <w:right w:val="single" w:color="auto" w:sz="4" w:space="0"/>
            </w:tcBorders>
            <w:noWrap w:val="0"/>
            <w:vAlign w:val="center"/>
          </w:tcPr>
          <w:p w14:paraId="4506EAC4">
            <w:pPr>
              <w:adjustRightInd/>
              <w:snapToGrid/>
              <w:spacing w:line="440" w:lineRule="exact"/>
              <w:ind w:firstLine="0" w:firstLineChars="0"/>
              <w:jc w:val="center"/>
              <w:rPr>
                <w:rFonts w:hint="default" w:ascii="Times New Roman" w:hAnsi="Times New Roman" w:cs="Times New Roman"/>
                <w:sz w:val="24"/>
              </w:rPr>
            </w:pPr>
            <w:r>
              <w:rPr>
                <w:rFonts w:hint="default" w:ascii="Times New Roman" w:hAnsi="Times New Roman" w:cs="Times New Roman"/>
                <w:color w:val="auto"/>
                <w:sz w:val="24"/>
              </w:rPr>
              <w:t>安全</w:t>
            </w:r>
          </w:p>
        </w:tc>
        <w:tc>
          <w:tcPr>
            <w:tcW w:w="2434" w:type="dxa"/>
            <w:tcBorders>
              <w:top w:val="single" w:color="auto" w:sz="4" w:space="0"/>
              <w:left w:val="single" w:color="auto" w:sz="4" w:space="0"/>
              <w:bottom w:val="single" w:color="auto" w:sz="4" w:space="0"/>
              <w:right w:val="single" w:color="auto" w:sz="4" w:space="0"/>
            </w:tcBorders>
            <w:noWrap w:val="0"/>
            <w:vAlign w:val="center"/>
          </w:tcPr>
          <w:p w14:paraId="6B210B7C">
            <w:pPr>
              <w:adjustRightInd/>
              <w:snapToGrid/>
              <w:spacing w:line="440" w:lineRule="exact"/>
              <w:ind w:firstLine="0" w:firstLineChars="0"/>
              <w:jc w:val="center"/>
              <w:rPr>
                <w:rFonts w:hint="default" w:ascii="Times New Roman" w:hAnsi="Times New Roman" w:cs="Times New Roman"/>
                <w:sz w:val="24"/>
              </w:rPr>
            </w:pPr>
            <w:r>
              <w:rPr>
                <w:rFonts w:hint="default" w:ascii="Times New Roman" w:hAnsi="Times New Roman" w:cs="Times New Roman"/>
                <w:color w:val="auto"/>
                <w:sz w:val="24"/>
              </w:rPr>
              <w:t>1600000000200299</w:t>
            </w:r>
          </w:p>
        </w:tc>
        <w:tc>
          <w:tcPr>
            <w:tcW w:w="1746" w:type="dxa"/>
            <w:tcBorders>
              <w:top w:val="single" w:color="auto" w:sz="4" w:space="0"/>
              <w:left w:val="single" w:color="auto" w:sz="4" w:space="0"/>
              <w:bottom w:val="single" w:color="auto" w:sz="4" w:space="0"/>
              <w:right w:val="single" w:color="auto" w:sz="4" w:space="0"/>
            </w:tcBorders>
            <w:noWrap w:val="0"/>
            <w:vAlign w:val="center"/>
          </w:tcPr>
          <w:p w14:paraId="64ABF8F0">
            <w:pPr>
              <w:adjustRightInd/>
              <w:spacing w:line="440" w:lineRule="exact"/>
              <w:ind w:firstLine="0" w:firstLineChars="0"/>
              <w:jc w:val="center"/>
              <w:rPr>
                <w:rFonts w:hint="default" w:ascii="Times New Roman" w:hAnsi="Times New Roman" w:cs="Times New Roman"/>
                <w:sz w:val="24"/>
              </w:rPr>
            </w:pPr>
            <w:r>
              <w:rPr>
                <w:rFonts w:hint="default" w:ascii="Times New Roman" w:hAnsi="Times New Roman" w:cs="Times New Roman"/>
                <w:color w:val="auto"/>
                <w:sz w:val="24"/>
              </w:rPr>
              <w:t>019600</w:t>
            </w:r>
          </w:p>
        </w:tc>
        <w:tc>
          <w:tcPr>
            <w:tcW w:w="1594" w:type="dxa"/>
            <w:tcBorders>
              <w:top w:val="single" w:color="auto" w:sz="4" w:space="0"/>
              <w:left w:val="single" w:color="auto" w:sz="4" w:space="0"/>
              <w:bottom w:val="single" w:color="auto" w:sz="4" w:space="0"/>
              <w:right w:val="single" w:color="auto" w:sz="4" w:space="0"/>
            </w:tcBorders>
            <w:noWrap w:val="0"/>
            <w:vAlign w:val="center"/>
          </w:tcPr>
          <w:p w14:paraId="0C355DF2">
            <w:pPr>
              <w:jc w:val="center"/>
              <w:rPr>
                <w:rFonts w:hint="default" w:ascii="Times New Roman" w:hAnsi="Times New Roman" w:cs="Times New Roman"/>
                <w:sz w:val="24"/>
              </w:rPr>
            </w:pPr>
          </w:p>
        </w:tc>
      </w:tr>
      <w:tr w14:paraId="390938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1540" w:type="dxa"/>
            <w:vMerge w:val="continue"/>
            <w:tcBorders>
              <w:left w:val="single" w:color="auto" w:sz="4" w:space="0"/>
              <w:right w:val="single" w:color="auto" w:sz="4" w:space="0"/>
            </w:tcBorders>
            <w:noWrap w:val="0"/>
            <w:vAlign w:val="center"/>
          </w:tcPr>
          <w:p w14:paraId="33DFEE6E">
            <w:pPr>
              <w:jc w:val="center"/>
              <w:rPr>
                <w:rFonts w:hint="default" w:ascii="Times New Roman" w:hAnsi="Times New Roman" w:cs="Times New Roman"/>
                <w:sz w:val="24"/>
              </w:rPr>
            </w:pPr>
          </w:p>
        </w:tc>
        <w:tc>
          <w:tcPr>
            <w:tcW w:w="1140" w:type="dxa"/>
            <w:tcBorders>
              <w:top w:val="single" w:color="auto" w:sz="4" w:space="0"/>
              <w:left w:val="single" w:color="auto" w:sz="4" w:space="0"/>
              <w:bottom w:val="single" w:color="auto" w:sz="4" w:space="0"/>
              <w:right w:val="single" w:color="auto" w:sz="4" w:space="0"/>
            </w:tcBorders>
            <w:noWrap w:val="0"/>
            <w:vAlign w:val="center"/>
          </w:tcPr>
          <w:p w14:paraId="565934C5">
            <w:pPr>
              <w:adjustRightInd/>
              <w:spacing w:line="440" w:lineRule="exact"/>
              <w:ind w:firstLine="0" w:firstLineChars="0"/>
              <w:jc w:val="center"/>
              <w:rPr>
                <w:rFonts w:hint="default" w:ascii="Times New Roman" w:hAnsi="Times New Roman" w:cs="Times New Roman"/>
                <w:sz w:val="24"/>
              </w:rPr>
            </w:pPr>
            <w:r>
              <w:rPr>
                <w:rFonts w:hint="default" w:ascii="Times New Roman" w:hAnsi="Times New Roman" w:cs="Times New Roman"/>
                <w:color w:val="auto"/>
                <w:sz w:val="24"/>
                <w:szCs w:val="24"/>
                <w:lang w:val="en-US" w:eastAsia="zh-CN"/>
              </w:rPr>
              <w:t>侯岗</w:t>
            </w:r>
          </w:p>
        </w:tc>
        <w:tc>
          <w:tcPr>
            <w:tcW w:w="1387" w:type="dxa"/>
            <w:tcBorders>
              <w:top w:val="single" w:color="auto" w:sz="4" w:space="0"/>
              <w:left w:val="single" w:color="auto" w:sz="4" w:space="0"/>
              <w:bottom w:val="single" w:color="auto" w:sz="4" w:space="0"/>
              <w:right w:val="single" w:color="auto" w:sz="4" w:space="0"/>
            </w:tcBorders>
            <w:noWrap w:val="0"/>
            <w:vAlign w:val="center"/>
          </w:tcPr>
          <w:p w14:paraId="3FBFA831">
            <w:pPr>
              <w:adjustRightInd/>
              <w:spacing w:line="440" w:lineRule="exact"/>
              <w:ind w:firstLine="0" w:firstLineChars="0"/>
              <w:jc w:val="center"/>
              <w:rPr>
                <w:rFonts w:hint="default" w:ascii="Times New Roman" w:hAnsi="Times New Roman" w:cs="Times New Roman"/>
                <w:sz w:val="24"/>
              </w:rPr>
            </w:pPr>
            <w:r>
              <w:rPr>
                <w:rFonts w:hint="default" w:ascii="Times New Roman" w:hAnsi="Times New Roman" w:cs="Times New Roman"/>
                <w:color w:val="auto"/>
                <w:sz w:val="24"/>
                <w:szCs w:val="24"/>
              </w:rPr>
              <w:t>电气</w:t>
            </w:r>
          </w:p>
        </w:tc>
        <w:tc>
          <w:tcPr>
            <w:tcW w:w="2434" w:type="dxa"/>
            <w:tcBorders>
              <w:top w:val="single" w:color="auto" w:sz="4" w:space="0"/>
              <w:left w:val="single" w:color="auto" w:sz="4" w:space="0"/>
              <w:bottom w:val="single" w:color="auto" w:sz="4" w:space="0"/>
              <w:right w:val="single" w:color="auto" w:sz="4" w:space="0"/>
            </w:tcBorders>
            <w:noWrap w:val="0"/>
            <w:vAlign w:val="center"/>
          </w:tcPr>
          <w:p w14:paraId="44161F42">
            <w:pPr>
              <w:adjustRightInd/>
              <w:spacing w:line="440" w:lineRule="exact"/>
              <w:ind w:firstLine="0" w:firstLineChars="0"/>
              <w:jc w:val="center"/>
              <w:rPr>
                <w:rFonts w:hint="default" w:ascii="Times New Roman" w:hAnsi="Times New Roman" w:cs="Times New Roman"/>
                <w:sz w:val="24"/>
              </w:rPr>
            </w:pPr>
            <w:r>
              <w:rPr>
                <w:rFonts w:hint="default" w:ascii="Times New Roman" w:hAnsi="Times New Roman" w:cs="Times New Roman"/>
                <w:color w:val="auto"/>
                <w:sz w:val="24"/>
                <w:szCs w:val="24"/>
                <w:lang w:val="en-US" w:eastAsia="zh-CN"/>
              </w:rPr>
              <w:t>1500000000302693</w:t>
            </w:r>
          </w:p>
        </w:tc>
        <w:tc>
          <w:tcPr>
            <w:tcW w:w="1746" w:type="dxa"/>
            <w:tcBorders>
              <w:top w:val="single" w:color="auto" w:sz="4" w:space="0"/>
              <w:left w:val="single" w:color="auto" w:sz="4" w:space="0"/>
              <w:bottom w:val="single" w:color="auto" w:sz="4" w:space="0"/>
              <w:right w:val="single" w:color="auto" w:sz="4" w:space="0"/>
            </w:tcBorders>
            <w:noWrap w:val="0"/>
            <w:vAlign w:val="center"/>
          </w:tcPr>
          <w:p w14:paraId="11DF3947">
            <w:pPr>
              <w:adjustRightInd/>
              <w:spacing w:line="440" w:lineRule="exact"/>
              <w:ind w:firstLine="0" w:firstLineChars="0"/>
              <w:jc w:val="center"/>
              <w:rPr>
                <w:rFonts w:hint="default" w:ascii="Times New Roman" w:hAnsi="Times New Roman" w:cs="Times New Roman"/>
                <w:sz w:val="24"/>
              </w:rPr>
            </w:pPr>
            <w:r>
              <w:rPr>
                <w:rFonts w:hint="default" w:ascii="Times New Roman" w:hAnsi="Times New Roman" w:cs="Times New Roman"/>
                <w:color w:val="auto"/>
                <w:sz w:val="24"/>
                <w:szCs w:val="24"/>
                <w:lang w:val="en-US" w:eastAsia="zh-CN"/>
              </w:rPr>
              <w:t>026194</w:t>
            </w:r>
          </w:p>
        </w:tc>
        <w:tc>
          <w:tcPr>
            <w:tcW w:w="1594" w:type="dxa"/>
            <w:tcBorders>
              <w:top w:val="single" w:color="auto" w:sz="4" w:space="0"/>
              <w:left w:val="single" w:color="auto" w:sz="4" w:space="0"/>
              <w:bottom w:val="single" w:color="auto" w:sz="4" w:space="0"/>
              <w:right w:val="single" w:color="auto" w:sz="4" w:space="0"/>
            </w:tcBorders>
            <w:noWrap w:val="0"/>
            <w:vAlign w:val="center"/>
          </w:tcPr>
          <w:p w14:paraId="406E1C55">
            <w:pPr>
              <w:jc w:val="center"/>
              <w:rPr>
                <w:rFonts w:hint="default" w:ascii="Times New Roman" w:hAnsi="Times New Roman" w:cs="Times New Roman"/>
                <w:sz w:val="24"/>
              </w:rPr>
            </w:pPr>
          </w:p>
        </w:tc>
      </w:tr>
      <w:tr w14:paraId="2049C8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1540" w:type="dxa"/>
            <w:vMerge w:val="continue"/>
            <w:tcBorders>
              <w:left w:val="single" w:color="auto" w:sz="4" w:space="0"/>
              <w:right w:val="single" w:color="auto" w:sz="4" w:space="0"/>
            </w:tcBorders>
            <w:noWrap w:val="0"/>
            <w:vAlign w:val="center"/>
          </w:tcPr>
          <w:p w14:paraId="291B59A1">
            <w:pPr>
              <w:jc w:val="center"/>
              <w:rPr>
                <w:rFonts w:hint="default" w:ascii="Times New Roman" w:hAnsi="Times New Roman" w:cs="Times New Roman"/>
                <w:sz w:val="24"/>
              </w:rPr>
            </w:pPr>
          </w:p>
        </w:tc>
        <w:tc>
          <w:tcPr>
            <w:tcW w:w="1140" w:type="dxa"/>
            <w:tcBorders>
              <w:top w:val="single" w:color="auto" w:sz="4" w:space="0"/>
              <w:left w:val="single" w:color="auto" w:sz="4" w:space="0"/>
              <w:bottom w:val="single" w:color="auto" w:sz="4" w:space="0"/>
              <w:right w:val="single" w:color="auto" w:sz="4" w:space="0"/>
            </w:tcBorders>
            <w:noWrap w:val="0"/>
            <w:vAlign w:val="center"/>
          </w:tcPr>
          <w:p w14:paraId="38C2CE03">
            <w:pPr>
              <w:adjustRightInd/>
              <w:spacing w:line="440" w:lineRule="exact"/>
              <w:ind w:firstLine="0" w:firstLineChars="0"/>
              <w:jc w:val="center"/>
              <w:rPr>
                <w:rFonts w:hint="default" w:ascii="Times New Roman" w:hAnsi="Times New Roman" w:cs="Times New Roman"/>
                <w:sz w:val="24"/>
              </w:rPr>
            </w:pPr>
            <w:r>
              <w:rPr>
                <w:rFonts w:hint="default" w:ascii="Times New Roman" w:hAnsi="Times New Roman" w:cs="Times New Roman"/>
                <w:color w:val="auto"/>
                <w:sz w:val="24"/>
                <w:szCs w:val="24"/>
              </w:rPr>
              <w:t>安东亮</w:t>
            </w:r>
          </w:p>
        </w:tc>
        <w:tc>
          <w:tcPr>
            <w:tcW w:w="1387" w:type="dxa"/>
            <w:tcBorders>
              <w:top w:val="single" w:color="auto" w:sz="4" w:space="0"/>
              <w:left w:val="single" w:color="auto" w:sz="4" w:space="0"/>
              <w:bottom w:val="single" w:color="auto" w:sz="4" w:space="0"/>
              <w:right w:val="single" w:color="auto" w:sz="4" w:space="0"/>
            </w:tcBorders>
            <w:noWrap w:val="0"/>
            <w:vAlign w:val="center"/>
          </w:tcPr>
          <w:p w14:paraId="158BC5BE">
            <w:pPr>
              <w:adjustRightInd/>
              <w:spacing w:line="440" w:lineRule="exact"/>
              <w:ind w:firstLine="0" w:firstLineChars="0"/>
              <w:jc w:val="center"/>
              <w:rPr>
                <w:rFonts w:hint="default" w:ascii="Times New Roman" w:hAnsi="Times New Roman" w:cs="Times New Roman"/>
                <w:sz w:val="24"/>
              </w:rPr>
            </w:pPr>
            <w:r>
              <w:rPr>
                <w:rFonts w:hint="default" w:ascii="Times New Roman" w:hAnsi="Times New Roman" w:cs="Times New Roman"/>
                <w:color w:val="auto"/>
                <w:sz w:val="24"/>
                <w:szCs w:val="24"/>
              </w:rPr>
              <w:t>采矿</w:t>
            </w:r>
          </w:p>
        </w:tc>
        <w:tc>
          <w:tcPr>
            <w:tcW w:w="2434" w:type="dxa"/>
            <w:tcBorders>
              <w:top w:val="single" w:color="auto" w:sz="4" w:space="0"/>
              <w:left w:val="single" w:color="auto" w:sz="4" w:space="0"/>
              <w:bottom w:val="single" w:color="auto" w:sz="4" w:space="0"/>
              <w:right w:val="single" w:color="auto" w:sz="4" w:space="0"/>
            </w:tcBorders>
            <w:noWrap w:val="0"/>
            <w:vAlign w:val="center"/>
          </w:tcPr>
          <w:p w14:paraId="20794192">
            <w:pPr>
              <w:adjustRightInd/>
              <w:spacing w:line="440" w:lineRule="exact"/>
              <w:ind w:firstLine="0" w:firstLineChars="0"/>
              <w:jc w:val="center"/>
              <w:rPr>
                <w:rFonts w:hint="default" w:ascii="Times New Roman" w:hAnsi="Times New Roman" w:cs="Times New Roman"/>
                <w:sz w:val="24"/>
              </w:rPr>
            </w:pPr>
            <w:r>
              <w:rPr>
                <w:rFonts w:hint="default" w:ascii="Times New Roman" w:hAnsi="Times New Roman" w:cs="Times New Roman"/>
                <w:color w:val="auto"/>
                <w:sz w:val="24"/>
                <w:szCs w:val="24"/>
              </w:rPr>
              <w:t>S011053000110203001658</w:t>
            </w:r>
          </w:p>
        </w:tc>
        <w:tc>
          <w:tcPr>
            <w:tcW w:w="1746" w:type="dxa"/>
            <w:tcBorders>
              <w:top w:val="single" w:color="auto" w:sz="4" w:space="0"/>
              <w:left w:val="single" w:color="auto" w:sz="4" w:space="0"/>
              <w:bottom w:val="single" w:color="auto" w:sz="4" w:space="0"/>
              <w:right w:val="single" w:color="auto" w:sz="4" w:space="0"/>
            </w:tcBorders>
            <w:noWrap w:val="0"/>
            <w:vAlign w:val="center"/>
          </w:tcPr>
          <w:p w14:paraId="03F1FE8C">
            <w:pPr>
              <w:adjustRightInd/>
              <w:spacing w:line="440" w:lineRule="exact"/>
              <w:ind w:firstLine="0" w:firstLineChars="0"/>
              <w:jc w:val="center"/>
              <w:rPr>
                <w:rFonts w:hint="default" w:ascii="Times New Roman" w:hAnsi="Times New Roman" w:cs="Times New Roman"/>
                <w:sz w:val="24"/>
              </w:rPr>
            </w:pPr>
            <w:r>
              <w:rPr>
                <w:rFonts w:hint="default" w:ascii="Times New Roman" w:hAnsi="Times New Roman" w:cs="Times New Roman"/>
                <w:color w:val="auto"/>
                <w:sz w:val="24"/>
                <w:szCs w:val="24"/>
              </w:rPr>
              <w:t>042539</w:t>
            </w:r>
          </w:p>
        </w:tc>
        <w:tc>
          <w:tcPr>
            <w:tcW w:w="1594" w:type="dxa"/>
            <w:tcBorders>
              <w:top w:val="single" w:color="auto" w:sz="4" w:space="0"/>
              <w:left w:val="single" w:color="auto" w:sz="4" w:space="0"/>
              <w:bottom w:val="single" w:color="auto" w:sz="4" w:space="0"/>
              <w:right w:val="single" w:color="auto" w:sz="4" w:space="0"/>
            </w:tcBorders>
            <w:noWrap w:val="0"/>
            <w:vAlign w:val="center"/>
          </w:tcPr>
          <w:p w14:paraId="7490EF0E">
            <w:pPr>
              <w:jc w:val="center"/>
              <w:rPr>
                <w:rFonts w:hint="default" w:ascii="Times New Roman" w:hAnsi="Times New Roman" w:cs="Times New Roman"/>
                <w:sz w:val="24"/>
              </w:rPr>
            </w:pPr>
          </w:p>
        </w:tc>
      </w:tr>
      <w:tr w14:paraId="28F1F0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1540" w:type="dxa"/>
            <w:vMerge w:val="continue"/>
            <w:tcBorders>
              <w:left w:val="single" w:color="auto" w:sz="4" w:space="0"/>
              <w:right w:val="single" w:color="auto" w:sz="4" w:space="0"/>
            </w:tcBorders>
            <w:noWrap w:val="0"/>
            <w:vAlign w:val="center"/>
          </w:tcPr>
          <w:p w14:paraId="15BF3474">
            <w:pPr>
              <w:jc w:val="center"/>
              <w:rPr>
                <w:rFonts w:hint="default" w:ascii="Times New Roman" w:hAnsi="Times New Roman" w:cs="Times New Roman"/>
                <w:sz w:val="24"/>
              </w:rPr>
            </w:pPr>
          </w:p>
        </w:tc>
        <w:tc>
          <w:tcPr>
            <w:tcW w:w="1140" w:type="dxa"/>
            <w:tcBorders>
              <w:top w:val="single" w:color="auto" w:sz="4" w:space="0"/>
              <w:left w:val="single" w:color="auto" w:sz="4" w:space="0"/>
              <w:bottom w:val="single" w:color="auto" w:sz="4" w:space="0"/>
              <w:right w:val="single" w:color="auto" w:sz="4" w:space="0"/>
            </w:tcBorders>
            <w:noWrap w:val="0"/>
            <w:vAlign w:val="center"/>
          </w:tcPr>
          <w:p w14:paraId="0FFBAA91">
            <w:pPr>
              <w:adjustRightInd/>
              <w:spacing w:line="440" w:lineRule="exact"/>
              <w:ind w:firstLine="0" w:firstLineChars="0"/>
              <w:jc w:val="center"/>
              <w:rPr>
                <w:rFonts w:hint="default" w:ascii="Times New Roman" w:hAnsi="Times New Roman" w:cs="Times New Roman"/>
                <w:sz w:val="24"/>
              </w:rPr>
            </w:pPr>
            <w:r>
              <w:rPr>
                <w:rFonts w:hint="default" w:ascii="Times New Roman" w:hAnsi="Times New Roman" w:cs="Times New Roman"/>
                <w:color w:val="auto"/>
                <w:sz w:val="24"/>
                <w:szCs w:val="24"/>
              </w:rPr>
              <w:t>杨  伍</w:t>
            </w:r>
          </w:p>
        </w:tc>
        <w:tc>
          <w:tcPr>
            <w:tcW w:w="1387" w:type="dxa"/>
            <w:tcBorders>
              <w:top w:val="single" w:color="auto" w:sz="4" w:space="0"/>
              <w:left w:val="single" w:color="auto" w:sz="4" w:space="0"/>
              <w:bottom w:val="single" w:color="auto" w:sz="4" w:space="0"/>
              <w:right w:val="single" w:color="auto" w:sz="4" w:space="0"/>
            </w:tcBorders>
            <w:noWrap w:val="0"/>
            <w:vAlign w:val="center"/>
          </w:tcPr>
          <w:p w14:paraId="4E800DDE">
            <w:pPr>
              <w:adjustRightInd/>
              <w:spacing w:line="440" w:lineRule="exact"/>
              <w:ind w:firstLine="0" w:firstLineChars="0"/>
              <w:jc w:val="center"/>
              <w:rPr>
                <w:rFonts w:hint="default" w:ascii="Times New Roman" w:hAnsi="Times New Roman" w:cs="Times New Roman"/>
                <w:sz w:val="24"/>
              </w:rPr>
            </w:pPr>
            <w:r>
              <w:rPr>
                <w:rFonts w:hint="default" w:ascii="Times New Roman" w:hAnsi="Times New Roman" w:cs="Times New Roman"/>
                <w:color w:val="auto"/>
                <w:sz w:val="24"/>
                <w:szCs w:val="24"/>
              </w:rPr>
              <w:t>水工结构</w:t>
            </w:r>
          </w:p>
        </w:tc>
        <w:tc>
          <w:tcPr>
            <w:tcW w:w="2434" w:type="dxa"/>
            <w:tcBorders>
              <w:top w:val="single" w:color="auto" w:sz="4" w:space="0"/>
              <w:left w:val="single" w:color="auto" w:sz="4" w:space="0"/>
              <w:bottom w:val="single" w:color="auto" w:sz="4" w:space="0"/>
              <w:right w:val="single" w:color="auto" w:sz="4" w:space="0"/>
            </w:tcBorders>
            <w:noWrap w:val="0"/>
            <w:vAlign w:val="center"/>
          </w:tcPr>
          <w:p w14:paraId="714866DC">
            <w:pPr>
              <w:adjustRightInd/>
              <w:spacing w:line="440" w:lineRule="exact"/>
              <w:ind w:firstLine="0" w:firstLineChars="0"/>
              <w:jc w:val="center"/>
              <w:rPr>
                <w:rFonts w:hint="default" w:ascii="Times New Roman" w:hAnsi="Times New Roman" w:cs="Times New Roman"/>
                <w:sz w:val="24"/>
              </w:rPr>
            </w:pPr>
            <w:r>
              <w:rPr>
                <w:rFonts w:hint="default" w:ascii="Times New Roman" w:hAnsi="Times New Roman" w:cs="Times New Roman"/>
                <w:color w:val="auto"/>
                <w:sz w:val="21"/>
                <w:szCs w:val="24"/>
              </w:rPr>
              <w:fldChar w:fldCharType="begin"/>
            </w:r>
            <w:r>
              <w:rPr>
                <w:rFonts w:hint="default" w:ascii="Times New Roman" w:hAnsi="Times New Roman" w:cs="Times New Roman"/>
                <w:color w:val="auto"/>
                <w:sz w:val="21"/>
                <w:szCs w:val="24"/>
              </w:rPr>
              <w:instrText xml:space="preserve"> HYPERLINK "http://cydj.5anquan.com/Admin/AprySearch/path=/Files/Image/ApryImg/Profession/Edit9607/" \o "http://cydj.5anquan.com/Admin/AprySearch/path=/Files/Image/ApryImg/Profession/Edit9607/" </w:instrText>
            </w:r>
            <w:r>
              <w:rPr>
                <w:rFonts w:hint="default" w:ascii="Times New Roman" w:hAnsi="Times New Roman" w:cs="Times New Roman"/>
                <w:color w:val="auto"/>
                <w:sz w:val="21"/>
                <w:szCs w:val="24"/>
              </w:rPr>
              <w:fldChar w:fldCharType="separate"/>
            </w:r>
            <w:r>
              <w:rPr>
                <w:rFonts w:hint="default" w:ascii="Times New Roman" w:hAnsi="Times New Roman" w:cs="Times New Roman"/>
                <w:color w:val="auto"/>
                <w:sz w:val="24"/>
                <w:szCs w:val="24"/>
              </w:rPr>
              <w:t>1100000000302455</w:t>
            </w:r>
            <w:r>
              <w:rPr>
                <w:rFonts w:hint="default" w:ascii="Times New Roman" w:hAnsi="Times New Roman" w:cs="Times New Roman"/>
                <w:color w:val="auto"/>
                <w:sz w:val="24"/>
                <w:szCs w:val="24"/>
              </w:rPr>
              <w:fldChar w:fldCharType="end"/>
            </w:r>
          </w:p>
        </w:tc>
        <w:tc>
          <w:tcPr>
            <w:tcW w:w="1746" w:type="dxa"/>
            <w:tcBorders>
              <w:top w:val="single" w:color="auto" w:sz="4" w:space="0"/>
              <w:left w:val="single" w:color="auto" w:sz="4" w:space="0"/>
              <w:bottom w:val="single" w:color="auto" w:sz="4" w:space="0"/>
              <w:right w:val="single" w:color="auto" w:sz="4" w:space="0"/>
            </w:tcBorders>
            <w:noWrap w:val="0"/>
            <w:vAlign w:val="center"/>
          </w:tcPr>
          <w:p w14:paraId="02CF1FE3">
            <w:pPr>
              <w:adjustRightInd/>
              <w:spacing w:line="440" w:lineRule="exact"/>
              <w:ind w:firstLine="0" w:firstLineChars="0"/>
              <w:jc w:val="center"/>
              <w:rPr>
                <w:rFonts w:hint="default" w:ascii="Times New Roman" w:hAnsi="Times New Roman" w:cs="Times New Roman"/>
                <w:sz w:val="24"/>
              </w:rPr>
            </w:pPr>
            <w:r>
              <w:rPr>
                <w:rFonts w:hint="default" w:ascii="Times New Roman" w:hAnsi="Times New Roman" w:cs="Times New Roman"/>
                <w:color w:val="auto"/>
                <w:sz w:val="24"/>
                <w:szCs w:val="24"/>
              </w:rPr>
              <w:t>020433</w:t>
            </w:r>
          </w:p>
        </w:tc>
        <w:tc>
          <w:tcPr>
            <w:tcW w:w="1594" w:type="dxa"/>
            <w:tcBorders>
              <w:top w:val="single" w:color="auto" w:sz="4" w:space="0"/>
              <w:left w:val="single" w:color="auto" w:sz="4" w:space="0"/>
              <w:bottom w:val="single" w:color="auto" w:sz="4" w:space="0"/>
              <w:right w:val="single" w:color="auto" w:sz="4" w:space="0"/>
            </w:tcBorders>
            <w:noWrap w:val="0"/>
            <w:vAlign w:val="center"/>
          </w:tcPr>
          <w:p w14:paraId="03B81DA0">
            <w:pPr>
              <w:jc w:val="center"/>
              <w:rPr>
                <w:rFonts w:hint="default" w:ascii="Times New Roman" w:hAnsi="Times New Roman" w:cs="Times New Roman"/>
                <w:sz w:val="24"/>
              </w:rPr>
            </w:pPr>
          </w:p>
        </w:tc>
      </w:tr>
      <w:tr w14:paraId="2FDC1D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1540" w:type="dxa"/>
            <w:vMerge w:val="continue"/>
            <w:tcBorders>
              <w:left w:val="single" w:color="auto" w:sz="4" w:space="0"/>
              <w:right w:val="single" w:color="auto" w:sz="4" w:space="0"/>
            </w:tcBorders>
            <w:noWrap w:val="0"/>
            <w:vAlign w:val="center"/>
          </w:tcPr>
          <w:p w14:paraId="79CD5637">
            <w:pPr>
              <w:jc w:val="center"/>
              <w:rPr>
                <w:rFonts w:hint="default" w:ascii="Times New Roman" w:hAnsi="Times New Roman" w:cs="Times New Roman"/>
                <w:sz w:val="24"/>
              </w:rPr>
            </w:pPr>
          </w:p>
        </w:tc>
        <w:tc>
          <w:tcPr>
            <w:tcW w:w="1140" w:type="dxa"/>
            <w:tcBorders>
              <w:top w:val="single" w:color="auto" w:sz="4" w:space="0"/>
              <w:left w:val="single" w:color="auto" w:sz="4" w:space="0"/>
              <w:bottom w:val="single" w:color="auto" w:sz="4" w:space="0"/>
              <w:right w:val="single" w:color="auto" w:sz="4" w:space="0"/>
            </w:tcBorders>
            <w:noWrap w:val="0"/>
            <w:vAlign w:val="center"/>
          </w:tcPr>
          <w:p w14:paraId="59F99C67">
            <w:pPr>
              <w:adjustRightInd/>
              <w:spacing w:line="440" w:lineRule="exact"/>
              <w:ind w:firstLine="0" w:firstLineChars="0"/>
              <w:jc w:val="center"/>
              <w:rPr>
                <w:rFonts w:hint="default" w:ascii="Times New Roman" w:hAnsi="Times New Roman" w:cs="Times New Roman"/>
                <w:sz w:val="24"/>
              </w:rPr>
            </w:pPr>
            <w:r>
              <w:rPr>
                <w:rFonts w:hint="default" w:ascii="Times New Roman" w:hAnsi="Times New Roman" w:cs="Times New Roman"/>
                <w:color w:val="auto"/>
                <w:sz w:val="24"/>
                <w:szCs w:val="24"/>
              </w:rPr>
              <w:t>王英楠</w:t>
            </w:r>
          </w:p>
        </w:tc>
        <w:tc>
          <w:tcPr>
            <w:tcW w:w="1387" w:type="dxa"/>
            <w:tcBorders>
              <w:top w:val="single" w:color="auto" w:sz="4" w:space="0"/>
              <w:left w:val="single" w:color="auto" w:sz="4" w:space="0"/>
              <w:bottom w:val="single" w:color="auto" w:sz="4" w:space="0"/>
              <w:right w:val="single" w:color="auto" w:sz="4" w:space="0"/>
            </w:tcBorders>
            <w:noWrap w:val="0"/>
            <w:vAlign w:val="center"/>
          </w:tcPr>
          <w:p w14:paraId="777DB3BB">
            <w:pPr>
              <w:adjustRightInd/>
              <w:spacing w:line="440" w:lineRule="exact"/>
              <w:ind w:firstLine="0" w:firstLineChars="0"/>
              <w:jc w:val="center"/>
              <w:rPr>
                <w:rFonts w:hint="default" w:ascii="Times New Roman" w:hAnsi="Times New Roman" w:cs="Times New Roman"/>
                <w:sz w:val="24"/>
              </w:rPr>
            </w:pPr>
            <w:r>
              <w:rPr>
                <w:rFonts w:hint="default" w:ascii="Times New Roman" w:hAnsi="Times New Roman" w:cs="Times New Roman"/>
                <w:color w:val="auto"/>
                <w:sz w:val="24"/>
                <w:szCs w:val="24"/>
              </w:rPr>
              <w:t>地质</w:t>
            </w:r>
          </w:p>
        </w:tc>
        <w:tc>
          <w:tcPr>
            <w:tcW w:w="2434" w:type="dxa"/>
            <w:tcBorders>
              <w:top w:val="single" w:color="auto" w:sz="4" w:space="0"/>
              <w:left w:val="single" w:color="auto" w:sz="4" w:space="0"/>
              <w:bottom w:val="single" w:color="auto" w:sz="4" w:space="0"/>
              <w:right w:val="single" w:color="auto" w:sz="4" w:space="0"/>
            </w:tcBorders>
            <w:noWrap w:val="0"/>
            <w:vAlign w:val="center"/>
          </w:tcPr>
          <w:p w14:paraId="01F299B1">
            <w:pPr>
              <w:adjustRightInd/>
              <w:spacing w:line="440" w:lineRule="exact"/>
              <w:ind w:firstLine="0" w:firstLineChars="0"/>
              <w:jc w:val="center"/>
              <w:rPr>
                <w:rFonts w:hint="default" w:ascii="Times New Roman" w:hAnsi="Times New Roman" w:cs="Times New Roman"/>
                <w:sz w:val="24"/>
              </w:rPr>
            </w:pPr>
            <w:r>
              <w:rPr>
                <w:rFonts w:hint="default" w:ascii="Times New Roman" w:hAnsi="Times New Roman" w:cs="Times New Roman"/>
                <w:color w:val="auto"/>
                <w:sz w:val="24"/>
                <w:szCs w:val="24"/>
              </w:rPr>
              <w:t>1100000000302557</w:t>
            </w:r>
          </w:p>
        </w:tc>
        <w:tc>
          <w:tcPr>
            <w:tcW w:w="1746" w:type="dxa"/>
            <w:tcBorders>
              <w:top w:val="single" w:color="auto" w:sz="4" w:space="0"/>
              <w:left w:val="single" w:color="auto" w:sz="4" w:space="0"/>
              <w:bottom w:val="single" w:color="auto" w:sz="4" w:space="0"/>
              <w:right w:val="single" w:color="auto" w:sz="4" w:space="0"/>
            </w:tcBorders>
            <w:noWrap w:val="0"/>
            <w:vAlign w:val="center"/>
          </w:tcPr>
          <w:p w14:paraId="645C77DD">
            <w:pPr>
              <w:adjustRightInd/>
              <w:spacing w:line="440" w:lineRule="exact"/>
              <w:ind w:firstLine="0" w:firstLineChars="0"/>
              <w:jc w:val="center"/>
              <w:rPr>
                <w:rFonts w:hint="default" w:ascii="Times New Roman" w:hAnsi="Times New Roman" w:cs="Times New Roman"/>
                <w:sz w:val="24"/>
              </w:rPr>
            </w:pPr>
            <w:r>
              <w:rPr>
                <w:rFonts w:hint="default" w:ascii="Times New Roman" w:hAnsi="Times New Roman" w:cs="Times New Roman"/>
                <w:color w:val="auto"/>
                <w:sz w:val="24"/>
                <w:szCs w:val="24"/>
              </w:rPr>
              <w:t>020437</w:t>
            </w:r>
          </w:p>
        </w:tc>
        <w:tc>
          <w:tcPr>
            <w:tcW w:w="1594" w:type="dxa"/>
            <w:tcBorders>
              <w:top w:val="single" w:color="auto" w:sz="4" w:space="0"/>
              <w:left w:val="single" w:color="auto" w:sz="4" w:space="0"/>
              <w:bottom w:val="single" w:color="auto" w:sz="4" w:space="0"/>
              <w:right w:val="single" w:color="auto" w:sz="4" w:space="0"/>
            </w:tcBorders>
            <w:noWrap w:val="0"/>
            <w:vAlign w:val="center"/>
          </w:tcPr>
          <w:p w14:paraId="7EECD649">
            <w:pPr>
              <w:jc w:val="center"/>
              <w:rPr>
                <w:rFonts w:hint="default" w:ascii="Times New Roman" w:hAnsi="Times New Roman" w:cs="Times New Roman"/>
                <w:sz w:val="24"/>
              </w:rPr>
            </w:pPr>
          </w:p>
        </w:tc>
      </w:tr>
      <w:tr w14:paraId="2DBC4B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1540" w:type="dxa"/>
            <w:vMerge w:val="continue"/>
            <w:tcBorders>
              <w:left w:val="single" w:color="auto" w:sz="4" w:space="0"/>
              <w:right w:val="single" w:color="auto" w:sz="4" w:space="0"/>
            </w:tcBorders>
            <w:noWrap w:val="0"/>
            <w:vAlign w:val="center"/>
          </w:tcPr>
          <w:p w14:paraId="11AA2D2C">
            <w:pPr>
              <w:jc w:val="center"/>
              <w:rPr>
                <w:rFonts w:hint="default" w:ascii="Times New Roman" w:hAnsi="Times New Roman" w:cs="Times New Roman"/>
                <w:sz w:val="24"/>
              </w:rPr>
            </w:pPr>
          </w:p>
        </w:tc>
        <w:tc>
          <w:tcPr>
            <w:tcW w:w="1140" w:type="dxa"/>
            <w:tcBorders>
              <w:top w:val="single" w:color="auto" w:sz="4" w:space="0"/>
              <w:left w:val="single" w:color="auto" w:sz="4" w:space="0"/>
              <w:bottom w:val="single" w:color="auto" w:sz="4" w:space="0"/>
              <w:right w:val="single" w:color="auto" w:sz="4" w:space="0"/>
            </w:tcBorders>
            <w:noWrap w:val="0"/>
            <w:vAlign w:val="center"/>
          </w:tcPr>
          <w:p w14:paraId="47164839">
            <w:pPr>
              <w:adjustRightInd/>
              <w:spacing w:line="440" w:lineRule="exact"/>
              <w:ind w:firstLine="0" w:firstLineChars="0"/>
              <w:jc w:val="center"/>
              <w:rPr>
                <w:rFonts w:hint="default" w:ascii="Times New Roman" w:hAnsi="Times New Roman" w:cs="Times New Roman"/>
                <w:sz w:val="24"/>
              </w:rPr>
            </w:pPr>
            <w:r>
              <w:rPr>
                <w:rFonts w:hint="default" w:ascii="Times New Roman" w:hAnsi="Times New Roman" w:cs="Times New Roman"/>
                <w:color w:val="auto"/>
                <w:sz w:val="24"/>
                <w:szCs w:val="24"/>
                <w:lang w:val="en-US" w:eastAsia="zh-CN"/>
              </w:rPr>
              <w:t>于贺苓</w:t>
            </w:r>
          </w:p>
        </w:tc>
        <w:tc>
          <w:tcPr>
            <w:tcW w:w="1387" w:type="dxa"/>
            <w:tcBorders>
              <w:top w:val="single" w:color="auto" w:sz="4" w:space="0"/>
              <w:left w:val="single" w:color="auto" w:sz="4" w:space="0"/>
              <w:bottom w:val="single" w:color="auto" w:sz="4" w:space="0"/>
              <w:right w:val="single" w:color="auto" w:sz="4" w:space="0"/>
            </w:tcBorders>
            <w:noWrap w:val="0"/>
            <w:vAlign w:val="center"/>
          </w:tcPr>
          <w:p w14:paraId="6D5BD972">
            <w:pPr>
              <w:adjustRightInd/>
              <w:spacing w:line="440" w:lineRule="exact"/>
              <w:ind w:firstLine="0" w:firstLineChars="0"/>
              <w:jc w:val="center"/>
              <w:rPr>
                <w:rFonts w:hint="default" w:ascii="Times New Roman" w:hAnsi="Times New Roman" w:cs="Times New Roman"/>
                <w:sz w:val="24"/>
              </w:rPr>
            </w:pPr>
            <w:r>
              <w:rPr>
                <w:rFonts w:hint="default" w:ascii="Times New Roman" w:hAnsi="Times New Roman" w:cs="Times New Roman"/>
                <w:color w:val="auto"/>
                <w:sz w:val="24"/>
                <w:szCs w:val="24"/>
              </w:rPr>
              <w:t>机械</w:t>
            </w:r>
          </w:p>
        </w:tc>
        <w:tc>
          <w:tcPr>
            <w:tcW w:w="2434" w:type="dxa"/>
            <w:tcBorders>
              <w:top w:val="single" w:color="auto" w:sz="4" w:space="0"/>
              <w:left w:val="single" w:color="auto" w:sz="4" w:space="0"/>
              <w:bottom w:val="single" w:color="auto" w:sz="4" w:space="0"/>
              <w:right w:val="single" w:color="auto" w:sz="4" w:space="0"/>
            </w:tcBorders>
            <w:noWrap w:val="0"/>
            <w:vAlign w:val="center"/>
          </w:tcPr>
          <w:p w14:paraId="5FB1B91C">
            <w:pPr>
              <w:keepNext w:val="0"/>
              <w:keepLines w:val="0"/>
              <w:pageBreakBefore w:val="0"/>
              <w:widowControl w:val="0"/>
              <w:kinsoku/>
              <w:wordWrap/>
              <w:overflowPunct/>
              <w:topLinePunct w:val="0"/>
              <w:autoSpaceDE/>
              <w:autoSpaceDN/>
              <w:bidi w:val="0"/>
              <w:adjustRightInd w:val="0"/>
              <w:snapToGrid w:val="0"/>
              <w:spacing w:line="440" w:lineRule="exact"/>
              <w:ind w:firstLine="0" w:firstLineChars="0"/>
              <w:jc w:val="center"/>
              <w:textAlignment w:val="auto"/>
              <w:rPr>
                <w:rFonts w:hint="default" w:ascii="Times New Roman" w:hAnsi="Times New Roman" w:cs="Times New Roman"/>
                <w:sz w:val="24"/>
              </w:rPr>
            </w:pPr>
            <w:r>
              <w:rPr>
                <w:rFonts w:hint="default" w:ascii="Times New Roman" w:hAnsi="Times New Roman" w:eastAsia="宋体" w:cs="Times New Roman"/>
                <w:color w:val="auto"/>
                <w:sz w:val="24"/>
                <w:lang w:val="en-US" w:eastAsia="zh-CN"/>
              </w:rPr>
              <w:t>1500000000302540</w:t>
            </w:r>
          </w:p>
        </w:tc>
        <w:tc>
          <w:tcPr>
            <w:tcW w:w="1746" w:type="dxa"/>
            <w:tcBorders>
              <w:top w:val="single" w:color="auto" w:sz="4" w:space="0"/>
              <w:left w:val="single" w:color="auto" w:sz="4" w:space="0"/>
              <w:bottom w:val="single" w:color="auto" w:sz="4" w:space="0"/>
              <w:right w:val="single" w:color="auto" w:sz="4" w:space="0"/>
            </w:tcBorders>
            <w:noWrap w:val="0"/>
            <w:vAlign w:val="center"/>
          </w:tcPr>
          <w:p w14:paraId="47A448E5">
            <w:pPr>
              <w:keepNext w:val="0"/>
              <w:keepLines w:val="0"/>
              <w:pageBreakBefore w:val="0"/>
              <w:widowControl w:val="0"/>
              <w:kinsoku/>
              <w:wordWrap/>
              <w:overflowPunct/>
              <w:topLinePunct w:val="0"/>
              <w:autoSpaceDE/>
              <w:autoSpaceDN/>
              <w:bidi w:val="0"/>
              <w:adjustRightInd w:val="0"/>
              <w:snapToGrid w:val="0"/>
              <w:spacing w:line="440" w:lineRule="exact"/>
              <w:ind w:firstLine="0" w:firstLineChars="0"/>
              <w:jc w:val="center"/>
              <w:textAlignment w:val="auto"/>
              <w:rPr>
                <w:rFonts w:hint="default" w:ascii="Times New Roman" w:hAnsi="Times New Roman" w:cs="Times New Roman"/>
                <w:sz w:val="24"/>
              </w:rPr>
            </w:pPr>
            <w:r>
              <w:rPr>
                <w:rFonts w:hint="default" w:ascii="Times New Roman" w:hAnsi="Times New Roman" w:cs="Times New Roman"/>
                <w:color w:val="auto"/>
                <w:sz w:val="24"/>
              </w:rPr>
              <w:t>026191</w:t>
            </w:r>
          </w:p>
        </w:tc>
        <w:tc>
          <w:tcPr>
            <w:tcW w:w="1594" w:type="dxa"/>
            <w:tcBorders>
              <w:top w:val="single" w:color="auto" w:sz="4" w:space="0"/>
              <w:left w:val="single" w:color="auto" w:sz="4" w:space="0"/>
              <w:bottom w:val="single" w:color="auto" w:sz="4" w:space="0"/>
              <w:right w:val="single" w:color="auto" w:sz="4" w:space="0"/>
            </w:tcBorders>
            <w:noWrap w:val="0"/>
            <w:vAlign w:val="center"/>
          </w:tcPr>
          <w:p w14:paraId="4913A5C1">
            <w:pPr>
              <w:jc w:val="center"/>
              <w:rPr>
                <w:rFonts w:hint="default" w:ascii="Times New Roman" w:hAnsi="Times New Roman" w:cs="Times New Roman"/>
                <w:sz w:val="24"/>
              </w:rPr>
            </w:pPr>
          </w:p>
        </w:tc>
      </w:tr>
      <w:tr w14:paraId="4B89F2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1540" w:type="dxa"/>
            <w:vMerge w:val="restart"/>
            <w:tcBorders>
              <w:top w:val="single" w:color="auto" w:sz="4" w:space="0"/>
              <w:left w:val="single" w:color="auto" w:sz="4" w:space="0"/>
              <w:right w:val="single" w:color="auto" w:sz="4" w:space="0"/>
            </w:tcBorders>
            <w:noWrap w:val="0"/>
            <w:vAlign w:val="center"/>
          </w:tcPr>
          <w:p w14:paraId="60CFA1D1">
            <w:pPr>
              <w:jc w:val="center"/>
              <w:rPr>
                <w:rFonts w:hint="default" w:ascii="Times New Roman" w:hAnsi="Times New Roman" w:cs="Times New Roman"/>
                <w:sz w:val="24"/>
              </w:rPr>
            </w:pPr>
            <w:r>
              <w:rPr>
                <w:rFonts w:hint="default" w:ascii="Times New Roman" w:hAnsi="Times New Roman" w:cs="Times New Roman"/>
                <w:sz w:val="24"/>
              </w:rPr>
              <w:t>报告编制人</w:t>
            </w:r>
          </w:p>
        </w:tc>
        <w:tc>
          <w:tcPr>
            <w:tcW w:w="1140" w:type="dxa"/>
            <w:tcBorders>
              <w:top w:val="single" w:color="auto" w:sz="4" w:space="0"/>
              <w:left w:val="single" w:color="auto" w:sz="4" w:space="0"/>
              <w:bottom w:val="single" w:color="auto" w:sz="4" w:space="0"/>
              <w:right w:val="single" w:color="auto" w:sz="4" w:space="0"/>
            </w:tcBorders>
            <w:noWrap w:val="0"/>
            <w:vAlign w:val="center"/>
          </w:tcPr>
          <w:p w14:paraId="51C16110">
            <w:pPr>
              <w:adjustRightInd/>
              <w:spacing w:line="440" w:lineRule="exact"/>
              <w:ind w:firstLine="0" w:firstLineChars="0"/>
              <w:jc w:val="center"/>
              <w:rPr>
                <w:rFonts w:hint="default" w:ascii="Times New Roman" w:hAnsi="Times New Roman" w:cs="Times New Roman"/>
                <w:sz w:val="24"/>
              </w:rPr>
            </w:pPr>
            <w:r>
              <w:rPr>
                <w:rFonts w:hint="default" w:ascii="Times New Roman" w:hAnsi="Times New Roman" w:cs="Times New Roman"/>
                <w:color w:val="auto"/>
                <w:sz w:val="24"/>
                <w:szCs w:val="24"/>
              </w:rPr>
              <w:t>杨会明</w:t>
            </w:r>
          </w:p>
        </w:tc>
        <w:tc>
          <w:tcPr>
            <w:tcW w:w="1387" w:type="dxa"/>
            <w:tcBorders>
              <w:top w:val="single" w:color="auto" w:sz="4" w:space="0"/>
              <w:left w:val="single" w:color="auto" w:sz="4" w:space="0"/>
              <w:bottom w:val="single" w:color="auto" w:sz="4" w:space="0"/>
              <w:right w:val="single" w:color="auto" w:sz="4" w:space="0"/>
            </w:tcBorders>
            <w:noWrap w:val="0"/>
            <w:vAlign w:val="center"/>
          </w:tcPr>
          <w:p w14:paraId="266B8B71">
            <w:pPr>
              <w:adjustRightInd/>
              <w:spacing w:line="440" w:lineRule="exact"/>
              <w:ind w:firstLine="0" w:firstLineChars="0"/>
              <w:jc w:val="center"/>
              <w:rPr>
                <w:rFonts w:hint="default" w:ascii="Times New Roman" w:hAnsi="Times New Roman" w:cs="Times New Roman"/>
                <w:sz w:val="24"/>
              </w:rPr>
            </w:pPr>
            <w:r>
              <w:rPr>
                <w:rFonts w:hint="default" w:ascii="Times New Roman" w:hAnsi="Times New Roman" w:cs="Times New Roman"/>
                <w:color w:val="auto"/>
                <w:sz w:val="24"/>
                <w:szCs w:val="24"/>
              </w:rPr>
              <w:t>通风</w:t>
            </w:r>
          </w:p>
        </w:tc>
        <w:tc>
          <w:tcPr>
            <w:tcW w:w="2434" w:type="dxa"/>
            <w:tcBorders>
              <w:top w:val="single" w:color="auto" w:sz="4" w:space="0"/>
              <w:left w:val="single" w:color="auto" w:sz="4" w:space="0"/>
              <w:bottom w:val="single" w:color="auto" w:sz="4" w:space="0"/>
              <w:right w:val="single" w:color="auto" w:sz="4" w:space="0"/>
            </w:tcBorders>
            <w:noWrap w:val="0"/>
            <w:vAlign w:val="center"/>
          </w:tcPr>
          <w:p w14:paraId="456A4A19">
            <w:pPr>
              <w:adjustRightInd/>
              <w:spacing w:line="440" w:lineRule="exact"/>
              <w:ind w:firstLine="0" w:firstLineChars="0"/>
              <w:jc w:val="center"/>
              <w:rPr>
                <w:rFonts w:hint="default" w:ascii="Times New Roman" w:hAnsi="Times New Roman" w:cs="Times New Roman"/>
                <w:sz w:val="24"/>
              </w:rPr>
            </w:pPr>
            <w:r>
              <w:rPr>
                <w:rFonts w:hint="default" w:ascii="Times New Roman" w:hAnsi="Times New Roman" w:cs="Times New Roman"/>
                <w:color w:val="auto"/>
                <w:sz w:val="21"/>
                <w:szCs w:val="24"/>
              </w:rPr>
              <w:fldChar w:fldCharType="begin"/>
            </w:r>
            <w:r>
              <w:rPr>
                <w:rFonts w:hint="default" w:ascii="Times New Roman" w:hAnsi="Times New Roman" w:cs="Times New Roman"/>
                <w:color w:val="auto"/>
                <w:sz w:val="21"/>
                <w:szCs w:val="24"/>
              </w:rPr>
              <w:instrText xml:space="preserve"> HYPERLINK "http://cydj.5anquan.com/Admin/AprySearch/path=/Files/Image/ApryImg/Profession/Edit4239/" \o "http://cydj.5anquan.com/Admin/AprySearch/path=/Files/Image/ApryImg/Profession/Edit4239/" </w:instrText>
            </w:r>
            <w:r>
              <w:rPr>
                <w:rFonts w:hint="default" w:ascii="Times New Roman" w:hAnsi="Times New Roman" w:cs="Times New Roman"/>
                <w:color w:val="auto"/>
                <w:sz w:val="21"/>
                <w:szCs w:val="24"/>
              </w:rPr>
              <w:fldChar w:fldCharType="separate"/>
            </w:r>
            <w:r>
              <w:rPr>
                <w:rFonts w:hint="default" w:ascii="Times New Roman" w:hAnsi="Times New Roman" w:cs="Times New Roman"/>
                <w:color w:val="auto"/>
                <w:sz w:val="24"/>
                <w:szCs w:val="24"/>
              </w:rPr>
              <w:t>S011053000110192003194</w:t>
            </w:r>
            <w:r>
              <w:rPr>
                <w:rFonts w:hint="default" w:ascii="Times New Roman" w:hAnsi="Times New Roman" w:cs="Times New Roman"/>
                <w:color w:val="auto"/>
                <w:sz w:val="24"/>
                <w:szCs w:val="24"/>
              </w:rPr>
              <w:fldChar w:fldCharType="end"/>
            </w:r>
          </w:p>
        </w:tc>
        <w:tc>
          <w:tcPr>
            <w:tcW w:w="1746" w:type="dxa"/>
            <w:tcBorders>
              <w:top w:val="single" w:color="auto" w:sz="4" w:space="0"/>
              <w:left w:val="single" w:color="auto" w:sz="4" w:space="0"/>
              <w:bottom w:val="single" w:color="auto" w:sz="4" w:space="0"/>
              <w:right w:val="single" w:color="auto" w:sz="4" w:space="0"/>
            </w:tcBorders>
            <w:noWrap w:val="0"/>
            <w:vAlign w:val="center"/>
          </w:tcPr>
          <w:p w14:paraId="6D13304D">
            <w:pPr>
              <w:adjustRightInd/>
              <w:spacing w:line="440" w:lineRule="exact"/>
              <w:ind w:firstLine="0" w:firstLineChars="0"/>
              <w:jc w:val="center"/>
              <w:rPr>
                <w:rFonts w:hint="default" w:ascii="Times New Roman" w:hAnsi="Times New Roman" w:cs="Times New Roman"/>
                <w:sz w:val="24"/>
              </w:rPr>
            </w:pPr>
            <w:r>
              <w:rPr>
                <w:rFonts w:hint="default" w:ascii="Times New Roman" w:hAnsi="Times New Roman" w:cs="Times New Roman"/>
                <w:color w:val="auto"/>
                <w:sz w:val="24"/>
                <w:szCs w:val="24"/>
              </w:rPr>
              <w:t>024910</w:t>
            </w:r>
          </w:p>
        </w:tc>
        <w:tc>
          <w:tcPr>
            <w:tcW w:w="1594" w:type="dxa"/>
            <w:tcBorders>
              <w:top w:val="single" w:color="auto" w:sz="4" w:space="0"/>
              <w:left w:val="single" w:color="auto" w:sz="4" w:space="0"/>
              <w:bottom w:val="single" w:color="auto" w:sz="4" w:space="0"/>
              <w:right w:val="single" w:color="auto" w:sz="4" w:space="0"/>
            </w:tcBorders>
            <w:noWrap w:val="0"/>
            <w:vAlign w:val="center"/>
          </w:tcPr>
          <w:p w14:paraId="042B4BF6">
            <w:pPr>
              <w:jc w:val="center"/>
              <w:rPr>
                <w:rFonts w:hint="default" w:ascii="Times New Roman" w:hAnsi="Times New Roman" w:cs="Times New Roman"/>
                <w:sz w:val="24"/>
              </w:rPr>
            </w:pPr>
          </w:p>
        </w:tc>
      </w:tr>
      <w:tr w14:paraId="66EABB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1540" w:type="dxa"/>
            <w:vMerge w:val="continue"/>
            <w:tcBorders>
              <w:left w:val="single" w:color="auto" w:sz="4" w:space="0"/>
              <w:bottom w:val="single" w:color="auto" w:sz="4" w:space="0"/>
              <w:right w:val="single" w:color="auto" w:sz="4" w:space="0"/>
            </w:tcBorders>
            <w:noWrap w:val="0"/>
            <w:vAlign w:val="center"/>
          </w:tcPr>
          <w:p w14:paraId="0591A616">
            <w:pPr>
              <w:jc w:val="center"/>
              <w:rPr>
                <w:rFonts w:hint="default" w:ascii="Times New Roman" w:hAnsi="Times New Roman" w:cs="Times New Roman"/>
                <w:sz w:val="24"/>
              </w:rPr>
            </w:pPr>
          </w:p>
        </w:tc>
        <w:tc>
          <w:tcPr>
            <w:tcW w:w="1140" w:type="dxa"/>
            <w:tcBorders>
              <w:top w:val="single" w:color="auto" w:sz="4" w:space="0"/>
              <w:left w:val="single" w:color="auto" w:sz="4" w:space="0"/>
              <w:bottom w:val="single" w:color="auto" w:sz="4" w:space="0"/>
              <w:right w:val="single" w:color="auto" w:sz="4" w:space="0"/>
            </w:tcBorders>
            <w:noWrap w:val="0"/>
            <w:vAlign w:val="center"/>
          </w:tcPr>
          <w:p w14:paraId="7CD0FB5B">
            <w:pPr>
              <w:adjustRightInd/>
              <w:spacing w:line="440" w:lineRule="exact"/>
              <w:ind w:firstLine="0" w:firstLineChars="0"/>
              <w:jc w:val="center"/>
              <w:rPr>
                <w:rFonts w:hint="default" w:ascii="Times New Roman" w:hAnsi="Times New Roman" w:cs="Times New Roman"/>
                <w:sz w:val="24"/>
              </w:rPr>
            </w:pPr>
            <w:r>
              <w:rPr>
                <w:rFonts w:hint="default" w:ascii="Times New Roman" w:hAnsi="Times New Roman" w:cs="Times New Roman"/>
                <w:color w:val="auto"/>
                <w:sz w:val="24"/>
                <w:szCs w:val="24"/>
              </w:rPr>
              <w:t>安东亮</w:t>
            </w:r>
          </w:p>
        </w:tc>
        <w:tc>
          <w:tcPr>
            <w:tcW w:w="1387" w:type="dxa"/>
            <w:tcBorders>
              <w:top w:val="single" w:color="auto" w:sz="4" w:space="0"/>
              <w:left w:val="single" w:color="auto" w:sz="4" w:space="0"/>
              <w:bottom w:val="single" w:color="auto" w:sz="4" w:space="0"/>
              <w:right w:val="single" w:color="auto" w:sz="4" w:space="0"/>
            </w:tcBorders>
            <w:noWrap w:val="0"/>
            <w:vAlign w:val="center"/>
          </w:tcPr>
          <w:p w14:paraId="4F907E1F">
            <w:pPr>
              <w:adjustRightInd/>
              <w:spacing w:line="440" w:lineRule="exact"/>
              <w:ind w:firstLine="0" w:firstLineChars="0"/>
              <w:jc w:val="center"/>
              <w:rPr>
                <w:rFonts w:hint="default" w:ascii="Times New Roman" w:hAnsi="Times New Roman" w:cs="Times New Roman"/>
                <w:sz w:val="24"/>
              </w:rPr>
            </w:pPr>
            <w:r>
              <w:rPr>
                <w:rFonts w:hint="default" w:ascii="Times New Roman" w:hAnsi="Times New Roman" w:cs="Times New Roman"/>
                <w:color w:val="auto"/>
                <w:sz w:val="24"/>
                <w:szCs w:val="24"/>
              </w:rPr>
              <w:t>采矿</w:t>
            </w:r>
          </w:p>
        </w:tc>
        <w:tc>
          <w:tcPr>
            <w:tcW w:w="2434" w:type="dxa"/>
            <w:tcBorders>
              <w:top w:val="single" w:color="auto" w:sz="4" w:space="0"/>
              <w:left w:val="single" w:color="auto" w:sz="4" w:space="0"/>
              <w:bottom w:val="single" w:color="auto" w:sz="4" w:space="0"/>
              <w:right w:val="single" w:color="auto" w:sz="4" w:space="0"/>
            </w:tcBorders>
            <w:noWrap w:val="0"/>
            <w:vAlign w:val="center"/>
          </w:tcPr>
          <w:p w14:paraId="0A0A4C92">
            <w:pPr>
              <w:adjustRightInd/>
              <w:spacing w:line="440" w:lineRule="exact"/>
              <w:ind w:firstLine="0" w:firstLineChars="0"/>
              <w:jc w:val="center"/>
              <w:rPr>
                <w:rFonts w:hint="default" w:ascii="Times New Roman" w:hAnsi="Times New Roman" w:cs="Times New Roman"/>
                <w:sz w:val="24"/>
              </w:rPr>
            </w:pPr>
            <w:r>
              <w:rPr>
                <w:rFonts w:hint="default" w:ascii="Times New Roman" w:hAnsi="Times New Roman" w:cs="Times New Roman"/>
                <w:color w:val="auto"/>
                <w:sz w:val="24"/>
                <w:szCs w:val="24"/>
              </w:rPr>
              <w:t>S011053000110203001658</w:t>
            </w:r>
          </w:p>
        </w:tc>
        <w:tc>
          <w:tcPr>
            <w:tcW w:w="1746" w:type="dxa"/>
            <w:tcBorders>
              <w:top w:val="single" w:color="auto" w:sz="4" w:space="0"/>
              <w:left w:val="single" w:color="auto" w:sz="4" w:space="0"/>
              <w:bottom w:val="single" w:color="auto" w:sz="4" w:space="0"/>
              <w:right w:val="single" w:color="auto" w:sz="4" w:space="0"/>
            </w:tcBorders>
            <w:noWrap w:val="0"/>
            <w:vAlign w:val="center"/>
          </w:tcPr>
          <w:p w14:paraId="204B7C08">
            <w:pPr>
              <w:adjustRightInd/>
              <w:spacing w:line="440" w:lineRule="exact"/>
              <w:ind w:firstLine="0" w:firstLineChars="0"/>
              <w:jc w:val="center"/>
              <w:rPr>
                <w:rFonts w:hint="default" w:ascii="Times New Roman" w:hAnsi="Times New Roman" w:cs="Times New Roman"/>
                <w:sz w:val="24"/>
              </w:rPr>
            </w:pPr>
            <w:r>
              <w:rPr>
                <w:rFonts w:hint="default" w:ascii="Times New Roman" w:hAnsi="Times New Roman" w:cs="Times New Roman"/>
                <w:color w:val="auto"/>
                <w:sz w:val="24"/>
                <w:szCs w:val="24"/>
              </w:rPr>
              <w:t>042539</w:t>
            </w:r>
          </w:p>
        </w:tc>
        <w:tc>
          <w:tcPr>
            <w:tcW w:w="1594" w:type="dxa"/>
            <w:tcBorders>
              <w:top w:val="single" w:color="auto" w:sz="4" w:space="0"/>
              <w:left w:val="single" w:color="auto" w:sz="4" w:space="0"/>
              <w:bottom w:val="single" w:color="auto" w:sz="4" w:space="0"/>
              <w:right w:val="single" w:color="auto" w:sz="4" w:space="0"/>
            </w:tcBorders>
            <w:noWrap w:val="0"/>
            <w:vAlign w:val="center"/>
          </w:tcPr>
          <w:p w14:paraId="6534B2CE">
            <w:pPr>
              <w:jc w:val="center"/>
              <w:rPr>
                <w:rFonts w:hint="default" w:ascii="Times New Roman" w:hAnsi="Times New Roman" w:cs="Times New Roman"/>
                <w:sz w:val="24"/>
              </w:rPr>
            </w:pPr>
          </w:p>
        </w:tc>
      </w:tr>
      <w:tr w14:paraId="01B013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1540" w:type="dxa"/>
            <w:tcBorders>
              <w:top w:val="single" w:color="auto" w:sz="4" w:space="0"/>
              <w:left w:val="single" w:color="auto" w:sz="4" w:space="0"/>
              <w:bottom w:val="single" w:color="auto" w:sz="4" w:space="0"/>
              <w:right w:val="single" w:color="auto" w:sz="4" w:space="0"/>
            </w:tcBorders>
            <w:noWrap w:val="0"/>
            <w:vAlign w:val="center"/>
          </w:tcPr>
          <w:p w14:paraId="0F9A716D">
            <w:pPr>
              <w:jc w:val="center"/>
              <w:rPr>
                <w:rFonts w:hint="default" w:ascii="Times New Roman" w:hAnsi="Times New Roman" w:cs="Times New Roman"/>
                <w:sz w:val="24"/>
              </w:rPr>
            </w:pPr>
            <w:r>
              <w:rPr>
                <w:rFonts w:hint="default" w:ascii="Times New Roman" w:hAnsi="Times New Roman" w:cs="Times New Roman"/>
                <w:sz w:val="24"/>
              </w:rPr>
              <w:t>报告审核人</w:t>
            </w:r>
          </w:p>
        </w:tc>
        <w:tc>
          <w:tcPr>
            <w:tcW w:w="1140" w:type="dxa"/>
            <w:tcBorders>
              <w:top w:val="single" w:color="auto" w:sz="4" w:space="0"/>
              <w:left w:val="single" w:color="auto" w:sz="4" w:space="0"/>
              <w:bottom w:val="single" w:color="auto" w:sz="4" w:space="0"/>
              <w:right w:val="single" w:color="auto" w:sz="4" w:space="0"/>
            </w:tcBorders>
            <w:noWrap w:val="0"/>
            <w:vAlign w:val="center"/>
          </w:tcPr>
          <w:p w14:paraId="32E1D144">
            <w:pPr>
              <w:adjustRightInd/>
              <w:spacing w:line="440" w:lineRule="exact"/>
              <w:ind w:firstLine="0" w:firstLineChars="0"/>
              <w:jc w:val="center"/>
              <w:rPr>
                <w:rFonts w:hint="default" w:ascii="Times New Roman" w:hAnsi="Times New Roman" w:cs="Times New Roman"/>
                <w:sz w:val="24"/>
              </w:rPr>
            </w:pPr>
            <w:r>
              <w:rPr>
                <w:rFonts w:hint="default" w:ascii="Times New Roman" w:hAnsi="Times New Roman" w:cs="Times New Roman"/>
                <w:color w:val="auto"/>
                <w:sz w:val="24"/>
                <w:szCs w:val="24"/>
              </w:rPr>
              <w:t>李  超</w:t>
            </w:r>
          </w:p>
        </w:tc>
        <w:tc>
          <w:tcPr>
            <w:tcW w:w="1387" w:type="dxa"/>
            <w:tcBorders>
              <w:top w:val="single" w:color="auto" w:sz="4" w:space="0"/>
              <w:left w:val="single" w:color="auto" w:sz="4" w:space="0"/>
              <w:bottom w:val="single" w:color="auto" w:sz="4" w:space="0"/>
              <w:right w:val="single" w:color="auto" w:sz="4" w:space="0"/>
            </w:tcBorders>
            <w:noWrap w:val="0"/>
            <w:vAlign w:val="center"/>
          </w:tcPr>
          <w:p w14:paraId="4FEFDF5A">
            <w:pPr>
              <w:adjustRightInd/>
              <w:spacing w:line="440" w:lineRule="exact"/>
              <w:ind w:firstLine="0" w:firstLineChars="0"/>
              <w:jc w:val="center"/>
              <w:rPr>
                <w:rFonts w:hint="default" w:ascii="Times New Roman" w:hAnsi="Times New Roman" w:cs="Times New Roman"/>
                <w:sz w:val="24"/>
              </w:rPr>
            </w:pPr>
            <w:r>
              <w:rPr>
                <w:rFonts w:hint="default" w:ascii="Times New Roman" w:hAnsi="Times New Roman" w:cs="Times New Roman"/>
                <w:color w:val="auto"/>
                <w:sz w:val="24"/>
                <w:szCs w:val="24"/>
              </w:rPr>
              <w:t>安全</w:t>
            </w:r>
          </w:p>
        </w:tc>
        <w:tc>
          <w:tcPr>
            <w:tcW w:w="2434" w:type="dxa"/>
            <w:tcBorders>
              <w:top w:val="single" w:color="auto" w:sz="4" w:space="0"/>
              <w:left w:val="single" w:color="auto" w:sz="4" w:space="0"/>
              <w:bottom w:val="single" w:color="auto" w:sz="4" w:space="0"/>
              <w:right w:val="single" w:color="auto" w:sz="4" w:space="0"/>
            </w:tcBorders>
            <w:noWrap w:val="0"/>
            <w:vAlign w:val="center"/>
          </w:tcPr>
          <w:p w14:paraId="66E2F33C">
            <w:pPr>
              <w:adjustRightInd/>
              <w:spacing w:line="440" w:lineRule="exact"/>
              <w:ind w:firstLine="0" w:firstLineChars="0"/>
              <w:jc w:val="center"/>
              <w:rPr>
                <w:rFonts w:hint="default" w:ascii="Times New Roman" w:hAnsi="Times New Roman" w:cs="Times New Roman"/>
                <w:sz w:val="24"/>
              </w:rPr>
            </w:pPr>
            <w:r>
              <w:rPr>
                <w:rFonts w:hint="default" w:ascii="Times New Roman" w:hAnsi="Times New Roman" w:cs="Times New Roman"/>
                <w:color w:val="auto"/>
                <w:sz w:val="24"/>
                <w:szCs w:val="24"/>
              </w:rPr>
              <w:t>S011021000110202000521</w:t>
            </w:r>
          </w:p>
        </w:tc>
        <w:tc>
          <w:tcPr>
            <w:tcW w:w="1746" w:type="dxa"/>
            <w:tcBorders>
              <w:top w:val="single" w:color="auto" w:sz="4" w:space="0"/>
              <w:left w:val="single" w:color="auto" w:sz="4" w:space="0"/>
              <w:bottom w:val="single" w:color="auto" w:sz="4" w:space="0"/>
              <w:right w:val="single" w:color="auto" w:sz="4" w:space="0"/>
            </w:tcBorders>
            <w:noWrap w:val="0"/>
            <w:vAlign w:val="center"/>
          </w:tcPr>
          <w:p w14:paraId="45990EE1">
            <w:pPr>
              <w:adjustRightInd/>
              <w:spacing w:line="440" w:lineRule="exact"/>
              <w:ind w:firstLine="0" w:firstLineChars="0"/>
              <w:jc w:val="center"/>
              <w:rPr>
                <w:rFonts w:hint="default" w:ascii="Times New Roman" w:hAnsi="Times New Roman" w:cs="Times New Roman"/>
                <w:sz w:val="24"/>
              </w:rPr>
            </w:pPr>
            <w:r>
              <w:rPr>
                <w:rFonts w:hint="default" w:ascii="Times New Roman" w:hAnsi="Times New Roman" w:cs="Times New Roman"/>
                <w:color w:val="auto"/>
                <w:sz w:val="24"/>
                <w:szCs w:val="24"/>
              </w:rPr>
              <w:t>041289</w:t>
            </w:r>
          </w:p>
        </w:tc>
        <w:tc>
          <w:tcPr>
            <w:tcW w:w="1594" w:type="dxa"/>
            <w:tcBorders>
              <w:top w:val="single" w:color="auto" w:sz="4" w:space="0"/>
              <w:left w:val="single" w:color="auto" w:sz="4" w:space="0"/>
              <w:bottom w:val="single" w:color="auto" w:sz="4" w:space="0"/>
              <w:right w:val="single" w:color="auto" w:sz="4" w:space="0"/>
            </w:tcBorders>
            <w:noWrap w:val="0"/>
            <w:vAlign w:val="center"/>
          </w:tcPr>
          <w:p w14:paraId="56C48154">
            <w:pPr>
              <w:jc w:val="center"/>
              <w:rPr>
                <w:rFonts w:hint="default" w:ascii="Times New Roman" w:hAnsi="Times New Roman" w:cs="Times New Roman"/>
                <w:sz w:val="24"/>
              </w:rPr>
            </w:pPr>
          </w:p>
        </w:tc>
      </w:tr>
      <w:tr w14:paraId="2AD90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1540" w:type="dxa"/>
            <w:tcBorders>
              <w:top w:val="single" w:color="auto" w:sz="4" w:space="0"/>
              <w:left w:val="single" w:color="auto" w:sz="4" w:space="0"/>
              <w:bottom w:val="single" w:color="auto" w:sz="4" w:space="0"/>
              <w:right w:val="single" w:color="auto" w:sz="4" w:space="0"/>
            </w:tcBorders>
            <w:noWrap w:val="0"/>
            <w:vAlign w:val="center"/>
          </w:tcPr>
          <w:p w14:paraId="222F2CE8">
            <w:pPr>
              <w:jc w:val="center"/>
              <w:rPr>
                <w:rFonts w:hint="default" w:ascii="Times New Roman" w:hAnsi="Times New Roman" w:cs="Times New Roman"/>
                <w:sz w:val="24"/>
              </w:rPr>
            </w:pPr>
            <w:r>
              <w:rPr>
                <w:rFonts w:hint="default" w:ascii="Times New Roman" w:hAnsi="Times New Roman" w:cs="Times New Roman"/>
                <w:sz w:val="24"/>
              </w:rPr>
              <w:t>过程控制</w:t>
            </w:r>
          </w:p>
          <w:p w14:paraId="0D9136DD">
            <w:pPr>
              <w:jc w:val="center"/>
              <w:rPr>
                <w:rFonts w:hint="default" w:ascii="Times New Roman" w:hAnsi="Times New Roman" w:cs="Times New Roman"/>
                <w:sz w:val="24"/>
              </w:rPr>
            </w:pPr>
            <w:r>
              <w:rPr>
                <w:rFonts w:hint="default" w:ascii="Times New Roman" w:hAnsi="Times New Roman" w:cs="Times New Roman"/>
                <w:sz w:val="24"/>
              </w:rPr>
              <w:t>负责人</w:t>
            </w:r>
          </w:p>
        </w:tc>
        <w:tc>
          <w:tcPr>
            <w:tcW w:w="1140" w:type="dxa"/>
            <w:tcBorders>
              <w:top w:val="single" w:color="auto" w:sz="4" w:space="0"/>
              <w:left w:val="single" w:color="auto" w:sz="4" w:space="0"/>
              <w:bottom w:val="single" w:color="auto" w:sz="4" w:space="0"/>
              <w:right w:val="single" w:color="auto" w:sz="4" w:space="0"/>
            </w:tcBorders>
            <w:noWrap w:val="0"/>
            <w:vAlign w:val="center"/>
          </w:tcPr>
          <w:p w14:paraId="427BDA55">
            <w:pPr>
              <w:adjustRightInd/>
              <w:spacing w:line="440" w:lineRule="exact"/>
              <w:ind w:firstLine="0" w:firstLineChars="0"/>
              <w:jc w:val="center"/>
              <w:rPr>
                <w:rFonts w:hint="default" w:ascii="Times New Roman" w:hAnsi="Times New Roman" w:cs="Times New Roman"/>
                <w:sz w:val="24"/>
              </w:rPr>
            </w:pPr>
            <w:r>
              <w:rPr>
                <w:rFonts w:hint="default" w:ascii="Times New Roman" w:hAnsi="Times New Roman" w:cs="Times New Roman"/>
                <w:color w:val="auto"/>
                <w:sz w:val="24"/>
                <w:szCs w:val="24"/>
              </w:rPr>
              <w:t>吴家辉</w:t>
            </w:r>
          </w:p>
        </w:tc>
        <w:tc>
          <w:tcPr>
            <w:tcW w:w="1387" w:type="dxa"/>
            <w:tcBorders>
              <w:top w:val="single" w:color="auto" w:sz="4" w:space="0"/>
              <w:left w:val="single" w:color="auto" w:sz="4" w:space="0"/>
              <w:bottom w:val="single" w:color="auto" w:sz="4" w:space="0"/>
              <w:right w:val="single" w:color="auto" w:sz="4" w:space="0"/>
            </w:tcBorders>
            <w:noWrap w:val="0"/>
            <w:vAlign w:val="center"/>
          </w:tcPr>
          <w:p w14:paraId="0952996A">
            <w:pPr>
              <w:adjustRightInd/>
              <w:spacing w:line="440" w:lineRule="exact"/>
              <w:ind w:firstLine="0" w:firstLineChars="0"/>
              <w:jc w:val="center"/>
              <w:rPr>
                <w:rFonts w:hint="default" w:ascii="Times New Roman" w:hAnsi="Times New Roman" w:cs="Times New Roman"/>
                <w:sz w:val="24"/>
              </w:rPr>
            </w:pPr>
            <w:r>
              <w:rPr>
                <w:rFonts w:hint="default" w:ascii="Times New Roman" w:hAnsi="Times New Roman" w:cs="Times New Roman"/>
                <w:color w:val="auto"/>
                <w:sz w:val="24"/>
                <w:szCs w:val="24"/>
              </w:rPr>
              <w:t>/</w:t>
            </w:r>
          </w:p>
        </w:tc>
        <w:tc>
          <w:tcPr>
            <w:tcW w:w="2434" w:type="dxa"/>
            <w:tcBorders>
              <w:top w:val="single" w:color="auto" w:sz="4" w:space="0"/>
              <w:left w:val="single" w:color="auto" w:sz="4" w:space="0"/>
              <w:bottom w:val="single" w:color="auto" w:sz="4" w:space="0"/>
              <w:right w:val="single" w:color="auto" w:sz="4" w:space="0"/>
            </w:tcBorders>
            <w:noWrap w:val="0"/>
            <w:vAlign w:val="center"/>
          </w:tcPr>
          <w:p w14:paraId="56110C75">
            <w:pPr>
              <w:adjustRightInd/>
              <w:spacing w:line="440" w:lineRule="exact"/>
              <w:ind w:firstLine="0" w:firstLineChars="0"/>
              <w:jc w:val="center"/>
              <w:rPr>
                <w:rFonts w:hint="default" w:ascii="Times New Roman" w:hAnsi="Times New Roman" w:cs="Times New Roman"/>
                <w:sz w:val="24"/>
              </w:rPr>
            </w:pPr>
            <w:r>
              <w:rPr>
                <w:rFonts w:hint="default" w:ascii="Times New Roman" w:hAnsi="Times New Roman" w:cs="Times New Roman"/>
                <w:color w:val="auto"/>
                <w:sz w:val="24"/>
                <w:szCs w:val="24"/>
                <w:lang w:val="zh-CN"/>
              </w:rPr>
              <w:t>CAWS210000230300034</w:t>
            </w:r>
          </w:p>
        </w:tc>
        <w:tc>
          <w:tcPr>
            <w:tcW w:w="1746" w:type="dxa"/>
            <w:tcBorders>
              <w:top w:val="single" w:color="auto" w:sz="4" w:space="0"/>
              <w:left w:val="single" w:color="auto" w:sz="4" w:space="0"/>
              <w:bottom w:val="single" w:color="auto" w:sz="4" w:space="0"/>
              <w:right w:val="single" w:color="auto" w:sz="4" w:space="0"/>
            </w:tcBorders>
            <w:noWrap w:val="0"/>
            <w:vAlign w:val="center"/>
          </w:tcPr>
          <w:p w14:paraId="7FD65850">
            <w:pPr>
              <w:adjustRightInd/>
              <w:spacing w:line="440" w:lineRule="exact"/>
              <w:ind w:firstLine="0" w:firstLineChars="0"/>
              <w:jc w:val="center"/>
              <w:rPr>
                <w:rFonts w:hint="default" w:ascii="Times New Roman" w:hAnsi="Times New Roman" w:cs="Times New Roman"/>
                <w:sz w:val="24"/>
              </w:rPr>
            </w:pPr>
            <w:r>
              <w:rPr>
                <w:rFonts w:hint="default" w:ascii="Times New Roman" w:hAnsi="Times New Roman" w:cs="Times New Roman"/>
                <w:color w:val="auto"/>
                <w:sz w:val="24"/>
                <w:szCs w:val="24"/>
              </w:rPr>
              <w:t>043015</w:t>
            </w:r>
          </w:p>
        </w:tc>
        <w:tc>
          <w:tcPr>
            <w:tcW w:w="1594" w:type="dxa"/>
            <w:tcBorders>
              <w:top w:val="single" w:color="auto" w:sz="4" w:space="0"/>
              <w:left w:val="single" w:color="auto" w:sz="4" w:space="0"/>
              <w:bottom w:val="single" w:color="auto" w:sz="4" w:space="0"/>
              <w:right w:val="single" w:color="auto" w:sz="4" w:space="0"/>
            </w:tcBorders>
            <w:noWrap w:val="0"/>
            <w:vAlign w:val="center"/>
          </w:tcPr>
          <w:p w14:paraId="410817C0">
            <w:pPr>
              <w:jc w:val="center"/>
              <w:rPr>
                <w:rFonts w:hint="default" w:ascii="Times New Roman" w:hAnsi="Times New Roman" w:cs="Times New Roman"/>
                <w:sz w:val="24"/>
              </w:rPr>
            </w:pPr>
          </w:p>
        </w:tc>
      </w:tr>
      <w:tr w14:paraId="552AFE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1540" w:type="dxa"/>
            <w:tcBorders>
              <w:top w:val="single" w:color="auto" w:sz="4" w:space="0"/>
              <w:left w:val="single" w:color="auto" w:sz="4" w:space="0"/>
              <w:bottom w:val="single" w:color="auto" w:sz="4" w:space="0"/>
              <w:right w:val="single" w:color="auto" w:sz="4" w:space="0"/>
            </w:tcBorders>
            <w:noWrap w:val="0"/>
            <w:vAlign w:val="center"/>
          </w:tcPr>
          <w:p w14:paraId="732FEEEE">
            <w:pPr>
              <w:jc w:val="center"/>
              <w:rPr>
                <w:rFonts w:hint="default" w:ascii="Times New Roman" w:hAnsi="Times New Roman" w:cs="Times New Roman"/>
                <w:sz w:val="24"/>
              </w:rPr>
            </w:pPr>
            <w:r>
              <w:rPr>
                <w:rFonts w:hint="default" w:ascii="Times New Roman" w:hAnsi="Times New Roman" w:cs="Times New Roman"/>
                <w:sz w:val="24"/>
              </w:rPr>
              <w:t>技术负责人</w:t>
            </w:r>
          </w:p>
        </w:tc>
        <w:tc>
          <w:tcPr>
            <w:tcW w:w="1140" w:type="dxa"/>
            <w:tcBorders>
              <w:top w:val="single" w:color="auto" w:sz="4" w:space="0"/>
              <w:left w:val="single" w:color="auto" w:sz="4" w:space="0"/>
              <w:bottom w:val="single" w:color="auto" w:sz="4" w:space="0"/>
              <w:right w:val="single" w:color="auto" w:sz="4" w:space="0"/>
            </w:tcBorders>
            <w:noWrap w:val="0"/>
            <w:vAlign w:val="center"/>
          </w:tcPr>
          <w:p w14:paraId="681F0606">
            <w:pPr>
              <w:adjustRightInd/>
              <w:spacing w:line="440" w:lineRule="exact"/>
              <w:ind w:firstLine="0" w:firstLineChars="0"/>
              <w:jc w:val="center"/>
              <w:rPr>
                <w:rFonts w:hint="default" w:ascii="Times New Roman" w:hAnsi="Times New Roman" w:cs="Times New Roman"/>
                <w:sz w:val="24"/>
              </w:rPr>
            </w:pPr>
            <w:r>
              <w:rPr>
                <w:rFonts w:hint="default" w:ascii="Times New Roman" w:hAnsi="Times New Roman" w:cs="Times New Roman"/>
                <w:color w:val="auto"/>
                <w:sz w:val="24"/>
                <w:szCs w:val="24"/>
                <w:lang w:val="en-US" w:eastAsia="zh-CN"/>
              </w:rPr>
              <w:t>张廷辉</w:t>
            </w:r>
          </w:p>
        </w:tc>
        <w:tc>
          <w:tcPr>
            <w:tcW w:w="1387" w:type="dxa"/>
            <w:tcBorders>
              <w:top w:val="single" w:color="auto" w:sz="4" w:space="0"/>
              <w:left w:val="single" w:color="auto" w:sz="4" w:space="0"/>
              <w:bottom w:val="single" w:color="auto" w:sz="4" w:space="0"/>
              <w:right w:val="single" w:color="auto" w:sz="4" w:space="0"/>
            </w:tcBorders>
            <w:noWrap w:val="0"/>
            <w:vAlign w:val="center"/>
          </w:tcPr>
          <w:p w14:paraId="630EA7B3">
            <w:pPr>
              <w:adjustRightInd/>
              <w:spacing w:line="440" w:lineRule="exact"/>
              <w:ind w:firstLine="0" w:firstLineChars="0"/>
              <w:jc w:val="center"/>
              <w:rPr>
                <w:rFonts w:hint="default" w:ascii="Times New Roman" w:hAnsi="Times New Roman" w:cs="Times New Roman"/>
                <w:sz w:val="24"/>
              </w:rPr>
            </w:pPr>
            <w:r>
              <w:rPr>
                <w:rFonts w:hint="default" w:ascii="Times New Roman" w:hAnsi="Times New Roman" w:cs="Times New Roman"/>
                <w:color w:val="auto"/>
                <w:sz w:val="24"/>
                <w:szCs w:val="24"/>
                <w:lang w:val="en-US" w:eastAsia="zh-CN"/>
              </w:rPr>
              <w:t>安全</w:t>
            </w:r>
          </w:p>
        </w:tc>
        <w:tc>
          <w:tcPr>
            <w:tcW w:w="2434" w:type="dxa"/>
            <w:tcBorders>
              <w:top w:val="single" w:color="auto" w:sz="4" w:space="0"/>
              <w:left w:val="single" w:color="auto" w:sz="4" w:space="0"/>
              <w:bottom w:val="single" w:color="auto" w:sz="4" w:space="0"/>
              <w:right w:val="single" w:color="auto" w:sz="4" w:space="0"/>
            </w:tcBorders>
            <w:noWrap w:val="0"/>
            <w:vAlign w:val="center"/>
          </w:tcPr>
          <w:p w14:paraId="34C68A94">
            <w:pPr>
              <w:adjustRightInd/>
              <w:spacing w:line="440" w:lineRule="exact"/>
              <w:ind w:firstLine="0" w:firstLineChars="0"/>
              <w:jc w:val="center"/>
              <w:rPr>
                <w:rFonts w:hint="default" w:ascii="Times New Roman" w:hAnsi="Times New Roman" w:cs="Times New Roman"/>
                <w:sz w:val="24"/>
              </w:rPr>
            </w:pPr>
            <w:r>
              <w:rPr>
                <w:rFonts w:hint="default" w:ascii="Times New Roman" w:hAnsi="Times New Roman" w:cs="Times New Roman"/>
                <w:color w:val="auto"/>
                <w:sz w:val="24"/>
                <w:szCs w:val="24"/>
                <w:lang w:val="en-US" w:eastAsia="zh-CN"/>
              </w:rPr>
              <w:t>1200000000100119</w:t>
            </w:r>
          </w:p>
        </w:tc>
        <w:tc>
          <w:tcPr>
            <w:tcW w:w="1746" w:type="dxa"/>
            <w:tcBorders>
              <w:top w:val="single" w:color="auto" w:sz="4" w:space="0"/>
              <w:left w:val="single" w:color="auto" w:sz="4" w:space="0"/>
              <w:bottom w:val="single" w:color="auto" w:sz="4" w:space="0"/>
              <w:right w:val="single" w:color="auto" w:sz="4" w:space="0"/>
            </w:tcBorders>
            <w:noWrap w:val="0"/>
            <w:vAlign w:val="center"/>
          </w:tcPr>
          <w:p w14:paraId="666594D7">
            <w:pPr>
              <w:adjustRightInd/>
              <w:spacing w:line="440" w:lineRule="exact"/>
              <w:ind w:firstLine="0" w:firstLineChars="0"/>
              <w:jc w:val="center"/>
              <w:rPr>
                <w:rFonts w:hint="default" w:ascii="Times New Roman" w:hAnsi="Times New Roman" w:cs="Times New Roman"/>
                <w:sz w:val="24"/>
              </w:rPr>
            </w:pPr>
            <w:r>
              <w:rPr>
                <w:rFonts w:hint="default" w:ascii="Times New Roman" w:hAnsi="Times New Roman" w:cs="Times New Roman"/>
                <w:color w:val="auto"/>
                <w:sz w:val="24"/>
                <w:szCs w:val="24"/>
                <w:lang w:val="en-US" w:eastAsia="zh-CN"/>
              </w:rPr>
              <w:t>009798</w:t>
            </w:r>
          </w:p>
        </w:tc>
        <w:tc>
          <w:tcPr>
            <w:tcW w:w="1594" w:type="dxa"/>
            <w:tcBorders>
              <w:top w:val="single" w:color="auto" w:sz="4" w:space="0"/>
              <w:left w:val="single" w:color="auto" w:sz="4" w:space="0"/>
              <w:bottom w:val="single" w:color="auto" w:sz="4" w:space="0"/>
              <w:right w:val="single" w:color="auto" w:sz="4" w:space="0"/>
            </w:tcBorders>
            <w:noWrap w:val="0"/>
            <w:vAlign w:val="center"/>
          </w:tcPr>
          <w:p w14:paraId="2B944D35">
            <w:pPr>
              <w:jc w:val="center"/>
              <w:rPr>
                <w:rFonts w:hint="default" w:ascii="Times New Roman" w:hAnsi="Times New Roman" w:cs="Times New Roman"/>
                <w:sz w:val="24"/>
              </w:rPr>
            </w:pPr>
          </w:p>
        </w:tc>
      </w:tr>
    </w:tbl>
    <w:p w14:paraId="2F943C7C">
      <w:pPr>
        <w:pStyle w:val="47"/>
        <w:rPr>
          <w:rFonts w:hint="default" w:ascii="Times New Roman" w:hAnsi="Times New Roman" w:cs="Times New Roman"/>
          <w:color w:val="auto"/>
        </w:rPr>
      </w:pPr>
    </w:p>
    <w:p w14:paraId="440F9DAB">
      <w:pPr>
        <w:pStyle w:val="47"/>
        <w:rPr>
          <w:rFonts w:hint="default" w:ascii="Times New Roman" w:hAnsi="Times New Roman" w:cs="Times New Roman"/>
          <w:color w:val="auto"/>
        </w:rPr>
        <w:sectPr>
          <w:pgSz w:w="11905" w:h="16838"/>
          <w:pgMar w:top="1418" w:right="1134" w:bottom="1134" w:left="1588" w:header="850" w:footer="992" w:gutter="0"/>
          <w:pgNumType w:fmt="numberInDash" w:start="1"/>
          <w:cols w:space="720" w:num="1"/>
          <w:titlePg/>
          <w:docGrid w:linePitch="332" w:charSpace="0"/>
        </w:sectPr>
      </w:pPr>
    </w:p>
    <w:bookmarkEnd w:id="1"/>
    <w:bookmarkEnd w:id="2"/>
    <w:bookmarkEnd w:id="3"/>
    <w:bookmarkEnd w:id="4"/>
    <w:bookmarkEnd w:id="5"/>
    <w:bookmarkEnd w:id="6"/>
    <w:bookmarkEnd w:id="7"/>
    <w:bookmarkEnd w:id="8"/>
    <w:bookmarkEnd w:id="9"/>
    <w:bookmarkEnd w:id="10"/>
    <w:bookmarkEnd w:id="11"/>
    <w:bookmarkEnd w:id="12"/>
    <w:p w14:paraId="49D48F5D">
      <w:pPr>
        <w:keepLines/>
        <w:spacing w:line="480" w:lineRule="auto"/>
        <w:jc w:val="center"/>
        <w:rPr>
          <w:rFonts w:hint="default" w:ascii="Times New Roman" w:hAnsi="Times New Roman" w:eastAsia="黑体" w:cs="Times New Roman"/>
          <w:b/>
          <w:kern w:val="44"/>
          <w:sz w:val="32"/>
          <w:szCs w:val="44"/>
        </w:rPr>
      </w:pPr>
      <w:bookmarkStart w:id="14" w:name="_Toc10926"/>
      <w:bookmarkStart w:id="15" w:name="_Toc16238649"/>
      <w:r>
        <w:rPr>
          <w:rFonts w:hint="default" w:ascii="Times New Roman" w:hAnsi="Times New Roman" w:eastAsia="黑体" w:cs="Times New Roman"/>
          <w:b/>
          <w:kern w:val="44"/>
          <w:sz w:val="32"/>
          <w:szCs w:val="44"/>
        </w:rPr>
        <w:t>前  言</w:t>
      </w:r>
      <w:bookmarkEnd w:id="14"/>
      <w:bookmarkEnd w:id="15"/>
    </w:p>
    <w:p w14:paraId="66CC00C6">
      <w:pPr>
        <w:adjustRightInd w:val="0"/>
        <w:snapToGrid w:val="0"/>
        <w:spacing w:line="360" w:lineRule="auto"/>
        <w:ind w:firstLine="560" w:firstLineChars="200"/>
        <w:rPr>
          <w:rFonts w:hint="default" w:ascii="Times New Roman" w:hAnsi="Times New Roman" w:cs="Times New Roman"/>
          <w:sz w:val="28"/>
          <w:szCs w:val="28"/>
          <w:lang w:eastAsia="zh-CN"/>
        </w:rPr>
      </w:pPr>
      <w:bookmarkStart w:id="16" w:name="_Hlk136615084"/>
      <w:r>
        <w:rPr>
          <w:rFonts w:hint="default" w:ascii="Times New Roman" w:hAnsi="Times New Roman" w:cs="Times New Roman"/>
          <w:sz w:val="28"/>
          <w:szCs w:val="28"/>
          <w:lang w:val="en-US" w:eastAsia="zh-CN" w:bidi="en-US"/>
        </w:rPr>
        <w:t>弥勒市瑞垠矿业有限公司</w:t>
      </w:r>
      <w:r>
        <w:rPr>
          <w:rFonts w:hint="default" w:ascii="Times New Roman" w:hAnsi="Times New Roman" w:cs="Times New Roman"/>
          <w:sz w:val="28"/>
          <w:szCs w:val="28"/>
          <w:lang w:eastAsia="zh-CN" w:bidi="en-US"/>
        </w:rPr>
        <w:t>弥勒市小沙冲砂场</w:t>
      </w:r>
      <w:r>
        <w:rPr>
          <w:rFonts w:hint="default" w:ascii="Times New Roman" w:hAnsi="Times New Roman" w:cs="Times New Roman"/>
          <w:sz w:val="28"/>
          <w:szCs w:val="28"/>
          <w:lang w:val="en-US" w:eastAsia="zh-CN" w:bidi="en-US"/>
        </w:rPr>
        <w:t>采矿权人为弥勒市瑞垠矿业有限公司，弥勒市瑞垠矿业有限公司</w:t>
      </w:r>
      <w:r>
        <w:rPr>
          <w:rFonts w:hint="default" w:ascii="Times New Roman" w:hAnsi="Times New Roman" w:cs="Times New Roman"/>
          <w:sz w:val="28"/>
          <w:szCs w:val="28"/>
        </w:rPr>
        <w:t>成立于</w:t>
      </w:r>
      <w:r>
        <w:rPr>
          <w:rFonts w:hint="default" w:ascii="Times New Roman" w:hAnsi="Times New Roman" w:cs="Times New Roman"/>
          <w:sz w:val="28"/>
        </w:rPr>
        <w:t>201</w:t>
      </w:r>
      <w:r>
        <w:rPr>
          <w:rFonts w:hint="default" w:ascii="Times New Roman" w:hAnsi="Times New Roman" w:cs="Times New Roman"/>
          <w:sz w:val="28"/>
          <w:lang w:val="en-US" w:eastAsia="zh-CN"/>
        </w:rPr>
        <w:t>3</w:t>
      </w:r>
      <w:r>
        <w:rPr>
          <w:rFonts w:hint="default" w:ascii="Times New Roman" w:hAnsi="Times New Roman" w:cs="Times New Roman"/>
          <w:sz w:val="28"/>
        </w:rPr>
        <w:t>年</w:t>
      </w:r>
      <w:r>
        <w:rPr>
          <w:rFonts w:hint="default" w:ascii="Times New Roman" w:hAnsi="Times New Roman" w:cs="Times New Roman"/>
          <w:sz w:val="28"/>
          <w:lang w:val="en-US" w:eastAsia="zh-CN"/>
        </w:rPr>
        <w:t>12</w:t>
      </w:r>
      <w:r>
        <w:rPr>
          <w:rFonts w:hint="default" w:ascii="Times New Roman" w:hAnsi="Times New Roman" w:cs="Times New Roman"/>
          <w:sz w:val="28"/>
        </w:rPr>
        <w:t>月0</w:t>
      </w:r>
      <w:r>
        <w:rPr>
          <w:rFonts w:hint="default" w:ascii="Times New Roman" w:hAnsi="Times New Roman" w:cs="Times New Roman"/>
          <w:sz w:val="28"/>
          <w:lang w:val="en-US" w:eastAsia="zh-CN"/>
        </w:rPr>
        <w:t>4</w:t>
      </w:r>
      <w:r>
        <w:rPr>
          <w:rFonts w:hint="default" w:ascii="Times New Roman" w:hAnsi="Times New Roman" w:cs="Times New Roman"/>
          <w:sz w:val="28"/>
        </w:rPr>
        <w:t>日</w:t>
      </w:r>
      <w:r>
        <w:rPr>
          <w:rFonts w:hint="default" w:ascii="Times New Roman" w:hAnsi="Times New Roman" w:cs="Times New Roman"/>
          <w:sz w:val="28"/>
          <w:szCs w:val="28"/>
        </w:rPr>
        <w:t>，统一社会信用代码为91532526083297507C</w:t>
      </w:r>
      <w:r>
        <w:rPr>
          <w:rFonts w:hint="default" w:ascii="Times New Roman" w:hAnsi="Times New Roman" w:cs="Times New Roman"/>
          <w:sz w:val="28"/>
          <w:szCs w:val="28"/>
          <w:lang w:eastAsia="zh-CN"/>
        </w:rPr>
        <w:t>，</w:t>
      </w:r>
      <w:r>
        <w:rPr>
          <w:rFonts w:hint="default" w:ascii="Times New Roman" w:hAnsi="Times New Roman" w:cs="Times New Roman"/>
          <w:sz w:val="28"/>
          <w:szCs w:val="28"/>
          <w:lang w:val="en-US" w:eastAsia="zh-CN"/>
        </w:rPr>
        <w:t>类型为有限责任公司（自然人投资或控股）</w:t>
      </w:r>
      <w:r>
        <w:rPr>
          <w:rFonts w:hint="default" w:ascii="Times New Roman" w:hAnsi="Times New Roman" w:cs="Times New Roman"/>
          <w:sz w:val="28"/>
          <w:szCs w:val="28"/>
        </w:rPr>
        <w:t>，法定代表人</w:t>
      </w:r>
      <w:r>
        <w:rPr>
          <w:rFonts w:hint="default" w:ascii="Times New Roman" w:hAnsi="Times New Roman" w:cs="Times New Roman"/>
          <w:sz w:val="28"/>
          <w:szCs w:val="28"/>
          <w:lang w:eastAsia="zh-CN"/>
        </w:rPr>
        <w:t>：</w:t>
      </w:r>
      <w:r>
        <w:rPr>
          <w:rFonts w:hint="default" w:ascii="Times New Roman" w:hAnsi="Times New Roman" w:cs="Times New Roman"/>
          <w:sz w:val="28"/>
          <w:lang w:val="en-US" w:eastAsia="zh-CN"/>
        </w:rPr>
        <w:t>王学强</w:t>
      </w:r>
      <w:r>
        <w:rPr>
          <w:rFonts w:hint="default" w:ascii="Times New Roman" w:hAnsi="Times New Roman" w:cs="Times New Roman"/>
          <w:sz w:val="28"/>
          <w:szCs w:val="28"/>
        </w:rPr>
        <w:t>，住所：云南省红河哈尼族彝族自治州弥勒市新哨镇猴街村委会小沙冲村。经营范围：</w:t>
      </w:r>
      <w:r>
        <w:rPr>
          <w:rFonts w:hint="default" w:ascii="Times New Roman" w:hAnsi="Times New Roman" w:cs="Times New Roman"/>
          <w:sz w:val="28"/>
          <w:szCs w:val="28"/>
          <w:lang w:val="en-US" w:eastAsia="zh-CN"/>
        </w:rPr>
        <w:t>建筑用砂开采、加工、销售</w:t>
      </w:r>
      <w:r>
        <w:rPr>
          <w:rFonts w:hint="default" w:ascii="Times New Roman" w:hAnsi="Times New Roman" w:cs="Times New Roman"/>
          <w:sz w:val="28"/>
          <w:szCs w:val="28"/>
        </w:rPr>
        <w:t>。（依法须经批准的项目，经相关部门批准后方可开展经营活动）</w:t>
      </w:r>
      <w:r>
        <w:rPr>
          <w:rFonts w:hint="default" w:ascii="Times New Roman" w:hAnsi="Times New Roman" w:cs="Times New Roman"/>
          <w:sz w:val="28"/>
          <w:szCs w:val="28"/>
          <w:lang w:eastAsia="zh-CN"/>
        </w:rPr>
        <w:t>。</w:t>
      </w:r>
    </w:p>
    <w:p w14:paraId="2FC11A8C">
      <w:pPr>
        <w:adjustRightInd w:val="0"/>
        <w:snapToGrid w:val="0"/>
        <w:spacing w:line="360" w:lineRule="auto"/>
        <w:ind w:firstLine="560" w:firstLineChars="200"/>
        <w:rPr>
          <w:rFonts w:hint="default" w:ascii="Times New Roman" w:hAnsi="Times New Roman" w:cs="Times New Roman"/>
          <w:sz w:val="28"/>
          <w:szCs w:val="28"/>
          <w:lang w:eastAsia="zh-CN" w:bidi="en-US"/>
        </w:rPr>
      </w:pPr>
      <w:r>
        <w:rPr>
          <w:rFonts w:hint="default" w:ascii="Times New Roman" w:hAnsi="Times New Roman" w:cs="Times New Roman"/>
          <w:sz w:val="28"/>
          <w:szCs w:val="28"/>
          <w:lang w:val="en-US" w:eastAsia="zh-CN" w:bidi="en-US"/>
        </w:rPr>
        <w:t>该矿山矿权首次设立时间为2006年，</w:t>
      </w:r>
      <w:r>
        <w:rPr>
          <w:rFonts w:hint="default" w:ascii="Times New Roman" w:hAnsi="Times New Roman" w:cs="Times New Roman" w:eastAsiaTheme="minorEastAsia"/>
          <w:color w:val="auto"/>
          <w:sz w:val="28"/>
          <w:szCs w:val="28"/>
          <w:lang w:val="en-US"/>
        </w:rPr>
        <w:t>采矿权人以无偿出让方式从弥勒市国土资源局取得小沙冲砂场采矿许可证</w:t>
      </w:r>
      <w:r>
        <w:rPr>
          <w:rFonts w:hint="default" w:ascii="Times New Roman" w:hAnsi="Times New Roman" w:cs="Times New Roman" w:eastAsiaTheme="minorEastAsia"/>
          <w:color w:val="auto"/>
          <w:sz w:val="28"/>
          <w:szCs w:val="28"/>
          <w:lang w:val="en-US" w:eastAsia="zh-CN"/>
        </w:rPr>
        <w:t>，</w:t>
      </w:r>
      <w:r>
        <w:rPr>
          <w:rFonts w:hint="default" w:ascii="Times New Roman" w:hAnsi="Times New Roman" w:cs="Times New Roman"/>
          <w:sz w:val="28"/>
          <w:szCs w:val="28"/>
          <w:lang w:val="en-US" w:eastAsia="zh-CN" w:bidi="en-US"/>
        </w:rPr>
        <w:t>分别在2011年、2016年、2018年多次延续矿权</w:t>
      </w:r>
      <w:r>
        <w:rPr>
          <w:rFonts w:hint="default" w:ascii="Times New Roman" w:hAnsi="Times New Roman" w:cs="Times New Roman"/>
          <w:sz w:val="28"/>
          <w:szCs w:val="28"/>
          <w:lang w:eastAsia="zh-CN" w:bidi="en-US"/>
        </w:rPr>
        <w:t>，</w:t>
      </w:r>
      <w:r>
        <w:rPr>
          <w:rFonts w:hint="default" w:ascii="Times New Roman" w:hAnsi="Times New Roman" w:cs="Times New Roman"/>
          <w:sz w:val="28"/>
          <w:szCs w:val="28"/>
          <w:lang w:bidi="en-US"/>
        </w:rPr>
        <w:t>最近一次矿山开采设计在2021年委托昆明坤泽矿业技术有限责任公司编制的《弥勒市瑞垠矿业有限公司弥勒市小沙冲砂场5.55万立方米/年露天采矿工程初步设计（代可研）》及《弥勒市瑞垠矿业有限公司弥勒市小沙冲砂场5.55万立方米/年露天采矿工程安全设施设计》</w:t>
      </w:r>
      <w:r>
        <w:rPr>
          <w:rFonts w:hint="default" w:ascii="Times New Roman" w:hAnsi="Times New Roman" w:cs="Times New Roman"/>
          <w:sz w:val="28"/>
          <w:szCs w:val="28"/>
          <w:lang w:eastAsia="zh-CN" w:bidi="en-US"/>
        </w:rPr>
        <w:t>。</w:t>
      </w:r>
    </w:p>
    <w:p w14:paraId="1075851D">
      <w:pPr>
        <w:adjustRightInd w:val="0"/>
        <w:snapToGrid w:val="0"/>
        <w:spacing w:line="360" w:lineRule="auto"/>
        <w:ind w:firstLine="560" w:firstLineChars="200"/>
        <w:rPr>
          <w:rFonts w:hint="default" w:ascii="Times New Roman" w:hAnsi="Times New Roman" w:eastAsia="宋体" w:cs="Times New Roman"/>
          <w:sz w:val="28"/>
          <w:szCs w:val="28"/>
          <w:lang w:val="en-US" w:eastAsia="zh-CN" w:bidi="en-US"/>
        </w:rPr>
      </w:pPr>
      <w:r>
        <w:rPr>
          <w:rFonts w:hint="default" w:ascii="Times New Roman" w:hAnsi="Times New Roman" w:cs="Times New Roman"/>
          <w:sz w:val="28"/>
          <w:szCs w:val="28"/>
          <w:lang w:bidi="en-US"/>
        </w:rPr>
        <w:t>根据</w:t>
      </w:r>
      <w:r>
        <w:rPr>
          <w:rFonts w:hint="eastAsia" w:cs="Times New Roman"/>
          <w:sz w:val="28"/>
          <w:szCs w:val="28"/>
          <w:lang w:eastAsia="zh-CN" w:bidi="en-US"/>
        </w:rPr>
        <w:t>《</w:t>
      </w:r>
      <w:r>
        <w:rPr>
          <w:rFonts w:hint="default" w:ascii="Times New Roman" w:hAnsi="Times New Roman" w:cs="Times New Roman"/>
          <w:sz w:val="28"/>
          <w:szCs w:val="28"/>
          <w:lang w:bidi="en-US"/>
        </w:rPr>
        <w:t>红河州人民政府关于同意弥勒市2024年非煤矿山转型升级“四个一批”名单的批复</w:t>
      </w:r>
      <w:r>
        <w:rPr>
          <w:rFonts w:hint="eastAsia" w:cs="Times New Roman"/>
          <w:sz w:val="28"/>
          <w:szCs w:val="28"/>
          <w:lang w:eastAsia="zh-CN" w:bidi="en-US"/>
        </w:rPr>
        <w:t>》（红政复〔2024〕50号），弥勒市瑞垠矿业有限公司弥勒市小沙冲砂场</w:t>
      </w:r>
      <w:r>
        <w:rPr>
          <w:rFonts w:hint="eastAsia" w:cs="Times New Roman"/>
          <w:sz w:val="28"/>
          <w:szCs w:val="28"/>
          <w:lang w:val="en-US" w:eastAsia="zh-CN" w:bidi="en-US"/>
        </w:rPr>
        <w:t>划分为改造升级矿山，且</w:t>
      </w:r>
      <w:r>
        <w:rPr>
          <w:rFonts w:hint="default" w:ascii="Times New Roman" w:hAnsi="Times New Roman" w:cs="Times New Roman"/>
          <w:sz w:val="28"/>
          <w:szCs w:val="28"/>
          <w:lang w:bidi="en-US"/>
        </w:rPr>
        <w:t>矿山目前的生产规模不能满足企业发展，因此</w:t>
      </w:r>
      <w:r>
        <w:rPr>
          <w:rFonts w:hint="default" w:ascii="Times New Roman" w:hAnsi="Times New Roman" w:cs="Times New Roman"/>
          <w:sz w:val="28"/>
          <w:szCs w:val="28"/>
          <w:lang w:eastAsia="zh-CN" w:bidi="en-US"/>
        </w:rPr>
        <w:t>，</w:t>
      </w:r>
      <w:r>
        <w:rPr>
          <w:rFonts w:hint="default" w:ascii="Times New Roman" w:hAnsi="Times New Roman" w:cs="Times New Roman"/>
          <w:sz w:val="28"/>
          <w:szCs w:val="28"/>
          <w:lang w:val="en-US" w:eastAsia="zh-CN" w:bidi="en-US"/>
        </w:rPr>
        <w:t>采矿权人申请将矿山生产规模由原5.55万m</w:t>
      </w:r>
      <w:r>
        <w:rPr>
          <w:rFonts w:hint="default" w:ascii="Times New Roman" w:hAnsi="Times New Roman" w:cs="Times New Roman"/>
          <w:sz w:val="28"/>
          <w:szCs w:val="28"/>
          <w:vertAlign w:val="superscript"/>
          <w:lang w:val="en-US" w:eastAsia="zh-CN" w:bidi="en-US"/>
        </w:rPr>
        <w:t>3</w:t>
      </w:r>
      <w:r>
        <w:rPr>
          <w:rFonts w:hint="default" w:ascii="Times New Roman" w:hAnsi="Times New Roman" w:cs="Times New Roman"/>
          <w:sz w:val="28"/>
          <w:szCs w:val="28"/>
          <w:lang w:val="en-US" w:eastAsia="zh-CN" w:bidi="en-US"/>
        </w:rPr>
        <w:t>/年扩大变更为22.22万m</w:t>
      </w:r>
      <w:r>
        <w:rPr>
          <w:rFonts w:hint="default" w:ascii="Times New Roman" w:hAnsi="Times New Roman" w:cs="Times New Roman"/>
          <w:sz w:val="28"/>
          <w:szCs w:val="28"/>
          <w:vertAlign w:val="superscript"/>
          <w:lang w:val="en-US" w:eastAsia="zh-CN" w:bidi="en-US"/>
        </w:rPr>
        <w:t>3</w:t>
      </w:r>
      <w:r>
        <w:rPr>
          <w:rFonts w:hint="default" w:ascii="Times New Roman" w:hAnsi="Times New Roman" w:cs="Times New Roman"/>
          <w:sz w:val="28"/>
          <w:szCs w:val="28"/>
          <w:lang w:val="en-US" w:eastAsia="zh-CN" w:bidi="en-US"/>
        </w:rPr>
        <w:t>/年，并于2025年3月28日取得最新采矿证，矿山名称：弥勒市瑞垠矿业有限公司弥勒市小沙冲砂场，开采矿种：建筑用砂，开采方式：露天开采，生产规模：22.22万立方米/年，矿区面积：0.2536km</w:t>
      </w:r>
      <w:r>
        <w:rPr>
          <w:rFonts w:hint="default" w:ascii="Times New Roman" w:hAnsi="Times New Roman" w:cs="Times New Roman"/>
          <w:sz w:val="28"/>
          <w:szCs w:val="28"/>
          <w:vertAlign w:val="superscript"/>
          <w:lang w:val="en-US" w:eastAsia="zh-CN" w:bidi="en-US"/>
        </w:rPr>
        <w:t>2</w:t>
      </w:r>
      <w:r>
        <w:rPr>
          <w:rFonts w:hint="default" w:ascii="Times New Roman" w:hAnsi="Times New Roman" w:cs="Times New Roman"/>
          <w:sz w:val="28"/>
          <w:szCs w:val="28"/>
          <w:lang w:val="en-US" w:eastAsia="zh-CN" w:bidi="en-US"/>
        </w:rPr>
        <w:t>。于2025年4月15日取得弥勒市发展和改革局颁发的《云南省固定资产投资项目备案证》，建设性质为扩建，主要建设内容及规模为建设办公生活区、生产加工区、采矿区、堆料场、道路等及其他配套设施，项目建设规模为年产50万吨建筑用砂生产线，备案号【项目代码】：2504-532504-04-01-406833。</w:t>
      </w:r>
    </w:p>
    <w:p w14:paraId="1A1BBD26">
      <w:pPr>
        <w:adjustRightInd w:val="0"/>
        <w:snapToGrid w:val="0"/>
        <w:spacing w:line="360" w:lineRule="auto"/>
        <w:ind w:firstLine="560" w:firstLineChars="200"/>
        <w:rPr>
          <w:rFonts w:hint="default" w:ascii="Times New Roman" w:hAnsi="Times New Roman" w:cs="Times New Roman"/>
          <w:sz w:val="28"/>
          <w:szCs w:val="28"/>
          <w:lang w:eastAsia="zh-CN" w:bidi="en-US"/>
        </w:rPr>
      </w:pPr>
      <w:r>
        <w:rPr>
          <w:rFonts w:hint="default" w:ascii="Times New Roman" w:hAnsi="Times New Roman" w:cs="Times New Roman"/>
          <w:sz w:val="28"/>
          <w:szCs w:val="28"/>
          <w:lang w:bidi="en-US"/>
        </w:rPr>
        <w:t>根据《建设项目安全设施“三同时”监督管理办法》等有关规定，该项目属于改扩建项目，需要完善建设项目安全设施的“三同时”工作。因此，矿山于20</w:t>
      </w:r>
      <w:r>
        <w:rPr>
          <w:rFonts w:hint="default" w:ascii="Times New Roman" w:hAnsi="Times New Roman" w:cs="Times New Roman"/>
          <w:sz w:val="28"/>
          <w:szCs w:val="28"/>
          <w:lang w:val="en-US" w:eastAsia="zh-CN" w:bidi="en-US"/>
        </w:rPr>
        <w:t>25</w:t>
      </w:r>
      <w:r>
        <w:rPr>
          <w:rFonts w:hint="default" w:ascii="Times New Roman" w:hAnsi="Times New Roman" w:cs="Times New Roman"/>
          <w:sz w:val="28"/>
          <w:szCs w:val="28"/>
          <w:lang w:bidi="en-US"/>
        </w:rPr>
        <w:t>年</w:t>
      </w:r>
      <w:r>
        <w:rPr>
          <w:rFonts w:hint="default" w:ascii="Times New Roman" w:hAnsi="Times New Roman" w:cs="Times New Roman"/>
          <w:sz w:val="28"/>
          <w:szCs w:val="28"/>
          <w:lang w:val="en-US" w:eastAsia="zh-CN" w:bidi="en-US"/>
        </w:rPr>
        <w:t>6</w:t>
      </w:r>
      <w:r>
        <w:rPr>
          <w:rFonts w:hint="default" w:ascii="Times New Roman" w:hAnsi="Times New Roman" w:cs="Times New Roman"/>
          <w:sz w:val="28"/>
          <w:szCs w:val="28"/>
          <w:lang w:bidi="en-US"/>
        </w:rPr>
        <w:t>月委托河南省冶金规划设计研究院有限责任公司编写了《弥勒市瑞垠矿业有限公司弥勒市小沙冲砂场</w:t>
      </w:r>
      <w:r>
        <w:rPr>
          <w:rFonts w:hint="default" w:ascii="Times New Roman" w:hAnsi="Times New Roman" w:cs="Times New Roman"/>
          <w:sz w:val="28"/>
          <w:szCs w:val="28"/>
          <w:lang w:eastAsia="zh-CN" w:bidi="en-US"/>
        </w:rPr>
        <w:t>22.22</w:t>
      </w:r>
      <w:r>
        <w:rPr>
          <w:rFonts w:hint="default" w:ascii="Times New Roman" w:hAnsi="Times New Roman" w:cs="Times New Roman"/>
          <w:sz w:val="28"/>
          <w:szCs w:val="28"/>
          <w:lang w:val="en-US" w:eastAsia="zh-CN" w:bidi="en-US"/>
        </w:rPr>
        <w:t>万</w:t>
      </w:r>
      <w:r>
        <w:rPr>
          <w:rFonts w:hint="default" w:ascii="Times New Roman" w:hAnsi="Times New Roman" w:cs="Times New Roman"/>
          <w:sz w:val="28"/>
          <w:szCs w:val="28"/>
          <w:lang w:eastAsia="zh-CN" w:bidi="en-US"/>
        </w:rPr>
        <w:t>m</w:t>
      </w:r>
      <w:r>
        <w:rPr>
          <w:rFonts w:hint="default" w:ascii="Times New Roman" w:hAnsi="Times New Roman" w:cs="Times New Roman"/>
          <w:sz w:val="28"/>
          <w:szCs w:val="28"/>
          <w:vertAlign w:val="superscript"/>
          <w:lang w:eastAsia="zh-CN" w:bidi="en-US"/>
        </w:rPr>
        <w:t>3</w:t>
      </w:r>
      <w:r>
        <w:rPr>
          <w:rFonts w:hint="default" w:ascii="Times New Roman" w:hAnsi="Times New Roman" w:cs="Times New Roman"/>
          <w:sz w:val="28"/>
          <w:szCs w:val="28"/>
          <w:lang w:val="en-US" w:eastAsia="zh-CN" w:bidi="en-US"/>
        </w:rPr>
        <w:t>/</w:t>
      </w:r>
      <w:r>
        <w:rPr>
          <w:rFonts w:hint="default" w:ascii="Times New Roman" w:hAnsi="Times New Roman" w:cs="Times New Roman"/>
          <w:sz w:val="28"/>
          <w:szCs w:val="28"/>
          <w:lang w:eastAsia="zh-CN" w:bidi="en-US"/>
        </w:rPr>
        <w:t>a（50万t</w:t>
      </w:r>
      <w:r>
        <w:rPr>
          <w:rFonts w:hint="default" w:ascii="Times New Roman" w:hAnsi="Times New Roman" w:cs="Times New Roman"/>
          <w:sz w:val="28"/>
          <w:szCs w:val="28"/>
          <w:lang w:val="en-US" w:eastAsia="zh-CN" w:bidi="en-US"/>
        </w:rPr>
        <w:t>/</w:t>
      </w:r>
      <w:r>
        <w:rPr>
          <w:rFonts w:hint="default" w:ascii="Times New Roman" w:hAnsi="Times New Roman" w:cs="Times New Roman"/>
          <w:sz w:val="28"/>
          <w:szCs w:val="28"/>
          <w:lang w:eastAsia="zh-CN" w:bidi="en-US"/>
        </w:rPr>
        <w:t>a）</w:t>
      </w:r>
      <w:r>
        <w:rPr>
          <w:rFonts w:hint="default" w:ascii="Times New Roman" w:hAnsi="Times New Roman" w:cs="Times New Roman"/>
          <w:sz w:val="28"/>
          <w:szCs w:val="28"/>
          <w:lang w:bidi="en-US"/>
        </w:rPr>
        <w:t>露天采矿工程初步设计（代可研）》</w:t>
      </w:r>
      <w:r>
        <w:rPr>
          <w:rFonts w:hint="default" w:ascii="Times New Roman" w:hAnsi="Times New Roman" w:cs="Times New Roman"/>
          <w:sz w:val="28"/>
          <w:szCs w:val="28"/>
          <w:lang w:eastAsia="zh-CN" w:bidi="en-US"/>
        </w:rPr>
        <w:t>，设计自上而下进行开采，露天采场采用</w:t>
      </w:r>
      <w:r>
        <w:rPr>
          <w:rFonts w:hint="default" w:ascii="Times New Roman" w:hAnsi="Times New Roman" w:cs="Times New Roman"/>
          <w:sz w:val="28"/>
          <w:szCs w:val="28"/>
          <w:lang w:val="en-US" w:eastAsia="zh-CN" w:bidi="en-US"/>
        </w:rPr>
        <w:t>挖掘机开挖</w:t>
      </w:r>
      <w:r>
        <w:rPr>
          <w:rFonts w:hint="default" w:ascii="Times New Roman" w:hAnsi="Times New Roman" w:cs="Times New Roman"/>
          <w:sz w:val="28"/>
          <w:szCs w:val="28"/>
          <w:lang w:eastAsia="zh-CN" w:bidi="en-US"/>
        </w:rPr>
        <w:t>，然后进行铲装运输的采剥方法，开拓运输方式采用场内公路开拓、汽车运输。</w:t>
      </w:r>
    </w:p>
    <w:bookmarkEnd w:id="16"/>
    <w:p w14:paraId="2A31DE84">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default" w:ascii="Times New Roman" w:hAnsi="Times New Roman" w:cs="Times New Roman"/>
          <w:sz w:val="28"/>
        </w:rPr>
      </w:pPr>
      <w:r>
        <w:rPr>
          <w:rFonts w:hint="default" w:ascii="Times New Roman" w:hAnsi="Times New Roman" w:cs="Times New Roman"/>
          <w:sz w:val="28"/>
        </w:rPr>
        <w:t>根据《非煤矿山企业安全生产许可证实施办法》（原国家安监局令20号，第78号修改）、《安全生产许可证条例》（中华人民共和国国务院令397号，第653号修订）、《安全评价通则》（AQ8001-2007）和《安全预评价导则》（AQ8002-2007）等国家相关法律法规标准和规定，2025年</w:t>
      </w:r>
      <w:r>
        <w:rPr>
          <w:rFonts w:hint="default" w:ascii="Times New Roman" w:hAnsi="Times New Roman" w:cs="Times New Roman"/>
          <w:sz w:val="28"/>
          <w:lang w:val="en-US" w:eastAsia="zh-CN"/>
        </w:rPr>
        <w:t>3</w:t>
      </w:r>
      <w:r>
        <w:rPr>
          <w:rFonts w:hint="default" w:ascii="Times New Roman" w:hAnsi="Times New Roman" w:cs="Times New Roman"/>
          <w:sz w:val="28"/>
        </w:rPr>
        <w:t>月，弥勒市瑞垠矿业有限公司委托辽宁诺诚安全科技有限公司承担弥勒市瑞垠矿业有限公司弥勒市小沙冲砂场</w:t>
      </w:r>
      <w:r>
        <w:rPr>
          <w:rFonts w:hint="default" w:ascii="Times New Roman" w:hAnsi="Times New Roman" w:cs="Times New Roman"/>
          <w:sz w:val="28"/>
          <w:szCs w:val="28"/>
          <w:lang w:eastAsia="zh-CN" w:bidi="en-US"/>
        </w:rPr>
        <w:t>22.22</w:t>
      </w:r>
      <w:r>
        <w:rPr>
          <w:rFonts w:hint="default" w:ascii="Times New Roman" w:hAnsi="Times New Roman" w:cs="Times New Roman"/>
          <w:sz w:val="28"/>
          <w:szCs w:val="28"/>
          <w:lang w:val="en-US" w:eastAsia="zh-CN" w:bidi="en-US"/>
        </w:rPr>
        <w:t>万</w:t>
      </w:r>
      <w:r>
        <w:rPr>
          <w:rFonts w:hint="default" w:ascii="Times New Roman" w:hAnsi="Times New Roman" w:cs="Times New Roman"/>
          <w:sz w:val="28"/>
          <w:szCs w:val="28"/>
          <w:lang w:eastAsia="zh-CN" w:bidi="en-US"/>
        </w:rPr>
        <w:t>m</w:t>
      </w:r>
      <w:r>
        <w:rPr>
          <w:rFonts w:hint="default" w:ascii="Times New Roman" w:hAnsi="Times New Roman" w:cs="Times New Roman"/>
          <w:sz w:val="28"/>
          <w:szCs w:val="28"/>
          <w:vertAlign w:val="superscript"/>
          <w:lang w:eastAsia="zh-CN" w:bidi="en-US"/>
        </w:rPr>
        <w:t>3</w:t>
      </w:r>
      <w:r>
        <w:rPr>
          <w:rFonts w:hint="default" w:ascii="Times New Roman" w:hAnsi="Times New Roman" w:cs="Times New Roman"/>
          <w:sz w:val="28"/>
          <w:szCs w:val="28"/>
          <w:lang w:val="en-US" w:eastAsia="zh-CN" w:bidi="en-US"/>
        </w:rPr>
        <w:t>/</w:t>
      </w:r>
      <w:r>
        <w:rPr>
          <w:rFonts w:hint="default" w:ascii="Times New Roman" w:hAnsi="Times New Roman" w:cs="Times New Roman"/>
          <w:sz w:val="28"/>
          <w:szCs w:val="28"/>
          <w:lang w:eastAsia="zh-CN" w:bidi="en-US"/>
        </w:rPr>
        <w:t>a（50万t</w:t>
      </w:r>
      <w:r>
        <w:rPr>
          <w:rFonts w:hint="default" w:ascii="Times New Roman" w:hAnsi="Times New Roman" w:cs="Times New Roman"/>
          <w:sz w:val="28"/>
          <w:szCs w:val="28"/>
          <w:lang w:val="en-US" w:eastAsia="zh-CN" w:bidi="en-US"/>
        </w:rPr>
        <w:t>/</w:t>
      </w:r>
      <w:r>
        <w:rPr>
          <w:rFonts w:hint="default" w:ascii="Times New Roman" w:hAnsi="Times New Roman" w:cs="Times New Roman"/>
          <w:sz w:val="28"/>
          <w:szCs w:val="28"/>
          <w:lang w:eastAsia="zh-CN" w:bidi="en-US"/>
        </w:rPr>
        <w:t>a）</w:t>
      </w:r>
      <w:r>
        <w:rPr>
          <w:rFonts w:hint="default" w:ascii="Times New Roman" w:hAnsi="Times New Roman" w:cs="Times New Roman"/>
          <w:sz w:val="28"/>
        </w:rPr>
        <w:t>露天采矿工程的安全预评价工作。</w:t>
      </w:r>
    </w:p>
    <w:p w14:paraId="13D6035A">
      <w:pPr>
        <w:widowControl/>
        <w:spacing w:line="360" w:lineRule="auto"/>
        <w:ind w:firstLine="560" w:firstLineChars="200"/>
        <w:rPr>
          <w:rFonts w:hint="default" w:ascii="Times New Roman" w:hAnsi="Times New Roman" w:cs="Times New Roman"/>
          <w:sz w:val="28"/>
        </w:rPr>
      </w:pPr>
      <w:r>
        <w:rPr>
          <w:rFonts w:hint="default" w:ascii="Times New Roman" w:hAnsi="Times New Roman" w:cs="Times New Roman"/>
          <w:sz w:val="28"/>
        </w:rPr>
        <w:t>在接受</w:t>
      </w:r>
      <w:r>
        <w:rPr>
          <w:rFonts w:hint="default" w:ascii="Times New Roman" w:hAnsi="Times New Roman" w:cs="Times New Roman"/>
          <w:sz w:val="28"/>
          <w:szCs w:val="28"/>
          <w:lang w:eastAsia="zh-CN"/>
        </w:rPr>
        <w:t>弥勒市瑞垠矿业有限公司</w:t>
      </w:r>
      <w:r>
        <w:rPr>
          <w:rFonts w:hint="default" w:ascii="Times New Roman" w:hAnsi="Times New Roman" w:cs="Times New Roman"/>
          <w:sz w:val="28"/>
        </w:rPr>
        <w:t>的委托之后，我公司立即组成安全评价组，组织评价人员投入该项目的安全评价工作。评价人员于202</w:t>
      </w:r>
      <w:r>
        <w:rPr>
          <w:rFonts w:hint="default" w:ascii="Times New Roman" w:hAnsi="Times New Roman" w:cs="Times New Roman"/>
          <w:sz w:val="28"/>
          <w:lang w:val="en-US" w:eastAsia="zh-CN"/>
        </w:rPr>
        <w:t>5</w:t>
      </w:r>
      <w:r>
        <w:rPr>
          <w:rFonts w:hint="default" w:ascii="Times New Roman" w:hAnsi="Times New Roman" w:cs="Times New Roman"/>
          <w:sz w:val="28"/>
        </w:rPr>
        <w:t>年</w:t>
      </w:r>
      <w:r>
        <w:rPr>
          <w:rFonts w:hint="default" w:ascii="Times New Roman" w:hAnsi="Times New Roman" w:cs="Times New Roman"/>
          <w:sz w:val="28"/>
          <w:lang w:val="en-US" w:eastAsia="zh-CN"/>
        </w:rPr>
        <w:t>3</w:t>
      </w:r>
      <w:r>
        <w:rPr>
          <w:rFonts w:hint="default" w:ascii="Times New Roman" w:hAnsi="Times New Roman" w:cs="Times New Roman"/>
          <w:sz w:val="28"/>
        </w:rPr>
        <w:t>月2</w:t>
      </w:r>
      <w:r>
        <w:rPr>
          <w:rFonts w:hint="default" w:ascii="Times New Roman" w:hAnsi="Times New Roman" w:cs="Times New Roman"/>
          <w:sz w:val="28"/>
          <w:lang w:val="en-US" w:eastAsia="zh-CN"/>
        </w:rPr>
        <w:t>7</w:t>
      </w:r>
      <w:r>
        <w:rPr>
          <w:rFonts w:hint="default" w:ascii="Times New Roman" w:hAnsi="Times New Roman" w:cs="Times New Roman"/>
          <w:sz w:val="28"/>
        </w:rPr>
        <w:t>日进行现场</w:t>
      </w:r>
      <w:r>
        <w:rPr>
          <w:rFonts w:hint="default" w:ascii="Times New Roman" w:hAnsi="Times New Roman" w:cs="Times New Roman"/>
          <w:sz w:val="28"/>
          <w:lang w:val="en-US" w:eastAsia="zh-CN"/>
        </w:rPr>
        <w:t>首次</w:t>
      </w:r>
      <w:r>
        <w:rPr>
          <w:rFonts w:hint="default" w:ascii="Times New Roman" w:hAnsi="Times New Roman" w:cs="Times New Roman"/>
          <w:sz w:val="28"/>
        </w:rPr>
        <w:t>勘验</w:t>
      </w:r>
      <w:r>
        <w:rPr>
          <w:rFonts w:hint="default" w:ascii="Times New Roman" w:hAnsi="Times New Roman" w:cs="Times New Roman"/>
          <w:sz w:val="28"/>
          <w:lang w:val="en-US" w:eastAsia="zh-CN"/>
        </w:rPr>
        <w:t>，</w:t>
      </w:r>
      <w:r>
        <w:rPr>
          <w:rFonts w:hint="default" w:ascii="Times New Roman" w:hAnsi="Times New Roman" w:cs="Times New Roman"/>
          <w:sz w:val="28"/>
        </w:rPr>
        <w:t>在系统调查分析的基础上，对照国家或行业有关安全法律法规、标准和规范，对该项目初步设计的可行性及项目涉及的危险、有害因素进行了分析评价，采用可靠、适用的评价方法对该矿山进行安全预评价，提出了相应的安全对策措施，得出了评价结论。依据《国家安全监管总局关于印发金属非金属矿山建设项目安全评价报告编写提纲的通知》（安监总管一〔2016〕49号）的要求编制《</w:t>
      </w:r>
      <w:r>
        <w:rPr>
          <w:rFonts w:hint="default" w:ascii="Times New Roman" w:hAnsi="Times New Roman" w:cs="Times New Roman"/>
          <w:sz w:val="28"/>
          <w:lang w:eastAsia="zh-CN"/>
        </w:rPr>
        <w:t>弥勒市瑞垠矿业有限公司弥勒市小沙冲砂场</w:t>
      </w:r>
      <w:r>
        <w:rPr>
          <w:rFonts w:hint="default" w:ascii="Times New Roman" w:hAnsi="Times New Roman" w:cs="Times New Roman"/>
          <w:sz w:val="28"/>
          <w:szCs w:val="28"/>
          <w:lang w:eastAsia="zh-CN" w:bidi="en-US"/>
        </w:rPr>
        <w:t>22.22</w:t>
      </w:r>
      <w:r>
        <w:rPr>
          <w:rFonts w:hint="default" w:ascii="Times New Roman" w:hAnsi="Times New Roman" w:cs="Times New Roman"/>
          <w:sz w:val="28"/>
          <w:szCs w:val="28"/>
          <w:lang w:val="en-US" w:eastAsia="zh-CN" w:bidi="en-US"/>
        </w:rPr>
        <w:t>万</w:t>
      </w:r>
      <w:r>
        <w:rPr>
          <w:rFonts w:hint="default" w:ascii="Times New Roman" w:hAnsi="Times New Roman" w:cs="Times New Roman"/>
          <w:sz w:val="28"/>
          <w:szCs w:val="28"/>
          <w:lang w:eastAsia="zh-CN" w:bidi="en-US"/>
        </w:rPr>
        <w:t>m</w:t>
      </w:r>
      <w:r>
        <w:rPr>
          <w:rFonts w:hint="default" w:ascii="Times New Roman" w:hAnsi="Times New Roman" w:cs="Times New Roman"/>
          <w:sz w:val="28"/>
          <w:szCs w:val="28"/>
          <w:vertAlign w:val="superscript"/>
          <w:lang w:eastAsia="zh-CN" w:bidi="en-US"/>
        </w:rPr>
        <w:t>3</w:t>
      </w:r>
      <w:r>
        <w:rPr>
          <w:rFonts w:hint="default" w:ascii="Times New Roman" w:hAnsi="Times New Roman" w:cs="Times New Roman"/>
          <w:sz w:val="28"/>
          <w:szCs w:val="28"/>
          <w:lang w:val="en-US" w:eastAsia="zh-CN" w:bidi="en-US"/>
        </w:rPr>
        <w:t>/</w:t>
      </w:r>
      <w:r>
        <w:rPr>
          <w:rFonts w:hint="default" w:ascii="Times New Roman" w:hAnsi="Times New Roman" w:cs="Times New Roman"/>
          <w:sz w:val="28"/>
          <w:szCs w:val="28"/>
          <w:lang w:eastAsia="zh-CN" w:bidi="en-US"/>
        </w:rPr>
        <w:t>a（50万t</w:t>
      </w:r>
      <w:r>
        <w:rPr>
          <w:rFonts w:hint="default" w:ascii="Times New Roman" w:hAnsi="Times New Roman" w:cs="Times New Roman"/>
          <w:sz w:val="28"/>
          <w:szCs w:val="28"/>
          <w:lang w:val="en-US" w:eastAsia="zh-CN" w:bidi="en-US"/>
        </w:rPr>
        <w:t>/</w:t>
      </w:r>
      <w:r>
        <w:rPr>
          <w:rFonts w:hint="default" w:ascii="Times New Roman" w:hAnsi="Times New Roman" w:cs="Times New Roman"/>
          <w:sz w:val="28"/>
          <w:szCs w:val="28"/>
          <w:lang w:eastAsia="zh-CN" w:bidi="en-US"/>
        </w:rPr>
        <w:t>a）</w:t>
      </w:r>
      <w:r>
        <w:rPr>
          <w:rFonts w:hint="default" w:ascii="Times New Roman" w:hAnsi="Times New Roman" w:cs="Times New Roman"/>
          <w:sz w:val="28"/>
          <w:lang w:eastAsia="zh-CN"/>
        </w:rPr>
        <w:t>露天采矿工程</w:t>
      </w:r>
      <w:r>
        <w:rPr>
          <w:rFonts w:hint="default" w:ascii="Times New Roman" w:hAnsi="Times New Roman" w:cs="Times New Roman"/>
          <w:sz w:val="28"/>
        </w:rPr>
        <w:t>安全预评价</w:t>
      </w:r>
      <w:r>
        <w:rPr>
          <w:rFonts w:hint="default" w:ascii="Times New Roman" w:hAnsi="Times New Roman" w:cs="Times New Roman"/>
          <w:sz w:val="28"/>
          <w:lang w:val="en-US" w:eastAsia="zh-CN"/>
        </w:rPr>
        <w:t>报告</w:t>
      </w:r>
      <w:r>
        <w:rPr>
          <w:rFonts w:hint="default" w:ascii="Times New Roman" w:hAnsi="Times New Roman" w:cs="Times New Roman"/>
          <w:sz w:val="28"/>
        </w:rPr>
        <w:t>》。</w:t>
      </w:r>
    </w:p>
    <w:p w14:paraId="37887F7F">
      <w:pPr>
        <w:widowControl/>
        <w:spacing w:line="360" w:lineRule="auto"/>
        <w:ind w:firstLine="560" w:firstLineChars="200"/>
        <w:rPr>
          <w:rFonts w:hint="default" w:ascii="Times New Roman" w:hAnsi="Times New Roman" w:cs="Times New Roman"/>
          <w:sz w:val="32"/>
          <w:szCs w:val="32"/>
        </w:rPr>
        <w:sectPr>
          <w:headerReference r:id="rId7" w:type="first"/>
          <w:footerReference r:id="rId9" w:type="first"/>
          <w:headerReference r:id="rId6" w:type="default"/>
          <w:footerReference r:id="rId8" w:type="default"/>
          <w:pgSz w:w="11905" w:h="16838"/>
          <w:pgMar w:top="1418" w:right="1134" w:bottom="1134" w:left="1588" w:header="851" w:footer="850" w:gutter="0"/>
          <w:pgNumType w:start="1"/>
          <w:cols w:space="720" w:num="1"/>
          <w:docGrid w:linePitch="332" w:charSpace="0"/>
        </w:sectPr>
      </w:pPr>
      <w:r>
        <w:rPr>
          <w:rFonts w:hint="default" w:ascii="Times New Roman" w:hAnsi="Times New Roman" w:cs="Times New Roman"/>
          <w:sz w:val="28"/>
        </w:rPr>
        <w:t>在该项目的安全预评价过程中，得到了</w:t>
      </w:r>
      <w:r>
        <w:rPr>
          <w:rFonts w:hint="default" w:ascii="Times New Roman" w:hAnsi="Times New Roman" w:cs="Times New Roman"/>
          <w:sz w:val="28"/>
          <w:szCs w:val="28"/>
          <w:lang w:eastAsia="zh-CN"/>
        </w:rPr>
        <w:t>弥勒市瑞垠矿业有限公司</w:t>
      </w:r>
      <w:r>
        <w:rPr>
          <w:rFonts w:hint="default" w:ascii="Times New Roman" w:hAnsi="Times New Roman" w:cs="Times New Roman"/>
          <w:sz w:val="28"/>
        </w:rPr>
        <w:t>等有关领导和技术人员的大力支持，同时在报告中引用了一些专家学者的研究成果和技术资料，在此一并表示感谢！</w:t>
      </w:r>
    </w:p>
    <w:p w14:paraId="4BFA43AF">
      <w:pPr>
        <w:tabs>
          <w:tab w:val="center" w:pos="4153"/>
          <w:tab w:val="left" w:pos="5844"/>
        </w:tabs>
        <w:spacing w:line="360" w:lineRule="auto"/>
        <w:jc w:val="center"/>
        <w:rPr>
          <w:rFonts w:hint="default" w:ascii="Times New Roman" w:hAnsi="Times New Roman" w:eastAsia="黑体" w:cs="Times New Roman"/>
          <w:sz w:val="32"/>
          <w:szCs w:val="32"/>
        </w:rPr>
      </w:pPr>
      <w:r>
        <w:rPr>
          <w:rFonts w:hint="default" w:ascii="Times New Roman" w:hAnsi="Times New Roman" w:eastAsia="黑体" w:cs="Times New Roman"/>
          <w:sz w:val="32"/>
          <w:szCs w:val="32"/>
        </w:rPr>
        <w:t>目  录</w:t>
      </w:r>
    </w:p>
    <w:p w14:paraId="30167F3A">
      <w:pPr>
        <w:pStyle w:val="21"/>
        <w:tabs>
          <w:tab w:val="right" w:leader="dot" w:pos="9183"/>
        </w:tabs>
        <w:rPr>
          <w:rFonts w:hint="default" w:ascii="Times New Roman" w:hAnsi="Times New Roman" w:cs="Times New Roman"/>
          <w:sz w:val="28"/>
          <w:szCs w:val="28"/>
        </w:rPr>
      </w:pPr>
      <w:r>
        <w:rPr>
          <w:rFonts w:hint="default" w:ascii="Times New Roman" w:hAnsi="Times New Roman" w:cs="Times New Roman"/>
          <w:b w:val="0"/>
          <w:caps w:val="0"/>
          <w:snapToGrid w:val="0"/>
          <w:kern w:val="0"/>
          <w:sz w:val="28"/>
          <w:szCs w:val="28"/>
        </w:rPr>
        <w:fldChar w:fldCharType="begin"/>
      </w:r>
      <w:r>
        <w:rPr>
          <w:rFonts w:hint="default" w:ascii="Times New Roman" w:hAnsi="Times New Roman" w:cs="Times New Roman"/>
          <w:b w:val="0"/>
          <w:caps w:val="0"/>
          <w:snapToGrid w:val="0"/>
          <w:kern w:val="0"/>
          <w:sz w:val="28"/>
          <w:szCs w:val="28"/>
        </w:rPr>
        <w:instrText xml:space="preserve">TOC \o "1-2" \h \u </w:instrText>
      </w:r>
      <w:r>
        <w:rPr>
          <w:rFonts w:hint="default" w:ascii="Times New Roman" w:hAnsi="Times New Roman" w:cs="Times New Roman"/>
          <w:b w:val="0"/>
          <w:caps w:val="0"/>
          <w:snapToGrid w:val="0"/>
          <w:kern w:val="0"/>
          <w:sz w:val="28"/>
          <w:szCs w:val="28"/>
        </w:rPr>
        <w:fldChar w:fldCharType="separate"/>
      </w:r>
      <w:r>
        <w:rPr>
          <w:rFonts w:hint="default" w:ascii="Times New Roman" w:hAnsi="Times New Roman" w:cs="Times New Roman"/>
          <w:caps w:val="0"/>
          <w:snapToGrid w:val="0"/>
          <w:kern w:val="0"/>
          <w:sz w:val="28"/>
          <w:szCs w:val="28"/>
        </w:rPr>
        <w:fldChar w:fldCharType="begin"/>
      </w:r>
      <w:r>
        <w:rPr>
          <w:rFonts w:hint="default" w:ascii="Times New Roman" w:hAnsi="Times New Roman" w:cs="Times New Roman"/>
          <w:caps w:val="0"/>
          <w:snapToGrid w:val="0"/>
          <w:kern w:val="0"/>
          <w:sz w:val="28"/>
          <w:szCs w:val="28"/>
        </w:rPr>
        <w:instrText xml:space="preserve"> HYPERLINK \l _Toc25575 </w:instrText>
      </w:r>
      <w:r>
        <w:rPr>
          <w:rFonts w:hint="default" w:ascii="Times New Roman" w:hAnsi="Times New Roman" w:cs="Times New Roman"/>
          <w:caps w:val="0"/>
          <w:snapToGrid w:val="0"/>
          <w:kern w:val="0"/>
          <w:sz w:val="28"/>
          <w:szCs w:val="28"/>
        </w:rPr>
        <w:fldChar w:fldCharType="separate"/>
      </w:r>
      <w:r>
        <w:rPr>
          <w:rFonts w:hint="default" w:ascii="Times New Roman" w:hAnsi="Times New Roman" w:eastAsia="黑体" w:cs="Times New Roman"/>
          <w:bCs w:val="0"/>
          <w:sz w:val="28"/>
          <w:szCs w:val="28"/>
        </w:rPr>
        <w:t>1.评价范围与依据</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_Toc25575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r>
        <w:rPr>
          <w:rFonts w:hint="default" w:ascii="Times New Roman" w:hAnsi="Times New Roman" w:cs="Times New Roman"/>
          <w:caps w:val="0"/>
          <w:snapToGrid w:val="0"/>
          <w:kern w:val="0"/>
          <w:sz w:val="28"/>
          <w:szCs w:val="28"/>
        </w:rPr>
        <w:fldChar w:fldCharType="end"/>
      </w:r>
    </w:p>
    <w:p w14:paraId="2D560115">
      <w:pPr>
        <w:pStyle w:val="24"/>
        <w:tabs>
          <w:tab w:val="right" w:leader="dot" w:pos="9183"/>
        </w:tabs>
        <w:rPr>
          <w:rFonts w:hint="default" w:ascii="Times New Roman" w:hAnsi="Times New Roman" w:cs="Times New Roman"/>
          <w:sz w:val="28"/>
          <w:szCs w:val="28"/>
        </w:rPr>
      </w:pPr>
      <w:r>
        <w:rPr>
          <w:rFonts w:hint="default" w:ascii="Times New Roman" w:hAnsi="Times New Roman" w:cs="Times New Roman"/>
          <w:caps/>
          <w:snapToGrid w:val="0"/>
          <w:kern w:val="0"/>
          <w:sz w:val="28"/>
          <w:szCs w:val="28"/>
        </w:rPr>
        <w:fldChar w:fldCharType="begin"/>
      </w:r>
      <w:r>
        <w:rPr>
          <w:rFonts w:hint="default" w:ascii="Times New Roman" w:hAnsi="Times New Roman" w:cs="Times New Roman"/>
          <w:caps/>
          <w:snapToGrid w:val="0"/>
          <w:kern w:val="0"/>
          <w:sz w:val="28"/>
          <w:szCs w:val="28"/>
        </w:rPr>
        <w:instrText xml:space="preserve"> HYPERLINK \l _Toc15513 </w:instrText>
      </w:r>
      <w:r>
        <w:rPr>
          <w:rFonts w:hint="default" w:ascii="Times New Roman" w:hAnsi="Times New Roman" w:cs="Times New Roman"/>
          <w:caps/>
          <w:snapToGrid w:val="0"/>
          <w:kern w:val="0"/>
          <w:sz w:val="28"/>
          <w:szCs w:val="28"/>
        </w:rPr>
        <w:fldChar w:fldCharType="separate"/>
      </w:r>
      <w:r>
        <w:rPr>
          <w:rFonts w:hint="default" w:ascii="Times New Roman" w:hAnsi="Times New Roman" w:eastAsia="黑体" w:cs="Times New Roman"/>
          <w:sz w:val="28"/>
          <w:szCs w:val="28"/>
        </w:rPr>
        <w:t>1.1评价对象和范围</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_Toc15513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r>
        <w:rPr>
          <w:rFonts w:hint="default" w:ascii="Times New Roman" w:hAnsi="Times New Roman" w:cs="Times New Roman"/>
          <w:caps/>
          <w:snapToGrid w:val="0"/>
          <w:kern w:val="0"/>
          <w:sz w:val="28"/>
          <w:szCs w:val="28"/>
        </w:rPr>
        <w:fldChar w:fldCharType="end"/>
      </w:r>
    </w:p>
    <w:p w14:paraId="745623C4">
      <w:pPr>
        <w:pStyle w:val="24"/>
        <w:tabs>
          <w:tab w:val="right" w:leader="dot" w:pos="9183"/>
        </w:tabs>
        <w:rPr>
          <w:rFonts w:hint="default" w:ascii="Times New Roman" w:hAnsi="Times New Roman" w:cs="Times New Roman"/>
          <w:sz w:val="28"/>
          <w:szCs w:val="28"/>
        </w:rPr>
      </w:pPr>
      <w:r>
        <w:rPr>
          <w:rFonts w:hint="default" w:ascii="Times New Roman" w:hAnsi="Times New Roman" w:cs="Times New Roman"/>
          <w:caps/>
          <w:snapToGrid w:val="0"/>
          <w:kern w:val="0"/>
          <w:sz w:val="28"/>
          <w:szCs w:val="28"/>
        </w:rPr>
        <w:fldChar w:fldCharType="begin"/>
      </w:r>
      <w:r>
        <w:rPr>
          <w:rFonts w:hint="default" w:ascii="Times New Roman" w:hAnsi="Times New Roman" w:cs="Times New Roman"/>
          <w:caps/>
          <w:snapToGrid w:val="0"/>
          <w:kern w:val="0"/>
          <w:sz w:val="28"/>
          <w:szCs w:val="28"/>
        </w:rPr>
        <w:instrText xml:space="preserve"> HYPERLINK \l _Toc25939 </w:instrText>
      </w:r>
      <w:r>
        <w:rPr>
          <w:rFonts w:hint="default" w:ascii="Times New Roman" w:hAnsi="Times New Roman" w:cs="Times New Roman"/>
          <w:caps/>
          <w:snapToGrid w:val="0"/>
          <w:kern w:val="0"/>
          <w:sz w:val="28"/>
          <w:szCs w:val="28"/>
        </w:rPr>
        <w:fldChar w:fldCharType="separate"/>
      </w:r>
      <w:r>
        <w:rPr>
          <w:rFonts w:hint="default" w:ascii="Times New Roman" w:hAnsi="Times New Roman" w:eastAsia="黑体" w:cs="Times New Roman"/>
          <w:sz w:val="28"/>
          <w:szCs w:val="28"/>
        </w:rPr>
        <w:t>1.2评价依据</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_Toc25939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3</w:t>
      </w:r>
      <w:r>
        <w:rPr>
          <w:rFonts w:hint="default" w:ascii="Times New Roman" w:hAnsi="Times New Roman" w:cs="Times New Roman"/>
          <w:sz w:val="28"/>
          <w:szCs w:val="28"/>
        </w:rPr>
        <w:fldChar w:fldCharType="end"/>
      </w:r>
      <w:r>
        <w:rPr>
          <w:rFonts w:hint="default" w:ascii="Times New Roman" w:hAnsi="Times New Roman" w:cs="Times New Roman"/>
          <w:caps/>
          <w:snapToGrid w:val="0"/>
          <w:kern w:val="0"/>
          <w:sz w:val="28"/>
          <w:szCs w:val="28"/>
        </w:rPr>
        <w:fldChar w:fldCharType="end"/>
      </w:r>
    </w:p>
    <w:p w14:paraId="3E8A6969">
      <w:pPr>
        <w:pStyle w:val="21"/>
        <w:tabs>
          <w:tab w:val="right" w:leader="dot" w:pos="9183"/>
        </w:tabs>
        <w:rPr>
          <w:rFonts w:hint="default" w:ascii="Times New Roman" w:hAnsi="Times New Roman" w:cs="Times New Roman"/>
          <w:sz w:val="28"/>
          <w:szCs w:val="28"/>
        </w:rPr>
      </w:pPr>
      <w:r>
        <w:rPr>
          <w:rFonts w:hint="default" w:ascii="Times New Roman" w:hAnsi="Times New Roman" w:cs="Times New Roman"/>
          <w:caps/>
          <w:snapToGrid w:val="0"/>
          <w:kern w:val="0"/>
          <w:sz w:val="28"/>
          <w:szCs w:val="28"/>
        </w:rPr>
        <w:fldChar w:fldCharType="begin"/>
      </w:r>
      <w:r>
        <w:rPr>
          <w:rFonts w:hint="default" w:ascii="Times New Roman" w:hAnsi="Times New Roman" w:cs="Times New Roman"/>
          <w:caps/>
          <w:snapToGrid w:val="0"/>
          <w:kern w:val="0"/>
          <w:sz w:val="28"/>
          <w:szCs w:val="28"/>
        </w:rPr>
        <w:instrText xml:space="preserve"> HYPERLINK \l _Toc26854 </w:instrText>
      </w:r>
      <w:r>
        <w:rPr>
          <w:rFonts w:hint="default" w:ascii="Times New Roman" w:hAnsi="Times New Roman" w:cs="Times New Roman"/>
          <w:caps/>
          <w:snapToGrid w:val="0"/>
          <w:kern w:val="0"/>
          <w:sz w:val="28"/>
          <w:szCs w:val="28"/>
        </w:rPr>
        <w:fldChar w:fldCharType="separate"/>
      </w:r>
      <w:r>
        <w:rPr>
          <w:rFonts w:hint="default" w:ascii="Times New Roman" w:hAnsi="Times New Roman" w:eastAsia="黑体" w:cs="Times New Roman"/>
          <w:bCs w:val="0"/>
          <w:sz w:val="28"/>
          <w:szCs w:val="28"/>
        </w:rPr>
        <w:t>2.建设项目概述</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_Toc26854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14</w:t>
      </w:r>
      <w:r>
        <w:rPr>
          <w:rFonts w:hint="default" w:ascii="Times New Roman" w:hAnsi="Times New Roman" w:cs="Times New Roman"/>
          <w:sz w:val="28"/>
          <w:szCs w:val="28"/>
        </w:rPr>
        <w:fldChar w:fldCharType="end"/>
      </w:r>
      <w:r>
        <w:rPr>
          <w:rFonts w:hint="default" w:ascii="Times New Roman" w:hAnsi="Times New Roman" w:cs="Times New Roman"/>
          <w:caps/>
          <w:snapToGrid w:val="0"/>
          <w:kern w:val="0"/>
          <w:sz w:val="28"/>
          <w:szCs w:val="28"/>
        </w:rPr>
        <w:fldChar w:fldCharType="end"/>
      </w:r>
    </w:p>
    <w:p w14:paraId="755970D6">
      <w:pPr>
        <w:pStyle w:val="24"/>
        <w:tabs>
          <w:tab w:val="right" w:leader="dot" w:pos="9183"/>
        </w:tabs>
        <w:rPr>
          <w:rFonts w:hint="default" w:ascii="Times New Roman" w:hAnsi="Times New Roman" w:cs="Times New Roman"/>
          <w:sz w:val="28"/>
          <w:szCs w:val="28"/>
        </w:rPr>
      </w:pPr>
      <w:r>
        <w:rPr>
          <w:rFonts w:hint="default" w:ascii="Times New Roman" w:hAnsi="Times New Roman" w:cs="Times New Roman"/>
          <w:caps/>
          <w:snapToGrid w:val="0"/>
          <w:kern w:val="0"/>
          <w:sz w:val="28"/>
          <w:szCs w:val="28"/>
        </w:rPr>
        <w:fldChar w:fldCharType="begin"/>
      </w:r>
      <w:r>
        <w:rPr>
          <w:rFonts w:hint="default" w:ascii="Times New Roman" w:hAnsi="Times New Roman" w:cs="Times New Roman"/>
          <w:caps/>
          <w:snapToGrid w:val="0"/>
          <w:kern w:val="0"/>
          <w:sz w:val="28"/>
          <w:szCs w:val="28"/>
        </w:rPr>
        <w:instrText xml:space="preserve"> HYPERLINK \l _Toc25179 </w:instrText>
      </w:r>
      <w:r>
        <w:rPr>
          <w:rFonts w:hint="default" w:ascii="Times New Roman" w:hAnsi="Times New Roman" w:cs="Times New Roman"/>
          <w:caps/>
          <w:snapToGrid w:val="0"/>
          <w:kern w:val="0"/>
          <w:sz w:val="28"/>
          <w:szCs w:val="28"/>
        </w:rPr>
        <w:fldChar w:fldCharType="separate"/>
      </w:r>
      <w:r>
        <w:rPr>
          <w:rFonts w:hint="default" w:ascii="Times New Roman" w:hAnsi="Times New Roman" w:eastAsia="黑体" w:cs="Times New Roman"/>
          <w:sz w:val="28"/>
          <w:szCs w:val="28"/>
        </w:rPr>
        <w:t>2.1建设单位概况</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_Toc25179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14</w:t>
      </w:r>
      <w:r>
        <w:rPr>
          <w:rFonts w:hint="default" w:ascii="Times New Roman" w:hAnsi="Times New Roman" w:cs="Times New Roman"/>
          <w:sz w:val="28"/>
          <w:szCs w:val="28"/>
        </w:rPr>
        <w:fldChar w:fldCharType="end"/>
      </w:r>
      <w:r>
        <w:rPr>
          <w:rFonts w:hint="default" w:ascii="Times New Roman" w:hAnsi="Times New Roman" w:cs="Times New Roman"/>
          <w:caps/>
          <w:snapToGrid w:val="0"/>
          <w:kern w:val="0"/>
          <w:sz w:val="28"/>
          <w:szCs w:val="28"/>
        </w:rPr>
        <w:fldChar w:fldCharType="end"/>
      </w:r>
    </w:p>
    <w:p w14:paraId="067CAF64">
      <w:pPr>
        <w:pStyle w:val="24"/>
        <w:tabs>
          <w:tab w:val="right" w:leader="dot" w:pos="9183"/>
        </w:tabs>
        <w:rPr>
          <w:rFonts w:hint="default" w:ascii="Times New Roman" w:hAnsi="Times New Roman" w:cs="Times New Roman"/>
          <w:sz w:val="28"/>
          <w:szCs w:val="28"/>
        </w:rPr>
      </w:pPr>
      <w:r>
        <w:rPr>
          <w:rFonts w:hint="default" w:ascii="Times New Roman" w:hAnsi="Times New Roman" w:cs="Times New Roman"/>
          <w:caps/>
          <w:snapToGrid w:val="0"/>
          <w:kern w:val="0"/>
          <w:sz w:val="28"/>
          <w:szCs w:val="28"/>
        </w:rPr>
        <w:fldChar w:fldCharType="begin"/>
      </w:r>
      <w:r>
        <w:rPr>
          <w:rFonts w:hint="default" w:ascii="Times New Roman" w:hAnsi="Times New Roman" w:cs="Times New Roman"/>
          <w:caps/>
          <w:snapToGrid w:val="0"/>
          <w:kern w:val="0"/>
          <w:sz w:val="28"/>
          <w:szCs w:val="28"/>
        </w:rPr>
        <w:instrText xml:space="preserve"> HYPERLINK \l _Toc12577 </w:instrText>
      </w:r>
      <w:r>
        <w:rPr>
          <w:rFonts w:hint="default" w:ascii="Times New Roman" w:hAnsi="Times New Roman" w:cs="Times New Roman"/>
          <w:caps/>
          <w:snapToGrid w:val="0"/>
          <w:kern w:val="0"/>
          <w:sz w:val="28"/>
          <w:szCs w:val="28"/>
        </w:rPr>
        <w:fldChar w:fldCharType="separate"/>
      </w:r>
      <w:r>
        <w:rPr>
          <w:rFonts w:hint="default" w:ascii="Times New Roman" w:hAnsi="Times New Roman" w:eastAsia="黑体" w:cs="Times New Roman"/>
          <w:sz w:val="28"/>
          <w:szCs w:val="28"/>
        </w:rPr>
        <w:t>2.2自然环境概况</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_Toc12577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20</w:t>
      </w:r>
      <w:r>
        <w:rPr>
          <w:rFonts w:hint="default" w:ascii="Times New Roman" w:hAnsi="Times New Roman" w:cs="Times New Roman"/>
          <w:sz w:val="28"/>
          <w:szCs w:val="28"/>
        </w:rPr>
        <w:fldChar w:fldCharType="end"/>
      </w:r>
      <w:r>
        <w:rPr>
          <w:rFonts w:hint="default" w:ascii="Times New Roman" w:hAnsi="Times New Roman" w:cs="Times New Roman"/>
          <w:caps/>
          <w:snapToGrid w:val="0"/>
          <w:kern w:val="0"/>
          <w:sz w:val="28"/>
          <w:szCs w:val="28"/>
        </w:rPr>
        <w:fldChar w:fldCharType="end"/>
      </w:r>
    </w:p>
    <w:p w14:paraId="2688A5D9">
      <w:pPr>
        <w:pStyle w:val="24"/>
        <w:tabs>
          <w:tab w:val="right" w:leader="dot" w:pos="9183"/>
        </w:tabs>
        <w:rPr>
          <w:rFonts w:hint="default" w:ascii="Times New Roman" w:hAnsi="Times New Roman" w:cs="Times New Roman"/>
          <w:sz w:val="28"/>
          <w:szCs w:val="28"/>
        </w:rPr>
      </w:pPr>
      <w:r>
        <w:rPr>
          <w:rFonts w:hint="default" w:ascii="Times New Roman" w:hAnsi="Times New Roman" w:cs="Times New Roman"/>
          <w:caps/>
          <w:snapToGrid w:val="0"/>
          <w:kern w:val="0"/>
          <w:sz w:val="28"/>
          <w:szCs w:val="28"/>
        </w:rPr>
        <w:fldChar w:fldCharType="begin"/>
      </w:r>
      <w:r>
        <w:rPr>
          <w:rFonts w:hint="default" w:ascii="Times New Roman" w:hAnsi="Times New Roman" w:cs="Times New Roman"/>
          <w:caps/>
          <w:snapToGrid w:val="0"/>
          <w:kern w:val="0"/>
          <w:sz w:val="28"/>
          <w:szCs w:val="28"/>
        </w:rPr>
        <w:instrText xml:space="preserve"> HYPERLINK \l _Toc31823 </w:instrText>
      </w:r>
      <w:r>
        <w:rPr>
          <w:rFonts w:hint="default" w:ascii="Times New Roman" w:hAnsi="Times New Roman" w:cs="Times New Roman"/>
          <w:caps/>
          <w:snapToGrid w:val="0"/>
          <w:kern w:val="0"/>
          <w:sz w:val="28"/>
          <w:szCs w:val="28"/>
        </w:rPr>
        <w:fldChar w:fldCharType="separate"/>
      </w:r>
      <w:r>
        <w:rPr>
          <w:rFonts w:hint="default" w:ascii="Times New Roman" w:hAnsi="Times New Roman" w:eastAsia="黑体" w:cs="Times New Roman"/>
          <w:sz w:val="28"/>
          <w:szCs w:val="28"/>
        </w:rPr>
        <w:t>2.3建设项目地质概况</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_Toc31823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21</w:t>
      </w:r>
      <w:r>
        <w:rPr>
          <w:rFonts w:hint="default" w:ascii="Times New Roman" w:hAnsi="Times New Roman" w:cs="Times New Roman"/>
          <w:sz w:val="28"/>
          <w:szCs w:val="28"/>
        </w:rPr>
        <w:fldChar w:fldCharType="end"/>
      </w:r>
      <w:r>
        <w:rPr>
          <w:rFonts w:hint="default" w:ascii="Times New Roman" w:hAnsi="Times New Roman" w:cs="Times New Roman"/>
          <w:caps/>
          <w:snapToGrid w:val="0"/>
          <w:kern w:val="0"/>
          <w:sz w:val="28"/>
          <w:szCs w:val="28"/>
        </w:rPr>
        <w:fldChar w:fldCharType="end"/>
      </w:r>
    </w:p>
    <w:p w14:paraId="1A8DC0DE">
      <w:pPr>
        <w:pStyle w:val="24"/>
        <w:tabs>
          <w:tab w:val="right" w:leader="dot" w:pos="9183"/>
        </w:tabs>
        <w:rPr>
          <w:rFonts w:hint="default" w:ascii="Times New Roman" w:hAnsi="Times New Roman" w:cs="Times New Roman"/>
          <w:sz w:val="28"/>
          <w:szCs w:val="28"/>
        </w:rPr>
      </w:pPr>
      <w:r>
        <w:rPr>
          <w:rFonts w:hint="default" w:ascii="Times New Roman" w:hAnsi="Times New Roman" w:cs="Times New Roman"/>
          <w:caps/>
          <w:snapToGrid w:val="0"/>
          <w:kern w:val="0"/>
          <w:sz w:val="28"/>
          <w:szCs w:val="28"/>
        </w:rPr>
        <w:fldChar w:fldCharType="begin"/>
      </w:r>
      <w:r>
        <w:rPr>
          <w:rFonts w:hint="default" w:ascii="Times New Roman" w:hAnsi="Times New Roman" w:cs="Times New Roman"/>
          <w:caps/>
          <w:snapToGrid w:val="0"/>
          <w:kern w:val="0"/>
          <w:sz w:val="28"/>
          <w:szCs w:val="28"/>
        </w:rPr>
        <w:instrText xml:space="preserve"> HYPERLINK \l _Toc31094 </w:instrText>
      </w:r>
      <w:r>
        <w:rPr>
          <w:rFonts w:hint="default" w:ascii="Times New Roman" w:hAnsi="Times New Roman" w:cs="Times New Roman"/>
          <w:caps/>
          <w:snapToGrid w:val="0"/>
          <w:kern w:val="0"/>
          <w:sz w:val="28"/>
          <w:szCs w:val="28"/>
        </w:rPr>
        <w:fldChar w:fldCharType="separate"/>
      </w:r>
      <w:r>
        <w:rPr>
          <w:rFonts w:hint="default" w:ascii="Times New Roman" w:hAnsi="Times New Roman" w:eastAsia="黑体" w:cs="Times New Roman"/>
          <w:sz w:val="28"/>
          <w:szCs w:val="28"/>
        </w:rPr>
        <w:t>2.4建设方案概况</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_Toc31094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36</w:t>
      </w:r>
      <w:r>
        <w:rPr>
          <w:rFonts w:hint="default" w:ascii="Times New Roman" w:hAnsi="Times New Roman" w:cs="Times New Roman"/>
          <w:sz w:val="28"/>
          <w:szCs w:val="28"/>
        </w:rPr>
        <w:fldChar w:fldCharType="end"/>
      </w:r>
      <w:r>
        <w:rPr>
          <w:rFonts w:hint="default" w:ascii="Times New Roman" w:hAnsi="Times New Roman" w:cs="Times New Roman"/>
          <w:caps/>
          <w:snapToGrid w:val="0"/>
          <w:kern w:val="0"/>
          <w:sz w:val="28"/>
          <w:szCs w:val="28"/>
        </w:rPr>
        <w:fldChar w:fldCharType="end"/>
      </w:r>
    </w:p>
    <w:p w14:paraId="1C938D93">
      <w:pPr>
        <w:pStyle w:val="21"/>
        <w:tabs>
          <w:tab w:val="right" w:leader="dot" w:pos="9183"/>
        </w:tabs>
        <w:rPr>
          <w:rFonts w:hint="default" w:ascii="Times New Roman" w:hAnsi="Times New Roman" w:cs="Times New Roman"/>
          <w:sz w:val="28"/>
          <w:szCs w:val="28"/>
        </w:rPr>
      </w:pPr>
      <w:r>
        <w:rPr>
          <w:rFonts w:hint="default" w:ascii="Times New Roman" w:hAnsi="Times New Roman" w:cs="Times New Roman"/>
          <w:caps/>
          <w:snapToGrid w:val="0"/>
          <w:kern w:val="0"/>
          <w:sz w:val="28"/>
          <w:szCs w:val="28"/>
        </w:rPr>
        <w:fldChar w:fldCharType="begin"/>
      </w:r>
      <w:r>
        <w:rPr>
          <w:rFonts w:hint="default" w:ascii="Times New Roman" w:hAnsi="Times New Roman" w:cs="Times New Roman"/>
          <w:caps/>
          <w:snapToGrid w:val="0"/>
          <w:kern w:val="0"/>
          <w:sz w:val="28"/>
          <w:szCs w:val="28"/>
        </w:rPr>
        <w:instrText xml:space="preserve"> HYPERLINK \l _Toc5723 </w:instrText>
      </w:r>
      <w:r>
        <w:rPr>
          <w:rFonts w:hint="default" w:ascii="Times New Roman" w:hAnsi="Times New Roman" w:cs="Times New Roman"/>
          <w:caps/>
          <w:snapToGrid w:val="0"/>
          <w:kern w:val="0"/>
          <w:sz w:val="28"/>
          <w:szCs w:val="28"/>
        </w:rPr>
        <w:fldChar w:fldCharType="separate"/>
      </w:r>
      <w:r>
        <w:rPr>
          <w:rFonts w:hint="default" w:ascii="Times New Roman" w:hAnsi="Times New Roman" w:eastAsia="黑体" w:cs="Times New Roman"/>
          <w:sz w:val="28"/>
          <w:szCs w:val="28"/>
        </w:rPr>
        <w:t>3.定性定量评价</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_Toc5723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63</w:t>
      </w:r>
      <w:r>
        <w:rPr>
          <w:rFonts w:hint="default" w:ascii="Times New Roman" w:hAnsi="Times New Roman" w:cs="Times New Roman"/>
          <w:sz w:val="28"/>
          <w:szCs w:val="28"/>
        </w:rPr>
        <w:fldChar w:fldCharType="end"/>
      </w:r>
      <w:r>
        <w:rPr>
          <w:rFonts w:hint="default" w:ascii="Times New Roman" w:hAnsi="Times New Roman" w:cs="Times New Roman"/>
          <w:caps/>
          <w:snapToGrid w:val="0"/>
          <w:kern w:val="0"/>
          <w:sz w:val="28"/>
          <w:szCs w:val="28"/>
        </w:rPr>
        <w:fldChar w:fldCharType="end"/>
      </w:r>
    </w:p>
    <w:p w14:paraId="57A7BD46">
      <w:pPr>
        <w:pStyle w:val="24"/>
        <w:tabs>
          <w:tab w:val="right" w:leader="dot" w:pos="9183"/>
        </w:tabs>
        <w:rPr>
          <w:rFonts w:hint="default" w:ascii="Times New Roman" w:hAnsi="Times New Roman" w:cs="Times New Roman"/>
          <w:sz w:val="28"/>
          <w:szCs w:val="28"/>
        </w:rPr>
      </w:pPr>
      <w:r>
        <w:rPr>
          <w:rFonts w:hint="default" w:ascii="Times New Roman" w:hAnsi="Times New Roman" w:cs="Times New Roman"/>
          <w:caps/>
          <w:snapToGrid w:val="0"/>
          <w:kern w:val="0"/>
          <w:sz w:val="28"/>
          <w:szCs w:val="28"/>
        </w:rPr>
        <w:fldChar w:fldCharType="begin"/>
      </w:r>
      <w:r>
        <w:rPr>
          <w:rFonts w:hint="default" w:ascii="Times New Roman" w:hAnsi="Times New Roman" w:cs="Times New Roman"/>
          <w:caps/>
          <w:snapToGrid w:val="0"/>
          <w:kern w:val="0"/>
          <w:sz w:val="28"/>
          <w:szCs w:val="28"/>
        </w:rPr>
        <w:instrText xml:space="preserve"> HYPERLINK \l _Toc12617 </w:instrText>
      </w:r>
      <w:r>
        <w:rPr>
          <w:rFonts w:hint="default" w:ascii="Times New Roman" w:hAnsi="Times New Roman" w:cs="Times New Roman"/>
          <w:caps/>
          <w:snapToGrid w:val="0"/>
          <w:kern w:val="0"/>
          <w:sz w:val="28"/>
          <w:szCs w:val="28"/>
        </w:rPr>
        <w:fldChar w:fldCharType="separate"/>
      </w:r>
      <w:r>
        <w:rPr>
          <w:rFonts w:hint="default" w:ascii="Times New Roman" w:hAnsi="Times New Roman" w:eastAsia="黑体" w:cs="Times New Roman"/>
          <w:sz w:val="28"/>
          <w:szCs w:val="28"/>
        </w:rPr>
        <w:t>3.1</w:t>
      </w:r>
      <w:r>
        <w:rPr>
          <w:rFonts w:hint="default" w:ascii="Times New Roman" w:hAnsi="Times New Roman" w:eastAsia="黑体" w:cs="Times New Roman"/>
          <w:sz w:val="28"/>
          <w:szCs w:val="28"/>
          <w:lang w:val="en-GB"/>
        </w:rPr>
        <w:t>总平面布置单元</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_Toc12617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64</w:t>
      </w:r>
      <w:r>
        <w:rPr>
          <w:rFonts w:hint="default" w:ascii="Times New Roman" w:hAnsi="Times New Roman" w:cs="Times New Roman"/>
          <w:sz w:val="28"/>
          <w:szCs w:val="28"/>
        </w:rPr>
        <w:fldChar w:fldCharType="end"/>
      </w:r>
      <w:r>
        <w:rPr>
          <w:rFonts w:hint="default" w:ascii="Times New Roman" w:hAnsi="Times New Roman" w:cs="Times New Roman"/>
          <w:caps/>
          <w:snapToGrid w:val="0"/>
          <w:kern w:val="0"/>
          <w:sz w:val="28"/>
          <w:szCs w:val="28"/>
        </w:rPr>
        <w:fldChar w:fldCharType="end"/>
      </w:r>
    </w:p>
    <w:p w14:paraId="3718DD9B">
      <w:pPr>
        <w:pStyle w:val="24"/>
        <w:tabs>
          <w:tab w:val="right" w:leader="dot" w:pos="9183"/>
        </w:tabs>
        <w:rPr>
          <w:rFonts w:hint="default" w:ascii="Times New Roman" w:hAnsi="Times New Roman" w:cs="Times New Roman"/>
          <w:sz w:val="28"/>
          <w:szCs w:val="28"/>
        </w:rPr>
      </w:pPr>
      <w:r>
        <w:rPr>
          <w:rFonts w:hint="default" w:ascii="Times New Roman" w:hAnsi="Times New Roman" w:cs="Times New Roman"/>
          <w:caps/>
          <w:snapToGrid w:val="0"/>
          <w:kern w:val="0"/>
          <w:sz w:val="28"/>
          <w:szCs w:val="28"/>
        </w:rPr>
        <w:fldChar w:fldCharType="begin"/>
      </w:r>
      <w:r>
        <w:rPr>
          <w:rFonts w:hint="default" w:ascii="Times New Roman" w:hAnsi="Times New Roman" w:cs="Times New Roman"/>
          <w:caps/>
          <w:snapToGrid w:val="0"/>
          <w:kern w:val="0"/>
          <w:sz w:val="28"/>
          <w:szCs w:val="28"/>
        </w:rPr>
        <w:instrText xml:space="preserve"> HYPERLINK \l _Toc16283 </w:instrText>
      </w:r>
      <w:r>
        <w:rPr>
          <w:rFonts w:hint="default" w:ascii="Times New Roman" w:hAnsi="Times New Roman" w:cs="Times New Roman"/>
          <w:caps/>
          <w:snapToGrid w:val="0"/>
          <w:kern w:val="0"/>
          <w:sz w:val="28"/>
          <w:szCs w:val="28"/>
        </w:rPr>
        <w:fldChar w:fldCharType="separate"/>
      </w:r>
      <w:r>
        <w:rPr>
          <w:rFonts w:hint="default" w:ascii="Times New Roman" w:hAnsi="Times New Roman" w:eastAsia="黑体" w:cs="Times New Roman"/>
          <w:sz w:val="28"/>
          <w:szCs w:val="28"/>
          <w:lang w:val="en-GB"/>
        </w:rPr>
        <w:t>3.2 开拓运输单元</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_Toc16283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73</w:t>
      </w:r>
      <w:r>
        <w:rPr>
          <w:rFonts w:hint="default" w:ascii="Times New Roman" w:hAnsi="Times New Roman" w:cs="Times New Roman"/>
          <w:sz w:val="28"/>
          <w:szCs w:val="28"/>
        </w:rPr>
        <w:fldChar w:fldCharType="end"/>
      </w:r>
      <w:r>
        <w:rPr>
          <w:rFonts w:hint="default" w:ascii="Times New Roman" w:hAnsi="Times New Roman" w:cs="Times New Roman"/>
          <w:caps/>
          <w:snapToGrid w:val="0"/>
          <w:kern w:val="0"/>
          <w:sz w:val="28"/>
          <w:szCs w:val="28"/>
        </w:rPr>
        <w:fldChar w:fldCharType="end"/>
      </w:r>
    </w:p>
    <w:p w14:paraId="2FC24E59">
      <w:pPr>
        <w:pStyle w:val="24"/>
        <w:tabs>
          <w:tab w:val="right" w:leader="dot" w:pos="9183"/>
        </w:tabs>
        <w:rPr>
          <w:rFonts w:hint="default" w:ascii="Times New Roman" w:hAnsi="Times New Roman" w:cs="Times New Roman"/>
          <w:sz w:val="28"/>
          <w:szCs w:val="28"/>
        </w:rPr>
      </w:pPr>
      <w:r>
        <w:rPr>
          <w:rFonts w:hint="default" w:ascii="Times New Roman" w:hAnsi="Times New Roman" w:cs="Times New Roman"/>
          <w:caps/>
          <w:snapToGrid w:val="0"/>
          <w:kern w:val="0"/>
          <w:sz w:val="28"/>
          <w:szCs w:val="28"/>
        </w:rPr>
        <w:fldChar w:fldCharType="begin"/>
      </w:r>
      <w:r>
        <w:rPr>
          <w:rFonts w:hint="default" w:ascii="Times New Roman" w:hAnsi="Times New Roman" w:cs="Times New Roman"/>
          <w:caps/>
          <w:snapToGrid w:val="0"/>
          <w:kern w:val="0"/>
          <w:sz w:val="28"/>
          <w:szCs w:val="28"/>
        </w:rPr>
        <w:instrText xml:space="preserve"> HYPERLINK \l _Toc7042 </w:instrText>
      </w:r>
      <w:r>
        <w:rPr>
          <w:rFonts w:hint="default" w:ascii="Times New Roman" w:hAnsi="Times New Roman" w:cs="Times New Roman"/>
          <w:caps/>
          <w:snapToGrid w:val="0"/>
          <w:kern w:val="0"/>
          <w:sz w:val="28"/>
          <w:szCs w:val="28"/>
        </w:rPr>
        <w:fldChar w:fldCharType="separate"/>
      </w:r>
      <w:r>
        <w:rPr>
          <w:rFonts w:hint="default" w:ascii="Times New Roman" w:hAnsi="Times New Roman" w:eastAsia="黑体" w:cs="Times New Roman"/>
          <w:sz w:val="28"/>
          <w:szCs w:val="28"/>
          <w:lang w:val="en-GB"/>
        </w:rPr>
        <w:t>3.3 采剥单元</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_Toc7042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80</w:t>
      </w:r>
      <w:r>
        <w:rPr>
          <w:rFonts w:hint="default" w:ascii="Times New Roman" w:hAnsi="Times New Roman" w:cs="Times New Roman"/>
          <w:sz w:val="28"/>
          <w:szCs w:val="28"/>
        </w:rPr>
        <w:fldChar w:fldCharType="end"/>
      </w:r>
      <w:r>
        <w:rPr>
          <w:rFonts w:hint="default" w:ascii="Times New Roman" w:hAnsi="Times New Roman" w:cs="Times New Roman"/>
          <w:caps/>
          <w:snapToGrid w:val="0"/>
          <w:kern w:val="0"/>
          <w:sz w:val="28"/>
          <w:szCs w:val="28"/>
        </w:rPr>
        <w:fldChar w:fldCharType="end"/>
      </w:r>
    </w:p>
    <w:p w14:paraId="7CC386A4">
      <w:pPr>
        <w:pStyle w:val="24"/>
        <w:tabs>
          <w:tab w:val="right" w:leader="dot" w:pos="9183"/>
        </w:tabs>
        <w:rPr>
          <w:rFonts w:hint="default" w:ascii="Times New Roman" w:hAnsi="Times New Roman" w:cs="Times New Roman"/>
          <w:sz w:val="28"/>
          <w:szCs w:val="28"/>
        </w:rPr>
      </w:pPr>
      <w:r>
        <w:rPr>
          <w:rFonts w:hint="default" w:ascii="Times New Roman" w:hAnsi="Times New Roman" w:cs="Times New Roman"/>
          <w:caps/>
          <w:snapToGrid w:val="0"/>
          <w:kern w:val="0"/>
          <w:sz w:val="28"/>
          <w:szCs w:val="28"/>
        </w:rPr>
        <w:fldChar w:fldCharType="begin"/>
      </w:r>
      <w:r>
        <w:rPr>
          <w:rFonts w:hint="default" w:ascii="Times New Roman" w:hAnsi="Times New Roman" w:cs="Times New Roman"/>
          <w:caps/>
          <w:snapToGrid w:val="0"/>
          <w:kern w:val="0"/>
          <w:sz w:val="28"/>
          <w:szCs w:val="28"/>
        </w:rPr>
        <w:instrText xml:space="preserve"> HYPERLINK \l _Toc18084 </w:instrText>
      </w:r>
      <w:r>
        <w:rPr>
          <w:rFonts w:hint="default" w:ascii="Times New Roman" w:hAnsi="Times New Roman" w:cs="Times New Roman"/>
          <w:caps/>
          <w:snapToGrid w:val="0"/>
          <w:kern w:val="0"/>
          <w:sz w:val="28"/>
          <w:szCs w:val="28"/>
        </w:rPr>
        <w:fldChar w:fldCharType="separate"/>
      </w:r>
      <w:r>
        <w:rPr>
          <w:rFonts w:hint="default" w:ascii="Times New Roman" w:hAnsi="Times New Roman" w:eastAsia="黑体" w:cs="Times New Roman"/>
          <w:sz w:val="28"/>
          <w:szCs w:val="28"/>
          <w:lang w:val="en-GB"/>
        </w:rPr>
        <w:t>3.4 矿山供配电设施单元</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_Toc18084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101</w:t>
      </w:r>
      <w:r>
        <w:rPr>
          <w:rFonts w:hint="default" w:ascii="Times New Roman" w:hAnsi="Times New Roman" w:cs="Times New Roman"/>
          <w:sz w:val="28"/>
          <w:szCs w:val="28"/>
        </w:rPr>
        <w:fldChar w:fldCharType="end"/>
      </w:r>
      <w:r>
        <w:rPr>
          <w:rFonts w:hint="default" w:ascii="Times New Roman" w:hAnsi="Times New Roman" w:cs="Times New Roman"/>
          <w:caps/>
          <w:snapToGrid w:val="0"/>
          <w:kern w:val="0"/>
          <w:sz w:val="28"/>
          <w:szCs w:val="28"/>
        </w:rPr>
        <w:fldChar w:fldCharType="end"/>
      </w:r>
    </w:p>
    <w:p w14:paraId="699FCC12">
      <w:pPr>
        <w:pStyle w:val="24"/>
        <w:tabs>
          <w:tab w:val="right" w:leader="dot" w:pos="9183"/>
        </w:tabs>
        <w:rPr>
          <w:rFonts w:hint="default" w:ascii="Times New Roman" w:hAnsi="Times New Roman" w:cs="Times New Roman"/>
          <w:sz w:val="28"/>
          <w:szCs w:val="28"/>
        </w:rPr>
      </w:pPr>
      <w:r>
        <w:rPr>
          <w:rFonts w:hint="default" w:ascii="Times New Roman" w:hAnsi="Times New Roman" w:cs="Times New Roman"/>
          <w:caps/>
          <w:snapToGrid w:val="0"/>
          <w:kern w:val="0"/>
          <w:sz w:val="28"/>
          <w:szCs w:val="28"/>
        </w:rPr>
        <w:fldChar w:fldCharType="begin"/>
      </w:r>
      <w:r>
        <w:rPr>
          <w:rFonts w:hint="default" w:ascii="Times New Roman" w:hAnsi="Times New Roman" w:cs="Times New Roman"/>
          <w:caps/>
          <w:snapToGrid w:val="0"/>
          <w:kern w:val="0"/>
          <w:sz w:val="28"/>
          <w:szCs w:val="28"/>
        </w:rPr>
        <w:instrText xml:space="preserve"> HYPERLINK \l _Toc20077 </w:instrText>
      </w:r>
      <w:r>
        <w:rPr>
          <w:rFonts w:hint="default" w:ascii="Times New Roman" w:hAnsi="Times New Roman" w:cs="Times New Roman"/>
          <w:caps/>
          <w:snapToGrid w:val="0"/>
          <w:kern w:val="0"/>
          <w:sz w:val="28"/>
          <w:szCs w:val="28"/>
        </w:rPr>
        <w:fldChar w:fldCharType="separate"/>
      </w:r>
      <w:r>
        <w:rPr>
          <w:rFonts w:hint="default" w:ascii="Times New Roman" w:hAnsi="Times New Roman" w:eastAsia="黑体" w:cs="Times New Roman"/>
          <w:sz w:val="28"/>
          <w:szCs w:val="28"/>
          <w:lang w:val="en-GB"/>
        </w:rPr>
        <w:t>3.5 防排水与防灭火单元</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_Toc20077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106</w:t>
      </w:r>
      <w:r>
        <w:rPr>
          <w:rFonts w:hint="default" w:ascii="Times New Roman" w:hAnsi="Times New Roman" w:cs="Times New Roman"/>
          <w:sz w:val="28"/>
          <w:szCs w:val="28"/>
        </w:rPr>
        <w:fldChar w:fldCharType="end"/>
      </w:r>
      <w:r>
        <w:rPr>
          <w:rFonts w:hint="default" w:ascii="Times New Roman" w:hAnsi="Times New Roman" w:cs="Times New Roman"/>
          <w:caps/>
          <w:snapToGrid w:val="0"/>
          <w:kern w:val="0"/>
          <w:sz w:val="28"/>
          <w:szCs w:val="28"/>
        </w:rPr>
        <w:fldChar w:fldCharType="end"/>
      </w:r>
    </w:p>
    <w:p w14:paraId="5BD4D980">
      <w:pPr>
        <w:pStyle w:val="24"/>
        <w:tabs>
          <w:tab w:val="right" w:leader="dot" w:pos="9183"/>
        </w:tabs>
        <w:rPr>
          <w:rFonts w:hint="default" w:ascii="Times New Roman" w:hAnsi="Times New Roman" w:cs="Times New Roman"/>
          <w:sz w:val="28"/>
          <w:szCs w:val="28"/>
        </w:rPr>
      </w:pPr>
      <w:r>
        <w:rPr>
          <w:rFonts w:hint="default" w:ascii="Times New Roman" w:hAnsi="Times New Roman" w:cs="Times New Roman"/>
          <w:caps/>
          <w:snapToGrid w:val="0"/>
          <w:kern w:val="0"/>
          <w:sz w:val="28"/>
          <w:szCs w:val="28"/>
        </w:rPr>
        <w:fldChar w:fldCharType="begin"/>
      </w:r>
      <w:r>
        <w:rPr>
          <w:rFonts w:hint="default" w:ascii="Times New Roman" w:hAnsi="Times New Roman" w:cs="Times New Roman"/>
          <w:caps/>
          <w:snapToGrid w:val="0"/>
          <w:kern w:val="0"/>
          <w:sz w:val="28"/>
          <w:szCs w:val="28"/>
        </w:rPr>
        <w:instrText xml:space="preserve"> HYPERLINK \l _Toc2678 </w:instrText>
      </w:r>
      <w:r>
        <w:rPr>
          <w:rFonts w:hint="default" w:ascii="Times New Roman" w:hAnsi="Times New Roman" w:cs="Times New Roman"/>
          <w:caps/>
          <w:snapToGrid w:val="0"/>
          <w:kern w:val="0"/>
          <w:sz w:val="28"/>
          <w:szCs w:val="28"/>
        </w:rPr>
        <w:fldChar w:fldCharType="separate"/>
      </w:r>
      <w:r>
        <w:rPr>
          <w:rFonts w:hint="default" w:ascii="Times New Roman" w:hAnsi="Times New Roman" w:eastAsia="黑体" w:cs="Times New Roman"/>
          <w:sz w:val="28"/>
          <w:szCs w:val="28"/>
          <w:lang w:val="en-GB"/>
        </w:rPr>
        <w:t>3.</w:t>
      </w:r>
      <w:r>
        <w:rPr>
          <w:rFonts w:hint="default" w:ascii="Times New Roman" w:hAnsi="Times New Roman" w:eastAsia="黑体" w:cs="Times New Roman"/>
          <w:sz w:val="28"/>
          <w:szCs w:val="28"/>
          <w:lang w:val="en-US" w:eastAsia="zh-CN"/>
        </w:rPr>
        <w:t>6</w:t>
      </w:r>
      <w:r>
        <w:rPr>
          <w:rFonts w:hint="default" w:ascii="Times New Roman" w:hAnsi="Times New Roman" w:eastAsia="黑体" w:cs="Times New Roman"/>
          <w:sz w:val="28"/>
          <w:szCs w:val="28"/>
          <w:lang w:val="en-GB"/>
        </w:rPr>
        <w:t>安全管理及其他单元</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_Toc2678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110</w:t>
      </w:r>
      <w:r>
        <w:rPr>
          <w:rFonts w:hint="default" w:ascii="Times New Roman" w:hAnsi="Times New Roman" w:cs="Times New Roman"/>
          <w:sz w:val="28"/>
          <w:szCs w:val="28"/>
        </w:rPr>
        <w:fldChar w:fldCharType="end"/>
      </w:r>
      <w:r>
        <w:rPr>
          <w:rFonts w:hint="default" w:ascii="Times New Roman" w:hAnsi="Times New Roman" w:cs="Times New Roman"/>
          <w:caps/>
          <w:snapToGrid w:val="0"/>
          <w:kern w:val="0"/>
          <w:sz w:val="28"/>
          <w:szCs w:val="28"/>
        </w:rPr>
        <w:fldChar w:fldCharType="end"/>
      </w:r>
    </w:p>
    <w:p w14:paraId="149F527D">
      <w:pPr>
        <w:pStyle w:val="24"/>
        <w:tabs>
          <w:tab w:val="right" w:leader="dot" w:pos="9183"/>
        </w:tabs>
        <w:rPr>
          <w:rFonts w:hint="default" w:ascii="Times New Roman" w:hAnsi="Times New Roman" w:cs="Times New Roman"/>
          <w:sz w:val="28"/>
          <w:szCs w:val="28"/>
        </w:rPr>
      </w:pPr>
      <w:r>
        <w:rPr>
          <w:rFonts w:hint="default" w:ascii="Times New Roman" w:hAnsi="Times New Roman" w:cs="Times New Roman"/>
          <w:caps/>
          <w:snapToGrid w:val="0"/>
          <w:kern w:val="0"/>
          <w:sz w:val="28"/>
          <w:szCs w:val="28"/>
        </w:rPr>
        <w:fldChar w:fldCharType="begin"/>
      </w:r>
      <w:r>
        <w:rPr>
          <w:rFonts w:hint="default" w:ascii="Times New Roman" w:hAnsi="Times New Roman" w:cs="Times New Roman"/>
          <w:caps/>
          <w:snapToGrid w:val="0"/>
          <w:kern w:val="0"/>
          <w:sz w:val="28"/>
          <w:szCs w:val="28"/>
        </w:rPr>
        <w:instrText xml:space="preserve"> HYPERLINK \l _Toc20321 </w:instrText>
      </w:r>
      <w:r>
        <w:rPr>
          <w:rFonts w:hint="default" w:ascii="Times New Roman" w:hAnsi="Times New Roman" w:cs="Times New Roman"/>
          <w:caps/>
          <w:snapToGrid w:val="0"/>
          <w:kern w:val="0"/>
          <w:sz w:val="28"/>
          <w:szCs w:val="28"/>
        </w:rPr>
        <w:fldChar w:fldCharType="separate"/>
      </w:r>
      <w:r>
        <w:rPr>
          <w:rFonts w:hint="default" w:ascii="Times New Roman" w:hAnsi="Times New Roman" w:eastAsia="黑体" w:cs="Times New Roman"/>
          <w:sz w:val="28"/>
          <w:szCs w:val="28"/>
          <w:lang w:val="en-GB"/>
        </w:rPr>
        <w:t>3.</w:t>
      </w:r>
      <w:r>
        <w:rPr>
          <w:rFonts w:hint="default" w:ascii="Times New Roman" w:hAnsi="Times New Roman" w:eastAsia="黑体" w:cs="Times New Roman"/>
          <w:sz w:val="28"/>
          <w:szCs w:val="28"/>
          <w:lang w:val="en-US" w:eastAsia="zh-CN"/>
        </w:rPr>
        <w:t>7破碎系统单元</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_Toc20321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116</w:t>
      </w:r>
      <w:r>
        <w:rPr>
          <w:rFonts w:hint="default" w:ascii="Times New Roman" w:hAnsi="Times New Roman" w:cs="Times New Roman"/>
          <w:sz w:val="28"/>
          <w:szCs w:val="28"/>
        </w:rPr>
        <w:fldChar w:fldCharType="end"/>
      </w:r>
      <w:r>
        <w:rPr>
          <w:rFonts w:hint="default" w:ascii="Times New Roman" w:hAnsi="Times New Roman" w:cs="Times New Roman"/>
          <w:caps/>
          <w:snapToGrid w:val="0"/>
          <w:kern w:val="0"/>
          <w:sz w:val="28"/>
          <w:szCs w:val="28"/>
        </w:rPr>
        <w:fldChar w:fldCharType="end"/>
      </w:r>
    </w:p>
    <w:p w14:paraId="4FCA3743">
      <w:pPr>
        <w:pStyle w:val="24"/>
        <w:tabs>
          <w:tab w:val="right" w:leader="dot" w:pos="9183"/>
        </w:tabs>
        <w:rPr>
          <w:rFonts w:hint="default" w:ascii="Times New Roman" w:hAnsi="Times New Roman" w:cs="Times New Roman"/>
          <w:sz w:val="28"/>
          <w:szCs w:val="28"/>
        </w:rPr>
      </w:pPr>
      <w:r>
        <w:rPr>
          <w:rFonts w:hint="default" w:ascii="Times New Roman" w:hAnsi="Times New Roman" w:cs="Times New Roman"/>
          <w:caps/>
          <w:snapToGrid w:val="0"/>
          <w:kern w:val="0"/>
          <w:sz w:val="28"/>
          <w:szCs w:val="28"/>
        </w:rPr>
        <w:fldChar w:fldCharType="begin"/>
      </w:r>
      <w:r>
        <w:rPr>
          <w:rFonts w:hint="default" w:ascii="Times New Roman" w:hAnsi="Times New Roman" w:cs="Times New Roman"/>
          <w:caps/>
          <w:snapToGrid w:val="0"/>
          <w:kern w:val="0"/>
          <w:sz w:val="28"/>
          <w:szCs w:val="28"/>
        </w:rPr>
        <w:instrText xml:space="preserve"> HYPERLINK \l _Toc31741 </w:instrText>
      </w:r>
      <w:r>
        <w:rPr>
          <w:rFonts w:hint="default" w:ascii="Times New Roman" w:hAnsi="Times New Roman" w:cs="Times New Roman"/>
          <w:caps/>
          <w:snapToGrid w:val="0"/>
          <w:kern w:val="0"/>
          <w:sz w:val="28"/>
          <w:szCs w:val="28"/>
        </w:rPr>
        <w:fldChar w:fldCharType="separate"/>
      </w:r>
      <w:r>
        <w:rPr>
          <w:rFonts w:hint="default" w:ascii="Times New Roman" w:hAnsi="Times New Roman" w:eastAsia="黑体" w:cs="Times New Roman"/>
          <w:sz w:val="28"/>
          <w:szCs w:val="28"/>
          <w:lang w:val="en-US" w:eastAsia="zh-CN"/>
        </w:rPr>
        <w:t>3.8</w:t>
      </w:r>
      <w:r>
        <w:rPr>
          <w:rFonts w:hint="default" w:ascii="Times New Roman" w:hAnsi="Times New Roman" w:eastAsia="黑体" w:cs="Times New Roman"/>
          <w:sz w:val="28"/>
          <w:szCs w:val="28"/>
          <w:lang w:val="en-GB"/>
        </w:rPr>
        <w:t>重大危险源辨识单元</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_Toc31741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119</w:t>
      </w:r>
      <w:r>
        <w:rPr>
          <w:rFonts w:hint="default" w:ascii="Times New Roman" w:hAnsi="Times New Roman" w:cs="Times New Roman"/>
          <w:sz w:val="28"/>
          <w:szCs w:val="28"/>
        </w:rPr>
        <w:fldChar w:fldCharType="end"/>
      </w:r>
      <w:r>
        <w:rPr>
          <w:rFonts w:hint="default" w:ascii="Times New Roman" w:hAnsi="Times New Roman" w:cs="Times New Roman"/>
          <w:caps/>
          <w:snapToGrid w:val="0"/>
          <w:kern w:val="0"/>
          <w:sz w:val="28"/>
          <w:szCs w:val="28"/>
        </w:rPr>
        <w:fldChar w:fldCharType="end"/>
      </w:r>
    </w:p>
    <w:p w14:paraId="6EACE616">
      <w:pPr>
        <w:pStyle w:val="21"/>
        <w:tabs>
          <w:tab w:val="right" w:leader="dot" w:pos="9183"/>
        </w:tabs>
        <w:rPr>
          <w:rFonts w:hint="default" w:ascii="Times New Roman" w:hAnsi="Times New Roman" w:cs="Times New Roman"/>
          <w:sz w:val="28"/>
          <w:szCs w:val="28"/>
        </w:rPr>
      </w:pPr>
      <w:r>
        <w:rPr>
          <w:rFonts w:hint="default" w:ascii="Times New Roman" w:hAnsi="Times New Roman" w:cs="Times New Roman"/>
          <w:caps/>
          <w:snapToGrid w:val="0"/>
          <w:kern w:val="0"/>
          <w:sz w:val="28"/>
          <w:szCs w:val="28"/>
        </w:rPr>
        <w:fldChar w:fldCharType="begin"/>
      </w:r>
      <w:r>
        <w:rPr>
          <w:rFonts w:hint="default" w:ascii="Times New Roman" w:hAnsi="Times New Roman" w:cs="Times New Roman"/>
          <w:caps/>
          <w:snapToGrid w:val="0"/>
          <w:kern w:val="0"/>
          <w:sz w:val="28"/>
          <w:szCs w:val="28"/>
        </w:rPr>
        <w:instrText xml:space="preserve"> HYPERLINK \l _Toc4294 </w:instrText>
      </w:r>
      <w:r>
        <w:rPr>
          <w:rFonts w:hint="default" w:ascii="Times New Roman" w:hAnsi="Times New Roman" w:cs="Times New Roman"/>
          <w:caps/>
          <w:snapToGrid w:val="0"/>
          <w:kern w:val="0"/>
          <w:sz w:val="28"/>
          <w:szCs w:val="28"/>
        </w:rPr>
        <w:fldChar w:fldCharType="separate"/>
      </w:r>
      <w:r>
        <w:rPr>
          <w:rFonts w:hint="default" w:ascii="Times New Roman" w:hAnsi="Times New Roman" w:eastAsia="黑体" w:cs="Times New Roman"/>
          <w:sz w:val="28"/>
          <w:szCs w:val="28"/>
        </w:rPr>
        <w:t>4.安全对策措施建议</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_Toc4294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121</w:t>
      </w:r>
      <w:r>
        <w:rPr>
          <w:rFonts w:hint="default" w:ascii="Times New Roman" w:hAnsi="Times New Roman" w:cs="Times New Roman"/>
          <w:sz w:val="28"/>
          <w:szCs w:val="28"/>
        </w:rPr>
        <w:fldChar w:fldCharType="end"/>
      </w:r>
      <w:r>
        <w:rPr>
          <w:rFonts w:hint="default" w:ascii="Times New Roman" w:hAnsi="Times New Roman" w:cs="Times New Roman"/>
          <w:caps/>
          <w:snapToGrid w:val="0"/>
          <w:kern w:val="0"/>
          <w:sz w:val="28"/>
          <w:szCs w:val="28"/>
        </w:rPr>
        <w:fldChar w:fldCharType="end"/>
      </w:r>
    </w:p>
    <w:p w14:paraId="629B1461">
      <w:pPr>
        <w:pStyle w:val="24"/>
        <w:tabs>
          <w:tab w:val="right" w:leader="dot" w:pos="9183"/>
        </w:tabs>
        <w:rPr>
          <w:rFonts w:hint="default" w:ascii="Times New Roman" w:hAnsi="Times New Roman" w:cs="Times New Roman"/>
          <w:sz w:val="28"/>
          <w:szCs w:val="28"/>
        </w:rPr>
      </w:pPr>
      <w:r>
        <w:rPr>
          <w:rFonts w:hint="default" w:ascii="Times New Roman" w:hAnsi="Times New Roman" w:cs="Times New Roman"/>
          <w:caps/>
          <w:snapToGrid w:val="0"/>
          <w:kern w:val="0"/>
          <w:sz w:val="28"/>
          <w:szCs w:val="28"/>
        </w:rPr>
        <w:fldChar w:fldCharType="begin"/>
      </w:r>
      <w:r>
        <w:rPr>
          <w:rFonts w:hint="default" w:ascii="Times New Roman" w:hAnsi="Times New Roman" w:cs="Times New Roman"/>
          <w:caps/>
          <w:snapToGrid w:val="0"/>
          <w:kern w:val="0"/>
          <w:sz w:val="28"/>
          <w:szCs w:val="28"/>
        </w:rPr>
        <w:instrText xml:space="preserve"> HYPERLINK \l _Toc7297 </w:instrText>
      </w:r>
      <w:r>
        <w:rPr>
          <w:rFonts w:hint="default" w:ascii="Times New Roman" w:hAnsi="Times New Roman" w:cs="Times New Roman"/>
          <w:caps/>
          <w:snapToGrid w:val="0"/>
          <w:kern w:val="0"/>
          <w:sz w:val="28"/>
          <w:szCs w:val="28"/>
        </w:rPr>
        <w:fldChar w:fldCharType="separate"/>
      </w:r>
      <w:r>
        <w:rPr>
          <w:rFonts w:hint="default" w:ascii="Times New Roman" w:hAnsi="Times New Roman" w:eastAsia="黑体" w:cs="Times New Roman"/>
          <w:sz w:val="28"/>
          <w:szCs w:val="28"/>
          <w:lang w:val="en-GB"/>
        </w:rPr>
        <w:t>4.1各单元安全对策措施建议</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_Toc7297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121</w:t>
      </w:r>
      <w:r>
        <w:rPr>
          <w:rFonts w:hint="default" w:ascii="Times New Roman" w:hAnsi="Times New Roman" w:cs="Times New Roman"/>
          <w:sz w:val="28"/>
          <w:szCs w:val="28"/>
        </w:rPr>
        <w:fldChar w:fldCharType="end"/>
      </w:r>
      <w:r>
        <w:rPr>
          <w:rFonts w:hint="default" w:ascii="Times New Roman" w:hAnsi="Times New Roman" w:cs="Times New Roman"/>
          <w:caps/>
          <w:snapToGrid w:val="0"/>
          <w:kern w:val="0"/>
          <w:sz w:val="28"/>
          <w:szCs w:val="28"/>
        </w:rPr>
        <w:fldChar w:fldCharType="end"/>
      </w:r>
    </w:p>
    <w:p w14:paraId="4085EBEA">
      <w:pPr>
        <w:pStyle w:val="24"/>
        <w:tabs>
          <w:tab w:val="right" w:leader="dot" w:pos="9183"/>
        </w:tabs>
        <w:rPr>
          <w:rFonts w:hint="default" w:ascii="Times New Roman" w:hAnsi="Times New Roman" w:cs="Times New Roman"/>
          <w:sz w:val="28"/>
          <w:szCs w:val="28"/>
        </w:rPr>
      </w:pPr>
      <w:r>
        <w:rPr>
          <w:rFonts w:hint="default" w:ascii="Times New Roman" w:hAnsi="Times New Roman" w:cs="Times New Roman"/>
          <w:caps/>
          <w:snapToGrid w:val="0"/>
          <w:kern w:val="0"/>
          <w:sz w:val="28"/>
          <w:szCs w:val="28"/>
        </w:rPr>
        <w:fldChar w:fldCharType="begin"/>
      </w:r>
      <w:r>
        <w:rPr>
          <w:rFonts w:hint="default" w:ascii="Times New Roman" w:hAnsi="Times New Roman" w:cs="Times New Roman"/>
          <w:caps/>
          <w:snapToGrid w:val="0"/>
          <w:kern w:val="0"/>
          <w:sz w:val="28"/>
          <w:szCs w:val="28"/>
        </w:rPr>
        <w:instrText xml:space="preserve"> HYPERLINK \l _Toc3387 </w:instrText>
      </w:r>
      <w:r>
        <w:rPr>
          <w:rFonts w:hint="default" w:ascii="Times New Roman" w:hAnsi="Times New Roman" w:cs="Times New Roman"/>
          <w:caps/>
          <w:snapToGrid w:val="0"/>
          <w:kern w:val="0"/>
          <w:sz w:val="28"/>
          <w:szCs w:val="28"/>
        </w:rPr>
        <w:fldChar w:fldCharType="separate"/>
      </w:r>
      <w:r>
        <w:rPr>
          <w:rFonts w:hint="default" w:ascii="Times New Roman" w:hAnsi="Times New Roman" w:eastAsia="黑体" w:cs="Times New Roman"/>
          <w:sz w:val="28"/>
          <w:szCs w:val="28"/>
          <w:lang w:val="en-GB"/>
        </w:rPr>
        <w:t>4.2其他对策措施及建议</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_Toc3387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128</w:t>
      </w:r>
      <w:r>
        <w:rPr>
          <w:rFonts w:hint="default" w:ascii="Times New Roman" w:hAnsi="Times New Roman" w:cs="Times New Roman"/>
          <w:sz w:val="28"/>
          <w:szCs w:val="28"/>
        </w:rPr>
        <w:fldChar w:fldCharType="end"/>
      </w:r>
      <w:r>
        <w:rPr>
          <w:rFonts w:hint="default" w:ascii="Times New Roman" w:hAnsi="Times New Roman" w:cs="Times New Roman"/>
          <w:caps/>
          <w:snapToGrid w:val="0"/>
          <w:kern w:val="0"/>
          <w:sz w:val="28"/>
          <w:szCs w:val="28"/>
        </w:rPr>
        <w:fldChar w:fldCharType="end"/>
      </w:r>
    </w:p>
    <w:p w14:paraId="3171689A">
      <w:pPr>
        <w:pStyle w:val="21"/>
        <w:tabs>
          <w:tab w:val="right" w:leader="dot" w:pos="9183"/>
        </w:tabs>
        <w:rPr>
          <w:rFonts w:hint="default" w:ascii="Times New Roman" w:hAnsi="Times New Roman" w:cs="Times New Roman"/>
          <w:sz w:val="28"/>
          <w:szCs w:val="28"/>
        </w:rPr>
      </w:pPr>
      <w:r>
        <w:rPr>
          <w:rFonts w:hint="default" w:ascii="Times New Roman" w:hAnsi="Times New Roman" w:cs="Times New Roman"/>
          <w:caps/>
          <w:snapToGrid w:val="0"/>
          <w:kern w:val="0"/>
          <w:sz w:val="28"/>
          <w:szCs w:val="28"/>
        </w:rPr>
        <w:fldChar w:fldCharType="begin"/>
      </w:r>
      <w:r>
        <w:rPr>
          <w:rFonts w:hint="default" w:ascii="Times New Roman" w:hAnsi="Times New Roman" w:cs="Times New Roman"/>
          <w:caps/>
          <w:snapToGrid w:val="0"/>
          <w:kern w:val="0"/>
          <w:sz w:val="28"/>
          <w:szCs w:val="28"/>
        </w:rPr>
        <w:instrText xml:space="preserve"> HYPERLINK \l _Toc26812 </w:instrText>
      </w:r>
      <w:r>
        <w:rPr>
          <w:rFonts w:hint="default" w:ascii="Times New Roman" w:hAnsi="Times New Roman" w:cs="Times New Roman"/>
          <w:caps/>
          <w:snapToGrid w:val="0"/>
          <w:kern w:val="0"/>
          <w:sz w:val="28"/>
          <w:szCs w:val="28"/>
        </w:rPr>
        <w:fldChar w:fldCharType="separate"/>
      </w:r>
      <w:r>
        <w:rPr>
          <w:rFonts w:hint="default" w:ascii="Times New Roman" w:hAnsi="Times New Roman" w:eastAsia="黑体" w:cs="Times New Roman"/>
          <w:sz w:val="28"/>
          <w:szCs w:val="28"/>
        </w:rPr>
        <w:t>5.评价结论</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_Toc26812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130</w:t>
      </w:r>
      <w:r>
        <w:rPr>
          <w:rFonts w:hint="default" w:ascii="Times New Roman" w:hAnsi="Times New Roman" w:cs="Times New Roman"/>
          <w:sz w:val="28"/>
          <w:szCs w:val="28"/>
        </w:rPr>
        <w:fldChar w:fldCharType="end"/>
      </w:r>
      <w:r>
        <w:rPr>
          <w:rFonts w:hint="default" w:ascii="Times New Roman" w:hAnsi="Times New Roman" w:cs="Times New Roman"/>
          <w:caps/>
          <w:snapToGrid w:val="0"/>
          <w:kern w:val="0"/>
          <w:sz w:val="28"/>
          <w:szCs w:val="28"/>
        </w:rPr>
        <w:fldChar w:fldCharType="end"/>
      </w:r>
    </w:p>
    <w:p w14:paraId="0739B1A3">
      <w:pPr>
        <w:pStyle w:val="24"/>
        <w:tabs>
          <w:tab w:val="right" w:leader="dot" w:pos="9183"/>
        </w:tabs>
        <w:rPr>
          <w:rFonts w:hint="default" w:ascii="Times New Roman" w:hAnsi="Times New Roman" w:cs="Times New Roman"/>
          <w:sz w:val="28"/>
          <w:szCs w:val="28"/>
        </w:rPr>
      </w:pPr>
      <w:r>
        <w:rPr>
          <w:rFonts w:hint="default" w:ascii="Times New Roman" w:hAnsi="Times New Roman" w:cs="Times New Roman"/>
          <w:caps/>
          <w:snapToGrid w:val="0"/>
          <w:kern w:val="0"/>
          <w:sz w:val="28"/>
          <w:szCs w:val="28"/>
        </w:rPr>
        <w:fldChar w:fldCharType="begin"/>
      </w:r>
      <w:r>
        <w:rPr>
          <w:rFonts w:hint="default" w:ascii="Times New Roman" w:hAnsi="Times New Roman" w:cs="Times New Roman"/>
          <w:caps/>
          <w:snapToGrid w:val="0"/>
          <w:kern w:val="0"/>
          <w:sz w:val="28"/>
          <w:szCs w:val="28"/>
        </w:rPr>
        <w:instrText xml:space="preserve"> HYPERLINK \l _Toc20705 </w:instrText>
      </w:r>
      <w:r>
        <w:rPr>
          <w:rFonts w:hint="default" w:ascii="Times New Roman" w:hAnsi="Times New Roman" w:cs="Times New Roman"/>
          <w:caps/>
          <w:snapToGrid w:val="0"/>
          <w:kern w:val="0"/>
          <w:sz w:val="28"/>
          <w:szCs w:val="28"/>
        </w:rPr>
        <w:fldChar w:fldCharType="separate"/>
      </w:r>
      <w:r>
        <w:rPr>
          <w:rFonts w:hint="default" w:ascii="Times New Roman" w:hAnsi="Times New Roman" w:eastAsia="黑体" w:cs="Times New Roman"/>
          <w:sz w:val="28"/>
          <w:szCs w:val="28"/>
        </w:rPr>
        <w:t>5.1主要危险、有害因素评价结果</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_Toc20705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130</w:t>
      </w:r>
      <w:r>
        <w:rPr>
          <w:rFonts w:hint="default" w:ascii="Times New Roman" w:hAnsi="Times New Roman" w:cs="Times New Roman"/>
          <w:sz w:val="28"/>
          <w:szCs w:val="28"/>
        </w:rPr>
        <w:fldChar w:fldCharType="end"/>
      </w:r>
      <w:r>
        <w:rPr>
          <w:rFonts w:hint="default" w:ascii="Times New Roman" w:hAnsi="Times New Roman" w:cs="Times New Roman"/>
          <w:caps/>
          <w:snapToGrid w:val="0"/>
          <w:kern w:val="0"/>
          <w:sz w:val="28"/>
          <w:szCs w:val="28"/>
        </w:rPr>
        <w:fldChar w:fldCharType="end"/>
      </w:r>
    </w:p>
    <w:p w14:paraId="662CA10A">
      <w:pPr>
        <w:pStyle w:val="24"/>
        <w:tabs>
          <w:tab w:val="right" w:leader="dot" w:pos="9183"/>
        </w:tabs>
        <w:rPr>
          <w:rFonts w:hint="default" w:ascii="Times New Roman" w:hAnsi="Times New Roman" w:cs="Times New Roman"/>
          <w:sz w:val="28"/>
          <w:szCs w:val="28"/>
        </w:rPr>
      </w:pPr>
      <w:r>
        <w:rPr>
          <w:rFonts w:hint="default" w:ascii="Times New Roman" w:hAnsi="Times New Roman" w:cs="Times New Roman"/>
          <w:caps/>
          <w:snapToGrid w:val="0"/>
          <w:kern w:val="0"/>
          <w:sz w:val="28"/>
          <w:szCs w:val="28"/>
        </w:rPr>
        <w:fldChar w:fldCharType="begin"/>
      </w:r>
      <w:r>
        <w:rPr>
          <w:rFonts w:hint="default" w:ascii="Times New Roman" w:hAnsi="Times New Roman" w:cs="Times New Roman"/>
          <w:caps/>
          <w:snapToGrid w:val="0"/>
          <w:kern w:val="0"/>
          <w:sz w:val="28"/>
          <w:szCs w:val="28"/>
        </w:rPr>
        <w:instrText xml:space="preserve"> HYPERLINK \l _Toc23913 </w:instrText>
      </w:r>
      <w:r>
        <w:rPr>
          <w:rFonts w:hint="default" w:ascii="Times New Roman" w:hAnsi="Times New Roman" w:cs="Times New Roman"/>
          <w:caps/>
          <w:snapToGrid w:val="0"/>
          <w:kern w:val="0"/>
          <w:sz w:val="28"/>
          <w:szCs w:val="28"/>
        </w:rPr>
        <w:fldChar w:fldCharType="separate"/>
      </w:r>
      <w:r>
        <w:rPr>
          <w:rFonts w:hint="default" w:ascii="Times New Roman" w:hAnsi="Times New Roman" w:eastAsia="黑体" w:cs="Times New Roman"/>
          <w:sz w:val="28"/>
          <w:szCs w:val="28"/>
        </w:rPr>
        <w:t>5.2该项目应重点防范的危险、有害因素</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_Toc23913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131</w:t>
      </w:r>
      <w:r>
        <w:rPr>
          <w:rFonts w:hint="default" w:ascii="Times New Roman" w:hAnsi="Times New Roman" w:cs="Times New Roman"/>
          <w:sz w:val="28"/>
          <w:szCs w:val="28"/>
        </w:rPr>
        <w:fldChar w:fldCharType="end"/>
      </w:r>
      <w:r>
        <w:rPr>
          <w:rFonts w:hint="default" w:ascii="Times New Roman" w:hAnsi="Times New Roman" w:cs="Times New Roman"/>
          <w:caps/>
          <w:snapToGrid w:val="0"/>
          <w:kern w:val="0"/>
          <w:sz w:val="28"/>
          <w:szCs w:val="28"/>
        </w:rPr>
        <w:fldChar w:fldCharType="end"/>
      </w:r>
    </w:p>
    <w:p w14:paraId="49630A7F">
      <w:pPr>
        <w:pStyle w:val="24"/>
        <w:tabs>
          <w:tab w:val="right" w:leader="dot" w:pos="9183"/>
        </w:tabs>
        <w:rPr>
          <w:rFonts w:hint="default" w:ascii="Times New Roman" w:hAnsi="Times New Roman" w:cs="Times New Roman"/>
          <w:sz w:val="28"/>
          <w:szCs w:val="28"/>
        </w:rPr>
      </w:pPr>
      <w:r>
        <w:rPr>
          <w:rFonts w:hint="default" w:ascii="Times New Roman" w:hAnsi="Times New Roman" w:cs="Times New Roman"/>
          <w:caps/>
          <w:snapToGrid w:val="0"/>
          <w:kern w:val="0"/>
          <w:sz w:val="28"/>
          <w:szCs w:val="28"/>
        </w:rPr>
        <w:fldChar w:fldCharType="begin"/>
      </w:r>
      <w:r>
        <w:rPr>
          <w:rFonts w:hint="default" w:ascii="Times New Roman" w:hAnsi="Times New Roman" w:cs="Times New Roman"/>
          <w:caps/>
          <w:snapToGrid w:val="0"/>
          <w:kern w:val="0"/>
          <w:sz w:val="28"/>
          <w:szCs w:val="28"/>
        </w:rPr>
        <w:instrText xml:space="preserve"> HYPERLINK \l _Toc2589 </w:instrText>
      </w:r>
      <w:r>
        <w:rPr>
          <w:rFonts w:hint="default" w:ascii="Times New Roman" w:hAnsi="Times New Roman" w:cs="Times New Roman"/>
          <w:caps/>
          <w:snapToGrid w:val="0"/>
          <w:kern w:val="0"/>
          <w:sz w:val="28"/>
          <w:szCs w:val="28"/>
        </w:rPr>
        <w:fldChar w:fldCharType="separate"/>
      </w:r>
      <w:r>
        <w:rPr>
          <w:rFonts w:hint="default" w:ascii="Times New Roman" w:hAnsi="Times New Roman" w:eastAsia="黑体" w:cs="Times New Roman"/>
          <w:sz w:val="28"/>
          <w:szCs w:val="28"/>
        </w:rPr>
        <w:t>5.3该项目应重视的安全对策措施建议</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_Toc2589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131</w:t>
      </w:r>
      <w:r>
        <w:rPr>
          <w:rFonts w:hint="default" w:ascii="Times New Roman" w:hAnsi="Times New Roman" w:cs="Times New Roman"/>
          <w:sz w:val="28"/>
          <w:szCs w:val="28"/>
        </w:rPr>
        <w:fldChar w:fldCharType="end"/>
      </w:r>
      <w:r>
        <w:rPr>
          <w:rFonts w:hint="default" w:ascii="Times New Roman" w:hAnsi="Times New Roman" w:cs="Times New Roman"/>
          <w:caps/>
          <w:snapToGrid w:val="0"/>
          <w:kern w:val="0"/>
          <w:sz w:val="28"/>
          <w:szCs w:val="28"/>
        </w:rPr>
        <w:fldChar w:fldCharType="end"/>
      </w:r>
    </w:p>
    <w:p w14:paraId="7A18F318">
      <w:pPr>
        <w:pStyle w:val="24"/>
        <w:tabs>
          <w:tab w:val="right" w:leader="dot" w:pos="9183"/>
        </w:tabs>
        <w:rPr>
          <w:rFonts w:hint="default" w:ascii="Times New Roman" w:hAnsi="Times New Roman" w:cs="Times New Roman"/>
          <w:sz w:val="28"/>
          <w:szCs w:val="28"/>
        </w:rPr>
      </w:pPr>
      <w:r>
        <w:rPr>
          <w:rFonts w:hint="default" w:ascii="Times New Roman" w:hAnsi="Times New Roman" w:cs="Times New Roman"/>
          <w:caps/>
          <w:snapToGrid w:val="0"/>
          <w:kern w:val="0"/>
          <w:sz w:val="28"/>
          <w:szCs w:val="28"/>
        </w:rPr>
        <w:fldChar w:fldCharType="begin"/>
      </w:r>
      <w:r>
        <w:rPr>
          <w:rFonts w:hint="default" w:ascii="Times New Roman" w:hAnsi="Times New Roman" w:cs="Times New Roman"/>
          <w:caps/>
          <w:snapToGrid w:val="0"/>
          <w:kern w:val="0"/>
          <w:sz w:val="28"/>
          <w:szCs w:val="28"/>
        </w:rPr>
        <w:instrText xml:space="preserve"> HYPERLINK \l _Toc27019 </w:instrText>
      </w:r>
      <w:r>
        <w:rPr>
          <w:rFonts w:hint="default" w:ascii="Times New Roman" w:hAnsi="Times New Roman" w:cs="Times New Roman"/>
          <w:caps/>
          <w:snapToGrid w:val="0"/>
          <w:kern w:val="0"/>
          <w:sz w:val="28"/>
          <w:szCs w:val="28"/>
        </w:rPr>
        <w:fldChar w:fldCharType="separate"/>
      </w:r>
      <w:r>
        <w:rPr>
          <w:rFonts w:hint="default" w:ascii="Times New Roman" w:hAnsi="Times New Roman" w:eastAsia="黑体" w:cs="Times New Roman"/>
          <w:sz w:val="28"/>
          <w:szCs w:val="28"/>
        </w:rPr>
        <w:t>5.</w:t>
      </w:r>
      <w:r>
        <w:rPr>
          <w:rFonts w:hint="default" w:ascii="Times New Roman" w:hAnsi="Times New Roman" w:eastAsia="黑体" w:cs="Times New Roman"/>
          <w:sz w:val="28"/>
          <w:szCs w:val="28"/>
          <w:lang w:val="en-US" w:eastAsia="zh-CN"/>
        </w:rPr>
        <w:t>4</w:t>
      </w:r>
      <w:r>
        <w:rPr>
          <w:rFonts w:hint="default" w:ascii="Times New Roman" w:hAnsi="Times New Roman" w:eastAsia="黑体" w:cs="Times New Roman"/>
          <w:sz w:val="28"/>
          <w:szCs w:val="28"/>
        </w:rPr>
        <w:t>评价结果综述</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_Toc27019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132</w:t>
      </w:r>
      <w:r>
        <w:rPr>
          <w:rFonts w:hint="default" w:ascii="Times New Roman" w:hAnsi="Times New Roman" w:cs="Times New Roman"/>
          <w:sz w:val="28"/>
          <w:szCs w:val="28"/>
        </w:rPr>
        <w:fldChar w:fldCharType="end"/>
      </w:r>
      <w:r>
        <w:rPr>
          <w:rFonts w:hint="default" w:ascii="Times New Roman" w:hAnsi="Times New Roman" w:cs="Times New Roman"/>
          <w:caps/>
          <w:snapToGrid w:val="0"/>
          <w:kern w:val="0"/>
          <w:sz w:val="28"/>
          <w:szCs w:val="28"/>
        </w:rPr>
        <w:fldChar w:fldCharType="end"/>
      </w:r>
    </w:p>
    <w:p w14:paraId="15CA7BE0">
      <w:pPr>
        <w:pStyle w:val="24"/>
        <w:tabs>
          <w:tab w:val="right" w:leader="dot" w:pos="9183"/>
        </w:tabs>
        <w:rPr>
          <w:rFonts w:hint="default" w:ascii="Times New Roman" w:hAnsi="Times New Roman" w:cs="Times New Roman"/>
          <w:sz w:val="28"/>
          <w:szCs w:val="28"/>
        </w:rPr>
      </w:pPr>
      <w:r>
        <w:rPr>
          <w:rFonts w:hint="default" w:ascii="Times New Roman" w:hAnsi="Times New Roman" w:cs="Times New Roman"/>
          <w:caps/>
          <w:snapToGrid w:val="0"/>
          <w:kern w:val="0"/>
          <w:sz w:val="28"/>
          <w:szCs w:val="28"/>
        </w:rPr>
        <w:fldChar w:fldCharType="begin"/>
      </w:r>
      <w:r>
        <w:rPr>
          <w:rFonts w:hint="default" w:ascii="Times New Roman" w:hAnsi="Times New Roman" w:cs="Times New Roman"/>
          <w:caps/>
          <w:snapToGrid w:val="0"/>
          <w:kern w:val="0"/>
          <w:sz w:val="28"/>
          <w:szCs w:val="28"/>
        </w:rPr>
        <w:instrText xml:space="preserve"> HYPERLINK \l _Toc17743 </w:instrText>
      </w:r>
      <w:r>
        <w:rPr>
          <w:rFonts w:hint="default" w:ascii="Times New Roman" w:hAnsi="Times New Roman" w:cs="Times New Roman"/>
          <w:caps/>
          <w:snapToGrid w:val="0"/>
          <w:kern w:val="0"/>
          <w:sz w:val="28"/>
          <w:szCs w:val="28"/>
        </w:rPr>
        <w:fldChar w:fldCharType="separate"/>
      </w:r>
      <w:r>
        <w:rPr>
          <w:rFonts w:hint="default" w:ascii="Times New Roman" w:hAnsi="Times New Roman" w:eastAsia="黑体" w:cs="Times New Roman"/>
          <w:sz w:val="28"/>
          <w:szCs w:val="28"/>
        </w:rPr>
        <w:t>5.</w:t>
      </w:r>
      <w:r>
        <w:rPr>
          <w:rFonts w:hint="default" w:ascii="Times New Roman" w:hAnsi="Times New Roman" w:eastAsia="黑体" w:cs="Times New Roman"/>
          <w:sz w:val="28"/>
          <w:szCs w:val="28"/>
          <w:lang w:val="en-US" w:eastAsia="zh-CN"/>
        </w:rPr>
        <w:t>5</w:t>
      </w:r>
      <w:r>
        <w:rPr>
          <w:rFonts w:hint="default" w:ascii="Times New Roman" w:hAnsi="Times New Roman" w:eastAsia="黑体" w:cs="Times New Roman"/>
          <w:sz w:val="28"/>
          <w:szCs w:val="28"/>
        </w:rPr>
        <w:t>安全预评价结论</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_Toc17743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132</w:t>
      </w:r>
      <w:r>
        <w:rPr>
          <w:rFonts w:hint="default" w:ascii="Times New Roman" w:hAnsi="Times New Roman" w:cs="Times New Roman"/>
          <w:sz w:val="28"/>
          <w:szCs w:val="28"/>
        </w:rPr>
        <w:fldChar w:fldCharType="end"/>
      </w:r>
      <w:r>
        <w:rPr>
          <w:rFonts w:hint="default" w:ascii="Times New Roman" w:hAnsi="Times New Roman" w:cs="Times New Roman"/>
          <w:caps/>
          <w:snapToGrid w:val="0"/>
          <w:kern w:val="0"/>
          <w:sz w:val="28"/>
          <w:szCs w:val="28"/>
        </w:rPr>
        <w:fldChar w:fldCharType="end"/>
      </w:r>
    </w:p>
    <w:p w14:paraId="4458A205">
      <w:pPr>
        <w:pStyle w:val="21"/>
        <w:tabs>
          <w:tab w:val="right" w:leader="dot" w:pos="9183"/>
        </w:tabs>
        <w:rPr>
          <w:rFonts w:hint="default" w:ascii="Times New Roman" w:hAnsi="Times New Roman" w:cs="Times New Roman"/>
          <w:sz w:val="28"/>
          <w:szCs w:val="28"/>
        </w:rPr>
      </w:pPr>
      <w:r>
        <w:rPr>
          <w:rFonts w:hint="default" w:ascii="Times New Roman" w:hAnsi="Times New Roman" w:cs="Times New Roman"/>
          <w:caps/>
          <w:snapToGrid w:val="0"/>
          <w:kern w:val="0"/>
          <w:sz w:val="28"/>
          <w:szCs w:val="28"/>
        </w:rPr>
        <w:fldChar w:fldCharType="begin"/>
      </w:r>
      <w:r>
        <w:rPr>
          <w:rFonts w:hint="default" w:ascii="Times New Roman" w:hAnsi="Times New Roman" w:cs="Times New Roman"/>
          <w:caps/>
          <w:snapToGrid w:val="0"/>
          <w:kern w:val="0"/>
          <w:sz w:val="28"/>
          <w:szCs w:val="28"/>
        </w:rPr>
        <w:instrText xml:space="preserve"> HYPERLINK \l _Toc965 </w:instrText>
      </w:r>
      <w:r>
        <w:rPr>
          <w:rFonts w:hint="default" w:ascii="Times New Roman" w:hAnsi="Times New Roman" w:cs="Times New Roman"/>
          <w:caps/>
          <w:snapToGrid w:val="0"/>
          <w:kern w:val="0"/>
          <w:sz w:val="28"/>
          <w:szCs w:val="28"/>
        </w:rPr>
        <w:fldChar w:fldCharType="separate"/>
      </w:r>
      <w:r>
        <w:rPr>
          <w:rFonts w:hint="default" w:ascii="Times New Roman" w:hAnsi="Times New Roman" w:eastAsia="黑体" w:cs="Times New Roman"/>
          <w:sz w:val="28"/>
          <w:szCs w:val="28"/>
        </w:rPr>
        <w:t>6.附件及附图</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_Toc965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134</w:t>
      </w:r>
      <w:r>
        <w:rPr>
          <w:rFonts w:hint="default" w:ascii="Times New Roman" w:hAnsi="Times New Roman" w:cs="Times New Roman"/>
          <w:sz w:val="28"/>
          <w:szCs w:val="28"/>
        </w:rPr>
        <w:fldChar w:fldCharType="end"/>
      </w:r>
      <w:r>
        <w:rPr>
          <w:rFonts w:hint="default" w:ascii="Times New Roman" w:hAnsi="Times New Roman" w:cs="Times New Roman"/>
          <w:caps/>
          <w:snapToGrid w:val="0"/>
          <w:kern w:val="0"/>
          <w:sz w:val="28"/>
          <w:szCs w:val="28"/>
        </w:rPr>
        <w:fldChar w:fldCharType="end"/>
      </w:r>
    </w:p>
    <w:p w14:paraId="56B3B97B">
      <w:pPr>
        <w:spacing w:line="400" w:lineRule="exact"/>
        <w:rPr>
          <w:rFonts w:hint="default" w:ascii="Times New Roman" w:hAnsi="Times New Roman" w:cs="Times New Roman"/>
          <w:sz w:val="28"/>
          <w:szCs w:val="28"/>
        </w:rPr>
        <w:sectPr>
          <w:footerReference r:id="rId12" w:type="first"/>
          <w:headerReference r:id="rId10" w:type="default"/>
          <w:footerReference r:id="rId11" w:type="default"/>
          <w:pgSz w:w="11905" w:h="16838"/>
          <w:pgMar w:top="1418" w:right="1134" w:bottom="1134" w:left="1588" w:header="850" w:footer="850" w:gutter="0"/>
          <w:pgNumType w:fmt="upperRoman" w:start="1"/>
          <w:cols w:space="720" w:num="1"/>
          <w:docGrid w:linePitch="332" w:charSpace="0"/>
        </w:sectPr>
      </w:pPr>
      <w:r>
        <w:rPr>
          <w:rFonts w:hint="default" w:ascii="Times New Roman" w:hAnsi="Times New Roman" w:cs="Times New Roman"/>
          <w:caps/>
          <w:snapToGrid w:val="0"/>
          <w:kern w:val="0"/>
          <w:sz w:val="28"/>
          <w:szCs w:val="28"/>
        </w:rPr>
        <w:fldChar w:fldCharType="end"/>
      </w:r>
    </w:p>
    <w:p w14:paraId="3F2A98D4">
      <w:pPr>
        <w:pStyle w:val="2"/>
        <w:spacing w:before="0" w:after="0" w:line="360" w:lineRule="auto"/>
        <w:jc w:val="center"/>
        <w:rPr>
          <w:rFonts w:hint="default" w:ascii="Times New Roman" w:hAnsi="Times New Roman" w:eastAsia="黑体" w:cs="Times New Roman"/>
          <w:bCs w:val="0"/>
          <w:sz w:val="32"/>
        </w:rPr>
      </w:pPr>
      <w:bookmarkStart w:id="17" w:name="_Toc5375"/>
      <w:bookmarkStart w:id="18" w:name="_Toc25575"/>
      <w:bookmarkStart w:id="19" w:name="_Toc23850"/>
      <w:bookmarkStart w:id="20" w:name="_Toc2860"/>
      <w:bookmarkStart w:id="21" w:name="_Toc20433"/>
      <w:bookmarkStart w:id="22" w:name="_Toc25772"/>
      <w:bookmarkStart w:id="23" w:name="_Toc27421"/>
      <w:bookmarkStart w:id="24" w:name="_Toc115120203"/>
      <w:bookmarkStart w:id="25" w:name="_Toc184701516"/>
      <w:bookmarkStart w:id="26" w:name="_Toc242849724"/>
      <w:bookmarkStart w:id="27" w:name="_Toc226963112"/>
      <w:bookmarkStart w:id="28" w:name="_Toc115120597"/>
      <w:r>
        <w:rPr>
          <w:rFonts w:hint="default" w:ascii="Times New Roman" w:hAnsi="Times New Roman" w:eastAsia="黑体" w:cs="Times New Roman"/>
          <w:bCs w:val="0"/>
          <w:sz w:val="32"/>
        </w:rPr>
        <w:t>1.评价范围与依据</w:t>
      </w:r>
      <w:bookmarkEnd w:id="17"/>
      <w:bookmarkEnd w:id="18"/>
      <w:bookmarkEnd w:id="19"/>
      <w:bookmarkEnd w:id="20"/>
      <w:bookmarkEnd w:id="21"/>
      <w:bookmarkEnd w:id="22"/>
      <w:bookmarkEnd w:id="23"/>
    </w:p>
    <w:bookmarkEnd w:id="24"/>
    <w:bookmarkEnd w:id="25"/>
    <w:bookmarkEnd w:id="26"/>
    <w:bookmarkEnd w:id="27"/>
    <w:bookmarkEnd w:id="28"/>
    <w:p w14:paraId="49EFAB7F">
      <w:pPr>
        <w:pStyle w:val="3"/>
        <w:spacing w:before="0" w:after="0" w:line="360" w:lineRule="auto"/>
        <w:jc w:val="center"/>
        <w:rPr>
          <w:rFonts w:hint="default" w:ascii="Times New Roman" w:hAnsi="Times New Roman" w:eastAsia="黑体" w:cs="Times New Roman"/>
          <w:sz w:val="30"/>
          <w:szCs w:val="30"/>
        </w:rPr>
      </w:pPr>
      <w:bookmarkStart w:id="29" w:name="_Toc115120204"/>
      <w:bookmarkStart w:id="30" w:name="_Toc242849725"/>
      <w:bookmarkStart w:id="31" w:name="_Toc115120598"/>
      <w:bookmarkStart w:id="32" w:name="_Toc184701517"/>
      <w:bookmarkStart w:id="33" w:name="_Toc226963113"/>
      <w:bookmarkStart w:id="34" w:name="_Toc3841"/>
      <w:bookmarkStart w:id="35" w:name="_Toc27403"/>
      <w:bookmarkStart w:id="36" w:name="_Toc27523"/>
      <w:bookmarkStart w:id="37" w:name="_Toc15513"/>
      <w:bookmarkStart w:id="38" w:name="_Toc10854"/>
      <w:bookmarkStart w:id="39" w:name="_Toc31129"/>
      <w:bookmarkStart w:id="40" w:name="_Toc16338"/>
      <w:r>
        <w:rPr>
          <w:rFonts w:hint="default" w:ascii="Times New Roman" w:hAnsi="Times New Roman" w:eastAsia="黑体" w:cs="Times New Roman"/>
          <w:sz w:val="30"/>
          <w:szCs w:val="30"/>
        </w:rPr>
        <w:t>1.1</w:t>
      </w:r>
      <w:bookmarkEnd w:id="29"/>
      <w:bookmarkEnd w:id="30"/>
      <w:bookmarkEnd w:id="31"/>
      <w:bookmarkEnd w:id="32"/>
      <w:bookmarkEnd w:id="33"/>
      <w:r>
        <w:rPr>
          <w:rFonts w:hint="default" w:ascii="Times New Roman" w:hAnsi="Times New Roman" w:eastAsia="黑体" w:cs="Times New Roman"/>
          <w:sz w:val="30"/>
          <w:szCs w:val="30"/>
        </w:rPr>
        <w:t>评价对象和范围</w:t>
      </w:r>
      <w:bookmarkEnd w:id="34"/>
      <w:bookmarkEnd w:id="35"/>
      <w:bookmarkEnd w:id="36"/>
      <w:bookmarkEnd w:id="37"/>
      <w:bookmarkEnd w:id="38"/>
      <w:bookmarkEnd w:id="39"/>
      <w:bookmarkEnd w:id="40"/>
    </w:p>
    <w:p w14:paraId="462AB374">
      <w:pPr>
        <w:pStyle w:val="4"/>
        <w:spacing w:before="0" w:after="0" w:line="360" w:lineRule="auto"/>
        <w:rPr>
          <w:rFonts w:hint="default" w:ascii="Times New Roman" w:hAnsi="Times New Roman" w:cs="Times New Roman"/>
          <w:sz w:val="28"/>
          <w:szCs w:val="28"/>
        </w:rPr>
      </w:pPr>
      <w:bookmarkStart w:id="41" w:name="_Toc618"/>
      <w:bookmarkStart w:id="42" w:name="_Toc21920"/>
      <w:bookmarkStart w:id="43" w:name="_Toc6844"/>
      <w:bookmarkStart w:id="44" w:name="_Toc5237"/>
      <w:bookmarkStart w:id="45" w:name="_Toc22409"/>
      <w:bookmarkStart w:id="46" w:name="_Toc374352217"/>
      <w:bookmarkStart w:id="47" w:name="_Toc20043491"/>
      <w:bookmarkStart w:id="48" w:name="_Toc43199261"/>
      <w:bookmarkStart w:id="49" w:name="_Toc62397040"/>
      <w:bookmarkStart w:id="50" w:name="_Toc92173036"/>
      <w:bookmarkStart w:id="51" w:name="_Toc91061087"/>
      <w:bookmarkStart w:id="52" w:name="_Toc20114061"/>
      <w:bookmarkStart w:id="53" w:name="_Toc43191078"/>
      <w:bookmarkStart w:id="54" w:name="_Toc21957"/>
      <w:bookmarkStart w:id="55" w:name="_Toc91061524"/>
      <w:bookmarkStart w:id="56" w:name="_Toc40432550"/>
      <w:bookmarkStart w:id="57" w:name="_Toc91061467"/>
      <w:bookmarkStart w:id="58" w:name="_Toc91758840"/>
      <w:bookmarkStart w:id="59" w:name="_Toc91061312"/>
      <w:bookmarkStart w:id="60" w:name="_Toc15189157"/>
      <w:bookmarkStart w:id="61" w:name="_Toc19930500"/>
      <w:bookmarkStart w:id="62" w:name="_Toc91061384"/>
      <w:bookmarkStart w:id="63" w:name="_Toc71798308"/>
      <w:bookmarkStart w:id="64" w:name="_Toc20114861"/>
      <w:bookmarkStart w:id="65" w:name="_Toc33343438"/>
      <w:bookmarkStart w:id="66" w:name="_Toc33409087"/>
      <w:bookmarkStart w:id="67" w:name="_Toc23944573"/>
      <w:bookmarkStart w:id="68" w:name="_Toc31434362"/>
      <w:bookmarkStart w:id="69" w:name="_Toc20114382"/>
      <w:r>
        <w:rPr>
          <w:rFonts w:hint="default" w:ascii="Times New Roman" w:hAnsi="Times New Roman" w:cs="Times New Roman"/>
          <w:sz w:val="28"/>
          <w:szCs w:val="28"/>
        </w:rPr>
        <w:t>1.1.1评价对象</w:t>
      </w:r>
      <w:bookmarkEnd w:id="41"/>
      <w:bookmarkEnd w:id="42"/>
      <w:bookmarkEnd w:id="43"/>
      <w:bookmarkEnd w:id="44"/>
      <w:bookmarkEnd w:id="45"/>
    </w:p>
    <w:p w14:paraId="089AFE32">
      <w:pPr>
        <w:spacing w:line="360" w:lineRule="auto"/>
        <w:ind w:firstLine="560" w:firstLineChars="200"/>
        <w:rPr>
          <w:rFonts w:hint="default" w:ascii="Times New Roman" w:hAnsi="Times New Roman" w:cs="Times New Roman"/>
          <w:snapToGrid w:val="0"/>
          <w:kern w:val="0"/>
          <w:sz w:val="28"/>
          <w:lang w:val="sq-AL"/>
        </w:rPr>
      </w:pPr>
      <w:r>
        <w:rPr>
          <w:rFonts w:hint="default" w:ascii="Times New Roman" w:hAnsi="Times New Roman" w:cs="Times New Roman"/>
          <w:snapToGrid w:val="0"/>
          <w:kern w:val="0"/>
          <w:sz w:val="28"/>
          <w:lang w:val="sq-AL"/>
        </w:rPr>
        <w:t>根据《</w:t>
      </w:r>
      <w:r>
        <w:rPr>
          <w:rFonts w:hint="default" w:ascii="Times New Roman" w:hAnsi="Times New Roman" w:cs="Times New Roman"/>
          <w:snapToGrid w:val="0"/>
          <w:kern w:val="0"/>
          <w:sz w:val="28"/>
          <w:lang w:val="sq-AL" w:eastAsia="zh-CN"/>
        </w:rPr>
        <w:t>弥勒市瑞垠矿业有限公司弥勒市小沙冲砂场</w:t>
      </w:r>
      <w:r>
        <w:rPr>
          <w:rFonts w:hint="default" w:ascii="Times New Roman" w:hAnsi="Times New Roman" w:cs="Times New Roman"/>
          <w:sz w:val="28"/>
          <w:szCs w:val="28"/>
          <w:lang w:eastAsia="zh-CN" w:bidi="en-US"/>
        </w:rPr>
        <w:t>22.22</w:t>
      </w:r>
      <w:r>
        <w:rPr>
          <w:rFonts w:hint="default" w:ascii="Times New Roman" w:hAnsi="Times New Roman" w:cs="Times New Roman"/>
          <w:sz w:val="28"/>
          <w:szCs w:val="28"/>
          <w:lang w:val="en-US" w:eastAsia="zh-CN" w:bidi="en-US"/>
        </w:rPr>
        <w:t>万</w:t>
      </w:r>
      <w:r>
        <w:rPr>
          <w:rFonts w:hint="default" w:ascii="Times New Roman" w:hAnsi="Times New Roman" w:cs="Times New Roman"/>
          <w:sz w:val="28"/>
          <w:szCs w:val="28"/>
          <w:lang w:eastAsia="zh-CN" w:bidi="en-US"/>
        </w:rPr>
        <w:t>m</w:t>
      </w:r>
      <w:r>
        <w:rPr>
          <w:rFonts w:hint="default" w:ascii="Times New Roman" w:hAnsi="Times New Roman" w:cs="Times New Roman"/>
          <w:sz w:val="28"/>
          <w:szCs w:val="28"/>
          <w:vertAlign w:val="superscript"/>
          <w:lang w:eastAsia="zh-CN" w:bidi="en-US"/>
        </w:rPr>
        <w:t>3</w:t>
      </w:r>
      <w:r>
        <w:rPr>
          <w:rFonts w:hint="default" w:ascii="Times New Roman" w:hAnsi="Times New Roman" w:cs="Times New Roman"/>
          <w:sz w:val="28"/>
          <w:szCs w:val="28"/>
          <w:lang w:val="en-US" w:eastAsia="zh-CN" w:bidi="en-US"/>
        </w:rPr>
        <w:t>/</w:t>
      </w:r>
      <w:r>
        <w:rPr>
          <w:rFonts w:hint="default" w:ascii="Times New Roman" w:hAnsi="Times New Roman" w:cs="Times New Roman"/>
          <w:sz w:val="28"/>
          <w:szCs w:val="28"/>
          <w:lang w:eastAsia="zh-CN" w:bidi="en-US"/>
        </w:rPr>
        <w:t>a（50万t</w:t>
      </w:r>
      <w:r>
        <w:rPr>
          <w:rFonts w:hint="default" w:ascii="Times New Roman" w:hAnsi="Times New Roman" w:cs="Times New Roman"/>
          <w:sz w:val="28"/>
          <w:szCs w:val="28"/>
          <w:lang w:val="en-US" w:eastAsia="zh-CN" w:bidi="en-US"/>
        </w:rPr>
        <w:t>/</w:t>
      </w:r>
      <w:r>
        <w:rPr>
          <w:rFonts w:hint="default" w:ascii="Times New Roman" w:hAnsi="Times New Roman" w:cs="Times New Roman"/>
          <w:sz w:val="28"/>
          <w:szCs w:val="28"/>
          <w:lang w:eastAsia="zh-CN" w:bidi="en-US"/>
        </w:rPr>
        <w:t>a）</w:t>
      </w:r>
      <w:r>
        <w:rPr>
          <w:rFonts w:hint="default" w:ascii="Times New Roman" w:hAnsi="Times New Roman" w:cs="Times New Roman"/>
          <w:snapToGrid w:val="0"/>
          <w:kern w:val="0"/>
          <w:sz w:val="28"/>
          <w:lang w:val="sq-AL" w:eastAsia="zh-CN"/>
        </w:rPr>
        <w:t>露天采矿工程初步设计（代可研）</w:t>
      </w:r>
      <w:r>
        <w:rPr>
          <w:rFonts w:hint="default" w:ascii="Times New Roman" w:hAnsi="Times New Roman" w:cs="Times New Roman"/>
          <w:snapToGrid w:val="0"/>
          <w:kern w:val="0"/>
          <w:sz w:val="28"/>
          <w:lang w:val="sq-AL"/>
        </w:rPr>
        <w:t>》</w:t>
      </w:r>
      <w:r>
        <w:rPr>
          <w:rFonts w:hint="default" w:ascii="Times New Roman" w:hAnsi="Times New Roman" w:cs="Times New Roman"/>
          <w:snapToGrid w:val="0"/>
          <w:kern w:val="0"/>
          <w:sz w:val="28"/>
        </w:rPr>
        <w:t>和</w:t>
      </w:r>
      <w:r>
        <w:rPr>
          <w:rFonts w:hint="default" w:ascii="Times New Roman" w:hAnsi="Times New Roman" w:cs="Times New Roman"/>
          <w:snapToGrid w:val="0"/>
          <w:kern w:val="0"/>
          <w:sz w:val="28"/>
          <w:lang w:val="sq-AL"/>
        </w:rPr>
        <w:t>《金属非金属矿山建设项目安全设施目录（试行）》（国家安全监管总局令第75号）</w:t>
      </w:r>
      <w:r>
        <w:rPr>
          <w:rFonts w:hint="default" w:ascii="Times New Roman" w:hAnsi="Times New Roman" w:cs="Times New Roman"/>
          <w:snapToGrid w:val="0"/>
          <w:kern w:val="0"/>
          <w:sz w:val="28"/>
        </w:rPr>
        <w:t>等</w:t>
      </w:r>
      <w:r>
        <w:rPr>
          <w:rFonts w:hint="default" w:ascii="Times New Roman" w:hAnsi="Times New Roman" w:cs="Times New Roman"/>
          <w:snapToGrid w:val="0"/>
          <w:kern w:val="0"/>
          <w:sz w:val="28"/>
          <w:lang w:val="sq-AL"/>
        </w:rPr>
        <w:t>有关法律法规的规定，</w:t>
      </w:r>
      <w:r>
        <w:rPr>
          <w:rFonts w:hint="default" w:ascii="Times New Roman" w:hAnsi="Times New Roman" w:cs="Times New Roman"/>
          <w:snapToGrid w:val="0"/>
          <w:kern w:val="0"/>
          <w:sz w:val="28"/>
        </w:rPr>
        <w:t>本次</w:t>
      </w:r>
      <w:r>
        <w:rPr>
          <w:rFonts w:hint="default" w:ascii="Times New Roman" w:hAnsi="Times New Roman" w:cs="Times New Roman"/>
          <w:snapToGrid w:val="0"/>
          <w:kern w:val="0"/>
          <w:sz w:val="28"/>
          <w:lang w:val="sq-AL"/>
        </w:rPr>
        <w:t>评价对象为</w:t>
      </w:r>
      <w:r>
        <w:rPr>
          <w:rFonts w:hint="default" w:ascii="Times New Roman" w:hAnsi="Times New Roman" w:cs="Times New Roman"/>
          <w:snapToGrid w:val="0"/>
          <w:kern w:val="0"/>
          <w:sz w:val="28"/>
          <w:lang w:eastAsia="zh-CN"/>
        </w:rPr>
        <w:t>弥勒市瑞垠矿业有限公司弥勒市小沙冲砂场</w:t>
      </w:r>
      <w:r>
        <w:rPr>
          <w:rFonts w:hint="default" w:ascii="Times New Roman" w:hAnsi="Times New Roman" w:cs="Times New Roman"/>
          <w:sz w:val="28"/>
          <w:szCs w:val="28"/>
          <w:lang w:eastAsia="zh-CN" w:bidi="en-US"/>
        </w:rPr>
        <w:t>22.22</w:t>
      </w:r>
      <w:r>
        <w:rPr>
          <w:rFonts w:hint="default" w:ascii="Times New Roman" w:hAnsi="Times New Roman" w:cs="Times New Roman"/>
          <w:sz w:val="28"/>
          <w:szCs w:val="28"/>
          <w:lang w:val="en-US" w:eastAsia="zh-CN" w:bidi="en-US"/>
        </w:rPr>
        <w:t>万</w:t>
      </w:r>
      <w:r>
        <w:rPr>
          <w:rFonts w:hint="default" w:ascii="Times New Roman" w:hAnsi="Times New Roman" w:cs="Times New Roman"/>
          <w:sz w:val="28"/>
          <w:szCs w:val="28"/>
          <w:lang w:eastAsia="zh-CN" w:bidi="en-US"/>
        </w:rPr>
        <w:t>m</w:t>
      </w:r>
      <w:r>
        <w:rPr>
          <w:rFonts w:hint="default" w:ascii="Times New Roman" w:hAnsi="Times New Roman" w:cs="Times New Roman"/>
          <w:sz w:val="28"/>
          <w:szCs w:val="28"/>
          <w:vertAlign w:val="superscript"/>
          <w:lang w:eastAsia="zh-CN" w:bidi="en-US"/>
        </w:rPr>
        <w:t>3</w:t>
      </w:r>
      <w:r>
        <w:rPr>
          <w:rFonts w:hint="default" w:ascii="Times New Roman" w:hAnsi="Times New Roman" w:cs="Times New Roman"/>
          <w:sz w:val="28"/>
          <w:szCs w:val="28"/>
          <w:lang w:val="en-US" w:eastAsia="zh-CN" w:bidi="en-US"/>
        </w:rPr>
        <w:t>/</w:t>
      </w:r>
      <w:r>
        <w:rPr>
          <w:rFonts w:hint="default" w:ascii="Times New Roman" w:hAnsi="Times New Roman" w:cs="Times New Roman"/>
          <w:sz w:val="28"/>
          <w:szCs w:val="28"/>
          <w:lang w:eastAsia="zh-CN" w:bidi="en-US"/>
        </w:rPr>
        <w:t>a（50万t</w:t>
      </w:r>
      <w:r>
        <w:rPr>
          <w:rFonts w:hint="default" w:ascii="Times New Roman" w:hAnsi="Times New Roman" w:cs="Times New Roman"/>
          <w:sz w:val="28"/>
          <w:szCs w:val="28"/>
          <w:lang w:val="en-US" w:eastAsia="zh-CN" w:bidi="en-US"/>
        </w:rPr>
        <w:t>/</w:t>
      </w:r>
      <w:r>
        <w:rPr>
          <w:rFonts w:hint="default" w:ascii="Times New Roman" w:hAnsi="Times New Roman" w:cs="Times New Roman"/>
          <w:sz w:val="28"/>
          <w:szCs w:val="28"/>
          <w:lang w:eastAsia="zh-CN" w:bidi="en-US"/>
        </w:rPr>
        <w:t>a）</w:t>
      </w:r>
      <w:r>
        <w:rPr>
          <w:rFonts w:hint="default" w:ascii="Times New Roman" w:hAnsi="Times New Roman" w:cs="Times New Roman"/>
          <w:snapToGrid w:val="0"/>
          <w:kern w:val="0"/>
          <w:sz w:val="28"/>
          <w:lang w:eastAsia="zh-CN"/>
        </w:rPr>
        <w:t>露天采矿工程</w:t>
      </w:r>
      <w:r>
        <w:rPr>
          <w:rFonts w:hint="default" w:ascii="Times New Roman" w:hAnsi="Times New Roman" w:cs="Times New Roman"/>
          <w:snapToGrid w:val="0"/>
          <w:kern w:val="0"/>
          <w:sz w:val="28"/>
          <w:lang w:val="sq-AL"/>
        </w:rPr>
        <w:t>露天开采系统及公用辅助设施。</w:t>
      </w:r>
    </w:p>
    <w:p w14:paraId="200C9452">
      <w:pPr>
        <w:pStyle w:val="4"/>
        <w:spacing w:before="0" w:after="0" w:line="360" w:lineRule="auto"/>
        <w:rPr>
          <w:rFonts w:hint="default" w:ascii="Times New Roman" w:hAnsi="Times New Roman" w:cs="Times New Roman"/>
          <w:sz w:val="28"/>
          <w:szCs w:val="28"/>
        </w:rPr>
      </w:pPr>
      <w:bookmarkStart w:id="70" w:name="_Toc20628"/>
      <w:bookmarkStart w:id="71" w:name="_Toc5953"/>
      <w:bookmarkStart w:id="72" w:name="_Toc8871"/>
      <w:bookmarkStart w:id="73" w:name="_Toc12637"/>
      <w:bookmarkStart w:id="74" w:name="_Toc19771"/>
      <w:r>
        <w:rPr>
          <w:rFonts w:hint="default" w:ascii="Times New Roman" w:hAnsi="Times New Roman" w:cs="Times New Roman"/>
          <w:sz w:val="28"/>
          <w:szCs w:val="28"/>
        </w:rPr>
        <w:t>1.1.2评价范围</w:t>
      </w:r>
      <w:bookmarkEnd w:id="70"/>
      <w:bookmarkEnd w:id="71"/>
      <w:bookmarkEnd w:id="72"/>
      <w:bookmarkEnd w:id="73"/>
      <w:bookmarkEnd w:id="74"/>
    </w:p>
    <w:p w14:paraId="1200C39E">
      <w:pPr>
        <w:spacing w:line="360" w:lineRule="auto"/>
        <w:ind w:firstLine="560" w:firstLineChars="200"/>
        <w:rPr>
          <w:rFonts w:hint="default" w:ascii="Times New Roman" w:hAnsi="Times New Roman" w:cs="Times New Roman"/>
          <w:snapToGrid w:val="0"/>
          <w:kern w:val="0"/>
          <w:sz w:val="28"/>
          <w:lang w:val="sq-AL"/>
        </w:rPr>
      </w:pPr>
      <w:r>
        <w:rPr>
          <w:rFonts w:hint="default" w:ascii="Times New Roman" w:hAnsi="Times New Roman" w:cs="Times New Roman"/>
          <w:snapToGrid w:val="0"/>
          <w:kern w:val="0"/>
          <w:sz w:val="28"/>
          <w:lang w:val="sq-AL"/>
        </w:rPr>
        <w:t>本次安全预评价范围的确定包含安全评价空间范围和评价的项目系统范围两部分内容。</w:t>
      </w:r>
    </w:p>
    <w:p w14:paraId="0164F4C1">
      <w:pPr>
        <w:spacing w:line="360" w:lineRule="auto"/>
        <w:ind w:firstLine="562" w:firstLineChars="200"/>
        <w:outlineLvl w:val="3"/>
        <w:rPr>
          <w:rFonts w:hint="default" w:ascii="Times New Roman" w:hAnsi="Times New Roman" w:cs="Times New Roman"/>
          <w:b/>
          <w:bCs/>
        </w:rPr>
      </w:pPr>
      <w:r>
        <w:rPr>
          <w:rFonts w:hint="default" w:ascii="Times New Roman" w:hAnsi="Times New Roman" w:cs="Times New Roman"/>
          <w:b/>
          <w:bCs/>
          <w:sz w:val="28"/>
          <w:szCs w:val="28"/>
        </w:rPr>
        <w:t>1.1.2.1 空间范围</w:t>
      </w:r>
    </w:p>
    <w:p w14:paraId="2ED5EC3F">
      <w:pPr>
        <w:spacing w:line="360" w:lineRule="auto"/>
        <w:ind w:firstLine="560" w:firstLineChars="200"/>
        <w:rPr>
          <w:rFonts w:hint="default" w:ascii="Times New Roman" w:hAnsi="Times New Roman" w:cs="Times New Roman"/>
          <w:snapToGrid w:val="0"/>
          <w:kern w:val="0"/>
          <w:sz w:val="28"/>
          <w:lang w:val="sq-AL"/>
        </w:rPr>
      </w:pPr>
      <w:r>
        <w:rPr>
          <w:rFonts w:hint="default" w:ascii="Times New Roman" w:hAnsi="Times New Roman" w:cs="Times New Roman"/>
          <w:snapToGrid w:val="0"/>
          <w:kern w:val="0"/>
          <w:sz w:val="28"/>
          <w:lang w:val="sq-AL"/>
        </w:rPr>
        <w:t>本次安全预评价的空间范围是根据</w:t>
      </w:r>
      <w:r>
        <w:rPr>
          <w:rFonts w:hint="default" w:ascii="Times New Roman" w:hAnsi="Times New Roman" w:cs="Times New Roman"/>
          <w:snapToGrid w:val="0"/>
          <w:kern w:val="0"/>
          <w:sz w:val="28"/>
          <w:lang w:val="sq-AL" w:eastAsia="zh-CN"/>
        </w:rPr>
        <w:t>弥勒市瑞垠矿业有限公司弥勒市小沙冲砂场</w:t>
      </w:r>
      <w:r>
        <w:rPr>
          <w:rFonts w:hint="default" w:ascii="Times New Roman" w:hAnsi="Times New Roman" w:cs="Times New Roman"/>
          <w:snapToGrid w:val="0"/>
          <w:kern w:val="0"/>
          <w:sz w:val="28"/>
          <w:lang w:val="sq-AL"/>
        </w:rPr>
        <w:t>的矿区范围和《</w:t>
      </w:r>
      <w:r>
        <w:rPr>
          <w:rFonts w:hint="default" w:ascii="Times New Roman" w:hAnsi="Times New Roman" w:cs="Times New Roman"/>
          <w:snapToGrid w:val="0"/>
          <w:kern w:val="0"/>
          <w:sz w:val="28"/>
          <w:lang w:val="sq-AL" w:eastAsia="zh-CN"/>
        </w:rPr>
        <w:t>弥勒市瑞垠矿业有限公司弥勒市小沙冲砂场</w:t>
      </w:r>
      <w:r>
        <w:rPr>
          <w:rFonts w:hint="default" w:ascii="Times New Roman" w:hAnsi="Times New Roman" w:cs="Times New Roman"/>
          <w:sz w:val="28"/>
          <w:szCs w:val="28"/>
          <w:lang w:eastAsia="zh-CN" w:bidi="en-US"/>
        </w:rPr>
        <w:t>22.22</w:t>
      </w:r>
      <w:r>
        <w:rPr>
          <w:rFonts w:hint="default" w:ascii="Times New Roman" w:hAnsi="Times New Roman" w:cs="Times New Roman"/>
          <w:sz w:val="28"/>
          <w:szCs w:val="28"/>
          <w:lang w:val="en-US" w:eastAsia="zh-CN" w:bidi="en-US"/>
        </w:rPr>
        <w:t>万</w:t>
      </w:r>
      <w:r>
        <w:rPr>
          <w:rFonts w:hint="default" w:ascii="Times New Roman" w:hAnsi="Times New Roman" w:cs="Times New Roman"/>
          <w:sz w:val="28"/>
          <w:szCs w:val="28"/>
          <w:lang w:eastAsia="zh-CN" w:bidi="en-US"/>
        </w:rPr>
        <w:t>m</w:t>
      </w:r>
      <w:r>
        <w:rPr>
          <w:rFonts w:hint="default" w:ascii="Times New Roman" w:hAnsi="Times New Roman" w:cs="Times New Roman"/>
          <w:sz w:val="28"/>
          <w:szCs w:val="28"/>
          <w:vertAlign w:val="superscript"/>
          <w:lang w:eastAsia="zh-CN" w:bidi="en-US"/>
        </w:rPr>
        <w:t>3</w:t>
      </w:r>
      <w:r>
        <w:rPr>
          <w:rFonts w:hint="default" w:ascii="Times New Roman" w:hAnsi="Times New Roman" w:cs="Times New Roman"/>
          <w:sz w:val="28"/>
          <w:szCs w:val="28"/>
          <w:lang w:val="en-US" w:eastAsia="zh-CN" w:bidi="en-US"/>
        </w:rPr>
        <w:t>/</w:t>
      </w:r>
      <w:r>
        <w:rPr>
          <w:rFonts w:hint="default" w:ascii="Times New Roman" w:hAnsi="Times New Roman" w:cs="Times New Roman"/>
          <w:sz w:val="28"/>
          <w:szCs w:val="28"/>
          <w:lang w:eastAsia="zh-CN" w:bidi="en-US"/>
        </w:rPr>
        <w:t>a（50万t</w:t>
      </w:r>
      <w:r>
        <w:rPr>
          <w:rFonts w:hint="default" w:ascii="Times New Roman" w:hAnsi="Times New Roman" w:cs="Times New Roman"/>
          <w:sz w:val="28"/>
          <w:szCs w:val="28"/>
          <w:lang w:val="en-US" w:eastAsia="zh-CN" w:bidi="en-US"/>
        </w:rPr>
        <w:t>/</w:t>
      </w:r>
      <w:r>
        <w:rPr>
          <w:rFonts w:hint="default" w:ascii="Times New Roman" w:hAnsi="Times New Roman" w:cs="Times New Roman"/>
          <w:sz w:val="28"/>
          <w:szCs w:val="28"/>
          <w:lang w:eastAsia="zh-CN" w:bidi="en-US"/>
        </w:rPr>
        <w:t>a）</w:t>
      </w:r>
      <w:r>
        <w:rPr>
          <w:rFonts w:hint="default" w:ascii="Times New Roman" w:hAnsi="Times New Roman" w:cs="Times New Roman"/>
          <w:snapToGrid w:val="0"/>
          <w:kern w:val="0"/>
          <w:sz w:val="28"/>
          <w:lang w:val="sq-AL" w:eastAsia="zh-CN"/>
        </w:rPr>
        <w:t>露天采矿工程初步设计（代可研）</w:t>
      </w:r>
      <w:r>
        <w:rPr>
          <w:rFonts w:hint="default" w:ascii="Times New Roman" w:hAnsi="Times New Roman" w:cs="Times New Roman"/>
          <w:snapToGrid w:val="0"/>
          <w:kern w:val="0"/>
          <w:sz w:val="28"/>
          <w:lang w:val="sq-AL"/>
        </w:rPr>
        <w:t>》的设计范围确定的。</w:t>
      </w:r>
    </w:p>
    <w:p w14:paraId="0C6E681A">
      <w:pPr>
        <w:spacing w:line="360" w:lineRule="auto"/>
        <w:ind w:left="920" w:hanging="360"/>
        <w:rPr>
          <w:rFonts w:hint="default" w:ascii="Times New Roman" w:hAnsi="Times New Roman" w:cs="Times New Roman"/>
          <w:snapToGrid w:val="0"/>
          <w:kern w:val="0"/>
          <w:sz w:val="28"/>
          <w:lang w:val="sq-AL"/>
        </w:rPr>
      </w:pPr>
      <w:r>
        <w:rPr>
          <w:rFonts w:hint="default" w:ascii="Times New Roman" w:hAnsi="Times New Roman" w:cs="Times New Roman"/>
          <w:snapToGrid w:val="0"/>
          <w:kern w:val="0"/>
          <w:sz w:val="28"/>
          <w:lang w:val="sq-AL"/>
        </w:rPr>
        <w:t>①矿区范围</w:t>
      </w:r>
    </w:p>
    <w:p w14:paraId="438107C7">
      <w:pPr>
        <w:spacing w:line="360" w:lineRule="auto"/>
        <w:ind w:firstLine="560" w:firstLineChars="200"/>
        <w:rPr>
          <w:rFonts w:hint="default" w:ascii="Times New Roman" w:hAnsi="Times New Roman" w:cs="Times New Roman"/>
          <w:snapToGrid w:val="0"/>
          <w:kern w:val="0"/>
          <w:sz w:val="28"/>
          <w:lang w:val="sq-AL"/>
        </w:rPr>
      </w:pPr>
      <w:r>
        <w:rPr>
          <w:rFonts w:hint="default" w:ascii="Times New Roman" w:hAnsi="Times New Roman" w:cs="Times New Roman"/>
          <w:sz w:val="28"/>
          <w:szCs w:val="28"/>
        </w:rPr>
        <w:t>采矿许可证范围由</w:t>
      </w:r>
      <w:r>
        <w:rPr>
          <w:rFonts w:hint="default" w:ascii="Times New Roman" w:hAnsi="Times New Roman" w:cs="Times New Roman"/>
          <w:sz w:val="28"/>
          <w:szCs w:val="28"/>
          <w:lang w:val="en-US" w:eastAsia="zh-CN"/>
        </w:rPr>
        <w:t>16</w:t>
      </w:r>
      <w:r>
        <w:rPr>
          <w:rFonts w:hint="default" w:ascii="Times New Roman" w:hAnsi="Times New Roman" w:cs="Times New Roman"/>
          <w:sz w:val="28"/>
          <w:szCs w:val="28"/>
        </w:rPr>
        <w:t>个拐点圈定，采矿权矿区面积</w:t>
      </w:r>
      <w:r>
        <w:rPr>
          <w:rFonts w:hint="default" w:ascii="Times New Roman" w:hAnsi="Times New Roman" w:cs="Times New Roman"/>
          <w:sz w:val="28"/>
          <w:szCs w:val="28"/>
          <w:lang w:eastAsia="zh-CN"/>
        </w:rPr>
        <w:t>0.2536</w:t>
      </w:r>
      <w:r>
        <w:rPr>
          <w:rFonts w:hint="default" w:ascii="Times New Roman" w:hAnsi="Times New Roman" w:cs="Times New Roman"/>
          <w:sz w:val="28"/>
          <w:szCs w:val="28"/>
        </w:rPr>
        <w:t>km²，开采深度</w:t>
      </w:r>
      <w:r>
        <w:rPr>
          <w:rFonts w:hint="default" w:ascii="Times New Roman" w:hAnsi="Times New Roman" w:cs="Times New Roman"/>
          <w:sz w:val="28"/>
          <w:szCs w:val="28"/>
          <w:lang w:eastAsia="zh-CN"/>
        </w:rPr>
        <w:t>1550m—1470m</w:t>
      </w:r>
      <w:r>
        <w:rPr>
          <w:rFonts w:hint="default" w:ascii="Times New Roman" w:hAnsi="Times New Roman" w:cs="Times New Roman"/>
          <w:sz w:val="28"/>
          <w:szCs w:val="28"/>
        </w:rPr>
        <w:t>，矿区范围坐标见表1.1-1。</w:t>
      </w:r>
    </w:p>
    <w:p w14:paraId="3E434495">
      <w:pPr>
        <w:jc w:val="center"/>
        <w:rPr>
          <w:rFonts w:hint="default" w:ascii="Times New Roman" w:hAnsi="Times New Roman" w:cs="Times New Roman"/>
          <w:bCs/>
          <w:snapToGrid w:val="0"/>
          <w:kern w:val="0"/>
          <w:sz w:val="24"/>
        </w:rPr>
      </w:pPr>
      <w:r>
        <w:rPr>
          <w:rFonts w:hint="default" w:ascii="Times New Roman" w:hAnsi="Times New Roman" w:cs="Times New Roman"/>
          <w:bCs/>
          <w:snapToGrid w:val="0"/>
          <w:kern w:val="0"/>
          <w:sz w:val="24"/>
        </w:rPr>
        <w:t>表1.1-1  矿区范围拐点坐标表</w:t>
      </w:r>
    </w:p>
    <w:tbl>
      <w:tblPr>
        <w:tblStyle w:val="30"/>
        <w:tblW w:w="4996" w:type="pct"/>
        <w:jc w:val="center"/>
        <w:tblLayout w:type="autofit"/>
        <w:tblCellMar>
          <w:top w:w="0" w:type="dxa"/>
          <w:left w:w="108" w:type="dxa"/>
          <w:bottom w:w="0" w:type="dxa"/>
          <w:right w:w="108" w:type="dxa"/>
        </w:tblCellMar>
      </w:tblPr>
      <w:tblGrid>
        <w:gridCol w:w="2161"/>
        <w:gridCol w:w="8"/>
        <w:gridCol w:w="3380"/>
        <w:gridCol w:w="3842"/>
      </w:tblGrid>
      <w:tr w14:paraId="4771AF19">
        <w:tblPrEx>
          <w:tblCellMar>
            <w:top w:w="0" w:type="dxa"/>
            <w:left w:w="108" w:type="dxa"/>
            <w:bottom w:w="0" w:type="dxa"/>
            <w:right w:w="108" w:type="dxa"/>
          </w:tblCellMar>
        </w:tblPrEx>
        <w:trPr>
          <w:trHeight w:val="340" w:hRule="atLeast"/>
          <w:tblHeader/>
          <w:jc w:val="center"/>
        </w:trPr>
        <w:tc>
          <w:tcPr>
            <w:tcW w:w="1151" w:type="pct"/>
            <w:vMerge w:val="restart"/>
            <w:tcBorders>
              <w:top w:val="single" w:color="auto" w:sz="4" w:space="0"/>
              <w:left w:val="single" w:color="auto" w:sz="4" w:space="0"/>
              <w:bottom w:val="single" w:color="auto" w:sz="4" w:space="0"/>
              <w:right w:val="single" w:color="auto" w:sz="4" w:space="0"/>
            </w:tcBorders>
            <w:noWrap w:val="0"/>
            <w:vAlign w:val="center"/>
          </w:tcPr>
          <w:p w14:paraId="7C9E37A9">
            <w:pPr>
              <w:widowControl/>
              <w:adjustRightInd w:val="0"/>
              <w:snapToGrid w:val="0"/>
              <w:jc w:val="center"/>
              <w:rPr>
                <w:rFonts w:hint="default" w:ascii="Times New Roman" w:hAnsi="Times New Roman" w:cs="Times New Roman"/>
                <w:b/>
                <w:bCs/>
                <w:kern w:val="0"/>
                <w:szCs w:val="21"/>
              </w:rPr>
            </w:pPr>
            <w:r>
              <w:rPr>
                <w:rFonts w:hint="default" w:ascii="Times New Roman" w:hAnsi="Times New Roman" w:cs="Times New Roman"/>
                <w:b/>
                <w:bCs/>
                <w:kern w:val="0"/>
                <w:szCs w:val="21"/>
              </w:rPr>
              <w:t>拐点</w:t>
            </w:r>
          </w:p>
          <w:p w14:paraId="5609DE3D">
            <w:pPr>
              <w:widowControl/>
              <w:adjustRightInd w:val="0"/>
              <w:snapToGrid w:val="0"/>
              <w:jc w:val="center"/>
              <w:rPr>
                <w:rFonts w:hint="default" w:ascii="Times New Roman" w:hAnsi="Times New Roman" w:cs="Times New Roman"/>
                <w:b/>
                <w:bCs/>
                <w:kern w:val="0"/>
                <w:szCs w:val="21"/>
              </w:rPr>
            </w:pPr>
            <w:r>
              <w:rPr>
                <w:rFonts w:hint="default" w:ascii="Times New Roman" w:hAnsi="Times New Roman" w:cs="Times New Roman"/>
                <w:b/>
                <w:bCs/>
                <w:kern w:val="0"/>
                <w:szCs w:val="21"/>
              </w:rPr>
              <w:t>编号</w:t>
            </w:r>
          </w:p>
        </w:tc>
        <w:tc>
          <w:tcPr>
            <w:tcW w:w="3848" w:type="pct"/>
            <w:gridSpan w:val="3"/>
            <w:tcBorders>
              <w:top w:val="single" w:color="auto" w:sz="4" w:space="0"/>
              <w:left w:val="nil"/>
              <w:bottom w:val="single" w:color="auto" w:sz="4" w:space="0"/>
              <w:right w:val="single" w:color="auto" w:sz="4" w:space="0"/>
            </w:tcBorders>
            <w:noWrap w:val="0"/>
            <w:vAlign w:val="center"/>
          </w:tcPr>
          <w:p w14:paraId="4B86C35E">
            <w:pPr>
              <w:widowControl/>
              <w:adjustRightInd w:val="0"/>
              <w:snapToGrid w:val="0"/>
              <w:jc w:val="center"/>
              <w:rPr>
                <w:rFonts w:hint="default" w:ascii="Times New Roman" w:hAnsi="Times New Roman" w:cs="Times New Roman"/>
                <w:b/>
                <w:bCs/>
                <w:kern w:val="0"/>
                <w:szCs w:val="21"/>
              </w:rPr>
            </w:pPr>
            <w:r>
              <w:rPr>
                <w:rFonts w:hint="default" w:ascii="Times New Roman" w:hAnsi="Times New Roman" w:cs="Times New Roman"/>
                <w:b/>
                <w:bCs/>
                <w:kern w:val="0"/>
                <w:szCs w:val="21"/>
              </w:rPr>
              <w:t>2000国家大地坐标</w:t>
            </w:r>
          </w:p>
        </w:tc>
      </w:tr>
      <w:tr w14:paraId="77E15035">
        <w:tblPrEx>
          <w:tblCellMar>
            <w:top w:w="0" w:type="dxa"/>
            <w:left w:w="108" w:type="dxa"/>
            <w:bottom w:w="0" w:type="dxa"/>
            <w:right w:w="108" w:type="dxa"/>
          </w:tblCellMar>
        </w:tblPrEx>
        <w:trPr>
          <w:trHeight w:val="340" w:hRule="atLeast"/>
          <w:tblHeader/>
          <w:jc w:val="center"/>
        </w:trPr>
        <w:tc>
          <w:tcPr>
            <w:tcW w:w="1151" w:type="pct"/>
            <w:vMerge w:val="continue"/>
            <w:tcBorders>
              <w:top w:val="single" w:color="auto" w:sz="4" w:space="0"/>
              <w:left w:val="single" w:color="auto" w:sz="4" w:space="0"/>
              <w:bottom w:val="single" w:color="auto" w:sz="4" w:space="0"/>
              <w:right w:val="single" w:color="auto" w:sz="4" w:space="0"/>
            </w:tcBorders>
            <w:noWrap w:val="0"/>
            <w:vAlign w:val="center"/>
          </w:tcPr>
          <w:p w14:paraId="4A9D8567">
            <w:pPr>
              <w:widowControl/>
              <w:adjustRightInd w:val="0"/>
              <w:snapToGrid w:val="0"/>
              <w:jc w:val="center"/>
              <w:rPr>
                <w:rFonts w:hint="default" w:ascii="Times New Roman" w:hAnsi="Times New Roman" w:cs="Times New Roman"/>
                <w:b/>
                <w:bCs/>
                <w:kern w:val="0"/>
                <w:szCs w:val="21"/>
              </w:rPr>
            </w:pPr>
          </w:p>
        </w:tc>
        <w:tc>
          <w:tcPr>
            <w:tcW w:w="1803" w:type="pct"/>
            <w:gridSpan w:val="2"/>
            <w:tcBorders>
              <w:top w:val="nil"/>
              <w:left w:val="nil"/>
              <w:bottom w:val="single" w:color="auto" w:sz="4" w:space="0"/>
              <w:right w:val="single" w:color="auto" w:sz="4" w:space="0"/>
            </w:tcBorders>
            <w:noWrap w:val="0"/>
            <w:vAlign w:val="center"/>
          </w:tcPr>
          <w:p w14:paraId="0CAB0F7C">
            <w:pPr>
              <w:widowControl/>
              <w:adjustRightInd w:val="0"/>
              <w:snapToGrid w:val="0"/>
              <w:jc w:val="center"/>
              <w:rPr>
                <w:rFonts w:hint="default" w:ascii="Times New Roman" w:hAnsi="Times New Roman" w:cs="Times New Roman"/>
                <w:b/>
                <w:bCs/>
                <w:kern w:val="0"/>
                <w:szCs w:val="21"/>
              </w:rPr>
            </w:pPr>
            <w:r>
              <w:rPr>
                <w:rFonts w:hint="default" w:ascii="Times New Roman" w:hAnsi="Times New Roman" w:cs="Times New Roman"/>
                <w:b/>
                <w:bCs/>
                <w:kern w:val="0"/>
                <w:szCs w:val="21"/>
              </w:rPr>
              <w:t>X</w:t>
            </w:r>
          </w:p>
        </w:tc>
        <w:tc>
          <w:tcPr>
            <w:tcW w:w="2044" w:type="pct"/>
            <w:tcBorders>
              <w:top w:val="nil"/>
              <w:left w:val="nil"/>
              <w:bottom w:val="single" w:color="auto" w:sz="4" w:space="0"/>
              <w:right w:val="single" w:color="auto" w:sz="4" w:space="0"/>
            </w:tcBorders>
            <w:noWrap w:val="0"/>
            <w:vAlign w:val="center"/>
          </w:tcPr>
          <w:p w14:paraId="479305B9">
            <w:pPr>
              <w:widowControl/>
              <w:adjustRightInd w:val="0"/>
              <w:snapToGrid w:val="0"/>
              <w:jc w:val="center"/>
              <w:rPr>
                <w:rFonts w:hint="default" w:ascii="Times New Roman" w:hAnsi="Times New Roman" w:cs="Times New Roman"/>
                <w:b/>
                <w:bCs/>
                <w:kern w:val="0"/>
                <w:szCs w:val="21"/>
              </w:rPr>
            </w:pPr>
            <w:r>
              <w:rPr>
                <w:rFonts w:hint="default" w:ascii="Times New Roman" w:hAnsi="Times New Roman" w:cs="Times New Roman"/>
                <w:b/>
                <w:bCs/>
                <w:kern w:val="0"/>
                <w:szCs w:val="21"/>
              </w:rPr>
              <w:t>Y</w:t>
            </w:r>
          </w:p>
        </w:tc>
      </w:tr>
      <w:tr w14:paraId="41F68B04">
        <w:tblPrEx>
          <w:tblCellMar>
            <w:top w:w="0" w:type="dxa"/>
            <w:left w:w="108" w:type="dxa"/>
            <w:bottom w:w="0" w:type="dxa"/>
            <w:right w:w="108" w:type="dxa"/>
          </w:tblCellMar>
        </w:tblPrEx>
        <w:trPr>
          <w:trHeight w:val="340" w:hRule="atLeast"/>
          <w:jc w:val="center"/>
        </w:trPr>
        <w:tc>
          <w:tcPr>
            <w:tcW w:w="1151" w:type="pct"/>
            <w:tcBorders>
              <w:top w:val="nil"/>
              <w:left w:val="single" w:color="auto" w:sz="4" w:space="0"/>
              <w:bottom w:val="single" w:color="auto" w:sz="4" w:space="0"/>
              <w:right w:val="single" w:color="auto" w:sz="4" w:space="0"/>
            </w:tcBorders>
            <w:noWrap w:val="0"/>
            <w:vAlign w:val="center"/>
          </w:tcPr>
          <w:p w14:paraId="6D5CEA86">
            <w:pPr>
              <w:widowControl/>
              <w:adjustRightInd w:val="0"/>
              <w:snapToGrid w:val="0"/>
              <w:jc w:val="center"/>
              <w:rPr>
                <w:rFonts w:hint="default" w:ascii="Times New Roman" w:hAnsi="Times New Roman" w:cs="Times New Roman"/>
                <w:kern w:val="0"/>
                <w:szCs w:val="21"/>
              </w:rPr>
            </w:pPr>
            <w:r>
              <w:rPr>
                <w:rFonts w:hint="default" w:ascii="Times New Roman" w:hAnsi="Times New Roman" w:cs="Times New Roman"/>
                <w:kern w:val="0"/>
                <w:szCs w:val="21"/>
              </w:rPr>
              <w:t>矿1</w:t>
            </w:r>
          </w:p>
        </w:tc>
        <w:tc>
          <w:tcPr>
            <w:tcW w:w="1803" w:type="pct"/>
            <w:gridSpan w:val="2"/>
            <w:tcBorders>
              <w:top w:val="nil"/>
              <w:left w:val="nil"/>
              <w:bottom w:val="single" w:color="auto" w:sz="4" w:space="0"/>
              <w:right w:val="single" w:color="auto" w:sz="4" w:space="0"/>
            </w:tcBorders>
            <w:noWrap/>
            <w:vAlign w:val="center"/>
          </w:tcPr>
          <w:p w14:paraId="73FD4C13">
            <w:pPr>
              <w:widowControl/>
              <w:adjustRightInd w:val="0"/>
              <w:snapToGrid w:val="0"/>
              <w:jc w:val="center"/>
              <w:rPr>
                <w:rFonts w:hint="default" w:ascii="Times New Roman" w:hAnsi="Times New Roman" w:cs="Times New Roman"/>
                <w:kern w:val="0"/>
                <w:szCs w:val="21"/>
                <w:lang w:val="en-US" w:eastAsia="zh-CN"/>
              </w:rPr>
            </w:pPr>
            <w:r>
              <w:rPr>
                <w:rFonts w:hint="default" w:ascii="Times New Roman" w:hAnsi="Times New Roman" w:cs="Times New Roman"/>
                <w:kern w:val="0"/>
                <w:szCs w:val="21"/>
                <w:lang w:val="en-US" w:eastAsia="zh-CN"/>
              </w:rPr>
              <w:t>2685361.62</w:t>
            </w:r>
          </w:p>
        </w:tc>
        <w:tc>
          <w:tcPr>
            <w:tcW w:w="2044" w:type="pct"/>
            <w:tcBorders>
              <w:top w:val="nil"/>
              <w:left w:val="nil"/>
              <w:bottom w:val="single" w:color="auto" w:sz="4" w:space="0"/>
              <w:right w:val="single" w:color="auto" w:sz="4" w:space="0"/>
            </w:tcBorders>
            <w:noWrap/>
            <w:vAlign w:val="center"/>
          </w:tcPr>
          <w:p w14:paraId="12CDCE84">
            <w:pPr>
              <w:widowControl/>
              <w:adjustRightInd w:val="0"/>
              <w:snapToGrid w:val="0"/>
              <w:jc w:val="center"/>
              <w:rPr>
                <w:rFonts w:hint="default" w:ascii="Times New Roman" w:hAnsi="Times New Roman" w:eastAsia="宋体" w:cs="Times New Roman"/>
                <w:kern w:val="0"/>
                <w:szCs w:val="21"/>
                <w:lang w:val="en-US" w:eastAsia="zh-CN"/>
              </w:rPr>
            </w:pPr>
            <w:r>
              <w:rPr>
                <w:rFonts w:hint="default" w:ascii="Times New Roman" w:hAnsi="Times New Roman" w:cs="Times New Roman"/>
                <w:kern w:val="0"/>
                <w:szCs w:val="21"/>
                <w:lang w:val="en-US" w:eastAsia="zh-CN"/>
              </w:rPr>
              <w:t>34651206.53</w:t>
            </w:r>
          </w:p>
        </w:tc>
      </w:tr>
      <w:tr w14:paraId="6F70E831">
        <w:tblPrEx>
          <w:tblCellMar>
            <w:top w:w="0" w:type="dxa"/>
            <w:left w:w="108" w:type="dxa"/>
            <w:bottom w:w="0" w:type="dxa"/>
            <w:right w:w="108" w:type="dxa"/>
          </w:tblCellMar>
        </w:tblPrEx>
        <w:trPr>
          <w:trHeight w:val="340" w:hRule="atLeast"/>
          <w:jc w:val="center"/>
        </w:trPr>
        <w:tc>
          <w:tcPr>
            <w:tcW w:w="1151" w:type="pct"/>
            <w:tcBorders>
              <w:top w:val="nil"/>
              <w:left w:val="single" w:color="auto" w:sz="4" w:space="0"/>
              <w:bottom w:val="single" w:color="auto" w:sz="4" w:space="0"/>
              <w:right w:val="single" w:color="auto" w:sz="4" w:space="0"/>
            </w:tcBorders>
            <w:noWrap w:val="0"/>
            <w:vAlign w:val="center"/>
          </w:tcPr>
          <w:p w14:paraId="55E3A332">
            <w:pPr>
              <w:widowControl/>
              <w:adjustRightInd w:val="0"/>
              <w:snapToGrid w:val="0"/>
              <w:jc w:val="center"/>
              <w:rPr>
                <w:rFonts w:hint="default" w:ascii="Times New Roman" w:hAnsi="Times New Roman" w:cs="Times New Roman"/>
                <w:kern w:val="0"/>
                <w:szCs w:val="21"/>
              </w:rPr>
            </w:pPr>
            <w:r>
              <w:rPr>
                <w:rFonts w:hint="default" w:ascii="Times New Roman" w:hAnsi="Times New Roman" w:cs="Times New Roman"/>
                <w:kern w:val="0"/>
                <w:szCs w:val="21"/>
              </w:rPr>
              <w:t>矿2</w:t>
            </w:r>
          </w:p>
        </w:tc>
        <w:tc>
          <w:tcPr>
            <w:tcW w:w="1803" w:type="pct"/>
            <w:gridSpan w:val="2"/>
            <w:tcBorders>
              <w:top w:val="nil"/>
              <w:left w:val="nil"/>
              <w:bottom w:val="single" w:color="auto" w:sz="4" w:space="0"/>
              <w:right w:val="single" w:color="auto" w:sz="4" w:space="0"/>
            </w:tcBorders>
            <w:noWrap/>
            <w:vAlign w:val="center"/>
          </w:tcPr>
          <w:p w14:paraId="2041042F">
            <w:pPr>
              <w:widowControl/>
              <w:adjustRightInd w:val="0"/>
              <w:snapToGrid w:val="0"/>
              <w:jc w:val="center"/>
              <w:rPr>
                <w:rFonts w:hint="default" w:ascii="Times New Roman" w:hAnsi="Times New Roman" w:eastAsia="宋体" w:cs="Times New Roman"/>
                <w:kern w:val="0"/>
                <w:szCs w:val="21"/>
                <w:lang w:val="en-US" w:eastAsia="zh-CN"/>
              </w:rPr>
            </w:pPr>
            <w:r>
              <w:rPr>
                <w:rFonts w:hint="default" w:ascii="Times New Roman" w:hAnsi="Times New Roman" w:cs="Times New Roman"/>
                <w:kern w:val="0"/>
                <w:szCs w:val="21"/>
                <w:lang w:val="en-US" w:eastAsia="zh-CN"/>
              </w:rPr>
              <w:t>2685339.62</w:t>
            </w:r>
          </w:p>
        </w:tc>
        <w:tc>
          <w:tcPr>
            <w:tcW w:w="2044" w:type="pct"/>
            <w:tcBorders>
              <w:top w:val="nil"/>
              <w:left w:val="nil"/>
              <w:bottom w:val="single" w:color="auto" w:sz="4" w:space="0"/>
              <w:right w:val="single" w:color="auto" w:sz="4" w:space="0"/>
            </w:tcBorders>
            <w:noWrap/>
            <w:vAlign w:val="center"/>
          </w:tcPr>
          <w:p w14:paraId="3FFE2B78">
            <w:pPr>
              <w:widowControl/>
              <w:adjustRightInd w:val="0"/>
              <w:snapToGrid w:val="0"/>
              <w:jc w:val="center"/>
              <w:rPr>
                <w:rFonts w:hint="default" w:ascii="Times New Roman" w:hAnsi="Times New Roman" w:eastAsia="宋体" w:cs="Times New Roman"/>
                <w:kern w:val="0"/>
                <w:szCs w:val="21"/>
                <w:lang w:val="en-US" w:eastAsia="zh-CN"/>
              </w:rPr>
            </w:pPr>
            <w:r>
              <w:rPr>
                <w:rFonts w:hint="default" w:ascii="Times New Roman" w:hAnsi="Times New Roman" w:cs="Times New Roman"/>
                <w:kern w:val="0"/>
                <w:szCs w:val="21"/>
                <w:lang w:val="en-US" w:eastAsia="zh-CN"/>
              </w:rPr>
              <w:t>34651619.53</w:t>
            </w:r>
          </w:p>
        </w:tc>
      </w:tr>
      <w:tr w14:paraId="7CD8EBDE">
        <w:tblPrEx>
          <w:tblCellMar>
            <w:top w:w="0" w:type="dxa"/>
            <w:left w:w="108" w:type="dxa"/>
            <w:bottom w:w="0" w:type="dxa"/>
            <w:right w:w="108" w:type="dxa"/>
          </w:tblCellMar>
        </w:tblPrEx>
        <w:trPr>
          <w:trHeight w:val="340" w:hRule="atLeast"/>
          <w:jc w:val="center"/>
        </w:trPr>
        <w:tc>
          <w:tcPr>
            <w:tcW w:w="1151" w:type="pct"/>
            <w:tcBorders>
              <w:top w:val="nil"/>
              <w:left w:val="single" w:color="auto" w:sz="4" w:space="0"/>
              <w:bottom w:val="single" w:color="auto" w:sz="4" w:space="0"/>
              <w:right w:val="single" w:color="auto" w:sz="4" w:space="0"/>
            </w:tcBorders>
            <w:noWrap w:val="0"/>
            <w:vAlign w:val="center"/>
          </w:tcPr>
          <w:p w14:paraId="3C7CF38B">
            <w:pPr>
              <w:widowControl/>
              <w:adjustRightInd w:val="0"/>
              <w:snapToGrid w:val="0"/>
              <w:jc w:val="center"/>
              <w:rPr>
                <w:rFonts w:hint="default" w:ascii="Times New Roman" w:hAnsi="Times New Roman" w:cs="Times New Roman"/>
                <w:kern w:val="0"/>
                <w:szCs w:val="21"/>
              </w:rPr>
            </w:pPr>
            <w:r>
              <w:rPr>
                <w:rFonts w:hint="default" w:ascii="Times New Roman" w:hAnsi="Times New Roman" w:cs="Times New Roman"/>
                <w:kern w:val="0"/>
                <w:szCs w:val="21"/>
              </w:rPr>
              <w:t>矿3</w:t>
            </w:r>
          </w:p>
        </w:tc>
        <w:tc>
          <w:tcPr>
            <w:tcW w:w="1803" w:type="pct"/>
            <w:gridSpan w:val="2"/>
            <w:tcBorders>
              <w:top w:val="nil"/>
              <w:left w:val="nil"/>
              <w:bottom w:val="single" w:color="auto" w:sz="4" w:space="0"/>
              <w:right w:val="single" w:color="auto" w:sz="4" w:space="0"/>
            </w:tcBorders>
            <w:noWrap/>
            <w:vAlign w:val="center"/>
          </w:tcPr>
          <w:p w14:paraId="7A7AF856">
            <w:pPr>
              <w:widowControl/>
              <w:adjustRightInd w:val="0"/>
              <w:snapToGrid w:val="0"/>
              <w:jc w:val="center"/>
              <w:rPr>
                <w:rFonts w:hint="default" w:ascii="Times New Roman" w:hAnsi="Times New Roman" w:cs="Times New Roman"/>
                <w:kern w:val="0"/>
                <w:szCs w:val="21"/>
              </w:rPr>
            </w:pPr>
            <w:r>
              <w:rPr>
                <w:rFonts w:hint="default" w:ascii="Times New Roman" w:hAnsi="Times New Roman" w:cs="Times New Roman"/>
                <w:kern w:val="0"/>
                <w:szCs w:val="21"/>
              </w:rPr>
              <w:t>2685308.62</w:t>
            </w:r>
          </w:p>
        </w:tc>
        <w:tc>
          <w:tcPr>
            <w:tcW w:w="2044" w:type="pct"/>
            <w:tcBorders>
              <w:top w:val="nil"/>
              <w:left w:val="nil"/>
              <w:bottom w:val="single" w:color="auto" w:sz="4" w:space="0"/>
              <w:right w:val="single" w:color="auto" w:sz="4" w:space="0"/>
            </w:tcBorders>
            <w:noWrap/>
            <w:vAlign w:val="center"/>
          </w:tcPr>
          <w:p w14:paraId="56DB97E5">
            <w:pPr>
              <w:widowControl/>
              <w:adjustRightInd w:val="0"/>
              <w:snapToGrid w:val="0"/>
              <w:jc w:val="center"/>
              <w:rPr>
                <w:rFonts w:hint="default" w:ascii="Times New Roman" w:hAnsi="Times New Roman" w:cs="Times New Roman"/>
                <w:kern w:val="0"/>
                <w:szCs w:val="21"/>
              </w:rPr>
            </w:pPr>
            <w:r>
              <w:rPr>
                <w:rFonts w:hint="default" w:ascii="Times New Roman" w:hAnsi="Times New Roman" w:cs="Times New Roman"/>
                <w:kern w:val="0"/>
                <w:szCs w:val="21"/>
              </w:rPr>
              <w:t>34651647.53</w:t>
            </w:r>
          </w:p>
        </w:tc>
      </w:tr>
      <w:tr w14:paraId="2C22EE50">
        <w:tblPrEx>
          <w:tblCellMar>
            <w:top w:w="0" w:type="dxa"/>
            <w:left w:w="108" w:type="dxa"/>
            <w:bottom w:w="0" w:type="dxa"/>
            <w:right w:w="108" w:type="dxa"/>
          </w:tblCellMar>
        </w:tblPrEx>
        <w:trPr>
          <w:trHeight w:val="340" w:hRule="atLeast"/>
          <w:jc w:val="center"/>
        </w:trPr>
        <w:tc>
          <w:tcPr>
            <w:tcW w:w="1151" w:type="pct"/>
            <w:tcBorders>
              <w:top w:val="nil"/>
              <w:left w:val="single" w:color="auto" w:sz="4" w:space="0"/>
              <w:bottom w:val="single" w:color="auto" w:sz="4" w:space="0"/>
              <w:right w:val="single" w:color="auto" w:sz="4" w:space="0"/>
            </w:tcBorders>
            <w:noWrap w:val="0"/>
            <w:vAlign w:val="center"/>
          </w:tcPr>
          <w:p w14:paraId="7F7F7A2F">
            <w:pPr>
              <w:widowControl/>
              <w:adjustRightInd w:val="0"/>
              <w:snapToGrid w:val="0"/>
              <w:jc w:val="center"/>
              <w:rPr>
                <w:rFonts w:hint="default" w:ascii="Times New Roman" w:hAnsi="Times New Roman" w:cs="Times New Roman"/>
                <w:kern w:val="0"/>
                <w:szCs w:val="21"/>
              </w:rPr>
            </w:pPr>
            <w:r>
              <w:rPr>
                <w:rFonts w:hint="default" w:ascii="Times New Roman" w:hAnsi="Times New Roman" w:cs="Times New Roman"/>
                <w:kern w:val="0"/>
                <w:szCs w:val="21"/>
              </w:rPr>
              <w:t>矿4</w:t>
            </w:r>
          </w:p>
        </w:tc>
        <w:tc>
          <w:tcPr>
            <w:tcW w:w="1803" w:type="pct"/>
            <w:gridSpan w:val="2"/>
            <w:tcBorders>
              <w:top w:val="nil"/>
              <w:left w:val="nil"/>
              <w:bottom w:val="single" w:color="auto" w:sz="4" w:space="0"/>
              <w:right w:val="single" w:color="auto" w:sz="4" w:space="0"/>
            </w:tcBorders>
            <w:noWrap/>
            <w:vAlign w:val="center"/>
          </w:tcPr>
          <w:p w14:paraId="06777799">
            <w:pPr>
              <w:widowControl/>
              <w:adjustRightInd w:val="0"/>
              <w:snapToGrid w:val="0"/>
              <w:jc w:val="center"/>
              <w:rPr>
                <w:rFonts w:hint="default" w:ascii="Times New Roman" w:hAnsi="Times New Roman" w:cs="Times New Roman"/>
                <w:kern w:val="0"/>
                <w:szCs w:val="21"/>
              </w:rPr>
            </w:pPr>
            <w:r>
              <w:rPr>
                <w:rFonts w:hint="default" w:ascii="Times New Roman" w:hAnsi="Times New Roman" w:cs="Times New Roman"/>
                <w:kern w:val="0"/>
                <w:szCs w:val="21"/>
              </w:rPr>
              <w:t>2685228.62</w:t>
            </w:r>
          </w:p>
        </w:tc>
        <w:tc>
          <w:tcPr>
            <w:tcW w:w="2044" w:type="pct"/>
            <w:tcBorders>
              <w:top w:val="nil"/>
              <w:left w:val="nil"/>
              <w:bottom w:val="single" w:color="auto" w:sz="4" w:space="0"/>
              <w:right w:val="single" w:color="auto" w:sz="4" w:space="0"/>
            </w:tcBorders>
            <w:noWrap/>
            <w:vAlign w:val="center"/>
          </w:tcPr>
          <w:p w14:paraId="4F4B8B2F">
            <w:pPr>
              <w:widowControl/>
              <w:adjustRightInd w:val="0"/>
              <w:snapToGrid w:val="0"/>
              <w:jc w:val="center"/>
              <w:rPr>
                <w:rFonts w:hint="default" w:ascii="Times New Roman" w:hAnsi="Times New Roman" w:cs="Times New Roman"/>
                <w:kern w:val="0"/>
                <w:szCs w:val="21"/>
              </w:rPr>
            </w:pPr>
            <w:r>
              <w:rPr>
                <w:rFonts w:hint="default" w:ascii="Times New Roman" w:hAnsi="Times New Roman" w:cs="Times New Roman"/>
                <w:kern w:val="0"/>
                <w:szCs w:val="21"/>
              </w:rPr>
              <w:t>34651624.53</w:t>
            </w:r>
          </w:p>
        </w:tc>
      </w:tr>
      <w:tr w14:paraId="3A6E7C25">
        <w:tblPrEx>
          <w:tblCellMar>
            <w:top w:w="0" w:type="dxa"/>
            <w:left w:w="108" w:type="dxa"/>
            <w:bottom w:w="0" w:type="dxa"/>
            <w:right w:w="108" w:type="dxa"/>
          </w:tblCellMar>
        </w:tblPrEx>
        <w:trPr>
          <w:trHeight w:val="340" w:hRule="atLeast"/>
          <w:jc w:val="center"/>
        </w:trPr>
        <w:tc>
          <w:tcPr>
            <w:tcW w:w="1151" w:type="pct"/>
            <w:tcBorders>
              <w:top w:val="nil"/>
              <w:left w:val="single" w:color="auto" w:sz="4" w:space="0"/>
              <w:bottom w:val="single" w:color="auto" w:sz="4" w:space="0"/>
              <w:right w:val="single" w:color="auto" w:sz="4" w:space="0"/>
            </w:tcBorders>
            <w:noWrap w:val="0"/>
            <w:vAlign w:val="center"/>
          </w:tcPr>
          <w:p w14:paraId="2270EB8D">
            <w:pPr>
              <w:widowControl/>
              <w:adjustRightInd w:val="0"/>
              <w:snapToGrid w:val="0"/>
              <w:jc w:val="center"/>
              <w:rPr>
                <w:rFonts w:hint="default" w:ascii="Times New Roman" w:hAnsi="Times New Roman" w:cs="Times New Roman"/>
                <w:kern w:val="0"/>
                <w:szCs w:val="21"/>
              </w:rPr>
            </w:pPr>
            <w:r>
              <w:rPr>
                <w:rFonts w:hint="default" w:ascii="Times New Roman" w:hAnsi="Times New Roman" w:cs="Times New Roman"/>
                <w:kern w:val="0"/>
                <w:szCs w:val="21"/>
              </w:rPr>
              <w:t>矿5</w:t>
            </w:r>
          </w:p>
        </w:tc>
        <w:tc>
          <w:tcPr>
            <w:tcW w:w="1803" w:type="pct"/>
            <w:gridSpan w:val="2"/>
            <w:tcBorders>
              <w:top w:val="nil"/>
              <w:left w:val="nil"/>
              <w:bottom w:val="single" w:color="auto" w:sz="4" w:space="0"/>
              <w:right w:val="single" w:color="auto" w:sz="4" w:space="0"/>
            </w:tcBorders>
            <w:noWrap/>
            <w:vAlign w:val="center"/>
          </w:tcPr>
          <w:p w14:paraId="6F5E0776">
            <w:pPr>
              <w:widowControl/>
              <w:adjustRightInd w:val="0"/>
              <w:snapToGrid w:val="0"/>
              <w:jc w:val="center"/>
              <w:rPr>
                <w:rFonts w:hint="default" w:ascii="Times New Roman" w:hAnsi="Times New Roman" w:cs="Times New Roman"/>
                <w:kern w:val="0"/>
                <w:szCs w:val="21"/>
              </w:rPr>
            </w:pPr>
            <w:r>
              <w:rPr>
                <w:rFonts w:hint="default" w:ascii="Times New Roman" w:hAnsi="Times New Roman" w:cs="Times New Roman"/>
                <w:kern w:val="0"/>
                <w:szCs w:val="21"/>
              </w:rPr>
              <w:t>2685141.62</w:t>
            </w:r>
          </w:p>
        </w:tc>
        <w:tc>
          <w:tcPr>
            <w:tcW w:w="2044" w:type="pct"/>
            <w:tcBorders>
              <w:top w:val="nil"/>
              <w:left w:val="nil"/>
              <w:bottom w:val="single" w:color="auto" w:sz="4" w:space="0"/>
              <w:right w:val="single" w:color="auto" w:sz="4" w:space="0"/>
            </w:tcBorders>
            <w:noWrap/>
            <w:vAlign w:val="center"/>
          </w:tcPr>
          <w:p w14:paraId="3B26CB9A">
            <w:pPr>
              <w:widowControl/>
              <w:adjustRightInd w:val="0"/>
              <w:snapToGrid w:val="0"/>
              <w:jc w:val="center"/>
              <w:rPr>
                <w:rFonts w:hint="default" w:ascii="Times New Roman" w:hAnsi="Times New Roman" w:cs="Times New Roman"/>
                <w:kern w:val="0"/>
                <w:szCs w:val="21"/>
              </w:rPr>
            </w:pPr>
            <w:r>
              <w:rPr>
                <w:rFonts w:hint="default" w:ascii="Times New Roman" w:hAnsi="Times New Roman" w:cs="Times New Roman"/>
                <w:kern w:val="0"/>
                <w:szCs w:val="21"/>
              </w:rPr>
              <w:t>34651672.53</w:t>
            </w:r>
          </w:p>
        </w:tc>
      </w:tr>
      <w:tr w14:paraId="55A25D20">
        <w:tblPrEx>
          <w:tblCellMar>
            <w:top w:w="0" w:type="dxa"/>
            <w:left w:w="108" w:type="dxa"/>
            <w:bottom w:w="0" w:type="dxa"/>
            <w:right w:w="108" w:type="dxa"/>
          </w:tblCellMar>
        </w:tblPrEx>
        <w:trPr>
          <w:trHeight w:val="340" w:hRule="atLeast"/>
          <w:jc w:val="center"/>
        </w:trPr>
        <w:tc>
          <w:tcPr>
            <w:tcW w:w="1151" w:type="pct"/>
            <w:tcBorders>
              <w:top w:val="nil"/>
              <w:left w:val="single" w:color="auto" w:sz="4" w:space="0"/>
              <w:bottom w:val="single" w:color="auto" w:sz="4" w:space="0"/>
              <w:right w:val="single" w:color="auto" w:sz="4" w:space="0"/>
            </w:tcBorders>
            <w:noWrap w:val="0"/>
            <w:vAlign w:val="center"/>
          </w:tcPr>
          <w:p w14:paraId="21C395A6">
            <w:pPr>
              <w:widowControl/>
              <w:adjustRightInd w:val="0"/>
              <w:snapToGrid w:val="0"/>
              <w:jc w:val="center"/>
              <w:rPr>
                <w:rFonts w:hint="default" w:ascii="Times New Roman" w:hAnsi="Times New Roman" w:cs="Times New Roman"/>
                <w:kern w:val="0"/>
                <w:szCs w:val="21"/>
              </w:rPr>
            </w:pPr>
            <w:r>
              <w:rPr>
                <w:rFonts w:hint="default" w:ascii="Times New Roman" w:hAnsi="Times New Roman" w:cs="Times New Roman"/>
                <w:kern w:val="0"/>
                <w:szCs w:val="21"/>
              </w:rPr>
              <w:t>矿6</w:t>
            </w:r>
          </w:p>
        </w:tc>
        <w:tc>
          <w:tcPr>
            <w:tcW w:w="1803" w:type="pct"/>
            <w:gridSpan w:val="2"/>
            <w:tcBorders>
              <w:top w:val="nil"/>
              <w:left w:val="nil"/>
              <w:bottom w:val="single" w:color="auto" w:sz="4" w:space="0"/>
              <w:right w:val="single" w:color="auto" w:sz="4" w:space="0"/>
            </w:tcBorders>
            <w:noWrap/>
            <w:vAlign w:val="center"/>
          </w:tcPr>
          <w:p w14:paraId="130117DA">
            <w:pPr>
              <w:widowControl/>
              <w:adjustRightInd w:val="0"/>
              <w:snapToGrid w:val="0"/>
              <w:jc w:val="center"/>
              <w:rPr>
                <w:rFonts w:hint="default" w:ascii="Times New Roman" w:hAnsi="Times New Roman" w:cs="Times New Roman"/>
                <w:kern w:val="0"/>
                <w:szCs w:val="21"/>
              </w:rPr>
            </w:pPr>
            <w:r>
              <w:rPr>
                <w:rFonts w:hint="default" w:ascii="Times New Roman" w:hAnsi="Times New Roman" w:cs="Times New Roman"/>
                <w:kern w:val="0"/>
                <w:szCs w:val="21"/>
              </w:rPr>
              <w:t>2685222.62</w:t>
            </w:r>
          </w:p>
        </w:tc>
        <w:tc>
          <w:tcPr>
            <w:tcW w:w="2044" w:type="pct"/>
            <w:tcBorders>
              <w:top w:val="nil"/>
              <w:left w:val="nil"/>
              <w:bottom w:val="single" w:color="auto" w:sz="4" w:space="0"/>
              <w:right w:val="single" w:color="auto" w:sz="4" w:space="0"/>
            </w:tcBorders>
            <w:noWrap/>
            <w:vAlign w:val="center"/>
          </w:tcPr>
          <w:p w14:paraId="7A30537C">
            <w:pPr>
              <w:widowControl/>
              <w:adjustRightInd w:val="0"/>
              <w:snapToGrid w:val="0"/>
              <w:jc w:val="center"/>
              <w:rPr>
                <w:rFonts w:hint="default" w:ascii="Times New Roman" w:hAnsi="Times New Roman" w:cs="Times New Roman"/>
                <w:kern w:val="0"/>
                <w:szCs w:val="21"/>
              </w:rPr>
            </w:pPr>
            <w:r>
              <w:rPr>
                <w:rFonts w:hint="default" w:ascii="Times New Roman" w:hAnsi="Times New Roman" w:cs="Times New Roman"/>
                <w:kern w:val="0"/>
                <w:szCs w:val="21"/>
              </w:rPr>
              <w:t>34651727.53</w:t>
            </w:r>
          </w:p>
        </w:tc>
      </w:tr>
      <w:tr w14:paraId="294B766D">
        <w:tblPrEx>
          <w:tblCellMar>
            <w:top w:w="0" w:type="dxa"/>
            <w:left w:w="108" w:type="dxa"/>
            <w:bottom w:w="0" w:type="dxa"/>
            <w:right w:w="108" w:type="dxa"/>
          </w:tblCellMar>
        </w:tblPrEx>
        <w:trPr>
          <w:trHeight w:val="340" w:hRule="atLeast"/>
          <w:jc w:val="center"/>
        </w:trPr>
        <w:tc>
          <w:tcPr>
            <w:tcW w:w="1151" w:type="pct"/>
            <w:tcBorders>
              <w:top w:val="nil"/>
              <w:left w:val="single" w:color="auto" w:sz="4" w:space="0"/>
              <w:bottom w:val="single" w:color="auto" w:sz="4" w:space="0"/>
              <w:right w:val="single" w:color="auto" w:sz="4" w:space="0"/>
            </w:tcBorders>
            <w:noWrap w:val="0"/>
            <w:vAlign w:val="center"/>
          </w:tcPr>
          <w:p w14:paraId="5A6CD6BA">
            <w:pPr>
              <w:widowControl/>
              <w:adjustRightInd w:val="0"/>
              <w:snapToGrid w:val="0"/>
              <w:jc w:val="center"/>
              <w:rPr>
                <w:rFonts w:hint="default" w:ascii="Times New Roman" w:hAnsi="Times New Roman" w:cs="Times New Roman"/>
                <w:kern w:val="0"/>
                <w:szCs w:val="21"/>
              </w:rPr>
            </w:pPr>
            <w:r>
              <w:rPr>
                <w:rFonts w:hint="default" w:ascii="Times New Roman" w:hAnsi="Times New Roman" w:cs="Times New Roman"/>
                <w:kern w:val="0"/>
                <w:szCs w:val="21"/>
              </w:rPr>
              <w:t>矿7</w:t>
            </w:r>
          </w:p>
        </w:tc>
        <w:tc>
          <w:tcPr>
            <w:tcW w:w="1803" w:type="pct"/>
            <w:gridSpan w:val="2"/>
            <w:tcBorders>
              <w:top w:val="nil"/>
              <w:left w:val="nil"/>
              <w:bottom w:val="single" w:color="auto" w:sz="4" w:space="0"/>
              <w:right w:val="single" w:color="auto" w:sz="4" w:space="0"/>
            </w:tcBorders>
            <w:noWrap/>
            <w:vAlign w:val="center"/>
          </w:tcPr>
          <w:p w14:paraId="437DEB14">
            <w:pPr>
              <w:widowControl/>
              <w:adjustRightInd w:val="0"/>
              <w:snapToGrid w:val="0"/>
              <w:jc w:val="center"/>
              <w:rPr>
                <w:rFonts w:hint="default" w:ascii="Times New Roman" w:hAnsi="Times New Roman" w:cs="Times New Roman"/>
                <w:kern w:val="0"/>
                <w:szCs w:val="21"/>
              </w:rPr>
            </w:pPr>
            <w:r>
              <w:rPr>
                <w:rFonts w:hint="default" w:ascii="Times New Roman" w:hAnsi="Times New Roman" w:cs="Times New Roman"/>
                <w:kern w:val="0"/>
                <w:szCs w:val="21"/>
              </w:rPr>
              <w:t>2685189.62</w:t>
            </w:r>
          </w:p>
        </w:tc>
        <w:tc>
          <w:tcPr>
            <w:tcW w:w="2044" w:type="pct"/>
            <w:tcBorders>
              <w:top w:val="nil"/>
              <w:left w:val="nil"/>
              <w:bottom w:val="single" w:color="auto" w:sz="4" w:space="0"/>
              <w:right w:val="single" w:color="auto" w:sz="4" w:space="0"/>
            </w:tcBorders>
            <w:noWrap/>
            <w:vAlign w:val="center"/>
          </w:tcPr>
          <w:p w14:paraId="45FDE6FC">
            <w:pPr>
              <w:widowControl/>
              <w:adjustRightInd w:val="0"/>
              <w:snapToGrid w:val="0"/>
              <w:jc w:val="center"/>
              <w:rPr>
                <w:rFonts w:hint="default" w:ascii="Times New Roman" w:hAnsi="Times New Roman" w:cs="Times New Roman"/>
                <w:kern w:val="0"/>
                <w:szCs w:val="21"/>
              </w:rPr>
            </w:pPr>
            <w:r>
              <w:rPr>
                <w:rFonts w:hint="default" w:ascii="Times New Roman" w:hAnsi="Times New Roman" w:cs="Times New Roman"/>
                <w:kern w:val="0"/>
                <w:szCs w:val="21"/>
              </w:rPr>
              <w:t>34651758.53</w:t>
            </w:r>
          </w:p>
        </w:tc>
      </w:tr>
      <w:tr w14:paraId="6B4DFB8F">
        <w:tblPrEx>
          <w:tblCellMar>
            <w:top w:w="0" w:type="dxa"/>
            <w:left w:w="108" w:type="dxa"/>
            <w:bottom w:w="0" w:type="dxa"/>
            <w:right w:w="108" w:type="dxa"/>
          </w:tblCellMar>
        </w:tblPrEx>
        <w:trPr>
          <w:trHeight w:val="340" w:hRule="atLeast"/>
          <w:jc w:val="center"/>
        </w:trPr>
        <w:tc>
          <w:tcPr>
            <w:tcW w:w="1151" w:type="pct"/>
            <w:tcBorders>
              <w:top w:val="nil"/>
              <w:left w:val="single" w:color="auto" w:sz="4" w:space="0"/>
              <w:bottom w:val="single" w:color="auto" w:sz="4" w:space="0"/>
              <w:right w:val="single" w:color="auto" w:sz="4" w:space="0"/>
            </w:tcBorders>
            <w:noWrap w:val="0"/>
            <w:vAlign w:val="center"/>
          </w:tcPr>
          <w:p w14:paraId="13140576">
            <w:pPr>
              <w:widowControl/>
              <w:adjustRightInd w:val="0"/>
              <w:snapToGrid w:val="0"/>
              <w:jc w:val="center"/>
              <w:rPr>
                <w:rFonts w:hint="default" w:ascii="Times New Roman" w:hAnsi="Times New Roman" w:eastAsia="宋体" w:cs="Times New Roman"/>
                <w:kern w:val="0"/>
                <w:szCs w:val="21"/>
                <w:lang w:val="en-US" w:eastAsia="zh-CN"/>
              </w:rPr>
            </w:pPr>
            <w:r>
              <w:rPr>
                <w:rFonts w:hint="default" w:ascii="Times New Roman" w:hAnsi="Times New Roman" w:cs="Times New Roman"/>
                <w:kern w:val="0"/>
                <w:szCs w:val="21"/>
              </w:rPr>
              <w:t>矿</w:t>
            </w:r>
            <w:r>
              <w:rPr>
                <w:rFonts w:hint="default" w:ascii="Times New Roman" w:hAnsi="Times New Roman" w:cs="Times New Roman"/>
                <w:kern w:val="0"/>
                <w:szCs w:val="21"/>
                <w:lang w:val="en-US" w:eastAsia="zh-CN"/>
              </w:rPr>
              <w:t>8</w:t>
            </w:r>
          </w:p>
        </w:tc>
        <w:tc>
          <w:tcPr>
            <w:tcW w:w="1803" w:type="pct"/>
            <w:gridSpan w:val="2"/>
            <w:tcBorders>
              <w:top w:val="nil"/>
              <w:left w:val="nil"/>
              <w:bottom w:val="single" w:color="auto" w:sz="4" w:space="0"/>
              <w:right w:val="single" w:color="auto" w:sz="4" w:space="0"/>
            </w:tcBorders>
            <w:noWrap/>
            <w:vAlign w:val="center"/>
          </w:tcPr>
          <w:p w14:paraId="0432E631">
            <w:pPr>
              <w:widowControl/>
              <w:adjustRightInd w:val="0"/>
              <w:snapToGrid w:val="0"/>
              <w:jc w:val="center"/>
              <w:rPr>
                <w:rFonts w:hint="default" w:ascii="Times New Roman" w:hAnsi="Times New Roman" w:cs="Times New Roman"/>
                <w:kern w:val="0"/>
                <w:szCs w:val="21"/>
              </w:rPr>
            </w:pPr>
            <w:r>
              <w:rPr>
                <w:rFonts w:hint="default" w:ascii="Times New Roman" w:hAnsi="Times New Roman" w:cs="Times New Roman"/>
                <w:kern w:val="0"/>
                <w:szCs w:val="21"/>
              </w:rPr>
              <w:t>2685081.00</w:t>
            </w:r>
          </w:p>
        </w:tc>
        <w:tc>
          <w:tcPr>
            <w:tcW w:w="2044" w:type="pct"/>
            <w:tcBorders>
              <w:top w:val="nil"/>
              <w:left w:val="nil"/>
              <w:bottom w:val="single" w:color="auto" w:sz="4" w:space="0"/>
              <w:right w:val="single" w:color="auto" w:sz="4" w:space="0"/>
            </w:tcBorders>
            <w:noWrap/>
            <w:vAlign w:val="center"/>
          </w:tcPr>
          <w:p w14:paraId="62C744FE">
            <w:pPr>
              <w:widowControl/>
              <w:adjustRightInd w:val="0"/>
              <w:snapToGrid w:val="0"/>
              <w:jc w:val="center"/>
              <w:rPr>
                <w:rFonts w:hint="default" w:ascii="Times New Roman" w:hAnsi="Times New Roman" w:cs="Times New Roman"/>
                <w:kern w:val="0"/>
                <w:szCs w:val="21"/>
              </w:rPr>
            </w:pPr>
            <w:r>
              <w:rPr>
                <w:rFonts w:hint="default" w:ascii="Times New Roman" w:hAnsi="Times New Roman" w:cs="Times New Roman"/>
                <w:kern w:val="0"/>
                <w:szCs w:val="21"/>
              </w:rPr>
              <w:t>34651734.00</w:t>
            </w:r>
          </w:p>
        </w:tc>
      </w:tr>
      <w:tr w14:paraId="779972CE">
        <w:tblPrEx>
          <w:tblCellMar>
            <w:top w:w="0" w:type="dxa"/>
            <w:left w:w="108" w:type="dxa"/>
            <w:bottom w:w="0" w:type="dxa"/>
            <w:right w:w="108" w:type="dxa"/>
          </w:tblCellMar>
        </w:tblPrEx>
        <w:trPr>
          <w:trHeight w:val="340" w:hRule="atLeast"/>
          <w:jc w:val="center"/>
        </w:trPr>
        <w:tc>
          <w:tcPr>
            <w:tcW w:w="1151" w:type="pct"/>
            <w:tcBorders>
              <w:top w:val="nil"/>
              <w:left w:val="single" w:color="auto" w:sz="4" w:space="0"/>
              <w:bottom w:val="single" w:color="auto" w:sz="4" w:space="0"/>
              <w:right w:val="single" w:color="auto" w:sz="4" w:space="0"/>
            </w:tcBorders>
            <w:noWrap w:val="0"/>
            <w:vAlign w:val="center"/>
          </w:tcPr>
          <w:p w14:paraId="654A1222">
            <w:pPr>
              <w:widowControl/>
              <w:adjustRightInd w:val="0"/>
              <w:snapToGrid w:val="0"/>
              <w:jc w:val="center"/>
              <w:rPr>
                <w:rFonts w:hint="default" w:ascii="Times New Roman" w:hAnsi="Times New Roman" w:eastAsia="宋体" w:cs="Times New Roman"/>
                <w:kern w:val="0"/>
                <w:szCs w:val="21"/>
                <w:lang w:eastAsia="zh-CN"/>
              </w:rPr>
            </w:pPr>
            <w:r>
              <w:rPr>
                <w:rFonts w:hint="default" w:ascii="Times New Roman" w:hAnsi="Times New Roman" w:cs="Times New Roman"/>
                <w:kern w:val="0"/>
                <w:szCs w:val="21"/>
              </w:rPr>
              <w:t>矿</w:t>
            </w:r>
            <w:r>
              <w:rPr>
                <w:rFonts w:hint="default" w:ascii="Times New Roman" w:hAnsi="Times New Roman" w:cs="Times New Roman"/>
                <w:kern w:val="0"/>
                <w:szCs w:val="21"/>
                <w:lang w:val="en-US" w:eastAsia="zh-CN"/>
              </w:rPr>
              <w:t>9</w:t>
            </w:r>
          </w:p>
        </w:tc>
        <w:tc>
          <w:tcPr>
            <w:tcW w:w="1803" w:type="pct"/>
            <w:gridSpan w:val="2"/>
            <w:tcBorders>
              <w:top w:val="nil"/>
              <w:left w:val="nil"/>
              <w:bottom w:val="single" w:color="auto" w:sz="4" w:space="0"/>
              <w:right w:val="single" w:color="auto" w:sz="4" w:space="0"/>
            </w:tcBorders>
            <w:noWrap/>
            <w:vAlign w:val="center"/>
          </w:tcPr>
          <w:p w14:paraId="201A4566">
            <w:pPr>
              <w:widowControl/>
              <w:adjustRightInd w:val="0"/>
              <w:snapToGrid w:val="0"/>
              <w:jc w:val="center"/>
              <w:rPr>
                <w:rFonts w:hint="default" w:ascii="Times New Roman" w:hAnsi="Times New Roman" w:cs="Times New Roman"/>
                <w:kern w:val="0"/>
                <w:szCs w:val="21"/>
              </w:rPr>
            </w:pPr>
            <w:r>
              <w:rPr>
                <w:rFonts w:hint="default" w:ascii="Times New Roman" w:hAnsi="Times New Roman" w:cs="Times New Roman"/>
                <w:kern w:val="0"/>
                <w:szCs w:val="21"/>
              </w:rPr>
              <w:t>2685081.00</w:t>
            </w:r>
          </w:p>
        </w:tc>
        <w:tc>
          <w:tcPr>
            <w:tcW w:w="2044" w:type="pct"/>
            <w:tcBorders>
              <w:top w:val="nil"/>
              <w:left w:val="nil"/>
              <w:bottom w:val="single" w:color="auto" w:sz="4" w:space="0"/>
              <w:right w:val="single" w:color="auto" w:sz="4" w:space="0"/>
            </w:tcBorders>
            <w:noWrap/>
            <w:vAlign w:val="center"/>
          </w:tcPr>
          <w:p w14:paraId="20E4CB56">
            <w:pPr>
              <w:widowControl/>
              <w:adjustRightInd w:val="0"/>
              <w:snapToGrid w:val="0"/>
              <w:jc w:val="center"/>
              <w:rPr>
                <w:rFonts w:hint="default" w:ascii="Times New Roman" w:hAnsi="Times New Roman" w:cs="Times New Roman"/>
                <w:kern w:val="0"/>
                <w:szCs w:val="21"/>
              </w:rPr>
            </w:pPr>
            <w:r>
              <w:rPr>
                <w:rFonts w:hint="default" w:ascii="Times New Roman" w:hAnsi="Times New Roman" w:cs="Times New Roman"/>
                <w:kern w:val="0"/>
                <w:szCs w:val="21"/>
              </w:rPr>
              <w:t>34651687.00</w:t>
            </w:r>
          </w:p>
        </w:tc>
      </w:tr>
      <w:tr w14:paraId="1A64E2FD">
        <w:tblPrEx>
          <w:tblCellMar>
            <w:top w:w="0" w:type="dxa"/>
            <w:left w:w="108" w:type="dxa"/>
            <w:bottom w:w="0" w:type="dxa"/>
            <w:right w:w="108" w:type="dxa"/>
          </w:tblCellMar>
        </w:tblPrEx>
        <w:trPr>
          <w:trHeight w:val="340" w:hRule="atLeast"/>
          <w:jc w:val="center"/>
        </w:trPr>
        <w:tc>
          <w:tcPr>
            <w:tcW w:w="1151" w:type="pct"/>
            <w:tcBorders>
              <w:top w:val="nil"/>
              <w:left w:val="single" w:color="auto" w:sz="4" w:space="0"/>
              <w:bottom w:val="single" w:color="auto" w:sz="4" w:space="0"/>
              <w:right w:val="single" w:color="auto" w:sz="4" w:space="0"/>
            </w:tcBorders>
            <w:noWrap w:val="0"/>
            <w:vAlign w:val="center"/>
          </w:tcPr>
          <w:p w14:paraId="159CE15D">
            <w:pPr>
              <w:widowControl/>
              <w:adjustRightInd w:val="0"/>
              <w:snapToGrid w:val="0"/>
              <w:jc w:val="center"/>
              <w:rPr>
                <w:rFonts w:hint="default" w:ascii="Times New Roman" w:hAnsi="Times New Roman" w:eastAsia="宋体" w:cs="Times New Roman"/>
                <w:kern w:val="0"/>
                <w:szCs w:val="21"/>
                <w:lang w:val="en-US" w:eastAsia="zh-CN"/>
              </w:rPr>
            </w:pPr>
            <w:r>
              <w:rPr>
                <w:rFonts w:hint="default" w:ascii="Times New Roman" w:hAnsi="Times New Roman" w:cs="Times New Roman"/>
                <w:kern w:val="0"/>
                <w:szCs w:val="21"/>
              </w:rPr>
              <w:t>矿</w:t>
            </w:r>
            <w:r>
              <w:rPr>
                <w:rFonts w:hint="default" w:ascii="Times New Roman" w:hAnsi="Times New Roman" w:cs="Times New Roman"/>
                <w:kern w:val="0"/>
                <w:szCs w:val="21"/>
                <w:lang w:val="en-US" w:eastAsia="zh-CN"/>
              </w:rPr>
              <w:t>10</w:t>
            </w:r>
          </w:p>
        </w:tc>
        <w:tc>
          <w:tcPr>
            <w:tcW w:w="1803" w:type="pct"/>
            <w:gridSpan w:val="2"/>
            <w:tcBorders>
              <w:top w:val="nil"/>
              <w:left w:val="nil"/>
              <w:bottom w:val="single" w:color="auto" w:sz="4" w:space="0"/>
              <w:right w:val="single" w:color="auto" w:sz="4" w:space="0"/>
            </w:tcBorders>
            <w:noWrap/>
            <w:vAlign w:val="center"/>
          </w:tcPr>
          <w:p w14:paraId="504B9466">
            <w:pPr>
              <w:widowControl/>
              <w:adjustRightInd w:val="0"/>
              <w:snapToGrid w:val="0"/>
              <w:jc w:val="center"/>
              <w:rPr>
                <w:rFonts w:hint="default" w:ascii="Times New Roman" w:hAnsi="Times New Roman" w:cs="Times New Roman"/>
                <w:kern w:val="0"/>
                <w:szCs w:val="21"/>
              </w:rPr>
            </w:pPr>
            <w:r>
              <w:rPr>
                <w:rFonts w:hint="default" w:ascii="Times New Roman" w:hAnsi="Times New Roman" w:cs="Times New Roman"/>
                <w:kern w:val="0"/>
                <w:szCs w:val="21"/>
              </w:rPr>
              <w:t>2685043.00</w:t>
            </w:r>
          </w:p>
        </w:tc>
        <w:tc>
          <w:tcPr>
            <w:tcW w:w="2044" w:type="pct"/>
            <w:tcBorders>
              <w:top w:val="nil"/>
              <w:left w:val="nil"/>
              <w:bottom w:val="single" w:color="auto" w:sz="4" w:space="0"/>
              <w:right w:val="single" w:color="auto" w:sz="4" w:space="0"/>
            </w:tcBorders>
            <w:noWrap/>
            <w:vAlign w:val="center"/>
          </w:tcPr>
          <w:p w14:paraId="2BE88A54">
            <w:pPr>
              <w:widowControl/>
              <w:adjustRightInd w:val="0"/>
              <w:snapToGrid w:val="0"/>
              <w:jc w:val="center"/>
              <w:rPr>
                <w:rFonts w:hint="default" w:ascii="Times New Roman" w:hAnsi="Times New Roman" w:cs="Times New Roman"/>
                <w:kern w:val="0"/>
                <w:szCs w:val="21"/>
              </w:rPr>
            </w:pPr>
            <w:r>
              <w:rPr>
                <w:rFonts w:hint="default" w:ascii="Times New Roman" w:hAnsi="Times New Roman" w:cs="Times New Roman"/>
                <w:kern w:val="0"/>
                <w:szCs w:val="21"/>
              </w:rPr>
              <w:t>34651648.00</w:t>
            </w:r>
          </w:p>
        </w:tc>
      </w:tr>
      <w:tr w14:paraId="2A96A7AF">
        <w:tblPrEx>
          <w:tblCellMar>
            <w:top w:w="0" w:type="dxa"/>
            <w:left w:w="108" w:type="dxa"/>
            <w:bottom w:w="0" w:type="dxa"/>
            <w:right w:w="108" w:type="dxa"/>
          </w:tblCellMar>
        </w:tblPrEx>
        <w:trPr>
          <w:trHeight w:val="340" w:hRule="atLeast"/>
          <w:jc w:val="center"/>
        </w:trPr>
        <w:tc>
          <w:tcPr>
            <w:tcW w:w="1151" w:type="pct"/>
            <w:tcBorders>
              <w:top w:val="nil"/>
              <w:left w:val="single" w:color="auto" w:sz="4" w:space="0"/>
              <w:bottom w:val="single" w:color="auto" w:sz="4" w:space="0"/>
              <w:right w:val="single" w:color="auto" w:sz="4" w:space="0"/>
            </w:tcBorders>
            <w:noWrap w:val="0"/>
            <w:vAlign w:val="center"/>
          </w:tcPr>
          <w:p w14:paraId="56B474AA">
            <w:pPr>
              <w:widowControl/>
              <w:adjustRightInd w:val="0"/>
              <w:snapToGrid w:val="0"/>
              <w:jc w:val="center"/>
              <w:rPr>
                <w:rFonts w:hint="default" w:ascii="Times New Roman" w:hAnsi="Times New Roman" w:eastAsia="宋体" w:cs="Times New Roman"/>
                <w:kern w:val="0"/>
                <w:szCs w:val="21"/>
                <w:lang w:val="en-US" w:eastAsia="zh-CN"/>
              </w:rPr>
            </w:pPr>
            <w:r>
              <w:rPr>
                <w:rFonts w:hint="default" w:ascii="Times New Roman" w:hAnsi="Times New Roman" w:cs="Times New Roman"/>
                <w:kern w:val="0"/>
                <w:szCs w:val="21"/>
              </w:rPr>
              <w:t>矿</w:t>
            </w:r>
            <w:r>
              <w:rPr>
                <w:rFonts w:hint="default" w:ascii="Times New Roman" w:hAnsi="Times New Roman" w:cs="Times New Roman"/>
                <w:kern w:val="0"/>
                <w:szCs w:val="21"/>
                <w:lang w:val="en-US" w:eastAsia="zh-CN"/>
              </w:rPr>
              <w:t>11</w:t>
            </w:r>
          </w:p>
        </w:tc>
        <w:tc>
          <w:tcPr>
            <w:tcW w:w="1803" w:type="pct"/>
            <w:gridSpan w:val="2"/>
            <w:tcBorders>
              <w:top w:val="nil"/>
              <w:left w:val="nil"/>
              <w:bottom w:val="single" w:color="auto" w:sz="4" w:space="0"/>
              <w:right w:val="single" w:color="auto" w:sz="4" w:space="0"/>
            </w:tcBorders>
            <w:noWrap/>
            <w:vAlign w:val="center"/>
          </w:tcPr>
          <w:p w14:paraId="3904300C">
            <w:pPr>
              <w:widowControl/>
              <w:adjustRightInd w:val="0"/>
              <w:snapToGrid w:val="0"/>
              <w:jc w:val="center"/>
              <w:rPr>
                <w:rFonts w:hint="default" w:ascii="Times New Roman" w:hAnsi="Times New Roman" w:cs="Times New Roman"/>
                <w:kern w:val="0"/>
                <w:szCs w:val="21"/>
              </w:rPr>
            </w:pPr>
            <w:r>
              <w:rPr>
                <w:rFonts w:hint="default" w:ascii="Times New Roman" w:hAnsi="Times New Roman" w:cs="Times New Roman"/>
                <w:kern w:val="0"/>
                <w:szCs w:val="21"/>
              </w:rPr>
              <w:t>2684956.00</w:t>
            </w:r>
          </w:p>
        </w:tc>
        <w:tc>
          <w:tcPr>
            <w:tcW w:w="2044" w:type="pct"/>
            <w:tcBorders>
              <w:top w:val="nil"/>
              <w:left w:val="nil"/>
              <w:bottom w:val="single" w:color="auto" w:sz="4" w:space="0"/>
              <w:right w:val="single" w:color="auto" w:sz="4" w:space="0"/>
            </w:tcBorders>
            <w:noWrap/>
            <w:vAlign w:val="center"/>
          </w:tcPr>
          <w:p w14:paraId="316951DA">
            <w:pPr>
              <w:widowControl/>
              <w:adjustRightInd w:val="0"/>
              <w:snapToGrid w:val="0"/>
              <w:jc w:val="center"/>
              <w:rPr>
                <w:rFonts w:hint="default" w:ascii="Times New Roman" w:hAnsi="Times New Roman" w:cs="Times New Roman"/>
                <w:kern w:val="0"/>
                <w:szCs w:val="21"/>
              </w:rPr>
            </w:pPr>
            <w:r>
              <w:rPr>
                <w:rFonts w:hint="default" w:ascii="Times New Roman" w:hAnsi="Times New Roman" w:cs="Times New Roman"/>
                <w:kern w:val="0"/>
                <w:szCs w:val="21"/>
              </w:rPr>
              <w:t>34651663.00</w:t>
            </w:r>
          </w:p>
        </w:tc>
      </w:tr>
      <w:tr w14:paraId="2415E04D">
        <w:tblPrEx>
          <w:tblCellMar>
            <w:top w:w="0" w:type="dxa"/>
            <w:left w:w="108" w:type="dxa"/>
            <w:bottom w:w="0" w:type="dxa"/>
            <w:right w:w="108" w:type="dxa"/>
          </w:tblCellMar>
        </w:tblPrEx>
        <w:trPr>
          <w:trHeight w:val="340" w:hRule="atLeast"/>
          <w:jc w:val="center"/>
        </w:trPr>
        <w:tc>
          <w:tcPr>
            <w:tcW w:w="1151" w:type="pct"/>
            <w:tcBorders>
              <w:top w:val="nil"/>
              <w:left w:val="single" w:color="auto" w:sz="4" w:space="0"/>
              <w:bottom w:val="single" w:color="auto" w:sz="4" w:space="0"/>
              <w:right w:val="single" w:color="auto" w:sz="4" w:space="0"/>
            </w:tcBorders>
            <w:noWrap w:val="0"/>
            <w:vAlign w:val="center"/>
          </w:tcPr>
          <w:p w14:paraId="75614076">
            <w:pPr>
              <w:widowControl/>
              <w:adjustRightInd w:val="0"/>
              <w:snapToGrid w:val="0"/>
              <w:jc w:val="center"/>
              <w:rPr>
                <w:rFonts w:hint="default" w:ascii="Times New Roman" w:hAnsi="Times New Roman" w:eastAsia="宋体" w:cs="Times New Roman"/>
                <w:kern w:val="0"/>
                <w:szCs w:val="21"/>
                <w:lang w:val="en-US" w:eastAsia="zh-CN"/>
              </w:rPr>
            </w:pPr>
            <w:r>
              <w:rPr>
                <w:rFonts w:hint="default" w:ascii="Times New Roman" w:hAnsi="Times New Roman" w:cs="Times New Roman"/>
                <w:kern w:val="0"/>
                <w:szCs w:val="21"/>
              </w:rPr>
              <w:t>矿</w:t>
            </w:r>
            <w:r>
              <w:rPr>
                <w:rFonts w:hint="default" w:ascii="Times New Roman" w:hAnsi="Times New Roman" w:cs="Times New Roman"/>
                <w:kern w:val="0"/>
                <w:szCs w:val="21"/>
                <w:lang w:val="en-US" w:eastAsia="zh-CN"/>
              </w:rPr>
              <w:t>12</w:t>
            </w:r>
          </w:p>
        </w:tc>
        <w:tc>
          <w:tcPr>
            <w:tcW w:w="1803" w:type="pct"/>
            <w:gridSpan w:val="2"/>
            <w:tcBorders>
              <w:top w:val="nil"/>
              <w:left w:val="nil"/>
              <w:bottom w:val="single" w:color="auto" w:sz="4" w:space="0"/>
              <w:right w:val="single" w:color="auto" w:sz="4" w:space="0"/>
            </w:tcBorders>
            <w:noWrap/>
            <w:vAlign w:val="center"/>
          </w:tcPr>
          <w:p w14:paraId="1CF7DEF4">
            <w:pPr>
              <w:widowControl/>
              <w:adjustRightInd w:val="0"/>
              <w:snapToGrid w:val="0"/>
              <w:jc w:val="center"/>
              <w:rPr>
                <w:rFonts w:hint="default" w:ascii="Times New Roman" w:hAnsi="Times New Roman" w:cs="Times New Roman"/>
                <w:kern w:val="0"/>
                <w:szCs w:val="21"/>
              </w:rPr>
            </w:pPr>
            <w:r>
              <w:rPr>
                <w:rFonts w:hint="default" w:ascii="Times New Roman" w:hAnsi="Times New Roman" w:cs="Times New Roman"/>
                <w:kern w:val="0"/>
                <w:szCs w:val="21"/>
              </w:rPr>
              <w:t>2684876.00</w:t>
            </w:r>
          </w:p>
        </w:tc>
        <w:tc>
          <w:tcPr>
            <w:tcW w:w="2044" w:type="pct"/>
            <w:tcBorders>
              <w:top w:val="nil"/>
              <w:left w:val="nil"/>
              <w:bottom w:val="single" w:color="auto" w:sz="4" w:space="0"/>
              <w:right w:val="single" w:color="auto" w:sz="4" w:space="0"/>
            </w:tcBorders>
            <w:noWrap/>
            <w:vAlign w:val="center"/>
          </w:tcPr>
          <w:p w14:paraId="5F0AB8B7">
            <w:pPr>
              <w:widowControl/>
              <w:adjustRightInd w:val="0"/>
              <w:snapToGrid w:val="0"/>
              <w:jc w:val="center"/>
              <w:rPr>
                <w:rFonts w:hint="default" w:ascii="Times New Roman" w:hAnsi="Times New Roman" w:cs="Times New Roman"/>
                <w:kern w:val="0"/>
                <w:szCs w:val="21"/>
              </w:rPr>
            </w:pPr>
            <w:r>
              <w:rPr>
                <w:rFonts w:hint="default" w:ascii="Times New Roman" w:hAnsi="Times New Roman" w:cs="Times New Roman"/>
                <w:kern w:val="0"/>
                <w:szCs w:val="21"/>
              </w:rPr>
              <w:t>34651516.00</w:t>
            </w:r>
          </w:p>
        </w:tc>
      </w:tr>
      <w:tr w14:paraId="7E64FBC1">
        <w:tblPrEx>
          <w:tblCellMar>
            <w:top w:w="0" w:type="dxa"/>
            <w:left w:w="108" w:type="dxa"/>
            <w:bottom w:w="0" w:type="dxa"/>
            <w:right w:w="108" w:type="dxa"/>
          </w:tblCellMar>
        </w:tblPrEx>
        <w:trPr>
          <w:trHeight w:val="340" w:hRule="atLeast"/>
          <w:jc w:val="center"/>
        </w:trPr>
        <w:tc>
          <w:tcPr>
            <w:tcW w:w="1151" w:type="pct"/>
            <w:tcBorders>
              <w:top w:val="nil"/>
              <w:left w:val="single" w:color="auto" w:sz="4" w:space="0"/>
              <w:bottom w:val="single" w:color="auto" w:sz="4" w:space="0"/>
              <w:right w:val="single" w:color="auto" w:sz="4" w:space="0"/>
            </w:tcBorders>
            <w:noWrap w:val="0"/>
            <w:vAlign w:val="center"/>
          </w:tcPr>
          <w:p w14:paraId="7B8CA559">
            <w:pPr>
              <w:widowControl/>
              <w:adjustRightInd w:val="0"/>
              <w:snapToGrid w:val="0"/>
              <w:jc w:val="center"/>
              <w:rPr>
                <w:rFonts w:hint="default" w:ascii="Times New Roman" w:hAnsi="Times New Roman" w:eastAsia="宋体" w:cs="Times New Roman"/>
                <w:kern w:val="0"/>
                <w:szCs w:val="21"/>
                <w:lang w:val="en-US" w:eastAsia="zh-CN"/>
              </w:rPr>
            </w:pPr>
            <w:r>
              <w:rPr>
                <w:rFonts w:hint="default" w:ascii="Times New Roman" w:hAnsi="Times New Roman" w:cs="Times New Roman"/>
                <w:kern w:val="0"/>
                <w:szCs w:val="21"/>
              </w:rPr>
              <w:t>矿</w:t>
            </w:r>
            <w:r>
              <w:rPr>
                <w:rFonts w:hint="default" w:ascii="Times New Roman" w:hAnsi="Times New Roman" w:cs="Times New Roman"/>
                <w:kern w:val="0"/>
                <w:szCs w:val="21"/>
                <w:lang w:val="en-US" w:eastAsia="zh-CN"/>
              </w:rPr>
              <w:t>13</w:t>
            </w:r>
          </w:p>
        </w:tc>
        <w:tc>
          <w:tcPr>
            <w:tcW w:w="1803" w:type="pct"/>
            <w:gridSpan w:val="2"/>
            <w:tcBorders>
              <w:top w:val="nil"/>
              <w:left w:val="nil"/>
              <w:bottom w:val="single" w:color="auto" w:sz="4" w:space="0"/>
              <w:right w:val="single" w:color="auto" w:sz="4" w:space="0"/>
            </w:tcBorders>
            <w:noWrap/>
            <w:vAlign w:val="center"/>
          </w:tcPr>
          <w:p w14:paraId="07ECDF1F">
            <w:pPr>
              <w:widowControl/>
              <w:adjustRightInd w:val="0"/>
              <w:snapToGrid w:val="0"/>
              <w:jc w:val="center"/>
              <w:rPr>
                <w:rFonts w:hint="default" w:ascii="Times New Roman" w:hAnsi="Times New Roman" w:cs="Times New Roman"/>
                <w:kern w:val="0"/>
                <w:szCs w:val="21"/>
              </w:rPr>
            </w:pPr>
            <w:r>
              <w:rPr>
                <w:rFonts w:hint="default" w:ascii="Times New Roman" w:hAnsi="Times New Roman" w:cs="Times New Roman"/>
                <w:kern w:val="0"/>
                <w:szCs w:val="21"/>
              </w:rPr>
              <w:t>2684864.00</w:t>
            </w:r>
          </w:p>
        </w:tc>
        <w:tc>
          <w:tcPr>
            <w:tcW w:w="2044" w:type="pct"/>
            <w:tcBorders>
              <w:top w:val="nil"/>
              <w:left w:val="nil"/>
              <w:bottom w:val="single" w:color="auto" w:sz="4" w:space="0"/>
              <w:right w:val="single" w:color="auto" w:sz="4" w:space="0"/>
            </w:tcBorders>
            <w:noWrap/>
            <w:vAlign w:val="center"/>
          </w:tcPr>
          <w:p w14:paraId="7CEB3374">
            <w:pPr>
              <w:widowControl/>
              <w:adjustRightInd w:val="0"/>
              <w:snapToGrid w:val="0"/>
              <w:jc w:val="center"/>
              <w:rPr>
                <w:rFonts w:hint="default" w:ascii="Times New Roman" w:hAnsi="Times New Roman" w:cs="Times New Roman"/>
                <w:kern w:val="0"/>
                <w:szCs w:val="21"/>
              </w:rPr>
            </w:pPr>
            <w:r>
              <w:rPr>
                <w:rFonts w:hint="default" w:ascii="Times New Roman" w:hAnsi="Times New Roman" w:cs="Times New Roman"/>
                <w:kern w:val="0"/>
                <w:szCs w:val="21"/>
              </w:rPr>
              <w:t>34651349.00</w:t>
            </w:r>
          </w:p>
        </w:tc>
      </w:tr>
      <w:tr w14:paraId="5324AF9C">
        <w:tblPrEx>
          <w:tblCellMar>
            <w:top w:w="0" w:type="dxa"/>
            <w:left w:w="108" w:type="dxa"/>
            <w:bottom w:w="0" w:type="dxa"/>
            <w:right w:w="108" w:type="dxa"/>
          </w:tblCellMar>
        </w:tblPrEx>
        <w:trPr>
          <w:trHeight w:val="340" w:hRule="atLeast"/>
          <w:jc w:val="center"/>
        </w:trPr>
        <w:tc>
          <w:tcPr>
            <w:tcW w:w="1151" w:type="pct"/>
            <w:tcBorders>
              <w:top w:val="nil"/>
              <w:left w:val="single" w:color="auto" w:sz="4" w:space="0"/>
              <w:bottom w:val="single" w:color="auto" w:sz="4" w:space="0"/>
              <w:right w:val="single" w:color="auto" w:sz="4" w:space="0"/>
            </w:tcBorders>
            <w:noWrap w:val="0"/>
            <w:vAlign w:val="center"/>
          </w:tcPr>
          <w:p w14:paraId="04D05D8F">
            <w:pPr>
              <w:widowControl/>
              <w:adjustRightInd w:val="0"/>
              <w:snapToGrid w:val="0"/>
              <w:jc w:val="center"/>
              <w:rPr>
                <w:rFonts w:hint="default" w:ascii="Times New Roman" w:hAnsi="Times New Roman" w:eastAsia="宋体" w:cs="Times New Roman"/>
                <w:kern w:val="0"/>
                <w:szCs w:val="21"/>
                <w:lang w:val="en-US" w:eastAsia="zh-CN"/>
              </w:rPr>
            </w:pPr>
            <w:r>
              <w:rPr>
                <w:rFonts w:hint="default" w:ascii="Times New Roman" w:hAnsi="Times New Roman" w:cs="Times New Roman"/>
                <w:kern w:val="0"/>
                <w:szCs w:val="21"/>
              </w:rPr>
              <w:t>矿</w:t>
            </w:r>
            <w:r>
              <w:rPr>
                <w:rFonts w:hint="default" w:ascii="Times New Roman" w:hAnsi="Times New Roman" w:cs="Times New Roman"/>
                <w:kern w:val="0"/>
                <w:szCs w:val="21"/>
                <w:lang w:val="en-US" w:eastAsia="zh-CN"/>
              </w:rPr>
              <w:t>14</w:t>
            </w:r>
          </w:p>
        </w:tc>
        <w:tc>
          <w:tcPr>
            <w:tcW w:w="1803" w:type="pct"/>
            <w:gridSpan w:val="2"/>
            <w:tcBorders>
              <w:top w:val="nil"/>
              <w:left w:val="nil"/>
              <w:bottom w:val="single" w:color="auto" w:sz="4" w:space="0"/>
              <w:right w:val="single" w:color="auto" w:sz="4" w:space="0"/>
            </w:tcBorders>
            <w:noWrap/>
            <w:vAlign w:val="center"/>
          </w:tcPr>
          <w:p w14:paraId="12A1F3C3">
            <w:pPr>
              <w:widowControl/>
              <w:adjustRightInd w:val="0"/>
              <w:snapToGrid w:val="0"/>
              <w:jc w:val="center"/>
              <w:rPr>
                <w:rFonts w:hint="default" w:ascii="Times New Roman" w:hAnsi="Times New Roman" w:cs="Times New Roman"/>
                <w:kern w:val="0"/>
                <w:szCs w:val="21"/>
              </w:rPr>
            </w:pPr>
            <w:r>
              <w:rPr>
                <w:rFonts w:hint="default" w:ascii="Times New Roman" w:hAnsi="Times New Roman" w:cs="Times New Roman"/>
                <w:kern w:val="0"/>
                <w:szCs w:val="21"/>
              </w:rPr>
              <w:t>2684808.00</w:t>
            </w:r>
          </w:p>
        </w:tc>
        <w:tc>
          <w:tcPr>
            <w:tcW w:w="2044" w:type="pct"/>
            <w:tcBorders>
              <w:top w:val="nil"/>
              <w:left w:val="nil"/>
              <w:bottom w:val="single" w:color="auto" w:sz="4" w:space="0"/>
              <w:right w:val="single" w:color="auto" w:sz="4" w:space="0"/>
            </w:tcBorders>
            <w:noWrap/>
            <w:vAlign w:val="center"/>
          </w:tcPr>
          <w:p w14:paraId="33E01994">
            <w:pPr>
              <w:widowControl/>
              <w:adjustRightInd w:val="0"/>
              <w:snapToGrid w:val="0"/>
              <w:jc w:val="center"/>
              <w:rPr>
                <w:rFonts w:hint="default" w:ascii="Times New Roman" w:hAnsi="Times New Roman" w:cs="Times New Roman"/>
                <w:kern w:val="0"/>
                <w:szCs w:val="21"/>
              </w:rPr>
            </w:pPr>
            <w:r>
              <w:rPr>
                <w:rFonts w:hint="default" w:ascii="Times New Roman" w:hAnsi="Times New Roman" w:cs="Times New Roman"/>
                <w:kern w:val="0"/>
                <w:szCs w:val="21"/>
              </w:rPr>
              <w:t>34651166.00</w:t>
            </w:r>
          </w:p>
        </w:tc>
      </w:tr>
      <w:tr w14:paraId="177D6116">
        <w:tblPrEx>
          <w:tblCellMar>
            <w:top w:w="0" w:type="dxa"/>
            <w:left w:w="108" w:type="dxa"/>
            <w:bottom w:w="0" w:type="dxa"/>
            <w:right w:w="108" w:type="dxa"/>
          </w:tblCellMar>
        </w:tblPrEx>
        <w:trPr>
          <w:trHeight w:val="340" w:hRule="atLeast"/>
          <w:jc w:val="center"/>
        </w:trPr>
        <w:tc>
          <w:tcPr>
            <w:tcW w:w="1151" w:type="pct"/>
            <w:tcBorders>
              <w:top w:val="nil"/>
              <w:left w:val="single" w:color="auto" w:sz="4" w:space="0"/>
              <w:bottom w:val="single" w:color="auto" w:sz="4" w:space="0"/>
              <w:right w:val="single" w:color="auto" w:sz="4" w:space="0"/>
            </w:tcBorders>
            <w:noWrap w:val="0"/>
            <w:vAlign w:val="center"/>
          </w:tcPr>
          <w:p w14:paraId="4B713AFF">
            <w:pPr>
              <w:widowControl/>
              <w:adjustRightInd w:val="0"/>
              <w:snapToGrid w:val="0"/>
              <w:jc w:val="center"/>
              <w:rPr>
                <w:rFonts w:hint="default" w:ascii="Times New Roman" w:hAnsi="Times New Roman" w:cs="Times New Roman"/>
                <w:kern w:val="0"/>
                <w:szCs w:val="21"/>
                <w:lang w:val="en-US"/>
              </w:rPr>
            </w:pPr>
            <w:r>
              <w:rPr>
                <w:rFonts w:hint="default" w:ascii="Times New Roman" w:hAnsi="Times New Roman" w:cs="Times New Roman"/>
                <w:kern w:val="0"/>
                <w:szCs w:val="21"/>
              </w:rPr>
              <w:t>矿</w:t>
            </w:r>
            <w:r>
              <w:rPr>
                <w:rFonts w:hint="default" w:ascii="Times New Roman" w:hAnsi="Times New Roman" w:cs="Times New Roman"/>
                <w:kern w:val="0"/>
                <w:szCs w:val="21"/>
                <w:lang w:val="en-US" w:eastAsia="zh-CN"/>
              </w:rPr>
              <w:t>15</w:t>
            </w:r>
          </w:p>
        </w:tc>
        <w:tc>
          <w:tcPr>
            <w:tcW w:w="1803" w:type="pct"/>
            <w:gridSpan w:val="2"/>
            <w:tcBorders>
              <w:top w:val="nil"/>
              <w:left w:val="nil"/>
              <w:bottom w:val="single" w:color="auto" w:sz="4" w:space="0"/>
              <w:right w:val="single" w:color="auto" w:sz="4" w:space="0"/>
            </w:tcBorders>
            <w:noWrap/>
            <w:vAlign w:val="center"/>
          </w:tcPr>
          <w:p w14:paraId="3C8D45F7">
            <w:pPr>
              <w:widowControl/>
              <w:adjustRightInd w:val="0"/>
              <w:snapToGrid w:val="0"/>
              <w:jc w:val="center"/>
              <w:rPr>
                <w:rFonts w:hint="default" w:ascii="Times New Roman" w:hAnsi="Times New Roman" w:cs="Times New Roman"/>
                <w:kern w:val="0"/>
                <w:szCs w:val="21"/>
              </w:rPr>
            </w:pPr>
            <w:r>
              <w:rPr>
                <w:rFonts w:hint="default" w:ascii="Times New Roman" w:hAnsi="Times New Roman" w:cs="Times New Roman"/>
                <w:kern w:val="0"/>
                <w:szCs w:val="21"/>
              </w:rPr>
              <w:t>2684963.62</w:t>
            </w:r>
          </w:p>
        </w:tc>
        <w:tc>
          <w:tcPr>
            <w:tcW w:w="2044" w:type="pct"/>
            <w:tcBorders>
              <w:top w:val="nil"/>
              <w:left w:val="nil"/>
              <w:bottom w:val="single" w:color="auto" w:sz="4" w:space="0"/>
              <w:right w:val="single" w:color="auto" w:sz="4" w:space="0"/>
            </w:tcBorders>
            <w:noWrap/>
            <w:vAlign w:val="center"/>
          </w:tcPr>
          <w:p w14:paraId="6FC2C5B3">
            <w:pPr>
              <w:widowControl/>
              <w:adjustRightInd w:val="0"/>
              <w:snapToGrid w:val="0"/>
              <w:jc w:val="center"/>
              <w:rPr>
                <w:rFonts w:hint="default" w:ascii="Times New Roman" w:hAnsi="Times New Roman" w:cs="Times New Roman"/>
                <w:kern w:val="0"/>
                <w:szCs w:val="21"/>
              </w:rPr>
            </w:pPr>
            <w:r>
              <w:rPr>
                <w:rFonts w:hint="default" w:ascii="Times New Roman" w:hAnsi="Times New Roman" w:cs="Times New Roman"/>
                <w:kern w:val="0"/>
                <w:szCs w:val="21"/>
              </w:rPr>
              <w:t>34651158.53</w:t>
            </w:r>
          </w:p>
        </w:tc>
      </w:tr>
      <w:tr w14:paraId="096052A8">
        <w:tblPrEx>
          <w:tblCellMar>
            <w:top w:w="0" w:type="dxa"/>
            <w:left w:w="108" w:type="dxa"/>
            <w:bottom w:w="0" w:type="dxa"/>
            <w:right w:w="108" w:type="dxa"/>
          </w:tblCellMar>
        </w:tblPrEx>
        <w:trPr>
          <w:trHeight w:val="340" w:hRule="atLeast"/>
          <w:jc w:val="center"/>
        </w:trPr>
        <w:tc>
          <w:tcPr>
            <w:tcW w:w="1151" w:type="pct"/>
            <w:tcBorders>
              <w:top w:val="nil"/>
              <w:left w:val="single" w:color="auto" w:sz="4" w:space="0"/>
              <w:bottom w:val="single" w:color="auto" w:sz="4" w:space="0"/>
              <w:right w:val="single" w:color="auto" w:sz="4" w:space="0"/>
            </w:tcBorders>
            <w:noWrap w:val="0"/>
            <w:vAlign w:val="center"/>
          </w:tcPr>
          <w:p w14:paraId="5F905F4E">
            <w:pPr>
              <w:widowControl/>
              <w:adjustRightInd w:val="0"/>
              <w:snapToGrid w:val="0"/>
              <w:jc w:val="center"/>
              <w:rPr>
                <w:rFonts w:hint="default" w:ascii="Times New Roman" w:hAnsi="Times New Roman" w:cs="Times New Roman"/>
                <w:kern w:val="0"/>
                <w:szCs w:val="21"/>
              </w:rPr>
            </w:pPr>
            <w:r>
              <w:rPr>
                <w:rFonts w:hint="default" w:ascii="Times New Roman" w:hAnsi="Times New Roman" w:cs="Times New Roman"/>
                <w:kern w:val="0"/>
                <w:szCs w:val="21"/>
              </w:rPr>
              <w:t>矿</w:t>
            </w:r>
            <w:r>
              <w:rPr>
                <w:rFonts w:hint="default" w:ascii="Times New Roman" w:hAnsi="Times New Roman" w:cs="Times New Roman"/>
                <w:kern w:val="0"/>
                <w:szCs w:val="21"/>
                <w:lang w:val="en-US" w:eastAsia="zh-CN"/>
              </w:rPr>
              <w:t>16</w:t>
            </w:r>
          </w:p>
        </w:tc>
        <w:tc>
          <w:tcPr>
            <w:tcW w:w="1803" w:type="pct"/>
            <w:gridSpan w:val="2"/>
            <w:tcBorders>
              <w:top w:val="nil"/>
              <w:left w:val="single" w:color="auto" w:sz="4" w:space="0"/>
              <w:bottom w:val="single" w:color="auto" w:sz="4" w:space="0"/>
              <w:right w:val="single" w:color="auto" w:sz="4" w:space="0"/>
            </w:tcBorders>
            <w:noWrap/>
            <w:vAlign w:val="center"/>
          </w:tcPr>
          <w:p w14:paraId="2290C0DB">
            <w:pPr>
              <w:widowControl/>
              <w:adjustRightInd w:val="0"/>
              <w:snapToGrid w:val="0"/>
              <w:jc w:val="center"/>
              <w:rPr>
                <w:rFonts w:hint="default" w:ascii="Times New Roman" w:hAnsi="Times New Roman" w:cs="Times New Roman"/>
                <w:kern w:val="0"/>
                <w:szCs w:val="21"/>
              </w:rPr>
            </w:pPr>
            <w:r>
              <w:rPr>
                <w:rFonts w:hint="default" w:ascii="Times New Roman" w:hAnsi="Times New Roman" w:cs="Times New Roman"/>
                <w:kern w:val="0"/>
                <w:szCs w:val="21"/>
              </w:rPr>
              <w:t>2685206.62</w:t>
            </w:r>
          </w:p>
        </w:tc>
        <w:tc>
          <w:tcPr>
            <w:tcW w:w="2044" w:type="pct"/>
            <w:tcBorders>
              <w:top w:val="nil"/>
              <w:left w:val="nil"/>
              <w:bottom w:val="single" w:color="auto" w:sz="4" w:space="0"/>
              <w:right w:val="single" w:color="auto" w:sz="4" w:space="0"/>
            </w:tcBorders>
            <w:noWrap/>
            <w:vAlign w:val="center"/>
          </w:tcPr>
          <w:p w14:paraId="278FF0BE">
            <w:pPr>
              <w:widowControl/>
              <w:adjustRightInd w:val="0"/>
              <w:snapToGrid w:val="0"/>
              <w:jc w:val="center"/>
              <w:rPr>
                <w:rFonts w:hint="default" w:ascii="Times New Roman" w:hAnsi="Times New Roman" w:cs="Times New Roman"/>
                <w:kern w:val="0"/>
                <w:szCs w:val="21"/>
              </w:rPr>
            </w:pPr>
            <w:r>
              <w:rPr>
                <w:rFonts w:hint="default" w:ascii="Times New Roman" w:hAnsi="Times New Roman" w:cs="Times New Roman"/>
                <w:kern w:val="0"/>
                <w:szCs w:val="21"/>
              </w:rPr>
              <w:t>34651099.53</w:t>
            </w:r>
          </w:p>
        </w:tc>
      </w:tr>
      <w:tr w14:paraId="242393AC">
        <w:tblPrEx>
          <w:tblCellMar>
            <w:top w:w="0" w:type="dxa"/>
            <w:left w:w="108" w:type="dxa"/>
            <w:bottom w:w="0" w:type="dxa"/>
            <w:right w:w="108" w:type="dxa"/>
          </w:tblCellMar>
        </w:tblPrEx>
        <w:trPr>
          <w:trHeight w:val="340" w:hRule="atLeast"/>
          <w:jc w:val="center"/>
        </w:trPr>
        <w:tc>
          <w:tcPr>
            <w:tcW w:w="1155" w:type="pct"/>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14:paraId="26A23837">
            <w:pPr>
              <w:widowControl/>
              <w:adjustRightInd w:val="0"/>
              <w:snapToGrid w:val="0"/>
              <w:jc w:val="center"/>
              <w:rPr>
                <w:rFonts w:hint="default" w:ascii="Times New Roman" w:hAnsi="Times New Roman" w:eastAsia="宋体" w:cs="Times New Roman"/>
                <w:kern w:val="0"/>
                <w:sz w:val="21"/>
                <w:szCs w:val="21"/>
                <w:lang w:val="en-US" w:eastAsia="zh-CN" w:bidi="ar-SA"/>
              </w:rPr>
            </w:pPr>
            <w:r>
              <w:rPr>
                <w:rFonts w:hint="default" w:ascii="Times New Roman" w:hAnsi="Times New Roman" w:cs="Times New Roman"/>
                <w:kern w:val="0"/>
                <w:sz w:val="21"/>
                <w:szCs w:val="21"/>
                <w:lang w:val="en-US" w:eastAsia="zh-CN" w:bidi="ar-SA"/>
              </w:rPr>
              <w:t>矿区面积</w:t>
            </w:r>
          </w:p>
        </w:tc>
        <w:tc>
          <w:tcPr>
            <w:tcW w:w="3844" w:type="pct"/>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14:paraId="6BAA8B7A">
            <w:pPr>
              <w:widowControl/>
              <w:adjustRightInd w:val="0"/>
              <w:snapToGrid w:val="0"/>
              <w:jc w:val="center"/>
              <w:rPr>
                <w:rFonts w:hint="default" w:ascii="Times New Roman" w:hAnsi="Times New Roman" w:eastAsia="宋体" w:cs="Times New Roman"/>
                <w:kern w:val="0"/>
                <w:sz w:val="21"/>
                <w:szCs w:val="21"/>
                <w:lang w:val="en-US" w:eastAsia="zh-CN" w:bidi="ar-SA"/>
              </w:rPr>
            </w:pPr>
            <w:r>
              <w:rPr>
                <w:rFonts w:hint="default" w:ascii="Times New Roman" w:hAnsi="Times New Roman" w:cs="Times New Roman"/>
                <w:kern w:val="0"/>
                <w:szCs w:val="21"/>
                <w:lang w:eastAsia="zh-CN"/>
              </w:rPr>
              <w:t>0.2536</w:t>
            </w:r>
            <w:r>
              <w:rPr>
                <w:rFonts w:hint="default" w:ascii="Times New Roman" w:hAnsi="Times New Roman" w:cs="Times New Roman"/>
                <w:kern w:val="0"/>
                <w:szCs w:val="21"/>
              </w:rPr>
              <w:t>km</w:t>
            </w:r>
            <w:r>
              <w:rPr>
                <w:rFonts w:hint="default" w:ascii="Times New Roman" w:hAnsi="Times New Roman" w:cs="Times New Roman"/>
                <w:kern w:val="0"/>
                <w:szCs w:val="21"/>
                <w:vertAlign w:val="superscript"/>
              </w:rPr>
              <w:t>2</w:t>
            </w:r>
          </w:p>
        </w:tc>
      </w:tr>
      <w:tr w14:paraId="5A4EBF2E">
        <w:tblPrEx>
          <w:tblCellMar>
            <w:top w:w="0" w:type="dxa"/>
            <w:left w:w="108" w:type="dxa"/>
            <w:bottom w:w="0" w:type="dxa"/>
            <w:right w:w="108" w:type="dxa"/>
          </w:tblCellMar>
        </w:tblPrEx>
        <w:trPr>
          <w:trHeight w:val="340" w:hRule="atLeast"/>
          <w:jc w:val="center"/>
        </w:trPr>
        <w:tc>
          <w:tcPr>
            <w:tcW w:w="1155" w:type="pct"/>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14:paraId="4938ED3B">
            <w:pPr>
              <w:widowControl/>
              <w:adjustRightInd w:val="0"/>
              <w:snapToGrid w:val="0"/>
              <w:jc w:val="center"/>
              <w:rPr>
                <w:rFonts w:hint="default" w:ascii="Times New Roman" w:hAnsi="Times New Roman" w:eastAsia="宋体" w:cs="Times New Roman"/>
                <w:kern w:val="0"/>
                <w:sz w:val="21"/>
                <w:szCs w:val="21"/>
                <w:lang w:val="en-US" w:eastAsia="zh-CN" w:bidi="ar-SA"/>
              </w:rPr>
            </w:pPr>
            <w:r>
              <w:rPr>
                <w:rFonts w:hint="default" w:ascii="Times New Roman" w:hAnsi="Times New Roman" w:cs="Times New Roman"/>
                <w:kern w:val="0"/>
                <w:sz w:val="21"/>
                <w:szCs w:val="21"/>
                <w:lang w:val="en-US" w:eastAsia="zh-CN" w:bidi="ar-SA"/>
              </w:rPr>
              <w:t>标高</w:t>
            </w:r>
          </w:p>
        </w:tc>
        <w:tc>
          <w:tcPr>
            <w:tcW w:w="3844" w:type="pct"/>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14:paraId="115614A6">
            <w:pPr>
              <w:widowControl/>
              <w:adjustRightInd w:val="0"/>
              <w:snapToGrid w:val="0"/>
              <w:jc w:val="center"/>
              <w:rPr>
                <w:rFonts w:hint="default" w:ascii="Times New Roman" w:hAnsi="Times New Roman" w:eastAsia="宋体" w:cs="Times New Roman"/>
                <w:kern w:val="0"/>
                <w:sz w:val="21"/>
                <w:szCs w:val="21"/>
                <w:lang w:val="en-US" w:eastAsia="zh-CN" w:bidi="ar-SA"/>
              </w:rPr>
            </w:pPr>
            <w:r>
              <w:rPr>
                <w:rFonts w:hint="default" w:ascii="Times New Roman" w:hAnsi="Times New Roman" w:eastAsia="宋体" w:cs="Times New Roman"/>
                <w:kern w:val="0"/>
                <w:sz w:val="21"/>
                <w:szCs w:val="21"/>
                <w:lang w:val="en-US" w:eastAsia="zh-CN" w:bidi="ar-SA"/>
              </w:rPr>
              <w:t>1550m</w:t>
            </w:r>
            <w:r>
              <w:rPr>
                <w:rFonts w:hint="default" w:ascii="Times New Roman" w:hAnsi="Times New Roman" w:cs="Times New Roman"/>
                <w:kern w:val="0"/>
                <w:sz w:val="21"/>
                <w:szCs w:val="21"/>
                <w:lang w:val="en-US" w:eastAsia="zh-CN" w:bidi="ar-SA"/>
              </w:rPr>
              <w:t>～</w:t>
            </w:r>
            <w:r>
              <w:rPr>
                <w:rFonts w:hint="default" w:ascii="Times New Roman" w:hAnsi="Times New Roman" w:eastAsia="宋体" w:cs="Times New Roman"/>
                <w:kern w:val="0"/>
                <w:sz w:val="21"/>
                <w:szCs w:val="21"/>
                <w:lang w:val="en-US" w:eastAsia="zh-CN" w:bidi="ar-SA"/>
              </w:rPr>
              <w:t>1470m</w:t>
            </w:r>
          </w:p>
        </w:tc>
      </w:tr>
    </w:tbl>
    <w:p w14:paraId="54117338">
      <w:pPr>
        <w:spacing w:line="360" w:lineRule="auto"/>
        <w:ind w:firstLine="560" w:firstLineChars="200"/>
        <w:rPr>
          <w:rFonts w:hint="default" w:ascii="Times New Roman" w:hAnsi="Times New Roman" w:cs="Times New Roman"/>
          <w:sz w:val="28"/>
          <w:szCs w:val="28"/>
        </w:rPr>
      </w:pPr>
      <w:r>
        <w:rPr>
          <w:rFonts w:hint="default" w:ascii="Times New Roman" w:hAnsi="Times New Roman" w:cs="Times New Roman"/>
          <w:sz w:val="28"/>
          <w:szCs w:val="28"/>
        </w:rPr>
        <w:t>②本项目设计范围</w:t>
      </w:r>
    </w:p>
    <w:p w14:paraId="464EBD16">
      <w:pPr>
        <w:spacing w:line="360" w:lineRule="auto"/>
        <w:ind w:firstLine="560" w:firstLineChars="200"/>
        <w:rPr>
          <w:rFonts w:hint="default" w:ascii="Times New Roman" w:hAnsi="Times New Roman" w:cs="Times New Roman"/>
          <w:sz w:val="28"/>
          <w:szCs w:val="28"/>
        </w:rPr>
      </w:pPr>
      <w:r>
        <w:rPr>
          <w:rFonts w:hint="default" w:ascii="Times New Roman" w:hAnsi="Times New Roman" w:cs="Times New Roman"/>
          <w:sz w:val="28"/>
          <w:szCs w:val="28"/>
        </w:rPr>
        <w:t>矿区北侧矿权拐点1处有一高压线（10kv阿左邑1号变支线）穿过矿区，根据《电力设施保护条例》第十条架空电力线路保护区的规定，1-10千伏电力线保护范围5m，设计沿高压线两侧各设置5m保护区，设置保护区后形成1123m</w:t>
      </w:r>
      <w:r>
        <w:rPr>
          <w:rFonts w:hint="default" w:ascii="Times New Roman" w:hAnsi="Times New Roman" w:cs="Times New Roman"/>
          <w:sz w:val="28"/>
          <w:szCs w:val="28"/>
          <w:vertAlign w:val="superscript"/>
        </w:rPr>
        <w:t>2</w:t>
      </w:r>
      <w:r>
        <w:rPr>
          <w:rFonts w:hint="default" w:ascii="Times New Roman" w:hAnsi="Times New Roman" w:cs="Times New Roman"/>
          <w:sz w:val="28"/>
          <w:szCs w:val="28"/>
        </w:rPr>
        <w:t>（含设置保护区后造成矿权拐点1和保护区之间394m</w:t>
      </w:r>
      <w:r>
        <w:rPr>
          <w:rFonts w:hint="default" w:ascii="Times New Roman" w:hAnsi="Times New Roman" w:cs="Times New Roman"/>
          <w:sz w:val="28"/>
          <w:szCs w:val="28"/>
          <w:vertAlign w:val="superscript"/>
        </w:rPr>
        <w:t>2</w:t>
      </w:r>
      <w:r>
        <w:rPr>
          <w:rFonts w:hint="default" w:ascii="Times New Roman" w:hAnsi="Times New Roman" w:cs="Times New Roman"/>
          <w:sz w:val="28"/>
          <w:szCs w:val="28"/>
        </w:rPr>
        <w:t>的设计损失面积）禁采区</w:t>
      </w:r>
      <w:r>
        <w:rPr>
          <w:rFonts w:hint="default" w:ascii="Times New Roman" w:hAnsi="Times New Roman" w:cs="Times New Roman"/>
          <w:sz w:val="28"/>
          <w:szCs w:val="28"/>
          <w:lang w:eastAsia="zh-CN"/>
        </w:rPr>
        <w:t>，</w:t>
      </w:r>
      <w:r>
        <w:rPr>
          <w:rFonts w:hint="default" w:ascii="Times New Roman" w:hAnsi="Times New Roman" w:cs="Times New Roman"/>
          <w:sz w:val="28"/>
          <w:szCs w:val="28"/>
          <w:lang w:val="en-US" w:eastAsia="zh-CN"/>
        </w:rPr>
        <w:t>禁采区拐点坐标见下表</w:t>
      </w:r>
      <w:r>
        <w:rPr>
          <w:rFonts w:hint="default" w:ascii="Times New Roman" w:hAnsi="Times New Roman" w:cs="Times New Roman"/>
          <w:sz w:val="28"/>
          <w:szCs w:val="28"/>
        </w:rPr>
        <w:t>，设计开采范围开采面积为0.2521km</w:t>
      </w:r>
      <w:r>
        <w:rPr>
          <w:rFonts w:hint="default" w:ascii="Times New Roman" w:hAnsi="Times New Roman" w:cs="Times New Roman"/>
          <w:sz w:val="28"/>
          <w:szCs w:val="28"/>
          <w:vertAlign w:val="superscript"/>
        </w:rPr>
        <w:t>2</w:t>
      </w:r>
      <w:r>
        <w:rPr>
          <w:rFonts w:hint="default" w:ascii="Times New Roman" w:hAnsi="Times New Roman" w:cs="Times New Roman"/>
          <w:sz w:val="28"/>
          <w:szCs w:val="28"/>
        </w:rPr>
        <w:t>（矿权面积0.2536km</w:t>
      </w:r>
      <w:r>
        <w:rPr>
          <w:rFonts w:hint="default" w:ascii="Times New Roman" w:hAnsi="Times New Roman" w:cs="Times New Roman"/>
          <w:sz w:val="28"/>
          <w:szCs w:val="28"/>
          <w:vertAlign w:val="superscript"/>
        </w:rPr>
        <w:t>2</w:t>
      </w:r>
      <w:r>
        <w:rPr>
          <w:rFonts w:hint="default" w:ascii="Times New Roman" w:hAnsi="Times New Roman" w:cs="Times New Roman"/>
          <w:sz w:val="28"/>
          <w:szCs w:val="28"/>
        </w:rPr>
        <w:t>、储量估算积0.2531km</w:t>
      </w:r>
      <w:r>
        <w:rPr>
          <w:rFonts w:hint="default" w:ascii="Times New Roman" w:hAnsi="Times New Roman" w:cs="Times New Roman"/>
          <w:sz w:val="28"/>
          <w:szCs w:val="28"/>
          <w:vertAlign w:val="superscript"/>
        </w:rPr>
        <w:t>2</w:t>
      </w:r>
      <w:r>
        <w:rPr>
          <w:rFonts w:hint="default" w:ascii="Times New Roman" w:hAnsi="Times New Roman" w:cs="Times New Roman"/>
          <w:sz w:val="28"/>
          <w:szCs w:val="28"/>
        </w:rPr>
        <w:t>），设计开采标高1550m～1470m，设计开采范围及开采标高均在采矿证准许范围内。</w:t>
      </w:r>
    </w:p>
    <w:p w14:paraId="3F01BE50">
      <w:pPr>
        <w:wordWrap w:val="0"/>
        <w:adjustRightInd w:val="0"/>
        <w:snapToGrid w:val="0"/>
        <w:spacing w:line="360" w:lineRule="auto"/>
        <w:ind w:firstLine="560" w:firstLineChars="200"/>
        <w:rPr>
          <w:rFonts w:hint="default" w:ascii="Times New Roman" w:hAnsi="Times New Roman" w:eastAsia="宋体" w:cs="Times New Roman"/>
          <w:sz w:val="28"/>
          <w:szCs w:val="21"/>
        </w:rPr>
      </w:pPr>
      <w:r>
        <w:rPr>
          <w:rFonts w:hint="default" w:ascii="Times New Roman" w:hAnsi="Times New Roman" w:eastAsia="宋体" w:cs="Times New Roman"/>
          <w:sz w:val="28"/>
          <w:szCs w:val="21"/>
        </w:rPr>
        <w:t>设计开采范围及开采标高均在采矿证准许范围内。</w:t>
      </w:r>
    </w:p>
    <w:p w14:paraId="3977FF65">
      <w:pPr>
        <w:widowControl w:val="0"/>
        <w:wordWrap w:val="0"/>
        <w:adjustRightInd w:val="0"/>
        <w:snapToGrid w:val="0"/>
        <w:spacing w:line="240" w:lineRule="auto"/>
        <w:ind w:firstLine="0" w:firstLineChars="0"/>
        <w:jc w:val="center"/>
        <w:rPr>
          <w:rFonts w:hint="default" w:ascii="Times New Roman" w:hAnsi="Times New Roman" w:eastAsia="宋体" w:cs="Times New Roman"/>
          <w:bCs/>
          <w:snapToGrid w:val="0"/>
          <w:kern w:val="0"/>
          <w:sz w:val="24"/>
          <w:szCs w:val="24"/>
          <w:lang w:val="en-US" w:eastAsia="zh-CN" w:bidi="ar-SA"/>
        </w:rPr>
      </w:pPr>
      <w:r>
        <w:rPr>
          <w:rFonts w:hint="default" w:ascii="Times New Roman" w:hAnsi="Times New Roman" w:eastAsia="宋体" w:cs="Times New Roman"/>
          <w:bCs/>
          <w:snapToGrid w:val="0"/>
          <w:kern w:val="0"/>
          <w:sz w:val="24"/>
          <w:szCs w:val="24"/>
          <w:lang w:val="en-US" w:eastAsia="zh-CN" w:bidi="ar-SA"/>
        </w:rPr>
        <w:t>表1.1-2  禁采拐点坐标表（2000国家大地坐标系）</w:t>
      </w:r>
    </w:p>
    <w:tbl>
      <w:tblPr>
        <w:tblStyle w:val="3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622"/>
        <w:gridCol w:w="2765"/>
        <w:gridCol w:w="3012"/>
      </w:tblGrid>
      <w:tr w14:paraId="4536B1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927" w:type="pct"/>
            <w:noWrap/>
            <w:vAlign w:val="center"/>
          </w:tcPr>
          <w:p w14:paraId="6ADCC6F9">
            <w:pPr>
              <w:widowControl w:val="0"/>
              <w:wordWrap w:val="0"/>
              <w:adjustRightInd w:val="0"/>
              <w:snapToGrid w:val="0"/>
              <w:spacing w:line="240" w:lineRule="auto"/>
              <w:ind w:firstLine="0" w:firstLineChars="0"/>
              <w:jc w:val="center"/>
              <w:rPr>
                <w:rFonts w:hint="default" w:ascii="Times New Roman" w:hAnsi="Times New Roman" w:eastAsia="宋体" w:cs="Times New Roman"/>
                <w:b/>
                <w:bCs/>
                <w:kern w:val="2"/>
                <w:sz w:val="21"/>
                <w:szCs w:val="21"/>
                <w:lang w:val="en-US" w:eastAsia="zh-CN" w:bidi="ar-SA"/>
              </w:rPr>
            </w:pPr>
            <w:r>
              <w:rPr>
                <w:rFonts w:hint="default" w:ascii="Times New Roman" w:hAnsi="Times New Roman" w:eastAsia="宋体" w:cs="Times New Roman"/>
                <w:b/>
                <w:bCs/>
                <w:kern w:val="2"/>
                <w:sz w:val="21"/>
                <w:szCs w:val="21"/>
                <w:lang w:val="en-US" w:eastAsia="zh-CN" w:bidi="ar-SA"/>
              </w:rPr>
              <w:t>编号</w:t>
            </w:r>
          </w:p>
        </w:tc>
        <w:tc>
          <w:tcPr>
            <w:tcW w:w="1471" w:type="pct"/>
            <w:noWrap/>
            <w:vAlign w:val="center"/>
          </w:tcPr>
          <w:p w14:paraId="3DF912C9">
            <w:pPr>
              <w:widowControl w:val="0"/>
              <w:wordWrap w:val="0"/>
              <w:adjustRightInd w:val="0"/>
              <w:snapToGrid w:val="0"/>
              <w:spacing w:line="240" w:lineRule="auto"/>
              <w:ind w:firstLine="0" w:firstLineChars="0"/>
              <w:jc w:val="center"/>
              <w:rPr>
                <w:rFonts w:hint="default" w:ascii="Times New Roman" w:hAnsi="Times New Roman" w:eastAsia="宋体" w:cs="Times New Roman"/>
                <w:b/>
                <w:bCs/>
                <w:kern w:val="2"/>
                <w:sz w:val="21"/>
                <w:szCs w:val="21"/>
                <w:lang w:val="en-US" w:eastAsia="zh-CN" w:bidi="ar-SA"/>
              </w:rPr>
            </w:pPr>
            <w:r>
              <w:rPr>
                <w:rFonts w:hint="default" w:ascii="Times New Roman" w:hAnsi="Times New Roman" w:eastAsia="宋体" w:cs="Times New Roman"/>
                <w:b/>
                <w:bCs/>
                <w:kern w:val="2"/>
                <w:sz w:val="21"/>
                <w:szCs w:val="21"/>
                <w:lang w:val="en-US" w:eastAsia="zh-CN" w:bidi="ar-SA"/>
              </w:rPr>
              <w:t>X坐标</w:t>
            </w:r>
          </w:p>
        </w:tc>
        <w:tc>
          <w:tcPr>
            <w:tcW w:w="1602" w:type="pct"/>
            <w:noWrap/>
            <w:vAlign w:val="center"/>
          </w:tcPr>
          <w:p w14:paraId="297067EB">
            <w:pPr>
              <w:widowControl w:val="0"/>
              <w:wordWrap w:val="0"/>
              <w:adjustRightInd w:val="0"/>
              <w:snapToGrid w:val="0"/>
              <w:spacing w:line="240" w:lineRule="auto"/>
              <w:ind w:firstLine="0" w:firstLineChars="0"/>
              <w:jc w:val="center"/>
              <w:rPr>
                <w:rFonts w:hint="default" w:ascii="Times New Roman" w:hAnsi="Times New Roman" w:eastAsia="宋体" w:cs="Times New Roman"/>
                <w:b/>
                <w:bCs/>
                <w:kern w:val="2"/>
                <w:sz w:val="21"/>
                <w:szCs w:val="21"/>
                <w:lang w:val="en-US" w:eastAsia="zh-CN" w:bidi="ar-SA"/>
              </w:rPr>
            </w:pPr>
            <w:r>
              <w:rPr>
                <w:rFonts w:hint="default" w:ascii="Times New Roman" w:hAnsi="Times New Roman" w:eastAsia="宋体" w:cs="Times New Roman"/>
                <w:b/>
                <w:bCs/>
                <w:kern w:val="2"/>
                <w:sz w:val="21"/>
                <w:szCs w:val="21"/>
                <w:lang w:val="en-US" w:eastAsia="zh-CN" w:bidi="ar-SA"/>
              </w:rPr>
              <w:t>Y坐标</w:t>
            </w:r>
          </w:p>
        </w:tc>
      </w:tr>
      <w:tr w14:paraId="2B41D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927" w:type="pct"/>
            <w:noWrap/>
          </w:tcPr>
          <w:p w14:paraId="7C1FFB7D">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矿1</w:t>
            </w:r>
          </w:p>
        </w:tc>
        <w:tc>
          <w:tcPr>
            <w:tcW w:w="1471" w:type="pct"/>
            <w:noWrap/>
            <w:vAlign w:val="center"/>
          </w:tcPr>
          <w:p w14:paraId="08227DDE">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2685361.62</w:t>
            </w:r>
          </w:p>
        </w:tc>
        <w:tc>
          <w:tcPr>
            <w:tcW w:w="1602" w:type="pct"/>
            <w:noWrap/>
            <w:vAlign w:val="center"/>
          </w:tcPr>
          <w:p w14:paraId="50C7A751">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34651206.53</w:t>
            </w:r>
          </w:p>
        </w:tc>
      </w:tr>
      <w:tr w14:paraId="46330F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927" w:type="pct"/>
            <w:noWrap/>
          </w:tcPr>
          <w:p w14:paraId="64F0D9BE">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禁2</w:t>
            </w:r>
          </w:p>
        </w:tc>
        <w:tc>
          <w:tcPr>
            <w:tcW w:w="1471" w:type="pct"/>
            <w:noWrap/>
          </w:tcPr>
          <w:p w14:paraId="577DCA9B">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2685359.28</w:t>
            </w:r>
          </w:p>
        </w:tc>
        <w:tc>
          <w:tcPr>
            <w:tcW w:w="1602" w:type="pct"/>
            <w:noWrap/>
          </w:tcPr>
          <w:p w14:paraId="6475F365">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34651250.39</w:t>
            </w:r>
          </w:p>
        </w:tc>
      </w:tr>
      <w:tr w14:paraId="333E4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927" w:type="pct"/>
            <w:noWrap/>
          </w:tcPr>
          <w:p w14:paraId="2FC2582D">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禁3</w:t>
            </w:r>
          </w:p>
        </w:tc>
        <w:tc>
          <w:tcPr>
            <w:tcW w:w="1471" w:type="pct"/>
            <w:noWrap/>
          </w:tcPr>
          <w:p w14:paraId="541C6EAC">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2685312.23</w:t>
            </w:r>
          </w:p>
        </w:tc>
        <w:tc>
          <w:tcPr>
            <w:tcW w:w="1602" w:type="pct"/>
            <w:noWrap/>
          </w:tcPr>
          <w:p w14:paraId="44D76863">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34651172.43</w:t>
            </w:r>
          </w:p>
        </w:tc>
      </w:tr>
      <w:tr w14:paraId="04426B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927" w:type="pct"/>
            <w:noWrap/>
            <w:vAlign w:val="center"/>
          </w:tcPr>
          <w:p w14:paraId="0E51E993">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面积</w:t>
            </w:r>
          </w:p>
        </w:tc>
        <w:tc>
          <w:tcPr>
            <w:tcW w:w="3073" w:type="pct"/>
            <w:gridSpan w:val="2"/>
            <w:noWrap/>
            <w:vAlign w:val="center"/>
          </w:tcPr>
          <w:p w14:paraId="6472D666">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1123m</w:t>
            </w:r>
            <w:r>
              <w:rPr>
                <w:rFonts w:hint="default" w:ascii="Times New Roman" w:hAnsi="Times New Roman" w:eastAsia="宋体" w:cs="Times New Roman"/>
                <w:b w:val="0"/>
                <w:kern w:val="2"/>
                <w:sz w:val="21"/>
                <w:szCs w:val="21"/>
                <w:vertAlign w:val="superscript"/>
                <w:lang w:val="en-US" w:eastAsia="zh-CN" w:bidi="ar-SA"/>
              </w:rPr>
              <w:t>2</w:t>
            </w:r>
          </w:p>
        </w:tc>
      </w:tr>
    </w:tbl>
    <w:p w14:paraId="4B8221C4">
      <w:pPr>
        <w:keepNext w:val="0"/>
        <w:keepLines w:val="0"/>
        <w:pageBreakBefore w:val="0"/>
        <w:widowControl w:val="0"/>
        <w:kinsoku/>
        <w:wordWrap w:val="0"/>
        <w:overflowPunct/>
        <w:topLinePunct w:val="0"/>
        <w:autoSpaceDE/>
        <w:autoSpaceDN/>
        <w:bidi w:val="0"/>
        <w:adjustRightInd w:val="0"/>
        <w:snapToGrid w:val="0"/>
        <w:spacing w:before="333" w:beforeLines="100" w:line="240" w:lineRule="auto"/>
        <w:ind w:firstLine="0" w:firstLineChars="0"/>
        <w:jc w:val="center"/>
        <w:textAlignment w:val="auto"/>
        <w:rPr>
          <w:rFonts w:hint="default" w:ascii="Times New Roman" w:hAnsi="Times New Roman" w:cs="Times New Roman"/>
          <w:snapToGrid w:val="0"/>
          <w:kern w:val="0"/>
          <w:sz w:val="28"/>
        </w:rPr>
      </w:pPr>
      <w:bookmarkStart w:id="75" w:name="_Hlk166671205"/>
      <w:r>
        <w:rPr>
          <w:rFonts w:hint="default" w:ascii="Times New Roman" w:hAnsi="Times New Roman" w:eastAsia="宋体" w:cs="Times New Roman"/>
          <w:bCs/>
          <w:snapToGrid w:val="0"/>
          <w:kern w:val="0"/>
          <w:sz w:val="24"/>
          <w:szCs w:val="24"/>
          <w:lang w:val="en-US" w:eastAsia="zh-CN" w:bidi="ar-SA"/>
        </w:rPr>
        <w:t>表1.1-</w:t>
      </w:r>
      <w:r>
        <w:rPr>
          <w:rFonts w:hint="default" w:ascii="Times New Roman" w:hAnsi="Times New Roman" w:cs="Times New Roman"/>
          <w:bCs/>
          <w:snapToGrid w:val="0"/>
          <w:kern w:val="0"/>
          <w:sz w:val="24"/>
          <w:szCs w:val="24"/>
          <w:lang w:val="en-US" w:eastAsia="zh-CN" w:bidi="ar-SA"/>
        </w:rPr>
        <w:t>3  设计</w:t>
      </w:r>
      <w:r>
        <w:rPr>
          <w:rFonts w:hint="default" w:ascii="Times New Roman" w:hAnsi="Times New Roman" w:eastAsia="宋体" w:cs="Times New Roman"/>
          <w:bCs/>
          <w:snapToGrid w:val="0"/>
          <w:kern w:val="0"/>
          <w:sz w:val="24"/>
          <w:szCs w:val="24"/>
          <w:lang w:val="en-US" w:eastAsia="zh-CN" w:bidi="ar-SA"/>
        </w:rPr>
        <w:t>开采区拐点坐标表（2000国家大地坐标系）</w:t>
      </w:r>
    </w:p>
    <w:tbl>
      <w:tblPr>
        <w:tblStyle w:val="3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622"/>
        <w:gridCol w:w="2765"/>
        <w:gridCol w:w="3012"/>
      </w:tblGrid>
      <w:tr w14:paraId="65A8BA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 w:hRule="atLeast"/>
          <w:tblHeader/>
          <w:jc w:val="center"/>
        </w:trPr>
        <w:tc>
          <w:tcPr>
            <w:tcW w:w="1927" w:type="pct"/>
            <w:noWrap/>
            <w:vAlign w:val="center"/>
          </w:tcPr>
          <w:p w14:paraId="3B2A4B8A">
            <w:pPr>
              <w:widowControl w:val="0"/>
              <w:wordWrap w:val="0"/>
              <w:adjustRightInd w:val="0"/>
              <w:snapToGrid w:val="0"/>
              <w:spacing w:line="240" w:lineRule="auto"/>
              <w:ind w:firstLine="0" w:firstLineChars="0"/>
              <w:jc w:val="center"/>
              <w:rPr>
                <w:rFonts w:hint="default" w:ascii="Times New Roman" w:hAnsi="Times New Roman" w:eastAsia="宋体" w:cs="Times New Roman"/>
                <w:b/>
                <w:bCs/>
                <w:kern w:val="2"/>
                <w:sz w:val="21"/>
                <w:szCs w:val="21"/>
                <w:lang w:val="en-US" w:eastAsia="zh-CN" w:bidi="ar-SA"/>
              </w:rPr>
            </w:pPr>
            <w:bookmarkStart w:id="76" w:name="_Hlk171675434"/>
            <w:r>
              <w:rPr>
                <w:rFonts w:hint="default" w:ascii="Times New Roman" w:hAnsi="Times New Roman" w:eastAsia="宋体" w:cs="Times New Roman"/>
                <w:b/>
                <w:bCs/>
                <w:kern w:val="2"/>
                <w:sz w:val="21"/>
                <w:szCs w:val="21"/>
                <w:lang w:val="en-US" w:eastAsia="zh-CN" w:bidi="ar-SA"/>
              </w:rPr>
              <w:t>编号</w:t>
            </w:r>
          </w:p>
        </w:tc>
        <w:tc>
          <w:tcPr>
            <w:tcW w:w="1471" w:type="pct"/>
            <w:noWrap/>
            <w:vAlign w:val="center"/>
          </w:tcPr>
          <w:p w14:paraId="3AB6A809">
            <w:pPr>
              <w:widowControl w:val="0"/>
              <w:wordWrap w:val="0"/>
              <w:adjustRightInd w:val="0"/>
              <w:snapToGrid w:val="0"/>
              <w:spacing w:line="240" w:lineRule="auto"/>
              <w:ind w:firstLine="0" w:firstLineChars="0"/>
              <w:jc w:val="center"/>
              <w:rPr>
                <w:rFonts w:hint="default" w:ascii="Times New Roman" w:hAnsi="Times New Roman" w:eastAsia="宋体" w:cs="Times New Roman"/>
                <w:b/>
                <w:bCs/>
                <w:kern w:val="2"/>
                <w:sz w:val="21"/>
                <w:szCs w:val="21"/>
                <w:lang w:val="en-US" w:eastAsia="zh-CN" w:bidi="ar-SA"/>
              </w:rPr>
            </w:pPr>
            <w:r>
              <w:rPr>
                <w:rFonts w:hint="default" w:ascii="Times New Roman" w:hAnsi="Times New Roman" w:eastAsia="宋体" w:cs="Times New Roman"/>
                <w:b/>
                <w:bCs/>
                <w:kern w:val="2"/>
                <w:sz w:val="21"/>
                <w:szCs w:val="21"/>
                <w:lang w:val="en-US" w:eastAsia="zh-CN" w:bidi="ar-SA"/>
              </w:rPr>
              <w:t>X坐标</w:t>
            </w:r>
          </w:p>
        </w:tc>
        <w:tc>
          <w:tcPr>
            <w:tcW w:w="1602" w:type="pct"/>
            <w:noWrap/>
            <w:vAlign w:val="center"/>
          </w:tcPr>
          <w:p w14:paraId="58B8F1F9">
            <w:pPr>
              <w:widowControl w:val="0"/>
              <w:wordWrap w:val="0"/>
              <w:adjustRightInd w:val="0"/>
              <w:snapToGrid w:val="0"/>
              <w:spacing w:line="240" w:lineRule="auto"/>
              <w:ind w:firstLine="0" w:firstLineChars="0"/>
              <w:jc w:val="center"/>
              <w:rPr>
                <w:rFonts w:hint="default" w:ascii="Times New Roman" w:hAnsi="Times New Roman" w:eastAsia="宋体" w:cs="Times New Roman"/>
                <w:b/>
                <w:bCs/>
                <w:kern w:val="2"/>
                <w:sz w:val="21"/>
                <w:szCs w:val="21"/>
                <w:lang w:val="en-US" w:eastAsia="zh-CN" w:bidi="ar-SA"/>
              </w:rPr>
            </w:pPr>
            <w:r>
              <w:rPr>
                <w:rFonts w:hint="default" w:ascii="Times New Roman" w:hAnsi="Times New Roman" w:eastAsia="宋体" w:cs="Times New Roman"/>
                <w:b/>
                <w:bCs/>
                <w:kern w:val="2"/>
                <w:sz w:val="21"/>
                <w:szCs w:val="21"/>
                <w:lang w:val="en-US" w:eastAsia="zh-CN" w:bidi="ar-SA"/>
              </w:rPr>
              <w:t>Y坐标</w:t>
            </w:r>
          </w:p>
        </w:tc>
      </w:tr>
      <w:tr w14:paraId="01DC51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1927" w:type="pct"/>
            <w:noWrap/>
          </w:tcPr>
          <w:p w14:paraId="3E1C968A">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禁2</w:t>
            </w:r>
          </w:p>
        </w:tc>
        <w:tc>
          <w:tcPr>
            <w:tcW w:w="1471" w:type="pct"/>
            <w:noWrap/>
          </w:tcPr>
          <w:p w14:paraId="700417F4">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2685359.28</w:t>
            </w:r>
          </w:p>
        </w:tc>
        <w:tc>
          <w:tcPr>
            <w:tcW w:w="1602" w:type="pct"/>
            <w:noWrap/>
          </w:tcPr>
          <w:p w14:paraId="5C1E2870">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34651250.39</w:t>
            </w:r>
          </w:p>
        </w:tc>
      </w:tr>
      <w:tr w14:paraId="154428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1927" w:type="pct"/>
            <w:noWrap/>
          </w:tcPr>
          <w:p w14:paraId="29075093">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禁3</w:t>
            </w:r>
          </w:p>
        </w:tc>
        <w:tc>
          <w:tcPr>
            <w:tcW w:w="1471" w:type="pct"/>
            <w:noWrap/>
          </w:tcPr>
          <w:p w14:paraId="70047509">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2685312.23</w:t>
            </w:r>
          </w:p>
        </w:tc>
        <w:tc>
          <w:tcPr>
            <w:tcW w:w="1602" w:type="pct"/>
            <w:noWrap/>
          </w:tcPr>
          <w:p w14:paraId="7C347A5A">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34651172.43</w:t>
            </w:r>
          </w:p>
        </w:tc>
      </w:tr>
      <w:tr w14:paraId="70005A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1927" w:type="pct"/>
            <w:noWrap/>
          </w:tcPr>
          <w:p w14:paraId="1FF554B0">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矿2</w:t>
            </w:r>
          </w:p>
        </w:tc>
        <w:tc>
          <w:tcPr>
            <w:tcW w:w="1471" w:type="pct"/>
            <w:noWrap/>
            <w:vAlign w:val="center"/>
          </w:tcPr>
          <w:p w14:paraId="7DFB6D1C">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2685339.62</w:t>
            </w:r>
          </w:p>
        </w:tc>
        <w:tc>
          <w:tcPr>
            <w:tcW w:w="1602" w:type="pct"/>
            <w:noWrap/>
            <w:vAlign w:val="center"/>
          </w:tcPr>
          <w:p w14:paraId="7989D5A1">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34651619.53</w:t>
            </w:r>
          </w:p>
        </w:tc>
      </w:tr>
      <w:tr w14:paraId="26EF7E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1927" w:type="pct"/>
            <w:noWrap/>
          </w:tcPr>
          <w:p w14:paraId="3AAA71D2">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矿3</w:t>
            </w:r>
          </w:p>
        </w:tc>
        <w:tc>
          <w:tcPr>
            <w:tcW w:w="1471" w:type="pct"/>
            <w:noWrap/>
            <w:vAlign w:val="center"/>
          </w:tcPr>
          <w:p w14:paraId="5E98164B">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2685308.62</w:t>
            </w:r>
          </w:p>
        </w:tc>
        <w:tc>
          <w:tcPr>
            <w:tcW w:w="1602" w:type="pct"/>
            <w:noWrap/>
            <w:vAlign w:val="center"/>
          </w:tcPr>
          <w:p w14:paraId="281324FD">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34651647.53</w:t>
            </w:r>
          </w:p>
        </w:tc>
      </w:tr>
      <w:tr w14:paraId="1302C3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1927" w:type="pct"/>
            <w:noWrap/>
          </w:tcPr>
          <w:p w14:paraId="0B0206ED">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矿4</w:t>
            </w:r>
          </w:p>
        </w:tc>
        <w:tc>
          <w:tcPr>
            <w:tcW w:w="1471" w:type="pct"/>
            <w:noWrap/>
            <w:vAlign w:val="center"/>
          </w:tcPr>
          <w:p w14:paraId="4647DD80">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2685228.62</w:t>
            </w:r>
          </w:p>
        </w:tc>
        <w:tc>
          <w:tcPr>
            <w:tcW w:w="1602" w:type="pct"/>
            <w:noWrap/>
            <w:vAlign w:val="center"/>
          </w:tcPr>
          <w:p w14:paraId="6DE81880">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34651624.53</w:t>
            </w:r>
          </w:p>
        </w:tc>
      </w:tr>
      <w:tr w14:paraId="73D98D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1927" w:type="pct"/>
            <w:noWrap/>
          </w:tcPr>
          <w:p w14:paraId="6F6DF344">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矿5</w:t>
            </w:r>
          </w:p>
        </w:tc>
        <w:tc>
          <w:tcPr>
            <w:tcW w:w="1471" w:type="pct"/>
            <w:noWrap/>
            <w:vAlign w:val="center"/>
          </w:tcPr>
          <w:p w14:paraId="2901F953">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2685141.62</w:t>
            </w:r>
          </w:p>
        </w:tc>
        <w:tc>
          <w:tcPr>
            <w:tcW w:w="1602" w:type="pct"/>
            <w:noWrap/>
            <w:vAlign w:val="center"/>
          </w:tcPr>
          <w:p w14:paraId="4E090511">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34651672.53</w:t>
            </w:r>
          </w:p>
        </w:tc>
      </w:tr>
      <w:tr w14:paraId="3B4F86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1927" w:type="pct"/>
            <w:noWrap/>
          </w:tcPr>
          <w:p w14:paraId="35C23318">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矿6</w:t>
            </w:r>
          </w:p>
        </w:tc>
        <w:tc>
          <w:tcPr>
            <w:tcW w:w="1471" w:type="pct"/>
            <w:noWrap/>
            <w:vAlign w:val="center"/>
          </w:tcPr>
          <w:p w14:paraId="5FA4DF90">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2685222.62</w:t>
            </w:r>
          </w:p>
        </w:tc>
        <w:tc>
          <w:tcPr>
            <w:tcW w:w="1602" w:type="pct"/>
            <w:noWrap/>
            <w:vAlign w:val="center"/>
          </w:tcPr>
          <w:p w14:paraId="421EFFE3">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34651727.53</w:t>
            </w:r>
          </w:p>
        </w:tc>
      </w:tr>
      <w:tr w14:paraId="22F3A1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1927" w:type="pct"/>
            <w:noWrap/>
          </w:tcPr>
          <w:p w14:paraId="1484903C">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矿7</w:t>
            </w:r>
          </w:p>
        </w:tc>
        <w:tc>
          <w:tcPr>
            <w:tcW w:w="1471" w:type="pct"/>
            <w:noWrap/>
            <w:vAlign w:val="center"/>
          </w:tcPr>
          <w:p w14:paraId="3F001F2C">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2685189.62</w:t>
            </w:r>
          </w:p>
        </w:tc>
        <w:tc>
          <w:tcPr>
            <w:tcW w:w="1602" w:type="pct"/>
            <w:noWrap/>
            <w:vAlign w:val="center"/>
          </w:tcPr>
          <w:p w14:paraId="6E07B9ED">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34651758.53</w:t>
            </w:r>
          </w:p>
        </w:tc>
      </w:tr>
      <w:tr w14:paraId="06ADDB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1927" w:type="pct"/>
            <w:noWrap/>
          </w:tcPr>
          <w:p w14:paraId="72D185E5">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矿8</w:t>
            </w:r>
          </w:p>
        </w:tc>
        <w:tc>
          <w:tcPr>
            <w:tcW w:w="1471" w:type="pct"/>
            <w:noWrap/>
            <w:vAlign w:val="center"/>
          </w:tcPr>
          <w:p w14:paraId="55A1FCA7">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2685081.00</w:t>
            </w:r>
          </w:p>
        </w:tc>
        <w:tc>
          <w:tcPr>
            <w:tcW w:w="1602" w:type="pct"/>
            <w:noWrap/>
            <w:vAlign w:val="center"/>
          </w:tcPr>
          <w:p w14:paraId="21AE2EEE">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34651734.00</w:t>
            </w:r>
          </w:p>
        </w:tc>
      </w:tr>
      <w:tr w14:paraId="3108D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1927" w:type="pct"/>
            <w:noWrap/>
          </w:tcPr>
          <w:p w14:paraId="21DC8771">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矿9</w:t>
            </w:r>
          </w:p>
        </w:tc>
        <w:tc>
          <w:tcPr>
            <w:tcW w:w="1471" w:type="pct"/>
            <w:noWrap/>
            <w:vAlign w:val="center"/>
          </w:tcPr>
          <w:p w14:paraId="3EFE4FA9">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2685081.00</w:t>
            </w:r>
          </w:p>
        </w:tc>
        <w:tc>
          <w:tcPr>
            <w:tcW w:w="1602" w:type="pct"/>
            <w:noWrap/>
            <w:vAlign w:val="center"/>
          </w:tcPr>
          <w:p w14:paraId="775199A1">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34651687.00</w:t>
            </w:r>
          </w:p>
        </w:tc>
      </w:tr>
      <w:tr w14:paraId="673EF9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1927" w:type="pct"/>
            <w:noWrap/>
          </w:tcPr>
          <w:p w14:paraId="1F0EF806">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矿10</w:t>
            </w:r>
          </w:p>
        </w:tc>
        <w:tc>
          <w:tcPr>
            <w:tcW w:w="1471" w:type="pct"/>
            <w:noWrap/>
            <w:vAlign w:val="center"/>
          </w:tcPr>
          <w:p w14:paraId="1EE58439">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2685043.00</w:t>
            </w:r>
          </w:p>
        </w:tc>
        <w:tc>
          <w:tcPr>
            <w:tcW w:w="1602" w:type="pct"/>
            <w:noWrap/>
            <w:vAlign w:val="center"/>
          </w:tcPr>
          <w:p w14:paraId="11B5759E">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34651648.00</w:t>
            </w:r>
          </w:p>
        </w:tc>
      </w:tr>
      <w:tr w14:paraId="41F867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1927" w:type="pct"/>
            <w:noWrap/>
          </w:tcPr>
          <w:p w14:paraId="029990AA">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矿11</w:t>
            </w:r>
          </w:p>
        </w:tc>
        <w:tc>
          <w:tcPr>
            <w:tcW w:w="1471" w:type="pct"/>
            <w:noWrap/>
            <w:vAlign w:val="center"/>
          </w:tcPr>
          <w:p w14:paraId="481982D0">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2684956.00</w:t>
            </w:r>
          </w:p>
        </w:tc>
        <w:tc>
          <w:tcPr>
            <w:tcW w:w="1602" w:type="pct"/>
            <w:noWrap/>
            <w:vAlign w:val="center"/>
          </w:tcPr>
          <w:p w14:paraId="3D7E985A">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34651663.00</w:t>
            </w:r>
          </w:p>
        </w:tc>
      </w:tr>
      <w:tr w14:paraId="2F0A44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1927" w:type="pct"/>
            <w:noWrap/>
          </w:tcPr>
          <w:p w14:paraId="140BA690">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矿12</w:t>
            </w:r>
          </w:p>
        </w:tc>
        <w:tc>
          <w:tcPr>
            <w:tcW w:w="1471" w:type="pct"/>
            <w:noWrap/>
            <w:vAlign w:val="center"/>
          </w:tcPr>
          <w:p w14:paraId="3DD6B3A7">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2684876.00</w:t>
            </w:r>
          </w:p>
        </w:tc>
        <w:tc>
          <w:tcPr>
            <w:tcW w:w="1602" w:type="pct"/>
            <w:noWrap/>
            <w:vAlign w:val="center"/>
          </w:tcPr>
          <w:p w14:paraId="7890131A">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34651516.00</w:t>
            </w:r>
          </w:p>
        </w:tc>
      </w:tr>
      <w:tr w14:paraId="6E2F6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1927" w:type="pct"/>
            <w:noWrap/>
          </w:tcPr>
          <w:p w14:paraId="605BDEE5">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矿13</w:t>
            </w:r>
          </w:p>
        </w:tc>
        <w:tc>
          <w:tcPr>
            <w:tcW w:w="1471" w:type="pct"/>
            <w:noWrap/>
            <w:vAlign w:val="center"/>
          </w:tcPr>
          <w:p w14:paraId="660E27A8">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2684864.00</w:t>
            </w:r>
          </w:p>
        </w:tc>
        <w:tc>
          <w:tcPr>
            <w:tcW w:w="1602" w:type="pct"/>
            <w:noWrap/>
            <w:vAlign w:val="center"/>
          </w:tcPr>
          <w:p w14:paraId="3466BF01">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34651349.00</w:t>
            </w:r>
          </w:p>
        </w:tc>
      </w:tr>
      <w:tr w14:paraId="671CD4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1927" w:type="pct"/>
            <w:noWrap/>
          </w:tcPr>
          <w:p w14:paraId="2BA6ACDA">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矿14</w:t>
            </w:r>
          </w:p>
        </w:tc>
        <w:tc>
          <w:tcPr>
            <w:tcW w:w="1471" w:type="pct"/>
            <w:noWrap/>
            <w:vAlign w:val="center"/>
          </w:tcPr>
          <w:p w14:paraId="5CB5917B">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2684808.00</w:t>
            </w:r>
          </w:p>
        </w:tc>
        <w:tc>
          <w:tcPr>
            <w:tcW w:w="1602" w:type="pct"/>
            <w:noWrap/>
            <w:vAlign w:val="center"/>
          </w:tcPr>
          <w:p w14:paraId="227387E1">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34651166.00</w:t>
            </w:r>
          </w:p>
        </w:tc>
      </w:tr>
      <w:tr w14:paraId="200FBD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1927" w:type="pct"/>
            <w:noWrap/>
          </w:tcPr>
          <w:p w14:paraId="3162EA6F">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矿15</w:t>
            </w:r>
          </w:p>
        </w:tc>
        <w:tc>
          <w:tcPr>
            <w:tcW w:w="1471" w:type="pct"/>
            <w:noWrap/>
            <w:vAlign w:val="center"/>
          </w:tcPr>
          <w:p w14:paraId="0B5302CA">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2684963.62</w:t>
            </w:r>
          </w:p>
        </w:tc>
        <w:tc>
          <w:tcPr>
            <w:tcW w:w="1602" w:type="pct"/>
            <w:noWrap/>
            <w:vAlign w:val="center"/>
          </w:tcPr>
          <w:p w14:paraId="36B85AD5">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34651158.53</w:t>
            </w:r>
          </w:p>
        </w:tc>
      </w:tr>
      <w:tr w14:paraId="4FEBF1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1927" w:type="pct"/>
            <w:noWrap/>
          </w:tcPr>
          <w:p w14:paraId="6438850E">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矿16</w:t>
            </w:r>
          </w:p>
        </w:tc>
        <w:tc>
          <w:tcPr>
            <w:tcW w:w="1471" w:type="pct"/>
            <w:noWrap/>
            <w:vAlign w:val="center"/>
          </w:tcPr>
          <w:p w14:paraId="3CB0359A">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2685206.62</w:t>
            </w:r>
          </w:p>
        </w:tc>
        <w:tc>
          <w:tcPr>
            <w:tcW w:w="1602" w:type="pct"/>
            <w:noWrap/>
            <w:vAlign w:val="center"/>
          </w:tcPr>
          <w:p w14:paraId="3AB29CDA">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34651099.53</w:t>
            </w:r>
          </w:p>
        </w:tc>
      </w:tr>
      <w:tr w14:paraId="0B3681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1927" w:type="pct"/>
            <w:noWrap/>
            <w:vAlign w:val="center"/>
          </w:tcPr>
          <w:p w14:paraId="7BBF7979">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面积</w:t>
            </w:r>
          </w:p>
        </w:tc>
        <w:tc>
          <w:tcPr>
            <w:tcW w:w="3073" w:type="pct"/>
            <w:gridSpan w:val="2"/>
            <w:noWrap/>
            <w:vAlign w:val="center"/>
          </w:tcPr>
          <w:p w14:paraId="67559C82">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0.2521km</w:t>
            </w:r>
            <w:r>
              <w:rPr>
                <w:rFonts w:hint="default" w:ascii="Times New Roman" w:hAnsi="Times New Roman" w:eastAsia="宋体" w:cs="Times New Roman"/>
                <w:b w:val="0"/>
                <w:kern w:val="2"/>
                <w:sz w:val="21"/>
                <w:szCs w:val="21"/>
                <w:vertAlign w:val="superscript"/>
                <w:lang w:val="en-US" w:eastAsia="zh-CN" w:bidi="ar-SA"/>
              </w:rPr>
              <w:t>2</w:t>
            </w:r>
          </w:p>
        </w:tc>
      </w:tr>
      <w:tr w14:paraId="3C9593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1927" w:type="pct"/>
            <w:noWrap/>
            <w:vAlign w:val="center"/>
          </w:tcPr>
          <w:p w14:paraId="6B635E7C">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开采标高</w:t>
            </w:r>
          </w:p>
        </w:tc>
        <w:tc>
          <w:tcPr>
            <w:tcW w:w="3073" w:type="pct"/>
            <w:gridSpan w:val="2"/>
            <w:noWrap/>
            <w:vAlign w:val="center"/>
          </w:tcPr>
          <w:p w14:paraId="6B958DB0">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1550m～1470m</w:t>
            </w:r>
          </w:p>
        </w:tc>
      </w:tr>
      <w:bookmarkEnd w:id="75"/>
      <w:bookmarkEnd w:id="76"/>
    </w:tbl>
    <w:p w14:paraId="5321F53E">
      <w:pPr>
        <w:spacing w:line="360" w:lineRule="auto"/>
        <w:ind w:firstLine="560" w:firstLineChars="200"/>
        <w:rPr>
          <w:rFonts w:hint="default" w:ascii="Times New Roman" w:hAnsi="Times New Roman" w:cs="Times New Roman"/>
          <w:snapToGrid w:val="0"/>
          <w:kern w:val="0"/>
          <w:sz w:val="28"/>
        </w:rPr>
      </w:pPr>
      <w:r>
        <w:rPr>
          <w:rFonts w:hint="default" w:ascii="Times New Roman" w:hAnsi="Times New Roman" w:cs="Times New Roman"/>
          <w:snapToGrid w:val="0"/>
          <w:kern w:val="0"/>
          <w:sz w:val="28"/>
        </w:rPr>
        <w:t>③本次安全预评价空间范围</w:t>
      </w:r>
    </w:p>
    <w:p w14:paraId="6C73F915">
      <w:pPr>
        <w:spacing w:line="360" w:lineRule="auto"/>
        <w:ind w:firstLine="560" w:firstLineChars="200"/>
        <w:rPr>
          <w:rFonts w:hint="default" w:ascii="Times New Roman" w:hAnsi="Times New Roman" w:cs="Times New Roman"/>
          <w:snapToGrid w:val="0"/>
          <w:kern w:val="0"/>
          <w:sz w:val="28"/>
          <w:lang w:val="sq-AL"/>
        </w:rPr>
      </w:pPr>
      <w:r>
        <w:rPr>
          <w:rFonts w:hint="default" w:ascii="Times New Roman" w:hAnsi="Times New Roman" w:cs="Times New Roman"/>
          <w:snapToGrid w:val="0"/>
          <w:kern w:val="0"/>
          <w:sz w:val="28"/>
          <w:lang w:val="sq-AL"/>
        </w:rPr>
        <w:t>本次安全</w:t>
      </w:r>
      <w:r>
        <w:rPr>
          <w:rFonts w:hint="default" w:ascii="Times New Roman" w:hAnsi="Times New Roman" w:cs="Times New Roman"/>
          <w:snapToGrid w:val="0"/>
          <w:kern w:val="0"/>
          <w:sz w:val="28"/>
        </w:rPr>
        <w:t>预</w:t>
      </w:r>
      <w:r>
        <w:rPr>
          <w:rFonts w:hint="default" w:ascii="Times New Roman" w:hAnsi="Times New Roman" w:cs="Times New Roman"/>
          <w:snapToGrid w:val="0"/>
          <w:kern w:val="0"/>
          <w:sz w:val="28"/>
          <w:lang w:val="sq-AL"/>
        </w:rPr>
        <w:t>评价的</w:t>
      </w:r>
      <w:r>
        <w:rPr>
          <w:rFonts w:hint="default" w:ascii="Times New Roman" w:hAnsi="Times New Roman" w:cs="Times New Roman"/>
          <w:snapToGrid w:val="0"/>
          <w:kern w:val="0"/>
          <w:sz w:val="28"/>
        </w:rPr>
        <w:t>空间</w:t>
      </w:r>
      <w:r>
        <w:rPr>
          <w:rFonts w:hint="default" w:ascii="Times New Roman" w:hAnsi="Times New Roman" w:cs="Times New Roman"/>
          <w:snapToGrid w:val="0"/>
          <w:kern w:val="0"/>
          <w:sz w:val="28"/>
          <w:lang w:val="sq-AL"/>
        </w:rPr>
        <w:t>范围与设计范围一致。</w:t>
      </w:r>
    </w:p>
    <w:p w14:paraId="306F6BFB">
      <w:pPr>
        <w:pStyle w:val="5"/>
        <w:spacing w:before="0" w:after="0" w:line="360" w:lineRule="auto"/>
        <w:ind w:firstLine="562" w:firstLineChars="200"/>
        <w:rPr>
          <w:rFonts w:hint="default" w:ascii="Times New Roman" w:hAnsi="Times New Roman" w:cs="Times New Roman"/>
        </w:rPr>
      </w:pPr>
      <w:r>
        <w:rPr>
          <w:rFonts w:hint="default" w:ascii="Times New Roman" w:hAnsi="Times New Roman" w:cs="Times New Roman"/>
        </w:rPr>
        <w:t>1.1.2.2 项目系统范围</w:t>
      </w:r>
    </w:p>
    <w:p w14:paraId="4D2A3522">
      <w:pPr>
        <w:spacing w:line="360" w:lineRule="auto"/>
        <w:ind w:firstLine="560" w:firstLineChars="200"/>
        <w:rPr>
          <w:rFonts w:hint="default" w:ascii="Times New Roman" w:hAnsi="Times New Roman" w:cs="Times New Roman"/>
          <w:snapToGrid w:val="0"/>
          <w:kern w:val="0"/>
          <w:sz w:val="28"/>
          <w:szCs w:val="28"/>
        </w:rPr>
      </w:pPr>
      <w:r>
        <w:rPr>
          <w:rFonts w:hint="default" w:ascii="Times New Roman" w:hAnsi="Times New Roman" w:cs="Times New Roman"/>
          <w:snapToGrid w:val="0"/>
          <w:kern w:val="0"/>
          <w:sz w:val="28"/>
          <w:lang w:val="sq-AL"/>
        </w:rPr>
        <w:t>本次安全预评价</w:t>
      </w:r>
      <w:r>
        <w:rPr>
          <w:rFonts w:hint="default" w:ascii="Times New Roman" w:hAnsi="Times New Roman" w:cs="Times New Roman"/>
          <w:snapToGrid w:val="0"/>
          <w:kern w:val="0"/>
          <w:sz w:val="28"/>
        </w:rPr>
        <w:t>根据</w:t>
      </w:r>
      <w:r>
        <w:rPr>
          <w:rFonts w:hint="default" w:ascii="Times New Roman" w:hAnsi="Times New Roman" w:cs="Times New Roman"/>
          <w:snapToGrid w:val="0"/>
          <w:kern w:val="0"/>
          <w:sz w:val="28"/>
          <w:lang w:val="sq-AL"/>
        </w:rPr>
        <w:t>《</w:t>
      </w:r>
      <w:r>
        <w:rPr>
          <w:rFonts w:hint="default" w:ascii="Times New Roman" w:hAnsi="Times New Roman" w:cs="Times New Roman"/>
          <w:snapToGrid w:val="0"/>
          <w:kern w:val="0"/>
          <w:sz w:val="28"/>
          <w:lang w:val="sq-AL" w:eastAsia="zh-CN"/>
        </w:rPr>
        <w:t>弥勒市瑞垠矿业有限公司弥勒市小沙冲砂场</w:t>
      </w:r>
      <w:r>
        <w:rPr>
          <w:rFonts w:hint="default" w:ascii="Times New Roman" w:hAnsi="Times New Roman" w:cs="Times New Roman"/>
          <w:sz w:val="28"/>
          <w:szCs w:val="28"/>
          <w:lang w:eastAsia="zh-CN" w:bidi="en-US"/>
        </w:rPr>
        <w:t>22.22</w:t>
      </w:r>
      <w:r>
        <w:rPr>
          <w:rFonts w:hint="default" w:ascii="Times New Roman" w:hAnsi="Times New Roman" w:cs="Times New Roman"/>
          <w:sz w:val="28"/>
          <w:szCs w:val="28"/>
          <w:lang w:val="en-US" w:eastAsia="zh-CN" w:bidi="en-US"/>
        </w:rPr>
        <w:t>万</w:t>
      </w:r>
      <w:r>
        <w:rPr>
          <w:rFonts w:hint="default" w:ascii="Times New Roman" w:hAnsi="Times New Roman" w:cs="Times New Roman"/>
          <w:sz w:val="28"/>
          <w:szCs w:val="28"/>
          <w:lang w:eastAsia="zh-CN" w:bidi="en-US"/>
        </w:rPr>
        <w:t>m</w:t>
      </w:r>
      <w:r>
        <w:rPr>
          <w:rFonts w:hint="default" w:ascii="Times New Roman" w:hAnsi="Times New Roman" w:cs="Times New Roman"/>
          <w:sz w:val="28"/>
          <w:szCs w:val="28"/>
          <w:vertAlign w:val="superscript"/>
          <w:lang w:eastAsia="zh-CN" w:bidi="en-US"/>
        </w:rPr>
        <w:t>3</w:t>
      </w:r>
      <w:r>
        <w:rPr>
          <w:rFonts w:hint="default" w:ascii="Times New Roman" w:hAnsi="Times New Roman" w:cs="Times New Roman"/>
          <w:sz w:val="28"/>
          <w:szCs w:val="28"/>
          <w:lang w:val="en-US" w:eastAsia="zh-CN" w:bidi="en-US"/>
        </w:rPr>
        <w:t>/</w:t>
      </w:r>
      <w:r>
        <w:rPr>
          <w:rFonts w:hint="default" w:ascii="Times New Roman" w:hAnsi="Times New Roman" w:cs="Times New Roman"/>
          <w:sz w:val="28"/>
          <w:szCs w:val="28"/>
          <w:lang w:eastAsia="zh-CN" w:bidi="en-US"/>
        </w:rPr>
        <w:t>a（50万t</w:t>
      </w:r>
      <w:r>
        <w:rPr>
          <w:rFonts w:hint="default" w:ascii="Times New Roman" w:hAnsi="Times New Roman" w:cs="Times New Roman"/>
          <w:sz w:val="28"/>
          <w:szCs w:val="28"/>
          <w:lang w:val="en-US" w:eastAsia="zh-CN" w:bidi="en-US"/>
        </w:rPr>
        <w:t>/</w:t>
      </w:r>
      <w:r>
        <w:rPr>
          <w:rFonts w:hint="default" w:ascii="Times New Roman" w:hAnsi="Times New Roman" w:cs="Times New Roman"/>
          <w:sz w:val="28"/>
          <w:szCs w:val="28"/>
          <w:lang w:eastAsia="zh-CN" w:bidi="en-US"/>
        </w:rPr>
        <w:t>a）</w:t>
      </w:r>
      <w:r>
        <w:rPr>
          <w:rFonts w:hint="default" w:ascii="Times New Roman" w:hAnsi="Times New Roman" w:cs="Times New Roman"/>
          <w:snapToGrid w:val="0"/>
          <w:kern w:val="0"/>
          <w:sz w:val="28"/>
          <w:lang w:val="sq-AL" w:eastAsia="zh-CN"/>
        </w:rPr>
        <w:t>露天采矿工程初步设计（代可研）</w:t>
      </w:r>
      <w:r>
        <w:rPr>
          <w:rFonts w:hint="default" w:ascii="Times New Roman" w:hAnsi="Times New Roman" w:cs="Times New Roman"/>
          <w:snapToGrid w:val="0"/>
          <w:kern w:val="0"/>
          <w:sz w:val="28"/>
          <w:lang w:val="sq-AL"/>
        </w:rPr>
        <w:t>》</w:t>
      </w:r>
      <w:r>
        <w:rPr>
          <w:rFonts w:hint="default" w:ascii="Times New Roman" w:hAnsi="Times New Roman" w:cs="Times New Roman"/>
          <w:snapToGrid w:val="0"/>
          <w:kern w:val="0"/>
          <w:sz w:val="28"/>
        </w:rPr>
        <w:t>确定的露天开采系统开展评价工作。</w:t>
      </w:r>
      <w:r>
        <w:rPr>
          <w:rFonts w:hint="default" w:ascii="Times New Roman" w:hAnsi="Times New Roman" w:cs="Times New Roman"/>
          <w:snapToGrid w:val="0"/>
          <w:kern w:val="0"/>
          <w:sz w:val="28"/>
          <w:szCs w:val="28"/>
        </w:rPr>
        <w:t>评价工作以露天开采生产工艺为主线，以安全设施（包括基本安全设施和专用安全设施）为重点的安全评价。</w:t>
      </w:r>
    </w:p>
    <w:p w14:paraId="3677323C">
      <w:pPr>
        <w:spacing w:line="360" w:lineRule="auto"/>
        <w:ind w:firstLine="560" w:firstLineChars="200"/>
        <w:rPr>
          <w:rFonts w:hint="default" w:ascii="Times New Roman" w:hAnsi="Times New Roman" w:cs="Times New Roman"/>
          <w:snapToGrid w:val="0"/>
          <w:kern w:val="0"/>
          <w:sz w:val="28"/>
          <w:lang w:val="sq-AL"/>
        </w:rPr>
      </w:pPr>
      <w:r>
        <w:rPr>
          <w:rFonts w:hint="default" w:ascii="Times New Roman" w:hAnsi="Times New Roman" w:cs="Times New Roman"/>
          <w:snapToGrid w:val="0"/>
          <w:kern w:val="0"/>
          <w:sz w:val="28"/>
          <w:lang w:val="sq-AL"/>
        </w:rPr>
        <w:t>本次安全预评价范围包括</w:t>
      </w:r>
      <w:r>
        <w:rPr>
          <w:rFonts w:hint="default" w:ascii="Times New Roman" w:hAnsi="Times New Roman" w:cs="Times New Roman"/>
          <w:snapToGrid w:val="0"/>
          <w:kern w:val="0"/>
          <w:sz w:val="28"/>
          <w:lang w:val="sq-AL" w:eastAsia="zh-CN"/>
        </w:rPr>
        <w:t>弥勒市瑞垠矿业有限公司弥勒市小沙冲砂场</w:t>
      </w:r>
      <w:r>
        <w:rPr>
          <w:rFonts w:hint="default" w:ascii="Times New Roman" w:hAnsi="Times New Roman" w:cs="Times New Roman"/>
          <w:sz w:val="28"/>
          <w:szCs w:val="28"/>
          <w:lang w:eastAsia="zh-CN" w:bidi="en-US"/>
        </w:rPr>
        <w:t>22.22</w:t>
      </w:r>
      <w:r>
        <w:rPr>
          <w:rFonts w:hint="default" w:ascii="Times New Roman" w:hAnsi="Times New Roman" w:cs="Times New Roman"/>
          <w:sz w:val="28"/>
          <w:szCs w:val="28"/>
          <w:lang w:val="en-US" w:eastAsia="zh-CN" w:bidi="en-US"/>
        </w:rPr>
        <w:t>万</w:t>
      </w:r>
      <w:r>
        <w:rPr>
          <w:rFonts w:hint="default" w:ascii="Times New Roman" w:hAnsi="Times New Roman" w:cs="Times New Roman"/>
          <w:sz w:val="28"/>
          <w:szCs w:val="28"/>
          <w:lang w:eastAsia="zh-CN" w:bidi="en-US"/>
        </w:rPr>
        <w:t>m</w:t>
      </w:r>
      <w:r>
        <w:rPr>
          <w:rFonts w:hint="default" w:ascii="Times New Roman" w:hAnsi="Times New Roman" w:cs="Times New Roman"/>
          <w:sz w:val="28"/>
          <w:szCs w:val="28"/>
          <w:vertAlign w:val="superscript"/>
          <w:lang w:eastAsia="zh-CN" w:bidi="en-US"/>
        </w:rPr>
        <w:t>3</w:t>
      </w:r>
      <w:r>
        <w:rPr>
          <w:rFonts w:hint="default" w:ascii="Times New Roman" w:hAnsi="Times New Roman" w:cs="Times New Roman"/>
          <w:sz w:val="28"/>
          <w:szCs w:val="28"/>
          <w:lang w:val="en-US" w:eastAsia="zh-CN" w:bidi="en-US"/>
        </w:rPr>
        <w:t>/</w:t>
      </w:r>
      <w:r>
        <w:rPr>
          <w:rFonts w:hint="default" w:ascii="Times New Roman" w:hAnsi="Times New Roman" w:cs="Times New Roman"/>
          <w:sz w:val="28"/>
          <w:szCs w:val="28"/>
          <w:lang w:eastAsia="zh-CN" w:bidi="en-US"/>
        </w:rPr>
        <w:t>a（50万t</w:t>
      </w:r>
      <w:r>
        <w:rPr>
          <w:rFonts w:hint="default" w:ascii="Times New Roman" w:hAnsi="Times New Roman" w:cs="Times New Roman"/>
          <w:sz w:val="28"/>
          <w:szCs w:val="28"/>
          <w:lang w:val="en-US" w:eastAsia="zh-CN" w:bidi="en-US"/>
        </w:rPr>
        <w:t>/</w:t>
      </w:r>
      <w:r>
        <w:rPr>
          <w:rFonts w:hint="default" w:ascii="Times New Roman" w:hAnsi="Times New Roman" w:cs="Times New Roman"/>
          <w:sz w:val="28"/>
          <w:szCs w:val="28"/>
          <w:lang w:eastAsia="zh-CN" w:bidi="en-US"/>
        </w:rPr>
        <w:t>a）</w:t>
      </w:r>
      <w:r>
        <w:rPr>
          <w:rFonts w:hint="default" w:ascii="Times New Roman" w:hAnsi="Times New Roman" w:cs="Times New Roman"/>
          <w:snapToGrid w:val="0"/>
          <w:kern w:val="0"/>
          <w:sz w:val="28"/>
          <w:lang w:val="sq-AL" w:eastAsia="zh-CN"/>
        </w:rPr>
        <w:t>露天采矿工程</w:t>
      </w:r>
      <w:r>
        <w:rPr>
          <w:rFonts w:hint="default" w:ascii="Times New Roman" w:hAnsi="Times New Roman" w:cs="Times New Roman"/>
          <w:snapToGrid w:val="0"/>
          <w:kern w:val="0"/>
          <w:sz w:val="28"/>
        </w:rPr>
        <w:t>的总平面布置</w:t>
      </w:r>
      <w:r>
        <w:rPr>
          <w:rFonts w:hint="default" w:ascii="Times New Roman" w:hAnsi="Times New Roman" w:cs="Times New Roman"/>
          <w:snapToGrid w:val="0"/>
          <w:kern w:val="0"/>
          <w:sz w:val="28"/>
          <w:lang w:val="sq-AL"/>
        </w:rPr>
        <w:t>、</w:t>
      </w:r>
      <w:r>
        <w:rPr>
          <w:rFonts w:hint="default" w:ascii="Times New Roman" w:hAnsi="Times New Roman" w:cs="Times New Roman"/>
          <w:snapToGrid w:val="0"/>
          <w:kern w:val="0"/>
          <w:sz w:val="28"/>
        </w:rPr>
        <w:t>开拓</w:t>
      </w:r>
      <w:r>
        <w:rPr>
          <w:rFonts w:hint="default" w:ascii="Times New Roman" w:hAnsi="Times New Roman" w:cs="Times New Roman"/>
          <w:snapToGrid w:val="0"/>
          <w:kern w:val="0"/>
          <w:sz w:val="28"/>
          <w:lang w:val="sq-AL"/>
        </w:rPr>
        <w:t>运输</w:t>
      </w:r>
      <w:r>
        <w:rPr>
          <w:rFonts w:hint="default" w:ascii="Times New Roman" w:hAnsi="Times New Roman" w:cs="Times New Roman"/>
          <w:snapToGrid w:val="0"/>
          <w:kern w:val="0"/>
          <w:sz w:val="28"/>
        </w:rPr>
        <w:t>、采剥工艺、供配电、</w:t>
      </w:r>
      <w:r>
        <w:rPr>
          <w:rFonts w:hint="eastAsia" w:cs="Times New Roman"/>
          <w:snapToGrid w:val="0"/>
          <w:kern w:val="0"/>
          <w:sz w:val="28"/>
          <w:lang w:val="en-US" w:eastAsia="zh-CN"/>
        </w:rPr>
        <w:t>破碎站、</w:t>
      </w:r>
      <w:r>
        <w:rPr>
          <w:rFonts w:hint="default" w:ascii="Times New Roman" w:hAnsi="Times New Roman" w:cs="Times New Roman"/>
          <w:snapToGrid w:val="0"/>
          <w:kern w:val="0"/>
          <w:sz w:val="28"/>
        </w:rPr>
        <w:t>防排水及安全管理等方面的基本安全设施和专用安全设施</w:t>
      </w:r>
      <w:r>
        <w:rPr>
          <w:rFonts w:hint="default" w:ascii="Times New Roman" w:hAnsi="Times New Roman" w:cs="Times New Roman"/>
          <w:snapToGrid w:val="0"/>
          <w:kern w:val="0"/>
          <w:sz w:val="28"/>
          <w:lang w:val="sq-AL"/>
        </w:rPr>
        <w:t>。</w:t>
      </w:r>
    </w:p>
    <w:p w14:paraId="7C81B468">
      <w:pPr>
        <w:spacing w:line="360" w:lineRule="auto"/>
        <w:ind w:firstLine="560" w:firstLineChars="200"/>
        <w:rPr>
          <w:rFonts w:hint="default" w:ascii="Times New Roman" w:hAnsi="Times New Roman" w:cs="Times New Roman"/>
          <w:snapToGrid w:val="0"/>
          <w:kern w:val="0"/>
          <w:sz w:val="28"/>
        </w:rPr>
      </w:pPr>
      <w:r>
        <w:rPr>
          <w:rFonts w:hint="default" w:ascii="Times New Roman" w:hAnsi="Times New Roman" w:cs="Times New Roman"/>
          <w:snapToGrid w:val="0"/>
          <w:kern w:val="0"/>
          <w:sz w:val="28"/>
        </w:rPr>
        <w:t>说明：</w:t>
      </w:r>
      <w:r>
        <w:rPr>
          <w:rFonts w:hint="default" w:ascii="Times New Roman" w:hAnsi="Times New Roman" w:cs="Times New Roman"/>
          <w:snapToGrid w:val="0"/>
          <w:kern w:val="0"/>
          <w:sz w:val="28"/>
          <w:lang w:val="sq-AL"/>
        </w:rPr>
        <w:t>凡涉及本工程</w:t>
      </w:r>
      <w:r>
        <w:rPr>
          <w:rFonts w:hint="default" w:ascii="Times New Roman" w:hAnsi="Times New Roman" w:cs="Times New Roman"/>
          <w:snapToGrid w:val="0"/>
          <w:kern w:val="0"/>
          <w:sz w:val="28"/>
        </w:rPr>
        <w:t>的</w:t>
      </w:r>
      <w:r>
        <w:rPr>
          <w:rFonts w:hint="default" w:ascii="Times New Roman" w:hAnsi="Times New Roman" w:cs="Times New Roman"/>
          <w:sz w:val="28"/>
          <w:szCs w:val="28"/>
        </w:rPr>
        <w:t>外部运输安全、加油系统、</w:t>
      </w:r>
      <w:r>
        <w:rPr>
          <w:rFonts w:hint="default" w:ascii="Times New Roman" w:hAnsi="Times New Roman" w:cs="Times New Roman"/>
          <w:bCs/>
          <w:sz w:val="28"/>
          <w:szCs w:val="28"/>
        </w:rPr>
        <w:t>职业病及防治、环保、地质灾害评估</w:t>
      </w:r>
      <w:r>
        <w:rPr>
          <w:rFonts w:hint="eastAsia" w:cs="Times New Roman"/>
          <w:bCs/>
          <w:sz w:val="28"/>
          <w:szCs w:val="28"/>
          <w:lang w:val="en-US" w:eastAsia="zh-CN"/>
        </w:rPr>
        <w:t>等</w:t>
      </w:r>
      <w:r>
        <w:rPr>
          <w:rFonts w:hint="default" w:ascii="Times New Roman" w:hAnsi="Times New Roman" w:cs="Times New Roman"/>
          <w:bCs/>
          <w:sz w:val="28"/>
          <w:szCs w:val="28"/>
        </w:rPr>
        <w:t>问题</w:t>
      </w:r>
      <w:r>
        <w:rPr>
          <w:rFonts w:hint="default" w:ascii="Times New Roman" w:hAnsi="Times New Roman" w:cs="Times New Roman"/>
          <w:snapToGrid w:val="0"/>
          <w:kern w:val="0"/>
          <w:sz w:val="28"/>
          <w:lang w:val="sq-AL"/>
        </w:rPr>
        <w:t>，不在本次评价范围之内，但评价报告中会涉及相关内容，企业应执行国家相关法律、法规、标准和规范要求。</w:t>
      </w:r>
    </w:p>
    <w:p w14:paraId="3078EEFF">
      <w:pPr>
        <w:pStyle w:val="3"/>
        <w:spacing w:before="0" w:after="0" w:line="360" w:lineRule="auto"/>
        <w:jc w:val="center"/>
        <w:rPr>
          <w:rFonts w:hint="default" w:ascii="Times New Roman" w:hAnsi="Times New Roman" w:eastAsia="黑体" w:cs="Times New Roman"/>
          <w:sz w:val="30"/>
          <w:szCs w:val="30"/>
        </w:rPr>
      </w:pPr>
      <w:bookmarkStart w:id="77" w:name="_Toc23658"/>
      <w:bookmarkStart w:id="78" w:name="_Toc19602"/>
      <w:bookmarkStart w:id="79" w:name="_Toc18523"/>
      <w:bookmarkStart w:id="80" w:name="_Toc25939"/>
      <w:bookmarkStart w:id="81" w:name="_Toc32462"/>
      <w:bookmarkStart w:id="82" w:name="_Toc13282"/>
      <w:r>
        <w:rPr>
          <w:rFonts w:hint="default" w:ascii="Times New Roman" w:hAnsi="Times New Roman" w:eastAsia="黑体" w:cs="Times New Roman"/>
          <w:sz w:val="30"/>
          <w:szCs w:val="30"/>
        </w:rPr>
        <w:t>1.2评价依据</w:t>
      </w:r>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7"/>
      <w:bookmarkEnd w:id="78"/>
      <w:bookmarkEnd w:id="79"/>
      <w:bookmarkEnd w:id="80"/>
      <w:bookmarkEnd w:id="81"/>
      <w:bookmarkEnd w:id="82"/>
    </w:p>
    <w:p w14:paraId="17D643F7">
      <w:pPr>
        <w:pStyle w:val="4"/>
        <w:spacing w:before="0" w:after="0" w:line="360" w:lineRule="auto"/>
        <w:ind w:firstLine="562" w:firstLineChars="200"/>
        <w:rPr>
          <w:rFonts w:hint="default" w:ascii="Times New Roman" w:hAnsi="Times New Roman" w:eastAsia="黑体" w:cs="Times New Roman"/>
          <w:sz w:val="28"/>
          <w:szCs w:val="28"/>
        </w:rPr>
      </w:pPr>
      <w:bookmarkStart w:id="83" w:name="_Toc13220"/>
      <w:bookmarkStart w:id="84" w:name="_Toc28350"/>
      <w:bookmarkStart w:id="85" w:name="_Toc455997811"/>
      <w:bookmarkStart w:id="86" w:name="_Toc27765"/>
      <w:bookmarkStart w:id="87" w:name="_Toc30207"/>
      <w:bookmarkStart w:id="88" w:name="_Toc30500"/>
      <w:bookmarkStart w:id="89" w:name="_Toc14092"/>
      <w:bookmarkStart w:id="90" w:name="_Toc9236"/>
      <w:r>
        <w:rPr>
          <w:rFonts w:hint="default" w:ascii="Times New Roman" w:hAnsi="Times New Roman" w:eastAsia="黑体" w:cs="Times New Roman"/>
          <w:sz w:val="28"/>
          <w:szCs w:val="28"/>
        </w:rPr>
        <w:t>1.2.1</w:t>
      </w:r>
      <w:bookmarkEnd w:id="83"/>
      <w:bookmarkEnd w:id="84"/>
      <w:bookmarkEnd w:id="85"/>
      <w:bookmarkEnd w:id="86"/>
      <w:r>
        <w:rPr>
          <w:rFonts w:hint="default" w:ascii="Times New Roman" w:hAnsi="Times New Roman" w:eastAsia="黑体" w:cs="Times New Roman"/>
          <w:sz w:val="28"/>
          <w:szCs w:val="28"/>
        </w:rPr>
        <w:t>法律法规</w:t>
      </w:r>
      <w:bookmarkEnd w:id="87"/>
      <w:bookmarkEnd w:id="88"/>
      <w:bookmarkEnd w:id="89"/>
      <w:bookmarkEnd w:id="90"/>
    </w:p>
    <w:p w14:paraId="16AD0397">
      <w:pPr>
        <w:pStyle w:val="5"/>
        <w:spacing w:before="0" w:after="0" w:line="360" w:lineRule="auto"/>
        <w:ind w:firstLine="562" w:firstLineChars="200"/>
        <w:rPr>
          <w:rFonts w:hint="default" w:ascii="Times New Roman" w:hAnsi="Times New Roman" w:cs="Times New Roman"/>
        </w:rPr>
      </w:pPr>
      <w:r>
        <w:rPr>
          <w:rFonts w:hint="default" w:ascii="Times New Roman" w:hAnsi="Times New Roman" w:cs="Times New Roman"/>
        </w:rPr>
        <w:t>1.2.1.1 国家法律</w:t>
      </w:r>
    </w:p>
    <w:p w14:paraId="5C42BA5E">
      <w:pPr>
        <w:adjustRightInd w:val="0"/>
        <w:snapToGrid w:val="0"/>
        <w:spacing w:line="360" w:lineRule="auto"/>
        <w:ind w:firstLine="560" w:firstLineChars="200"/>
        <w:rPr>
          <w:rFonts w:hint="default" w:ascii="Times New Roman" w:hAnsi="Times New Roman" w:cs="Times New Roman"/>
          <w:sz w:val="28"/>
          <w:szCs w:val="28"/>
        </w:rPr>
      </w:pPr>
      <w:r>
        <w:rPr>
          <w:rFonts w:hint="default" w:ascii="Times New Roman" w:hAnsi="Times New Roman" w:cs="Times New Roman"/>
          <w:sz w:val="28"/>
          <w:szCs w:val="28"/>
        </w:rPr>
        <w:t>（1）《中华人民共和国安全生产法》（中华人民共和国主席令第七十号，2002年11月1日起施行；中华人民共和国主席令第八十八号，中华人民共和国第十三届全国人民代表大会常务委员会第二十九次会议于通过《全国人民代表大会常务委员会关于修改〈中华人民共和国安全生产法〉的决定》，自2021年9月1日起施行）；</w:t>
      </w:r>
    </w:p>
    <w:p w14:paraId="48B675D6">
      <w:pPr>
        <w:adjustRightInd w:val="0"/>
        <w:snapToGrid w:val="0"/>
        <w:spacing w:line="360" w:lineRule="auto"/>
        <w:ind w:firstLine="560" w:firstLineChars="200"/>
        <w:rPr>
          <w:rFonts w:hint="default" w:ascii="Times New Roman" w:hAnsi="Times New Roman" w:cs="Times New Roman"/>
          <w:sz w:val="28"/>
          <w:szCs w:val="28"/>
        </w:rPr>
      </w:pPr>
      <w:r>
        <w:rPr>
          <w:rFonts w:hint="default" w:ascii="Times New Roman" w:hAnsi="Times New Roman" w:cs="Times New Roman"/>
          <w:sz w:val="28"/>
          <w:szCs w:val="28"/>
        </w:rPr>
        <w:t>（2）《中华人民共和国矿产资源法》（中华人民共和国主席令第三十六号，1986年3月19日第六届全国人民代表大会常务委员会第十五次会议通过 根据1996年8月29日第八届全国人民代表大会常务委员会第二十一次会议《关于修改〈中华人民共和国矿产资源法〉的决定》第一次修正 根据2009年8月27日第十一届全国人民代表大会常务委员会第十次会议《关于修改部分法律的决定》第二次修正 2024年11月8日第十四届全国人民代表大会常务委员会第十二次会议修订，自2025年7月1日起施行）；</w:t>
      </w:r>
    </w:p>
    <w:p w14:paraId="6186AC7A">
      <w:pPr>
        <w:adjustRightInd w:val="0"/>
        <w:snapToGrid w:val="0"/>
        <w:spacing w:line="360" w:lineRule="auto"/>
        <w:ind w:firstLine="560" w:firstLineChars="200"/>
        <w:rPr>
          <w:rFonts w:hint="default" w:ascii="Times New Roman" w:hAnsi="Times New Roman" w:cs="Times New Roman"/>
          <w:sz w:val="28"/>
          <w:szCs w:val="28"/>
        </w:rPr>
      </w:pPr>
      <w:r>
        <w:rPr>
          <w:rFonts w:hint="default" w:ascii="Times New Roman" w:hAnsi="Times New Roman" w:cs="Times New Roman"/>
          <w:sz w:val="28"/>
          <w:szCs w:val="28"/>
        </w:rPr>
        <w:t>（3）《中华人民共和国矿山安全法》</w:t>
      </w:r>
      <w:r>
        <w:rPr>
          <w:rFonts w:hint="default" w:ascii="Times New Roman" w:hAnsi="Times New Roman" w:cs="Times New Roman"/>
          <w:sz w:val="28"/>
          <w:szCs w:val="28"/>
          <w:lang w:val="sq-AL"/>
        </w:rPr>
        <w:t>（中华人民共和国主席令第</w:t>
      </w:r>
      <w:r>
        <w:rPr>
          <w:rFonts w:hint="default" w:ascii="Times New Roman" w:hAnsi="Times New Roman" w:cs="Times New Roman"/>
          <w:sz w:val="28"/>
          <w:szCs w:val="28"/>
        </w:rPr>
        <w:t>六十五</w:t>
      </w:r>
      <w:r>
        <w:rPr>
          <w:rFonts w:hint="default" w:ascii="Times New Roman" w:hAnsi="Times New Roman" w:cs="Times New Roman"/>
          <w:sz w:val="28"/>
          <w:szCs w:val="28"/>
          <w:lang w:val="sq-AL"/>
        </w:rPr>
        <w:t>号，</w:t>
      </w:r>
      <w:r>
        <w:rPr>
          <w:rFonts w:hint="default" w:ascii="Times New Roman" w:hAnsi="Times New Roman" w:cs="Times New Roman"/>
          <w:sz w:val="28"/>
          <w:szCs w:val="28"/>
        </w:rPr>
        <w:t>自1993年5月1日起施行；</w:t>
      </w:r>
      <w:r>
        <w:rPr>
          <w:rFonts w:hint="default" w:ascii="Times New Roman" w:hAnsi="Times New Roman" w:cs="Times New Roman"/>
          <w:sz w:val="28"/>
          <w:szCs w:val="28"/>
          <w:lang w:val="sq-AL"/>
        </w:rPr>
        <w:t>中华人民共和国主席令第</w:t>
      </w:r>
      <w:r>
        <w:rPr>
          <w:rFonts w:hint="default" w:ascii="Times New Roman" w:hAnsi="Times New Roman" w:cs="Times New Roman"/>
          <w:sz w:val="28"/>
          <w:szCs w:val="28"/>
        </w:rPr>
        <w:t>十八</w:t>
      </w:r>
      <w:r>
        <w:rPr>
          <w:rFonts w:hint="default" w:ascii="Times New Roman" w:hAnsi="Times New Roman" w:cs="Times New Roman"/>
          <w:sz w:val="28"/>
          <w:szCs w:val="28"/>
          <w:lang w:val="sq-AL"/>
        </w:rPr>
        <w:t>号，根据2009年8月27日第十一届全国人民代表大会常务委员会第十次会议《全国人民代表大会常务委员会关于修改部分法律的决定》修正，自20</w:t>
      </w:r>
      <w:r>
        <w:rPr>
          <w:rFonts w:hint="default" w:ascii="Times New Roman" w:hAnsi="Times New Roman" w:cs="Times New Roman"/>
          <w:sz w:val="28"/>
          <w:szCs w:val="28"/>
        </w:rPr>
        <w:t>09</w:t>
      </w:r>
      <w:r>
        <w:rPr>
          <w:rFonts w:hint="default" w:ascii="Times New Roman" w:hAnsi="Times New Roman" w:cs="Times New Roman"/>
          <w:sz w:val="28"/>
          <w:szCs w:val="28"/>
          <w:lang w:val="sq-AL"/>
        </w:rPr>
        <w:t>年</w:t>
      </w:r>
      <w:r>
        <w:rPr>
          <w:rFonts w:hint="default" w:ascii="Times New Roman" w:hAnsi="Times New Roman" w:cs="Times New Roman"/>
          <w:sz w:val="28"/>
          <w:szCs w:val="28"/>
        </w:rPr>
        <w:t>8</w:t>
      </w:r>
      <w:r>
        <w:rPr>
          <w:rFonts w:hint="default" w:ascii="Times New Roman" w:hAnsi="Times New Roman" w:cs="Times New Roman"/>
          <w:sz w:val="28"/>
          <w:szCs w:val="28"/>
          <w:lang w:val="sq-AL"/>
        </w:rPr>
        <w:t>月</w:t>
      </w:r>
      <w:r>
        <w:rPr>
          <w:rFonts w:hint="default" w:ascii="Times New Roman" w:hAnsi="Times New Roman" w:cs="Times New Roman"/>
          <w:sz w:val="28"/>
          <w:szCs w:val="28"/>
        </w:rPr>
        <w:t>27</w:t>
      </w:r>
      <w:r>
        <w:rPr>
          <w:rFonts w:hint="default" w:ascii="Times New Roman" w:hAnsi="Times New Roman" w:cs="Times New Roman"/>
          <w:sz w:val="28"/>
          <w:szCs w:val="28"/>
          <w:lang w:val="sq-AL"/>
        </w:rPr>
        <w:t>日</w:t>
      </w:r>
      <w:r>
        <w:rPr>
          <w:rFonts w:hint="default" w:ascii="Times New Roman" w:hAnsi="Times New Roman" w:cs="Times New Roman"/>
          <w:sz w:val="28"/>
          <w:szCs w:val="28"/>
        </w:rPr>
        <w:t>起</w:t>
      </w:r>
      <w:r>
        <w:rPr>
          <w:rFonts w:hint="default" w:ascii="Times New Roman" w:hAnsi="Times New Roman" w:cs="Times New Roman"/>
          <w:sz w:val="28"/>
          <w:szCs w:val="28"/>
          <w:lang w:val="sq-AL"/>
        </w:rPr>
        <w:t>施行）</w:t>
      </w:r>
      <w:r>
        <w:rPr>
          <w:rFonts w:hint="default" w:ascii="Times New Roman" w:hAnsi="Times New Roman" w:cs="Times New Roman"/>
          <w:sz w:val="28"/>
          <w:szCs w:val="28"/>
        </w:rPr>
        <w:t>；</w:t>
      </w:r>
    </w:p>
    <w:p w14:paraId="528E3BCB">
      <w:pPr>
        <w:adjustRightInd w:val="0"/>
        <w:snapToGrid w:val="0"/>
        <w:spacing w:line="360" w:lineRule="auto"/>
        <w:ind w:firstLine="560" w:firstLineChars="200"/>
        <w:rPr>
          <w:rFonts w:hint="default" w:ascii="Times New Roman" w:hAnsi="Times New Roman" w:cs="Times New Roman"/>
          <w:sz w:val="28"/>
          <w:szCs w:val="28"/>
        </w:rPr>
      </w:pPr>
      <w:r>
        <w:rPr>
          <w:rFonts w:hint="default" w:ascii="Times New Roman" w:hAnsi="Times New Roman" w:cs="Times New Roman"/>
          <w:sz w:val="28"/>
          <w:szCs w:val="28"/>
        </w:rPr>
        <w:t>（4）</w:t>
      </w:r>
      <w:r>
        <w:rPr>
          <w:rFonts w:hint="default" w:ascii="Times New Roman" w:hAnsi="Times New Roman" w:cs="Times New Roman"/>
          <w:sz w:val="28"/>
          <w:szCs w:val="28"/>
          <w:lang w:val="sq-AL"/>
        </w:rPr>
        <w:t>《中华人民共和国劳动法》（中华人民共和国主席令</w:t>
      </w:r>
      <w:r>
        <w:rPr>
          <w:rFonts w:hint="default" w:ascii="Times New Roman" w:hAnsi="Times New Roman" w:cs="Times New Roman"/>
          <w:sz w:val="28"/>
          <w:szCs w:val="28"/>
        </w:rPr>
        <w:t>第二十八</w:t>
      </w:r>
      <w:r>
        <w:rPr>
          <w:rFonts w:hint="default" w:ascii="Times New Roman" w:hAnsi="Times New Roman" w:cs="Times New Roman"/>
          <w:sz w:val="28"/>
          <w:szCs w:val="28"/>
          <w:lang w:val="sq-AL"/>
        </w:rPr>
        <w:t>号，199</w:t>
      </w:r>
      <w:r>
        <w:rPr>
          <w:rFonts w:hint="default" w:ascii="Times New Roman" w:hAnsi="Times New Roman" w:cs="Times New Roman"/>
          <w:sz w:val="28"/>
          <w:szCs w:val="28"/>
        </w:rPr>
        <w:t>5</w:t>
      </w:r>
      <w:r>
        <w:rPr>
          <w:rFonts w:hint="default" w:ascii="Times New Roman" w:hAnsi="Times New Roman" w:cs="Times New Roman"/>
          <w:sz w:val="28"/>
          <w:szCs w:val="28"/>
          <w:lang w:val="sq-AL"/>
        </w:rPr>
        <w:t>年</w:t>
      </w:r>
      <w:r>
        <w:rPr>
          <w:rFonts w:hint="default" w:ascii="Times New Roman" w:hAnsi="Times New Roman" w:cs="Times New Roman"/>
          <w:sz w:val="28"/>
          <w:szCs w:val="28"/>
        </w:rPr>
        <w:t>1</w:t>
      </w:r>
      <w:r>
        <w:rPr>
          <w:rFonts w:hint="default" w:ascii="Times New Roman" w:hAnsi="Times New Roman" w:cs="Times New Roman"/>
          <w:sz w:val="28"/>
          <w:szCs w:val="28"/>
          <w:lang w:val="sq-AL"/>
        </w:rPr>
        <w:t>月</w:t>
      </w:r>
      <w:r>
        <w:rPr>
          <w:rFonts w:hint="default" w:ascii="Times New Roman" w:hAnsi="Times New Roman" w:cs="Times New Roman"/>
          <w:sz w:val="28"/>
          <w:szCs w:val="28"/>
        </w:rPr>
        <w:t>1</w:t>
      </w:r>
      <w:r>
        <w:rPr>
          <w:rFonts w:hint="default" w:ascii="Times New Roman" w:hAnsi="Times New Roman" w:cs="Times New Roman"/>
          <w:sz w:val="28"/>
          <w:szCs w:val="28"/>
          <w:lang w:val="sq-AL"/>
        </w:rPr>
        <w:t>日</w:t>
      </w:r>
      <w:r>
        <w:rPr>
          <w:rFonts w:hint="default" w:ascii="Times New Roman" w:hAnsi="Times New Roman" w:cs="Times New Roman"/>
          <w:sz w:val="28"/>
          <w:szCs w:val="28"/>
        </w:rPr>
        <w:t>起实施</w:t>
      </w:r>
      <w:r>
        <w:rPr>
          <w:rFonts w:hint="default" w:ascii="Times New Roman" w:hAnsi="Times New Roman" w:cs="Times New Roman"/>
          <w:sz w:val="28"/>
          <w:szCs w:val="28"/>
          <w:lang w:val="sq-AL"/>
        </w:rPr>
        <w:t>；根据2018年12月29日第十三届全国人民代表大会常务委员会第七次会议《关于修改〈中华人民共和国劳动法〉等七部法律的决定》第二次修正，</w:t>
      </w:r>
      <w:r>
        <w:rPr>
          <w:rFonts w:hint="default" w:ascii="Times New Roman" w:hAnsi="Times New Roman" w:cs="Times New Roman"/>
          <w:sz w:val="28"/>
          <w:szCs w:val="28"/>
        </w:rPr>
        <w:t>自</w:t>
      </w:r>
      <w:r>
        <w:rPr>
          <w:rFonts w:hint="default" w:ascii="Times New Roman" w:hAnsi="Times New Roman" w:cs="Times New Roman"/>
          <w:sz w:val="28"/>
          <w:szCs w:val="28"/>
          <w:lang w:val="sq-AL"/>
        </w:rPr>
        <w:t>2018年12月29日</w:t>
      </w:r>
      <w:r>
        <w:rPr>
          <w:rFonts w:hint="default" w:ascii="Times New Roman" w:hAnsi="Times New Roman" w:cs="Times New Roman"/>
          <w:sz w:val="28"/>
          <w:szCs w:val="28"/>
        </w:rPr>
        <w:t>起施行</w:t>
      </w:r>
      <w:r>
        <w:rPr>
          <w:rFonts w:hint="default" w:ascii="Times New Roman" w:hAnsi="Times New Roman" w:cs="Times New Roman"/>
          <w:sz w:val="28"/>
          <w:szCs w:val="28"/>
          <w:lang w:val="sq-AL"/>
        </w:rPr>
        <w:t>）</w:t>
      </w:r>
      <w:r>
        <w:rPr>
          <w:rFonts w:hint="default" w:ascii="Times New Roman" w:hAnsi="Times New Roman" w:cs="Times New Roman"/>
          <w:sz w:val="28"/>
          <w:szCs w:val="28"/>
        </w:rPr>
        <w:t>；</w:t>
      </w:r>
    </w:p>
    <w:p w14:paraId="280B28CE">
      <w:pPr>
        <w:adjustRightInd w:val="0"/>
        <w:snapToGrid w:val="0"/>
        <w:spacing w:line="360" w:lineRule="auto"/>
        <w:ind w:firstLine="560" w:firstLineChars="200"/>
        <w:rPr>
          <w:rFonts w:hint="default" w:ascii="Times New Roman" w:hAnsi="Times New Roman" w:cs="Times New Roman"/>
          <w:sz w:val="28"/>
          <w:szCs w:val="28"/>
        </w:rPr>
      </w:pPr>
      <w:r>
        <w:rPr>
          <w:rFonts w:hint="default" w:ascii="Times New Roman" w:hAnsi="Times New Roman" w:cs="Times New Roman"/>
          <w:sz w:val="28"/>
          <w:szCs w:val="28"/>
        </w:rPr>
        <w:t>（5）</w:t>
      </w:r>
      <w:r>
        <w:rPr>
          <w:rFonts w:hint="default" w:ascii="Times New Roman" w:hAnsi="Times New Roman" w:cs="Times New Roman"/>
          <w:sz w:val="28"/>
          <w:szCs w:val="28"/>
          <w:lang w:val="sq-AL"/>
        </w:rPr>
        <w:t>《</w:t>
      </w:r>
      <w:bookmarkStart w:id="91" w:name="OLE_LINK12"/>
      <w:r>
        <w:rPr>
          <w:rFonts w:hint="default" w:ascii="Times New Roman" w:hAnsi="Times New Roman" w:cs="Times New Roman"/>
          <w:sz w:val="28"/>
          <w:szCs w:val="28"/>
          <w:lang w:val="sq-AL"/>
        </w:rPr>
        <w:t>中华人民共和国消防法</w:t>
      </w:r>
      <w:bookmarkEnd w:id="91"/>
      <w:r>
        <w:rPr>
          <w:rFonts w:hint="default" w:ascii="Times New Roman" w:hAnsi="Times New Roman" w:cs="Times New Roman"/>
          <w:sz w:val="28"/>
          <w:szCs w:val="28"/>
          <w:lang w:val="sq-AL"/>
        </w:rPr>
        <w:t>》（中华人民共和国主席令第</w:t>
      </w:r>
      <w:r>
        <w:rPr>
          <w:rFonts w:hint="default" w:ascii="Times New Roman" w:hAnsi="Times New Roman" w:cs="Times New Roman"/>
          <w:sz w:val="28"/>
          <w:szCs w:val="28"/>
        </w:rPr>
        <w:t>八十一</w:t>
      </w:r>
      <w:r>
        <w:rPr>
          <w:rFonts w:hint="default" w:ascii="Times New Roman" w:hAnsi="Times New Roman" w:cs="Times New Roman"/>
          <w:sz w:val="28"/>
          <w:szCs w:val="28"/>
          <w:lang w:val="sq-AL"/>
        </w:rPr>
        <w:t>号，根据20</w:t>
      </w:r>
      <w:r>
        <w:rPr>
          <w:rFonts w:hint="default" w:ascii="Times New Roman" w:hAnsi="Times New Roman" w:cs="Times New Roman"/>
          <w:sz w:val="28"/>
          <w:szCs w:val="28"/>
        </w:rPr>
        <w:t>21</w:t>
      </w:r>
      <w:r>
        <w:rPr>
          <w:rFonts w:hint="default" w:ascii="Times New Roman" w:hAnsi="Times New Roman" w:cs="Times New Roman"/>
          <w:sz w:val="28"/>
          <w:szCs w:val="28"/>
          <w:lang w:val="sq-AL"/>
        </w:rPr>
        <w:t>年4月2</w:t>
      </w:r>
      <w:r>
        <w:rPr>
          <w:rFonts w:hint="default" w:ascii="Times New Roman" w:hAnsi="Times New Roman" w:cs="Times New Roman"/>
          <w:sz w:val="28"/>
          <w:szCs w:val="28"/>
        </w:rPr>
        <w:t>9</w:t>
      </w:r>
      <w:r>
        <w:rPr>
          <w:rFonts w:hint="default" w:ascii="Times New Roman" w:hAnsi="Times New Roman" w:cs="Times New Roman"/>
          <w:sz w:val="28"/>
          <w:szCs w:val="28"/>
          <w:lang w:val="sq-AL"/>
        </w:rPr>
        <w:t>日第十三届全国人民代表大会常务委员会第</w:t>
      </w:r>
      <w:r>
        <w:rPr>
          <w:rFonts w:hint="default" w:ascii="Times New Roman" w:hAnsi="Times New Roman" w:cs="Times New Roman"/>
          <w:sz w:val="28"/>
          <w:szCs w:val="28"/>
        </w:rPr>
        <w:t>二</w:t>
      </w:r>
      <w:r>
        <w:rPr>
          <w:rFonts w:hint="default" w:ascii="Times New Roman" w:hAnsi="Times New Roman" w:cs="Times New Roman"/>
          <w:sz w:val="28"/>
          <w:szCs w:val="28"/>
          <w:lang w:val="sq-AL"/>
        </w:rPr>
        <w:t>十</w:t>
      </w:r>
      <w:r>
        <w:rPr>
          <w:rFonts w:hint="default" w:ascii="Times New Roman" w:hAnsi="Times New Roman" w:cs="Times New Roman"/>
          <w:sz w:val="28"/>
          <w:szCs w:val="28"/>
        </w:rPr>
        <w:t>八</w:t>
      </w:r>
      <w:r>
        <w:rPr>
          <w:rFonts w:hint="default" w:ascii="Times New Roman" w:hAnsi="Times New Roman" w:cs="Times New Roman"/>
          <w:sz w:val="28"/>
          <w:szCs w:val="28"/>
          <w:lang w:val="sq-AL"/>
        </w:rPr>
        <w:t>次会议</w:t>
      </w:r>
      <w:r>
        <w:rPr>
          <w:rFonts w:hint="default" w:ascii="Times New Roman" w:hAnsi="Times New Roman" w:cs="Times New Roman"/>
          <w:sz w:val="28"/>
          <w:szCs w:val="28"/>
        </w:rPr>
        <w:t>通过</w:t>
      </w:r>
      <w:r>
        <w:rPr>
          <w:rFonts w:hint="default" w:ascii="Times New Roman" w:hAnsi="Times New Roman" w:cs="Times New Roman"/>
          <w:sz w:val="28"/>
          <w:szCs w:val="28"/>
          <w:lang w:val="sq-AL"/>
        </w:rPr>
        <w:t>《全国人民代表大会常务委员会关于修改〈中华人民共和国道路交通安全法〉等八部法律的决定》，</w:t>
      </w:r>
      <w:r>
        <w:rPr>
          <w:rFonts w:hint="default" w:ascii="Times New Roman" w:hAnsi="Times New Roman" w:cs="Times New Roman"/>
          <w:sz w:val="28"/>
          <w:szCs w:val="28"/>
        </w:rPr>
        <w:t>2021年4月29日实施</w:t>
      </w:r>
      <w:r>
        <w:rPr>
          <w:rFonts w:hint="default" w:ascii="Times New Roman" w:hAnsi="Times New Roman" w:cs="Times New Roman"/>
          <w:sz w:val="28"/>
          <w:szCs w:val="28"/>
          <w:lang w:val="sq-AL"/>
        </w:rPr>
        <w:t>）</w:t>
      </w:r>
      <w:r>
        <w:rPr>
          <w:rFonts w:hint="default" w:ascii="Times New Roman" w:hAnsi="Times New Roman" w:cs="Times New Roman"/>
          <w:sz w:val="28"/>
          <w:szCs w:val="28"/>
        </w:rPr>
        <w:t>；</w:t>
      </w:r>
    </w:p>
    <w:p w14:paraId="4ED02737">
      <w:pPr>
        <w:adjustRightInd w:val="0"/>
        <w:snapToGrid w:val="0"/>
        <w:spacing w:line="360" w:lineRule="auto"/>
        <w:ind w:firstLine="560" w:firstLineChars="200"/>
        <w:rPr>
          <w:rFonts w:hint="default" w:ascii="Times New Roman" w:hAnsi="Times New Roman" w:cs="Times New Roman"/>
          <w:sz w:val="28"/>
          <w:szCs w:val="28"/>
        </w:rPr>
      </w:pPr>
      <w:r>
        <w:rPr>
          <w:rFonts w:hint="default" w:ascii="Times New Roman" w:hAnsi="Times New Roman" w:cs="Times New Roman"/>
          <w:sz w:val="28"/>
          <w:szCs w:val="28"/>
        </w:rPr>
        <w:t>（6）《</w:t>
      </w:r>
      <w:bookmarkStart w:id="92" w:name="OLE_LINK17"/>
      <w:r>
        <w:rPr>
          <w:rFonts w:hint="default" w:ascii="Times New Roman" w:hAnsi="Times New Roman" w:cs="Times New Roman"/>
          <w:sz w:val="28"/>
          <w:szCs w:val="28"/>
        </w:rPr>
        <w:t>中华人民共和国特种设备安全法</w:t>
      </w:r>
      <w:bookmarkEnd w:id="92"/>
      <w:r>
        <w:rPr>
          <w:rFonts w:hint="default" w:ascii="Times New Roman" w:hAnsi="Times New Roman" w:cs="Times New Roman"/>
          <w:sz w:val="28"/>
          <w:szCs w:val="28"/>
        </w:rPr>
        <w:t>》（中华人民共和国主席令第四号，2014年1月1日起施行）；</w:t>
      </w:r>
    </w:p>
    <w:p w14:paraId="6B95DCB9">
      <w:pPr>
        <w:adjustRightInd w:val="0"/>
        <w:snapToGrid w:val="0"/>
        <w:spacing w:line="360" w:lineRule="auto"/>
        <w:ind w:firstLine="560" w:firstLineChars="200"/>
        <w:rPr>
          <w:rFonts w:hint="default" w:ascii="Times New Roman" w:hAnsi="Times New Roman" w:cs="Times New Roman"/>
          <w:sz w:val="28"/>
          <w:szCs w:val="28"/>
          <w:lang w:val="sq-AL"/>
        </w:rPr>
      </w:pPr>
      <w:r>
        <w:rPr>
          <w:rFonts w:hint="default" w:ascii="Times New Roman" w:hAnsi="Times New Roman" w:cs="Times New Roman"/>
          <w:sz w:val="28"/>
          <w:szCs w:val="28"/>
          <w:lang w:val="sq-AL"/>
        </w:rPr>
        <w:t>（7）</w:t>
      </w:r>
      <w:r>
        <w:rPr>
          <w:rFonts w:hint="default" w:ascii="Times New Roman" w:hAnsi="Times New Roman" w:cs="Times New Roman"/>
          <w:sz w:val="28"/>
          <w:szCs w:val="28"/>
        </w:rPr>
        <w:t>《中华人民共和国职业病防治法》（</w:t>
      </w:r>
      <w:r>
        <w:rPr>
          <w:rFonts w:hint="default" w:ascii="Times New Roman" w:hAnsi="Times New Roman" w:cs="Times New Roman"/>
          <w:sz w:val="28"/>
          <w:szCs w:val="28"/>
          <w:lang w:val="sq-AL"/>
        </w:rPr>
        <w:t>中华人民共和国主席令第</w:t>
      </w:r>
      <w:r>
        <w:rPr>
          <w:rFonts w:hint="default" w:ascii="Times New Roman" w:hAnsi="Times New Roman" w:cs="Times New Roman"/>
          <w:sz w:val="28"/>
          <w:szCs w:val="28"/>
        </w:rPr>
        <w:t>六十</w:t>
      </w:r>
      <w:r>
        <w:rPr>
          <w:rFonts w:hint="default" w:ascii="Times New Roman" w:hAnsi="Times New Roman" w:cs="Times New Roman"/>
          <w:sz w:val="28"/>
          <w:szCs w:val="28"/>
          <w:lang w:val="sq-AL"/>
        </w:rPr>
        <w:t>号，自2002年5月1日起施行；2018年12月29日第十三届全国人民代表大会常务委员会第七次会议《关于修改等七部法律的决定》第四次修正，2018年12月30日起施行</w:t>
      </w:r>
      <w:r>
        <w:rPr>
          <w:rFonts w:hint="default" w:ascii="Times New Roman" w:hAnsi="Times New Roman" w:cs="Times New Roman"/>
          <w:sz w:val="28"/>
          <w:szCs w:val="28"/>
        </w:rPr>
        <w:t>）；</w:t>
      </w:r>
    </w:p>
    <w:p w14:paraId="6389188A">
      <w:pPr>
        <w:adjustRightInd w:val="0"/>
        <w:snapToGrid w:val="0"/>
        <w:spacing w:line="360" w:lineRule="auto"/>
        <w:ind w:firstLine="560" w:firstLineChars="200"/>
        <w:rPr>
          <w:rFonts w:hint="default" w:ascii="Times New Roman" w:hAnsi="Times New Roman" w:cs="Times New Roman"/>
          <w:sz w:val="28"/>
          <w:szCs w:val="28"/>
          <w:lang w:val="sq-AL"/>
        </w:rPr>
      </w:pPr>
      <w:r>
        <w:rPr>
          <w:rFonts w:hint="default" w:ascii="Times New Roman" w:hAnsi="Times New Roman" w:cs="Times New Roman"/>
          <w:sz w:val="28"/>
          <w:szCs w:val="28"/>
          <w:lang w:val="sq-AL"/>
        </w:rPr>
        <w:t>（8）</w:t>
      </w:r>
      <w:r>
        <w:rPr>
          <w:rFonts w:hint="default" w:ascii="Times New Roman" w:hAnsi="Times New Roman" w:cs="Times New Roman"/>
          <w:sz w:val="28"/>
          <w:szCs w:val="28"/>
        </w:rPr>
        <w:t>《中华人民共和国突发事件应对法》（中华人民共和国主席令第六十九号，2007年11月1日起施行；中华人民共和国主席令第二十五号，2024年6月28日第十四届全国人民代表大会常务委员会第十次会议修订，2024年11月1日起施行）；</w:t>
      </w:r>
    </w:p>
    <w:p w14:paraId="67AD5FE1">
      <w:pPr>
        <w:adjustRightInd w:val="0"/>
        <w:snapToGrid w:val="0"/>
        <w:spacing w:line="360" w:lineRule="auto"/>
        <w:ind w:firstLine="560" w:firstLineChars="200"/>
        <w:rPr>
          <w:rFonts w:hint="default" w:ascii="Times New Roman" w:hAnsi="Times New Roman" w:cs="Times New Roman"/>
          <w:sz w:val="28"/>
          <w:szCs w:val="28"/>
          <w:lang w:val="sq-AL"/>
        </w:rPr>
      </w:pPr>
      <w:r>
        <w:rPr>
          <w:rFonts w:hint="default" w:ascii="Times New Roman" w:hAnsi="Times New Roman" w:cs="Times New Roman"/>
          <w:sz w:val="28"/>
          <w:szCs w:val="28"/>
          <w:lang w:val="sq-AL"/>
        </w:rPr>
        <w:t>（9）《中华人民共和国道路交通安全法》（根据2021年4月29日第十三届全国人民代表大会常务委员会第二十八次会议《关于修改〈中华人民共和国道路交通安全法〉等八部法律的决定》第三次修正）。</w:t>
      </w:r>
    </w:p>
    <w:p w14:paraId="7000DD09">
      <w:pPr>
        <w:pStyle w:val="5"/>
        <w:spacing w:before="0" w:after="0" w:line="360" w:lineRule="auto"/>
        <w:ind w:firstLine="562" w:firstLineChars="200"/>
        <w:rPr>
          <w:rFonts w:hint="default" w:ascii="Times New Roman" w:hAnsi="Times New Roman" w:cs="Times New Roman"/>
        </w:rPr>
      </w:pPr>
      <w:r>
        <w:rPr>
          <w:rFonts w:hint="default" w:ascii="Times New Roman" w:hAnsi="Times New Roman" w:cs="Times New Roman"/>
        </w:rPr>
        <w:t>1.2.1.2 行政法规</w:t>
      </w:r>
    </w:p>
    <w:p w14:paraId="7CD0F18C">
      <w:pPr>
        <w:numPr>
          <w:ilvl w:val="0"/>
          <w:numId w:val="5"/>
        </w:numPr>
        <w:adjustRightInd w:val="0"/>
        <w:snapToGrid w:val="0"/>
        <w:spacing w:line="360" w:lineRule="auto"/>
        <w:ind w:firstLine="560" w:firstLineChars="200"/>
        <w:rPr>
          <w:rFonts w:hint="default" w:ascii="Times New Roman" w:hAnsi="Times New Roman" w:cs="Times New Roman"/>
          <w:sz w:val="28"/>
          <w:szCs w:val="20"/>
        </w:rPr>
      </w:pPr>
      <w:bookmarkStart w:id="93" w:name="_Hlk501312820"/>
      <w:bookmarkStart w:id="94" w:name="_Toc17374"/>
      <w:bookmarkStart w:id="95" w:name="_Toc16238654"/>
      <w:r>
        <w:rPr>
          <w:rFonts w:hint="default" w:ascii="Times New Roman" w:hAnsi="Times New Roman" w:cs="Times New Roman"/>
          <w:sz w:val="28"/>
          <w:szCs w:val="20"/>
        </w:rPr>
        <w:t>《中华人民共和国矿产资源法实施细则》（国务院令第152号，1994年3月26日施行）；</w:t>
      </w:r>
    </w:p>
    <w:p w14:paraId="443C1605">
      <w:pPr>
        <w:numPr>
          <w:ilvl w:val="0"/>
          <w:numId w:val="5"/>
        </w:numPr>
        <w:adjustRightInd w:val="0"/>
        <w:snapToGrid w:val="0"/>
        <w:spacing w:line="360" w:lineRule="auto"/>
        <w:ind w:firstLine="560" w:firstLineChars="200"/>
        <w:rPr>
          <w:rFonts w:hint="default" w:ascii="Times New Roman" w:hAnsi="Times New Roman" w:cs="Times New Roman"/>
          <w:sz w:val="28"/>
          <w:szCs w:val="20"/>
          <w:lang w:val="sq-AL"/>
        </w:rPr>
      </w:pPr>
      <w:r>
        <w:rPr>
          <w:rFonts w:hint="default" w:ascii="Times New Roman" w:hAnsi="Times New Roman" w:cs="Times New Roman"/>
          <w:sz w:val="28"/>
          <w:szCs w:val="20"/>
          <w:lang w:val="sq-AL"/>
        </w:rPr>
        <w:t>《中华人民共和国矿山安全法实施条例》（中华人民共和国劳动部令第4号，1996年10月30日施行）；</w:t>
      </w:r>
    </w:p>
    <w:p w14:paraId="4BEA0689">
      <w:pPr>
        <w:numPr>
          <w:ilvl w:val="0"/>
          <w:numId w:val="5"/>
        </w:numPr>
        <w:adjustRightInd w:val="0"/>
        <w:snapToGrid w:val="0"/>
        <w:spacing w:line="360" w:lineRule="auto"/>
        <w:ind w:firstLine="560" w:firstLineChars="200"/>
        <w:rPr>
          <w:rFonts w:hint="default" w:ascii="Times New Roman" w:hAnsi="Times New Roman" w:cs="Times New Roman"/>
          <w:sz w:val="28"/>
          <w:szCs w:val="20"/>
          <w:lang w:val="sq-AL"/>
        </w:rPr>
      </w:pPr>
      <w:r>
        <w:rPr>
          <w:rFonts w:hint="default" w:ascii="Times New Roman" w:hAnsi="Times New Roman" w:cs="Times New Roman"/>
          <w:sz w:val="28"/>
          <w:szCs w:val="20"/>
          <w:lang w:val="sq-AL"/>
        </w:rPr>
        <w:t>《建设工程安全生产管理条例》（中华人民共和国国务院令第393号，2003年11月12日国务院第28次常务会议通过，自2004年2月1日起施行）；</w:t>
      </w:r>
    </w:p>
    <w:p w14:paraId="61E5FB9B">
      <w:pPr>
        <w:numPr>
          <w:ilvl w:val="0"/>
          <w:numId w:val="5"/>
        </w:numPr>
        <w:adjustRightInd w:val="0"/>
        <w:snapToGrid w:val="0"/>
        <w:spacing w:line="360" w:lineRule="auto"/>
        <w:ind w:firstLine="560" w:firstLineChars="200"/>
        <w:rPr>
          <w:rFonts w:hint="default" w:ascii="Times New Roman" w:hAnsi="Times New Roman" w:cs="Times New Roman"/>
          <w:sz w:val="28"/>
          <w:szCs w:val="20"/>
          <w:lang w:val="sq-AL"/>
        </w:rPr>
      </w:pPr>
      <w:r>
        <w:rPr>
          <w:rFonts w:hint="default" w:ascii="Times New Roman" w:hAnsi="Times New Roman" w:cs="Times New Roman"/>
          <w:sz w:val="28"/>
          <w:szCs w:val="20"/>
          <w:lang w:val="sq-AL"/>
        </w:rPr>
        <w:t>《地质灾害防治条例》（中华人民共和国国务院令第394号，自2004年3月1日起施行）；</w:t>
      </w:r>
    </w:p>
    <w:p w14:paraId="1206506F">
      <w:pPr>
        <w:numPr>
          <w:ilvl w:val="0"/>
          <w:numId w:val="5"/>
        </w:numPr>
        <w:adjustRightInd w:val="0"/>
        <w:snapToGrid w:val="0"/>
        <w:spacing w:line="360" w:lineRule="auto"/>
        <w:ind w:firstLine="560" w:firstLineChars="200"/>
        <w:rPr>
          <w:rFonts w:hint="default" w:ascii="Times New Roman" w:hAnsi="Times New Roman" w:cs="Times New Roman"/>
          <w:sz w:val="28"/>
          <w:szCs w:val="20"/>
          <w:lang w:val="sq-AL"/>
        </w:rPr>
      </w:pPr>
      <w:r>
        <w:rPr>
          <w:rFonts w:hint="default" w:ascii="Times New Roman" w:hAnsi="Times New Roman" w:cs="Times New Roman"/>
          <w:sz w:val="28"/>
          <w:szCs w:val="20"/>
          <w:lang w:val="sq-AL"/>
        </w:rPr>
        <w:t>《生产安全事故报告和调查处理条例》（中华人民共和国国务院令第493号，2007年6月1日起施行）；</w:t>
      </w:r>
    </w:p>
    <w:p w14:paraId="76D595C5">
      <w:pPr>
        <w:numPr>
          <w:ilvl w:val="0"/>
          <w:numId w:val="5"/>
        </w:numPr>
        <w:adjustRightInd w:val="0"/>
        <w:snapToGrid w:val="0"/>
        <w:spacing w:line="360" w:lineRule="auto"/>
        <w:ind w:firstLine="560" w:firstLineChars="200"/>
        <w:rPr>
          <w:rFonts w:hint="default" w:ascii="Times New Roman" w:hAnsi="Times New Roman" w:cs="Times New Roman"/>
          <w:sz w:val="28"/>
          <w:szCs w:val="20"/>
          <w:lang w:val="sq-AL"/>
        </w:rPr>
      </w:pPr>
      <w:r>
        <w:rPr>
          <w:rFonts w:hint="default" w:ascii="Times New Roman" w:hAnsi="Times New Roman" w:cs="Times New Roman"/>
          <w:sz w:val="28"/>
          <w:szCs w:val="20"/>
          <w:lang w:val="sq-AL"/>
        </w:rPr>
        <w:t>《特种设备安全监察条例》（中华人民共和国国务院令第549号修订，2009年5月1日起施行）；</w:t>
      </w:r>
    </w:p>
    <w:p w14:paraId="4FD4FD43">
      <w:pPr>
        <w:numPr>
          <w:ilvl w:val="0"/>
          <w:numId w:val="5"/>
        </w:numPr>
        <w:adjustRightInd w:val="0"/>
        <w:snapToGrid w:val="0"/>
        <w:spacing w:line="360" w:lineRule="auto"/>
        <w:ind w:firstLine="560" w:firstLineChars="200"/>
        <w:rPr>
          <w:rFonts w:hint="default" w:ascii="Times New Roman" w:hAnsi="Times New Roman" w:cs="Times New Roman"/>
          <w:sz w:val="28"/>
          <w:szCs w:val="20"/>
          <w:lang w:val="sq-AL"/>
        </w:rPr>
      </w:pPr>
      <w:r>
        <w:rPr>
          <w:rFonts w:hint="default" w:ascii="Times New Roman" w:hAnsi="Times New Roman" w:cs="Times New Roman"/>
          <w:sz w:val="28"/>
          <w:szCs w:val="20"/>
          <w:lang w:val="sq-AL"/>
        </w:rPr>
        <w:t>《工伤保险条例》（中华人民共和国国务院令〔2011〕586号，2011年1月1日起施行）；</w:t>
      </w:r>
    </w:p>
    <w:p w14:paraId="36DAFBF8">
      <w:pPr>
        <w:numPr>
          <w:ilvl w:val="0"/>
          <w:numId w:val="5"/>
        </w:numPr>
        <w:adjustRightInd w:val="0"/>
        <w:snapToGrid w:val="0"/>
        <w:spacing w:line="360" w:lineRule="auto"/>
        <w:ind w:firstLine="560" w:firstLineChars="200"/>
        <w:rPr>
          <w:rFonts w:hint="default" w:ascii="Times New Roman" w:hAnsi="Times New Roman" w:cs="Times New Roman"/>
          <w:sz w:val="28"/>
          <w:szCs w:val="20"/>
          <w:lang w:val="sq-AL"/>
        </w:rPr>
      </w:pPr>
      <w:r>
        <w:rPr>
          <w:rFonts w:hint="default" w:ascii="Times New Roman" w:hAnsi="Times New Roman" w:cs="Times New Roman"/>
          <w:sz w:val="28"/>
          <w:szCs w:val="20"/>
          <w:lang w:val="sq-AL"/>
        </w:rPr>
        <w:t>《电力设施保护条例》（</w:t>
      </w:r>
      <w:r>
        <w:rPr>
          <w:rFonts w:hint="default" w:ascii="Times New Roman" w:hAnsi="Times New Roman" w:cs="Times New Roman"/>
          <w:sz w:val="28"/>
          <w:szCs w:val="20"/>
          <w:lang w:val="sq-AL"/>
        </w:rPr>
        <w:fldChar w:fldCharType="begin"/>
      </w:r>
      <w:r>
        <w:rPr>
          <w:rFonts w:hint="default" w:ascii="Times New Roman" w:hAnsi="Times New Roman" w:cs="Times New Roman"/>
          <w:sz w:val="28"/>
          <w:szCs w:val="20"/>
          <w:lang w:val="sq-AL"/>
        </w:rPr>
        <w:instrText xml:space="preserve"> HYPERLINK "https://baike.so.com/doc/6420484-6634156.html" \t "https://baike.so.com/doc/_blank" </w:instrText>
      </w:r>
      <w:r>
        <w:rPr>
          <w:rFonts w:hint="default" w:ascii="Times New Roman" w:hAnsi="Times New Roman" w:cs="Times New Roman"/>
          <w:sz w:val="28"/>
          <w:szCs w:val="20"/>
          <w:lang w:val="sq-AL"/>
        </w:rPr>
        <w:fldChar w:fldCharType="separate"/>
      </w:r>
      <w:r>
        <w:rPr>
          <w:rFonts w:hint="default" w:ascii="Times New Roman" w:hAnsi="Times New Roman" w:cs="Times New Roman"/>
          <w:sz w:val="28"/>
          <w:szCs w:val="20"/>
          <w:lang w:val="sq-AL"/>
        </w:rPr>
        <w:t>中华人民共和国国务院</w:t>
      </w:r>
      <w:r>
        <w:rPr>
          <w:rFonts w:hint="default" w:ascii="Times New Roman" w:hAnsi="Times New Roman" w:cs="Times New Roman"/>
          <w:sz w:val="28"/>
          <w:szCs w:val="20"/>
          <w:lang w:val="sq-AL"/>
        </w:rPr>
        <w:fldChar w:fldCharType="end"/>
      </w:r>
      <w:r>
        <w:rPr>
          <w:rFonts w:hint="default" w:ascii="Times New Roman" w:hAnsi="Times New Roman" w:cs="Times New Roman"/>
          <w:sz w:val="28"/>
          <w:szCs w:val="20"/>
          <w:lang w:val="sq-AL"/>
        </w:rPr>
        <w:t>令第239号，根据1998年1月7日《国务院关于修改〈电力设施保护条例〉的决定》第一次修订；根据2011年1月8日《国务院关于废止部分行政法规的决定》第二次修订，自2011年1月8日起施行）；</w:t>
      </w:r>
    </w:p>
    <w:p w14:paraId="6662AA9E">
      <w:pPr>
        <w:numPr>
          <w:ilvl w:val="0"/>
          <w:numId w:val="5"/>
        </w:numPr>
        <w:adjustRightInd w:val="0"/>
        <w:snapToGrid w:val="0"/>
        <w:spacing w:line="360" w:lineRule="auto"/>
        <w:ind w:firstLine="560" w:firstLineChars="200"/>
        <w:rPr>
          <w:rFonts w:hint="default" w:ascii="Times New Roman" w:hAnsi="Times New Roman" w:cs="Times New Roman"/>
          <w:sz w:val="28"/>
          <w:szCs w:val="20"/>
          <w:lang w:val="sq-AL"/>
        </w:rPr>
      </w:pPr>
      <w:r>
        <w:rPr>
          <w:rFonts w:hint="default" w:ascii="Times New Roman" w:hAnsi="Times New Roman" w:cs="Times New Roman"/>
          <w:sz w:val="28"/>
          <w:szCs w:val="20"/>
          <w:lang w:val="sq-AL"/>
        </w:rPr>
        <w:t>《公路安全保护条例》（中华人民共和国国务院令第593号，2011年2月16日国务院第144次常务会议通过；2011年3月7日中华人民共和国国务院令第593号公布；自2011年7月1日起施行）；</w:t>
      </w:r>
    </w:p>
    <w:p w14:paraId="79748C90">
      <w:pPr>
        <w:numPr>
          <w:ilvl w:val="0"/>
          <w:numId w:val="5"/>
        </w:numPr>
        <w:adjustRightInd w:val="0"/>
        <w:snapToGrid w:val="0"/>
        <w:spacing w:line="360" w:lineRule="auto"/>
        <w:ind w:firstLine="560" w:firstLineChars="200"/>
        <w:rPr>
          <w:rFonts w:hint="default" w:ascii="Times New Roman" w:hAnsi="Times New Roman" w:cs="Times New Roman"/>
          <w:sz w:val="28"/>
          <w:szCs w:val="20"/>
          <w:lang w:val="sq-AL"/>
        </w:rPr>
      </w:pPr>
      <w:r>
        <w:rPr>
          <w:rFonts w:hint="default" w:ascii="Times New Roman" w:hAnsi="Times New Roman" w:cs="Times New Roman"/>
          <w:sz w:val="28"/>
          <w:szCs w:val="20"/>
          <w:lang w:val="sq-AL"/>
        </w:rPr>
        <w:t>《安全生产许可证条例》（中华人民共和国国务院令397号，2004年1月13日；根据2013年7月18日《国务院关于废止部分行政法规的决定》第一次修订；根据2014年7月29日《国务院关于修改部分行政法规的决定》第二次修订，2014年7月29日起施行）；</w:t>
      </w:r>
    </w:p>
    <w:p w14:paraId="7FBDD763">
      <w:pPr>
        <w:numPr>
          <w:ilvl w:val="0"/>
          <w:numId w:val="5"/>
        </w:numPr>
        <w:adjustRightInd w:val="0"/>
        <w:snapToGrid w:val="0"/>
        <w:spacing w:line="360" w:lineRule="auto"/>
        <w:ind w:firstLine="560" w:firstLineChars="200"/>
        <w:rPr>
          <w:rFonts w:hint="default" w:ascii="Times New Roman" w:hAnsi="Times New Roman" w:cs="Times New Roman"/>
          <w:sz w:val="28"/>
          <w:szCs w:val="20"/>
          <w:lang w:val="sq-AL"/>
        </w:rPr>
      </w:pPr>
      <w:r>
        <w:rPr>
          <w:rFonts w:hint="default" w:ascii="Times New Roman" w:hAnsi="Times New Roman" w:cs="Times New Roman"/>
          <w:sz w:val="28"/>
          <w:szCs w:val="20"/>
          <w:lang w:val="sq-AL"/>
        </w:rPr>
        <w:t>《生产安全事故应急条例》（中华人民共和国国务院令第708号，2019年4月1日起施行）；</w:t>
      </w:r>
    </w:p>
    <w:p w14:paraId="75E899CC">
      <w:pPr>
        <w:numPr>
          <w:ilvl w:val="0"/>
          <w:numId w:val="5"/>
        </w:numPr>
        <w:adjustRightInd w:val="0"/>
        <w:snapToGrid w:val="0"/>
        <w:spacing w:line="360" w:lineRule="auto"/>
        <w:ind w:firstLine="560" w:firstLineChars="200"/>
        <w:rPr>
          <w:rFonts w:hint="default" w:ascii="Times New Roman" w:hAnsi="Times New Roman" w:cs="Times New Roman"/>
          <w:sz w:val="28"/>
          <w:szCs w:val="20"/>
        </w:rPr>
      </w:pPr>
      <w:r>
        <w:rPr>
          <w:rFonts w:hint="default" w:ascii="Times New Roman" w:hAnsi="Times New Roman" w:cs="Times New Roman"/>
          <w:sz w:val="28"/>
          <w:szCs w:val="20"/>
          <w:lang w:val="sq-AL"/>
        </w:rPr>
        <w:t>《民用爆炸物品安全管理条例》（国务院令第466号颁布，国务院令第653号修订，修订后自2014年7月29日起施行）</w:t>
      </w:r>
      <w:r>
        <w:rPr>
          <w:rFonts w:hint="default" w:ascii="Times New Roman" w:hAnsi="Times New Roman" w:cs="Times New Roman"/>
          <w:sz w:val="28"/>
          <w:szCs w:val="20"/>
        </w:rPr>
        <w:t>。</w:t>
      </w:r>
      <w:bookmarkEnd w:id="93"/>
    </w:p>
    <w:p w14:paraId="43DB2EA4">
      <w:pPr>
        <w:pStyle w:val="5"/>
        <w:spacing w:before="0" w:after="0" w:line="360" w:lineRule="auto"/>
        <w:ind w:firstLine="562" w:firstLineChars="200"/>
        <w:rPr>
          <w:rFonts w:hint="default" w:ascii="Times New Roman" w:hAnsi="Times New Roman" w:cs="Times New Roman"/>
        </w:rPr>
      </w:pPr>
      <w:r>
        <w:rPr>
          <w:rFonts w:hint="default" w:ascii="Times New Roman" w:hAnsi="Times New Roman" w:cs="Times New Roman"/>
        </w:rPr>
        <w:t>1.2.1.3</w:t>
      </w:r>
      <w:bookmarkEnd w:id="94"/>
      <w:bookmarkEnd w:id="95"/>
      <w:r>
        <w:rPr>
          <w:rFonts w:hint="default" w:ascii="Times New Roman" w:hAnsi="Times New Roman" w:cs="Times New Roman"/>
        </w:rPr>
        <w:t>部门规章及政府规范性文件</w:t>
      </w:r>
    </w:p>
    <w:p w14:paraId="11E7EECE">
      <w:pPr>
        <w:pStyle w:val="86"/>
        <w:spacing w:line="360" w:lineRule="auto"/>
        <w:ind w:firstLine="560"/>
        <w:rPr>
          <w:rFonts w:hint="default" w:ascii="Times New Roman" w:hAnsi="Times New Roman" w:cs="Times New Roman"/>
          <w:snapToGrid w:val="0"/>
          <w:kern w:val="0"/>
          <w:sz w:val="28"/>
          <w:szCs w:val="24"/>
          <w:lang w:val="sq-AL"/>
        </w:rPr>
      </w:pPr>
      <w:r>
        <w:rPr>
          <w:rFonts w:hint="default" w:ascii="Times New Roman" w:hAnsi="Times New Roman" w:cs="Times New Roman"/>
          <w:snapToGrid w:val="0"/>
          <w:kern w:val="0"/>
          <w:sz w:val="28"/>
          <w:szCs w:val="24"/>
          <w:lang w:val="sq-AL"/>
        </w:rPr>
        <w:t>（1）《中华人民共和国矿山安全法实施条例》（原国家劳动部令第4号，1996年10月30日施行）；</w:t>
      </w:r>
    </w:p>
    <w:p w14:paraId="06DAFA3F">
      <w:pPr>
        <w:pStyle w:val="86"/>
        <w:spacing w:line="360" w:lineRule="auto"/>
        <w:ind w:firstLine="560"/>
        <w:rPr>
          <w:rFonts w:hint="default" w:ascii="Times New Roman" w:hAnsi="Times New Roman" w:cs="Times New Roman"/>
          <w:snapToGrid w:val="0"/>
          <w:kern w:val="0"/>
          <w:sz w:val="28"/>
          <w:szCs w:val="24"/>
          <w:lang w:val="sq-AL"/>
        </w:rPr>
      </w:pPr>
      <w:r>
        <w:rPr>
          <w:rFonts w:hint="default" w:ascii="Times New Roman" w:hAnsi="Times New Roman" w:cs="Times New Roman"/>
          <w:snapToGrid w:val="0"/>
          <w:kern w:val="0"/>
          <w:sz w:val="28"/>
          <w:szCs w:val="24"/>
          <w:lang w:val="sq-AL"/>
        </w:rPr>
        <w:t>（2）《电力设施保护条例实施细则》（1999年3月18日国家经贸委、公安部令第8号公布</w:t>
      </w:r>
      <w:r>
        <w:rPr>
          <w:rFonts w:hint="default" w:ascii="Times New Roman" w:hAnsi="Times New Roman" w:cs="Times New Roman"/>
          <w:snapToGrid w:val="0"/>
          <w:kern w:val="0"/>
          <w:sz w:val="28"/>
          <w:szCs w:val="24"/>
          <w:lang w:val="sq-AL" w:eastAsia="zh-CN"/>
        </w:rPr>
        <w:t>，</w:t>
      </w:r>
      <w:r>
        <w:rPr>
          <w:rFonts w:hint="default" w:ascii="Times New Roman" w:hAnsi="Times New Roman" w:cs="Times New Roman"/>
          <w:snapToGrid w:val="0"/>
          <w:kern w:val="0"/>
          <w:sz w:val="28"/>
          <w:szCs w:val="24"/>
          <w:lang w:val="sq-AL"/>
        </w:rPr>
        <w:t>自1999年3月18日起施行</w:t>
      </w:r>
      <w:r>
        <w:rPr>
          <w:rFonts w:hint="default" w:ascii="Times New Roman" w:hAnsi="Times New Roman" w:cs="Times New Roman"/>
          <w:snapToGrid w:val="0"/>
          <w:kern w:val="0"/>
          <w:sz w:val="28"/>
          <w:szCs w:val="24"/>
          <w:lang w:val="sq-AL" w:eastAsia="zh-CN"/>
        </w:rPr>
        <w:t>。</w:t>
      </w:r>
      <w:r>
        <w:rPr>
          <w:rFonts w:hint="default" w:ascii="Times New Roman" w:hAnsi="Times New Roman" w:cs="Times New Roman"/>
          <w:snapToGrid w:val="0"/>
          <w:kern w:val="0"/>
          <w:sz w:val="28"/>
          <w:szCs w:val="24"/>
          <w:lang w:val="sq-AL"/>
        </w:rPr>
        <w:t>根据2011年6月30日国家发展改革委令第10号第一次修订</w:t>
      </w:r>
      <w:r>
        <w:rPr>
          <w:rFonts w:hint="default" w:ascii="Times New Roman" w:hAnsi="Times New Roman" w:cs="Times New Roman"/>
          <w:snapToGrid w:val="0"/>
          <w:kern w:val="0"/>
          <w:sz w:val="28"/>
          <w:szCs w:val="24"/>
          <w:lang w:val="sq-AL" w:eastAsia="zh-CN"/>
        </w:rPr>
        <w:t>，</w:t>
      </w:r>
      <w:r>
        <w:rPr>
          <w:rFonts w:hint="default" w:ascii="Times New Roman" w:hAnsi="Times New Roman" w:cs="Times New Roman"/>
          <w:snapToGrid w:val="0"/>
          <w:kern w:val="0"/>
          <w:sz w:val="28"/>
          <w:szCs w:val="24"/>
          <w:lang w:val="sq-AL"/>
        </w:rPr>
        <w:t>根据2024年1月4日国家发展改革委令第11号第二次修订）；</w:t>
      </w:r>
    </w:p>
    <w:p w14:paraId="4538B950">
      <w:pPr>
        <w:pStyle w:val="86"/>
        <w:spacing w:line="360" w:lineRule="auto"/>
        <w:ind w:firstLine="560"/>
        <w:rPr>
          <w:rFonts w:hint="default" w:ascii="Times New Roman" w:hAnsi="Times New Roman" w:cs="Times New Roman"/>
          <w:snapToGrid w:val="0"/>
          <w:kern w:val="0"/>
          <w:sz w:val="28"/>
          <w:szCs w:val="24"/>
          <w:lang w:val="sq-AL"/>
        </w:rPr>
      </w:pPr>
      <w:r>
        <w:rPr>
          <w:rFonts w:hint="default" w:ascii="Times New Roman" w:hAnsi="Times New Roman" w:cs="Times New Roman"/>
          <w:snapToGrid w:val="0"/>
          <w:kern w:val="0"/>
          <w:sz w:val="28"/>
          <w:szCs w:val="24"/>
          <w:lang w:val="sq-AL"/>
        </w:rPr>
        <w:t>（3）《国务院关于进一步加强企业安全生产工作的通知》（国发〔2010〕23号，2010年7月19日实施）；</w:t>
      </w:r>
    </w:p>
    <w:p w14:paraId="5BA3DF15">
      <w:pPr>
        <w:pStyle w:val="86"/>
        <w:spacing w:line="360" w:lineRule="auto"/>
        <w:ind w:firstLine="560"/>
        <w:rPr>
          <w:rFonts w:hint="default" w:ascii="Times New Roman" w:hAnsi="Times New Roman" w:cs="Times New Roman"/>
          <w:snapToGrid w:val="0"/>
          <w:kern w:val="0"/>
          <w:sz w:val="28"/>
          <w:szCs w:val="24"/>
          <w:lang w:val="sq-AL"/>
        </w:rPr>
      </w:pPr>
      <w:r>
        <w:rPr>
          <w:rFonts w:hint="default" w:ascii="Times New Roman" w:hAnsi="Times New Roman" w:cs="Times New Roman"/>
          <w:snapToGrid w:val="0"/>
          <w:kern w:val="0"/>
          <w:sz w:val="28"/>
          <w:szCs w:val="24"/>
          <w:lang w:val="sq-AL"/>
        </w:rPr>
        <w:t>（4）《国家安全监管总局关于发布金属非金属矿山禁止使用的设备及工艺目录（第二批）的通知》（原安监总管一〔2015〕13号，2015年2月13日实施）；</w:t>
      </w:r>
    </w:p>
    <w:p w14:paraId="71EF8F88">
      <w:pPr>
        <w:pStyle w:val="86"/>
        <w:spacing w:line="360" w:lineRule="auto"/>
        <w:ind w:firstLine="560"/>
        <w:rPr>
          <w:rFonts w:hint="default" w:ascii="Times New Roman" w:hAnsi="Times New Roman" w:cs="Times New Roman"/>
          <w:snapToGrid w:val="0"/>
          <w:kern w:val="0"/>
          <w:sz w:val="28"/>
          <w:szCs w:val="24"/>
          <w:lang w:val="sq-AL"/>
        </w:rPr>
      </w:pPr>
      <w:r>
        <w:rPr>
          <w:rFonts w:hint="default" w:ascii="Times New Roman" w:hAnsi="Times New Roman" w:cs="Times New Roman"/>
          <w:snapToGrid w:val="0"/>
          <w:kern w:val="0"/>
          <w:sz w:val="28"/>
          <w:szCs w:val="24"/>
          <w:lang w:val="sq-AL"/>
        </w:rPr>
        <w:t>（</w:t>
      </w:r>
      <w:r>
        <w:rPr>
          <w:rFonts w:hint="default" w:ascii="Times New Roman" w:hAnsi="Times New Roman" w:cs="Times New Roman"/>
          <w:snapToGrid w:val="0"/>
          <w:kern w:val="0"/>
          <w:sz w:val="28"/>
          <w:szCs w:val="24"/>
          <w:lang w:val="en-US" w:eastAsia="zh-CN"/>
        </w:rPr>
        <w:t>5</w:t>
      </w:r>
      <w:r>
        <w:rPr>
          <w:rFonts w:hint="default" w:ascii="Times New Roman" w:hAnsi="Times New Roman" w:cs="Times New Roman"/>
          <w:snapToGrid w:val="0"/>
          <w:kern w:val="0"/>
          <w:sz w:val="28"/>
          <w:szCs w:val="24"/>
          <w:lang w:val="sq-AL"/>
        </w:rPr>
        <w:t>）《建设项目安全设施“三同时”监督管理办法》（原国家安全生产监管总局令〔2011〕36号，原国家安全生产监管总局令2015年第77号第一次修订，2015年5月1日实施）；</w:t>
      </w:r>
    </w:p>
    <w:p w14:paraId="6F1C738E">
      <w:pPr>
        <w:pStyle w:val="86"/>
        <w:spacing w:line="360" w:lineRule="auto"/>
        <w:ind w:firstLine="560"/>
        <w:rPr>
          <w:rFonts w:hint="default" w:ascii="Times New Roman" w:hAnsi="Times New Roman" w:cs="Times New Roman"/>
          <w:snapToGrid w:val="0"/>
          <w:kern w:val="0"/>
          <w:sz w:val="28"/>
          <w:szCs w:val="24"/>
          <w:lang w:val="sq-AL"/>
        </w:rPr>
      </w:pPr>
      <w:r>
        <w:rPr>
          <w:rFonts w:hint="default" w:ascii="Times New Roman" w:hAnsi="Times New Roman" w:cs="Times New Roman"/>
          <w:snapToGrid w:val="0"/>
          <w:kern w:val="0"/>
          <w:sz w:val="28"/>
          <w:szCs w:val="24"/>
          <w:lang w:val="sq-AL"/>
        </w:rPr>
        <w:t>（</w:t>
      </w:r>
      <w:r>
        <w:rPr>
          <w:rFonts w:hint="default" w:ascii="Times New Roman" w:hAnsi="Times New Roman" w:cs="Times New Roman"/>
          <w:snapToGrid w:val="0"/>
          <w:kern w:val="0"/>
          <w:sz w:val="28"/>
          <w:szCs w:val="24"/>
          <w:lang w:val="en-US" w:eastAsia="zh-CN"/>
        </w:rPr>
        <w:t>6</w:t>
      </w:r>
      <w:r>
        <w:rPr>
          <w:rFonts w:hint="default" w:ascii="Times New Roman" w:hAnsi="Times New Roman" w:cs="Times New Roman"/>
          <w:snapToGrid w:val="0"/>
          <w:kern w:val="0"/>
          <w:sz w:val="28"/>
          <w:szCs w:val="24"/>
          <w:lang w:val="sq-AL"/>
        </w:rPr>
        <w:t>）《非煤矿矿山企业安全生产许可证实施办法》（原国家安全监管总局令第20号，原国家安全生产监管总局令第78号第一次修订，2015年7月1日实施）；</w:t>
      </w:r>
    </w:p>
    <w:p w14:paraId="310BD7CF">
      <w:pPr>
        <w:pStyle w:val="86"/>
        <w:spacing w:line="360" w:lineRule="auto"/>
        <w:ind w:firstLine="560"/>
        <w:rPr>
          <w:rFonts w:hint="default" w:ascii="Times New Roman" w:hAnsi="Times New Roman" w:cs="Times New Roman"/>
          <w:snapToGrid w:val="0"/>
          <w:kern w:val="0"/>
          <w:sz w:val="28"/>
          <w:szCs w:val="24"/>
          <w:lang w:val="sq-AL"/>
        </w:rPr>
      </w:pPr>
      <w:r>
        <w:rPr>
          <w:rFonts w:hint="default" w:ascii="Times New Roman" w:hAnsi="Times New Roman" w:cs="Times New Roman"/>
          <w:snapToGrid w:val="0"/>
          <w:kern w:val="0"/>
          <w:sz w:val="28"/>
          <w:szCs w:val="24"/>
          <w:lang w:val="sq-AL"/>
        </w:rPr>
        <w:t>（</w:t>
      </w:r>
      <w:r>
        <w:rPr>
          <w:rFonts w:hint="default" w:ascii="Times New Roman" w:hAnsi="Times New Roman" w:cs="Times New Roman"/>
          <w:snapToGrid w:val="0"/>
          <w:kern w:val="0"/>
          <w:sz w:val="28"/>
          <w:szCs w:val="24"/>
          <w:lang w:val="en-US" w:eastAsia="zh-CN"/>
        </w:rPr>
        <w:t>7</w:t>
      </w:r>
      <w:r>
        <w:rPr>
          <w:rFonts w:hint="default" w:ascii="Times New Roman" w:hAnsi="Times New Roman" w:cs="Times New Roman"/>
          <w:snapToGrid w:val="0"/>
          <w:kern w:val="0"/>
          <w:sz w:val="28"/>
          <w:szCs w:val="24"/>
          <w:lang w:val="sq-AL"/>
        </w:rPr>
        <w:t>）《金属非金属矿山建设项目安全设施目录（试行）》（原国家安全监管总局令第75号，2015年7月1日实施）；</w:t>
      </w:r>
    </w:p>
    <w:p w14:paraId="27561D52">
      <w:pPr>
        <w:pStyle w:val="86"/>
        <w:spacing w:line="360" w:lineRule="auto"/>
        <w:ind w:firstLine="560"/>
        <w:rPr>
          <w:rFonts w:hint="default" w:ascii="Times New Roman" w:hAnsi="Times New Roman" w:cs="Times New Roman"/>
          <w:snapToGrid w:val="0"/>
          <w:kern w:val="0"/>
          <w:sz w:val="28"/>
          <w:szCs w:val="24"/>
          <w:lang w:val="sq-AL"/>
        </w:rPr>
      </w:pPr>
      <w:r>
        <w:rPr>
          <w:rFonts w:hint="default" w:ascii="Times New Roman" w:hAnsi="Times New Roman" w:cs="Times New Roman"/>
          <w:snapToGrid w:val="0"/>
          <w:kern w:val="0"/>
          <w:sz w:val="28"/>
          <w:szCs w:val="24"/>
          <w:lang w:val="sq-AL"/>
        </w:rPr>
        <w:t>（</w:t>
      </w:r>
      <w:r>
        <w:rPr>
          <w:rFonts w:hint="default" w:ascii="Times New Roman" w:hAnsi="Times New Roman" w:cs="Times New Roman"/>
          <w:snapToGrid w:val="0"/>
          <w:kern w:val="0"/>
          <w:sz w:val="28"/>
          <w:szCs w:val="24"/>
          <w:lang w:val="en-US" w:eastAsia="zh-CN"/>
        </w:rPr>
        <w:t>8</w:t>
      </w:r>
      <w:r>
        <w:rPr>
          <w:rFonts w:hint="default" w:ascii="Times New Roman" w:hAnsi="Times New Roman" w:cs="Times New Roman"/>
          <w:snapToGrid w:val="0"/>
          <w:kern w:val="0"/>
          <w:sz w:val="28"/>
          <w:szCs w:val="24"/>
          <w:lang w:val="sq-AL"/>
        </w:rPr>
        <w:t>）《生产经营单位安全培训规定》（原国家安全监管总局令第3号，</w:t>
      </w:r>
      <w:r>
        <w:rPr>
          <w:rFonts w:hint="default" w:ascii="Times New Roman" w:hAnsi="Times New Roman" w:cs="Times New Roman"/>
          <w:snapToGrid w:val="0"/>
          <w:kern w:val="0"/>
          <w:sz w:val="28"/>
          <w:szCs w:val="24"/>
        </w:rPr>
        <w:t>原</w:t>
      </w:r>
      <w:r>
        <w:rPr>
          <w:rFonts w:hint="default" w:ascii="Times New Roman" w:hAnsi="Times New Roman" w:cs="Times New Roman"/>
          <w:snapToGrid w:val="0"/>
          <w:kern w:val="0"/>
          <w:sz w:val="28"/>
          <w:szCs w:val="24"/>
          <w:lang w:val="sq-AL"/>
        </w:rPr>
        <w:t>国家安全生产监管总局令第80号第二次修订，2015年7月1日实施）；</w:t>
      </w:r>
    </w:p>
    <w:p w14:paraId="7AE676F0">
      <w:pPr>
        <w:pStyle w:val="86"/>
        <w:spacing w:line="360" w:lineRule="auto"/>
        <w:ind w:firstLine="560"/>
        <w:rPr>
          <w:rFonts w:hint="default" w:ascii="Times New Roman" w:hAnsi="Times New Roman" w:cs="Times New Roman"/>
          <w:snapToGrid w:val="0"/>
          <w:kern w:val="0"/>
          <w:sz w:val="28"/>
          <w:szCs w:val="24"/>
          <w:lang w:val="sq-AL"/>
        </w:rPr>
      </w:pPr>
      <w:r>
        <w:rPr>
          <w:rFonts w:hint="default" w:ascii="Times New Roman" w:hAnsi="Times New Roman" w:cs="Times New Roman"/>
          <w:snapToGrid w:val="0"/>
          <w:kern w:val="0"/>
          <w:sz w:val="28"/>
          <w:szCs w:val="24"/>
          <w:lang w:val="sq-AL"/>
        </w:rPr>
        <w:t>（</w:t>
      </w:r>
      <w:r>
        <w:rPr>
          <w:rFonts w:hint="default" w:ascii="Times New Roman" w:hAnsi="Times New Roman" w:cs="Times New Roman"/>
          <w:snapToGrid w:val="0"/>
          <w:kern w:val="0"/>
          <w:sz w:val="28"/>
          <w:szCs w:val="24"/>
          <w:lang w:val="en-US" w:eastAsia="zh-CN"/>
        </w:rPr>
        <w:t>9</w:t>
      </w:r>
      <w:r>
        <w:rPr>
          <w:rFonts w:hint="default" w:ascii="Times New Roman" w:hAnsi="Times New Roman" w:cs="Times New Roman"/>
          <w:snapToGrid w:val="0"/>
          <w:kern w:val="0"/>
          <w:sz w:val="28"/>
          <w:szCs w:val="24"/>
          <w:lang w:val="sq-AL"/>
        </w:rPr>
        <w:t>）《安全生产培训管理办法》（原国家安全生产监督管理总局令第44号，原国家安全生产监管总局令第80号第二次修订，2015年7月1日实施）；</w:t>
      </w:r>
    </w:p>
    <w:p w14:paraId="60AE243B">
      <w:pPr>
        <w:pStyle w:val="86"/>
        <w:spacing w:line="360" w:lineRule="auto"/>
        <w:ind w:firstLine="560"/>
        <w:rPr>
          <w:rFonts w:hint="default" w:ascii="Times New Roman" w:hAnsi="Times New Roman" w:cs="Times New Roman"/>
          <w:snapToGrid w:val="0"/>
          <w:kern w:val="0"/>
          <w:sz w:val="28"/>
          <w:szCs w:val="24"/>
          <w:lang w:val="sq-AL"/>
        </w:rPr>
      </w:pPr>
      <w:r>
        <w:rPr>
          <w:rFonts w:hint="default" w:ascii="Times New Roman" w:hAnsi="Times New Roman" w:cs="Times New Roman"/>
          <w:snapToGrid w:val="0"/>
          <w:kern w:val="0"/>
          <w:sz w:val="28"/>
          <w:szCs w:val="24"/>
          <w:lang w:val="sq-AL"/>
        </w:rPr>
        <w:t>（1</w:t>
      </w:r>
      <w:r>
        <w:rPr>
          <w:rFonts w:hint="default" w:ascii="Times New Roman" w:hAnsi="Times New Roman" w:cs="Times New Roman"/>
          <w:snapToGrid w:val="0"/>
          <w:kern w:val="0"/>
          <w:sz w:val="28"/>
          <w:szCs w:val="24"/>
          <w:lang w:val="en-US" w:eastAsia="zh-CN"/>
        </w:rPr>
        <w:t>0</w:t>
      </w:r>
      <w:r>
        <w:rPr>
          <w:rFonts w:hint="default" w:ascii="Times New Roman" w:hAnsi="Times New Roman" w:cs="Times New Roman"/>
          <w:snapToGrid w:val="0"/>
          <w:kern w:val="0"/>
          <w:sz w:val="28"/>
          <w:szCs w:val="24"/>
          <w:lang w:val="sq-AL"/>
        </w:rPr>
        <w:t>）《特种作业人员安全技术培训考核管理规定》（原国家安全生产监督管理总局令第30号，原国家安全监管总局令第80号第二修正，2015年7月1日实施）；</w:t>
      </w:r>
    </w:p>
    <w:p w14:paraId="3A52B3BD">
      <w:pPr>
        <w:pStyle w:val="86"/>
        <w:spacing w:line="360" w:lineRule="auto"/>
        <w:ind w:firstLine="560"/>
        <w:rPr>
          <w:rFonts w:hint="default" w:ascii="Times New Roman" w:hAnsi="Times New Roman" w:cs="Times New Roman"/>
          <w:snapToGrid w:val="0"/>
          <w:kern w:val="0"/>
          <w:sz w:val="28"/>
          <w:szCs w:val="24"/>
          <w:lang w:val="sq-AL"/>
        </w:rPr>
      </w:pPr>
      <w:r>
        <w:rPr>
          <w:rFonts w:hint="default" w:ascii="Times New Roman" w:hAnsi="Times New Roman" w:cs="Times New Roman"/>
          <w:snapToGrid w:val="0"/>
          <w:kern w:val="0"/>
          <w:sz w:val="28"/>
          <w:szCs w:val="24"/>
          <w:lang w:val="sq-AL"/>
        </w:rPr>
        <w:t>（1</w:t>
      </w:r>
      <w:r>
        <w:rPr>
          <w:rFonts w:hint="default" w:ascii="Times New Roman" w:hAnsi="Times New Roman" w:cs="Times New Roman"/>
          <w:snapToGrid w:val="0"/>
          <w:kern w:val="0"/>
          <w:sz w:val="28"/>
          <w:szCs w:val="24"/>
          <w:lang w:val="en-US" w:eastAsia="zh-CN"/>
        </w:rPr>
        <w:t>1</w:t>
      </w:r>
      <w:r>
        <w:rPr>
          <w:rFonts w:hint="default" w:ascii="Times New Roman" w:hAnsi="Times New Roman" w:cs="Times New Roman"/>
          <w:snapToGrid w:val="0"/>
          <w:kern w:val="0"/>
          <w:sz w:val="28"/>
          <w:szCs w:val="24"/>
          <w:lang w:val="sq-AL"/>
        </w:rPr>
        <w:t>）《用人单位劳动防护用品管理规范》（原安监总厅安健〔2015〕124号，原安监总厅安健〔2018〕3号修订，2018年1月15日实施）；</w:t>
      </w:r>
    </w:p>
    <w:p w14:paraId="2C8F9678">
      <w:pPr>
        <w:pStyle w:val="86"/>
        <w:spacing w:line="360" w:lineRule="auto"/>
        <w:ind w:firstLine="560"/>
        <w:rPr>
          <w:rFonts w:hint="default" w:ascii="Times New Roman" w:hAnsi="Times New Roman" w:cs="Times New Roman"/>
          <w:snapToGrid w:val="0"/>
          <w:kern w:val="0"/>
          <w:sz w:val="28"/>
          <w:szCs w:val="24"/>
          <w:lang w:val="sq-AL"/>
        </w:rPr>
      </w:pPr>
      <w:r>
        <w:rPr>
          <w:rFonts w:hint="default" w:ascii="Times New Roman" w:hAnsi="Times New Roman" w:cs="Times New Roman"/>
          <w:snapToGrid w:val="0"/>
          <w:kern w:val="0"/>
          <w:sz w:val="28"/>
          <w:szCs w:val="24"/>
          <w:lang w:val="sq-AL"/>
        </w:rPr>
        <w:t>（1</w:t>
      </w:r>
      <w:r>
        <w:rPr>
          <w:rFonts w:hint="default" w:ascii="Times New Roman" w:hAnsi="Times New Roman" w:cs="Times New Roman"/>
          <w:snapToGrid w:val="0"/>
          <w:kern w:val="0"/>
          <w:sz w:val="28"/>
          <w:szCs w:val="24"/>
          <w:lang w:val="en-US" w:eastAsia="zh-CN"/>
        </w:rPr>
        <w:t>2</w:t>
      </w:r>
      <w:r>
        <w:rPr>
          <w:rFonts w:hint="default" w:ascii="Times New Roman" w:hAnsi="Times New Roman" w:cs="Times New Roman"/>
          <w:snapToGrid w:val="0"/>
          <w:kern w:val="0"/>
          <w:sz w:val="28"/>
          <w:szCs w:val="24"/>
          <w:lang w:val="sq-AL"/>
        </w:rPr>
        <w:t>）《国家安全监管总局关于印发金属非金属矿山建设项目安全评价报告编写提纲的通知》（原安监总管一〔2016〕49号，2016年5月30日实施）；</w:t>
      </w:r>
    </w:p>
    <w:p w14:paraId="05646DBE">
      <w:pPr>
        <w:pStyle w:val="86"/>
        <w:spacing w:line="360" w:lineRule="auto"/>
        <w:ind w:firstLine="560"/>
        <w:rPr>
          <w:rFonts w:hint="default" w:ascii="Times New Roman" w:hAnsi="Times New Roman" w:cs="Times New Roman"/>
          <w:snapToGrid w:val="0"/>
          <w:kern w:val="0"/>
          <w:sz w:val="28"/>
          <w:szCs w:val="24"/>
          <w:lang w:val="sq-AL"/>
        </w:rPr>
      </w:pPr>
      <w:r>
        <w:rPr>
          <w:rFonts w:hint="default" w:ascii="Times New Roman" w:hAnsi="Times New Roman" w:cs="Times New Roman"/>
          <w:snapToGrid w:val="0"/>
          <w:kern w:val="0"/>
          <w:sz w:val="28"/>
          <w:szCs w:val="24"/>
          <w:lang w:val="sq-AL"/>
        </w:rPr>
        <w:t>（1</w:t>
      </w:r>
      <w:r>
        <w:rPr>
          <w:rFonts w:hint="default" w:ascii="Times New Roman" w:hAnsi="Times New Roman" w:cs="Times New Roman"/>
          <w:snapToGrid w:val="0"/>
          <w:kern w:val="0"/>
          <w:sz w:val="28"/>
          <w:szCs w:val="24"/>
          <w:lang w:val="en-US" w:eastAsia="zh-CN"/>
        </w:rPr>
        <w:t>3</w:t>
      </w:r>
      <w:r>
        <w:rPr>
          <w:rFonts w:hint="default" w:ascii="Times New Roman" w:hAnsi="Times New Roman" w:cs="Times New Roman"/>
          <w:snapToGrid w:val="0"/>
          <w:kern w:val="0"/>
          <w:sz w:val="28"/>
          <w:szCs w:val="24"/>
          <w:lang w:val="sq-AL"/>
        </w:rPr>
        <w:t>）《国务院安委会办公室关于全面加强企业全员安全生产责任制工作的通知》（安委办〔2017〕29号，2017年10月10日实施）；</w:t>
      </w:r>
    </w:p>
    <w:p w14:paraId="6656771A">
      <w:pPr>
        <w:pStyle w:val="86"/>
        <w:spacing w:line="360" w:lineRule="auto"/>
        <w:ind w:firstLine="560"/>
        <w:rPr>
          <w:rFonts w:hint="default" w:ascii="Times New Roman" w:hAnsi="Times New Roman" w:cs="Times New Roman"/>
          <w:snapToGrid w:val="0"/>
          <w:kern w:val="0"/>
          <w:sz w:val="28"/>
          <w:szCs w:val="24"/>
          <w:lang w:val="sq-AL"/>
        </w:rPr>
      </w:pPr>
      <w:r>
        <w:rPr>
          <w:rFonts w:hint="default" w:ascii="Times New Roman" w:hAnsi="Times New Roman" w:cs="Times New Roman"/>
          <w:snapToGrid w:val="0"/>
          <w:kern w:val="0"/>
          <w:sz w:val="28"/>
          <w:szCs w:val="24"/>
          <w:lang w:val="sq-AL"/>
        </w:rPr>
        <w:t>（1</w:t>
      </w:r>
      <w:r>
        <w:rPr>
          <w:rFonts w:hint="default" w:ascii="Times New Roman" w:hAnsi="Times New Roman" w:cs="Times New Roman"/>
          <w:snapToGrid w:val="0"/>
          <w:kern w:val="0"/>
          <w:sz w:val="28"/>
          <w:szCs w:val="24"/>
          <w:lang w:val="en-US" w:eastAsia="zh-CN"/>
        </w:rPr>
        <w:t>4</w:t>
      </w:r>
      <w:r>
        <w:rPr>
          <w:rFonts w:hint="default" w:ascii="Times New Roman" w:hAnsi="Times New Roman" w:cs="Times New Roman"/>
          <w:snapToGrid w:val="0"/>
          <w:kern w:val="0"/>
          <w:sz w:val="28"/>
          <w:szCs w:val="24"/>
          <w:lang w:val="sq-AL"/>
        </w:rPr>
        <w:t>）</w:t>
      </w:r>
      <w:r>
        <w:rPr>
          <w:rFonts w:hint="default" w:ascii="Times New Roman" w:hAnsi="Times New Roman" w:cs="Times New Roman"/>
          <w:snapToGrid w:val="0"/>
          <w:kern w:val="0"/>
          <w:sz w:val="28"/>
          <w:szCs w:val="24"/>
          <w:lang w:val="sq-AL" w:eastAsia="zh-CN"/>
        </w:rPr>
        <w:t>《</w:t>
      </w:r>
      <w:r>
        <w:rPr>
          <w:rFonts w:hint="default" w:ascii="Times New Roman" w:hAnsi="Times New Roman" w:cs="Times New Roman"/>
          <w:snapToGrid w:val="0"/>
          <w:kern w:val="0"/>
          <w:sz w:val="28"/>
          <w:szCs w:val="24"/>
          <w:lang w:val="sq-AL"/>
        </w:rPr>
        <w:t>关于印发</w:t>
      </w:r>
      <w:r>
        <w:rPr>
          <w:rFonts w:hint="default" w:ascii="Times New Roman" w:hAnsi="Times New Roman" w:cs="Times New Roman"/>
          <w:snapToGrid w:val="0"/>
          <w:kern w:val="0"/>
          <w:sz w:val="28"/>
          <w:szCs w:val="24"/>
          <w:lang w:val="en-US" w:eastAsia="zh-CN"/>
        </w:rPr>
        <w:t>&lt;</w:t>
      </w:r>
      <w:r>
        <w:rPr>
          <w:rFonts w:hint="default" w:ascii="Times New Roman" w:hAnsi="Times New Roman" w:cs="Times New Roman"/>
          <w:snapToGrid w:val="0"/>
          <w:kern w:val="0"/>
          <w:sz w:val="28"/>
          <w:szCs w:val="24"/>
          <w:lang w:val="sq-AL"/>
        </w:rPr>
        <w:t>安全生产责任保险实施办法</w:t>
      </w:r>
      <w:r>
        <w:rPr>
          <w:rFonts w:hint="default" w:ascii="Times New Roman" w:hAnsi="Times New Roman" w:cs="Times New Roman"/>
          <w:snapToGrid w:val="0"/>
          <w:kern w:val="0"/>
          <w:sz w:val="28"/>
          <w:szCs w:val="24"/>
          <w:lang w:val="en-US" w:eastAsia="zh-CN"/>
        </w:rPr>
        <w:t>&gt;</w:t>
      </w:r>
      <w:r>
        <w:rPr>
          <w:rFonts w:hint="default" w:ascii="Times New Roman" w:hAnsi="Times New Roman" w:cs="Times New Roman"/>
          <w:snapToGrid w:val="0"/>
          <w:kern w:val="0"/>
          <w:sz w:val="28"/>
          <w:szCs w:val="24"/>
          <w:lang w:val="sq-AL"/>
        </w:rPr>
        <w:t>的通知》（应急〔2025〕27号，2025年3月29日施行）；</w:t>
      </w:r>
    </w:p>
    <w:p w14:paraId="66740559">
      <w:pPr>
        <w:pStyle w:val="86"/>
        <w:spacing w:line="360" w:lineRule="auto"/>
        <w:ind w:firstLine="560"/>
        <w:rPr>
          <w:rFonts w:hint="default" w:ascii="Times New Roman" w:hAnsi="Times New Roman" w:cs="Times New Roman"/>
          <w:snapToGrid w:val="0"/>
          <w:kern w:val="0"/>
          <w:sz w:val="28"/>
          <w:szCs w:val="24"/>
          <w:lang w:val="sq-AL"/>
        </w:rPr>
      </w:pPr>
      <w:r>
        <w:rPr>
          <w:rFonts w:hint="default" w:ascii="Times New Roman" w:hAnsi="Times New Roman" w:cs="Times New Roman"/>
          <w:snapToGrid w:val="0"/>
          <w:kern w:val="0"/>
          <w:sz w:val="28"/>
          <w:szCs w:val="24"/>
          <w:lang w:val="sq-AL"/>
        </w:rPr>
        <w:t>（1</w:t>
      </w:r>
      <w:r>
        <w:rPr>
          <w:rFonts w:hint="default" w:ascii="Times New Roman" w:hAnsi="Times New Roman" w:cs="Times New Roman"/>
          <w:snapToGrid w:val="0"/>
          <w:kern w:val="0"/>
          <w:sz w:val="28"/>
          <w:szCs w:val="24"/>
          <w:lang w:val="en-US" w:eastAsia="zh-CN"/>
        </w:rPr>
        <w:t>5</w:t>
      </w:r>
      <w:r>
        <w:rPr>
          <w:rFonts w:hint="default" w:ascii="Times New Roman" w:hAnsi="Times New Roman" w:cs="Times New Roman"/>
          <w:snapToGrid w:val="0"/>
          <w:kern w:val="0"/>
          <w:sz w:val="28"/>
          <w:szCs w:val="24"/>
          <w:lang w:val="sq-AL"/>
        </w:rPr>
        <w:t>）《生产安全事故应急预案管理办法》（原国家安全生产监督管理总局令第88号，应急管理部令第2号，第一次修订，2019年9月1日实施）；</w:t>
      </w:r>
    </w:p>
    <w:p w14:paraId="46BFC9F4">
      <w:pPr>
        <w:pStyle w:val="86"/>
        <w:spacing w:line="360" w:lineRule="auto"/>
        <w:ind w:firstLine="560"/>
        <w:rPr>
          <w:rFonts w:hint="default" w:ascii="Times New Roman" w:hAnsi="Times New Roman" w:cs="Times New Roman"/>
          <w:snapToGrid w:val="0"/>
          <w:kern w:val="0"/>
          <w:sz w:val="28"/>
          <w:szCs w:val="24"/>
          <w:lang w:val="sq-AL"/>
        </w:rPr>
      </w:pPr>
      <w:r>
        <w:rPr>
          <w:rFonts w:hint="default" w:ascii="Times New Roman" w:hAnsi="Times New Roman" w:cs="Times New Roman"/>
          <w:snapToGrid w:val="0"/>
          <w:kern w:val="0"/>
          <w:sz w:val="28"/>
          <w:szCs w:val="24"/>
          <w:lang w:val="sq-AL"/>
        </w:rPr>
        <w:t>（</w:t>
      </w:r>
      <w:r>
        <w:rPr>
          <w:rFonts w:hint="default" w:ascii="Times New Roman" w:hAnsi="Times New Roman" w:cs="Times New Roman"/>
          <w:snapToGrid w:val="0"/>
          <w:kern w:val="0"/>
          <w:sz w:val="28"/>
          <w:szCs w:val="24"/>
          <w:lang w:val="en-US" w:eastAsia="zh-CN"/>
        </w:rPr>
        <w:t>16</w:t>
      </w:r>
      <w:r>
        <w:rPr>
          <w:rFonts w:hint="default" w:ascii="Times New Roman" w:hAnsi="Times New Roman" w:cs="Times New Roman"/>
          <w:snapToGrid w:val="0"/>
          <w:kern w:val="0"/>
          <w:sz w:val="28"/>
          <w:szCs w:val="24"/>
          <w:lang w:val="sq-AL"/>
        </w:rPr>
        <w:t>）《应急管理部关于进一步做好安全生产责任保险工作的紧急通知》（应急〔2021〕61号，2021年9月7日实施）；</w:t>
      </w:r>
    </w:p>
    <w:p w14:paraId="7C73B224">
      <w:pPr>
        <w:pStyle w:val="86"/>
        <w:spacing w:line="360" w:lineRule="auto"/>
        <w:ind w:firstLine="560"/>
        <w:rPr>
          <w:rFonts w:hint="default" w:ascii="Times New Roman" w:hAnsi="Times New Roman" w:cs="Times New Roman"/>
          <w:snapToGrid w:val="0"/>
          <w:kern w:val="0"/>
          <w:sz w:val="28"/>
          <w:szCs w:val="24"/>
          <w:lang w:val="sq-AL"/>
        </w:rPr>
      </w:pPr>
      <w:r>
        <w:rPr>
          <w:rFonts w:hint="default" w:ascii="Times New Roman" w:hAnsi="Times New Roman" w:cs="Times New Roman"/>
          <w:snapToGrid w:val="0"/>
          <w:kern w:val="0"/>
          <w:sz w:val="28"/>
          <w:szCs w:val="24"/>
          <w:lang w:val="sq-AL"/>
        </w:rPr>
        <w:t>（1</w:t>
      </w:r>
      <w:r>
        <w:rPr>
          <w:rFonts w:hint="default" w:ascii="Times New Roman" w:hAnsi="Times New Roman" w:cs="Times New Roman"/>
          <w:snapToGrid w:val="0"/>
          <w:kern w:val="0"/>
          <w:sz w:val="28"/>
          <w:szCs w:val="24"/>
          <w:lang w:val="en-US" w:eastAsia="zh-CN"/>
        </w:rPr>
        <w:t>7</w:t>
      </w:r>
      <w:r>
        <w:rPr>
          <w:rFonts w:hint="default" w:ascii="Times New Roman" w:hAnsi="Times New Roman" w:cs="Times New Roman"/>
          <w:snapToGrid w:val="0"/>
          <w:kern w:val="0"/>
          <w:sz w:val="28"/>
          <w:szCs w:val="24"/>
          <w:lang w:val="sq-AL"/>
        </w:rPr>
        <w:t>）《国家矿山安全监察局关于印发〈关于加强非煤矿山安全生产工作的指导意见〉的通知》（矿安〔2022〕4号，2022年2月8日施行）；</w:t>
      </w:r>
    </w:p>
    <w:p w14:paraId="1CCDF952">
      <w:pPr>
        <w:pStyle w:val="86"/>
        <w:spacing w:line="360" w:lineRule="auto"/>
        <w:ind w:firstLine="560"/>
        <w:rPr>
          <w:rFonts w:hint="default" w:ascii="Times New Roman" w:hAnsi="Times New Roman" w:cs="Times New Roman"/>
          <w:snapToGrid w:val="0"/>
          <w:kern w:val="0"/>
          <w:sz w:val="28"/>
          <w:szCs w:val="24"/>
          <w:lang w:val="sq-AL"/>
        </w:rPr>
      </w:pPr>
      <w:r>
        <w:rPr>
          <w:rFonts w:hint="default" w:ascii="Times New Roman" w:hAnsi="Times New Roman" w:cs="Times New Roman"/>
          <w:snapToGrid w:val="0"/>
          <w:kern w:val="0"/>
          <w:sz w:val="28"/>
          <w:szCs w:val="24"/>
          <w:lang w:val="sq-AL"/>
        </w:rPr>
        <w:t>（</w:t>
      </w:r>
      <w:r>
        <w:rPr>
          <w:rFonts w:hint="default" w:ascii="Times New Roman" w:hAnsi="Times New Roman" w:cs="Times New Roman"/>
          <w:snapToGrid w:val="0"/>
          <w:kern w:val="0"/>
          <w:sz w:val="28"/>
          <w:szCs w:val="24"/>
          <w:lang w:val="en-US" w:eastAsia="zh-CN"/>
        </w:rPr>
        <w:t>18</w:t>
      </w:r>
      <w:r>
        <w:rPr>
          <w:rFonts w:hint="default" w:ascii="Times New Roman" w:hAnsi="Times New Roman" w:cs="Times New Roman"/>
          <w:snapToGrid w:val="0"/>
          <w:kern w:val="0"/>
          <w:sz w:val="28"/>
          <w:szCs w:val="24"/>
          <w:lang w:val="sq-AL"/>
        </w:rPr>
        <w:t>）《金属非金属矿山重大事故隐患判定标准》（矿安〔2022〕88号，自2022年9月1日起施行）；</w:t>
      </w:r>
    </w:p>
    <w:p w14:paraId="6FAAD44D">
      <w:pPr>
        <w:pStyle w:val="86"/>
        <w:spacing w:line="360" w:lineRule="auto"/>
        <w:ind w:firstLine="560"/>
        <w:rPr>
          <w:rFonts w:hint="default" w:ascii="Times New Roman" w:hAnsi="Times New Roman" w:cs="Times New Roman"/>
          <w:snapToGrid w:val="0"/>
          <w:kern w:val="0"/>
          <w:sz w:val="28"/>
          <w:szCs w:val="24"/>
          <w:lang w:val="sq-AL"/>
        </w:rPr>
      </w:pPr>
      <w:r>
        <w:rPr>
          <w:rFonts w:hint="default" w:ascii="Times New Roman" w:hAnsi="Times New Roman" w:cs="Times New Roman"/>
          <w:snapToGrid w:val="0"/>
          <w:kern w:val="0"/>
          <w:sz w:val="28"/>
          <w:szCs w:val="24"/>
          <w:lang w:val="sq-AL"/>
        </w:rPr>
        <w:t>（</w:t>
      </w:r>
      <w:r>
        <w:rPr>
          <w:rFonts w:hint="default" w:ascii="Times New Roman" w:hAnsi="Times New Roman" w:cs="Times New Roman"/>
          <w:snapToGrid w:val="0"/>
          <w:kern w:val="0"/>
          <w:sz w:val="28"/>
          <w:szCs w:val="24"/>
          <w:lang w:val="en-US" w:eastAsia="zh-CN"/>
        </w:rPr>
        <w:t>19</w:t>
      </w:r>
      <w:r>
        <w:rPr>
          <w:rFonts w:hint="default" w:ascii="Times New Roman" w:hAnsi="Times New Roman" w:cs="Times New Roman"/>
          <w:snapToGrid w:val="0"/>
          <w:kern w:val="0"/>
          <w:sz w:val="28"/>
          <w:szCs w:val="24"/>
          <w:lang w:val="sq-AL"/>
        </w:rPr>
        <w:t>）《国家矿山安全监察局关于印发执行安全标志管理的矿用产品目录的通知》（矿安〔2022〕123号，2022年9月15日施行）；</w:t>
      </w:r>
    </w:p>
    <w:p w14:paraId="2154C8D9">
      <w:pPr>
        <w:pStyle w:val="86"/>
        <w:spacing w:line="360" w:lineRule="auto"/>
        <w:ind w:firstLine="560"/>
        <w:rPr>
          <w:rFonts w:hint="default" w:ascii="Times New Roman" w:hAnsi="Times New Roman" w:cs="Times New Roman"/>
          <w:snapToGrid w:val="0"/>
          <w:kern w:val="0"/>
          <w:sz w:val="28"/>
          <w:szCs w:val="24"/>
          <w:lang w:val="sq-AL"/>
        </w:rPr>
      </w:pPr>
      <w:r>
        <w:rPr>
          <w:rFonts w:hint="default" w:ascii="Times New Roman" w:hAnsi="Times New Roman" w:cs="Times New Roman"/>
          <w:snapToGrid w:val="0"/>
          <w:kern w:val="0"/>
          <w:sz w:val="28"/>
          <w:szCs w:val="24"/>
          <w:lang w:val="sq-AL"/>
        </w:rPr>
        <w:t>（2</w:t>
      </w:r>
      <w:r>
        <w:rPr>
          <w:rFonts w:hint="default" w:ascii="Times New Roman" w:hAnsi="Times New Roman" w:cs="Times New Roman"/>
          <w:snapToGrid w:val="0"/>
          <w:kern w:val="0"/>
          <w:sz w:val="28"/>
          <w:szCs w:val="24"/>
          <w:lang w:val="en-US" w:eastAsia="zh-CN"/>
        </w:rPr>
        <w:t>0</w:t>
      </w:r>
      <w:r>
        <w:rPr>
          <w:rFonts w:hint="default" w:ascii="Times New Roman" w:hAnsi="Times New Roman" w:cs="Times New Roman"/>
          <w:snapToGrid w:val="0"/>
          <w:kern w:val="0"/>
          <w:sz w:val="28"/>
          <w:szCs w:val="24"/>
          <w:lang w:val="sq-AL"/>
        </w:rPr>
        <w:t>）《企业安全生产费用提取和使用管理办法》（财资〔2022〕136号，2022年11月21日施行）；</w:t>
      </w:r>
    </w:p>
    <w:p w14:paraId="4C84A3A7">
      <w:pPr>
        <w:pStyle w:val="86"/>
        <w:spacing w:line="360" w:lineRule="auto"/>
        <w:ind w:firstLine="560"/>
        <w:rPr>
          <w:rFonts w:hint="default" w:ascii="Times New Roman" w:hAnsi="Times New Roman" w:cs="Times New Roman"/>
          <w:snapToGrid w:val="0"/>
          <w:kern w:val="0"/>
          <w:sz w:val="28"/>
          <w:szCs w:val="24"/>
          <w:lang w:val="sq-AL"/>
        </w:rPr>
      </w:pPr>
      <w:r>
        <w:rPr>
          <w:rFonts w:hint="default" w:ascii="Times New Roman" w:hAnsi="Times New Roman" w:cs="Times New Roman"/>
          <w:snapToGrid w:val="0"/>
          <w:kern w:val="0"/>
          <w:sz w:val="28"/>
          <w:szCs w:val="24"/>
          <w:lang w:val="sq-AL"/>
        </w:rPr>
        <w:t>（2</w:t>
      </w:r>
      <w:r>
        <w:rPr>
          <w:rFonts w:hint="default" w:ascii="Times New Roman" w:hAnsi="Times New Roman" w:cs="Times New Roman"/>
          <w:snapToGrid w:val="0"/>
          <w:kern w:val="0"/>
          <w:sz w:val="28"/>
          <w:szCs w:val="24"/>
          <w:lang w:val="en-US" w:eastAsia="zh-CN"/>
        </w:rPr>
        <w:t>1</w:t>
      </w:r>
      <w:r>
        <w:rPr>
          <w:rFonts w:hint="default" w:ascii="Times New Roman" w:hAnsi="Times New Roman" w:cs="Times New Roman"/>
          <w:snapToGrid w:val="0"/>
          <w:kern w:val="0"/>
          <w:sz w:val="28"/>
          <w:szCs w:val="24"/>
          <w:lang w:val="sq-AL"/>
        </w:rPr>
        <w:t>）《国家矿山安全监察局关于开展露天矿山安全生产专项整治的通知》（矿安〔2023〕16号，2023年2月27日）；</w:t>
      </w:r>
    </w:p>
    <w:p w14:paraId="170CB355">
      <w:pPr>
        <w:pStyle w:val="86"/>
        <w:spacing w:line="360" w:lineRule="auto"/>
        <w:ind w:firstLine="560"/>
        <w:rPr>
          <w:rFonts w:hint="default" w:ascii="Times New Roman" w:hAnsi="Times New Roman" w:cs="Times New Roman"/>
          <w:snapToGrid w:val="0"/>
          <w:kern w:val="0"/>
          <w:sz w:val="28"/>
          <w:szCs w:val="24"/>
          <w:lang w:val="sq-AL"/>
        </w:rPr>
      </w:pPr>
      <w:r>
        <w:rPr>
          <w:rFonts w:hint="default" w:ascii="Times New Roman" w:hAnsi="Times New Roman" w:cs="Times New Roman"/>
          <w:snapToGrid w:val="0"/>
          <w:kern w:val="0"/>
          <w:sz w:val="28"/>
          <w:szCs w:val="24"/>
          <w:lang w:val="sq-AL"/>
        </w:rPr>
        <w:t>（2</w:t>
      </w:r>
      <w:r>
        <w:rPr>
          <w:rFonts w:hint="default" w:ascii="Times New Roman" w:hAnsi="Times New Roman" w:cs="Times New Roman"/>
          <w:snapToGrid w:val="0"/>
          <w:kern w:val="0"/>
          <w:sz w:val="28"/>
          <w:szCs w:val="24"/>
          <w:lang w:val="en-US" w:eastAsia="zh-CN"/>
        </w:rPr>
        <w:t>2</w:t>
      </w:r>
      <w:r>
        <w:rPr>
          <w:rFonts w:hint="default" w:ascii="Times New Roman" w:hAnsi="Times New Roman" w:cs="Times New Roman"/>
          <w:snapToGrid w:val="0"/>
          <w:kern w:val="0"/>
          <w:sz w:val="28"/>
          <w:szCs w:val="24"/>
          <w:lang w:val="sq-AL"/>
        </w:rPr>
        <w:t>）《国务院安委会办公室关于学习宣传贯彻</w:t>
      </w:r>
      <w:r>
        <w:rPr>
          <w:rFonts w:hint="default" w:ascii="Times New Roman" w:hAnsi="Times New Roman" w:cs="Times New Roman"/>
          <w:snapToGrid w:val="0"/>
          <w:kern w:val="0"/>
          <w:sz w:val="28"/>
          <w:szCs w:val="24"/>
          <w:lang w:val="sq-AL" w:eastAsia="zh-CN"/>
        </w:rPr>
        <w:t>〈</w:t>
      </w:r>
      <w:r>
        <w:rPr>
          <w:rFonts w:hint="default" w:ascii="Times New Roman" w:hAnsi="Times New Roman" w:cs="Times New Roman"/>
          <w:snapToGrid w:val="0"/>
          <w:kern w:val="0"/>
          <w:sz w:val="28"/>
          <w:szCs w:val="24"/>
          <w:lang w:val="sq-AL"/>
        </w:rPr>
        <w:t>中共中央办公厅 国务院办公厅关于进一步加强矿山安全生产工作的意见</w:t>
      </w:r>
      <w:r>
        <w:rPr>
          <w:rFonts w:hint="default" w:ascii="Times New Roman" w:hAnsi="Times New Roman" w:cs="Times New Roman"/>
          <w:snapToGrid w:val="0"/>
          <w:kern w:val="0"/>
          <w:sz w:val="28"/>
          <w:szCs w:val="24"/>
          <w:lang w:val="sq-AL" w:eastAsia="zh-CN"/>
        </w:rPr>
        <w:t>〉</w:t>
      </w:r>
      <w:r>
        <w:rPr>
          <w:rFonts w:hint="default" w:ascii="Times New Roman" w:hAnsi="Times New Roman" w:cs="Times New Roman"/>
          <w:snapToGrid w:val="0"/>
          <w:kern w:val="0"/>
          <w:sz w:val="28"/>
          <w:szCs w:val="24"/>
          <w:lang w:val="sq-AL"/>
        </w:rPr>
        <w:t>的通知》（安委办〔2023〕7号，2023年9月9日施行）；</w:t>
      </w:r>
    </w:p>
    <w:p w14:paraId="73B80D9A">
      <w:pPr>
        <w:pStyle w:val="86"/>
        <w:spacing w:line="360" w:lineRule="auto"/>
        <w:ind w:firstLine="560"/>
        <w:rPr>
          <w:rFonts w:hint="default" w:ascii="Times New Roman" w:hAnsi="Times New Roman" w:cs="Times New Roman"/>
          <w:snapToGrid w:val="0"/>
          <w:kern w:val="0"/>
          <w:sz w:val="28"/>
          <w:szCs w:val="24"/>
          <w:lang w:val="sq-AL"/>
        </w:rPr>
      </w:pPr>
      <w:r>
        <w:rPr>
          <w:rFonts w:hint="default" w:ascii="Times New Roman" w:hAnsi="Times New Roman" w:cs="Times New Roman"/>
          <w:snapToGrid w:val="0"/>
          <w:kern w:val="0"/>
          <w:sz w:val="28"/>
          <w:szCs w:val="24"/>
          <w:lang w:val="sq-AL"/>
        </w:rPr>
        <w:t>（2</w:t>
      </w:r>
      <w:r>
        <w:rPr>
          <w:rFonts w:hint="default" w:ascii="Times New Roman" w:hAnsi="Times New Roman" w:cs="Times New Roman"/>
          <w:snapToGrid w:val="0"/>
          <w:kern w:val="0"/>
          <w:sz w:val="28"/>
          <w:szCs w:val="24"/>
          <w:lang w:val="en-US" w:eastAsia="zh-CN"/>
        </w:rPr>
        <w:t>3</w:t>
      </w:r>
      <w:r>
        <w:rPr>
          <w:rFonts w:hint="default" w:ascii="Times New Roman" w:hAnsi="Times New Roman" w:cs="Times New Roman"/>
          <w:snapToGrid w:val="0"/>
          <w:kern w:val="0"/>
          <w:sz w:val="28"/>
          <w:szCs w:val="24"/>
          <w:lang w:val="sq-AL"/>
        </w:rPr>
        <w:t>）《国家矿山安全监察局关于印发</w:t>
      </w:r>
      <w:r>
        <w:rPr>
          <w:rFonts w:hint="default" w:ascii="Times New Roman" w:hAnsi="Times New Roman" w:cs="Times New Roman"/>
          <w:snapToGrid w:val="0"/>
          <w:kern w:val="0"/>
          <w:sz w:val="28"/>
          <w:szCs w:val="24"/>
          <w:lang w:val="sq-AL" w:eastAsia="zh-CN"/>
        </w:rPr>
        <w:t>〈</w:t>
      </w:r>
      <w:r>
        <w:rPr>
          <w:rFonts w:hint="default" w:ascii="Times New Roman" w:hAnsi="Times New Roman" w:cs="Times New Roman"/>
          <w:snapToGrid w:val="0"/>
          <w:kern w:val="0"/>
          <w:sz w:val="28"/>
          <w:szCs w:val="24"/>
          <w:lang w:val="sq-AL"/>
        </w:rPr>
        <w:t>非煤矿山建设项目安全设施重大变更范围</w:t>
      </w:r>
      <w:r>
        <w:rPr>
          <w:rFonts w:hint="default" w:ascii="Times New Roman" w:hAnsi="Times New Roman" w:cs="Times New Roman"/>
          <w:snapToGrid w:val="0"/>
          <w:kern w:val="0"/>
          <w:sz w:val="28"/>
          <w:szCs w:val="24"/>
          <w:lang w:val="sq-AL" w:eastAsia="zh-CN"/>
        </w:rPr>
        <w:t>〉</w:t>
      </w:r>
      <w:r>
        <w:rPr>
          <w:rFonts w:hint="default" w:ascii="Times New Roman" w:hAnsi="Times New Roman" w:cs="Times New Roman"/>
          <w:snapToGrid w:val="0"/>
          <w:kern w:val="0"/>
          <w:sz w:val="28"/>
          <w:szCs w:val="24"/>
          <w:lang w:val="sq-AL"/>
        </w:rPr>
        <w:t>的通知》（矿安〔2023〕147号，2023年11月14日实施）；</w:t>
      </w:r>
    </w:p>
    <w:p w14:paraId="7A848064">
      <w:pPr>
        <w:pStyle w:val="86"/>
        <w:spacing w:line="360" w:lineRule="auto"/>
        <w:ind w:firstLine="560"/>
        <w:rPr>
          <w:rFonts w:hint="default" w:ascii="Times New Roman" w:hAnsi="Times New Roman" w:cs="Times New Roman"/>
          <w:snapToGrid w:val="0"/>
          <w:kern w:val="0"/>
          <w:sz w:val="28"/>
          <w:szCs w:val="24"/>
          <w:lang w:val="sq-AL"/>
        </w:rPr>
      </w:pPr>
      <w:r>
        <w:rPr>
          <w:rFonts w:hint="default" w:ascii="Times New Roman" w:hAnsi="Times New Roman" w:cs="Times New Roman"/>
          <w:snapToGrid w:val="0"/>
          <w:kern w:val="0"/>
          <w:sz w:val="28"/>
          <w:szCs w:val="24"/>
          <w:lang w:val="sq-AL"/>
        </w:rPr>
        <w:t>（2</w:t>
      </w:r>
      <w:r>
        <w:rPr>
          <w:rFonts w:hint="default" w:ascii="Times New Roman" w:hAnsi="Times New Roman" w:cs="Times New Roman"/>
          <w:snapToGrid w:val="0"/>
          <w:kern w:val="0"/>
          <w:sz w:val="28"/>
          <w:szCs w:val="24"/>
          <w:lang w:val="en-US" w:eastAsia="zh-CN"/>
        </w:rPr>
        <w:t>4</w:t>
      </w:r>
      <w:r>
        <w:rPr>
          <w:rFonts w:hint="default" w:ascii="Times New Roman" w:hAnsi="Times New Roman" w:cs="Times New Roman"/>
          <w:snapToGrid w:val="0"/>
          <w:kern w:val="0"/>
          <w:sz w:val="28"/>
          <w:szCs w:val="24"/>
          <w:lang w:val="sq-AL"/>
        </w:rPr>
        <w:t>）国家矿山安全监察局关于印发《金属非金属矿山重大事故隐患判定标准补充情形》的通知（矿安〔2024〕41号，2024年4月23日）；</w:t>
      </w:r>
    </w:p>
    <w:p w14:paraId="067BC262">
      <w:pPr>
        <w:pStyle w:val="86"/>
        <w:spacing w:line="360" w:lineRule="auto"/>
        <w:ind w:firstLine="560"/>
        <w:rPr>
          <w:rFonts w:hint="default" w:ascii="Times New Roman" w:hAnsi="Times New Roman" w:cs="Times New Roman"/>
          <w:snapToGrid w:val="0"/>
          <w:kern w:val="0"/>
          <w:sz w:val="28"/>
          <w:szCs w:val="24"/>
          <w:lang w:val="sq-AL" w:eastAsia="zh-CN"/>
        </w:rPr>
      </w:pPr>
      <w:r>
        <w:rPr>
          <w:rFonts w:hint="default" w:ascii="Times New Roman" w:hAnsi="Times New Roman" w:cs="Times New Roman"/>
          <w:snapToGrid w:val="0"/>
          <w:kern w:val="0"/>
          <w:sz w:val="28"/>
          <w:szCs w:val="24"/>
          <w:lang w:val="sq-AL"/>
        </w:rPr>
        <w:t>（2</w:t>
      </w:r>
      <w:r>
        <w:rPr>
          <w:rFonts w:hint="default" w:ascii="Times New Roman" w:hAnsi="Times New Roman" w:cs="Times New Roman"/>
          <w:snapToGrid w:val="0"/>
          <w:kern w:val="0"/>
          <w:sz w:val="28"/>
          <w:szCs w:val="24"/>
          <w:lang w:val="en-US" w:eastAsia="zh-CN"/>
        </w:rPr>
        <w:t>5</w:t>
      </w:r>
      <w:r>
        <w:rPr>
          <w:rFonts w:hint="default" w:ascii="Times New Roman" w:hAnsi="Times New Roman" w:cs="Times New Roman"/>
          <w:snapToGrid w:val="0"/>
          <w:kern w:val="0"/>
          <w:sz w:val="28"/>
          <w:szCs w:val="24"/>
          <w:lang w:val="sq-AL"/>
        </w:rPr>
        <w:t>）《国家矿山安全监察局关于进一步加强非煤矿山安全生产行政许可工作的通知》（矿安〔2024〕70号）</w:t>
      </w:r>
      <w:r>
        <w:rPr>
          <w:rFonts w:hint="default" w:ascii="Times New Roman" w:hAnsi="Times New Roman" w:cs="Times New Roman"/>
          <w:snapToGrid w:val="0"/>
          <w:kern w:val="0"/>
          <w:sz w:val="28"/>
          <w:szCs w:val="24"/>
          <w:lang w:val="sq-AL" w:eastAsia="zh-CN"/>
        </w:rPr>
        <w:t>；</w:t>
      </w:r>
    </w:p>
    <w:p w14:paraId="1BC93B45">
      <w:pPr>
        <w:pStyle w:val="86"/>
        <w:spacing w:line="360" w:lineRule="auto"/>
        <w:ind w:firstLine="560"/>
        <w:rPr>
          <w:rFonts w:hint="default" w:ascii="Times New Roman" w:hAnsi="Times New Roman" w:cs="Times New Roman"/>
          <w:snapToGrid w:val="0"/>
          <w:kern w:val="0"/>
          <w:sz w:val="28"/>
          <w:szCs w:val="24"/>
          <w:lang w:val="sq-AL"/>
        </w:rPr>
      </w:pPr>
      <w:r>
        <w:rPr>
          <w:rFonts w:hint="default" w:ascii="Times New Roman" w:hAnsi="Times New Roman" w:cs="Times New Roman"/>
          <w:snapToGrid w:val="0"/>
          <w:kern w:val="0"/>
          <w:sz w:val="28"/>
          <w:szCs w:val="24"/>
          <w:lang w:val="sq-AL" w:eastAsia="zh-CN"/>
        </w:rPr>
        <w:t>（</w:t>
      </w:r>
      <w:r>
        <w:rPr>
          <w:rFonts w:hint="default" w:ascii="Times New Roman" w:hAnsi="Times New Roman" w:cs="Times New Roman"/>
          <w:snapToGrid w:val="0"/>
          <w:kern w:val="0"/>
          <w:sz w:val="28"/>
          <w:szCs w:val="24"/>
          <w:lang w:val="en-US" w:eastAsia="zh-CN"/>
        </w:rPr>
        <w:t>26</w:t>
      </w:r>
      <w:r>
        <w:rPr>
          <w:rFonts w:hint="default" w:ascii="Times New Roman" w:hAnsi="Times New Roman" w:cs="Times New Roman"/>
          <w:snapToGrid w:val="0"/>
          <w:kern w:val="0"/>
          <w:sz w:val="28"/>
          <w:szCs w:val="24"/>
          <w:lang w:val="sq-AL" w:eastAsia="zh-CN"/>
        </w:rPr>
        <w:t>）</w:t>
      </w:r>
      <w:r>
        <w:rPr>
          <w:rFonts w:hint="default" w:ascii="Times New Roman" w:hAnsi="Times New Roman" w:cs="Times New Roman"/>
          <w:snapToGrid w:val="0"/>
          <w:kern w:val="0"/>
          <w:sz w:val="28"/>
          <w:szCs w:val="24"/>
          <w:lang w:val="sq-AL"/>
        </w:rPr>
        <w:t>《国家矿山安全监察局关于印发&lt;“学铁规、明责任、硬落实、保安全”专项活动方案&gt;的通知》（矿安〔2024〕72号，2024年7月14日）；</w:t>
      </w:r>
    </w:p>
    <w:p w14:paraId="28BC636B">
      <w:pPr>
        <w:pStyle w:val="86"/>
        <w:spacing w:line="360" w:lineRule="auto"/>
        <w:ind w:firstLine="560"/>
        <w:rPr>
          <w:rFonts w:hint="default" w:ascii="Times New Roman" w:hAnsi="Times New Roman" w:cs="Times New Roman"/>
          <w:snapToGrid w:val="0"/>
          <w:kern w:val="0"/>
          <w:sz w:val="28"/>
          <w:szCs w:val="24"/>
          <w:lang w:val="sq-AL" w:eastAsia="zh-CN"/>
        </w:rPr>
      </w:pPr>
      <w:r>
        <w:rPr>
          <w:rFonts w:hint="default" w:ascii="Times New Roman" w:hAnsi="Times New Roman" w:cs="Times New Roman"/>
          <w:snapToGrid w:val="0"/>
          <w:kern w:val="0"/>
          <w:sz w:val="28"/>
          <w:szCs w:val="24"/>
          <w:lang w:val="sq-AL" w:eastAsia="zh-CN"/>
        </w:rPr>
        <w:t>（</w:t>
      </w:r>
      <w:r>
        <w:rPr>
          <w:rFonts w:hint="default" w:ascii="Times New Roman" w:hAnsi="Times New Roman" w:cs="Times New Roman"/>
          <w:snapToGrid w:val="0"/>
          <w:kern w:val="0"/>
          <w:sz w:val="28"/>
          <w:szCs w:val="24"/>
          <w:lang w:val="en-US" w:eastAsia="zh-CN"/>
        </w:rPr>
        <w:t>27</w:t>
      </w:r>
      <w:r>
        <w:rPr>
          <w:rFonts w:hint="default" w:ascii="Times New Roman" w:hAnsi="Times New Roman" w:cs="Times New Roman"/>
          <w:snapToGrid w:val="0"/>
          <w:kern w:val="0"/>
          <w:sz w:val="28"/>
          <w:szCs w:val="24"/>
          <w:lang w:val="sq-AL" w:eastAsia="zh-CN"/>
        </w:rPr>
        <w:t>）</w:t>
      </w:r>
      <w:r>
        <w:rPr>
          <w:rFonts w:hint="default" w:ascii="Times New Roman" w:hAnsi="Times New Roman" w:cs="Times New Roman"/>
          <w:snapToGrid w:val="0"/>
          <w:kern w:val="0"/>
          <w:sz w:val="28"/>
          <w:szCs w:val="24"/>
          <w:lang w:val="sq-AL"/>
        </w:rPr>
        <w:t>国家矿山安全监察局关于印发《防范非煤矿山典型多发事故六十条措施》的通知（矿安〔2023〕124号，2023年09月13日）</w:t>
      </w:r>
      <w:r>
        <w:rPr>
          <w:rFonts w:hint="default" w:ascii="Times New Roman" w:hAnsi="Times New Roman" w:cs="Times New Roman"/>
          <w:snapToGrid w:val="0"/>
          <w:kern w:val="0"/>
          <w:sz w:val="28"/>
          <w:szCs w:val="24"/>
          <w:lang w:val="sq-AL" w:eastAsia="zh-CN"/>
        </w:rPr>
        <w:t>；</w:t>
      </w:r>
    </w:p>
    <w:p w14:paraId="47E738DE">
      <w:pPr>
        <w:pStyle w:val="86"/>
        <w:spacing w:line="360" w:lineRule="auto"/>
        <w:ind w:firstLine="560"/>
        <w:rPr>
          <w:rFonts w:hint="default" w:ascii="Times New Roman" w:hAnsi="Times New Roman" w:cs="Times New Roman"/>
          <w:snapToGrid w:val="0"/>
          <w:kern w:val="0"/>
          <w:sz w:val="28"/>
          <w:szCs w:val="24"/>
          <w:lang w:val="sq-AL"/>
        </w:rPr>
      </w:pPr>
      <w:r>
        <w:rPr>
          <w:rFonts w:hint="default" w:ascii="Times New Roman" w:hAnsi="Times New Roman" w:cs="Times New Roman"/>
          <w:snapToGrid w:val="0"/>
          <w:kern w:val="0"/>
          <w:sz w:val="28"/>
          <w:szCs w:val="24"/>
          <w:lang w:val="sq-AL" w:eastAsia="zh-CN"/>
        </w:rPr>
        <w:t>（</w:t>
      </w:r>
      <w:r>
        <w:rPr>
          <w:rFonts w:hint="default" w:ascii="Times New Roman" w:hAnsi="Times New Roman" w:cs="Times New Roman"/>
          <w:snapToGrid w:val="0"/>
          <w:kern w:val="0"/>
          <w:sz w:val="28"/>
          <w:szCs w:val="24"/>
          <w:lang w:val="en-US" w:eastAsia="zh-CN"/>
        </w:rPr>
        <w:t>28</w:t>
      </w:r>
      <w:r>
        <w:rPr>
          <w:rFonts w:hint="default" w:ascii="Times New Roman" w:hAnsi="Times New Roman" w:cs="Times New Roman"/>
          <w:snapToGrid w:val="0"/>
          <w:kern w:val="0"/>
          <w:sz w:val="28"/>
          <w:szCs w:val="24"/>
          <w:lang w:val="sq-AL" w:eastAsia="zh-CN"/>
        </w:rPr>
        <w:t>）《电力设施保护条例施行细则》（1999年3月18日国家经济贸易委员会、公安部令第8号发布；根据2023年12月26日，《国家发展改革委关于修改部分规章的决定》经第7次委务会议审议通过，其中《电力设施保护条例实施细则》被决定修改，自2024年3月1日起施行）</w:t>
      </w:r>
      <w:r>
        <w:rPr>
          <w:rFonts w:hint="default" w:ascii="Times New Roman" w:hAnsi="Times New Roman" w:cs="Times New Roman"/>
          <w:snapToGrid w:val="0"/>
          <w:kern w:val="0"/>
          <w:sz w:val="28"/>
          <w:szCs w:val="24"/>
          <w:lang w:val="sq-AL"/>
        </w:rPr>
        <w:t>。</w:t>
      </w:r>
    </w:p>
    <w:p w14:paraId="441A03BD">
      <w:pPr>
        <w:pStyle w:val="5"/>
        <w:spacing w:before="0" w:after="0" w:line="360" w:lineRule="auto"/>
        <w:ind w:firstLine="562" w:firstLineChars="200"/>
        <w:rPr>
          <w:rFonts w:hint="default" w:ascii="Times New Roman" w:hAnsi="Times New Roman" w:cs="Times New Roman"/>
        </w:rPr>
      </w:pPr>
      <w:r>
        <w:rPr>
          <w:rFonts w:hint="default" w:ascii="Times New Roman" w:hAnsi="Times New Roman" w:cs="Times New Roman"/>
        </w:rPr>
        <w:t>1.2.1.4地方性法规、地方政府规章和有关规范性文件</w:t>
      </w:r>
    </w:p>
    <w:p w14:paraId="0E297681">
      <w:pPr>
        <w:tabs>
          <w:tab w:val="left" w:pos="0"/>
          <w:tab w:val="left" w:pos="530"/>
          <w:tab w:val="left" w:pos="728"/>
          <w:tab w:val="left" w:pos="840"/>
        </w:tabs>
        <w:spacing w:line="360" w:lineRule="auto"/>
        <w:ind w:firstLine="560" w:firstLineChars="200"/>
        <w:rPr>
          <w:rFonts w:hint="default" w:ascii="Times New Roman" w:hAnsi="Times New Roman" w:cs="Times New Roman"/>
          <w:snapToGrid w:val="0"/>
          <w:kern w:val="0"/>
          <w:sz w:val="28"/>
          <w:szCs w:val="28"/>
        </w:rPr>
      </w:pPr>
      <w:r>
        <w:rPr>
          <w:rFonts w:hint="default" w:ascii="Times New Roman" w:hAnsi="Times New Roman" w:cs="Times New Roman"/>
          <w:snapToGrid w:val="0"/>
          <w:kern w:val="0"/>
          <w:sz w:val="28"/>
          <w:szCs w:val="28"/>
        </w:rPr>
        <w:t>（1）《云南省安全生产监督管理局关于进一步加强非煤矿山和尾矿库安全生产行政许可工作的通知》（原云安监管〔2009〕35号）；</w:t>
      </w:r>
    </w:p>
    <w:p w14:paraId="52316A17">
      <w:pPr>
        <w:tabs>
          <w:tab w:val="left" w:pos="0"/>
          <w:tab w:val="left" w:pos="530"/>
          <w:tab w:val="left" w:pos="728"/>
          <w:tab w:val="left" w:pos="840"/>
        </w:tabs>
        <w:spacing w:line="360" w:lineRule="auto"/>
        <w:ind w:firstLine="560" w:firstLineChars="200"/>
        <w:rPr>
          <w:rFonts w:hint="default" w:ascii="Times New Roman" w:hAnsi="Times New Roman" w:cs="Times New Roman"/>
          <w:snapToGrid w:val="0"/>
          <w:kern w:val="0"/>
          <w:sz w:val="28"/>
          <w:szCs w:val="28"/>
        </w:rPr>
      </w:pPr>
      <w:r>
        <w:rPr>
          <w:rFonts w:hint="default" w:ascii="Times New Roman" w:hAnsi="Times New Roman" w:cs="Times New Roman"/>
          <w:snapToGrid w:val="0"/>
          <w:kern w:val="0"/>
          <w:sz w:val="28"/>
          <w:szCs w:val="28"/>
        </w:rPr>
        <w:t>（2）《云南省电力设施保护条例》（2007年9月29日云南省第十届人民代表大会常务委员会第三十一次会议通过，根据2012年3月31日云南省第十一届人民代表大会常务委员会第三十次会议《云南省人民代表大会常务委员会关于修改25件涉及行政强制的地方性法规的决定》修正</w:t>
      </w:r>
      <w:r>
        <w:rPr>
          <w:rFonts w:hint="default" w:ascii="Times New Roman" w:hAnsi="Times New Roman" w:cs="Times New Roman"/>
          <w:snapToGrid w:val="0"/>
          <w:kern w:val="0"/>
          <w:sz w:val="28"/>
          <w:szCs w:val="28"/>
          <w:lang w:eastAsia="zh-CN"/>
        </w:rPr>
        <w:t>，</w:t>
      </w:r>
      <w:r>
        <w:rPr>
          <w:rFonts w:hint="default" w:ascii="Times New Roman" w:hAnsi="Times New Roman" w:cs="Times New Roman"/>
          <w:snapToGrid w:val="0"/>
          <w:kern w:val="0"/>
          <w:sz w:val="28"/>
          <w:szCs w:val="28"/>
          <w:lang w:val="en-US" w:eastAsia="zh-CN"/>
        </w:rPr>
        <w:t>根据2024年11月28日云南省第十四届人民代表大会常务委员会第十三次会议《云南省人民代表大会常务委员会关于废止和修改部分地方性法规的决定》修正</w:t>
      </w:r>
      <w:r>
        <w:rPr>
          <w:rFonts w:hint="default" w:ascii="Times New Roman" w:hAnsi="Times New Roman" w:cs="Times New Roman"/>
          <w:snapToGrid w:val="0"/>
          <w:kern w:val="0"/>
          <w:sz w:val="28"/>
          <w:szCs w:val="28"/>
        </w:rPr>
        <w:t>）；</w:t>
      </w:r>
    </w:p>
    <w:p w14:paraId="3D498DC2">
      <w:pPr>
        <w:tabs>
          <w:tab w:val="left" w:pos="0"/>
          <w:tab w:val="left" w:pos="530"/>
          <w:tab w:val="left" w:pos="728"/>
          <w:tab w:val="left" w:pos="840"/>
        </w:tabs>
        <w:spacing w:line="360" w:lineRule="auto"/>
        <w:ind w:firstLine="560" w:firstLineChars="200"/>
        <w:rPr>
          <w:rFonts w:hint="default" w:ascii="Times New Roman" w:hAnsi="Times New Roman" w:cs="Times New Roman"/>
          <w:snapToGrid w:val="0"/>
          <w:kern w:val="0"/>
          <w:sz w:val="28"/>
          <w:szCs w:val="28"/>
        </w:rPr>
      </w:pPr>
      <w:r>
        <w:rPr>
          <w:rFonts w:hint="default" w:ascii="Times New Roman" w:hAnsi="Times New Roman" w:cs="Times New Roman"/>
          <w:snapToGrid w:val="0"/>
          <w:kern w:val="0"/>
          <w:sz w:val="28"/>
          <w:szCs w:val="28"/>
        </w:rPr>
        <w:t>（3）《云南省人民政府关于促进非煤矿山转型升级的实施意见》（云政发〔2015〕38号，2015年5月29日实施）；</w:t>
      </w:r>
    </w:p>
    <w:p w14:paraId="587A09AC">
      <w:pPr>
        <w:tabs>
          <w:tab w:val="left" w:pos="0"/>
          <w:tab w:val="left" w:pos="530"/>
          <w:tab w:val="left" w:pos="728"/>
          <w:tab w:val="left" w:pos="840"/>
        </w:tabs>
        <w:spacing w:line="360" w:lineRule="auto"/>
        <w:ind w:firstLine="560" w:firstLineChars="200"/>
        <w:rPr>
          <w:rFonts w:hint="default" w:ascii="Times New Roman" w:hAnsi="Times New Roman" w:cs="Times New Roman"/>
          <w:snapToGrid w:val="0"/>
          <w:kern w:val="0"/>
          <w:sz w:val="28"/>
          <w:szCs w:val="28"/>
        </w:rPr>
      </w:pPr>
      <w:r>
        <w:rPr>
          <w:rFonts w:hint="default" w:ascii="Times New Roman" w:hAnsi="Times New Roman" w:cs="Times New Roman"/>
          <w:snapToGrid w:val="0"/>
          <w:kern w:val="0"/>
          <w:sz w:val="28"/>
          <w:szCs w:val="28"/>
        </w:rPr>
        <w:t>（4）</w:t>
      </w:r>
      <w:r>
        <w:rPr>
          <w:rFonts w:hint="default" w:ascii="Times New Roman" w:hAnsi="Times New Roman" w:cs="Times New Roman"/>
          <w:snapToGrid w:val="0"/>
          <w:kern w:val="0"/>
          <w:sz w:val="28"/>
          <w:szCs w:val="28"/>
          <w:lang w:val="sq-AL"/>
        </w:rPr>
        <w:t>《云南省安全生产监督管理局关于进一步加强安全评价</w:t>
      </w:r>
      <w:r>
        <w:rPr>
          <w:rFonts w:hint="default" w:ascii="Times New Roman" w:hAnsi="Times New Roman" w:cs="Times New Roman"/>
          <w:snapToGrid w:val="0"/>
          <w:kern w:val="0"/>
          <w:sz w:val="28"/>
          <w:szCs w:val="28"/>
          <w:lang w:val="en-US" w:eastAsia="zh-CN"/>
        </w:rPr>
        <w:t>机构</w:t>
      </w:r>
      <w:r>
        <w:rPr>
          <w:rFonts w:hint="default" w:ascii="Times New Roman" w:hAnsi="Times New Roman" w:cs="Times New Roman"/>
          <w:snapToGrid w:val="0"/>
          <w:kern w:val="0"/>
          <w:sz w:val="28"/>
          <w:szCs w:val="28"/>
          <w:lang w:val="sq-AL"/>
        </w:rPr>
        <w:t>监管工作的通知》（原云安监管〔2016〕48号）；</w:t>
      </w:r>
    </w:p>
    <w:p w14:paraId="35B09F4A">
      <w:pPr>
        <w:tabs>
          <w:tab w:val="left" w:pos="0"/>
          <w:tab w:val="left" w:pos="530"/>
          <w:tab w:val="left" w:pos="728"/>
          <w:tab w:val="left" w:pos="840"/>
        </w:tabs>
        <w:spacing w:line="360" w:lineRule="auto"/>
        <w:ind w:firstLine="560" w:firstLineChars="200"/>
        <w:rPr>
          <w:rFonts w:hint="default" w:ascii="Times New Roman" w:hAnsi="Times New Roman" w:cs="Times New Roman"/>
          <w:snapToGrid w:val="0"/>
          <w:kern w:val="0"/>
          <w:sz w:val="28"/>
          <w:szCs w:val="28"/>
        </w:rPr>
      </w:pPr>
      <w:r>
        <w:rPr>
          <w:rFonts w:hint="default" w:ascii="Times New Roman" w:hAnsi="Times New Roman" w:cs="Times New Roman"/>
          <w:snapToGrid w:val="0"/>
          <w:kern w:val="0"/>
          <w:sz w:val="28"/>
          <w:szCs w:val="28"/>
        </w:rPr>
        <w:t>（</w:t>
      </w:r>
      <w:r>
        <w:rPr>
          <w:rFonts w:hint="default" w:ascii="Times New Roman" w:hAnsi="Times New Roman" w:cs="Times New Roman"/>
          <w:snapToGrid w:val="0"/>
          <w:kern w:val="0"/>
          <w:sz w:val="28"/>
          <w:szCs w:val="28"/>
          <w:lang w:val="en-US" w:eastAsia="zh-CN"/>
        </w:rPr>
        <w:t>5</w:t>
      </w:r>
      <w:r>
        <w:rPr>
          <w:rFonts w:hint="default" w:ascii="Times New Roman" w:hAnsi="Times New Roman" w:cs="Times New Roman"/>
          <w:snapToGrid w:val="0"/>
          <w:kern w:val="0"/>
          <w:sz w:val="28"/>
          <w:szCs w:val="28"/>
        </w:rPr>
        <w:t>）</w:t>
      </w:r>
      <w:r>
        <w:rPr>
          <w:rFonts w:hint="default" w:ascii="Times New Roman" w:hAnsi="Times New Roman" w:cs="Times New Roman"/>
          <w:snapToGrid w:val="0"/>
          <w:kern w:val="0"/>
          <w:sz w:val="28"/>
          <w:szCs w:val="28"/>
          <w:lang w:val="sq-AL"/>
        </w:rPr>
        <w:t>《云南省安全生产监督管理局关于进一步规范金属非金属矿山建设项目安全“三同时”工作的通知》（原云南省安全生产监督管理局，2016年3月21日）；</w:t>
      </w:r>
    </w:p>
    <w:p w14:paraId="4DFD9607">
      <w:pPr>
        <w:tabs>
          <w:tab w:val="left" w:pos="0"/>
          <w:tab w:val="left" w:pos="530"/>
          <w:tab w:val="left" w:pos="728"/>
          <w:tab w:val="left" w:pos="840"/>
        </w:tabs>
        <w:spacing w:line="360" w:lineRule="auto"/>
        <w:ind w:firstLine="560" w:firstLineChars="200"/>
        <w:rPr>
          <w:rFonts w:hint="default" w:ascii="Times New Roman" w:hAnsi="Times New Roman" w:cs="Times New Roman"/>
          <w:snapToGrid w:val="0"/>
          <w:kern w:val="0"/>
          <w:sz w:val="28"/>
          <w:szCs w:val="28"/>
          <w:lang w:val="sq-AL"/>
        </w:rPr>
      </w:pPr>
      <w:r>
        <w:rPr>
          <w:rFonts w:hint="default" w:ascii="Times New Roman" w:hAnsi="Times New Roman" w:cs="Times New Roman"/>
          <w:snapToGrid w:val="0"/>
          <w:kern w:val="0"/>
          <w:sz w:val="28"/>
          <w:szCs w:val="28"/>
          <w:lang w:val="sq-AL"/>
        </w:rPr>
        <w:t>（</w:t>
      </w:r>
      <w:r>
        <w:rPr>
          <w:rFonts w:hint="default" w:ascii="Times New Roman" w:hAnsi="Times New Roman" w:cs="Times New Roman"/>
          <w:snapToGrid w:val="0"/>
          <w:kern w:val="0"/>
          <w:sz w:val="28"/>
          <w:szCs w:val="28"/>
          <w:lang w:val="en-US" w:eastAsia="zh-CN"/>
        </w:rPr>
        <w:t>6</w:t>
      </w:r>
      <w:r>
        <w:rPr>
          <w:rFonts w:hint="default" w:ascii="Times New Roman" w:hAnsi="Times New Roman" w:cs="Times New Roman"/>
          <w:snapToGrid w:val="0"/>
          <w:kern w:val="0"/>
          <w:sz w:val="28"/>
          <w:szCs w:val="28"/>
          <w:lang w:val="sq-AL"/>
        </w:rPr>
        <w:t>）《云南省安全生产监督管理局关于调整下放非煤矿山安全生产行政许可事项的通知》（原云安监管〔2017〕2号，2017年1月23日施行）；</w:t>
      </w:r>
    </w:p>
    <w:p w14:paraId="0706486A">
      <w:pPr>
        <w:tabs>
          <w:tab w:val="left" w:pos="0"/>
          <w:tab w:val="left" w:pos="530"/>
          <w:tab w:val="left" w:pos="728"/>
          <w:tab w:val="left" w:pos="840"/>
        </w:tabs>
        <w:spacing w:line="360" w:lineRule="auto"/>
        <w:ind w:firstLine="560" w:firstLineChars="200"/>
        <w:rPr>
          <w:rFonts w:hint="default" w:ascii="Times New Roman" w:hAnsi="Times New Roman" w:cs="Times New Roman"/>
          <w:snapToGrid w:val="0"/>
          <w:kern w:val="0"/>
          <w:sz w:val="28"/>
          <w:szCs w:val="28"/>
        </w:rPr>
      </w:pPr>
      <w:r>
        <w:rPr>
          <w:rFonts w:hint="default" w:ascii="Times New Roman" w:hAnsi="Times New Roman" w:cs="Times New Roman"/>
          <w:snapToGrid w:val="0"/>
          <w:kern w:val="0"/>
          <w:sz w:val="28"/>
          <w:szCs w:val="28"/>
        </w:rPr>
        <w:t>（</w:t>
      </w:r>
      <w:r>
        <w:rPr>
          <w:rFonts w:hint="default" w:ascii="Times New Roman" w:hAnsi="Times New Roman" w:cs="Times New Roman"/>
          <w:snapToGrid w:val="0"/>
          <w:kern w:val="0"/>
          <w:sz w:val="28"/>
          <w:szCs w:val="28"/>
          <w:lang w:val="en-US" w:eastAsia="zh-CN"/>
        </w:rPr>
        <w:t>7</w:t>
      </w:r>
      <w:r>
        <w:rPr>
          <w:rFonts w:hint="default" w:ascii="Times New Roman" w:hAnsi="Times New Roman" w:cs="Times New Roman"/>
          <w:snapToGrid w:val="0"/>
          <w:kern w:val="0"/>
          <w:sz w:val="28"/>
          <w:szCs w:val="28"/>
        </w:rPr>
        <w:t>）《云南省安全生产条例》（</w:t>
      </w:r>
      <w:r>
        <w:rPr>
          <w:rFonts w:hint="default" w:ascii="Times New Roman" w:hAnsi="Times New Roman" w:cs="Times New Roman"/>
          <w:snapToGrid w:val="0"/>
          <w:kern w:val="0"/>
          <w:sz w:val="28"/>
          <w:szCs w:val="28"/>
          <w:lang w:val="sq-AL"/>
        </w:rPr>
        <w:t>云南省第十二届人民代表大会常务委员会公告（第63号</w:t>
      </w:r>
      <w:r>
        <w:rPr>
          <w:rFonts w:hint="default" w:ascii="Times New Roman" w:hAnsi="Times New Roman" w:cs="Times New Roman"/>
          <w:snapToGrid w:val="0"/>
          <w:kern w:val="0"/>
          <w:sz w:val="28"/>
          <w:szCs w:val="28"/>
        </w:rPr>
        <w:t>2017</w:t>
      </w:r>
      <w:r>
        <w:rPr>
          <w:rFonts w:hint="default" w:ascii="Times New Roman" w:hAnsi="Times New Roman" w:cs="Times New Roman"/>
          <w:snapToGrid w:val="0"/>
          <w:kern w:val="0"/>
          <w:sz w:val="28"/>
          <w:szCs w:val="28"/>
          <w:lang w:val="sq-AL"/>
        </w:rPr>
        <w:t>年</w:t>
      </w:r>
      <w:r>
        <w:rPr>
          <w:rFonts w:hint="default" w:ascii="Times New Roman" w:hAnsi="Times New Roman" w:cs="Times New Roman"/>
          <w:snapToGrid w:val="0"/>
          <w:kern w:val="0"/>
          <w:sz w:val="28"/>
          <w:szCs w:val="28"/>
        </w:rPr>
        <w:t>11</w:t>
      </w:r>
      <w:r>
        <w:rPr>
          <w:rFonts w:hint="default" w:ascii="Times New Roman" w:hAnsi="Times New Roman" w:cs="Times New Roman"/>
          <w:snapToGrid w:val="0"/>
          <w:kern w:val="0"/>
          <w:sz w:val="28"/>
          <w:szCs w:val="28"/>
          <w:lang w:val="sq-AL"/>
        </w:rPr>
        <w:t>月</w:t>
      </w:r>
      <w:r>
        <w:rPr>
          <w:rFonts w:hint="default" w:ascii="Times New Roman" w:hAnsi="Times New Roman" w:cs="Times New Roman"/>
          <w:snapToGrid w:val="0"/>
          <w:kern w:val="0"/>
          <w:sz w:val="28"/>
          <w:szCs w:val="28"/>
        </w:rPr>
        <w:t>30</w:t>
      </w:r>
      <w:r>
        <w:rPr>
          <w:rFonts w:hint="default" w:ascii="Times New Roman" w:hAnsi="Times New Roman" w:cs="Times New Roman"/>
          <w:snapToGrid w:val="0"/>
          <w:kern w:val="0"/>
          <w:sz w:val="28"/>
          <w:szCs w:val="28"/>
          <w:lang w:val="sq-AL"/>
        </w:rPr>
        <w:t>日云南省第十二届人大常委会第三十八次会议修订，</w:t>
      </w:r>
      <w:r>
        <w:rPr>
          <w:rFonts w:hint="default" w:ascii="Times New Roman" w:hAnsi="Times New Roman" w:cs="Times New Roman"/>
          <w:snapToGrid w:val="0"/>
          <w:kern w:val="0"/>
          <w:sz w:val="28"/>
          <w:szCs w:val="28"/>
        </w:rPr>
        <w:t>2018</w:t>
      </w:r>
      <w:r>
        <w:rPr>
          <w:rFonts w:hint="default" w:ascii="Times New Roman" w:hAnsi="Times New Roman" w:cs="Times New Roman"/>
          <w:snapToGrid w:val="0"/>
          <w:kern w:val="0"/>
          <w:sz w:val="28"/>
          <w:szCs w:val="28"/>
          <w:lang w:val="sq-AL"/>
        </w:rPr>
        <w:t>年</w:t>
      </w:r>
      <w:r>
        <w:rPr>
          <w:rFonts w:hint="default" w:ascii="Times New Roman" w:hAnsi="Times New Roman" w:cs="Times New Roman"/>
          <w:snapToGrid w:val="0"/>
          <w:kern w:val="0"/>
          <w:sz w:val="28"/>
          <w:szCs w:val="28"/>
        </w:rPr>
        <w:t>1</w:t>
      </w:r>
      <w:r>
        <w:rPr>
          <w:rFonts w:hint="default" w:ascii="Times New Roman" w:hAnsi="Times New Roman" w:cs="Times New Roman"/>
          <w:snapToGrid w:val="0"/>
          <w:kern w:val="0"/>
          <w:sz w:val="28"/>
          <w:szCs w:val="28"/>
          <w:lang w:val="sq-AL"/>
        </w:rPr>
        <w:t>月</w:t>
      </w:r>
      <w:r>
        <w:rPr>
          <w:rFonts w:hint="default" w:ascii="Times New Roman" w:hAnsi="Times New Roman" w:cs="Times New Roman"/>
          <w:snapToGrid w:val="0"/>
          <w:kern w:val="0"/>
          <w:sz w:val="28"/>
          <w:szCs w:val="28"/>
        </w:rPr>
        <w:t>1</w:t>
      </w:r>
      <w:r>
        <w:rPr>
          <w:rFonts w:hint="default" w:ascii="Times New Roman" w:hAnsi="Times New Roman" w:cs="Times New Roman"/>
          <w:snapToGrid w:val="0"/>
          <w:kern w:val="0"/>
          <w:sz w:val="28"/>
          <w:szCs w:val="28"/>
          <w:lang w:val="sq-AL"/>
        </w:rPr>
        <w:t>日起正式施行</w:t>
      </w:r>
      <w:r>
        <w:rPr>
          <w:rFonts w:hint="default" w:ascii="Times New Roman" w:hAnsi="Times New Roman" w:cs="Times New Roman"/>
          <w:snapToGrid w:val="0"/>
          <w:kern w:val="0"/>
          <w:sz w:val="28"/>
          <w:szCs w:val="28"/>
        </w:rPr>
        <w:t>）；</w:t>
      </w:r>
    </w:p>
    <w:p w14:paraId="392EEE28">
      <w:pPr>
        <w:tabs>
          <w:tab w:val="left" w:pos="0"/>
          <w:tab w:val="left" w:pos="530"/>
          <w:tab w:val="left" w:pos="728"/>
          <w:tab w:val="left" w:pos="840"/>
        </w:tabs>
        <w:spacing w:line="360" w:lineRule="auto"/>
        <w:ind w:firstLine="560" w:firstLineChars="200"/>
        <w:rPr>
          <w:rFonts w:hint="default" w:ascii="Times New Roman" w:hAnsi="Times New Roman" w:cs="Times New Roman"/>
          <w:snapToGrid w:val="0"/>
          <w:kern w:val="0"/>
          <w:sz w:val="28"/>
          <w:szCs w:val="28"/>
          <w:lang w:val="sq-AL"/>
        </w:rPr>
      </w:pPr>
      <w:r>
        <w:rPr>
          <w:rFonts w:hint="default" w:ascii="Times New Roman" w:hAnsi="Times New Roman" w:cs="Times New Roman"/>
          <w:snapToGrid w:val="0"/>
          <w:kern w:val="0"/>
          <w:sz w:val="28"/>
          <w:szCs w:val="28"/>
          <w:lang w:val="sq-AL"/>
        </w:rPr>
        <w:t>（</w:t>
      </w:r>
      <w:r>
        <w:rPr>
          <w:rFonts w:hint="default" w:ascii="Times New Roman" w:hAnsi="Times New Roman" w:cs="Times New Roman"/>
          <w:snapToGrid w:val="0"/>
          <w:kern w:val="0"/>
          <w:sz w:val="28"/>
          <w:szCs w:val="28"/>
          <w:lang w:val="en-US" w:eastAsia="zh-CN"/>
        </w:rPr>
        <w:t>8</w:t>
      </w:r>
      <w:r>
        <w:rPr>
          <w:rFonts w:hint="default" w:ascii="Times New Roman" w:hAnsi="Times New Roman" w:cs="Times New Roman"/>
          <w:snapToGrid w:val="0"/>
          <w:kern w:val="0"/>
          <w:sz w:val="28"/>
          <w:szCs w:val="28"/>
          <w:lang w:val="sq-AL"/>
        </w:rPr>
        <w:t>）</w:t>
      </w:r>
      <w:r>
        <w:rPr>
          <w:rFonts w:hint="default" w:ascii="Times New Roman" w:hAnsi="Times New Roman" w:cs="Times New Roman"/>
          <w:snapToGrid w:val="0"/>
          <w:kern w:val="0"/>
          <w:sz w:val="28"/>
          <w:szCs w:val="28"/>
        </w:rPr>
        <w:t>《云南省安全生产委员会关于建立完善安全风险分级管控和隐患排查治理双重预防机制的指导意见》（云安〔2021〕3号，2021年3月18日）；</w:t>
      </w:r>
    </w:p>
    <w:p w14:paraId="19E569F4">
      <w:pPr>
        <w:tabs>
          <w:tab w:val="left" w:pos="0"/>
          <w:tab w:val="left" w:pos="530"/>
          <w:tab w:val="left" w:pos="728"/>
          <w:tab w:val="left" w:pos="840"/>
        </w:tabs>
        <w:spacing w:line="360" w:lineRule="auto"/>
        <w:ind w:firstLine="560" w:firstLineChars="200"/>
        <w:rPr>
          <w:rFonts w:hint="default" w:ascii="Times New Roman" w:hAnsi="Times New Roman" w:cs="Times New Roman"/>
          <w:snapToGrid w:val="0"/>
          <w:kern w:val="0"/>
          <w:sz w:val="28"/>
          <w:szCs w:val="28"/>
          <w:lang w:val="sq-AL"/>
        </w:rPr>
      </w:pPr>
      <w:r>
        <w:rPr>
          <w:rFonts w:hint="default" w:ascii="Times New Roman" w:hAnsi="Times New Roman" w:cs="Times New Roman"/>
          <w:snapToGrid w:val="0"/>
          <w:kern w:val="0"/>
          <w:sz w:val="28"/>
          <w:szCs w:val="28"/>
          <w:lang w:val="sq-AL"/>
        </w:rPr>
        <w:t>（</w:t>
      </w:r>
      <w:r>
        <w:rPr>
          <w:rFonts w:hint="default" w:ascii="Times New Roman" w:hAnsi="Times New Roman" w:cs="Times New Roman"/>
          <w:snapToGrid w:val="0"/>
          <w:kern w:val="0"/>
          <w:sz w:val="28"/>
          <w:szCs w:val="28"/>
          <w:lang w:val="en-US" w:eastAsia="zh-CN"/>
        </w:rPr>
        <w:t>9</w:t>
      </w:r>
      <w:r>
        <w:rPr>
          <w:rFonts w:hint="default" w:ascii="Times New Roman" w:hAnsi="Times New Roman" w:cs="Times New Roman"/>
          <w:snapToGrid w:val="0"/>
          <w:kern w:val="0"/>
          <w:sz w:val="28"/>
          <w:szCs w:val="28"/>
          <w:lang w:val="sq-AL"/>
        </w:rPr>
        <w:t>）《云南省安全生产委员会办公室关于切实做好当前矿山安全生产工作的紧急通知》（云安办函〔2023〕16号，2023年2月23日）；</w:t>
      </w:r>
    </w:p>
    <w:p w14:paraId="051925C9">
      <w:pPr>
        <w:tabs>
          <w:tab w:val="left" w:pos="0"/>
          <w:tab w:val="left" w:pos="530"/>
          <w:tab w:val="left" w:pos="728"/>
          <w:tab w:val="left" w:pos="840"/>
        </w:tabs>
        <w:spacing w:line="360" w:lineRule="auto"/>
        <w:ind w:firstLine="560" w:firstLineChars="200"/>
        <w:rPr>
          <w:rFonts w:hint="default" w:ascii="Times New Roman" w:hAnsi="Times New Roman" w:cs="Times New Roman"/>
          <w:snapToGrid w:val="0"/>
          <w:kern w:val="0"/>
          <w:sz w:val="28"/>
          <w:szCs w:val="28"/>
          <w:lang w:val="sq-AL"/>
        </w:rPr>
      </w:pPr>
      <w:r>
        <w:rPr>
          <w:rFonts w:hint="default" w:ascii="Times New Roman" w:hAnsi="Times New Roman" w:cs="Times New Roman"/>
          <w:snapToGrid w:val="0"/>
          <w:kern w:val="0"/>
          <w:sz w:val="28"/>
          <w:szCs w:val="28"/>
          <w:lang w:val="sq-AL"/>
        </w:rPr>
        <w:t>（1</w:t>
      </w:r>
      <w:r>
        <w:rPr>
          <w:rFonts w:hint="default" w:ascii="Times New Roman" w:hAnsi="Times New Roman" w:cs="Times New Roman"/>
          <w:snapToGrid w:val="0"/>
          <w:kern w:val="0"/>
          <w:sz w:val="28"/>
          <w:szCs w:val="28"/>
          <w:lang w:val="en-US" w:eastAsia="zh-CN"/>
        </w:rPr>
        <w:t>0</w:t>
      </w:r>
      <w:r>
        <w:rPr>
          <w:rFonts w:hint="default" w:ascii="Times New Roman" w:hAnsi="Times New Roman" w:cs="Times New Roman"/>
          <w:snapToGrid w:val="0"/>
          <w:kern w:val="0"/>
          <w:sz w:val="28"/>
          <w:szCs w:val="28"/>
          <w:lang w:val="sq-AL"/>
        </w:rPr>
        <w:t>）《云南省应急管理厅 国家矿山安全监察局云南局</w:t>
      </w:r>
      <w:r>
        <w:rPr>
          <w:rFonts w:hint="default" w:ascii="Times New Roman" w:hAnsi="Times New Roman" w:cs="Times New Roman"/>
          <w:snapToGrid w:val="0"/>
          <w:kern w:val="0"/>
          <w:sz w:val="28"/>
          <w:szCs w:val="28"/>
          <w:lang w:val="sq-AL" w:eastAsia="zh-CN"/>
        </w:rPr>
        <w:t>〈</w:t>
      </w:r>
      <w:r>
        <w:rPr>
          <w:rFonts w:hint="default" w:ascii="Times New Roman" w:hAnsi="Times New Roman" w:cs="Times New Roman"/>
          <w:snapToGrid w:val="0"/>
          <w:kern w:val="0"/>
          <w:sz w:val="28"/>
          <w:szCs w:val="28"/>
          <w:lang w:val="sq-AL"/>
        </w:rPr>
        <w:t>关于开展非煤露天矿山安全生产专项整治的通知</w:t>
      </w:r>
      <w:r>
        <w:rPr>
          <w:rFonts w:hint="default" w:ascii="Times New Roman" w:hAnsi="Times New Roman" w:cs="Times New Roman"/>
          <w:snapToGrid w:val="0"/>
          <w:kern w:val="0"/>
          <w:sz w:val="28"/>
          <w:szCs w:val="28"/>
        </w:rPr>
        <w:t>&gt;</w:t>
      </w:r>
      <w:r>
        <w:rPr>
          <w:rFonts w:hint="default" w:ascii="Times New Roman" w:hAnsi="Times New Roman" w:cs="Times New Roman"/>
          <w:snapToGrid w:val="0"/>
          <w:kern w:val="0"/>
          <w:sz w:val="28"/>
          <w:szCs w:val="28"/>
          <w:lang w:val="sq-AL"/>
        </w:rPr>
        <w:t>》（云应急〔2023〕31号，2023年3月9日）；</w:t>
      </w:r>
    </w:p>
    <w:p w14:paraId="171311BC">
      <w:pPr>
        <w:tabs>
          <w:tab w:val="left" w:pos="0"/>
          <w:tab w:val="left" w:pos="530"/>
          <w:tab w:val="left" w:pos="728"/>
          <w:tab w:val="left" w:pos="840"/>
        </w:tabs>
        <w:spacing w:line="360" w:lineRule="auto"/>
        <w:ind w:firstLine="560" w:firstLineChars="200"/>
        <w:rPr>
          <w:rFonts w:hint="default" w:ascii="Times New Roman" w:hAnsi="Times New Roman" w:cs="Times New Roman"/>
          <w:snapToGrid w:val="0"/>
          <w:kern w:val="0"/>
          <w:sz w:val="28"/>
          <w:szCs w:val="28"/>
          <w:lang w:val="sq-AL"/>
        </w:rPr>
      </w:pPr>
      <w:r>
        <w:rPr>
          <w:rFonts w:hint="default" w:ascii="Times New Roman" w:hAnsi="Times New Roman" w:cs="Times New Roman"/>
          <w:snapToGrid w:val="0"/>
          <w:kern w:val="0"/>
          <w:sz w:val="28"/>
          <w:szCs w:val="28"/>
          <w:lang w:val="sq-AL"/>
        </w:rPr>
        <w:t>（1</w:t>
      </w:r>
      <w:r>
        <w:rPr>
          <w:rFonts w:hint="default" w:ascii="Times New Roman" w:hAnsi="Times New Roman" w:cs="Times New Roman"/>
          <w:snapToGrid w:val="0"/>
          <w:kern w:val="0"/>
          <w:sz w:val="28"/>
          <w:szCs w:val="28"/>
          <w:lang w:val="en-US" w:eastAsia="zh-CN"/>
        </w:rPr>
        <w:t>1</w:t>
      </w:r>
      <w:r>
        <w:rPr>
          <w:rFonts w:hint="default" w:ascii="Times New Roman" w:hAnsi="Times New Roman" w:cs="Times New Roman"/>
          <w:snapToGrid w:val="0"/>
          <w:kern w:val="0"/>
          <w:sz w:val="28"/>
          <w:szCs w:val="28"/>
          <w:lang w:val="sq-AL"/>
        </w:rPr>
        <w:t>）《云南省安全生产委员会办公室关于印发云南省非煤矿山安全生产治本攻坚三年行动方案（2024—2026年）的通知》（云安办〔2024〕14号，2024年3月1日发布）；</w:t>
      </w:r>
    </w:p>
    <w:p w14:paraId="0624DAD2">
      <w:pPr>
        <w:spacing w:line="360" w:lineRule="auto"/>
        <w:ind w:firstLine="560" w:firstLineChars="200"/>
        <w:rPr>
          <w:rFonts w:hint="default" w:ascii="Times New Roman" w:hAnsi="Times New Roman" w:cs="Times New Roman"/>
          <w:sz w:val="28"/>
          <w:szCs w:val="28"/>
          <w:lang w:val="sq-AL"/>
        </w:rPr>
      </w:pPr>
      <w:r>
        <w:rPr>
          <w:rFonts w:hint="default" w:ascii="Times New Roman" w:hAnsi="Times New Roman" w:cs="Times New Roman"/>
          <w:sz w:val="28"/>
          <w:szCs w:val="28"/>
          <w:lang w:val="sq-AL"/>
        </w:rPr>
        <w:t>（</w:t>
      </w:r>
      <w:r>
        <w:rPr>
          <w:rFonts w:hint="default" w:ascii="Times New Roman" w:hAnsi="Times New Roman" w:cs="Times New Roman"/>
          <w:sz w:val="28"/>
          <w:szCs w:val="28"/>
        </w:rPr>
        <w:t>1</w:t>
      </w:r>
      <w:r>
        <w:rPr>
          <w:rFonts w:hint="default" w:ascii="Times New Roman" w:hAnsi="Times New Roman" w:cs="Times New Roman"/>
          <w:sz w:val="28"/>
          <w:szCs w:val="28"/>
          <w:lang w:val="en-US" w:eastAsia="zh-CN"/>
        </w:rPr>
        <w:t>2</w:t>
      </w:r>
      <w:r>
        <w:rPr>
          <w:rFonts w:hint="default" w:ascii="Times New Roman" w:hAnsi="Times New Roman" w:cs="Times New Roman"/>
          <w:sz w:val="28"/>
          <w:szCs w:val="28"/>
          <w:lang w:val="sq-AL"/>
        </w:rPr>
        <w:t>）《云南省全面加强非煤矿山安全生产工作若干措施》（云政办发〔2024〕44号，2024年7月23日）。</w:t>
      </w:r>
    </w:p>
    <w:p w14:paraId="43270511">
      <w:pPr>
        <w:pStyle w:val="4"/>
        <w:spacing w:before="0" w:after="0" w:line="360" w:lineRule="auto"/>
        <w:ind w:firstLine="562" w:firstLineChars="200"/>
        <w:rPr>
          <w:rFonts w:hint="default" w:ascii="Times New Roman" w:hAnsi="Times New Roman" w:eastAsia="黑体" w:cs="Times New Roman"/>
          <w:sz w:val="28"/>
          <w:szCs w:val="28"/>
        </w:rPr>
      </w:pPr>
      <w:bookmarkStart w:id="96" w:name="_Toc2404"/>
      <w:bookmarkStart w:id="97" w:name="_Toc4124"/>
      <w:bookmarkStart w:id="98" w:name="_Toc24830"/>
      <w:bookmarkStart w:id="99" w:name="_Toc23242"/>
      <w:bookmarkStart w:id="100" w:name="_Toc17105"/>
      <w:bookmarkStart w:id="101" w:name="_Toc16238656"/>
      <w:r>
        <w:rPr>
          <w:rFonts w:hint="default" w:ascii="Times New Roman" w:hAnsi="Times New Roman" w:eastAsia="黑体" w:cs="Times New Roman"/>
          <w:sz w:val="28"/>
          <w:szCs w:val="28"/>
        </w:rPr>
        <w:t>1.2.2 标准规范</w:t>
      </w:r>
      <w:bookmarkEnd w:id="96"/>
      <w:bookmarkEnd w:id="97"/>
      <w:bookmarkEnd w:id="98"/>
      <w:bookmarkEnd w:id="99"/>
      <w:bookmarkEnd w:id="100"/>
      <w:bookmarkEnd w:id="101"/>
    </w:p>
    <w:p w14:paraId="52A0F5ED">
      <w:pPr>
        <w:pStyle w:val="86"/>
        <w:tabs>
          <w:tab w:val="left" w:pos="0"/>
        </w:tabs>
        <w:spacing w:line="360" w:lineRule="auto"/>
        <w:ind w:firstLine="560"/>
        <w:rPr>
          <w:rFonts w:hint="default" w:ascii="Times New Roman" w:hAnsi="Times New Roman" w:cs="Times New Roman"/>
          <w:snapToGrid w:val="0"/>
          <w:kern w:val="0"/>
          <w:sz w:val="28"/>
          <w:szCs w:val="24"/>
          <w:lang w:val="sq-AL"/>
        </w:rPr>
      </w:pPr>
      <w:r>
        <w:rPr>
          <w:rFonts w:hint="default" w:ascii="Times New Roman" w:hAnsi="Times New Roman" w:cs="Times New Roman"/>
          <w:snapToGrid w:val="0"/>
          <w:kern w:val="0"/>
          <w:sz w:val="28"/>
          <w:szCs w:val="24"/>
          <w:lang w:val="sq-AL"/>
        </w:rPr>
        <w:t>（1）《企业职工伤亡事故分类》（GB6441-1986，1987年2月1日实施）；</w:t>
      </w:r>
    </w:p>
    <w:p w14:paraId="760AC57F">
      <w:pPr>
        <w:pStyle w:val="86"/>
        <w:tabs>
          <w:tab w:val="left" w:pos="0"/>
        </w:tabs>
        <w:spacing w:line="360" w:lineRule="auto"/>
        <w:ind w:firstLine="560"/>
        <w:rPr>
          <w:rFonts w:hint="default" w:ascii="Times New Roman" w:hAnsi="Times New Roman" w:cs="Times New Roman"/>
          <w:snapToGrid w:val="0"/>
          <w:kern w:val="0"/>
          <w:sz w:val="28"/>
          <w:szCs w:val="24"/>
          <w:lang w:val="sq-AL"/>
        </w:rPr>
      </w:pPr>
      <w:r>
        <w:rPr>
          <w:rFonts w:hint="default" w:ascii="Times New Roman" w:hAnsi="Times New Roman" w:cs="Times New Roman"/>
          <w:snapToGrid w:val="0"/>
          <w:kern w:val="0"/>
          <w:sz w:val="28"/>
          <w:szCs w:val="24"/>
          <w:lang w:val="sq-AL"/>
        </w:rPr>
        <w:t>（2）《厂矿道路设计规范》（GBJ22-1987，1988年8月1日实施）；</w:t>
      </w:r>
    </w:p>
    <w:p w14:paraId="79CEDB01">
      <w:pPr>
        <w:pStyle w:val="86"/>
        <w:tabs>
          <w:tab w:val="left" w:pos="0"/>
        </w:tabs>
        <w:spacing w:line="360" w:lineRule="auto"/>
        <w:ind w:firstLine="560"/>
        <w:rPr>
          <w:rFonts w:hint="default" w:ascii="Times New Roman" w:hAnsi="Times New Roman" w:cs="Times New Roman"/>
          <w:snapToGrid w:val="0"/>
          <w:kern w:val="0"/>
          <w:sz w:val="28"/>
          <w:szCs w:val="24"/>
          <w:lang w:val="sq-AL"/>
        </w:rPr>
      </w:pPr>
      <w:r>
        <w:rPr>
          <w:rFonts w:hint="default" w:ascii="Times New Roman" w:hAnsi="Times New Roman" w:cs="Times New Roman"/>
          <w:snapToGrid w:val="0"/>
          <w:kern w:val="0"/>
          <w:sz w:val="28"/>
          <w:szCs w:val="24"/>
          <w:lang w:val="sq-AL"/>
        </w:rPr>
        <w:t>（3）《生产设备安全卫生设计总则》（GB5083-</w:t>
      </w:r>
      <w:r>
        <w:rPr>
          <w:rFonts w:hint="default" w:ascii="Times New Roman" w:hAnsi="Times New Roman" w:cs="Times New Roman"/>
          <w:snapToGrid w:val="0"/>
          <w:kern w:val="0"/>
          <w:sz w:val="28"/>
          <w:szCs w:val="24"/>
          <w:lang w:val="en-US" w:eastAsia="zh-CN"/>
        </w:rPr>
        <w:t>2023</w:t>
      </w:r>
      <w:r>
        <w:rPr>
          <w:rFonts w:hint="default" w:ascii="Times New Roman" w:hAnsi="Times New Roman" w:cs="Times New Roman"/>
          <w:snapToGrid w:val="0"/>
          <w:kern w:val="0"/>
          <w:sz w:val="28"/>
          <w:szCs w:val="24"/>
          <w:lang w:val="sq-AL"/>
        </w:rPr>
        <w:t>，</w:t>
      </w:r>
      <w:r>
        <w:rPr>
          <w:rFonts w:hint="default" w:ascii="Times New Roman" w:hAnsi="Times New Roman" w:cs="Times New Roman"/>
          <w:snapToGrid w:val="0"/>
          <w:kern w:val="0"/>
          <w:sz w:val="28"/>
          <w:szCs w:val="24"/>
          <w:lang w:val="en-US" w:eastAsia="zh-CN"/>
        </w:rPr>
        <w:t>2025</w:t>
      </w:r>
      <w:r>
        <w:rPr>
          <w:rFonts w:hint="default" w:ascii="Times New Roman" w:hAnsi="Times New Roman" w:cs="Times New Roman"/>
          <w:snapToGrid w:val="0"/>
          <w:kern w:val="0"/>
          <w:sz w:val="28"/>
          <w:szCs w:val="24"/>
          <w:lang w:val="sq-AL"/>
        </w:rPr>
        <w:t>年</w:t>
      </w:r>
      <w:r>
        <w:rPr>
          <w:rFonts w:hint="default" w:ascii="Times New Roman" w:hAnsi="Times New Roman" w:cs="Times New Roman"/>
          <w:snapToGrid w:val="0"/>
          <w:kern w:val="0"/>
          <w:sz w:val="28"/>
          <w:szCs w:val="24"/>
          <w:lang w:val="en-US" w:eastAsia="zh-CN"/>
        </w:rPr>
        <w:t>1</w:t>
      </w:r>
      <w:r>
        <w:rPr>
          <w:rFonts w:hint="default" w:ascii="Times New Roman" w:hAnsi="Times New Roman" w:cs="Times New Roman"/>
          <w:snapToGrid w:val="0"/>
          <w:kern w:val="0"/>
          <w:sz w:val="28"/>
          <w:szCs w:val="24"/>
          <w:lang w:val="sq-AL"/>
        </w:rPr>
        <w:t>月1日实施）；</w:t>
      </w:r>
    </w:p>
    <w:p w14:paraId="7AA1E32A">
      <w:pPr>
        <w:pStyle w:val="86"/>
        <w:tabs>
          <w:tab w:val="left" w:pos="0"/>
        </w:tabs>
        <w:spacing w:line="360" w:lineRule="auto"/>
        <w:ind w:firstLine="560"/>
        <w:rPr>
          <w:rFonts w:hint="default" w:ascii="Times New Roman" w:hAnsi="Times New Roman" w:cs="Times New Roman"/>
          <w:snapToGrid w:val="0"/>
          <w:kern w:val="0"/>
          <w:sz w:val="28"/>
          <w:szCs w:val="24"/>
          <w:lang w:val="sq-AL"/>
        </w:rPr>
      </w:pPr>
      <w:r>
        <w:rPr>
          <w:rFonts w:hint="default" w:ascii="Times New Roman" w:hAnsi="Times New Roman" w:cs="Times New Roman"/>
          <w:snapToGrid w:val="0"/>
          <w:kern w:val="0"/>
          <w:sz w:val="28"/>
          <w:szCs w:val="24"/>
          <w:lang w:val="sq-AL"/>
        </w:rPr>
        <w:t>（4）《建筑灭火器配置设计规范》（GB50140-2005，2005年10月1日实施）；</w:t>
      </w:r>
    </w:p>
    <w:p w14:paraId="61CA727E">
      <w:pPr>
        <w:pStyle w:val="86"/>
        <w:tabs>
          <w:tab w:val="left" w:pos="0"/>
        </w:tabs>
        <w:spacing w:line="360" w:lineRule="auto"/>
        <w:ind w:firstLine="560"/>
        <w:rPr>
          <w:rFonts w:hint="default" w:ascii="Times New Roman" w:hAnsi="Times New Roman" w:cs="Times New Roman"/>
          <w:snapToGrid w:val="0"/>
          <w:kern w:val="0"/>
          <w:sz w:val="28"/>
          <w:szCs w:val="24"/>
          <w:lang w:val="sq-AL"/>
        </w:rPr>
      </w:pPr>
      <w:r>
        <w:rPr>
          <w:rFonts w:hint="default" w:ascii="Times New Roman" w:hAnsi="Times New Roman" w:cs="Times New Roman"/>
          <w:snapToGrid w:val="0"/>
          <w:kern w:val="0"/>
          <w:sz w:val="28"/>
          <w:szCs w:val="24"/>
          <w:lang w:val="sq-AL"/>
        </w:rPr>
        <w:t>（5）《高处作业分级》（GB/T3608-2008，2009年6月1日实施）；</w:t>
      </w:r>
    </w:p>
    <w:p w14:paraId="48051F9B">
      <w:pPr>
        <w:pStyle w:val="86"/>
        <w:tabs>
          <w:tab w:val="left" w:pos="0"/>
        </w:tabs>
        <w:spacing w:line="360" w:lineRule="auto"/>
        <w:ind w:firstLine="560"/>
        <w:rPr>
          <w:rFonts w:hint="default" w:ascii="Times New Roman" w:hAnsi="Times New Roman" w:cs="Times New Roman"/>
          <w:snapToGrid w:val="0"/>
          <w:kern w:val="0"/>
          <w:sz w:val="28"/>
          <w:szCs w:val="24"/>
          <w:lang w:val="sq-AL"/>
        </w:rPr>
      </w:pPr>
      <w:r>
        <w:rPr>
          <w:rFonts w:hint="default" w:ascii="Times New Roman" w:hAnsi="Times New Roman" w:cs="Times New Roman"/>
          <w:snapToGrid w:val="0"/>
          <w:kern w:val="0"/>
          <w:sz w:val="28"/>
          <w:szCs w:val="24"/>
          <w:lang w:val="sq-AL"/>
        </w:rPr>
        <w:t>（6）《安全标志及其使用导则》（GB2894-2008，2009年10月1日实施）；</w:t>
      </w:r>
    </w:p>
    <w:p w14:paraId="6AC1E0EC">
      <w:pPr>
        <w:pStyle w:val="86"/>
        <w:tabs>
          <w:tab w:val="left" w:pos="0"/>
        </w:tabs>
        <w:spacing w:line="360" w:lineRule="auto"/>
        <w:ind w:firstLine="560"/>
        <w:rPr>
          <w:rFonts w:hint="default" w:ascii="Times New Roman" w:hAnsi="Times New Roman" w:cs="Times New Roman"/>
          <w:snapToGrid w:val="0"/>
          <w:kern w:val="0"/>
          <w:sz w:val="28"/>
          <w:szCs w:val="24"/>
          <w:lang w:val="sq-AL"/>
        </w:rPr>
      </w:pPr>
      <w:r>
        <w:rPr>
          <w:rFonts w:hint="default" w:ascii="Times New Roman" w:hAnsi="Times New Roman" w:cs="Times New Roman"/>
          <w:snapToGrid w:val="0"/>
          <w:kern w:val="0"/>
          <w:sz w:val="28"/>
          <w:szCs w:val="24"/>
          <w:lang w:val="sq-AL"/>
        </w:rPr>
        <w:t>（7）《</w:t>
      </w:r>
      <w:r>
        <w:rPr>
          <w:rFonts w:hint="default" w:ascii="Times New Roman" w:hAnsi="Times New Roman" w:cs="Times New Roman"/>
          <w:snapToGrid w:val="0"/>
          <w:kern w:val="0"/>
          <w:sz w:val="28"/>
          <w:szCs w:val="24"/>
        </w:rPr>
        <w:t>矿山安全标志</w:t>
      </w:r>
      <w:r>
        <w:rPr>
          <w:rFonts w:hint="default" w:ascii="Times New Roman" w:hAnsi="Times New Roman" w:cs="Times New Roman"/>
          <w:snapToGrid w:val="0"/>
          <w:kern w:val="0"/>
          <w:sz w:val="28"/>
          <w:szCs w:val="24"/>
          <w:lang w:val="sq-AL"/>
        </w:rPr>
        <w:t>》（</w:t>
      </w:r>
      <w:r>
        <w:rPr>
          <w:rFonts w:hint="default" w:ascii="Times New Roman" w:hAnsi="Times New Roman" w:cs="Times New Roman"/>
          <w:snapToGrid w:val="0"/>
          <w:kern w:val="0"/>
          <w:sz w:val="28"/>
          <w:szCs w:val="24"/>
        </w:rPr>
        <w:t>GB</w:t>
      </w:r>
      <w:r>
        <w:rPr>
          <w:rFonts w:hint="default" w:ascii="Times New Roman" w:hAnsi="Times New Roman" w:cs="Times New Roman"/>
          <w:snapToGrid w:val="0"/>
          <w:kern w:val="0"/>
          <w:sz w:val="28"/>
          <w:szCs w:val="24"/>
          <w:lang w:val="en-US" w:eastAsia="zh-CN"/>
        </w:rPr>
        <w:t>/T</w:t>
      </w:r>
      <w:r>
        <w:rPr>
          <w:rFonts w:hint="default" w:ascii="Times New Roman" w:hAnsi="Times New Roman" w:cs="Times New Roman"/>
          <w:snapToGrid w:val="0"/>
          <w:kern w:val="0"/>
          <w:sz w:val="28"/>
          <w:szCs w:val="24"/>
        </w:rPr>
        <w:t>14161-2008，2009年10月1日实施</w:t>
      </w:r>
      <w:r>
        <w:rPr>
          <w:rFonts w:hint="default" w:ascii="Times New Roman" w:hAnsi="Times New Roman" w:cs="Times New Roman"/>
          <w:snapToGrid w:val="0"/>
          <w:kern w:val="0"/>
          <w:sz w:val="28"/>
          <w:szCs w:val="24"/>
          <w:lang w:val="sq-AL"/>
        </w:rPr>
        <w:t>）；</w:t>
      </w:r>
    </w:p>
    <w:p w14:paraId="0774FF3C">
      <w:pPr>
        <w:pStyle w:val="86"/>
        <w:tabs>
          <w:tab w:val="left" w:pos="0"/>
        </w:tabs>
        <w:spacing w:line="360" w:lineRule="auto"/>
        <w:ind w:firstLine="560"/>
        <w:rPr>
          <w:rFonts w:hint="default" w:ascii="Times New Roman" w:hAnsi="Times New Roman" w:cs="Times New Roman"/>
          <w:snapToGrid w:val="0"/>
          <w:kern w:val="0"/>
          <w:sz w:val="28"/>
          <w:szCs w:val="24"/>
          <w:lang w:val="sq-AL"/>
        </w:rPr>
      </w:pPr>
      <w:r>
        <w:rPr>
          <w:rFonts w:hint="default" w:ascii="Times New Roman" w:hAnsi="Times New Roman" w:cs="Times New Roman"/>
          <w:snapToGrid w:val="0"/>
          <w:kern w:val="0"/>
          <w:sz w:val="28"/>
          <w:szCs w:val="24"/>
          <w:lang w:val="sq-AL"/>
        </w:rPr>
        <w:t>（8）《生产过程安全卫生要求总则》（</w:t>
      </w:r>
      <w:r>
        <w:rPr>
          <w:rFonts w:hint="default" w:ascii="Times New Roman" w:hAnsi="Times New Roman" w:cs="Times New Roman"/>
          <w:snapToGrid w:val="0"/>
          <w:kern w:val="0"/>
          <w:sz w:val="28"/>
          <w:szCs w:val="24"/>
          <w:lang w:val="sq-AL" w:eastAsia="zh-CN"/>
        </w:rPr>
        <w:t>GB/T 12801-2008，</w:t>
      </w:r>
      <w:r>
        <w:rPr>
          <w:rFonts w:hint="default" w:ascii="Times New Roman" w:hAnsi="Times New Roman" w:cs="Times New Roman"/>
          <w:snapToGrid w:val="0"/>
          <w:kern w:val="0"/>
          <w:sz w:val="28"/>
          <w:szCs w:val="24"/>
        </w:rPr>
        <w:t>2009年10月1日实施</w:t>
      </w:r>
      <w:r>
        <w:rPr>
          <w:rFonts w:hint="default" w:ascii="Times New Roman" w:hAnsi="Times New Roman" w:cs="Times New Roman"/>
          <w:snapToGrid w:val="0"/>
          <w:kern w:val="0"/>
          <w:sz w:val="28"/>
          <w:szCs w:val="24"/>
          <w:lang w:val="sq-AL"/>
        </w:rPr>
        <w:t>）；</w:t>
      </w:r>
    </w:p>
    <w:p w14:paraId="683AB604">
      <w:pPr>
        <w:pStyle w:val="86"/>
        <w:tabs>
          <w:tab w:val="left" w:pos="0"/>
        </w:tabs>
        <w:spacing w:line="360" w:lineRule="auto"/>
        <w:ind w:firstLine="560"/>
        <w:rPr>
          <w:rFonts w:hint="default" w:ascii="Times New Roman" w:hAnsi="Times New Roman" w:cs="Times New Roman"/>
          <w:snapToGrid w:val="0"/>
          <w:kern w:val="0"/>
          <w:sz w:val="28"/>
          <w:szCs w:val="24"/>
          <w:lang w:val="sq-AL"/>
        </w:rPr>
      </w:pPr>
      <w:r>
        <w:rPr>
          <w:rFonts w:hint="default" w:ascii="Times New Roman" w:hAnsi="Times New Roman" w:cs="Times New Roman"/>
          <w:snapToGrid w:val="0"/>
          <w:kern w:val="0"/>
          <w:sz w:val="28"/>
          <w:szCs w:val="24"/>
          <w:lang w:val="sq-AL"/>
        </w:rPr>
        <w:t>（9）《</w:t>
      </w:r>
      <w:r>
        <w:rPr>
          <w:rFonts w:hint="default" w:ascii="Times New Roman" w:hAnsi="Times New Roman" w:cs="Times New Roman"/>
          <w:snapToGrid w:val="0"/>
          <w:kern w:val="0"/>
          <w:sz w:val="28"/>
          <w:szCs w:val="24"/>
          <w:lang w:val="sq-AL" w:eastAsia="zh-CN"/>
        </w:rPr>
        <w:t>建筑抗震设计标准</w:t>
      </w:r>
      <w:r>
        <w:rPr>
          <w:rFonts w:hint="default" w:ascii="Times New Roman" w:hAnsi="Times New Roman" w:cs="Times New Roman"/>
          <w:snapToGrid w:val="0"/>
          <w:kern w:val="0"/>
          <w:sz w:val="28"/>
          <w:szCs w:val="24"/>
          <w:lang w:val="sq-AL"/>
        </w:rPr>
        <w:t>》（</w:t>
      </w:r>
      <w:r>
        <w:rPr>
          <w:rFonts w:hint="default" w:ascii="Times New Roman" w:hAnsi="Times New Roman" w:cs="Times New Roman"/>
          <w:snapToGrid w:val="0"/>
          <w:kern w:val="0"/>
          <w:sz w:val="28"/>
          <w:szCs w:val="24"/>
          <w:lang w:val="sq-AL" w:eastAsia="zh-CN"/>
        </w:rPr>
        <w:t>GB/T 50011-2010[2024年版]</w:t>
      </w:r>
      <w:r>
        <w:rPr>
          <w:rFonts w:hint="default" w:ascii="Times New Roman" w:hAnsi="Times New Roman" w:cs="Times New Roman"/>
          <w:lang w:eastAsia="zh-CN"/>
        </w:rPr>
        <w:t>，</w:t>
      </w:r>
      <w:r>
        <w:rPr>
          <w:rFonts w:hint="default" w:ascii="Times New Roman" w:hAnsi="Times New Roman" w:cs="Times New Roman"/>
          <w:snapToGrid w:val="0"/>
          <w:kern w:val="0"/>
          <w:sz w:val="28"/>
          <w:szCs w:val="24"/>
          <w:lang w:val="sq-AL"/>
        </w:rPr>
        <w:t>2010年12月1日实施）；</w:t>
      </w:r>
    </w:p>
    <w:p w14:paraId="38D40092">
      <w:pPr>
        <w:tabs>
          <w:tab w:val="left" w:pos="0"/>
        </w:tabs>
        <w:spacing w:line="360" w:lineRule="auto"/>
        <w:ind w:firstLine="560" w:firstLineChars="200"/>
        <w:rPr>
          <w:rFonts w:hint="default" w:ascii="Times New Roman" w:hAnsi="Times New Roman" w:cs="Times New Roman"/>
          <w:snapToGrid w:val="0"/>
          <w:kern w:val="0"/>
          <w:sz w:val="28"/>
          <w:lang w:val="sq-AL"/>
        </w:rPr>
      </w:pPr>
      <w:r>
        <w:rPr>
          <w:rFonts w:hint="default" w:ascii="Times New Roman" w:hAnsi="Times New Roman" w:cs="Times New Roman"/>
          <w:snapToGrid w:val="0"/>
          <w:kern w:val="0"/>
          <w:sz w:val="28"/>
          <w:lang w:val="sq-AL"/>
        </w:rPr>
        <w:t>（10）《电气设备安全设计导则》（GB/T25295-2010，2011年5月1日实施）；</w:t>
      </w:r>
    </w:p>
    <w:p w14:paraId="383620C5">
      <w:pPr>
        <w:tabs>
          <w:tab w:val="left" w:pos="0"/>
        </w:tabs>
        <w:spacing w:line="360" w:lineRule="auto"/>
        <w:ind w:firstLine="560" w:firstLineChars="200"/>
        <w:rPr>
          <w:rFonts w:hint="default" w:ascii="Times New Roman" w:hAnsi="Times New Roman" w:cs="Times New Roman"/>
          <w:snapToGrid w:val="0"/>
          <w:kern w:val="0"/>
          <w:sz w:val="28"/>
          <w:lang w:val="sq-AL"/>
        </w:rPr>
      </w:pPr>
      <w:r>
        <w:rPr>
          <w:rFonts w:hint="default" w:ascii="Times New Roman" w:hAnsi="Times New Roman" w:cs="Times New Roman"/>
          <w:snapToGrid w:val="0"/>
          <w:kern w:val="0"/>
          <w:sz w:val="28"/>
          <w:lang w:val="sq-AL"/>
        </w:rPr>
        <w:t>（11）《建筑物防雷设计规范》（GB50057-2010，2011年10月1日实施）；</w:t>
      </w:r>
    </w:p>
    <w:p w14:paraId="4855B31C">
      <w:pPr>
        <w:tabs>
          <w:tab w:val="left" w:pos="0"/>
        </w:tabs>
        <w:spacing w:line="360" w:lineRule="auto"/>
        <w:ind w:firstLine="560" w:firstLineChars="200"/>
        <w:rPr>
          <w:rFonts w:hint="default" w:ascii="Times New Roman" w:hAnsi="Times New Roman" w:cs="Times New Roman"/>
          <w:snapToGrid w:val="0"/>
          <w:kern w:val="0"/>
          <w:sz w:val="28"/>
          <w:lang w:val="sq-AL"/>
        </w:rPr>
      </w:pPr>
      <w:r>
        <w:rPr>
          <w:rFonts w:hint="default" w:ascii="Times New Roman" w:hAnsi="Times New Roman" w:cs="Times New Roman"/>
          <w:snapToGrid w:val="0"/>
          <w:kern w:val="0"/>
          <w:sz w:val="28"/>
          <w:lang w:val="sq-AL"/>
        </w:rPr>
        <w:t>（12）《低压配电设计规范》（GB50054-2011，2012年6月1日实施）；</w:t>
      </w:r>
    </w:p>
    <w:p w14:paraId="5272BEED">
      <w:pPr>
        <w:tabs>
          <w:tab w:val="left" w:pos="0"/>
        </w:tabs>
        <w:spacing w:line="360" w:lineRule="auto"/>
        <w:ind w:firstLine="560" w:firstLineChars="200"/>
        <w:rPr>
          <w:rFonts w:hint="default" w:ascii="Times New Roman" w:hAnsi="Times New Roman" w:cs="Times New Roman"/>
          <w:snapToGrid w:val="0"/>
          <w:kern w:val="0"/>
          <w:sz w:val="28"/>
          <w:lang w:val="sq-AL"/>
        </w:rPr>
      </w:pPr>
      <w:r>
        <w:rPr>
          <w:rFonts w:hint="default" w:ascii="Times New Roman" w:hAnsi="Times New Roman" w:cs="Times New Roman"/>
          <w:snapToGrid w:val="0"/>
          <w:kern w:val="0"/>
          <w:sz w:val="28"/>
          <w:lang w:val="sq-AL"/>
        </w:rPr>
        <w:t>（13）《工业企业总平面设计规范》（GB50187-2012，2012年8月1日实施）；</w:t>
      </w:r>
    </w:p>
    <w:p w14:paraId="1E93E18C">
      <w:pPr>
        <w:tabs>
          <w:tab w:val="left" w:pos="0"/>
        </w:tabs>
        <w:spacing w:line="360" w:lineRule="auto"/>
        <w:ind w:firstLine="560" w:firstLineChars="200"/>
        <w:rPr>
          <w:rFonts w:hint="default" w:ascii="Times New Roman" w:hAnsi="Times New Roman" w:cs="Times New Roman"/>
          <w:snapToGrid w:val="0"/>
          <w:kern w:val="0"/>
          <w:sz w:val="28"/>
          <w:lang w:val="sq-AL"/>
        </w:rPr>
      </w:pPr>
      <w:r>
        <w:rPr>
          <w:rFonts w:hint="default" w:ascii="Times New Roman" w:hAnsi="Times New Roman" w:cs="Times New Roman"/>
          <w:snapToGrid w:val="0"/>
          <w:kern w:val="0"/>
          <w:sz w:val="28"/>
          <w:lang w:val="sq-AL"/>
        </w:rPr>
        <w:t>（14）《工业企业噪声控制设计规范》（GB/T50087-2013，2014年6月1日实施）；</w:t>
      </w:r>
    </w:p>
    <w:p w14:paraId="2653EA47">
      <w:pPr>
        <w:tabs>
          <w:tab w:val="left" w:pos="0"/>
        </w:tabs>
        <w:spacing w:line="360" w:lineRule="auto"/>
        <w:ind w:firstLine="560" w:firstLineChars="200"/>
        <w:rPr>
          <w:rFonts w:hint="default" w:ascii="Times New Roman" w:hAnsi="Times New Roman" w:cs="Times New Roman"/>
          <w:snapToGrid w:val="0"/>
          <w:kern w:val="0"/>
          <w:sz w:val="28"/>
          <w:lang w:val="sq-AL"/>
        </w:rPr>
      </w:pPr>
      <w:r>
        <w:rPr>
          <w:rFonts w:hint="default" w:ascii="Times New Roman" w:hAnsi="Times New Roman" w:cs="Times New Roman"/>
          <w:snapToGrid w:val="0"/>
          <w:kern w:val="0"/>
          <w:sz w:val="28"/>
          <w:lang w:val="sq-AL"/>
        </w:rPr>
        <w:t>（15）《20kV及以下变电所设计规范》（GB50053-2013，2014年7月1日实施）；</w:t>
      </w:r>
    </w:p>
    <w:p w14:paraId="2A0EC704">
      <w:pPr>
        <w:tabs>
          <w:tab w:val="left" w:pos="0"/>
        </w:tabs>
        <w:spacing w:line="360" w:lineRule="auto"/>
        <w:ind w:firstLine="560" w:firstLineChars="200"/>
        <w:rPr>
          <w:rFonts w:hint="default" w:ascii="Times New Roman" w:hAnsi="Times New Roman" w:cs="Times New Roman"/>
          <w:snapToGrid w:val="0"/>
          <w:kern w:val="0"/>
          <w:sz w:val="28"/>
          <w:lang w:val="sq-AL"/>
        </w:rPr>
      </w:pPr>
      <w:r>
        <w:rPr>
          <w:rFonts w:hint="default" w:ascii="Times New Roman" w:hAnsi="Times New Roman" w:cs="Times New Roman"/>
          <w:snapToGrid w:val="0"/>
          <w:kern w:val="0"/>
          <w:sz w:val="28"/>
          <w:lang w:val="sq-AL"/>
        </w:rPr>
        <w:t>（16）《防洪标准》（GB50201-2014，2015年5月1日实施）；</w:t>
      </w:r>
    </w:p>
    <w:p w14:paraId="5207407B">
      <w:pPr>
        <w:tabs>
          <w:tab w:val="left" w:pos="0"/>
        </w:tabs>
        <w:spacing w:line="360" w:lineRule="auto"/>
        <w:ind w:firstLine="560" w:firstLineChars="200"/>
        <w:rPr>
          <w:rFonts w:hint="default" w:ascii="Times New Roman" w:hAnsi="Times New Roman" w:cs="Times New Roman"/>
          <w:snapToGrid w:val="0"/>
          <w:kern w:val="0"/>
          <w:sz w:val="28"/>
          <w:lang w:val="sq-AL"/>
        </w:rPr>
      </w:pPr>
      <w:r>
        <w:rPr>
          <w:rFonts w:hint="default" w:ascii="Times New Roman" w:hAnsi="Times New Roman" w:cs="Times New Roman"/>
          <w:snapToGrid w:val="0"/>
          <w:kern w:val="0"/>
          <w:sz w:val="28"/>
          <w:lang w:val="sq-AL"/>
        </w:rPr>
        <w:t>（17）《非煤露天矿边坡工程技术规范》（GB51016-2014，2015年5月1日实施）；</w:t>
      </w:r>
    </w:p>
    <w:p w14:paraId="28B218E8">
      <w:pPr>
        <w:tabs>
          <w:tab w:val="left" w:pos="0"/>
        </w:tabs>
        <w:spacing w:line="360" w:lineRule="auto"/>
        <w:ind w:firstLine="560" w:firstLineChars="200"/>
        <w:rPr>
          <w:rFonts w:hint="default" w:ascii="Times New Roman" w:hAnsi="Times New Roman" w:cs="Times New Roman"/>
          <w:snapToGrid w:val="0"/>
          <w:kern w:val="0"/>
          <w:sz w:val="28"/>
          <w:lang w:val="sq-AL"/>
        </w:rPr>
      </w:pPr>
      <w:r>
        <w:rPr>
          <w:rFonts w:hint="default" w:ascii="Times New Roman" w:hAnsi="Times New Roman" w:cs="Times New Roman"/>
          <w:snapToGrid w:val="0"/>
          <w:kern w:val="0"/>
          <w:sz w:val="28"/>
          <w:lang w:val="sq-AL"/>
        </w:rPr>
        <w:t>（18）</w:t>
      </w:r>
      <w:r>
        <w:rPr>
          <w:rFonts w:hint="default" w:ascii="Times New Roman" w:hAnsi="Times New Roman" w:cs="Times New Roman"/>
          <w:snapToGrid w:val="0"/>
          <w:kern w:val="0"/>
          <w:sz w:val="28"/>
          <w:szCs w:val="24"/>
          <w:lang w:val="sq-AL"/>
        </w:rPr>
        <w:t>《建筑防火通用规范》（GB 55037-2022，</w:t>
      </w:r>
      <w:r>
        <w:rPr>
          <w:rFonts w:hint="default" w:ascii="Times New Roman" w:hAnsi="Times New Roman" w:cs="Times New Roman"/>
          <w:snapToGrid w:val="0"/>
          <w:kern w:val="0"/>
          <w:sz w:val="28"/>
          <w:szCs w:val="24"/>
          <w:lang w:val="sq-AL"/>
        </w:rPr>
        <w:tab/>
      </w:r>
      <w:r>
        <w:rPr>
          <w:rFonts w:hint="default" w:ascii="Times New Roman" w:hAnsi="Times New Roman" w:cs="Times New Roman"/>
          <w:snapToGrid w:val="0"/>
          <w:kern w:val="0"/>
          <w:sz w:val="28"/>
          <w:szCs w:val="24"/>
          <w:lang w:val="sq-AL"/>
        </w:rPr>
        <w:t>2023年06月01日实施）</w:t>
      </w:r>
      <w:r>
        <w:rPr>
          <w:rFonts w:hint="default" w:ascii="Times New Roman" w:hAnsi="Times New Roman" w:cs="Times New Roman"/>
          <w:snapToGrid w:val="0"/>
          <w:kern w:val="0"/>
          <w:sz w:val="28"/>
          <w:lang w:val="sq-AL"/>
        </w:rPr>
        <w:t>；</w:t>
      </w:r>
    </w:p>
    <w:p w14:paraId="05308495">
      <w:pPr>
        <w:pStyle w:val="86"/>
        <w:tabs>
          <w:tab w:val="left" w:pos="0"/>
        </w:tabs>
        <w:spacing w:line="360" w:lineRule="auto"/>
        <w:ind w:firstLine="560"/>
        <w:rPr>
          <w:rFonts w:hint="default" w:ascii="Times New Roman" w:hAnsi="Times New Roman" w:cs="Times New Roman"/>
          <w:snapToGrid w:val="0"/>
          <w:kern w:val="0"/>
          <w:sz w:val="28"/>
          <w:szCs w:val="24"/>
          <w:lang w:val="sq-AL"/>
        </w:rPr>
      </w:pPr>
      <w:r>
        <w:rPr>
          <w:rFonts w:hint="default" w:ascii="Times New Roman" w:hAnsi="Times New Roman" w:cs="Times New Roman"/>
          <w:snapToGrid w:val="0"/>
          <w:kern w:val="0"/>
          <w:sz w:val="28"/>
          <w:szCs w:val="24"/>
          <w:lang w:val="sq-AL"/>
        </w:rPr>
        <w:t>（19）《建筑设计防火规范》（</w:t>
      </w:r>
      <w:r>
        <w:rPr>
          <w:rFonts w:hint="default" w:ascii="Times New Roman" w:hAnsi="Times New Roman" w:cs="Times New Roman"/>
          <w:snapToGrid w:val="0"/>
          <w:kern w:val="0"/>
          <w:sz w:val="28"/>
          <w:szCs w:val="24"/>
          <w:lang w:val="sq-AL" w:eastAsia="zh-CN"/>
        </w:rPr>
        <w:t>GB 50016-2014[2018年版]</w:t>
      </w:r>
      <w:r>
        <w:rPr>
          <w:rFonts w:hint="default" w:ascii="Times New Roman" w:hAnsi="Times New Roman" w:cs="Times New Roman"/>
          <w:lang w:eastAsia="zh-CN"/>
        </w:rPr>
        <w:t>，</w:t>
      </w:r>
      <w:r>
        <w:rPr>
          <w:rFonts w:hint="default" w:ascii="Times New Roman" w:hAnsi="Times New Roman" w:cs="Times New Roman"/>
          <w:snapToGrid w:val="0"/>
          <w:kern w:val="0"/>
          <w:sz w:val="28"/>
          <w:lang w:val="sq-AL"/>
        </w:rPr>
        <w:t>2015年5月1日实施</w:t>
      </w:r>
      <w:r>
        <w:rPr>
          <w:rFonts w:hint="default" w:ascii="Times New Roman" w:hAnsi="Times New Roman" w:cs="Times New Roman"/>
          <w:snapToGrid w:val="0"/>
          <w:kern w:val="0"/>
          <w:sz w:val="28"/>
          <w:szCs w:val="24"/>
          <w:lang w:val="sq-AL"/>
        </w:rPr>
        <w:t>）；</w:t>
      </w:r>
    </w:p>
    <w:p w14:paraId="03DD5BE9">
      <w:pPr>
        <w:pStyle w:val="86"/>
        <w:tabs>
          <w:tab w:val="left" w:pos="0"/>
        </w:tabs>
        <w:spacing w:line="360" w:lineRule="auto"/>
        <w:ind w:firstLine="560"/>
        <w:rPr>
          <w:rFonts w:hint="default" w:ascii="Times New Roman" w:hAnsi="Times New Roman" w:cs="Times New Roman"/>
          <w:snapToGrid w:val="0"/>
          <w:kern w:val="0"/>
          <w:sz w:val="28"/>
          <w:szCs w:val="24"/>
          <w:lang w:val="sq-AL"/>
        </w:rPr>
      </w:pPr>
      <w:r>
        <w:rPr>
          <w:rFonts w:hint="default" w:ascii="Times New Roman" w:hAnsi="Times New Roman" w:cs="Times New Roman"/>
          <w:snapToGrid w:val="0"/>
          <w:kern w:val="0"/>
          <w:sz w:val="28"/>
          <w:szCs w:val="24"/>
          <w:lang w:val="sq-AL"/>
        </w:rPr>
        <w:t>（2</w:t>
      </w:r>
      <w:r>
        <w:rPr>
          <w:rFonts w:hint="default" w:ascii="Times New Roman" w:hAnsi="Times New Roman" w:cs="Times New Roman"/>
          <w:snapToGrid w:val="0"/>
          <w:kern w:val="0"/>
          <w:sz w:val="28"/>
          <w:szCs w:val="24"/>
          <w:lang w:val="en-US" w:eastAsia="zh-CN"/>
        </w:rPr>
        <w:t>0</w:t>
      </w:r>
      <w:r>
        <w:rPr>
          <w:rFonts w:hint="default" w:ascii="Times New Roman" w:hAnsi="Times New Roman" w:cs="Times New Roman"/>
          <w:snapToGrid w:val="0"/>
          <w:kern w:val="0"/>
          <w:sz w:val="28"/>
          <w:szCs w:val="24"/>
          <w:lang w:val="sq-AL"/>
        </w:rPr>
        <w:t>）</w:t>
      </w:r>
      <w:r>
        <w:rPr>
          <w:rFonts w:hint="default" w:ascii="Times New Roman" w:hAnsi="Times New Roman" w:cs="Times New Roman"/>
          <w:snapToGrid w:val="0"/>
          <w:kern w:val="0"/>
          <w:sz w:val="28"/>
          <w:szCs w:val="24"/>
        </w:rPr>
        <w:t>《用电安全导则》（GB/T13869-2017；2018年7月1日实施）；</w:t>
      </w:r>
    </w:p>
    <w:p w14:paraId="27A12492">
      <w:pPr>
        <w:pStyle w:val="86"/>
        <w:tabs>
          <w:tab w:val="left" w:pos="0"/>
        </w:tabs>
        <w:spacing w:line="360" w:lineRule="auto"/>
        <w:ind w:firstLine="560"/>
        <w:rPr>
          <w:rFonts w:hint="default" w:ascii="Times New Roman" w:hAnsi="Times New Roman" w:cs="Times New Roman"/>
          <w:snapToGrid w:val="0"/>
          <w:kern w:val="0"/>
          <w:sz w:val="28"/>
          <w:szCs w:val="24"/>
          <w:lang w:val="sq-AL"/>
        </w:rPr>
      </w:pPr>
      <w:r>
        <w:rPr>
          <w:rFonts w:hint="default" w:ascii="Times New Roman" w:hAnsi="Times New Roman" w:cs="Times New Roman"/>
          <w:snapToGrid w:val="0"/>
          <w:kern w:val="0"/>
          <w:sz w:val="28"/>
          <w:szCs w:val="24"/>
          <w:lang w:val="sq-AL"/>
        </w:rPr>
        <w:t>（2</w:t>
      </w:r>
      <w:r>
        <w:rPr>
          <w:rFonts w:hint="default" w:ascii="Times New Roman" w:hAnsi="Times New Roman" w:cs="Times New Roman"/>
          <w:snapToGrid w:val="0"/>
          <w:kern w:val="0"/>
          <w:sz w:val="28"/>
          <w:szCs w:val="24"/>
          <w:lang w:val="en-US" w:eastAsia="zh-CN"/>
        </w:rPr>
        <w:t>1</w:t>
      </w:r>
      <w:r>
        <w:rPr>
          <w:rFonts w:hint="default" w:ascii="Times New Roman" w:hAnsi="Times New Roman" w:cs="Times New Roman"/>
          <w:snapToGrid w:val="0"/>
          <w:kern w:val="0"/>
          <w:sz w:val="28"/>
          <w:szCs w:val="24"/>
          <w:lang w:val="sq-AL"/>
        </w:rPr>
        <w:t>）《危险化学品重大危险源辨识》（GB18218-2018，2019年3月1日起实施）；</w:t>
      </w:r>
    </w:p>
    <w:p w14:paraId="6B54BEDC">
      <w:pPr>
        <w:pStyle w:val="86"/>
        <w:tabs>
          <w:tab w:val="left" w:pos="0"/>
        </w:tabs>
        <w:spacing w:line="360" w:lineRule="auto"/>
        <w:ind w:firstLine="560"/>
        <w:rPr>
          <w:rFonts w:hint="default" w:ascii="Times New Roman" w:hAnsi="Times New Roman" w:cs="Times New Roman"/>
          <w:snapToGrid w:val="0"/>
          <w:kern w:val="0"/>
          <w:sz w:val="28"/>
          <w:szCs w:val="24"/>
          <w:lang w:val="sq-AL"/>
        </w:rPr>
      </w:pPr>
      <w:r>
        <w:rPr>
          <w:rFonts w:hint="default" w:ascii="Times New Roman" w:hAnsi="Times New Roman" w:cs="Times New Roman"/>
          <w:snapToGrid w:val="0"/>
          <w:kern w:val="0"/>
          <w:sz w:val="28"/>
          <w:szCs w:val="24"/>
          <w:lang w:val="sq-AL"/>
        </w:rPr>
        <w:t>（2</w:t>
      </w:r>
      <w:r>
        <w:rPr>
          <w:rFonts w:hint="default" w:ascii="Times New Roman" w:hAnsi="Times New Roman" w:cs="Times New Roman"/>
          <w:snapToGrid w:val="0"/>
          <w:kern w:val="0"/>
          <w:sz w:val="28"/>
          <w:szCs w:val="24"/>
          <w:lang w:val="en-US" w:eastAsia="zh-CN"/>
        </w:rPr>
        <w:t>2</w:t>
      </w:r>
      <w:r>
        <w:rPr>
          <w:rFonts w:hint="default" w:ascii="Times New Roman" w:hAnsi="Times New Roman" w:cs="Times New Roman"/>
          <w:snapToGrid w:val="0"/>
          <w:kern w:val="0"/>
          <w:sz w:val="28"/>
          <w:szCs w:val="24"/>
          <w:lang w:val="sq-AL"/>
        </w:rPr>
        <w:t>）《机械安全、防护装置、固定式和活动式防护装置设计与制造一般要求》（GB/T8196-20</w:t>
      </w:r>
      <w:r>
        <w:rPr>
          <w:rFonts w:hint="default" w:ascii="Times New Roman" w:hAnsi="Times New Roman" w:cs="Times New Roman"/>
          <w:snapToGrid w:val="0"/>
          <w:kern w:val="0"/>
          <w:sz w:val="28"/>
          <w:szCs w:val="24"/>
        </w:rPr>
        <w:t>18/ISO 14120</w:t>
      </w:r>
      <w:r>
        <w:rPr>
          <w:rFonts w:hint="default" w:ascii="Times New Roman" w:hAnsi="Times New Roman" w:cs="Times New Roman"/>
          <w:snapToGrid w:val="0"/>
          <w:kern w:val="0"/>
          <w:sz w:val="28"/>
          <w:szCs w:val="24"/>
          <w:lang w:eastAsia="zh-CN"/>
        </w:rPr>
        <w:t>：</w:t>
      </w:r>
      <w:r>
        <w:rPr>
          <w:rFonts w:hint="default" w:ascii="Times New Roman" w:hAnsi="Times New Roman" w:cs="Times New Roman"/>
          <w:snapToGrid w:val="0"/>
          <w:kern w:val="0"/>
          <w:sz w:val="28"/>
          <w:szCs w:val="24"/>
        </w:rPr>
        <w:t>2015；2019年7月1日实施</w:t>
      </w:r>
      <w:r>
        <w:rPr>
          <w:rFonts w:hint="default" w:ascii="Times New Roman" w:hAnsi="Times New Roman" w:cs="Times New Roman"/>
          <w:snapToGrid w:val="0"/>
          <w:kern w:val="0"/>
          <w:sz w:val="28"/>
          <w:szCs w:val="24"/>
          <w:lang w:val="sq-AL"/>
        </w:rPr>
        <w:t>）；</w:t>
      </w:r>
    </w:p>
    <w:p w14:paraId="39BF9BF7">
      <w:pPr>
        <w:pStyle w:val="86"/>
        <w:tabs>
          <w:tab w:val="left" w:pos="0"/>
        </w:tabs>
        <w:spacing w:line="360" w:lineRule="auto"/>
        <w:ind w:firstLine="560"/>
        <w:rPr>
          <w:rFonts w:hint="default" w:ascii="Times New Roman" w:hAnsi="Times New Roman" w:cs="Times New Roman"/>
          <w:snapToGrid w:val="0"/>
          <w:kern w:val="0"/>
          <w:sz w:val="28"/>
          <w:szCs w:val="24"/>
          <w:lang w:val="sq-AL"/>
        </w:rPr>
      </w:pPr>
      <w:r>
        <w:rPr>
          <w:rFonts w:hint="default" w:ascii="Times New Roman" w:hAnsi="Times New Roman" w:cs="Times New Roman"/>
          <w:snapToGrid w:val="0"/>
          <w:kern w:val="0"/>
          <w:sz w:val="28"/>
          <w:szCs w:val="24"/>
          <w:lang w:val="sq-AL"/>
        </w:rPr>
        <w:t>（2</w:t>
      </w:r>
      <w:r>
        <w:rPr>
          <w:rFonts w:hint="default" w:ascii="Times New Roman" w:hAnsi="Times New Roman" w:cs="Times New Roman"/>
          <w:snapToGrid w:val="0"/>
          <w:kern w:val="0"/>
          <w:sz w:val="28"/>
          <w:szCs w:val="24"/>
          <w:lang w:val="en-US" w:eastAsia="zh-CN"/>
        </w:rPr>
        <w:t>3</w:t>
      </w:r>
      <w:r>
        <w:rPr>
          <w:rFonts w:hint="default" w:ascii="Times New Roman" w:hAnsi="Times New Roman" w:cs="Times New Roman"/>
          <w:snapToGrid w:val="0"/>
          <w:kern w:val="0"/>
          <w:sz w:val="28"/>
          <w:szCs w:val="24"/>
          <w:lang w:val="sq-AL"/>
        </w:rPr>
        <w:t>）《头部防护 安全帽》（GB2811-20</w:t>
      </w:r>
      <w:r>
        <w:rPr>
          <w:rFonts w:hint="default" w:ascii="Times New Roman" w:hAnsi="Times New Roman" w:cs="Times New Roman"/>
          <w:snapToGrid w:val="0"/>
          <w:kern w:val="0"/>
          <w:sz w:val="28"/>
          <w:szCs w:val="24"/>
        </w:rPr>
        <w:t>19</w:t>
      </w:r>
      <w:r>
        <w:rPr>
          <w:rFonts w:hint="default" w:ascii="Times New Roman" w:hAnsi="Times New Roman" w:cs="Times New Roman"/>
          <w:snapToGrid w:val="0"/>
          <w:kern w:val="0"/>
          <w:sz w:val="28"/>
          <w:szCs w:val="24"/>
          <w:lang w:val="sq-AL"/>
        </w:rPr>
        <w:t>，20</w:t>
      </w:r>
      <w:r>
        <w:rPr>
          <w:rFonts w:hint="default" w:ascii="Times New Roman" w:hAnsi="Times New Roman" w:cs="Times New Roman"/>
          <w:snapToGrid w:val="0"/>
          <w:kern w:val="0"/>
          <w:sz w:val="28"/>
          <w:szCs w:val="24"/>
        </w:rPr>
        <w:t>20</w:t>
      </w:r>
      <w:r>
        <w:rPr>
          <w:rFonts w:hint="default" w:ascii="Times New Roman" w:hAnsi="Times New Roman" w:cs="Times New Roman"/>
          <w:snapToGrid w:val="0"/>
          <w:kern w:val="0"/>
          <w:sz w:val="28"/>
          <w:szCs w:val="24"/>
          <w:lang w:val="sq-AL"/>
        </w:rPr>
        <w:t>年</w:t>
      </w:r>
      <w:r>
        <w:rPr>
          <w:rFonts w:hint="default" w:ascii="Times New Roman" w:hAnsi="Times New Roman" w:cs="Times New Roman"/>
          <w:snapToGrid w:val="0"/>
          <w:kern w:val="0"/>
          <w:sz w:val="28"/>
          <w:szCs w:val="24"/>
        </w:rPr>
        <w:t>7</w:t>
      </w:r>
      <w:r>
        <w:rPr>
          <w:rFonts w:hint="default" w:ascii="Times New Roman" w:hAnsi="Times New Roman" w:cs="Times New Roman"/>
          <w:snapToGrid w:val="0"/>
          <w:kern w:val="0"/>
          <w:sz w:val="28"/>
          <w:szCs w:val="24"/>
          <w:lang w:val="sq-AL"/>
        </w:rPr>
        <w:t>月1日</w:t>
      </w:r>
      <w:r>
        <w:rPr>
          <w:rFonts w:hint="default" w:ascii="Times New Roman" w:hAnsi="Times New Roman" w:cs="Times New Roman"/>
          <w:snapToGrid w:val="0"/>
          <w:kern w:val="0"/>
          <w:sz w:val="28"/>
          <w:szCs w:val="24"/>
        </w:rPr>
        <w:t>实施</w:t>
      </w:r>
      <w:r>
        <w:rPr>
          <w:rFonts w:hint="default" w:ascii="Times New Roman" w:hAnsi="Times New Roman" w:cs="Times New Roman"/>
          <w:snapToGrid w:val="0"/>
          <w:kern w:val="0"/>
          <w:sz w:val="28"/>
          <w:szCs w:val="24"/>
          <w:lang w:val="sq-AL"/>
        </w:rPr>
        <w:t>）；</w:t>
      </w:r>
    </w:p>
    <w:p w14:paraId="2B65D8A5">
      <w:pPr>
        <w:pStyle w:val="86"/>
        <w:tabs>
          <w:tab w:val="left" w:pos="0"/>
        </w:tabs>
        <w:spacing w:line="360" w:lineRule="auto"/>
        <w:ind w:firstLine="560"/>
        <w:rPr>
          <w:rFonts w:hint="default" w:ascii="Times New Roman" w:hAnsi="Times New Roman" w:cs="Times New Roman"/>
          <w:snapToGrid w:val="0"/>
          <w:kern w:val="0"/>
          <w:sz w:val="28"/>
          <w:szCs w:val="24"/>
          <w:lang w:val="sq-AL"/>
        </w:rPr>
      </w:pPr>
      <w:r>
        <w:rPr>
          <w:rFonts w:hint="default" w:ascii="Times New Roman" w:hAnsi="Times New Roman" w:cs="Times New Roman"/>
          <w:snapToGrid w:val="0"/>
          <w:kern w:val="0"/>
          <w:sz w:val="28"/>
          <w:szCs w:val="24"/>
          <w:lang w:val="sq-AL"/>
        </w:rPr>
        <w:t>（2</w:t>
      </w:r>
      <w:r>
        <w:rPr>
          <w:rFonts w:hint="default" w:ascii="Times New Roman" w:hAnsi="Times New Roman" w:cs="Times New Roman"/>
          <w:snapToGrid w:val="0"/>
          <w:kern w:val="0"/>
          <w:sz w:val="28"/>
          <w:szCs w:val="24"/>
          <w:lang w:val="en-US" w:eastAsia="zh-CN"/>
        </w:rPr>
        <w:t>4</w:t>
      </w:r>
      <w:r>
        <w:rPr>
          <w:rFonts w:hint="default" w:ascii="Times New Roman" w:hAnsi="Times New Roman" w:cs="Times New Roman"/>
          <w:snapToGrid w:val="0"/>
          <w:kern w:val="0"/>
          <w:sz w:val="28"/>
          <w:szCs w:val="24"/>
          <w:lang w:val="sq-AL"/>
        </w:rPr>
        <w:t>）《矿山电力设计标准》（GB50070-20</w:t>
      </w:r>
      <w:r>
        <w:rPr>
          <w:rFonts w:hint="default" w:ascii="Times New Roman" w:hAnsi="Times New Roman" w:cs="Times New Roman"/>
          <w:snapToGrid w:val="0"/>
          <w:kern w:val="0"/>
          <w:sz w:val="28"/>
          <w:szCs w:val="24"/>
        </w:rPr>
        <w:t>20</w:t>
      </w:r>
      <w:r>
        <w:rPr>
          <w:rFonts w:hint="default" w:ascii="Times New Roman" w:hAnsi="Times New Roman" w:cs="Times New Roman"/>
          <w:snapToGrid w:val="0"/>
          <w:kern w:val="0"/>
          <w:sz w:val="28"/>
          <w:szCs w:val="24"/>
          <w:lang w:val="sq-AL"/>
        </w:rPr>
        <w:t>，20</w:t>
      </w:r>
      <w:r>
        <w:rPr>
          <w:rFonts w:hint="default" w:ascii="Times New Roman" w:hAnsi="Times New Roman" w:cs="Times New Roman"/>
          <w:snapToGrid w:val="0"/>
          <w:kern w:val="0"/>
          <w:sz w:val="28"/>
          <w:szCs w:val="24"/>
        </w:rPr>
        <w:t>20</w:t>
      </w:r>
      <w:r>
        <w:rPr>
          <w:rFonts w:hint="default" w:ascii="Times New Roman" w:hAnsi="Times New Roman" w:cs="Times New Roman"/>
          <w:snapToGrid w:val="0"/>
          <w:kern w:val="0"/>
          <w:sz w:val="28"/>
          <w:szCs w:val="24"/>
          <w:lang w:val="sq-AL"/>
        </w:rPr>
        <w:t>年1</w:t>
      </w:r>
      <w:r>
        <w:rPr>
          <w:rFonts w:hint="default" w:ascii="Times New Roman" w:hAnsi="Times New Roman" w:cs="Times New Roman"/>
          <w:snapToGrid w:val="0"/>
          <w:kern w:val="0"/>
          <w:sz w:val="28"/>
          <w:szCs w:val="24"/>
        </w:rPr>
        <w:t>0</w:t>
      </w:r>
      <w:r>
        <w:rPr>
          <w:rFonts w:hint="default" w:ascii="Times New Roman" w:hAnsi="Times New Roman" w:cs="Times New Roman"/>
          <w:snapToGrid w:val="0"/>
          <w:kern w:val="0"/>
          <w:sz w:val="28"/>
          <w:szCs w:val="24"/>
          <w:lang w:val="sq-AL"/>
        </w:rPr>
        <w:t>月1日实施）；</w:t>
      </w:r>
    </w:p>
    <w:p w14:paraId="5F98A79B">
      <w:pPr>
        <w:pStyle w:val="86"/>
        <w:tabs>
          <w:tab w:val="left" w:pos="0"/>
        </w:tabs>
        <w:spacing w:line="360" w:lineRule="auto"/>
        <w:ind w:firstLine="560"/>
        <w:rPr>
          <w:rFonts w:hint="default" w:ascii="Times New Roman" w:hAnsi="Times New Roman" w:cs="Times New Roman"/>
          <w:snapToGrid w:val="0"/>
          <w:kern w:val="0"/>
          <w:sz w:val="28"/>
          <w:szCs w:val="24"/>
          <w:lang w:val="sq-AL"/>
        </w:rPr>
      </w:pPr>
      <w:r>
        <w:rPr>
          <w:rFonts w:hint="default" w:ascii="Times New Roman" w:hAnsi="Times New Roman" w:cs="Times New Roman"/>
          <w:snapToGrid w:val="0"/>
          <w:kern w:val="0"/>
          <w:sz w:val="28"/>
          <w:szCs w:val="24"/>
          <w:lang w:val="sq-AL"/>
        </w:rPr>
        <w:t>（2</w:t>
      </w:r>
      <w:r>
        <w:rPr>
          <w:rFonts w:hint="default" w:ascii="Times New Roman" w:hAnsi="Times New Roman" w:cs="Times New Roman"/>
          <w:snapToGrid w:val="0"/>
          <w:kern w:val="0"/>
          <w:sz w:val="28"/>
          <w:szCs w:val="24"/>
          <w:lang w:val="en-US" w:eastAsia="zh-CN"/>
        </w:rPr>
        <w:t>5</w:t>
      </w:r>
      <w:r>
        <w:rPr>
          <w:rFonts w:hint="default" w:ascii="Times New Roman" w:hAnsi="Times New Roman" w:cs="Times New Roman"/>
          <w:snapToGrid w:val="0"/>
          <w:kern w:val="0"/>
          <w:sz w:val="28"/>
          <w:szCs w:val="24"/>
          <w:lang w:val="sq-AL"/>
        </w:rPr>
        <w:t>）《生产经营单位生产安全事故应急预案编制导则》（GB/T 29639-20</w:t>
      </w:r>
      <w:r>
        <w:rPr>
          <w:rFonts w:hint="default" w:ascii="Times New Roman" w:hAnsi="Times New Roman" w:cs="Times New Roman"/>
          <w:snapToGrid w:val="0"/>
          <w:kern w:val="0"/>
          <w:sz w:val="28"/>
          <w:szCs w:val="24"/>
        </w:rPr>
        <w:t>20</w:t>
      </w:r>
      <w:r>
        <w:rPr>
          <w:rFonts w:hint="default" w:ascii="Times New Roman" w:hAnsi="Times New Roman" w:cs="Times New Roman"/>
          <w:snapToGrid w:val="0"/>
          <w:kern w:val="0"/>
          <w:sz w:val="28"/>
          <w:szCs w:val="24"/>
          <w:lang w:val="sq-AL"/>
        </w:rPr>
        <w:t>，20</w:t>
      </w:r>
      <w:r>
        <w:rPr>
          <w:rFonts w:hint="default" w:ascii="Times New Roman" w:hAnsi="Times New Roman" w:cs="Times New Roman"/>
          <w:snapToGrid w:val="0"/>
          <w:kern w:val="0"/>
          <w:sz w:val="28"/>
          <w:szCs w:val="24"/>
        </w:rPr>
        <w:t>21</w:t>
      </w:r>
      <w:r>
        <w:rPr>
          <w:rFonts w:hint="default" w:ascii="Times New Roman" w:hAnsi="Times New Roman" w:cs="Times New Roman"/>
          <w:snapToGrid w:val="0"/>
          <w:kern w:val="0"/>
          <w:sz w:val="28"/>
          <w:szCs w:val="24"/>
          <w:lang w:val="sq-AL"/>
        </w:rPr>
        <w:t>年</w:t>
      </w:r>
      <w:r>
        <w:rPr>
          <w:rFonts w:hint="default" w:ascii="Times New Roman" w:hAnsi="Times New Roman" w:cs="Times New Roman"/>
          <w:snapToGrid w:val="0"/>
          <w:kern w:val="0"/>
          <w:sz w:val="28"/>
          <w:szCs w:val="24"/>
        </w:rPr>
        <w:t>04</w:t>
      </w:r>
      <w:r>
        <w:rPr>
          <w:rFonts w:hint="default" w:ascii="Times New Roman" w:hAnsi="Times New Roman" w:cs="Times New Roman"/>
          <w:snapToGrid w:val="0"/>
          <w:kern w:val="0"/>
          <w:sz w:val="28"/>
          <w:szCs w:val="24"/>
          <w:lang w:val="sq-AL"/>
        </w:rPr>
        <w:t>月</w:t>
      </w:r>
      <w:r>
        <w:rPr>
          <w:rFonts w:hint="default" w:ascii="Times New Roman" w:hAnsi="Times New Roman" w:cs="Times New Roman"/>
          <w:snapToGrid w:val="0"/>
          <w:kern w:val="0"/>
          <w:sz w:val="28"/>
          <w:szCs w:val="24"/>
        </w:rPr>
        <w:t>0</w:t>
      </w:r>
      <w:r>
        <w:rPr>
          <w:rFonts w:hint="default" w:ascii="Times New Roman" w:hAnsi="Times New Roman" w:cs="Times New Roman"/>
          <w:snapToGrid w:val="0"/>
          <w:kern w:val="0"/>
          <w:sz w:val="28"/>
          <w:szCs w:val="24"/>
          <w:lang w:val="sq-AL"/>
        </w:rPr>
        <w:t>1日实施）；</w:t>
      </w:r>
    </w:p>
    <w:p w14:paraId="74B1EF1C">
      <w:pPr>
        <w:pStyle w:val="86"/>
        <w:tabs>
          <w:tab w:val="left" w:pos="0"/>
        </w:tabs>
        <w:spacing w:line="360" w:lineRule="auto"/>
        <w:ind w:firstLine="560"/>
        <w:rPr>
          <w:rFonts w:hint="default" w:ascii="Times New Roman" w:hAnsi="Times New Roman" w:cs="Times New Roman"/>
          <w:snapToGrid w:val="0"/>
          <w:kern w:val="0"/>
          <w:sz w:val="28"/>
          <w:szCs w:val="24"/>
          <w:lang w:val="sq-AL"/>
        </w:rPr>
      </w:pPr>
      <w:r>
        <w:rPr>
          <w:rFonts w:hint="default" w:ascii="Times New Roman" w:hAnsi="Times New Roman" w:cs="Times New Roman"/>
          <w:snapToGrid w:val="0"/>
          <w:kern w:val="0"/>
          <w:sz w:val="28"/>
          <w:szCs w:val="24"/>
          <w:lang w:val="sq-AL"/>
        </w:rPr>
        <w:t>（2</w:t>
      </w:r>
      <w:r>
        <w:rPr>
          <w:rFonts w:hint="default" w:ascii="Times New Roman" w:hAnsi="Times New Roman" w:cs="Times New Roman"/>
          <w:snapToGrid w:val="0"/>
          <w:kern w:val="0"/>
          <w:sz w:val="28"/>
          <w:szCs w:val="24"/>
          <w:lang w:val="en-US" w:eastAsia="zh-CN"/>
        </w:rPr>
        <w:t>6</w:t>
      </w:r>
      <w:r>
        <w:rPr>
          <w:rFonts w:hint="default" w:ascii="Times New Roman" w:hAnsi="Times New Roman" w:cs="Times New Roman"/>
          <w:snapToGrid w:val="0"/>
          <w:kern w:val="0"/>
          <w:sz w:val="28"/>
          <w:szCs w:val="24"/>
          <w:lang w:val="sq-AL"/>
        </w:rPr>
        <w:t>）《一般工业固体废物贮存和填埋污染控制标准》（GB18599-20</w:t>
      </w:r>
      <w:r>
        <w:rPr>
          <w:rFonts w:hint="default" w:ascii="Times New Roman" w:hAnsi="Times New Roman" w:cs="Times New Roman"/>
          <w:snapToGrid w:val="0"/>
          <w:kern w:val="0"/>
          <w:sz w:val="28"/>
          <w:szCs w:val="24"/>
        </w:rPr>
        <w:t>20，2021</w:t>
      </w:r>
      <w:r>
        <w:rPr>
          <w:rFonts w:hint="default" w:ascii="Times New Roman" w:hAnsi="Times New Roman" w:cs="Times New Roman"/>
          <w:snapToGrid w:val="0"/>
          <w:kern w:val="0"/>
          <w:sz w:val="28"/>
          <w:szCs w:val="24"/>
          <w:lang w:val="sq-AL"/>
        </w:rPr>
        <w:t>年</w:t>
      </w:r>
      <w:r>
        <w:rPr>
          <w:rFonts w:hint="default" w:ascii="Times New Roman" w:hAnsi="Times New Roman" w:cs="Times New Roman"/>
          <w:snapToGrid w:val="0"/>
          <w:kern w:val="0"/>
          <w:sz w:val="28"/>
          <w:szCs w:val="24"/>
        </w:rPr>
        <w:t>7</w:t>
      </w:r>
      <w:r>
        <w:rPr>
          <w:rFonts w:hint="default" w:ascii="Times New Roman" w:hAnsi="Times New Roman" w:cs="Times New Roman"/>
          <w:snapToGrid w:val="0"/>
          <w:kern w:val="0"/>
          <w:sz w:val="28"/>
          <w:szCs w:val="24"/>
          <w:lang w:val="sq-AL"/>
        </w:rPr>
        <w:t>月1日实施）；</w:t>
      </w:r>
    </w:p>
    <w:p w14:paraId="1FE5122B">
      <w:pPr>
        <w:pStyle w:val="86"/>
        <w:tabs>
          <w:tab w:val="left" w:pos="0"/>
        </w:tabs>
        <w:spacing w:line="360" w:lineRule="auto"/>
        <w:ind w:firstLine="560"/>
        <w:rPr>
          <w:rFonts w:hint="default" w:ascii="Times New Roman" w:hAnsi="Times New Roman" w:cs="Times New Roman"/>
          <w:snapToGrid w:val="0"/>
          <w:kern w:val="0"/>
          <w:sz w:val="28"/>
          <w:szCs w:val="24"/>
          <w:lang w:val="sq-AL"/>
        </w:rPr>
      </w:pPr>
      <w:r>
        <w:rPr>
          <w:rFonts w:hint="default" w:ascii="Times New Roman" w:hAnsi="Times New Roman" w:cs="Times New Roman"/>
          <w:snapToGrid w:val="0"/>
          <w:kern w:val="0"/>
          <w:sz w:val="28"/>
          <w:szCs w:val="24"/>
          <w:lang w:val="sq-AL"/>
        </w:rPr>
        <w:t>（2</w:t>
      </w:r>
      <w:r>
        <w:rPr>
          <w:rFonts w:hint="default" w:ascii="Times New Roman" w:hAnsi="Times New Roman" w:cs="Times New Roman"/>
          <w:snapToGrid w:val="0"/>
          <w:kern w:val="0"/>
          <w:sz w:val="28"/>
          <w:szCs w:val="24"/>
          <w:lang w:val="en-US" w:eastAsia="zh-CN"/>
        </w:rPr>
        <w:t>7</w:t>
      </w:r>
      <w:r>
        <w:rPr>
          <w:rFonts w:hint="default" w:ascii="Times New Roman" w:hAnsi="Times New Roman" w:cs="Times New Roman"/>
          <w:snapToGrid w:val="0"/>
          <w:kern w:val="0"/>
          <w:sz w:val="28"/>
          <w:szCs w:val="24"/>
          <w:lang w:val="sq-AL"/>
        </w:rPr>
        <w:t>）</w:t>
      </w:r>
      <w:r>
        <w:rPr>
          <w:rFonts w:hint="default" w:ascii="Times New Roman" w:hAnsi="Times New Roman" w:cs="Times New Roman"/>
          <w:snapToGrid w:val="0"/>
          <w:kern w:val="0"/>
          <w:sz w:val="28"/>
          <w:szCs w:val="24"/>
        </w:rPr>
        <w:t>《矿区水文地质工程地质勘查规范》（GB/T12719-2021，2021年12月01日实施）；</w:t>
      </w:r>
    </w:p>
    <w:p w14:paraId="66FDBB7A">
      <w:pPr>
        <w:pStyle w:val="86"/>
        <w:tabs>
          <w:tab w:val="left" w:pos="0"/>
        </w:tabs>
        <w:spacing w:line="360" w:lineRule="auto"/>
        <w:ind w:firstLine="560"/>
        <w:rPr>
          <w:rFonts w:hint="default" w:ascii="Times New Roman" w:hAnsi="Times New Roman" w:cs="Times New Roman"/>
          <w:snapToGrid w:val="0"/>
          <w:kern w:val="0"/>
          <w:sz w:val="28"/>
          <w:szCs w:val="24"/>
          <w:lang w:val="sq-AL"/>
        </w:rPr>
      </w:pPr>
      <w:r>
        <w:rPr>
          <w:rFonts w:hint="default" w:ascii="Times New Roman" w:hAnsi="Times New Roman" w:cs="Times New Roman"/>
          <w:snapToGrid w:val="0"/>
          <w:kern w:val="0"/>
          <w:sz w:val="28"/>
          <w:szCs w:val="24"/>
          <w:lang w:val="sq-AL"/>
        </w:rPr>
        <w:t>（2</w:t>
      </w:r>
      <w:r>
        <w:rPr>
          <w:rFonts w:hint="default" w:ascii="Times New Roman" w:hAnsi="Times New Roman" w:cs="Times New Roman"/>
          <w:snapToGrid w:val="0"/>
          <w:kern w:val="0"/>
          <w:sz w:val="28"/>
          <w:szCs w:val="24"/>
          <w:lang w:val="en-US" w:eastAsia="zh-CN"/>
        </w:rPr>
        <w:t>8</w:t>
      </w:r>
      <w:r>
        <w:rPr>
          <w:rFonts w:hint="default" w:ascii="Times New Roman" w:hAnsi="Times New Roman" w:cs="Times New Roman"/>
          <w:snapToGrid w:val="0"/>
          <w:kern w:val="0"/>
          <w:sz w:val="28"/>
          <w:szCs w:val="24"/>
          <w:lang w:val="sq-AL"/>
        </w:rPr>
        <w:t>）《金属非金属矿山安全规程》（GB16423-20</w:t>
      </w:r>
      <w:r>
        <w:rPr>
          <w:rFonts w:hint="default" w:ascii="Times New Roman" w:hAnsi="Times New Roman" w:cs="Times New Roman"/>
          <w:snapToGrid w:val="0"/>
          <w:kern w:val="0"/>
          <w:sz w:val="28"/>
          <w:szCs w:val="24"/>
        </w:rPr>
        <w:t>20</w:t>
      </w:r>
      <w:r>
        <w:rPr>
          <w:rFonts w:hint="default" w:ascii="Times New Roman" w:hAnsi="Times New Roman" w:cs="Times New Roman"/>
          <w:snapToGrid w:val="0"/>
          <w:kern w:val="0"/>
          <w:sz w:val="28"/>
          <w:szCs w:val="24"/>
          <w:lang w:val="sq-AL"/>
        </w:rPr>
        <w:t>，20</w:t>
      </w:r>
      <w:r>
        <w:rPr>
          <w:rFonts w:hint="default" w:ascii="Times New Roman" w:hAnsi="Times New Roman" w:cs="Times New Roman"/>
          <w:snapToGrid w:val="0"/>
          <w:kern w:val="0"/>
          <w:sz w:val="28"/>
          <w:szCs w:val="24"/>
        </w:rPr>
        <w:t>21</w:t>
      </w:r>
      <w:r>
        <w:rPr>
          <w:rFonts w:hint="default" w:ascii="Times New Roman" w:hAnsi="Times New Roman" w:cs="Times New Roman"/>
          <w:snapToGrid w:val="0"/>
          <w:kern w:val="0"/>
          <w:sz w:val="28"/>
          <w:szCs w:val="24"/>
          <w:lang w:val="sq-AL"/>
        </w:rPr>
        <w:t>年9月1日实施）；</w:t>
      </w:r>
    </w:p>
    <w:p w14:paraId="5B426307">
      <w:pPr>
        <w:tabs>
          <w:tab w:val="left" w:pos="0"/>
        </w:tabs>
        <w:spacing w:line="360" w:lineRule="auto"/>
        <w:ind w:firstLine="560" w:firstLineChars="200"/>
        <w:rPr>
          <w:rFonts w:hint="default" w:ascii="Times New Roman" w:hAnsi="Times New Roman" w:cs="Times New Roman"/>
          <w:snapToGrid w:val="0"/>
          <w:kern w:val="0"/>
          <w:sz w:val="28"/>
          <w:lang w:val="sq-AL"/>
        </w:rPr>
      </w:pPr>
      <w:r>
        <w:rPr>
          <w:rFonts w:hint="default" w:ascii="Times New Roman" w:hAnsi="Times New Roman" w:cs="Times New Roman"/>
          <w:snapToGrid w:val="0"/>
          <w:kern w:val="0"/>
          <w:sz w:val="28"/>
          <w:lang w:val="sq-AL"/>
        </w:rPr>
        <w:t>（</w:t>
      </w:r>
      <w:r>
        <w:rPr>
          <w:rFonts w:hint="default" w:ascii="Times New Roman" w:hAnsi="Times New Roman" w:cs="Times New Roman"/>
          <w:snapToGrid w:val="0"/>
          <w:kern w:val="0"/>
          <w:sz w:val="28"/>
          <w:lang w:val="en-US" w:eastAsia="zh-CN"/>
        </w:rPr>
        <w:t>29</w:t>
      </w:r>
      <w:r>
        <w:rPr>
          <w:rFonts w:hint="default" w:ascii="Times New Roman" w:hAnsi="Times New Roman" w:cs="Times New Roman"/>
          <w:snapToGrid w:val="0"/>
          <w:kern w:val="0"/>
          <w:sz w:val="28"/>
          <w:lang w:val="sq-AL"/>
        </w:rPr>
        <w:t>）《个体防护装备配备规范 第1部分：总则》（GB 39800.1-2020，自2022年1月1日实施）；</w:t>
      </w:r>
    </w:p>
    <w:p w14:paraId="26878B19">
      <w:pPr>
        <w:tabs>
          <w:tab w:val="left" w:pos="0"/>
        </w:tabs>
        <w:spacing w:line="360" w:lineRule="auto"/>
        <w:ind w:firstLine="560" w:firstLineChars="200"/>
        <w:rPr>
          <w:rFonts w:hint="default" w:ascii="Times New Roman" w:hAnsi="Times New Roman" w:cs="Times New Roman"/>
          <w:snapToGrid w:val="0"/>
          <w:kern w:val="0"/>
          <w:sz w:val="28"/>
          <w:lang w:val="sq-AL"/>
        </w:rPr>
      </w:pPr>
      <w:r>
        <w:rPr>
          <w:rFonts w:hint="default" w:ascii="Times New Roman" w:hAnsi="Times New Roman" w:cs="Times New Roman"/>
          <w:snapToGrid w:val="0"/>
          <w:kern w:val="0"/>
          <w:sz w:val="28"/>
          <w:lang w:val="sq-AL"/>
        </w:rPr>
        <w:t>（3</w:t>
      </w:r>
      <w:r>
        <w:rPr>
          <w:rFonts w:hint="default" w:ascii="Times New Roman" w:hAnsi="Times New Roman" w:cs="Times New Roman"/>
          <w:snapToGrid w:val="0"/>
          <w:kern w:val="0"/>
          <w:sz w:val="28"/>
          <w:lang w:val="en-US" w:eastAsia="zh-CN"/>
        </w:rPr>
        <w:t>0</w:t>
      </w:r>
      <w:r>
        <w:rPr>
          <w:rFonts w:hint="default" w:ascii="Times New Roman" w:hAnsi="Times New Roman" w:cs="Times New Roman"/>
          <w:snapToGrid w:val="0"/>
          <w:kern w:val="0"/>
          <w:sz w:val="28"/>
          <w:lang w:val="sq-AL"/>
        </w:rPr>
        <w:t>）《个体防护装备配备规范 第4部分：非煤矿山》（GB 39800.4-2020，2022年1月1日实施）；</w:t>
      </w:r>
    </w:p>
    <w:p w14:paraId="42FDE2FD">
      <w:pPr>
        <w:tabs>
          <w:tab w:val="left" w:pos="0"/>
        </w:tabs>
        <w:spacing w:line="360" w:lineRule="auto"/>
        <w:ind w:firstLine="560" w:firstLineChars="200"/>
        <w:rPr>
          <w:rFonts w:hint="default" w:ascii="Times New Roman" w:hAnsi="Times New Roman" w:cs="Times New Roman"/>
          <w:snapToGrid w:val="0"/>
          <w:kern w:val="0"/>
          <w:sz w:val="28"/>
          <w:lang w:val="sq-AL"/>
        </w:rPr>
      </w:pPr>
      <w:r>
        <w:rPr>
          <w:rFonts w:hint="default" w:ascii="Times New Roman" w:hAnsi="Times New Roman" w:cs="Times New Roman"/>
          <w:snapToGrid w:val="0"/>
          <w:kern w:val="0"/>
          <w:sz w:val="28"/>
          <w:lang w:val="sq-AL"/>
        </w:rPr>
        <w:t>（3</w:t>
      </w:r>
      <w:r>
        <w:rPr>
          <w:rFonts w:hint="default" w:ascii="Times New Roman" w:hAnsi="Times New Roman" w:cs="Times New Roman"/>
          <w:snapToGrid w:val="0"/>
          <w:kern w:val="0"/>
          <w:sz w:val="28"/>
          <w:lang w:val="en-US" w:eastAsia="zh-CN"/>
        </w:rPr>
        <w:t>1</w:t>
      </w:r>
      <w:r>
        <w:rPr>
          <w:rFonts w:hint="default" w:ascii="Times New Roman" w:hAnsi="Times New Roman" w:cs="Times New Roman"/>
          <w:snapToGrid w:val="0"/>
          <w:kern w:val="0"/>
          <w:sz w:val="28"/>
          <w:lang w:val="sq-AL"/>
        </w:rPr>
        <w:t>）《生产过程危险和有害因素分类与代码》（GB/T13861-2022，2022年10月01日实施）；</w:t>
      </w:r>
    </w:p>
    <w:p w14:paraId="2A6EEE44">
      <w:pPr>
        <w:tabs>
          <w:tab w:val="left" w:pos="0"/>
        </w:tabs>
        <w:spacing w:line="360" w:lineRule="auto"/>
        <w:ind w:firstLine="560" w:firstLineChars="200"/>
        <w:rPr>
          <w:rFonts w:hint="default" w:ascii="Times New Roman" w:hAnsi="Times New Roman" w:cs="Times New Roman"/>
          <w:snapToGrid w:val="0"/>
          <w:kern w:val="0"/>
          <w:sz w:val="28"/>
          <w:lang w:val="sq-AL"/>
        </w:rPr>
      </w:pPr>
      <w:r>
        <w:rPr>
          <w:rFonts w:hint="default" w:ascii="Times New Roman" w:hAnsi="Times New Roman" w:cs="Times New Roman"/>
          <w:snapToGrid w:val="0"/>
          <w:kern w:val="0"/>
          <w:sz w:val="28"/>
          <w:lang w:val="sq-AL"/>
        </w:rPr>
        <w:t>（3</w:t>
      </w:r>
      <w:r>
        <w:rPr>
          <w:rFonts w:hint="default" w:ascii="Times New Roman" w:hAnsi="Times New Roman" w:cs="Times New Roman"/>
          <w:snapToGrid w:val="0"/>
          <w:kern w:val="0"/>
          <w:sz w:val="28"/>
          <w:lang w:val="en-US" w:eastAsia="zh-CN"/>
        </w:rPr>
        <w:t>2</w:t>
      </w:r>
      <w:r>
        <w:rPr>
          <w:rFonts w:hint="default" w:ascii="Times New Roman" w:hAnsi="Times New Roman" w:cs="Times New Roman"/>
          <w:snapToGrid w:val="0"/>
          <w:kern w:val="0"/>
          <w:sz w:val="28"/>
          <w:lang w:val="sq-AL"/>
        </w:rPr>
        <w:t>）《机械安全防止上下肢触及危险区的安全距离》（GB</w:t>
      </w:r>
      <w:r>
        <w:rPr>
          <w:rFonts w:hint="default" w:ascii="Times New Roman" w:hAnsi="Times New Roman" w:cs="Times New Roman"/>
          <w:snapToGrid w:val="0"/>
          <w:kern w:val="0"/>
          <w:sz w:val="28"/>
          <w:lang w:val="en-US" w:eastAsia="zh-CN"/>
        </w:rPr>
        <w:t>/T</w:t>
      </w:r>
      <w:r>
        <w:rPr>
          <w:rFonts w:hint="default" w:ascii="Times New Roman" w:hAnsi="Times New Roman" w:cs="Times New Roman"/>
          <w:snapToGrid w:val="0"/>
          <w:kern w:val="0"/>
          <w:sz w:val="28"/>
          <w:lang w:val="sq-AL"/>
        </w:rPr>
        <w:t>23821-2022，2022年12月1日实施）；</w:t>
      </w:r>
    </w:p>
    <w:p w14:paraId="73E62EE7">
      <w:pPr>
        <w:tabs>
          <w:tab w:val="left" w:pos="0"/>
        </w:tabs>
        <w:spacing w:line="360" w:lineRule="auto"/>
        <w:ind w:firstLine="560" w:firstLineChars="200"/>
        <w:rPr>
          <w:rFonts w:hint="default" w:ascii="Times New Roman" w:hAnsi="Times New Roman" w:cs="Times New Roman"/>
          <w:snapToGrid w:val="0"/>
          <w:kern w:val="0"/>
          <w:sz w:val="28"/>
          <w:lang w:val="sq-AL"/>
        </w:rPr>
      </w:pPr>
      <w:r>
        <w:rPr>
          <w:rFonts w:hint="default" w:ascii="Times New Roman" w:hAnsi="Times New Roman" w:cs="Times New Roman"/>
          <w:snapToGrid w:val="0"/>
          <w:kern w:val="0"/>
          <w:sz w:val="28"/>
          <w:lang w:val="sq-AL"/>
        </w:rPr>
        <w:t>（3</w:t>
      </w:r>
      <w:r>
        <w:rPr>
          <w:rFonts w:hint="default" w:ascii="Times New Roman" w:hAnsi="Times New Roman" w:cs="Times New Roman"/>
          <w:snapToGrid w:val="0"/>
          <w:kern w:val="0"/>
          <w:sz w:val="28"/>
          <w:lang w:val="en-US" w:eastAsia="zh-CN"/>
        </w:rPr>
        <w:t>3</w:t>
      </w:r>
      <w:r>
        <w:rPr>
          <w:rFonts w:hint="default" w:ascii="Times New Roman" w:hAnsi="Times New Roman" w:cs="Times New Roman"/>
          <w:snapToGrid w:val="0"/>
          <w:kern w:val="0"/>
          <w:sz w:val="28"/>
          <w:lang w:val="sq-AL"/>
        </w:rPr>
        <w:t>）《安全评价通则》（AQ8001-2007，2007年4月1日实施）；</w:t>
      </w:r>
    </w:p>
    <w:p w14:paraId="2CD964A2">
      <w:pPr>
        <w:tabs>
          <w:tab w:val="left" w:pos="0"/>
        </w:tabs>
        <w:spacing w:line="360" w:lineRule="auto"/>
        <w:ind w:firstLine="560" w:firstLineChars="200"/>
        <w:rPr>
          <w:rFonts w:hint="default" w:ascii="Times New Roman" w:hAnsi="Times New Roman" w:cs="Times New Roman"/>
          <w:snapToGrid w:val="0"/>
          <w:kern w:val="0"/>
          <w:sz w:val="28"/>
          <w:lang w:val="sq-AL"/>
        </w:rPr>
      </w:pPr>
      <w:r>
        <w:rPr>
          <w:rFonts w:hint="default" w:ascii="Times New Roman" w:hAnsi="Times New Roman" w:cs="Times New Roman"/>
          <w:snapToGrid w:val="0"/>
          <w:kern w:val="0"/>
          <w:sz w:val="28"/>
          <w:lang w:val="sq-AL"/>
        </w:rPr>
        <w:t>（3</w:t>
      </w:r>
      <w:r>
        <w:rPr>
          <w:rFonts w:hint="default" w:ascii="Times New Roman" w:hAnsi="Times New Roman" w:cs="Times New Roman"/>
          <w:snapToGrid w:val="0"/>
          <w:kern w:val="0"/>
          <w:sz w:val="28"/>
          <w:lang w:val="en-US" w:eastAsia="zh-CN"/>
        </w:rPr>
        <w:t>4</w:t>
      </w:r>
      <w:r>
        <w:rPr>
          <w:rFonts w:hint="default" w:ascii="Times New Roman" w:hAnsi="Times New Roman" w:cs="Times New Roman"/>
          <w:snapToGrid w:val="0"/>
          <w:kern w:val="0"/>
          <w:sz w:val="28"/>
          <w:lang w:val="sq-AL"/>
        </w:rPr>
        <w:t>）《安全预评价导则》（AQ8002-2007，2007年4月1日实施）；</w:t>
      </w:r>
    </w:p>
    <w:p w14:paraId="0F3A55A2">
      <w:pPr>
        <w:tabs>
          <w:tab w:val="left" w:pos="0"/>
        </w:tabs>
        <w:spacing w:line="360" w:lineRule="auto"/>
        <w:ind w:firstLine="560" w:firstLineChars="200"/>
        <w:rPr>
          <w:rFonts w:hint="default" w:ascii="Times New Roman" w:hAnsi="Times New Roman" w:cs="Times New Roman"/>
          <w:snapToGrid w:val="0"/>
          <w:kern w:val="0"/>
          <w:sz w:val="28"/>
          <w:lang w:val="sq-AL"/>
        </w:rPr>
      </w:pPr>
      <w:r>
        <w:rPr>
          <w:rFonts w:hint="default" w:ascii="Times New Roman" w:hAnsi="Times New Roman" w:cs="Times New Roman"/>
          <w:snapToGrid w:val="0"/>
          <w:kern w:val="0"/>
          <w:sz w:val="28"/>
          <w:lang w:val="sq-AL"/>
        </w:rPr>
        <w:t>（3</w:t>
      </w:r>
      <w:r>
        <w:rPr>
          <w:rFonts w:hint="default" w:ascii="Times New Roman" w:hAnsi="Times New Roman" w:cs="Times New Roman"/>
          <w:snapToGrid w:val="0"/>
          <w:kern w:val="0"/>
          <w:sz w:val="28"/>
          <w:lang w:val="en-US" w:eastAsia="zh-CN"/>
        </w:rPr>
        <w:t>5</w:t>
      </w:r>
      <w:r>
        <w:rPr>
          <w:rFonts w:hint="default" w:ascii="Times New Roman" w:hAnsi="Times New Roman" w:cs="Times New Roman"/>
          <w:snapToGrid w:val="0"/>
          <w:kern w:val="0"/>
          <w:sz w:val="28"/>
          <w:lang w:val="sq-AL"/>
        </w:rPr>
        <w:t>）《金属非金属露天矿山高陡边坡安全监测技术规范》（</w:t>
      </w:r>
      <w:r>
        <w:rPr>
          <w:rFonts w:hint="default" w:ascii="Times New Roman" w:hAnsi="Times New Roman" w:cs="Times New Roman"/>
          <w:snapToGrid w:val="0"/>
          <w:kern w:val="0"/>
          <w:sz w:val="28"/>
          <w:lang w:val="en-US" w:eastAsia="zh-CN"/>
        </w:rPr>
        <w:t>K</w:t>
      </w:r>
      <w:r>
        <w:rPr>
          <w:rFonts w:hint="default" w:ascii="Times New Roman" w:hAnsi="Times New Roman" w:cs="Times New Roman"/>
          <w:snapToGrid w:val="0"/>
          <w:kern w:val="0"/>
          <w:sz w:val="28"/>
          <w:lang w:val="sq-AL"/>
        </w:rPr>
        <w:t>A/T2063-2018，自2018年12月1日实施）；</w:t>
      </w:r>
    </w:p>
    <w:p w14:paraId="3BEB6C6D">
      <w:pPr>
        <w:tabs>
          <w:tab w:val="left" w:pos="0"/>
        </w:tabs>
        <w:spacing w:line="360" w:lineRule="auto"/>
        <w:ind w:firstLine="560" w:firstLineChars="200"/>
        <w:rPr>
          <w:rFonts w:hint="default" w:ascii="Times New Roman" w:hAnsi="Times New Roman" w:cs="Times New Roman"/>
          <w:snapToGrid w:val="0"/>
          <w:kern w:val="0"/>
          <w:sz w:val="28"/>
          <w:lang w:val="sq-AL"/>
        </w:rPr>
      </w:pPr>
      <w:r>
        <w:rPr>
          <w:rFonts w:hint="default" w:ascii="Times New Roman" w:hAnsi="Times New Roman" w:cs="Times New Roman"/>
          <w:snapToGrid w:val="0"/>
          <w:kern w:val="0"/>
          <w:sz w:val="28"/>
          <w:lang w:val="sq-AL"/>
        </w:rPr>
        <w:t>（3</w:t>
      </w:r>
      <w:r>
        <w:rPr>
          <w:rFonts w:hint="default" w:ascii="Times New Roman" w:hAnsi="Times New Roman" w:cs="Times New Roman"/>
          <w:snapToGrid w:val="0"/>
          <w:kern w:val="0"/>
          <w:sz w:val="28"/>
          <w:lang w:val="en-US" w:eastAsia="zh-CN"/>
        </w:rPr>
        <w:t>6</w:t>
      </w:r>
      <w:r>
        <w:rPr>
          <w:rFonts w:hint="default" w:ascii="Times New Roman" w:hAnsi="Times New Roman" w:cs="Times New Roman"/>
          <w:snapToGrid w:val="0"/>
          <w:kern w:val="0"/>
          <w:sz w:val="28"/>
          <w:lang w:val="sq-AL"/>
        </w:rPr>
        <w:t>）《金属非金属矿山在用设备设施安全检测检验目录》（AQ∕T2075-2019，自2020年2月1日实施）；</w:t>
      </w:r>
    </w:p>
    <w:p w14:paraId="27D734D5">
      <w:pPr>
        <w:tabs>
          <w:tab w:val="left" w:pos="0"/>
        </w:tabs>
        <w:spacing w:line="360" w:lineRule="auto"/>
        <w:ind w:firstLine="560" w:firstLineChars="200"/>
        <w:rPr>
          <w:rFonts w:hint="default" w:ascii="Times New Roman" w:hAnsi="Times New Roman" w:cs="Times New Roman"/>
          <w:snapToGrid w:val="0"/>
          <w:kern w:val="0"/>
          <w:sz w:val="28"/>
          <w:lang w:val="sq-AL"/>
        </w:rPr>
      </w:pPr>
      <w:r>
        <w:rPr>
          <w:rFonts w:hint="default" w:ascii="Times New Roman" w:hAnsi="Times New Roman" w:cs="Times New Roman"/>
          <w:snapToGrid w:val="0"/>
          <w:kern w:val="0"/>
          <w:sz w:val="28"/>
          <w:lang w:val="sq-AL"/>
        </w:rPr>
        <w:t>（3</w:t>
      </w:r>
      <w:r>
        <w:rPr>
          <w:rFonts w:hint="default" w:ascii="Times New Roman" w:hAnsi="Times New Roman" w:cs="Times New Roman"/>
          <w:snapToGrid w:val="0"/>
          <w:kern w:val="0"/>
          <w:sz w:val="28"/>
          <w:lang w:val="en-US" w:eastAsia="zh-CN"/>
        </w:rPr>
        <w:t>7</w:t>
      </w:r>
      <w:r>
        <w:rPr>
          <w:rFonts w:hint="default" w:ascii="Times New Roman" w:hAnsi="Times New Roman" w:cs="Times New Roman"/>
          <w:snapToGrid w:val="0"/>
          <w:kern w:val="0"/>
          <w:sz w:val="28"/>
          <w:lang w:val="sq-AL"/>
        </w:rPr>
        <w:t>）《非煤矿山建设项目安全设施设计编写提纲 第2部分：金属非金属露天矿山建设项目安全设施设计编写提纲》（KA/T 20.2—2024）。</w:t>
      </w:r>
    </w:p>
    <w:p w14:paraId="41B96CB1">
      <w:pPr>
        <w:pStyle w:val="4"/>
        <w:spacing w:before="0" w:after="0" w:line="360" w:lineRule="auto"/>
        <w:rPr>
          <w:rFonts w:hint="default" w:ascii="Times New Roman" w:hAnsi="Times New Roman" w:cs="Times New Roman"/>
          <w:sz w:val="28"/>
          <w:szCs w:val="28"/>
        </w:rPr>
      </w:pPr>
      <w:bookmarkStart w:id="102" w:name="_Toc2038"/>
      <w:bookmarkStart w:id="103" w:name="_Toc2111"/>
      <w:bookmarkStart w:id="104" w:name="_Toc27582"/>
      <w:r>
        <w:rPr>
          <w:rFonts w:hint="default" w:ascii="Times New Roman" w:hAnsi="Times New Roman" w:cs="Times New Roman"/>
          <w:sz w:val="28"/>
          <w:szCs w:val="28"/>
        </w:rPr>
        <w:t>1.2.3建设项目合法性文件</w:t>
      </w:r>
      <w:bookmarkEnd w:id="102"/>
      <w:bookmarkEnd w:id="103"/>
      <w:bookmarkEnd w:id="104"/>
    </w:p>
    <w:p w14:paraId="505150B0">
      <w:pPr>
        <w:numPr>
          <w:ilvl w:val="0"/>
          <w:numId w:val="6"/>
        </w:numPr>
        <w:tabs>
          <w:tab w:val="left" w:pos="643"/>
          <w:tab w:val="left" w:pos="728"/>
          <w:tab w:val="left" w:pos="840"/>
          <w:tab w:val="left" w:pos="976"/>
        </w:tabs>
        <w:spacing w:line="360" w:lineRule="auto"/>
        <w:ind w:firstLine="560" w:firstLineChars="200"/>
        <w:jc w:val="left"/>
        <w:rPr>
          <w:rFonts w:hint="default" w:ascii="Times New Roman" w:hAnsi="Times New Roman" w:cs="Times New Roman"/>
          <w:snapToGrid w:val="0"/>
          <w:kern w:val="0"/>
          <w:sz w:val="28"/>
          <w:szCs w:val="28"/>
        </w:rPr>
      </w:pPr>
      <w:r>
        <w:rPr>
          <w:rFonts w:hint="default" w:ascii="Times New Roman" w:hAnsi="Times New Roman" w:cs="Times New Roman"/>
          <w:snapToGrid w:val="0"/>
          <w:kern w:val="0"/>
          <w:sz w:val="28"/>
          <w:szCs w:val="28"/>
        </w:rPr>
        <w:t>营业执照（统一社会信用代码：91532526083297507C）；</w:t>
      </w:r>
    </w:p>
    <w:p w14:paraId="77A19F12">
      <w:pPr>
        <w:numPr>
          <w:ilvl w:val="0"/>
          <w:numId w:val="6"/>
        </w:numPr>
        <w:tabs>
          <w:tab w:val="left" w:pos="643"/>
          <w:tab w:val="left" w:pos="728"/>
          <w:tab w:val="left" w:pos="840"/>
          <w:tab w:val="left" w:pos="976"/>
        </w:tabs>
        <w:spacing w:line="360" w:lineRule="auto"/>
        <w:ind w:firstLine="560" w:firstLineChars="200"/>
        <w:jc w:val="left"/>
        <w:rPr>
          <w:rFonts w:hint="default" w:ascii="Times New Roman" w:hAnsi="Times New Roman" w:cs="Times New Roman"/>
          <w:snapToGrid w:val="0"/>
          <w:kern w:val="0"/>
          <w:sz w:val="28"/>
          <w:szCs w:val="28"/>
        </w:rPr>
      </w:pPr>
      <w:r>
        <w:rPr>
          <w:rFonts w:hint="default" w:ascii="Times New Roman" w:hAnsi="Times New Roman" w:cs="Times New Roman"/>
          <w:snapToGrid w:val="0"/>
          <w:kern w:val="0"/>
          <w:sz w:val="28"/>
          <w:szCs w:val="28"/>
        </w:rPr>
        <w:t>采矿许可证（证号：C5325262010127130094782）；</w:t>
      </w:r>
    </w:p>
    <w:p w14:paraId="505B5062">
      <w:pPr>
        <w:numPr>
          <w:ilvl w:val="0"/>
          <w:numId w:val="6"/>
        </w:numPr>
        <w:tabs>
          <w:tab w:val="left" w:pos="643"/>
          <w:tab w:val="left" w:pos="728"/>
          <w:tab w:val="left" w:pos="840"/>
          <w:tab w:val="left" w:pos="976"/>
        </w:tabs>
        <w:spacing w:line="360" w:lineRule="auto"/>
        <w:ind w:firstLine="560" w:firstLineChars="200"/>
        <w:jc w:val="left"/>
        <w:rPr>
          <w:rFonts w:hint="default" w:ascii="Times New Roman" w:hAnsi="Times New Roman" w:cs="Times New Roman"/>
          <w:sz w:val="28"/>
          <w:szCs w:val="28"/>
        </w:rPr>
      </w:pPr>
      <w:bookmarkStart w:id="105" w:name="_Toc19914"/>
      <w:bookmarkStart w:id="106" w:name="_Toc7542"/>
      <w:bookmarkStart w:id="107" w:name="_Toc28661"/>
      <w:bookmarkStart w:id="108" w:name="_Toc1400"/>
      <w:bookmarkStart w:id="109" w:name="_Toc19278"/>
      <w:bookmarkStart w:id="110" w:name="_Toc16238657"/>
      <w:r>
        <w:rPr>
          <w:rFonts w:hint="default" w:ascii="Times New Roman" w:hAnsi="Times New Roman" w:cs="Times New Roman"/>
          <w:sz w:val="28"/>
          <w:szCs w:val="28"/>
          <w:lang w:eastAsia="zh-CN"/>
        </w:rPr>
        <w:t>《</w:t>
      </w:r>
      <w:r>
        <w:rPr>
          <w:rFonts w:hint="default" w:ascii="Times New Roman" w:hAnsi="Times New Roman" w:cs="Times New Roman"/>
          <w:sz w:val="28"/>
          <w:szCs w:val="28"/>
          <w:lang w:val="en-US" w:eastAsia="zh-CN"/>
        </w:rPr>
        <w:t>云南省固定资产投资项目备案证</w:t>
      </w:r>
      <w:r>
        <w:rPr>
          <w:rFonts w:hint="default" w:ascii="Times New Roman" w:hAnsi="Times New Roman" w:cs="Times New Roman"/>
          <w:sz w:val="28"/>
          <w:szCs w:val="28"/>
          <w:lang w:eastAsia="zh-CN"/>
        </w:rPr>
        <w:t>》（</w:t>
      </w:r>
      <w:r>
        <w:rPr>
          <w:rFonts w:hint="default" w:ascii="Times New Roman" w:hAnsi="Times New Roman" w:cs="Times New Roman"/>
          <w:sz w:val="28"/>
          <w:szCs w:val="28"/>
          <w:lang w:val="en-US" w:eastAsia="zh-CN"/>
        </w:rPr>
        <w:t>备案机关：弥勒市发展和改革局，备案号[项目代码]：</w:t>
      </w:r>
      <w:r>
        <w:rPr>
          <w:rFonts w:hint="default" w:ascii="Times New Roman" w:hAnsi="Times New Roman" w:cs="Times New Roman"/>
          <w:sz w:val="28"/>
          <w:szCs w:val="28"/>
          <w:lang w:eastAsia="zh-CN"/>
        </w:rPr>
        <w:t>2504-532504-04-01-406833，</w:t>
      </w:r>
      <w:r>
        <w:rPr>
          <w:rFonts w:hint="default" w:ascii="Times New Roman" w:hAnsi="Times New Roman" w:cs="Times New Roman"/>
          <w:sz w:val="28"/>
          <w:szCs w:val="28"/>
          <w:lang w:val="en-US" w:eastAsia="zh-CN"/>
        </w:rPr>
        <w:t>2025年4月15日</w:t>
      </w:r>
      <w:r>
        <w:rPr>
          <w:rFonts w:hint="default" w:ascii="Times New Roman" w:hAnsi="Times New Roman" w:cs="Times New Roman"/>
          <w:sz w:val="28"/>
          <w:szCs w:val="28"/>
          <w:lang w:eastAsia="zh-CN"/>
        </w:rPr>
        <w:t>）。</w:t>
      </w:r>
    </w:p>
    <w:p w14:paraId="7C521202">
      <w:pPr>
        <w:pStyle w:val="4"/>
        <w:spacing w:before="0" w:after="0" w:line="360" w:lineRule="auto"/>
        <w:rPr>
          <w:rFonts w:hint="default" w:ascii="Times New Roman" w:hAnsi="Times New Roman" w:cs="Times New Roman"/>
          <w:sz w:val="28"/>
          <w:szCs w:val="28"/>
        </w:rPr>
      </w:pPr>
      <w:r>
        <w:rPr>
          <w:rFonts w:hint="default" w:ascii="Times New Roman" w:hAnsi="Times New Roman" w:cs="Times New Roman"/>
          <w:sz w:val="28"/>
          <w:szCs w:val="28"/>
        </w:rPr>
        <w:t>1.2.</w:t>
      </w:r>
      <w:bookmarkStart w:id="111" w:name="_Toc167693751"/>
      <w:r>
        <w:rPr>
          <w:rFonts w:hint="default" w:ascii="Times New Roman" w:hAnsi="Times New Roman" w:cs="Times New Roman"/>
          <w:sz w:val="28"/>
          <w:szCs w:val="28"/>
        </w:rPr>
        <w:t>4建设项目技术文件</w:t>
      </w:r>
      <w:bookmarkEnd w:id="105"/>
      <w:bookmarkEnd w:id="106"/>
      <w:bookmarkEnd w:id="107"/>
      <w:bookmarkEnd w:id="108"/>
      <w:bookmarkEnd w:id="109"/>
      <w:bookmarkEnd w:id="110"/>
      <w:bookmarkEnd w:id="111"/>
    </w:p>
    <w:p w14:paraId="223F1986">
      <w:pPr>
        <w:numPr>
          <w:ilvl w:val="0"/>
          <w:numId w:val="7"/>
        </w:numPr>
        <w:tabs>
          <w:tab w:val="left" w:pos="643"/>
          <w:tab w:val="left" w:pos="728"/>
          <w:tab w:val="left" w:pos="840"/>
          <w:tab w:val="left" w:pos="976"/>
        </w:tabs>
        <w:spacing w:line="360" w:lineRule="auto"/>
        <w:ind w:firstLine="560" w:firstLineChars="200"/>
        <w:jc w:val="left"/>
        <w:rPr>
          <w:rFonts w:hint="default" w:ascii="Times New Roman" w:hAnsi="Times New Roman" w:cs="Times New Roman"/>
          <w:sz w:val="28"/>
          <w:szCs w:val="28"/>
        </w:rPr>
      </w:pPr>
      <w:r>
        <w:rPr>
          <w:rFonts w:hint="default" w:ascii="Times New Roman" w:hAnsi="Times New Roman" w:cs="Times New Roman"/>
          <w:sz w:val="28"/>
          <w:szCs w:val="28"/>
        </w:rPr>
        <w:t>《弥勒市小沙冲砂场白云岩矿（建筑用砂）资源储量核实报告》；</w:t>
      </w:r>
      <w:r>
        <w:rPr>
          <w:rFonts w:hint="default" w:ascii="Times New Roman" w:hAnsi="Times New Roman" w:cs="Times New Roman"/>
          <w:sz w:val="28"/>
          <w:szCs w:val="28"/>
          <w:lang w:eastAsia="zh-CN"/>
        </w:rPr>
        <w:t>（</w:t>
      </w:r>
      <w:r>
        <w:rPr>
          <w:rFonts w:hint="default" w:ascii="Times New Roman" w:hAnsi="Times New Roman" w:cs="Times New Roman"/>
          <w:sz w:val="28"/>
          <w:szCs w:val="28"/>
        </w:rPr>
        <w:t>弥勒市瑞垠矿业有限公司，2024年6月</w:t>
      </w:r>
      <w:r>
        <w:rPr>
          <w:rFonts w:hint="default" w:ascii="Times New Roman" w:hAnsi="Times New Roman" w:cs="Times New Roman"/>
          <w:sz w:val="28"/>
          <w:szCs w:val="28"/>
          <w:lang w:eastAsia="zh-CN"/>
        </w:rPr>
        <w:t>）</w:t>
      </w:r>
      <w:r>
        <w:rPr>
          <w:rFonts w:hint="default" w:ascii="Times New Roman" w:hAnsi="Times New Roman" w:cs="Times New Roman"/>
          <w:sz w:val="28"/>
          <w:szCs w:val="28"/>
        </w:rPr>
        <w:t>；</w:t>
      </w:r>
    </w:p>
    <w:p w14:paraId="50E0F154">
      <w:pPr>
        <w:numPr>
          <w:ilvl w:val="0"/>
          <w:numId w:val="7"/>
        </w:numPr>
        <w:tabs>
          <w:tab w:val="left" w:pos="643"/>
          <w:tab w:val="left" w:pos="728"/>
          <w:tab w:val="left" w:pos="840"/>
          <w:tab w:val="left" w:pos="976"/>
        </w:tabs>
        <w:spacing w:line="360" w:lineRule="auto"/>
        <w:ind w:firstLine="560" w:firstLineChars="200"/>
        <w:jc w:val="left"/>
        <w:rPr>
          <w:rFonts w:hint="default" w:ascii="Times New Roman" w:hAnsi="Times New Roman" w:cs="Times New Roman"/>
          <w:sz w:val="28"/>
          <w:szCs w:val="28"/>
        </w:rPr>
      </w:pPr>
      <w:r>
        <w:rPr>
          <w:rFonts w:hint="default" w:ascii="Times New Roman" w:hAnsi="Times New Roman" w:cs="Times New Roman"/>
          <w:sz w:val="28"/>
          <w:szCs w:val="28"/>
        </w:rPr>
        <w:t>《弥勒市小沙冲砂场白云岩矿（建筑用砂）资源储量核实报告》评审意见书（红晓金矿储评（弥勒）〔2025〕01号）</w:t>
      </w:r>
      <w:r>
        <w:rPr>
          <w:rFonts w:hint="default" w:ascii="Times New Roman" w:hAnsi="Times New Roman" w:cs="Times New Roman"/>
          <w:sz w:val="28"/>
          <w:szCs w:val="28"/>
          <w:lang w:eastAsia="zh-CN"/>
        </w:rPr>
        <w:t>；</w:t>
      </w:r>
    </w:p>
    <w:p w14:paraId="1AA14791">
      <w:pPr>
        <w:numPr>
          <w:ilvl w:val="0"/>
          <w:numId w:val="7"/>
        </w:numPr>
        <w:tabs>
          <w:tab w:val="left" w:pos="643"/>
          <w:tab w:val="left" w:pos="728"/>
          <w:tab w:val="left" w:pos="840"/>
          <w:tab w:val="left" w:pos="976"/>
        </w:tabs>
        <w:spacing w:line="360" w:lineRule="auto"/>
        <w:ind w:firstLine="560" w:firstLineChars="200"/>
        <w:jc w:val="left"/>
        <w:rPr>
          <w:rFonts w:hint="default" w:ascii="Times New Roman" w:hAnsi="Times New Roman" w:cs="Times New Roman"/>
          <w:sz w:val="28"/>
          <w:szCs w:val="28"/>
        </w:rPr>
      </w:pPr>
      <w:r>
        <w:rPr>
          <w:rFonts w:hint="default" w:ascii="Times New Roman" w:hAnsi="Times New Roman" w:cs="Times New Roman"/>
          <w:sz w:val="28"/>
          <w:szCs w:val="28"/>
        </w:rPr>
        <w:t>《</w:t>
      </w:r>
      <w:r>
        <w:rPr>
          <w:rFonts w:hint="default" w:ascii="Times New Roman" w:hAnsi="Times New Roman" w:cs="Times New Roman"/>
          <w:sz w:val="28"/>
          <w:szCs w:val="28"/>
          <w:lang w:eastAsia="zh-CN"/>
        </w:rPr>
        <w:t>弥勒市瑞垠矿业有限公司弥勒市小沙冲砂场</w:t>
      </w:r>
      <w:r>
        <w:rPr>
          <w:rFonts w:hint="default" w:ascii="Times New Roman" w:hAnsi="Times New Roman" w:cs="Times New Roman"/>
          <w:sz w:val="28"/>
          <w:szCs w:val="28"/>
          <w:lang w:eastAsia="zh-CN" w:bidi="en-US"/>
        </w:rPr>
        <w:t>22.22</w:t>
      </w:r>
      <w:r>
        <w:rPr>
          <w:rFonts w:hint="default" w:ascii="Times New Roman" w:hAnsi="Times New Roman" w:cs="Times New Roman"/>
          <w:sz w:val="28"/>
          <w:szCs w:val="28"/>
          <w:lang w:val="en-US" w:eastAsia="zh-CN" w:bidi="en-US"/>
        </w:rPr>
        <w:t>万</w:t>
      </w:r>
      <w:r>
        <w:rPr>
          <w:rFonts w:hint="default" w:ascii="Times New Roman" w:hAnsi="Times New Roman" w:cs="Times New Roman"/>
          <w:sz w:val="28"/>
          <w:szCs w:val="28"/>
          <w:lang w:eastAsia="zh-CN" w:bidi="en-US"/>
        </w:rPr>
        <w:t>m</w:t>
      </w:r>
      <w:r>
        <w:rPr>
          <w:rFonts w:hint="default" w:ascii="Times New Roman" w:hAnsi="Times New Roman" w:cs="Times New Roman"/>
          <w:sz w:val="28"/>
          <w:szCs w:val="28"/>
          <w:vertAlign w:val="superscript"/>
          <w:lang w:eastAsia="zh-CN" w:bidi="en-US"/>
        </w:rPr>
        <w:t>3</w:t>
      </w:r>
      <w:r>
        <w:rPr>
          <w:rFonts w:hint="default" w:ascii="Times New Roman" w:hAnsi="Times New Roman" w:cs="Times New Roman"/>
          <w:sz w:val="28"/>
          <w:szCs w:val="28"/>
          <w:lang w:val="en-US" w:eastAsia="zh-CN" w:bidi="en-US"/>
        </w:rPr>
        <w:t>/</w:t>
      </w:r>
      <w:r>
        <w:rPr>
          <w:rFonts w:hint="default" w:ascii="Times New Roman" w:hAnsi="Times New Roman" w:cs="Times New Roman"/>
          <w:sz w:val="28"/>
          <w:szCs w:val="28"/>
          <w:lang w:eastAsia="zh-CN" w:bidi="en-US"/>
        </w:rPr>
        <w:t>a（50万t</w:t>
      </w:r>
      <w:r>
        <w:rPr>
          <w:rFonts w:hint="default" w:ascii="Times New Roman" w:hAnsi="Times New Roman" w:cs="Times New Roman"/>
          <w:sz w:val="28"/>
          <w:szCs w:val="28"/>
          <w:lang w:val="en-US" w:eastAsia="zh-CN" w:bidi="en-US"/>
        </w:rPr>
        <w:t>/</w:t>
      </w:r>
      <w:r>
        <w:rPr>
          <w:rFonts w:hint="default" w:ascii="Times New Roman" w:hAnsi="Times New Roman" w:cs="Times New Roman"/>
          <w:sz w:val="28"/>
          <w:szCs w:val="28"/>
          <w:lang w:eastAsia="zh-CN" w:bidi="en-US"/>
        </w:rPr>
        <w:t>a）</w:t>
      </w:r>
      <w:r>
        <w:rPr>
          <w:rFonts w:hint="default" w:ascii="Times New Roman" w:hAnsi="Times New Roman" w:cs="Times New Roman"/>
          <w:sz w:val="28"/>
          <w:szCs w:val="28"/>
          <w:lang w:eastAsia="zh-CN"/>
        </w:rPr>
        <w:t>露天采矿工程初步设计（代可研）</w:t>
      </w:r>
      <w:r>
        <w:rPr>
          <w:rFonts w:hint="default" w:ascii="Times New Roman" w:hAnsi="Times New Roman" w:cs="Times New Roman"/>
          <w:sz w:val="28"/>
          <w:szCs w:val="28"/>
        </w:rPr>
        <w:t>》（河南省冶金规划设计研究院有限责任公司，202</w:t>
      </w:r>
      <w:r>
        <w:rPr>
          <w:rFonts w:hint="default" w:ascii="Times New Roman" w:hAnsi="Times New Roman" w:cs="Times New Roman"/>
          <w:sz w:val="28"/>
          <w:szCs w:val="28"/>
          <w:lang w:val="en-US" w:eastAsia="zh-CN"/>
        </w:rPr>
        <w:t>5</w:t>
      </w:r>
      <w:r>
        <w:rPr>
          <w:rFonts w:hint="default" w:ascii="Times New Roman" w:hAnsi="Times New Roman" w:cs="Times New Roman"/>
          <w:sz w:val="28"/>
          <w:szCs w:val="28"/>
        </w:rPr>
        <w:t>年</w:t>
      </w:r>
      <w:r>
        <w:rPr>
          <w:rFonts w:hint="default" w:ascii="Times New Roman" w:hAnsi="Times New Roman" w:cs="Times New Roman"/>
          <w:sz w:val="28"/>
          <w:szCs w:val="28"/>
          <w:lang w:val="en-US" w:eastAsia="zh-CN"/>
        </w:rPr>
        <w:t>6</w:t>
      </w:r>
      <w:r>
        <w:rPr>
          <w:rFonts w:hint="default" w:ascii="Times New Roman" w:hAnsi="Times New Roman" w:cs="Times New Roman"/>
          <w:sz w:val="28"/>
          <w:szCs w:val="28"/>
        </w:rPr>
        <w:t>月）。</w:t>
      </w:r>
    </w:p>
    <w:p w14:paraId="5CBEB1A9">
      <w:pPr>
        <w:pStyle w:val="4"/>
        <w:spacing w:before="0" w:after="0" w:line="360" w:lineRule="auto"/>
        <w:rPr>
          <w:rFonts w:hint="default" w:ascii="Times New Roman" w:hAnsi="Times New Roman" w:cs="Times New Roman"/>
          <w:sz w:val="28"/>
          <w:szCs w:val="28"/>
        </w:rPr>
      </w:pPr>
      <w:bookmarkStart w:id="112" w:name="_Toc16238658"/>
      <w:bookmarkStart w:id="113" w:name="_Toc3082"/>
      <w:bookmarkStart w:id="114" w:name="_Toc7902"/>
      <w:bookmarkStart w:id="115" w:name="_Toc21425"/>
      <w:bookmarkStart w:id="116" w:name="_Toc19972"/>
      <w:bookmarkStart w:id="117" w:name="_Toc4926"/>
      <w:r>
        <w:rPr>
          <w:rFonts w:hint="default" w:ascii="Times New Roman" w:hAnsi="Times New Roman" w:cs="Times New Roman"/>
          <w:sz w:val="28"/>
          <w:szCs w:val="28"/>
        </w:rPr>
        <w:t>1.2.5其他</w:t>
      </w:r>
      <w:bookmarkEnd w:id="112"/>
      <w:bookmarkEnd w:id="113"/>
      <w:r>
        <w:rPr>
          <w:rFonts w:hint="default" w:ascii="Times New Roman" w:hAnsi="Times New Roman" w:cs="Times New Roman"/>
          <w:sz w:val="28"/>
          <w:szCs w:val="28"/>
        </w:rPr>
        <w:t>评价依据</w:t>
      </w:r>
      <w:bookmarkEnd w:id="114"/>
      <w:bookmarkEnd w:id="115"/>
      <w:bookmarkEnd w:id="116"/>
      <w:bookmarkEnd w:id="117"/>
    </w:p>
    <w:p w14:paraId="01B28D26">
      <w:pPr>
        <w:numPr>
          <w:ilvl w:val="0"/>
          <w:numId w:val="8"/>
        </w:numPr>
        <w:tabs>
          <w:tab w:val="left" w:pos="643"/>
          <w:tab w:val="left" w:pos="728"/>
          <w:tab w:val="left" w:pos="840"/>
          <w:tab w:val="left" w:pos="976"/>
        </w:tabs>
        <w:spacing w:line="360" w:lineRule="auto"/>
        <w:ind w:firstLine="560" w:firstLineChars="200"/>
        <w:jc w:val="left"/>
        <w:rPr>
          <w:rFonts w:hint="default" w:ascii="Times New Roman" w:hAnsi="Times New Roman" w:cs="Times New Roman"/>
          <w:snapToGrid w:val="0"/>
          <w:kern w:val="0"/>
          <w:sz w:val="28"/>
          <w:szCs w:val="28"/>
        </w:rPr>
      </w:pPr>
      <w:r>
        <w:rPr>
          <w:rFonts w:hint="default" w:ascii="Times New Roman" w:hAnsi="Times New Roman" w:cs="Times New Roman"/>
          <w:snapToGrid w:val="0"/>
          <w:kern w:val="0"/>
          <w:sz w:val="28"/>
          <w:szCs w:val="28"/>
        </w:rPr>
        <w:t>安全预评价委托书；</w:t>
      </w:r>
    </w:p>
    <w:p w14:paraId="6DBD5345">
      <w:pPr>
        <w:numPr>
          <w:ilvl w:val="0"/>
          <w:numId w:val="8"/>
        </w:numPr>
        <w:tabs>
          <w:tab w:val="left" w:pos="643"/>
          <w:tab w:val="left" w:pos="728"/>
          <w:tab w:val="left" w:pos="840"/>
          <w:tab w:val="left" w:pos="976"/>
        </w:tabs>
        <w:spacing w:line="360" w:lineRule="auto"/>
        <w:ind w:firstLine="560" w:firstLineChars="200"/>
        <w:jc w:val="left"/>
        <w:rPr>
          <w:rFonts w:hint="default" w:ascii="Times New Roman" w:hAnsi="Times New Roman" w:cs="Times New Roman"/>
          <w:snapToGrid w:val="0"/>
          <w:kern w:val="0"/>
          <w:sz w:val="28"/>
          <w:szCs w:val="28"/>
        </w:rPr>
      </w:pPr>
      <w:r>
        <w:rPr>
          <w:rFonts w:hint="default" w:ascii="Times New Roman" w:hAnsi="Times New Roman" w:cs="Times New Roman"/>
          <w:snapToGrid w:val="0"/>
          <w:kern w:val="0"/>
          <w:sz w:val="28"/>
          <w:szCs w:val="28"/>
        </w:rPr>
        <w:t>提供资料真实性承诺书；</w:t>
      </w:r>
    </w:p>
    <w:p w14:paraId="621A1B85">
      <w:pPr>
        <w:numPr>
          <w:ilvl w:val="0"/>
          <w:numId w:val="8"/>
        </w:numPr>
        <w:tabs>
          <w:tab w:val="left" w:pos="643"/>
          <w:tab w:val="left" w:pos="728"/>
          <w:tab w:val="left" w:pos="840"/>
          <w:tab w:val="left" w:pos="976"/>
        </w:tabs>
        <w:spacing w:line="360" w:lineRule="auto"/>
        <w:ind w:firstLine="560" w:firstLineChars="200"/>
        <w:jc w:val="left"/>
        <w:rPr>
          <w:rFonts w:hint="default" w:ascii="Times New Roman" w:hAnsi="Times New Roman" w:cs="Times New Roman"/>
          <w:snapToGrid w:val="0"/>
          <w:kern w:val="0"/>
          <w:sz w:val="28"/>
          <w:szCs w:val="28"/>
        </w:rPr>
      </w:pPr>
      <w:r>
        <w:rPr>
          <w:rFonts w:hint="default" w:ascii="Times New Roman" w:hAnsi="Times New Roman" w:cs="Times New Roman"/>
          <w:snapToGrid w:val="0"/>
          <w:kern w:val="0"/>
          <w:sz w:val="28"/>
          <w:szCs w:val="28"/>
        </w:rPr>
        <w:t>《采矿工程设计手册》，煤炭工业出版社，2003；</w:t>
      </w:r>
    </w:p>
    <w:p w14:paraId="11B5F8D4">
      <w:pPr>
        <w:numPr>
          <w:ilvl w:val="0"/>
          <w:numId w:val="8"/>
        </w:numPr>
        <w:tabs>
          <w:tab w:val="left" w:pos="643"/>
          <w:tab w:val="left" w:pos="728"/>
          <w:tab w:val="left" w:pos="840"/>
          <w:tab w:val="left" w:pos="976"/>
        </w:tabs>
        <w:spacing w:line="360" w:lineRule="auto"/>
        <w:ind w:firstLine="560" w:firstLineChars="200"/>
        <w:jc w:val="left"/>
        <w:rPr>
          <w:rFonts w:hint="default" w:ascii="Times New Roman" w:hAnsi="Times New Roman" w:cs="Times New Roman"/>
          <w:snapToGrid w:val="0"/>
          <w:kern w:val="0"/>
          <w:sz w:val="28"/>
          <w:szCs w:val="28"/>
        </w:rPr>
      </w:pPr>
      <w:r>
        <w:rPr>
          <w:rFonts w:hint="default" w:ascii="Times New Roman" w:hAnsi="Times New Roman" w:cs="Times New Roman"/>
          <w:snapToGrid w:val="0"/>
          <w:kern w:val="0"/>
          <w:sz w:val="28"/>
          <w:szCs w:val="28"/>
        </w:rPr>
        <w:t>《矿山安全性评价与安全事故的预防及处理实务全书》，中国商业出版社，2001；</w:t>
      </w:r>
    </w:p>
    <w:p w14:paraId="593CABD6">
      <w:pPr>
        <w:numPr>
          <w:ilvl w:val="0"/>
          <w:numId w:val="8"/>
        </w:numPr>
        <w:tabs>
          <w:tab w:val="left" w:pos="643"/>
          <w:tab w:val="left" w:pos="728"/>
          <w:tab w:val="left" w:pos="840"/>
          <w:tab w:val="left" w:pos="976"/>
        </w:tabs>
        <w:spacing w:line="360" w:lineRule="auto"/>
        <w:ind w:firstLine="560" w:firstLineChars="200"/>
        <w:jc w:val="left"/>
        <w:rPr>
          <w:rFonts w:hint="default" w:ascii="Times New Roman" w:hAnsi="Times New Roman" w:cs="Times New Roman"/>
          <w:snapToGrid w:val="0"/>
          <w:kern w:val="0"/>
          <w:sz w:val="28"/>
          <w:szCs w:val="28"/>
        </w:rPr>
      </w:pPr>
      <w:r>
        <w:rPr>
          <w:rFonts w:hint="default" w:ascii="Times New Roman" w:hAnsi="Times New Roman" w:cs="Times New Roman"/>
          <w:snapToGrid w:val="0"/>
          <w:kern w:val="0"/>
          <w:sz w:val="28"/>
          <w:szCs w:val="28"/>
        </w:rPr>
        <w:t>《注册安全工程师手册》（第三版），化学工业出版社，2020-08-01；</w:t>
      </w:r>
    </w:p>
    <w:p w14:paraId="3E5760E3">
      <w:pPr>
        <w:numPr>
          <w:ilvl w:val="0"/>
          <w:numId w:val="8"/>
        </w:numPr>
        <w:tabs>
          <w:tab w:val="left" w:pos="643"/>
          <w:tab w:val="left" w:pos="728"/>
          <w:tab w:val="left" w:pos="840"/>
          <w:tab w:val="left" w:pos="976"/>
        </w:tabs>
        <w:spacing w:line="360" w:lineRule="auto"/>
        <w:ind w:firstLine="560" w:firstLineChars="200"/>
        <w:jc w:val="left"/>
        <w:rPr>
          <w:rFonts w:hint="default" w:ascii="Times New Roman" w:hAnsi="Times New Roman" w:cs="Times New Roman"/>
          <w:snapToGrid w:val="0"/>
          <w:kern w:val="0"/>
          <w:sz w:val="28"/>
          <w:szCs w:val="28"/>
        </w:rPr>
      </w:pPr>
      <w:r>
        <w:rPr>
          <w:rFonts w:hint="default" w:ascii="Times New Roman" w:hAnsi="Times New Roman" w:cs="Times New Roman"/>
          <w:snapToGrid w:val="0"/>
          <w:kern w:val="0"/>
          <w:sz w:val="28"/>
          <w:szCs w:val="28"/>
        </w:rPr>
        <w:t>《安全评价》（第三版），国家安全生产监督管理局编，煤炭工业出版社，2006。</w:t>
      </w:r>
    </w:p>
    <w:p w14:paraId="0A558B6E">
      <w:pPr>
        <w:pStyle w:val="86"/>
        <w:spacing w:line="360" w:lineRule="auto"/>
        <w:ind w:firstLine="0" w:firstLineChars="0"/>
        <w:rPr>
          <w:rFonts w:hint="default" w:ascii="Times New Roman" w:hAnsi="Times New Roman" w:cs="Times New Roman"/>
          <w:snapToGrid w:val="0"/>
          <w:kern w:val="0"/>
          <w:sz w:val="28"/>
          <w:szCs w:val="24"/>
        </w:rPr>
        <w:sectPr>
          <w:footerReference r:id="rId15" w:type="first"/>
          <w:headerReference r:id="rId13" w:type="default"/>
          <w:footerReference r:id="rId14" w:type="default"/>
          <w:pgSz w:w="11905" w:h="16838"/>
          <w:pgMar w:top="1418" w:right="1134" w:bottom="1134" w:left="1588" w:header="851" w:footer="850" w:gutter="0"/>
          <w:pgNumType w:start="1"/>
          <w:cols w:space="720" w:num="1"/>
          <w:docGrid w:linePitch="332" w:charSpace="0"/>
        </w:sectPr>
      </w:pPr>
    </w:p>
    <w:p w14:paraId="4366BD1E">
      <w:pPr>
        <w:pStyle w:val="2"/>
        <w:spacing w:before="0" w:after="0" w:line="360" w:lineRule="auto"/>
        <w:jc w:val="center"/>
        <w:rPr>
          <w:rFonts w:hint="default" w:ascii="Times New Roman" w:hAnsi="Times New Roman" w:eastAsia="黑体" w:cs="Times New Roman"/>
          <w:bCs w:val="0"/>
          <w:sz w:val="32"/>
        </w:rPr>
      </w:pPr>
      <w:bookmarkStart w:id="118" w:name="_Toc115120214"/>
      <w:bookmarkStart w:id="119" w:name="_Toc226963123"/>
      <w:bookmarkStart w:id="120" w:name="_Toc115120608"/>
      <w:bookmarkStart w:id="121" w:name="_Toc184701526"/>
      <w:bookmarkStart w:id="122" w:name="_Toc242849735"/>
      <w:bookmarkStart w:id="123" w:name="_Toc9381"/>
      <w:bookmarkStart w:id="124" w:name="_Toc18105"/>
      <w:bookmarkStart w:id="125" w:name="_Toc21812"/>
      <w:bookmarkStart w:id="126" w:name="_Toc19559"/>
      <w:bookmarkStart w:id="127" w:name="_Toc10452"/>
      <w:bookmarkStart w:id="128" w:name="_Toc3627"/>
      <w:bookmarkStart w:id="129" w:name="_Toc26854"/>
      <w:bookmarkStart w:id="130" w:name="_Toc26856"/>
      <w:bookmarkStart w:id="131" w:name="_Toc192649818"/>
      <w:bookmarkStart w:id="132" w:name="_Toc192559433"/>
      <w:bookmarkStart w:id="133" w:name="_Toc293408506"/>
      <w:bookmarkStart w:id="134" w:name="_Toc192559515"/>
      <w:bookmarkStart w:id="135" w:name="_Toc192731947"/>
      <w:bookmarkStart w:id="136" w:name="_Toc192573326"/>
      <w:r>
        <w:rPr>
          <w:rFonts w:hint="default" w:ascii="Times New Roman" w:hAnsi="Times New Roman" w:eastAsia="黑体" w:cs="Times New Roman"/>
          <w:bCs w:val="0"/>
          <w:sz w:val="32"/>
        </w:rPr>
        <w:t>2.建设项目</w:t>
      </w:r>
      <w:bookmarkEnd w:id="118"/>
      <w:bookmarkEnd w:id="119"/>
      <w:bookmarkEnd w:id="120"/>
      <w:bookmarkEnd w:id="121"/>
      <w:bookmarkEnd w:id="122"/>
      <w:r>
        <w:rPr>
          <w:rFonts w:hint="default" w:ascii="Times New Roman" w:hAnsi="Times New Roman" w:eastAsia="黑体" w:cs="Times New Roman"/>
          <w:bCs w:val="0"/>
          <w:sz w:val="32"/>
        </w:rPr>
        <w:t>概述</w:t>
      </w:r>
      <w:bookmarkEnd w:id="123"/>
      <w:bookmarkEnd w:id="124"/>
      <w:bookmarkEnd w:id="125"/>
      <w:bookmarkEnd w:id="126"/>
      <w:bookmarkEnd w:id="127"/>
      <w:bookmarkEnd w:id="128"/>
      <w:bookmarkEnd w:id="129"/>
    </w:p>
    <w:p w14:paraId="33AA7EC8">
      <w:pPr>
        <w:pStyle w:val="3"/>
        <w:spacing w:before="0" w:after="0" w:line="360" w:lineRule="auto"/>
        <w:jc w:val="center"/>
        <w:rPr>
          <w:rFonts w:hint="default" w:ascii="Times New Roman" w:hAnsi="Times New Roman" w:eastAsia="黑体" w:cs="Times New Roman"/>
          <w:sz w:val="30"/>
          <w:szCs w:val="30"/>
        </w:rPr>
      </w:pPr>
      <w:bookmarkStart w:id="137" w:name="_Toc19515"/>
      <w:bookmarkStart w:id="138" w:name="_Toc25179"/>
      <w:bookmarkStart w:id="139" w:name="_Toc30911"/>
      <w:bookmarkStart w:id="140" w:name="_Toc1733"/>
      <w:bookmarkStart w:id="141" w:name="_Toc10266"/>
      <w:bookmarkStart w:id="142" w:name="_Toc32635"/>
      <w:r>
        <w:rPr>
          <w:rFonts w:hint="default" w:ascii="Times New Roman" w:hAnsi="Times New Roman" w:eastAsia="黑体" w:cs="Times New Roman"/>
          <w:sz w:val="30"/>
          <w:szCs w:val="30"/>
        </w:rPr>
        <w:t>2.1</w:t>
      </w:r>
      <w:bookmarkEnd w:id="130"/>
      <w:bookmarkEnd w:id="131"/>
      <w:bookmarkEnd w:id="132"/>
      <w:bookmarkEnd w:id="133"/>
      <w:bookmarkEnd w:id="134"/>
      <w:bookmarkEnd w:id="135"/>
      <w:bookmarkEnd w:id="136"/>
      <w:r>
        <w:rPr>
          <w:rFonts w:hint="default" w:ascii="Times New Roman" w:hAnsi="Times New Roman" w:eastAsia="黑体" w:cs="Times New Roman"/>
          <w:sz w:val="30"/>
          <w:szCs w:val="30"/>
        </w:rPr>
        <w:t>建设单位概况</w:t>
      </w:r>
      <w:bookmarkEnd w:id="137"/>
      <w:bookmarkEnd w:id="138"/>
      <w:bookmarkEnd w:id="139"/>
      <w:bookmarkEnd w:id="140"/>
      <w:bookmarkEnd w:id="141"/>
      <w:bookmarkEnd w:id="142"/>
    </w:p>
    <w:p w14:paraId="5907E4BC">
      <w:pPr>
        <w:pStyle w:val="4"/>
        <w:spacing w:before="0" w:after="0" w:line="360" w:lineRule="auto"/>
        <w:rPr>
          <w:rFonts w:hint="default" w:ascii="Times New Roman" w:hAnsi="Times New Roman" w:cs="Times New Roman"/>
          <w:sz w:val="28"/>
          <w:szCs w:val="28"/>
        </w:rPr>
      </w:pPr>
      <w:bookmarkStart w:id="143" w:name="_Toc32524"/>
      <w:bookmarkStart w:id="144" w:name="_Toc16238667"/>
      <w:bookmarkStart w:id="145" w:name="_Toc293408507"/>
      <w:bookmarkStart w:id="146" w:name="_Toc12476"/>
      <w:bookmarkStart w:id="147" w:name="_Toc11357"/>
      <w:bookmarkStart w:id="148" w:name="_Toc22722"/>
      <w:bookmarkStart w:id="149" w:name="_Toc6503"/>
      <w:r>
        <w:rPr>
          <w:rFonts w:hint="default" w:ascii="Times New Roman" w:hAnsi="Times New Roman" w:cs="Times New Roman"/>
          <w:sz w:val="28"/>
          <w:szCs w:val="28"/>
        </w:rPr>
        <w:t>2.1.1</w:t>
      </w:r>
      <w:bookmarkEnd w:id="143"/>
      <w:bookmarkEnd w:id="144"/>
      <w:bookmarkEnd w:id="145"/>
      <w:r>
        <w:rPr>
          <w:rFonts w:hint="default" w:ascii="Times New Roman" w:hAnsi="Times New Roman" w:cs="Times New Roman"/>
          <w:sz w:val="28"/>
          <w:szCs w:val="28"/>
        </w:rPr>
        <w:t>建设单位简介</w:t>
      </w:r>
      <w:bookmarkEnd w:id="146"/>
      <w:bookmarkEnd w:id="147"/>
      <w:bookmarkEnd w:id="148"/>
      <w:bookmarkEnd w:id="149"/>
    </w:p>
    <w:p w14:paraId="52A54002">
      <w:pPr>
        <w:widowControl/>
        <w:spacing w:line="360" w:lineRule="auto"/>
        <w:ind w:firstLine="560" w:firstLineChars="200"/>
        <w:rPr>
          <w:rFonts w:hint="default" w:ascii="Times New Roman" w:hAnsi="Times New Roman" w:cs="Times New Roman"/>
          <w:sz w:val="28"/>
          <w:szCs w:val="28"/>
        </w:rPr>
      </w:pPr>
      <w:r>
        <w:rPr>
          <w:rFonts w:hint="default" w:ascii="Times New Roman" w:hAnsi="Times New Roman" w:cs="Times New Roman"/>
          <w:sz w:val="28"/>
          <w:szCs w:val="28"/>
          <w:lang w:eastAsia="zh-CN"/>
        </w:rPr>
        <w:t>弥勒市小沙冲砂场</w:t>
      </w:r>
      <w:r>
        <w:rPr>
          <w:rFonts w:hint="default" w:ascii="Times New Roman" w:hAnsi="Times New Roman" w:cs="Times New Roman"/>
          <w:sz w:val="28"/>
          <w:szCs w:val="28"/>
        </w:rPr>
        <w:t>采矿权人为</w:t>
      </w:r>
      <w:r>
        <w:rPr>
          <w:rFonts w:hint="default" w:ascii="Times New Roman" w:hAnsi="Times New Roman" w:cs="Times New Roman"/>
          <w:sz w:val="28"/>
          <w:szCs w:val="28"/>
          <w:lang w:eastAsia="zh-CN"/>
        </w:rPr>
        <w:t>弥勒市瑞垠矿业有限公司</w:t>
      </w:r>
      <w:r>
        <w:rPr>
          <w:rFonts w:hint="default" w:ascii="Times New Roman" w:hAnsi="Times New Roman" w:cs="Times New Roman"/>
          <w:sz w:val="28"/>
          <w:szCs w:val="28"/>
        </w:rPr>
        <w:t>，公司成立于2013年12月04日，类型为有限责任公司（自然人投资或控股），法定代表人为</w:t>
      </w:r>
      <w:r>
        <w:rPr>
          <w:rFonts w:hint="default" w:ascii="Times New Roman" w:hAnsi="Times New Roman" w:cs="Times New Roman"/>
          <w:sz w:val="28"/>
          <w:szCs w:val="28"/>
          <w:lang w:val="en-US" w:eastAsia="zh-CN"/>
        </w:rPr>
        <w:t>王学强</w:t>
      </w:r>
      <w:r>
        <w:rPr>
          <w:rFonts w:hint="default" w:ascii="Times New Roman" w:hAnsi="Times New Roman" w:cs="Times New Roman"/>
          <w:sz w:val="28"/>
          <w:szCs w:val="28"/>
        </w:rPr>
        <w:t>。</w:t>
      </w:r>
    </w:p>
    <w:p w14:paraId="4438D060">
      <w:pPr>
        <w:widowControl/>
        <w:spacing w:line="360" w:lineRule="auto"/>
        <w:ind w:firstLine="560" w:firstLineChars="200"/>
        <w:rPr>
          <w:rFonts w:hint="default" w:ascii="Times New Roman" w:hAnsi="Times New Roman" w:cs="Times New Roman"/>
          <w:sz w:val="28"/>
          <w:szCs w:val="28"/>
        </w:rPr>
      </w:pPr>
      <w:r>
        <w:rPr>
          <w:rFonts w:hint="default" w:ascii="Times New Roman" w:hAnsi="Times New Roman" w:cs="Times New Roman"/>
          <w:sz w:val="28"/>
          <w:szCs w:val="28"/>
          <w:lang w:val="en-US" w:eastAsia="zh-CN" w:bidi="en-US"/>
        </w:rPr>
        <w:t>该矿山矿权首次设立时间为2006年，</w:t>
      </w:r>
      <w:r>
        <w:rPr>
          <w:rFonts w:hint="default" w:ascii="Times New Roman" w:hAnsi="Times New Roman" w:cs="Times New Roman" w:eastAsiaTheme="minorEastAsia"/>
          <w:color w:val="auto"/>
          <w:sz w:val="28"/>
          <w:szCs w:val="28"/>
          <w:lang w:val="en-US"/>
        </w:rPr>
        <w:t>采矿权人以无偿出让方式从弥勒市国土资源局取得小沙冲砂场采矿许可证</w:t>
      </w:r>
      <w:r>
        <w:rPr>
          <w:rFonts w:hint="default" w:ascii="Times New Roman" w:hAnsi="Times New Roman" w:cs="Times New Roman" w:eastAsiaTheme="minorEastAsia"/>
          <w:color w:val="auto"/>
          <w:sz w:val="28"/>
          <w:szCs w:val="28"/>
          <w:lang w:val="en-US" w:eastAsia="zh-CN"/>
        </w:rPr>
        <w:t>，</w:t>
      </w:r>
      <w:r>
        <w:rPr>
          <w:rFonts w:hint="default" w:ascii="Times New Roman" w:hAnsi="Times New Roman" w:cs="Times New Roman"/>
          <w:sz w:val="28"/>
          <w:szCs w:val="28"/>
          <w:lang w:val="en-US" w:eastAsia="zh-CN" w:bidi="en-US"/>
        </w:rPr>
        <w:t>分别在2011年、2016年、2018年多次延续矿权</w:t>
      </w:r>
      <w:r>
        <w:rPr>
          <w:rFonts w:hint="default" w:ascii="Times New Roman" w:hAnsi="Times New Roman" w:cs="Times New Roman"/>
          <w:sz w:val="28"/>
          <w:szCs w:val="28"/>
          <w:lang w:eastAsia="zh-CN" w:bidi="en-US"/>
        </w:rPr>
        <w:t>，</w:t>
      </w:r>
      <w:r>
        <w:rPr>
          <w:rFonts w:hint="default" w:ascii="Times New Roman" w:hAnsi="Times New Roman" w:cs="Times New Roman"/>
          <w:sz w:val="28"/>
          <w:szCs w:val="28"/>
          <w:lang w:bidi="en-US"/>
        </w:rPr>
        <w:t>最近一次矿山开采设计在2021年委托昆明坤泽矿业技术有限责任公司编制的《弥勒市瑞垠矿业有限公司弥勒市小沙冲砂场5.55万立方米/年露天采矿工程初步设计（代可研）》及《弥勒市瑞垠矿业有限公司弥勒市小沙冲砂场5.55万立方米/年露天采矿工程安全设施设计》</w:t>
      </w:r>
      <w:r>
        <w:rPr>
          <w:rFonts w:hint="default" w:ascii="Times New Roman" w:hAnsi="Times New Roman" w:cs="Times New Roman"/>
          <w:sz w:val="28"/>
          <w:szCs w:val="28"/>
          <w:lang w:eastAsia="zh-CN" w:bidi="en-US"/>
        </w:rPr>
        <w:t>。</w:t>
      </w:r>
      <w:r>
        <w:rPr>
          <w:rFonts w:hint="default" w:ascii="Times New Roman" w:hAnsi="Times New Roman" w:cs="Times New Roman"/>
          <w:sz w:val="28"/>
          <w:szCs w:val="28"/>
          <w:lang w:bidi="en-US"/>
        </w:rPr>
        <w:t>据</w:t>
      </w:r>
      <w:r>
        <w:rPr>
          <w:rFonts w:hint="eastAsia" w:cs="Times New Roman"/>
          <w:sz w:val="28"/>
          <w:szCs w:val="28"/>
          <w:lang w:eastAsia="zh-CN" w:bidi="en-US"/>
        </w:rPr>
        <w:t>《</w:t>
      </w:r>
      <w:r>
        <w:rPr>
          <w:rFonts w:hint="default" w:ascii="Times New Roman" w:hAnsi="Times New Roman" w:cs="Times New Roman"/>
          <w:sz w:val="28"/>
          <w:szCs w:val="28"/>
          <w:lang w:bidi="en-US"/>
        </w:rPr>
        <w:t>红河州人民政府关于同意弥勒市2024年非煤矿山转型升级“四个一批”名单的批复</w:t>
      </w:r>
      <w:r>
        <w:rPr>
          <w:rFonts w:hint="eastAsia" w:cs="Times New Roman"/>
          <w:sz w:val="28"/>
          <w:szCs w:val="28"/>
          <w:lang w:eastAsia="zh-CN" w:bidi="en-US"/>
        </w:rPr>
        <w:t>》（红政复〔2024〕50号），弥勒市瑞垠矿业有限公司弥勒市小沙冲砂场</w:t>
      </w:r>
      <w:r>
        <w:rPr>
          <w:rFonts w:hint="eastAsia" w:cs="Times New Roman"/>
          <w:sz w:val="28"/>
          <w:szCs w:val="28"/>
          <w:lang w:val="en-US" w:eastAsia="zh-CN" w:bidi="en-US"/>
        </w:rPr>
        <w:t>划分为改造升级矿山</w:t>
      </w:r>
      <w:r>
        <w:rPr>
          <w:rFonts w:hint="default" w:ascii="Times New Roman" w:hAnsi="Times New Roman" w:cs="Times New Roman"/>
          <w:sz w:val="28"/>
          <w:szCs w:val="28"/>
          <w:lang w:bidi="en-US"/>
        </w:rPr>
        <w:t>，</w:t>
      </w:r>
      <w:r>
        <w:rPr>
          <w:rFonts w:hint="eastAsia" w:cs="Times New Roman"/>
          <w:sz w:val="28"/>
          <w:szCs w:val="28"/>
          <w:lang w:val="en-US" w:eastAsia="zh-CN" w:bidi="en-US"/>
        </w:rPr>
        <w:t>且</w:t>
      </w:r>
      <w:r>
        <w:rPr>
          <w:rFonts w:hint="default" w:ascii="Times New Roman" w:hAnsi="Times New Roman" w:cs="Times New Roman"/>
          <w:sz w:val="28"/>
          <w:szCs w:val="28"/>
          <w:lang w:bidi="en-US"/>
        </w:rPr>
        <w:t>矿山目前的生产规模不能满足企业发展，因此</w:t>
      </w:r>
      <w:r>
        <w:rPr>
          <w:rFonts w:hint="default" w:ascii="Times New Roman" w:hAnsi="Times New Roman" w:cs="Times New Roman"/>
          <w:sz w:val="28"/>
          <w:szCs w:val="28"/>
          <w:lang w:eastAsia="zh-CN" w:bidi="en-US"/>
        </w:rPr>
        <w:t>，</w:t>
      </w:r>
      <w:r>
        <w:rPr>
          <w:rFonts w:hint="default" w:ascii="Times New Roman" w:hAnsi="Times New Roman" w:cs="Times New Roman"/>
          <w:sz w:val="28"/>
          <w:szCs w:val="28"/>
          <w:lang w:val="en-US" w:eastAsia="zh-CN" w:bidi="en-US"/>
        </w:rPr>
        <w:t>采矿权人申请将矿山生产规模由原5.55万m</w:t>
      </w:r>
      <w:r>
        <w:rPr>
          <w:rFonts w:hint="default" w:ascii="Times New Roman" w:hAnsi="Times New Roman" w:cs="Times New Roman"/>
          <w:sz w:val="28"/>
          <w:szCs w:val="28"/>
          <w:vertAlign w:val="superscript"/>
          <w:lang w:val="en-US" w:eastAsia="zh-CN" w:bidi="en-US"/>
        </w:rPr>
        <w:t>3</w:t>
      </w:r>
      <w:r>
        <w:rPr>
          <w:rFonts w:hint="default" w:ascii="Times New Roman" w:hAnsi="Times New Roman" w:cs="Times New Roman"/>
          <w:sz w:val="28"/>
          <w:szCs w:val="28"/>
          <w:lang w:val="en-US" w:eastAsia="zh-CN" w:bidi="en-US"/>
        </w:rPr>
        <w:t>/年扩大变更为22.22万m</w:t>
      </w:r>
      <w:r>
        <w:rPr>
          <w:rFonts w:hint="default" w:ascii="Times New Roman" w:hAnsi="Times New Roman" w:cs="Times New Roman"/>
          <w:sz w:val="28"/>
          <w:szCs w:val="28"/>
          <w:vertAlign w:val="superscript"/>
          <w:lang w:val="en-US" w:eastAsia="zh-CN" w:bidi="en-US"/>
        </w:rPr>
        <w:t>3</w:t>
      </w:r>
      <w:r>
        <w:rPr>
          <w:rFonts w:hint="default" w:ascii="Times New Roman" w:hAnsi="Times New Roman" w:cs="Times New Roman"/>
          <w:sz w:val="28"/>
          <w:szCs w:val="28"/>
          <w:lang w:val="en-US" w:eastAsia="zh-CN" w:bidi="en-US"/>
        </w:rPr>
        <w:t>/年，并于2025年3月28日取得最新采矿证，矿山名称：弥勒市瑞垠矿业有限公司弥勒市小沙冲砂场，开采矿种：建筑用砂，开采方式：露天开采，生产规模：22.22万立方米/年，矿区面积：0.2536km</w:t>
      </w:r>
      <w:r>
        <w:rPr>
          <w:rFonts w:hint="default" w:ascii="Times New Roman" w:hAnsi="Times New Roman" w:cs="Times New Roman"/>
          <w:sz w:val="28"/>
          <w:szCs w:val="28"/>
          <w:vertAlign w:val="superscript"/>
          <w:lang w:val="en-US" w:eastAsia="zh-CN" w:bidi="en-US"/>
        </w:rPr>
        <w:t>2</w:t>
      </w:r>
      <w:r>
        <w:rPr>
          <w:rFonts w:hint="default" w:ascii="Times New Roman" w:hAnsi="Times New Roman" w:cs="Times New Roman"/>
          <w:sz w:val="28"/>
          <w:szCs w:val="28"/>
          <w:vertAlign w:val="baseline"/>
          <w:lang w:val="en-US" w:eastAsia="zh-CN" w:bidi="en-US"/>
        </w:rPr>
        <w:t>，</w:t>
      </w:r>
      <w:r>
        <w:rPr>
          <w:rFonts w:hint="default" w:ascii="Times New Roman" w:hAnsi="Times New Roman" w:cs="Times New Roman"/>
          <w:sz w:val="28"/>
          <w:szCs w:val="28"/>
          <w:lang w:bidi="en-US"/>
        </w:rPr>
        <w:t>开采深度：</w:t>
      </w:r>
      <w:r>
        <w:rPr>
          <w:rFonts w:hint="default" w:ascii="Times New Roman" w:hAnsi="Times New Roman" w:cs="Times New Roman"/>
          <w:sz w:val="28"/>
          <w:szCs w:val="28"/>
          <w:lang w:val="en-US" w:eastAsia="zh-CN"/>
        </w:rPr>
        <w:t>1550m</w:t>
      </w:r>
      <w:r>
        <w:rPr>
          <w:rFonts w:hint="default" w:ascii="Times New Roman" w:hAnsi="Times New Roman" w:cs="Times New Roman"/>
          <w:sz w:val="28"/>
          <w:szCs w:val="28"/>
        </w:rPr>
        <w:t>～</w:t>
      </w:r>
      <w:r>
        <w:rPr>
          <w:rFonts w:hint="default" w:ascii="Times New Roman" w:hAnsi="Times New Roman" w:cs="Times New Roman"/>
          <w:sz w:val="28"/>
          <w:szCs w:val="28"/>
          <w:lang w:val="en-US" w:eastAsia="zh-CN"/>
        </w:rPr>
        <w:t>1470</w:t>
      </w:r>
      <w:r>
        <w:rPr>
          <w:rFonts w:hint="default" w:ascii="Times New Roman" w:hAnsi="Times New Roman" w:cs="Times New Roman"/>
          <w:sz w:val="28"/>
          <w:szCs w:val="28"/>
        </w:rPr>
        <w:t>m；矿区范围由</w:t>
      </w:r>
      <w:r>
        <w:rPr>
          <w:rFonts w:hint="default" w:ascii="Times New Roman" w:hAnsi="Times New Roman" w:cs="Times New Roman"/>
          <w:sz w:val="28"/>
          <w:szCs w:val="28"/>
          <w:lang w:val="en-US" w:eastAsia="zh-CN"/>
        </w:rPr>
        <w:t>16</w:t>
      </w:r>
      <w:r>
        <w:rPr>
          <w:rFonts w:hint="default" w:ascii="Times New Roman" w:hAnsi="Times New Roman" w:cs="Times New Roman"/>
          <w:sz w:val="28"/>
          <w:szCs w:val="28"/>
        </w:rPr>
        <w:t>个拐点圈定，开采矿种为</w:t>
      </w:r>
      <w:r>
        <w:rPr>
          <w:rFonts w:hint="default" w:ascii="Times New Roman" w:hAnsi="Times New Roman" w:cs="Times New Roman"/>
          <w:sz w:val="28"/>
          <w:szCs w:val="28"/>
          <w:lang w:eastAsia="zh-CN"/>
        </w:rPr>
        <w:t>建筑用砂</w:t>
      </w:r>
      <w:r>
        <w:rPr>
          <w:rFonts w:hint="default" w:ascii="Times New Roman" w:hAnsi="Times New Roman" w:cs="Times New Roman"/>
          <w:sz w:val="28"/>
          <w:szCs w:val="28"/>
        </w:rPr>
        <w:t>，有效期为202</w:t>
      </w:r>
      <w:r>
        <w:rPr>
          <w:rFonts w:hint="default" w:ascii="Times New Roman" w:hAnsi="Times New Roman" w:cs="Times New Roman"/>
          <w:sz w:val="28"/>
          <w:szCs w:val="28"/>
          <w:lang w:val="en-US" w:eastAsia="zh-CN"/>
        </w:rPr>
        <w:t>5</w:t>
      </w:r>
      <w:r>
        <w:rPr>
          <w:rFonts w:hint="default" w:ascii="Times New Roman" w:hAnsi="Times New Roman" w:cs="Times New Roman"/>
          <w:sz w:val="28"/>
          <w:szCs w:val="28"/>
        </w:rPr>
        <w:t>年</w:t>
      </w:r>
      <w:r>
        <w:rPr>
          <w:rFonts w:hint="default" w:ascii="Times New Roman" w:hAnsi="Times New Roman" w:cs="Times New Roman"/>
          <w:sz w:val="28"/>
          <w:szCs w:val="28"/>
          <w:lang w:val="en-US" w:eastAsia="zh-CN"/>
        </w:rPr>
        <w:t>3</w:t>
      </w:r>
      <w:r>
        <w:rPr>
          <w:rFonts w:hint="default" w:ascii="Times New Roman" w:hAnsi="Times New Roman" w:cs="Times New Roman"/>
          <w:sz w:val="28"/>
          <w:szCs w:val="28"/>
        </w:rPr>
        <w:t>月</w:t>
      </w:r>
      <w:r>
        <w:rPr>
          <w:rFonts w:hint="default" w:ascii="Times New Roman" w:hAnsi="Times New Roman" w:cs="Times New Roman"/>
          <w:sz w:val="28"/>
          <w:szCs w:val="28"/>
          <w:lang w:val="en-US" w:eastAsia="zh-CN"/>
        </w:rPr>
        <w:t>2</w:t>
      </w:r>
      <w:r>
        <w:rPr>
          <w:rFonts w:hint="default" w:ascii="Times New Roman" w:hAnsi="Times New Roman" w:cs="Times New Roman"/>
          <w:sz w:val="28"/>
          <w:szCs w:val="28"/>
        </w:rPr>
        <w:t>8日至20</w:t>
      </w:r>
      <w:r>
        <w:rPr>
          <w:rFonts w:hint="default" w:ascii="Times New Roman" w:hAnsi="Times New Roman" w:cs="Times New Roman"/>
          <w:sz w:val="28"/>
          <w:szCs w:val="28"/>
          <w:lang w:val="en-US" w:eastAsia="zh-CN"/>
        </w:rPr>
        <w:t>30</w:t>
      </w:r>
      <w:r>
        <w:rPr>
          <w:rFonts w:hint="default" w:ascii="Times New Roman" w:hAnsi="Times New Roman" w:cs="Times New Roman"/>
          <w:sz w:val="28"/>
          <w:szCs w:val="28"/>
        </w:rPr>
        <w:t>年</w:t>
      </w:r>
      <w:r>
        <w:rPr>
          <w:rFonts w:hint="default" w:ascii="Times New Roman" w:hAnsi="Times New Roman" w:cs="Times New Roman"/>
          <w:sz w:val="28"/>
          <w:szCs w:val="28"/>
          <w:lang w:val="en-US" w:eastAsia="zh-CN"/>
        </w:rPr>
        <w:t>3</w:t>
      </w:r>
      <w:r>
        <w:rPr>
          <w:rFonts w:hint="default" w:ascii="Times New Roman" w:hAnsi="Times New Roman" w:cs="Times New Roman"/>
          <w:sz w:val="28"/>
          <w:szCs w:val="28"/>
        </w:rPr>
        <w:t>月</w:t>
      </w:r>
      <w:r>
        <w:rPr>
          <w:rFonts w:hint="default" w:ascii="Times New Roman" w:hAnsi="Times New Roman" w:cs="Times New Roman"/>
          <w:sz w:val="28"/>
          <w:szCs w:val="28"/>
          <w:lang w:val="en-US" w:eastAsia="zh-CN"/>
        </w:rPr>
        <w:t>27</w:t>
      </w:r>
      <w:r>
        <w:rPr>
          <w:rFonts w:hint="default" w:ascii="Times New Roman" w:hAnsi="Times New Roman" w:cs="Times New Roman"/>
          <w:sz w:val="28"/>
          <w:szCs w:val="28"/>
        </w:rPr>
        <w:t>日。</w:t>
      </w:r>
    </w:p>
    <w:p w14:paraId="4D4F5877">
      <w:pPr>
        <w:widowControl/>
        <w:tabs>
          <w:tab w:val="left" w:pos="4902"/>
        </w:tabs>
        <w:spacing w:line="360" w:lineRule="auto"/>
        <w:ind w:firstLine="576" w:firstLineChars="200"/>
        <w:rPr>
          <w:rFonts w:hint="default" w:ascii="Times New Roman" w:hAnsi="Times New Roman" w:cs="Times New Roman"/>
          <w:spacing w:val="4"/>
          <w:sz w:val="28"/>
          <w:szCs w:val="28"/>
        </w:rPr>
      </w:pPr>
      <w:r>
        <w:rPr>
          <w:rFonts w:hint="default" w:ascii="Times New Roman" w:hAnsi="Times New Roman" w:cs="Times New Roman"/>
          <w:spacing w:val="4"/>
          <w:sz w:val="28"/>
          <w:szCs w:val="28"/>
        </w:rPr>
        <w:t>企业已取得的主要证照信息如下：</w:t>
      </w:r>
      <w:r>
        <w:rPr>
          <w:rFonts w:hint="default" w:ascii="Times New Roman" w:hAnsi="Times New Roman" w:cs="Times New Roman"/>
          <w:spacing w:val="4"/>
          <w:sz w:val="28"/>
          <w:szCs w:val="28"/>
        </w:rPr>
        <w:tab/>
      </w:r>
    </w:p>
    <w:p w14:paraId="4ED87851">
      <w:pPr>
        <w:spacing w:line="360" w:lineRule="auto"/>
        <w:ind w:firstLine="562" w:firstLineChars="200"/>
        <w:rPr>
          <w:rFonts w:hint="default" w:ascii="Times New Roman" w:hAnsi="Times New Roman" w:cs="Times New Roman"/>
          <w:b/>
          <w:bCs/>
          <w:sz w:val="28"/>
        </w:rPr>
      </w:pPr>
      <w:r>
        <w:rPr>
          <w:rFonts w:hint="default" w:ascii="Times New Roman" w:hAnsi="Times New Roman" w:cs="Times New Roman"/>
          <w:b/>
          <w:bCs/>
          <w:sz w:val="28"/>
        </w:rPr>
        <w:t>一、营业执照</w:t>
      </w:r>
    </w:p>
    <w:p w14:paraId="7FA02DEC">
      <w:pPr>
        <w:spacing w:line="360" w:lineRule="auto"/>
        <w:ind w:firstLine="560" w:firstLineChars="200"/>
        <w:rPr>
          <w:rFonts w:hint="default" w:ascii="Times New Roman" w:hAnsi="Times New Roman" w:cs="Times New Roman"/>
          <w:sz w:val="28"/>
        </w:rPr>
      </w:pPr>
      <w:bookmarkStart w:id="150" w:name="_Hlk171672363"/>
      <w:bookmarkStart w:id="151" w:name="_Hlk169863086"/>
      <w:bookmarkStart w:id="152" w:name="_Hlk153637606"/>
      <w:r>
        <w:rPr>
          <w:rFonts w:hint="default" w:ascii="Times New Roman" w:hAnsi="Times New Roman" w:cs="Times New Roman"/>
          <w:sz w:val="28"/>
        </w:rPr>
        <w:t>名称：弥勒市瑞垠矿业有限公司；</w:t>
      </w:r>
    </w:p>
    <w:p w14:paraId="3301A22A">
      <w:pPr>
        <w:spacing w:line="360" w:lineRule="auto"/>
        <w:ind w:firstLine="560" w:firstLineChars="200"/>
        <w:rPr>
          <w:rFonts w:hint="default" w:ascii="Times New Roman" w:hAnsi="Times New Roman" w:cs="Times New Roman"/>
          <w:sz w:val="28"/>
        </w:rPr>
      </w:pPr>
      <w:r>
        <w:rPr>
          <w:rFonts w:hint="default" w:ascii="Times New Roman" w:hAnsi="Times New Roman" w:cs="Times New Roman"/>
          <w:sz w:val="28"/>
        </w:rPr>
        <w:t>统一社会信用代码：91532526083297507C；</w:t>
      </w:r>
    </w:p>
    <w:p w14:paraId="67CDBC04">
      <w:pPr>
        <w:spacing w:line="360" w:lineRule="auto"/>
        <w:ind w:firstLine="560" w:firstLineChars="200"/>
        <w:rPr>
          <w:rFonts w:hint="default" w:ascii="Times New Roman" w:hAnsi="Times New Roman" w:cs="Times New Roman"/>
          <w:sz w:val="28"/>
        </w:rPr>
      </w:pPr>
      <w:r>
        <w:rPr>
          <w:rFonts w:hint="default" w:ascii="Times New Roman" w:hAnsi="Times New Roman" w:cs="Times New Roman"/>
          <w:sz w:val="28"/>
        </w:rPr>
        <w:t>类型：有限责任公司（自然人投资或控股）；</w:t>
      </w:r>
    </w:p>
    <w:p w14:paraId="46DADCCA">
      <w:pPr>
        <w:spacing w:line="360" w:lineRule="auto"/>
        <w:ind w:firstLine="560" w:firstLineChars="200"/>
        <w:rPr>
          <w:rFonts w:hint="default" w:ascii="Times New Roman" w:hAnsi="Times New Roman" w:cs="Times New Roman"/>
          <w:sz w:val="28"/>
        </w:rPr>
      </w:pPr>
      <w:r>
        <w:rPr>
          <w:rFonts w:hint="default" w:ascii="Times New Roman" w:hAnsi="Times New Roman" w:cs="Times New Roman"/>
          <w:sz w:val="28"/>
        </w:rPr>
        <w:t>住所：云南省红河哈尼族彝族自治州弥勒市新哨镇猴街村委会小沙冲村；</w:t>
      </w:r>
    </w:p>
    <w:p w14:paraId="6C16605A">
      <w:pPr>
        <w:spacing w:line="360" w:lineRule="auto"/>
        <w:ind w:firstLine="560" w:firstLineChars="200"/>
        <w:rPr>
          <w:rFonts w:hint="default" w:ascii="Times New Roman" w:hAnsi="Times New Roman" w:cs="Times New Roman"/>
          <w:sz w:val="28"/>
        </w:rPr>
      </w:pPr>
      <w:r>
        <w:rPr>
          <w:rFonts w:hint="default" w:ascii="Times New Roman" w:hAnsi="Times New Roman" w:cs="Times New Roman"/>
          <w:sz w:val="28"/>
        </w:rPr>
        <w:t>法定代表人：王学强；</w:t>
      </w:r>
    </w:p>
    <w:p w14:paraId="780E167C">
      <w:pPr>
        <w:spacing w:line="360" w:lineRule="auto"/>
        <w:ind w:firstLine="560" w:firstLineChars="200"/>
        <w:rPr>
          <w:rFonts w:hint="default" w:ascii="Times New Roman" w:hAnsi="Times New Roman" w:cs="Times New Roman"/>
          <w:sz w:val="28"/>
        </w:rPr>
      </w:pPr>
      <w:r>
        <w:rPr>
          <w:rFonts w:hint="default" w:ascii="Times New Roman" w:hAnsi="Times New Roman" w:cs="Times New Roman"/>
          <w:sz w:val="28"/>
        </w:rPr>
        <w:t>注册资本：伍拾万元整；</w:t>
      </w:r>
    </w:p>
    <w:p w14:paraId="5F012801">
      <w:pPr>
        <w:spacing w:line="360" w:lineRule="auto"/>
        <w:ind w:firstLine="560" w:firstLineChars="200"/>
        <w:rPr>
          <w:rFonts w:hint="default" w:ascii="Times New Roman" w:hAnsi="Times New Roman" w:cs="Times New Roman"/>
          <w:sz w:val="28"/>
        </w:rPr>
      </w:pPr>
      <w:r>
        <w:rPr>
          <w:rFonts w:hint="default" w:ascii="Times New Roman" w:hAnsi="Times New Roman" w:cs="Times New Roman"/>
          <w:sz w:val="28"/>
        </w:rPr>
        <w:t>成立日期：</w:t>
      </w:r>
      <w:bookmarkStart w:id="153" w:name="_Hlk194341440"/>
      <w:r>
        <w:rPr>
          <w:rFonts w:hint="default" w:ascii="Times New Roman" w:hAnsi="Times New Roman" w:cs="Times New Roman"/>
          <w:sz w:val="28"/>
        </w:rPr>
        <w:t>2013年12月04日</w:t>
      </w:r>
      <w:bookmarkEnd w:id="153"/>
      <w:r>
        <w:rPr>
          <w:rFonts w:hint="default" w:ascii="Times New Roman" w:hAnsi="Times New Roman" w:cs="Times New Roman"/>
          <w:sz w:val="28"/>
        </w:rPr>
        <w:t>；</w:t>
      </w:r>
    </w:p>
    <w:p w14:paraId="1CDD63A8">
      <w:pPr>
        <w:spacing w:line="360" w:lineRule="auto"/>
        <w:ind w:firstLine="560" w:firstLineChars="200"/>
        <w:rPr>
          <w:rFonts w:hint="default" w:ascii="Times New Roman" w:hAnsi="Times New Roman" w:cs="Times New Roman"/>
          <w:sz w:val="28"/>
        </w:rPr>
      </w:pPr>
      <w:r>
        <w:rPr>
          <w:rFonts w:hint="default" w:ascii="Times New Roman" w:hAnsi="Times New Roman" w:cs="Times New Roman"/>
          <w:sz w:val="28"/>
        </w:rPr>
        <w:t>经营范围：建筑用砂开采、加工、销售。（依法须经批准的项目，经相关部门批准后方可开展经营活动）；</w:t>
      </w:r>
    </w:p>
    <w:p w14:paraId="56403A75">
      <w:pPr>
        <w:spacing w:line="360" w:lineRule="auto"/>
        <w:ind w:firstLine="560" w:firstLineChars="200"/>
        <w:rPr>
          <w:rFonts w:hint="default" w:ascii="Times New Roman" w:hAnsi="Times New Roman" w:eastAsia="宋体" w:cs="Times New Roman"/>
          <w:sz w:val="28"/>
          <w:lang w:eastAsia="zh-CN"/>
        </w:rPr>
      </w:pPr>
      <w:r>
        <w:rPr>
          <w:rFonts w:hint="default" w:ascii="Times New Roman" w:hAnsi="Times New Roman" w:cs="Times New Roman"/>
          <w:sz w:val="28"/>
        </w:rPr>
        <w:t>登记机关：</w:t>
      </w:r>
      <w:bookmarkEnd w:id="150"/>
      <w:bookmarkEnd w:id="151"/>
      <w:r>
        <w:rPr>
          <w:rFonts w:hint="default" w:ascii="Times New Roman" w:hAnsi="Times New Roman" w:cs="Times New Roman"/>
          <w:sz w:val="28"/>
        </w:rPr>
        <w:t>弥勒市市场监督管理局</w:t>
      </w:r>
      <w:bookmarkEnd w:id="152"/>
      <w:r>
        <w:rPr>
          <w:rFonts w:hint="default" w:ascii="Times New Roman" w:hAnsi="Times New Roman" w:cs="Times New Roman"/>
          <w:sz w:val="28"/>
          <w:lang w:eastAsia="zh-CN"/>
        </w:rPr>
        <w:t>；</w:t>
      </w:r>
    </w:p>
    <w:p w14:paraId="37792C1A">
      <w:pPr>
        <w:spacing w:line="360" w:lineRule="auto"/>
        <w:ind w:firstLine="560" w:firstLineChars="200"/>
        <w:rPr>
          <w:rFonts w:hint="default" w:ascii="Times New Roman" w:hAnsi="Times New Roman" w:eastAsia="宋体" w:cs="Times New Roman"/>
          <w:sz w:val="28"/>
          <w:lang w:val="en-US" w:eastAsia="zh-CN"/>
        </w:rPr>
      </w:pPr>
      <w:r>
        <w:rPr>
          <w:rFonts w:hint="default" w:ascii="Times New Roman" w:hAnsi="Times New Roman" w:cs="Times New Roman"/>
          <w:sz w:val="28"/>
        </w:rPr>
        <w:t>登记日期：20</w:t>
      </w:r>
      <w:r>
        <w:rPr>
          <w:rFonts w:hint="default" w:ascii="Times New Roman" w:hAnsi="Times New Roman" w:cs="Times New Roman"/>
          <w:sz w:val="28"/>
          <w:lang w:val="en-US" w:eastAsia="zh-CN"/>
        </w:rPr>
        <w:t>23</w:t>
      </w:r>
      <w:r>
        <w:rPr>
          <w:rFonts w:hint="default" w:ascii="Times New Roman" w:hAnsi="Times New Roman" w:cs="Times New Roman"/>
          <w:sz w:val="28"/>
        </w:rPr>
        <w:t>年</w:t>
      </w:r>
      <w:r>
        <w:rPr>
          <w:rFonts w:hint="default" w:ascii="Times New Roman" w:hAnsi="Times New Roman" w:cs="Times New Roman"/>
          <w:sz w:val="28"/>
          <w:lang w:val="en-US" w:eastAsia="zh-CN"/>
        </w:rPr>
        <w:t>5</w:t>
      </w:r>
      <w:r>
        <w:rPr>
          <w:rFonts w:hint="default" w:ascii="Times New Roman" w:hAnsi="Times New Roman" w:cs="Times New Roman"/>
          <w:sz w:val="28"/>
        </w:rPr>
        <w:t>月</w:t>
      </w:r>
      <w:r>
        <w:rPr>
          <w:rFonts w:hint="default" w:ascii="Times New Roman" w:hAnsi="Times New Roman" w:cs="Times New Roman"/>
          <w:sz w:val="28"/>
          <w:lang w:val="en-US" w:eastAsia="zh-CN"/>
        </w:rPr>
        <w:t>17</w:t>
      </w:r>
      <w:r>
        <w:rPr>
          <w:rFonts w:hint="default" w:ascii="Times New Roman" w:hAnsi="Times New Roman" w:cs="Times New Roman"/>
          <w:sz w:val="28"/>
        </w:rPr>
        <w:t>日</w:t>
      </w:r>
      <w:r>
        <w:rPr>
          <w:rFonts w:hint="default" w:ascii="Times New Roman" w:hAnsi="Times New Roman" w:cs="Times New Roman"/>
          <w:sz w:val="28"/>
          <w:lang w:eastAsia="zh-CN"/>
        </w:rPr>
        <w:t>。</w:t>
      </w:r>
    </w:p>
    <w:p w14:paraId="535F4CCF">
      <w:pPr>
        <w:spacing w:line="360" w:lineRule="auto"/>
        <w:ind w:firstLine="562" w:firstLineChars="200"/>
        <w:rPr>
          <w:rFonts w:hint="default" w:ascii="Times New Roman" w:hAnsi="Times New Roman" w:cs="Times New Roman"/>
          <w:b/>
          <w:bCs/>
          <w:sz w:val="28"/>
        </w:rPr>
      </w:pPr>
      <w:bookmarkStart w:id="154" w:name="_Toc18904"/>
      <w:r>
        <w:rPr>
          <w:rFonts w:hint="default" w:ascii="Times New Roman" w:hAnsi="Times New Roman" w:cs="Times New Roman"/>
          <w:b/>
          <w:bCs/>
          <w:sz w:val="28"/>
        </w:rPr>
        <w:t>二、采矿许可证</w:t>
      </w:r>
      <w:bookmarkEnd w:id="154"/>
    </w:p>
    <w:p w14:paraId="2184EE4D">
      <w:pPr>
        <w:spacing w:line="360" w:lineRule="auto"/>
        <w:ind w:firstLine="560" w:firstLineChars="200"/>
        <w:rPr>
          <w:rFonts w:hint="default" w:ascii="Times New Roman" w:hAnsi="Times New Roman" w:eastAsia="宋体" w:cs="Times New Roman"/>
          <w:sz w:val="28"/>
          <w:lang w:eastAsia="zh-CN"/>
        </w:rPr>
      </w:pPr>
      <w:r>
        <w:rPr>
          <w:rFonts w:hint="default" w:ascii="Times New Roman" w:hAnsi="Times New Roman" w:cs="Times New Roman"/>
          <w:sz w:val="28"/>
        </w:rPr>
        <w:t>证    号：</w:t>
      </w:r>
      <w:r>
        <w:rPr>
          <w:rFonts w:hint="default" w:ascii="Times New Roman" w:hAnsi="Times New Roman" w:cs="Times New Roman"/>
          <w:sz w:val="28"/>
          <w:lang w:eastAsia="zh-CN"/>
        </w:rPr>
        <w:t>C3325262010127130094782</w:t>
      </w:r>
    </w:p>
    <w:p w14:paraId="636BEB8C">
      <w:pPr>
        <w:spacing w:line="360" w:lineRule="auto"/>
        <w:ind w:firstLine="560" w:firstLineChars="200"/>
        <w:rPr>
          <w:rFonts w:hint="default" w:ascii="Times New Roman" w:hAnsi="Times New Roman" w:eastAsia="宋体" w:cs="Times New Roman"/>
          <w:sz w:val="28"/>
          <w:lang w:eastAsia="zh-CN"/>
        </w:rPr>
      </w:pPr>
      <w:r>
        <w:rPr>
          <w:rFonts w:hint="default" w:ascii="Times New Roman" w:hAnsi="Times New Roman" w:cs="Times New Roman"/>
          <w:sz w:val="28"/>
        </w:rPr>
        <w:t>采矿权人：</w:t>
      </w:r>
      <w:r>
        <w:rPr>
          <w:rFonts w:hint="default" w:ascii="Times New Roman" w:hAnsi="Times New Roman" w:cs="Times New Roman"/>
          <w:sz w:val="28"/>
          <w:lang w:eastAsia="zh-CN"/>
        </w:rPr>
        <w:t>弥勒市瑞垠矿业有限公司</w:t>
      </w:r>
    </w:p>
    <w:p w14:paraId="0A7F01C3">
      <w:pPr>
        <w:spacing w:line="360" w:lineRule="auto"/>
        <w:ind w:firstLine="560" w:firstLineChars="200"/>
        <w:rPr>
          <w:rFonts w:hint="default" w:ascii="Times New Roman" w:hAnsi="Times New Roman" w:cs="Times New Roman"/>
          <w:sz w:val="28"/>
        </w:rPr>
      </w:pPr>
      <w:r>
        <w:rPr>
          <w:rFonts w:hint="default" w:ascii="Times New Roman" w:hAnsi="Times New Roman" w:cs="Times New Roman"/>
          <w:sz w:val="28"/>
        </w:rPr>
        <w:t>地    址：云南省红河哈尼族彝族自治州弥勒市新哨镇猴街村委会小沙冲村</w:t>
      </w:r>
    </w:p>
    <w:p w14:paraId="3E1CFB0F">
      <w:pPr>
        <w:spacing w:line="360" w:lineRule="auto"/>
        <w:ind w:firstLine="560" w:firstLineChars="200"/>
        <w:rPr>
          <w:rFonts w:hint="default" w:ascii="Times New Roman" w:hAnsi="Times New Roman" w:cs="Times New Roman"/>
          <w:sz w:val="28"/>
        </w:rPr>
      </w:pPr>
      <w:r>
        <w:rPr>
          <w:rFonts w:hint="default" w:ascii="Times New Roman" w:hAnsi="Times New Roman" w:cs="Times New Roman"/>
          <w:sz w:val="28"/>
        </w:rPr>
        <w:t>矿山名称：</w:t>
      </w:r>
      <w:r>
        <w:rPr>
          <w:rFonts w:hint="default" w:ascii="Times New Roman" w:hAnsi="Times New Roman" w:cs="Times New Roman"/>
          <w:sz w:val="28"/>
          <w:lang w:eastAsia="zh-CN"/>
        </w:rPr>
        <w:t>弥勒市瑞垠矿业有限公司弥勒市小沙冲砂场</w:t>
      </w:r>
    </w:p>
    <w:p w14:paraId="265094ED">
      <w:pPr>
        <w:spacing w:line="360" w:lineRule="auto"/>
        <w:ind w:firstLine="560" w:firstLineChars="200"/>
        <w:rPr>
          <w:rFonts w:hint="default" w:ascii="Times New Roman" w:hAnsi="Times New Roman" w:cs="Times New Roman"/>
          <w:sz w:val="28"/>
        </w:rPr>
      </w:pPr>
      <w:r>
        <w:rPr>
          <w:rFonts w:hint="default" w:ascii="Times New Roman" w:hAnsi="Times New Roman" w:cs="Times New Roman"/>
          <w:sz w:val="28"/>
        </w:rPr>
        <w:t>经济类型：有限责任公司</w:t>
      </w:r>
    </w:p>
    <w:p w14:paraId="770CEBE3">
      <w:pPr>
        <w:spacing w:line="360" w:lineRule="auto"/>
        <w:ind w:firstLine="560" w:firstLineChars="200"/>
        <w:rPr>
          <w:rFonts w:hint="default" w:ascii="Times New Roman" w:hAnsi="Times New Roman" w:eastAsia="宋体" w:cs="Times New Roman"/>
          <w:sz w:val="28"/>
          <w:lang w:eastAsia="zh-CN"/>
        </w:rPr>
      </w:pPr>
      <w:r>
        <w:rPr>
          <w:rFonts w:hint="default" w:ascii="Times New Roman" w:hAnsi="Times New Roman" w:cs="Times New Roman"/>
          <w:sz w:val="28"/>
        </w:rPr>
        <w:t>开采矿种：</w:t>
      </w:r>
      <w:r>
        <w:rPr>
          <w:rFonts w:hint="default" w:ascii="Times New Roman" w:hAnsi="Times New Roman" w:cs="Times New Roman"/>
          <w:sz w:val="28"/>
          <w:lang w:eastAsia="zh-CN"/>
        </w:rPr>
        <w:t>建筑用砂</w:t>
      </w:r>
    </w:p>
    <w:p w14:paraId="4A4CFB6A">
      <w:pPr>
        <w:spacing w:line="360" w:lineRule="auto"/>
        <w:ind w:firstLine="560" w:firstLineChars="200"/>
        <w:rPr>
          <w:rFonts w:hint="default" w:ascii="Times New Roman" w:hAnsi="Times New Roman" w:cs="Times New Roman"/>
          <w:sz w:val="28"/>
        </w:rPr>
      </w:pPr>
      <w:r>
        <w:rPr>
          <w:rFonts w:hint="default" w:ascii="Times New Roman" w:hAnsi="Times New Roman" w:cs="Times New Roman"/>
          <w:sz w:val="28"/>
        </w:rPr>
        <w:t>开采方式：露天开采</w:t>
      </w:r>
    </w:p>
    <w:p w14:paraId="2D4DD19E">
      <w:pPr>
        <w:spacing w:line="360" w:lineRule="auto"/>
        <w:ind w:firstLine="560" w:firstLineChars="200"/>
        <w:rPr>
          <w:rFonts w:hint="default" w:ascii="Times New Roman" w:hAnsi="Times New Roman" w:cs="Times New Roman"/>
          <w:sz w:val="28"/>
        </w:rPr>
      </w:pPr>
      <w:r>
        <w:rPr>
          <w:rFonts w:hint="default" w:ascii="Times New Roman" w:hAnsi="Times New Roman" w:cs="Times New Roman"/>
          <w:sz w:val="28"/>
        </w:rPr>
        <w:t>生产规模：</w:t>
      </w:r>
      <w:r>
        <w:rPr>
          <w:rFonts w:hint="default" w:ascii="Times New Roman" w:hAnsi="Times New Roman" w:cs="Times New Roman"/>
          <w:sz w:val="28"/>
          <w:lang w:val="en-US" w:eastAsia="zh-CN"/>
        </w:rPr>
        <w:t>22.22</w:t>
      </w:r>
      <w:r>
        <w:rPr>
          <w:rFonts w:hint="default" w:ascii="Times New Roman" w:hAnsi="Times New Roman" w:cs="Times New Roman"/>
          <w:sz w:val="28"/>
        </w:rPr>
        <w:t>万</w:t>
      </w:r>
      <w:r>
        <w:rPr>
          <w:rFonts w:hint="default" w:ascii="Times New Roman" w:hAnsi="Times New Roman" w:cs="Times New Roman"/>
          <w:sz w:val="28"/>
          <w:lang w:val="en-US" w:eastAsia="zh-CN"/>
        </w:rPr>
        <w:t>立方米</w:t>
      </w:r>
      <w:r>
        <w:rPr>
          <w:rFonts w:hint="default" w:ascii="Times New Roman" w:hAnsi="Times New Roman" w:cs="Times New Roman"/>
          <w:sz w:val="28"/>
        </w:rPr>
        <w:t>/年</w:t>
      </w:r>
    </w:p>
    <w:p w14:paraId="2FACB7A5">
      <w:pPr>
        <w:spacing w:line="360" w:lineRule="auto"/>
        <w:ind w:firstLine="560" w:firstLineChars="200"/>
        <w:rPr>
          <w:rFonts w:hint="default" w:ascii="Times New Roman" w:hAnsi="Times New Roman" w:cs="Times New Roman"/>
          <w:sz w:val="28"/>
        </w:rPr>
      </w:pPr>
      <w:r>
        <w:rPr>
          <w:rFonts w:hint="default" w:ascii="Times New Roman" w:hAnsi="Times New Roman" w:cs="Times New Roman"/>
          <w:sz w:val="28"/>
        </w:rPr>
        <w:t>矿区面积：</w:t>
      </w:r>
      <w:r>
        <w:rPr>
          <w:rFonts w:hint="default" w:ascii="Times New Roman" w:hAnsi="Times New Roman" w:cs="Times New Roman"/>
          <w:sz w:val="28"/>
          <w:lang w:eastAsia="zh-CN"/>
        </w:rPr>
        <w:t>0.2536</w:t>
      </w:r>
      <w:r>
        <w:rPr>
          <w:rFonts w:hint="default" w:ascii="Times New Roman" w:hAnsi="Times New Roman" w:cs="Times New Roman"/>
          <w:sz w:val="28"/>
        </w:rPr>
        <w:t>平方公里</w:t>
      </w:r>
    </w:p>
    <w:p w14:paraId="2E851CD1">
      <w:pPr>
        <w:spacing w:line="360" w:lineRule="auto"/>
        <w:ind w:firstLine="560" w:firstLineChars="200"/>
        <w:rPr>
          <w:rFonts w:hint="default" w:ascii="Times New Roman" w:hAnsi="Times New Roman" w:cs="Times New Roman"/>
          <w:sz w:val="28"/>
        </w:rPr>
      </w:pPr>
      <w:r>
        <w:rPr>
          <w:rFonts w:hint="default" w:ascii="Times New Roman" w:hAnsi="Times New Roman" w:cs="Times New Roman"/>
          <w:sz w:val="28"/>
        </w:rPr>
        <w:t>有效期限：伍年  自</w:t>
      </w:r>
      <w:r>
        <w:rPr>
          <w:rFonts w:hint="default" w:ascii="Times New Roman" w:hAnsi="Times New Roman" w:cs="Times New Roman"/>
          <w:sz w:val="28"/>
          <w:lang w:val="en-US" w:eastAsia="zh-CN"/>
        </w:rPr>
        <w:t>2025</w:t>
      </w:r>
      <w:r>
        <w:rPr>
          <w:rFonts w:hint="default" w:ascii="Times New Roman" w:hAnsi="Times New Roman" w:cs="Times New Roman"/>
          <w:sz w:val="28"/>
        </w:rPr>
        <w:t>年</w:t>
      </w:r>
      <w:r>
        <w:rPr>
          <w:rFonts w:hint="default" w:ascii="Times New Roman" w:hAnsi="Times New Roman" w:cs="Times New Roman"/>
          <w:sz w:val="28"/>
          <w:lang w:val="en-US" w:eastAsia="zh-CN"/>
        </w:rPr>
        <w:t>3</w:t>
      </w:r>
      <w:r>
        <w:rPr>
          <w:rFonts w:hint="default" w:ascii="Times New Roman" w:hAnsi="Times New Roman" w:cs="Times New Roman"/>
          <w:sz w:val="28"/>
        </w:rPr>
        <w:t>月</w:t>
      </w:r>
      <w:r>
        <w:rPr>
          <w:rFonts w:hint="default" w:ascii="Times New Roman" w:hAnsi="Times New Roman" w:cs="Times New Roman"/>
          <w:sz w:val="28"/>
          <w:lang w:val="en-US" w:eastAsia="zh-CN"/>
        </w:rPr>
        <w:t>2</w:t>
      </w:r>
      <w:r>
        <w:rPr>
          <w:rFonts w:hint="default" w:ascii="Times New Roman" w:hAnsi="Times New Roman" w:cs="Times New Roman"/>
          <w:sz w:val="28"/>
        </w:rPr>
        <w:t>8日至20</w:t>
      </w:r>
      <w:r>
        <w:rPr>
          <w:rFonts w:hint="default" w:ascii="Times New Roman" w:hAnsi="Times New Roman" w:cs="Times New Roman"/>
          <w:sz w:val="28"/>
          <w:lang w:val="en-US" w:eastAsia="zh-CN"/>
        </w:rPr>
        <w:t>30</w:t>
      </w:r>
      <w:r>
        <w:rPr>
          <w:rFonts w:hint="default" w:ascii="Times New Roman" w:hAnsi="Times New Roman" w:cs="Times New Roman"/>
          <w:sz w:val="28"/>
        </w:rPr>
        <w:t>年</w:t>
      </w:r>
      <w:r>
        <w:rPr>
          <w:rFonts w:hint="default" w:ascii="Times New Roman" w:hAnsi="Times New Roman" w:cs="Times New Roman"/>
          <w:sz w:val="28"/>
          <w:lang w:val="en-US" w:eastAsia="zh-CN"/>
        </w:rPr>
        <w:t>3</w:t>
      </w:r>
      <w:r>
        <w:rPr>
          <w:rFonts w:hint="default" w:ascii="Times New Roman" w:hAnsi="Times New Roman" w:cs="Times New Roman"/>
          <w:sz w:val="28"/>
        </w:rPr>
        <w:t>月</w:t>
      </w:r>
      <w:r>
        <w:rPr>
          <w:rFonts w:hint="default" w:ascii="Times New Roman" w:hAnsi="Times New Roman" w:cs="Times New Roman"/>
          <w:sz w:val="28"/>
          <w:lang w:val="en-US" w:eastAsia="zh-CN"/>
        </w:rPr>
        <w:t>27</w:t>
      </w:r>
      <w:r>
        <w:rPr>
          <w:rFonts w:hint="default" w:ascii="Times New Roman" w:hAnsi="Times New Roman" w:cs="Times New Roman"/>
          <w:sz w:val="28"/>
        </w:rPr>
        <w:t>日</w:t>
      </w:r>
    </w:p>
    <w:p w14:paraId="62511E1F">
      <w:pPr>
        <w:spacing w:line="360" w:lineRule="auto"/>
        <w:ind w:firstLine="560" w:firstLineChars="200"/>
        <w:rPr>
          <w:rFonts w:hint="default" w:ascii="Times New Roman" w:hAnsi="Times New Roman" w:cs="Times New Roman"/>
          <w:sz w:val="28"/>
        </w:rPr>
      </w:pPr>
      <w:r>
        <w:rPr>
          <w:rFonts w:hint="default" w:ascii="Times New Roman" w:hAnsi="Times New Roman" w:cs="Times New Roman"/>
          <w:sz w:val="28"/>
        </w:rPr>
        <w:t>发证机关：</w:t>
      </w:r>
      <w:r>
        <w:rPr>
          <w:rFonts w:hint="default" w:ascii="Times New Roman" w:hAnsi="Times New Roman" w:cs="Times New Roman"/>
          <w:sz w:val="28"/>
          <w:lang w:val="en-US" w:eastAsia="zh-CN"/>
        </w:rPr>
        <w:t>弥勒市</w:t>
      </w:r>
      <w:r>
        <w:rPr>
          <w:rFonts w:hint="default" w:ascii="Times New Roman" w:hAnsi="Times New Roman" w:cs="Times New Roman"/>
          <w:sz w:val="28"/>
        </w:rPr>
        <w:t>自然资源局</w:t>
      </w:r>
    </w:p>
    <w:p w14:paraId="21E7EFAA">
      <w:pPr>
        <w:spacing w:line="360" w:lineRule="auto"/>
        <w:ind w:firstLine="560" w:firstLineChars="200"/>
        <w:rPr>
          <w:rFonts w:hint="default" w:ascii="Times New Roman" w:hAnsi="Times New Roman" w:cs="Times New Roman"/>
          <w:sz w:val="28"/>
        </w:rPr>
      </w:pPr>
      <w:r>
        <w:rPr>
          <w:rFonts w:hint="default" w:ascii="Times New Roman" w:hAnsi="Times New Roman" w:cs="Times New Roman"/>
          <w:sz w:val="28"/>
        </w:rPr>
        <w:t>发证日期：二〇二</w:t>
      </w:r>
      <w:r>
        <w:rPr>
          <w:rFonts w:hint="default" w:ascii="Times New Roman" w:hAnsi="Times New Roman" w:cs="Times New Roman"/>
          <w:sz w:val="28"/>
          <w:lang w:val="en-US" w:eastAsia="zh-CN"/>
        </w:rPr>
        <w:t>五</w:t>
      </w:r>
      <w:r>
        <w:rPr>
          <w:rFonts w:hint="default" w:ascii="Times New Roman" w:hAnsi="Times New Roman" w:cs="Times New Roman"/>
          <w:sz w:val="28"/>
        </w:rPr>
        <w:t>年</w:t>
      </w:r>
      <w:r>
        <w:rPr>
          <w:rFonts w:hint="default" w:ascii="Times New Roman" w:hAnsi="Times New Roman" w:cs="Times New Roman"/>
          <w:sz w:val="28"/>
          <w:lang w:val="en-US" w:eastAsia="zh-CN"/>
        </w:rPr>
        <w:t>三</w:t>
      </w:r>
      <w:r>
        <w:rPr>
          <w:rFonts w:hint="default" w:ascii="Times New Roman" w:hAnsi="Times New Roman" w:cs="Times New Roman"/>
          <w:sz w:val="28"/>
        </w:rPr>
        <w:t>月</w:t>
      </w:r>
      <w:r>
        <w:rPr>
          <w:rFonts w:hint="default" w:ascii="Times New Roman" w:hAnsi="Times New Roman" w:cs="Times New Roman"/>
          <w:sz w:val="28"/>
          <w:lang w:val="en-US" w:eastAsia="zh-CN"/>
        </w:rPr>
        <w:t>二十</w:t>
      </w:r>
      <w:r>
        <w:rPr>
          <w:rFonts w:hint="default" w:ascii="Times New Roman" w:hAnsi="Times New Roman" w:cs="Times New Roman"/>
          <w:sz w:val="28"/>
        </w:rPr>
        <w:t>八日</w:t>
      </w:r>
    </w:p>
    <w:p w14:paraId="3060A360">
      <w:pPr>
        <w:pStyle w:val="4"/>
        <w:spacing w:before="0" w:after="0" w:line="360" w:lineRule="auto"/>
        <w:rPr>
          <w:rFonts w:hint="default" w:ascii="Times New Roman" w:hAnsi="Times New Roman" w:cs="Times New Roman"/>
          <w:sz w:val="28"/>
          <w:szCs w:val="28"/>
        </w:rPr>
      </w:pPr>
      <w:r>
        <w:rPr>
          <w:rFonts w:hint="default" w:ascii="Times New Roman" w:hAnsi="Times New Roman" w:cs="Times New Roman"/>
          <w:sz w:val="28"/>
          <w:szCs w:val="28"/>
        </w:rPr>
        <w:t>2.1.2项目背景</w:t>
      </w:r>
    </w:p>
    <w:p w14:paraId="42EDC9CA">
      <w:pPr>
        <w:adjustRightInd w:val="0"/>
        <w:snapToGrid w:val="0"/>
        <w:spacing w:line="360" w:lineRule="auto"/>
        <w:ind w:firstLine="560" w:firstLineChars="200"/>
        <w:rPr>
          <w:rFonts w:hint="default" w:ascii="Times New Roman" w:hAnsi="Times New Roman" w:cs="Times New Roman"/>
          <w:sz w:val="28"/>
          <w:szCs w:val="28"/>
          <w:lang w:val="en-US" w:eastAsia="zh-CN" w:bidi="en-US"/>
        </w:rPr>
      </w:pPr>
      <w:r>
        <w:rPr>
          <w:rFonts w:hint="default" w:ascii="Times New Roman" w:hAnsi="Times New Roman" w:cs="Times New Roman"/>
          <w:sz w:val="28"/>
          <w:szCs w:val="28"/>
          <w:lang w:val="en-US" w:eastAsia="zh-CN" w:bidi="en-US"/>
        </w:rPr>
        <w:t>该矿山矿权首次设立时间为2006年，</w:t>
      </w:r>
      <w:r>
        <w:rPr>
          <w:rFonts w:hint="default" w:ascii="Times New Roman" w:hAnsi="Times New Roman" w:cs="Times New Roman" w:eastAsiaTheme="minorEastAsia"/>
          <w:color w:val="auto"/>
          <w:sz w:val="28"/>
          <w:szCs w:val="28"/>
          <w:lang w:val="en-US"/>
        </w:rPr>
        <w:t>采矿权人以无偿出让方式从弥勒市国土资源局取得小沙冲砂场采矿许可证</w:t>
      </w:r>
      <w:r>
        <w:rPr>
          <w:rFonts w:hint="default" w:ascii="Times New Roman" w:hAnsi="Times New Roman" w:cs="Times New Roman" w:eastAsiaTheme="minorEastAsia"/>
          <w:color w:val="auto"/>
          <w:sz w:val="28"/>
          <w:szCs w:val="28"/>
          <w:lang w:val="en-US" w:eastAsia="zh-CN"/>
        </w:rPr>
        <w:t>，</w:t>
      </w:r>
      <w:r>
        <w:rPr>
          <w:rFonts w:hint="default" w:ascii="Times New Roman" w:hAnsi="Times New Roman" w:cs="Times New Roman"/>
          <w:sz w:val="28"/>
          <w:szCs w:val="28"/>
          <w:lang w:val="en-US" w:eastAsia="zh-CN" w:bidi="en-US"/>
        </w:rPr>
        <w:t>分别在2011年、2016年、2018年多次延续矿权</w:t>
      </w:r>
      <w:r>
        <w:rPr>
          <w:rFonts w:hint="default" w:ascii="Times New Roman" w:hAnsi="Times New Roman" w:cs="Times New Roman"/>
          <w:sz w:val="28"/>
          <w:szCs w:val="28"/>
          <w:lang w:eastAsia="zh-CN" w:bidi="en-US"/>
        </w:rPr>
        <w:t>，</w:t>
      </w:r>
      <w:r>
        <w:rPr>
          <w:rFonts w:hint="default" w:ascii="Times New Roman" w:hAnsi="Times New Roman" w:cs="Times New Roman"/>
          <w:sz w:val="28"/>
          <w:szCs w:val="28"/>
          <w:lang w:bidi="en-US"/>
        </w:rPr>
        <w:t>最近一次矿山开采设计在2021年委托昆明坤泽矿业技术有限责任公司编制的《弥勒市瑞垠矿业有限公司弥勒市小沙冲砂场5.55万立方米/年露天采矿工程初步设计（代可研）》及《弥勒市瑞垠矿业有限公司弥勒市小沙冲砂场5.55万立方米/年露天采矿工程安全设施设计》</w:t>
      </w:r>
      <w:r>
        <w:rPr>
          <w:rFonts w:hint="default" w:ascii="Times New Roman" w:hAnsi="Times New Roman" w:cs="Times New Roman"/>
          <w:sz w:val="28"/>
          <w:szCs w:val="28"/>
          <w:lang w:eastAsia="zh-CN" w:bidi="en-US"/>
        </w:rPr>
        <w:t>。</w:t>
      </w:r>
      <w:r>
        <w:rPr>
          <w:rFonts w:hint="default" w:ascii="Times New Roman" w:hAnsi="Times New Roman" w:cs="Times New Roman"/>
          <w:sz w:val="28"/>
          <w:szCs w:val="28"/>
          <w:lang w:val="en-US" w:eastAsia="zh-CN" w:bidi="en-US"/>
        </w:rPr>
        <w:t>于2023年5月30日取得原安全生产许可证，许可证编号：（红）FM安许证字〔2023〕F001，有效期：2023年3月7日至2026年3月6日，许可范围：建筑用砂露天开采〈限C532526201027130094782采矿许可证矿区拐点坐标及设计范围内&gt;，发证机关：红河州应急管理局。</w:t>
      </w:r>
    </w:p>
    <w:p w14:paraId="08F73931">
      <w:pPr>
        <w:adjustRightInd w:val="0"/>
        <w:snapToGrid w:val="0"/>
        <w:spacing w:line="360" w:lineRule="auto"/>
        <w:ind w:firstLine="560" w:firstLineChars="200"/>
        <w:rPr>
          <w:rFonts w:hint="default" w:ascii="Times New Roman" w:hAnsi="Times New Roman" w:eastAsia="宋体" w:cs="Times New Roman"/>
          <w:sz w:val="28"/>
          <w:szCs w:val="28"/>
          <w:lang w:val="en-US" w:eastAsia="zh-CN" w:bidi="en-US"/>
        </w:rPr>
      </w:pPr>
      <w:r>
        <w:rPr>
          <w:rFonts w:hint="default" w:ascii="Times New Roman" w:hAnsi="Times New Roman" w:cs="Times New Roman"/>
          <w:sz w:val="28"/>
          <w:szCs w:val="28"/>
          <w:lang w:bidi="en-US"/>
        </w:rPr>
        <w:t>根据近两年的市场需求，矿山目前的生产规模不能满足企业发展，因此</w:t>
      </w:r>
      <w:r>
        <w:rPr>
          <w:rFonts w:hint="default" w:ascii="Times New Roman" w:hAnsi="Times New Roman" w:cs="Times New Roman"/>
          <w:sz w:val="28"/>
          <w:szCs w:val="28"/>
          <w:lang w:eastAsia="zh-CN" w:bidi="en-US"/>
        </w:rPr>
        <w:t>，</w:t>
      </w:r>
      <w:r>
        <w:rPr>
          <w:rFonts w:hint="default" w:ascii="Times New Roman" w:hAnsi="Times New Roman" w:cs="Times New Roman"/>
          <w:sz w:val="28"/>
          <w:szCs w:val="28"/>
          <w:lang w:val="en-US" w:eastAsia="zh-CN" w:bidi="en-US"/>
        </w:rPr>
        <w:t>采矿权人申请将矿山生产规模由原5.55万m</w:t>
      </w:r>
      <w:r>
        <w:rPr>
          <w:rFonts w:hint="default" w:ascii="Times New Roman" w:hAnsi="Times New Roman" w:cs="Times New Roman"/>
          <w:sz w:val="28"/>
          <w:szCs w:val="28"/>
          <w:vertAlign w:val="superscript"/>
          <w:lang w:val="en-US" w:eastAsia="zh-CN" w:bidi="en-US"/>
        </w:rPr>
        <w:t>3</w:t>
      </w:r>
      <w:r>
        <w:rPr>
          <w:rFonts w:hint="default" w:ascii="Times New Roman" w:hAnsi="Times New Roman" w:cs="Times New Roman"/>
          <w:sz w:val="28"/>
          <w:szCs w:val="28"/>
          <w:lang w:val="en-US" w:eastAsia="zh-CN" w:bidi="en-US"/>
        </w:rPr>
        <w:t>/年扩大变更为22.22万m</w:t>
      </w:r>
      <w:r>
        <w:rPr>
          <w:rFonts w:hint="default" w:ascii="Times New Roman" w:hAnsi="Times New Roman" w:cs="Times New Roman"/>
          <w:sz w:val="28"/>
          <w:szCs w:val="28"/>
          <w:vertAlign w:val="superscript"/>
          <w:lang w:val="en-US" w:eastAsia="zh-CN" w:bidi="en-US"/>
        </w:rPr>
        <w:t>3</w:t>
      </w:r>
      <w:r>
        <w:rPr>
          <w:rFonts w:hint="default" w:ascii="Times New Roman" w:hAnsi="Times New Roman" w:cs="Times New Roman"/>
          <w:sz w:val="28"/>
          <w:szCs w:val="28"/>
          <w:lang w:val="en-US" w:eastAsia="zh-CN" w:bidi="en-US"/>
        </w:rPr>
        <w:t>/年，并于2025年3月28日取得最新采矿证，矿山名称：弥勒市瑞垠矿业有限公司弥勒市小沙冲砂场，开采矿种：建筑用砂，开采方式：露天开采，生产规模：22.22万立方米/年，矿区面积：0.2536km</w:t>
      </w:r>
      <w:r>
        <w:rPr>
          <w:rFonts w:hint="default" w:ascii="Times New Roman" w:hAnsi="Times New Roman" w:cs="Times New Roman"/>
          <w:sz w:val="28"/>
          <w:szCs w:val="28"/>
          <w:vertAlign w:val="superscript"/>
          <w:lang w:val="en-US" w:eastAsia="zh-CN" w:bidi="en-US"/>
        </w:rPr>
        <w:t>2</w:t>
      </w:r>
      <w:r>
        <w:rPr>
          <w:rFonts w:hint="default" w:ascii="Times New Roman" w:hAnsi="Times New Roman" w:cs="Times New Roman"/>
          <w:sz w:val="28"/>
          <w:szCs w:val="28"/>
          <w:lang w:val="en-US" w:eastAsia="zh-CN" w:bidi="en-US"/>
        </w:rPr>
        <w:t>。</w:t>
      </w:r>
    </w:p>
    <w:p w14:paraId="18D035A7">
      <w:pPr>
        <w:spacing w:line="360" w:lineRule="auto"/>
        <w:ind w:firstLine="560" w:firstLineChars="200"/>
        <w:rPr>
          <w:rFonts w:hint="default" w:ascii="Times New Roman" w:hAnsi="Times New Roman" w:cs="Times New Roman"/>
          <w:sz w:val="28"/>
        </w:rPr>
      </w:pPr>
      <w:r>
        <w:rPr>
          <w:rFonts w:hint="default" w:ascii="Times New Roman" w:hAnsi="Times New Roman" w:cs="Times New Roman"/>
          <w:sz w:val="28"/>
        </w:rPr>
        <w:t>根据《建设项目安全设施“三同时”监督管理办法》（原国家安全生产监督管理总局令第36号）、《国家矿山安全监察局关于进一步加强非煤矿山安全生产行政许可工作的通知》（矿安〔2024〕70号）等有关规定，</w:t>
      </w:r>
      <w:r>
        <w:rPr>
          <w:rFonts w:hint="default" w:ascii="Times New Roman" w:hAnsi="Times New Roman" w:cs="Times New Roman"/>
          <w:sz w:val="28"/>
          <w:szCs w:val="20"/>
          <w:lang w:eastAsia="zh-CN"/>
        </w:rPr>
        <w:t>弥勒市瑞垠矿业有限公司</w:t>
      </w:r>
      <w:r>
        <w:rPr>
          <w:rFonts w:hint="default" w:ascii="Times New Roman" w:hAnsi="Times New Roman" w:cs="Times New Roman"/>
          <w:sz w:val="28"/>
        </w:rPr>
        <w:t>需要重新办理建设项目安全设施的“三同时”工作。</w:t>
      </w:r>
      <w:r>
        <w:rPr>
          <w:rFonts w:hint="default" w:ascii="Times New Roman" w:hAnsi="Times New Roman" w:cs="Times New Roman"/>
          <w:sz w:val="28"/>
          <w:szCs w:val="28"/>
          <w:lang w:bidi="en-US"/>
        </w:rPr>
        <w:t>因此，矿山于20</w:t>
      </w:r>
      <w:r>
        <w:rPr>
          <w:rFonts w:hint="default" w:ascii="Times New Roman" w:hAnsi="Times New Roman" w:cs="Times New Roman"/>
          <w:sz w:val="28"/>
          <w:szCs w:val="28"/>
          <w:lang w:val="en-US" w:eastAsia="zh-CN" w:bidi="en-US"/>
        </w:rPr>
        <w:t>25</w:t>
      </w:r>
      <w:r>
        <w:rPr>
          <w:rFonts w:hint="default" w:ascii="Times New Roman" w:hAnsi="Times New Roman" w:cs="Times New Roman"/>
          <w:sz w:val="28"/>
          <w:szCs w:val="28"/>
          <w:lang w:bidi="en-US"/>
        </w:rPr>
        <w:t>年</w:t>
      </w:r>
      <w:r>
        <w:rPr>
          <w:rFonts w:hint="default" w:ascii="Times New Roman" w:hAnsi="Times New Roman" w:cs="Times New Roman"/>
          <w:sz w:val="28"/>
          <w:szCs w:val="28"/>
          <w:lang w:val="en-US" w:eastAsia="zh-CN" w:bidi="en-US"/>
        </w:rPr>
        <w:t>6</w:t>
      </w:r>
      <w:r>
        <w:rPr>
          <w:rFonts w:hint="default" w:ascii="Times New Roman" w:hAnsi="Times New Roman" w:cs="Times New Roman"/>
          <w:sz w:val="28"/>
          <w:szCs w:val="28"/>
          <w:lang w:bidi="en-US"/>
        </w:rPr>
        <w:t>月委托河南省冶金规划设计研究院有限责任公司编写了《弥勒市瑞垠矿业有限公司弥勒市小沙冲砂场</w:t>
      </w:r>
      <w:r>
        <w:rPr>
          <w:rFonts w:hint="default" w:ascii="Times New Roman" w:hAnsi="Times New Roman" w:cs="Times New Roman"/>
          <w:sz w:val="28"/>
          <w:szCs w:val="28"/>
          <w:lang w:eastAsia="zh-CN" w:bidi="en-US"/>
        </w:rPr>
        <w:t>22.22</w:t>
      </w:r>
      <w:r>
        <w:rPr>
          <w:rFonts w:hint="default" w:ascii="Times New Roman" w:hAnsi="Times New Roman" w:cs="Times New Roman"/>
          <w:sz w:val="28"/>
          <w:szCs w:val="28"/>
          <w:lang w:val="en-US" w:eastAsia="zh-CN" w:bidi="en-US"/>
        </w:rPr>
        <w:t>万</w:t>
      </w:r>
      <w:r>
        <w:rPr>
          <w:rFonts w:hint="default" w:ascii="Times New Roman" w:hAnsi="Times New Roman" w:cs="Times New Roman"/>
          <w:sz w:val="28"/>
          <w:szCs w:val="28"/>
          <w:lang w:eastAsia="zh-CN" w:bidi="en-US"/>
        </w:rPr>
        <w:t>m</w:t>
      </w:r>
      <w:r>
        <w:rPr>
          <w:rFonts w:hint="default" w:ascii="Times New Roman" w:hAnsi="Times New Roman" w:cs="Times New Roman"/>
          <w:sz w:val="28"/>
          <w:szCs w:val="28"/>
          <w:vertAlign w:val="superscript"/>
          <w:lang w:eastAsia="zh-CN" w:bidi="en-US"/>
        </w:rPr>
        <w:t>3</w:t>
      </w:r>
      <w:r>
        <w:rPr>
          <w:rFonts w:hint="default" w:ascii="Times New Roman" w:hAnsi="Times New Roman" w:cs="Times New Roman"/>
          <w:sz w:val="28"/>
          <w:szCs w:val="28"/>
          <w:lang w:val="en-US" w:eastAsia="zh-CN" w:bidi="en-US"/>
        </w:rPr>
        <w:t>/</w:t>
      </w:r>
      <w:r>
        <w:rPr>
          <w:rFonts w:hint="default" w:ascii="Times New Roman" w:hAnsi="Times New Roman" w:cs="Times New Roman"/>
          <w:sz w:val="28"/>
          <w:szCs w:val="28"/>
          <w:lang w:eastAsia="zh-CN" w:bidi="en-US"/>
        </w:rPr>
        <w:t>a（50万t</w:t>
      </w:r>
      <w:r>
        <w:rPr>
          <w:rFonts w:hint="default" w:ascii="Times New Roman" w:hAnsi="Times New Roman" w:cs="Times New Roman"/>
          <w:sz w:val="28"/>
          <w:szCs w:val="28"/>
          <w:lang w:val="en-US" w:eastAsia="zh-CN" w:bidi="en-US"/>
        </w:rPr>
        <w:t>/</w:t>
      </w:r>
      <w:r>
        <w:rPr>
          <w:rFonts w:hint="default" w:ascii="Times New Roman" w:hAnsi="Times New Roman" w:cs="Times New Roman"/>
          <w:sz w:val="28"/>
          <w:szCs w:val="28"/>
          <w:lang w:eastAsia="zh-CN" w:bidi="en-US"/>
        </w:rPr>
        <w:t>a）</w:t>
      </w:r>
      <w:r>
        <w:rPr>
          <w:rFonts w:hint="default" w:ascii="Times New Roman" w:hAnsi="Times New Roman" w:cs="Times New Roman"/>
          <w:sz w:val="28"/>
          <w:szCs w:val="28"/>
          <w:lang w:bidi="en-US"/>
        </w:rPr>
        <w:t>露天采矿工程初步设计（代可研）》</w:t>
      </w:r>
      <w:r>
        <w:rPr>
          <w:rFonts w:hint="default" w:ascii="Times New Roman" w:hAnsi="Times New Roman" w:cs="Times New Roman"/>
          <w:sz w:val="28"/>
          <w:szCs w:val="28"/>
          <w:lang w:eastAsia="zh-CN" w:bidi="en-US"/>
        </w:rPr>
        <w:t>，</w:t>
      </w:r>
      <w:r>
        <w:rPr>
          <w:rFonts w:hint="default" w:ascii="Times New Roman" w:hAnsi="Times New Roman" w:cs="Times New Roman"/>
          <w:sz w:val="28"/>
        </w:rPr>
        <w:t>委托辽宁诺诚安全科技有限公司承担《</w:t>
      </w:r>
      <w:r>
        <w:rPr>
          <w:rFonts w:hint="default" w:ascii="Times New Roman" w:hAnsi="Times New Roman" w:cs="Times New Roman"/>
          <w:sz w:val="28"/>
          <w:lang w:eastAsia="zh-CN"/>
        </w:rPr>
        <w:t>弥勒市瑞垠矿业有限公司弥勒市小沙冲砂场</w:t>
      </w:r>
      <w:r>
        <w:rPr>
          <w:rFonts w:hint="default" w:ascii="Times New Roman" w:hAnsi="Times New Roman" w:cs="Times New Roman"/>
          <w:sz w:val="28"/>
          <w:szCs w:val="28"/>
          <w:lang w:eastAsia="zh-CN" w:bidi="en-US"/>
        </w:rPr>
        <w:t>22.22</w:t>
      </w:r>
      <w:r>
        <w:rPr>
          <w:rFonts w:hint="default" w:ascii="Times New Roman" w:hAnsi="Times New Roman" w:cs="Times New Roman"/>
          <w:sz w:val="28"/>
          <w:szCs w:val="28"/>
          <w:lang w:val="en-US" w:eastAsia="zh-CN" w:bidi="en-US"/>
        </w:rPr>
        <w:t>万</w:t>
      </w:r>
      <w:r>
        <w:rPr>
          <w:rFonts w:hint="default" w:ascii="Times New Roman" w:hAnsi="Times New Roman" w:cs="Times New Roman"/>
          <w:sz w:val="28"/>
          <w:szCs w:val="28"/>
          <w:lang w:eastAsia="zh-CN" w:bidi="en-US"/>
        </w:rPr>
        <w:t>m</w:t>
      </w:r>
      <w:r>
        <w:rPr>
          <w:rFonts w:hint="default" w:ascii="Times New Roman" w:hAnsi="Times New Roman" w:cs="Times New Roman"/>
          <w:sz w:val="28"/>
          <w:szCs w:val="28"/>
          <w:vertAlign w:val="superscript"/>
          <w:lang w:eastAsia="zh-CN" w:bidi="en-US"/>
        </w:rPr>
        <w:t>3</w:t>
      </w:r>
      <w:r>
        <w:rPr>
          <w:rFonts w:hint="default" w:ascii="Times New Roman" w:hAnsi="Times New Roman" w:cs="Times New Roman"/>
          <w:sz w:val="28"/>
          <w:szCs w:val="28"/>
          <w:lang w:val="en-US" w:eastAsia="zh-CN" w:bidi="en-US"/>
        </w:rPr>
        <w:t>/</w:t>
      </w:r>
      <w:r>
        <w:rPr>
          <w:rFonts w:hint="default" w:ascii="Times New Roman" w:hAnsi="Times New Roman" w:cs="Times New Roman"/>
          <w:sz w:val="28"/>
          <w:szCs w:val="28"/>
          <w:lang w:eastAsia="zh-CN" w:bidi="en-US"/>
        </w:rPr>
        <w:t>a（50万t</w:t>
      </w:r>
      <w:r>
        <w:rPr>
          <w:rFonts w:hint="default" w:ascii="Times New Roman" w:hAnsi="Times New Roman" w:cs="Times New Roman"/>
          <w:sz w:val="28"/>
          <w:szCs w:val="28"/>
          <w:lang w:val="en-US" w:eastAsia="zh-CN" w:bidi="en-US"/>
        </w:rPr>
        <w:t>/</w:t>
      </w:r>
      <w:r>
        <w:rPr>
          <w:rFonts w:hint="default" w:ascii="Times New Roman" w:hAnsi="Times New Roman" w:cs="Times New Roman"/>
          <w:sz w:val="28"/>
          <w:szCs w:val="28"/>
          <w:lang w:eastAsia="zh-CN" w:bidi="en-US"/>
        </w:rPr>
        <w:t>a）</w:t>
      </w:r>
      <w:r>
        <w:rPr>
          <w:rFonts w:hint="default" w:ascii="Times New Roman" w:hAnsi="Times New Roman" w:cs="Times New Roman"/>
          <w:sz w:val="28"/>
          <w:lang w:eastAsia="zh-CN"/>
        </w:rPr>
        <w:t>露天采矿工程</w:t>
      </w:r>
      <w:r>
        <w:rPr>
          <w:rFonts w:hint="default" w:ascii="Times New Roman" w:hAnsi="Times New Roman" w:cs="Times New Roman"/>
          <w:sz w:val="28"/>
        </w:rPr>
        <w:t>安全预评价》的编制工作。</w:t>
      </w:r>
    </w:p>
    <w:p w14:paraId="34D64BC3">
      <w:pPr>
        <w:pStyle w:val="4"/>
        <w:spacing w:before="0" w:after="0" w:line="360" w:lineRule="auto"/>
        <w:rPr>
          <w:rFonts w:hint="default" w:ascii="Times New Roman" w:hAnsi="Times New Roman" w:cs="Times New Roman"/>
          <w:sz w:val="28"/>
          <w:szCs w:val="28"/>
        </w:rPr>
      </w:pPr>
      <w:bookmarkStart w:id="155" w:name="_Toc495"/>
      <w:bookmarkStart w:id="156" w:name="_Toc27339"/>
      <w:bookmarkStart w:id="157" w:name="_Toc22261"/>
      <w:bookmarkStart w:id="158" w:name="_Toc16238669"/>
      <w:bookmarkStart w:id="159" w:name="_Toc23053"/>
      <w:bookmarkStart w:id="160" w:name="_Toc30486"/>
      <w:bookmarkStart w:id="161" w:name="_Toc293408508"/>
      <w:r>
        <w:rPr>
          <w:rFonts w:hint="default" w:ascii="Times New Roman" w:hAnsi="Times New Roman" w:cs="Times New Roman"/>
          <w:sz w:val="28"/>
          <w:szCs w:val="28"/>
        </w:rPr>
        <w:t>2.1.3矿区地理位置及交通</w:t>
      </w:r>
      <w:bookmarkEnd w:id="155"/>
      <w:bookmarkEnd w:id="156"/>
      <w:bookmarkEnd w:id="157"/>
      <w:bookmarkEnd w:id="158"/>
      <w:bookmarkEnd w:id="159"/>
      <w:bookmarkEnd w:id="160"/>
      <w:bookmarkEnd w:id="161"/>
    </w:p>
    <w:p w14:paraId="01086F72">
      <w:pPr>
        <w:widowControl/>
        <w:spacing w:line="360" w:lineRule="auto"/>
        <w:ind w:firstLine="560" w:firstLineChars="200"/>
        <w:rPr>
          <w:rFonts w:hint="default" w:ascii="Times New Roman" w:hAnsi="Times New Roman" w:cs="Times New Roman"/>
          <w:sz w:val="28"/>
          <w:szCs w:val="21"/>
        </w:rPr>
      </w:pPr>
      <w:bookmarkStart w:id="162" w:name="_Hlk33290702"/>
      <w:r>
        <w:rPr>
          <w:rFonts w:hint="default" w:ascii="Times New Roman" w:hAnsi="Times New Roman" w:cs="Times New Roman"/>
          <w:sz w:val="28"/>
          <w:szCs w:val="21"/>
        </w:rPr>
        <w:t>弥勒市小沙冲砂场位于弥勒市140°方向，直线距离18km，行政区划隶属弥勒市新哨镇管辖，距红河州府蒙自市100km，距省会昆明市130km。矿区地理极值坐标（CGCS2000）：东经103°29′16.468″～103°29′39.816″；北纬24°15′33.241″～24°15′51.211″。</w:t>
      </w:r>
    </w:p>
    <w:p w14:paraId="434EBB83">
      <w:pPr>
        <w:widowControl/>
        <w:spacing w:line="360" w:lineRule="auto"/>
        <w:ind w:firstLine="560" w:firstLineChars="200"/>
        <w:rPr>
          <w:rFonts w:hint="default" w:ascii="Times New Roman" w:hAnsi="Times New Roman" w:cs="Times New Roman"/>
          <w:sz w:val="28"/>
          <w:szCs w:val="28"/>
        </w:rPr>
      </w:pPr>
      <w:r>
        <w:rPr>
          <w:rFonts w:hint="default" w:ascii="Times New Roman" w:hAnsi="Times New Roman" w:cs="Times New Roman"/>
          <w:sz w:val="28"/>
          <w:szCs w:val="21"/>
        </w:rPr>
        <w:t>矿区位于广昆高速新哨段东侧6.1km处，与二级公路秀河线、东泸线均相通。矿区北侧有阿左邑村道通过，东南侧新哨至小苍窝村道通过，并有简易公路与之相连，矿山交通运输条件较好</w:t>
      </w:r>
      <w:bookmarkEnd w:id="162"/>
      <w:r>
        <w:rPr>
          <w:rFonts w:hint="default" w:ascii="Times New Roman" w:hAnsi="Times New Roman" w:cs="Times New Roman"/>
          <w:sz w:val="28"/>
          <w:szCs w:val="28"/>
        </w:rPr>
        <w:t>。</w:t>
      </w:r>
    </w:p>
    <w:p w14:paraId="152FE79E">
      <w:pPr>
        <w:pStyle w:val="4"/>
        <w:spacing w:before="0" w:after="0" w:line="360" w:lineRule="auto"/>
        <w:rPr>
          <w:rFonts w:hint="default" w:ascii="Times New Roman" w:hAnsi="Times New Roman" w:cs="Times New Roman"/>
          <w:sz w:val="28"/>
          <w:szCs w:val="28"/>
        </w:rPr>
      </w:pPr>
      <w:bookmarkStart w:id="163" w:name="_Toc970"/>
      <w:bookmarkStart w:id="164" w:name="_Toc5766"/>
      <w:bookmarkStart w:id="165" w:name="_Toc16522"/>
      <w:bookmarkStart w:id="166" w:name="_Hlk33121561"/>
      <w:r>
        <w:rPr>
          <w:rFonts w:hint="default" w:ascii="Times New Roman" w:hAnsi="Times New Roman" w:cs="Times New Roman"/>
          <w:sz w:val="28"/>
          <w:szCs w:val="28"/>
        </w:rPr>
        <w:t>2.1.4矿山周边情况</w:t>
      </w:r>
      <w:bookmarkEnd w:id="163"/>
      <w:bookmarkEnd w:id="164"/>
      <w:bookmarkEnd w:id="165"/>
    </w:p>
    <w:p w14:paraId="0FE2A41B">
      <w:pPr>
        <w:pStyle w:val="105"/>
        <w:rPr>
          <w:rFonts w:hint="default" w:ascii="Times New Roman" w:hAnsi="Times New Roman" w:cs="Times New Roman"/>
        </w:rPr>
      </w:pPr>
      <w:r>
        <w:rPr>
          <w:rFonts w:hint="default" w:ascii="Times New Roman" w:hAnsi="Times New Roman" w:cs="Times New Roman"/>
        </w:rPr>
        <w:t>矿山周边主要有以下生产生活设施。</w:t>
      </w:r>
    </w:p>
    <w:p w14:paraId="5D0037A0">
      <w:pPr>
        <w:pStyle w:val="105"/>
        <w:rPr>
          <w:rFonts w:hint="default" w:ascii="Times New Roman" w:hAnsi="Times New Roman" w:cs="Times New Roman"/>
        </w:rPr>
      </w:pPr>
      <w:r>
        <w:rPr>
          <w:rFonts w:hint="default" w:ascii="Times New Roman" w:hAnsi="Times New Roman" w:cs="Times New Roman"/>
        </w:rPr>
        <w:t>1、加工厂：</w:t>
      </w:r>
    </w:p>
    <w:p w14:paraId="1AC06A2A">
      <w:pPr>
        <w:pStyle w:val="105"/>
        <w:rPr>
          <w:rFonts w:hint="default" w:ascii="Times New Roman" w:hAnsi="Times New Roman" w:cs="Times New Roman"/>
        </w:rPr>
      </w:pPr>
      <w:r>
        <w:rPr>
          <w:rFonts w:hint="default" w:ascii="Times New Roman" w:hAnsi="Times New Roman" w:cs="Times New Roman"/>
        </w:rPr>
        <w:t>废弃石料加工厂：矿区西侧206m有一废弃石料加工厂，距离设计开采范围206m。</w:t>
      </w:r>
    </w:p>
    <w:p w14:paraId="42A54032">
      <w:pPr>
        <w:pStyle w:val="105"/>
        <w:rPr>
          <w:rFonts w:hint="default" w:ascii="Times New Roman" w:hAnsi="Times New Roman" w:cs="Times New Roman"/>
        </w:rPr>
      </w:pPr>
      <w:r>
        <w:rPr>
          <w:rFonts w:hint="default" w:ascii="Times New Roman" w:hAnsi="Times New Roman" w:cs="Times New Roman"/>
        </w:rPr>
        <w:t>煤料加工厂：矿区西侧184m有一</w:t>
      </w:r>
      <w:bookmarkStart w:id="167" w:name="OLE_LINK3"/>
      <w:r>
        <w:rPr>
          <w:rFonts w:hint="default" w:ascii="Times New Roman" w:hAnsi="Times New Roman" w:cs="Times New Roman"/>
        </w:rPr>
        <w:t>煤料加工厂</w:t>
      </w:r>
      <w:bookmarkEnd w:id="167"/>
      <w:r>
        <w:rPr>
          <w:rFonts w:hint="default" w:ascii="Times New Roman" w:hAnsi="Times New Roman" w:cs="Times New Roman"/>
        </w:rPr>
        <w:t>，距离设计开采范围184m。</w:t>
      </w:r>
    </w:p>
    <w:p w14:paraId="462EDFE6">
      <w:pPr>
        <w:pStyle w:val="105"/>
        <w:rPr>
          <w:rFonts w:hint="default" w:ascii="Times New Roman" w:hAnsi="Times New Roman" w:cs="Times New Roman"/>
        </w:rPr>
      </w:pPr>
      <w:r>
        <w:rPr>
          <w:rFonts w:hint="default" w:ascii="Times New Roman" w:hAnsi="Times New Roman" w:cs="Times New Roman"/>
        </w:rPr>
        <w:t>2、村道：</w:t>
      </w:r>
    </w:p>
    <w:p w14:paraId="4BC1BE91">
      <w:pPr>
        <w:pStyle w:val="105"/>
        <w:rPr>
          <w:rFonts w:hint="default" w:ascii="Times New Roman" w:hAnsi="Times New Roman" w:cs="Times New Roman"/>
        </w:rPr>
      </w:pPr>
      <w:r>
        <w:rPr>
          <w:rFonts w:hint="default" w:ascii="Times New Roman" w:hAnsi="Times New Roman" w:cs="Times New Roman"/>
        </w:rPr>
        <w:t>村道1：矿区南侧51m有一村道，距离设计开采范围51m。</w:t>
      </w:r>
    </w:p>
    <w:p w14:paraId="476121F4">
      <w:pPr>
        <w:pStyle w:val="105"/>
        <w:rPr>
          <w:rFonts w:hint="default" w:ascii="Times New Roman" w:hAnsi="Times New Roman" w:cs="Times New Roman"/>
        </w:rPr>
      </w:pPr>
      <w:r>
        <w:rPr>
          <w:rFonts w:hint="default" w:ascii="Times New Roman" w:hAnsi="Times New Roman" w:cs="Times New Roman"/>
        </w:rPr>
        <w:t>村道2：矿区北侧80m有一村道，距离设计开采范围80m。</w:t>
      </w:r>
    </w:p>
    <w:p w14:paraId="6DBDEF76">
      <w:pPr>
        <w:pStyle w:val="105"/>
        <w:rPr>
          <w:rFonts w:hint="default" w:ascii="Times New Roman" w:hAnsi="Times New Roman" w:cs="Times New Roman"/>
        </w:rPr>
      </w:pPr>
      <w:r>
        <w:rPr>
          <w:rFonts w:hint="default" w:ascii="Times New Roman" w:hAnsi="Times New Roman" w:cs="Times New Roman"/>
        </w:rPr>
        <w:t>3、养殖场：</w:t>
      </w:r>
    </w:p>
    <w:p w14:paraId="1FEAA700">
      <w:pPr>
        <w:pStyle w:val="105"/>
        <w:rPr>
          <w:rFonts w:hint="default" w:ascii="Times New Roman" w:hAnsi="Times New Roman" w:cs="Times New Roman"/>
        </w:rPr>
      </w:pPr>
      <w:r>
        <w:rPr>
          <w:rFonts w:hint="default" w:ascii="Times New Roman" w:hAnsi="Times New Roman" w:cs="Times New Roman"/>
        </w:rPr>
        <w:t>养殖场1：矿区南侧340m有一养殖场，距离设计开采范围340m。</w:t>
      </w:r>
    </w:p>
    <w:p w14:paraId="66941B6E">
      <w:pPr>
        <w:pStyle w:val="105"/>
        <w:rPr>
          <w:rFonts w:hint="default" w:ascii="Times New Roman" w:hAnsi="Times New Roman" w:cs="Times New Roman"/>
        </w:rPr>
      </w:pPr>
      <w:bookmarkStart w:id="168" w:name="OLE_LINK2"/>
      <w:r>
        <w:rPr>
          <w:rFonts w:hint="default" w:ascii="Times New Roman" w:hAnsi="Times New Roman" w:cs="Times New Roman"/>
        </w:rPr>
        <w:t>养殖场2：</w:t>
      </w:r>
      <w:bookmarkEnd w:id="168"/>
      <w:bookmarkStart w:id="169" w:name="OLE_LINK1"/>
      <w:r>
        <w:rPr>
          <w:rFonts w:hint="default" w:ascii="Times New Roman" w:hAnsi="Times New Roman" w:cs="Times New Roman"/>
        </w:rPr>
        <w:t>矿区南侧140m有一养殖场，距离设计开采范围340m。</w:t>
      </w:r>
      <w:bookmarkEnd w:id="169"/>
    </w:p>
    <w:p w14:paraId="2349D454">
      <w:pPr>
        <w:pStyle w:val="105"/>
        <w:rPr>
          <w:rFonts w:hint="default" w:ascii="Times New Roman" w:hAnsi="Times New Roman" w:cs="Times New Roman"/>
        </w:rPr>
      </w:pPr>
      <w:bookmarkStart w:id="170" w:name="OLE_LINK4"/>
      <w:r>
        <w:rPr>
          <w:rFonts w:hint="default" w:ascii="Times New Roman" w:hAnsi="Times New Roman" w:cs="Times New Roman"/>
        </w:rPr>
        <w:t>养殖场3</w:t>
      </w:r>
      <w:bookmarkEnd w:id="170"/>
      <w:r>
        <w:rPr>
          <w:rFonts w:hint="default" w:ascii="Times New Roman" w:hAnsi="Times New Roman" w:cs="Times New Roman"/>
        </w:rPr>
        <w:t>：矿区北侧50m有一养殖场，距离设计开采范围50m。</w:t>
      </w:r>
    </w:p>
    <w:p w14:paraId="6931EB0C">
      <w:pPr>
        <w:pStyle w:val="105"/>
        <w:rPr>
          <w:rFonts w:hint="default" w:ascii="Times New Roman" w:hAnsi="Times New Roman" w:cs="Times New Roman"/>
        </w:rPr>
      </w:pPr>
      <w:r>
        <w:rPr>
          <w:rFonts w:hint="default" w:ascii="Times New Roman" w:hAnsi="Times New Roman" w:cs="Times New Roman"/>
        </w:rPr>
        <w:t>4、高压线：</w:t>
      </w:r>
    </w:p>
    <w:p w14:paraId="43E3E16D">
      <w:pPr>
        <w:pStyle w:val="105"/>
        <w:rPr>
          <w:rFonts w:hint="default" w:ascii="Times New Roman" w:hAnsi="Times New Roman" w:cs="Times New Roman"/>
        </w:rPr>
      </w:pPr>
      <w:r>
        <w:rPr>
          <w:rFonts w:hint="default" w:ascii="Times New Roman" w:hAnsi="Times New Roman" w:cs="Times New Roman"/>
        </w:rPr>
        <w:t>10kv高压线1：矿区北侧矿1拐点处有一高压线（10kv阿左邑1号变支线）穿过矿区北侧。</w:t>
      </w:r>
    </w:p>
    <w:p w14:paraId="1A7563FB">
      <w:pPr>
        <w:pStyle w:val="105"/>
        <w:rPr>
          <w:rFonts w:hint="default" w:ascii="Times New Roman" w:hAnsi="Times New Roman" w:cs="Times New Roman"/>
        </w:rPr>
      </w:pPr>
      <w:r>
        <w:rPr>
          <w:rFonts w:hint="default" w:ascii="Times New Roman" w:hAnsi="Times New Roman" w:cs="Times New Roman"/>
        </w:rPr>
        <w:t>10kv高压线2：矿区南侧40m有一高压线（10kv清河线T苍窝村1号变支线），距离设计开采范围40m。</w:t>
      </w:r>
    </w:p>
    <w:p w14:paraId="3D6BFFAC">
      <w:pPr>
        <w:pStyle w:val="105"/>
        <w:rPr>
          <w:rFonts w:hint="default" w:ascii="Times New Roman" w:hAnsi="Times New Roman" w:cs="Times New Roman"/>
        </w:rPr>
      </w:pPr>
      <w:r>
        <w:rPr>
          <w:rFonts w:hint="default" w:ascii="Times New Roman" w:hAnsi="Times New Roman" w:cs="Times New Roman"/>
        </w:rPr>
        <w:t>5、温室大棚：矿区南侧矿届拐点13、14、15范围内有周边村名种植用的</w:t>
      </w:r>
      <w:bookmarkStart w:id="171" w:name="OLE_LINK33"/>
      <w:r>
        <w:rPr>
          <w:rFonts w:hint="default" w:ascii="Times New Roman" w:hAnsi="Times New Roman" w:cs="Times New Roman"/>
        </w:rPr>
        <w:t>温室大棚，该部分土地不涉及林地问题，根据设计生产服务年限和出矿进度计划，需要在第十个生产年末征地</w:t>
      </w:r>
      <w:bookmarkEnd w:id="171"/>
      <w:r>
        <w:rPr>
          <w:rFonts w:hint="default" w:ascii="Times New Roman" w:hAnsi="Times New Roman" w:cs="Times New Roman"/>
        </w:rPr>
        <w:t>。</w:t>
      </w:r>
    </w:p>
    <w:p w14:paraId="053BC153">
      <w:pPr>
        <w:pStyle w:val="105"/>
        <w:rPr>
          <w:rFonts w:hint="default" w:ascii="Times New Roman" w:hAnsi="Times New Roman" w:cs="Times New Roman"/>
        </w:rPr>
      </w:pPr>
      <w:r>
        <w:rPr>
          <w:rFonts w:hint="default" w:ascii="Times New Roman" w:hAnsi="Times New Roman" w:cs="Times New Roman"/>
        </w:rPr>
        <w:t>矿区未在“四区”（城市规划区、风景名胜区、重要水源区、重要地质遗迹区）范围内，区内不属于文物保护区和旅游区</w:t>
      </w:r>
      <w:r>
        <w:rPr>
          <w:rFonts w:hint="default" w:ascii="Times New Roman" w:hAnsi="Times New Roman" w:cs="Times New Roman"/>
          <w:lang w:eastAsia="zh-CN"/>
        </w:rPr>
        <w:t>，</w:t>
      </w:r>
      <w:r>
        <w:rPr>
          <w:rFonts w:hint="default" w:ascii="Times New Roman" w:hAnsi="Times New Roman" w:cs="Times New Roman"/>
        </w:rPr>
        <w:t>周边300m范围内无通信设施，1000m范围内没有铁路线。</w:t>
      </w:r>
      <w:bookmarkEnd w:id="166"/>
      <w:bookmarkStart w:id="172" w:name="_Toc26733"/>
      <w:bookmarkStart w:id="173" w:name="_Toc23322"/>
      <w:bookmarkStart w:id="174" w:name="_Toc19198"/>
      <w:bookmarkStart w:id="175" w:name="_Toc28709"/>
      <w:bookmarkStart w:id="176" w:name="_Toc22263"/>
    </w:p>
    <w:p w14:paraId="3281A8AB">
      <w:pPr>
        <w:pStyle w:val="105"/>
        <w:jc w:val="center"/>
        <w:rPr>
          <w:rFonts w:hint="default" w:ascii="Times New Roman" w:hAnsi="Times New Roman" w:cs="Times New Roman"/>
          <w:lang w:val="en-US" w:eastAsia="zh-CN"/>
        </w:rPr>
      </w:pPr>
      <w:r>
        <w:rPr>
          <w:rFonts w:hint="default" w:ascii="Times New Roman" w:hAnsi="Times New Roman" w:cs="Times New Roman"/>
          <w:lang w:val="en-US" w:eastAsia="zh-CN"/>
        </w:rPr>
        <w:t>表2.1-1  矿区周边设施与开采境界最小距离表</w:t>
      </w:r>
    </w:p>
    <w:tbl>
      <w:tblPr>
        <w:tblStyle w:val="30"/>
        <w:tblW w:w="501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965"/>
        <w:gridCol w:w="3008"/>
        <w:gridCol w:w="2996"/>
        <w:gridCol w:w="2242"/>
      </w:tblGrid>
      <w:tr w14:paraId="6C50A1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524" w:type="pct"/>
            <w:vAlign w:val="center"/>
          </w:tcPr>
          <w:p w14:paraId="43CD50D8">
            <w:pPr>
              <w:widowControl w:val="0"/>
              <w:wordWrap w:val="0"/>
              <w:adjustRightInd w:val="0"/>
              <w:snapToGrid w:val="0"/>
              <w:spacing w:line="240" w:lineRule="auto"/>
              <w:ind w:firstLine="0" w:firstLineChars="0"/>
              <w:jc w:val="center"/>
              <w:rPr>
                <w:rFonts w:hint="default" w:ascii="Times New Roman" w:hAnsi="Times New Roman" w:eastAsia="宋体" w:cs="Times New Roman"/>
                <w:b/>
                <w:bCs/>
                <w:kern w:val="2"/>
                <w:sz w:val="21"/>
                <w:szCs w:val="21"/>
                <w:lang w:val="en-US" w:eastAsia="zh-CN" w:bidi="ar-SA"/>
              </w:rPr>
            </w:pPr>
            <w:bookmarkStart w:id="177" w:name="_Hlk171675186"/>
            <w:r>
              <w:rPr>
                <w:rFonts w:hint="default" w:ascii="Times New Roman" w:hAnsi="Times New Roman" w:eastAsia="宋体" w:cs="Times New Roman"/>
                <w:b/>
                <w:bCs/>
                <w:kern w:val="2"/>
                <w:sz w:val="21"/>
                <w:szCs w:val="21"/>
                <w:lang w:val="en-US" w:eastAsia="zh-CN" w:bidi="ar-SA"/>
              </w:rPr>
              <w:t>方位</w:t>
            </w:r>
          </w:p>
        </w:tc>
        <w:tc>
          <w:tcPr>
            <w:tcW w:w="1632" w:type="pct"/>
            <w:vAlign w:val="center"/>
          </w:tcPr>
          <w:p w14:paraId="298569EF">
            <w:pPr>
              <w:widowControl w:val="0"/>
              <w:wordWrap w:val="0"/>
              <w:adjustRightInd w:val="0"/>
              <w:snapToGrid w:val="0"/>
              <w:spacing w:line="240" w:lineRule="auto"/>
              <w:ind w:firstLine="0" w:firstLineChars="0"/>
              <w:jc w:val="center"/>
              <w:rPr>
                <w:rFonts w:hint="default" w:ascii="Times New Roman" w:hAnsi="Times New Roman" w:eastAsia="宋体" w:cs="Times New Roman"/>
                <w:b/>
                <w:bCs/>
                <w:kern w:val="2"/>
                <w:sz w:val="21"/>
                <w:szCs w:val="21"/>
                <w:lang w:val="en-US" w:eastAsia="zh-CN" w:bidi="ar-SA"/>
              </w:rPr>
            </w:pPr>
            <w:r>
              <w:rPr>
                <w:rFonts w:hint="default" w:ascii="Times New Roman" w:hAnsi="Times New Roman" w:eastAsia="宋体" w:cs="Times New Roman"/>
                <w:b/>
                <w:bCs/>
                <w:kern w:val="2"/>
                <w:sz w:val="21"/>
                <w:szCs w:val="21"/>
                <w:lang w:val="en-US" w:eastAsia="zh-CN" w:bidi="ar-SA"/>
              </w:rPr>
              <w:t>周边设施或建筑</w:t>
            </w:r>
          </w:p>
        </w:tc>
        <w:tc>
          <w:tcPr>
            <w:tcW w:w="1625" w:type="pct"/>
            <w:vAlign w:val="center"/>
          </w:tcPr>
          <w:p w14:paraId="72A82600">
            <w:pPr>
              <w:widowControl w:val="0"/>
              <w:wordWrap w:val="0"/>
              <w:adjustRightInd w:val="0"/>
              <w:snapToGrid w:val="0"/>
              <w:spacing w:line="240" w:lineRule="auto"/>
              <w:ind w:firstLine="0" w:firstLineChars="0"/>
              <w:jc w:val="center"/>
              <w:rPr>
                <w:rFonts w:hint="default" w:ascii="Times New Roman" w:hAnsi="Times New Roman" w:eastAsia="宋体" w:cs="Times New Roman"/>
                <w:b/>
                <w:bCs/>
                <w:kern w:val="2"/>
                <w:sz w:val="21"/>
                <w:szCs w:val="21"/>
                <w:lang w:val="en-US" w:eastAsia="zh-CN" w:bidi="ar-SA"/>
              </w:rPr>
            </w:pPr>
            <w:r>
              <w:rPr>
                <w:rFonts w:hint="default" w:ascii="Times New Roman" w:hAnsi="Times New Roman" w:eastAsia="宋体" w:cs="Times New Roman"/>
                <w:b/>
                <w:bCs/>
                <w:kern w:val="2"/>
                <w:sz w:val="21"/>
                <w:szCs w:val="21"/>
                <w:lang w:val="en-US" w:eastAsia="zh-CN" w:bidi="ar-SA"/>
              </w:rPr>
              <w:t>与开采境界最小距离（m）</w:t>
            </w:r>
          </w:p>
        </w:tc>
        <w:tc>
          <w:tcPr>
            <w:tcW w:w="1216" w:type="pct"/>
            <w:vAlign w:val="center"/>
          </w:tcPr>
          <w:p w14:paraId="08F476CF">
            <w:pPr>
              <w:widowControl w:val="0"/>
              <w:wordWrap w:val="0"/>
              <w:adjustRightInd w:val="0"/>
              <w:snapToGrid w:val="0"/>
              <w:spacing w:line="240" w:lineRule="auto"/>
              <w:ind w:firstLine="0" w:firstLineChars="0"/>
              <w:jc w:val="center"/>
              <w:rPr>
                <w:rFonts w:hint="default" w:ascii="Times New Roman" w:hAnsi="Times New Roman" w:eastAsia="宋体" w:cs="Times New Roman"/>
                <w:b/>
                <w:bCs/>
                <w:kern w:val="2"/>
                <w:sz w:val="21"/>
                <w:szCs w:val="21"/>
                <w:lang w:val="en-US" w:eastAsia="zh-CN" w:bidi="ar-SA"/>
              </w:rPr>
            </w:pPr>
            <w:r>
              <w:rPr>
                <w:rFonts w:hint="default" w:ascii="Times New Roman" w:hAnsi="Times New Roman" w:eastAsia="宋体" w:cs="Times New Roman"/>
                <w:b/>
                <w:bCs/>
                <w:kern w:val="2"/>
                <w:sz w:val="21"/>
                <w:szCs w:val="21"/>
                <w:lang w:val="en-US" w:eastAsia="zh-CN" w:bidi="ar-SA"/>
              </w:rPr>
              <w:t>备注</w:t>
            </w:r>
          </w:p>
        </w:tc>
      </w:tr>
      <w:tr w14:paraId="588218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524" w:type="pct"/>
            <w:vMerge w:val="restart"/>
            <w:vAlign w:val="center"/>
          </w:tcPr>
          <w:p w14:paraId="12E2E3E2">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西侧</w:t>
            </w:r>
          </w:p>
        </w:tc>
        <w:tc>
          <w:tcPr>
            <w:tcW w:w="1632" w:type="pct"/>
            <w:vAlign w:val="center"/>
          </w:tcPr>
          <w:p w14:paraId="4A15AAFB">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废弃石料加工厂</w:t>
            </w:r>
          </w:p>
        </w:tc>
        <w:tc>
          <w:tcPr>
            <w:tcW w:w="1625" w:type="pct"/>
            <w:vAlign w:val="center"/>
          </w:tcPr>
          <w:p w14:paraId="141C917A">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206</w:t>
            </w:r>
          </w:p>
        </w:tc>
        <w:tc>
          <w:tcPr>
            <w:tcW w:w="1216" w:type="pct"/>
            <w:vAlign w:val="center"/>
          </w:tcPr>
          <w:p w14:paraId="33AF4B54">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p>
        </w:tc>
      </w:tr>
      <w:tr w14:paraId="35EB57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524" w:type="pct"/>
            <w:vMerge w:val="continue"/>
            <w:vAlign w:val="center"/>
          </w:tcPr>
          <w:p w14:paraId="76D39E12">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p>
        </w:tc>
        <w:tc>
          <w:tcPr>
            <w:tcW w:w="1632" w:type="pct"/>
            <w:vAlign w:val="center"/>
          </w:tcPr>
          <w:p w14:paraId="3F59DFE4">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煤料加工厂</w:t>
            </w:r>
          </w:p>
        </w:tc>
        <w:tc>
          <w:tcPr>
            <w:tcW w:w="1625" w:type="pct"/>
            <w:vAlign w:val="center"/>
          </w:tcPr>
          <w:p w14:paraId="75350963">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184</w:t>
            </w:r>
          </w:p>
        </w:tc>
        <w:tc>
          <w:tcPr>
            <w:tcW w:w="1216" w:type="pct"/>
            <w:vAlign w:val="center"/>
          </w:tcPr>
          <w:p w14:paraId="34AE93D5">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p>
        </w:tc>
      </w:tr>
      <w:tr w14:paraId="55C3F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524" w:type="pct"/>
            <w:vMerge w:val="restart"/>
            <w:vAlign w:val="center"/>
          </w:tcPr>
          <w:p w14:paraId="04EE499E">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北侧</w:t>
            </w:r>
          </w:p>
        </w:tc>
        <w:tc>
          <w:tcPr>
            <w:tcW w:w="1632" w:type="pct"/>
            <w:vAlign w:val="center"/>
          </w:tcPr>
          <w:p w14:paraId="1BD8232C">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村道2</w:t>
            </w:r>
          </w:p>
        </w:tc>
        <w:tc>
          <w:tcPr>
            <w:tcW w:w="1625" w:type="pct"/>
            <w:vAlign w:val="center"/>
          </w:tcPr>
          <w:p w14:paraId="397FEA71">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80</w:t>
            </w:r>
          </w:p>
        </w:tc>
        <w:tc>
          <w:tcPr>
            <w:tcW w:w="1216" w:type="pct"/>
            <w:vAlign w:val="center"/>
          </w:tcPr>
          <w:p w14:paraId="13942753">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p>
        </w:tc>
      </w:tr>
      <w:tr w14:paraId="213576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524" w:type="pct"/>
            <w:vMerge w:val="continue"/>
            <w:vAlign w:val="center"/>
          </w:tcPr>
          <w:p w14:paraId="0545DD2E">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p>
        </w:tc>
        <w:tc>
          <w:tcPr>
            <w:tcW w:w="1632" w:type="pct"/>
            <w:vAlign w:val="center"/>
          </w:tcPr>
          <w:p w14:paraId="4B0C46D6">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养殖场3</w:t>
            </w:r>
          </w:p>
        </w:tc>
        <w:tc>
          <w:tcPr>
            <w:tcW w:w="1625" w:type="pct"/>
            <w:vAlign w:val="center"/>
          </w:tcPr>
          <w:p w14:paraId="0967AC09">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50</w:t>
            </w:r>
          </w:p>
        </w:tc>
        <w:tc>
          <w:tcPr>
            <w:tcW w:w="1216" w:type="pct"/>
            <w:vAlign w:val="center"/>
          </w:tcPr>
          <w:p w14:paraId="308A8530">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p>
        </w:tc>
      </w:tr>
      <w:tr w14:paraId="2DE4C7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524" w:type="pct"/>
            <w:vMerge w:val="continue"/>
            <w:vAlign w:val="center"/>
          </w:tcPr>
          <w:p w14:paraId="17627E8B">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p>
        </w:tc>
        <w:tc>
          <w:tcPr>
            <w:tcW w:w="1632" w:type="pct"/>
            <w:vAlign w:val="center"/>
          </w:tcPr>
          <w:p w14:paraId="51FC3EC3">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10kv阿左邑1号变支线</w:t>
            </w:r>
          </w:p>
        </w:tc>
        <w:tc>
          <w:tcPr>
            <w:tcW w:w="1625" w:type="pct"/>
            <w:vAlign w:val="center"/>
          </w:tcPr>
          <w:p w14:paraId="24DB886E">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穿过矿权</w:t>
            </w:r>
          </w:p>
        </w:tc>
        <w:tc>
          <w:tcPr>
            <w:tcW w:w="1216" w:type="pct"/>
            <w:vAlign w:val="center"/>
          </w:tcPr>
          <w:p w14:paraId="1A72FA15">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p>
        </w:tc>
      </w:tr>
      <w:tr w14:paraId="7CBCE4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524" w:type="pct"/>
            <w:vMerge w:val="restart"/>
            <w:vAlign w:val="center"/>
          </w:tcPr>
          <w:p w14:paraId="1AC810A8">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南侧</w:t>
            </w:r>
          </w:p>
        </w:tc>
        <w:tc>
          <w:tcPr>
            <w:tcW w:w="1632" w:type="pct"/>
            <w:vAlign w:val="center"/>
          </w:tcPr>
          <w:p w14:paraId="7E32C0FA">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10kv清河线T苍窝村1号变支线</w:t>
            </w:r>
          </w:p>
        </w:tc>
        <w:tc>
          <w:tcPr>
            <w:tcW w:w="1625" w:type="pct"/>
            <w:vAlign w:val="center"/>
          </w:tcPr>
          <w:p w14:paraId="2D477D3A">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40</w:t>
            </w:r>
          </w:p>
        </w:tc>
        <w:tc>
          <w:tcPr>
            <w:tcW w:w="1216" w:type="pct"/>
            <w:vAlign w:val="center"/>
          </w:tcPr>
          <w:p w14:paraId="0CE06BB5">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p>
        </w:tc>
      </w:tr>
      <w:tr w14:paraId="1829CB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524" w:type="pct"/>
            <w:vMerge w:val="continue"/>
            <w:vAlign w:val="center"/>
          </w:tcPr>
          <w:p w14:paraId="618E08E4">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p>
        </w:tc>
        <w:tc>
          <w:tcPr>
            <w:tcW w:w="1632" w:type="pct"/>
            <w:vAlign w:val="center"/>
          </w:tcPr>
          <w:p w14:paraId="48B88C41">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村道1</w:t>
            </w:r>
          </w:p>
        </w:tc>
        <w:tc>
          <w:tcPr>
            <w:tcW w:w="1625" w:type="pct"/>
            <w:vAlign w:val="center"/>
          </w:tcPr>
          <w:p w14:paraId="791EB0DE">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51</w:t>
            </w:r>
          </w:p>
        </w:tc>
        <w:tc>
          <w:tcPr>
            <w:tcW w:w="1216" w:type="pct"/>
            <w:vAlign w:val="center"/>
          </w:tcPr>
          <w:p w14:paraId="0DFB659C">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p>
        </w:tc>
      </w:tr>
      <w:tr w14:paraId="4B23BB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524" w:type="pct"/>
            <w:vMerge w:val="continue"/>
            <w:vAlign w:val="center"/>
          </w:tcPr>
          <w:p w14:paraId="7F1B5E48">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p>
        </w:tc>
        <w:tc>
          <w:tcPr>
            <w:tcW w:w="1632" w:type="pct"/>
            <w:vAlign w:val="center"/>
          </w:tcPr>
          <w:p w14:paraId="74C2ADED">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养殖场2</w:t>
            </w:r>
          </w:p>
        </w:tc>
        <w:tc>
          <w:tcPr>
            <w:tcW w:w="1625" w:type="pct"/>
            <w:vAlign w:val="center"/>
          </w:tcPr>
          <w:p w14:paraId="186F417A">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140</w:t>
            </w:r>
          </w:p>
        </w:tc>
        <w:tc>
          <w:tcPr>
            <w:tcW w:w="1216" w:type="pct"/>
            <w:vAlign w:val="center"/>
          </w:tcPr>
          <w:p w14:paraId="659DFB87">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p>
        </w:tc>
      </w:tr>
      <w:tr w14:paraId="79A8BA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524" w:type="pct"/>
            <w:vMerge w:val="continue"/>
            <w:vAlign w:val="center"/>
          </w:tcPr>
          <w:p w14:paraId="72B347F4">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p>
        </w:tc>
        <w:tc>
          <w:tcPr>
            <w:tcW w:w="1632" w:type="pct"/>
            <w:vAlign w:val="center"/>
          </w:tcPr>
          <w:p w14:paraId="224088B5">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养殖场1</w:t>
            </w:r>
          </w:p>
        </w:tc>
        <w:tc>
          <w:tcPr>
            <w:tcW w:w="1625" w:type="pct"/>
            <w:vAlign w:val="center"/>
          </w:tcPr>
          <w:p w14:paraId="35D45887">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340</w:t>
            </w:r>
          </w:p>
        </w:tc>
        <w:tc>
          <w:tcPr>
            <w:tcW w:w="1216" w:type="pct"/>
            <w:vAlign w:val="center"/>
          </w:tcPr>
          <w:p w14:paraId="5A251DED">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p>
        </w:tc>
      </w:tr>
      <w:tr w14:paraId="0C16C3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524" w:type="pct"/>
            <w:vMerge w:val="continue"/>
            <w:vAlign w:val="center"/>
          </w:tcPr>
          <w:p w14:paraId="5EEF91A2">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p>
        </w:tc>
        <w:tc>
          <w:tcPr>
            <w:tcW w:w="1632" w:type="pct"/>
            <w:vAlign w:val="center"/>
          </w:tcPr>
          <w:p w14:paraId="16BFB2BD">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cs="Times New Roman"/>
              </w:rPr>
              <w:t>温室大棚</w:t>
            </w:r>
          </w:p>
        </w:tc>
        <w:tc>
          <w:tcPr>
            <w:tcW w:w="1625" w:type="pct"/>
            <w:vAlign w:val="center"/>
          </w:tcPr>
          <w:p w14:paraId="3B14C371">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矿权内</w:t>
            </w:r>
          </w:p>
        </w:tc>
        <w:tc>
          <w:tcPr>
            <w:tcW w:w="1216" w:type="pct"/>
            <w:vAlign w:val="center"/>
          </w:tcPr>
          <w:p w14:paraId="66CF517E">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p>
        </w:tc>
      </w:tr>
      <w:bookmarkEnd w:id="177"/>
    </w:tbl>
    <w:p w14:paraId="5F827C38">
      <w:pPr>
        <w:pStyle w:val="3"/>
        <w:keepNext/>
        <w:keepLines/>
        <w:pageBreakBefore w:val="0"/>
        <w:widowControl w:val="0"/>
        <w:kinsoku/>
        <w:wordWrap/>
        <w:overflowPunct/>
        <w:topLinePunct w:val="0"/>
        <w:autoSpaceDE/>
        <w:autoSpaceDN/>
        <w:bidi w:val="0"/>
        <w:adjustRightInd/>
        <w:snapToGrid/>
        <w:spacing w:before="333" w:beforeLines="100" w:after="0" w:line="360" w:lineRule="auto"/>
        <w:jc w:val="center"/>
        <w:textAlignment w:val="auto"/>
        <w:rPr>
          <w:rFonts w:hint="default" w:ascii="Times New Roman" w:hAnsi="Times New Roman" w:eastAsia="黑体" w:cs="Times New Roman"/>
          <w:sz w:val="30"/>
          <w:szCs w:val="30"/>
        </w:rPr>
      </w:pPr>
      <w:bookmarkStart w:id="178" w:name="_Toc12577"/>
      <w:r>
        <w:rPr>
          <w:rFonts w:hint="default" w:ascii="Times New Roman" w:hAnsi="Times New Roman" w:eastAsia="黑体" w:cs="Times New Roman"/>
          <w:sz w:val="30"/>
          <w:szCs w:val="30"/>
        </w:rPr>
        <w:t>2.2自然环境概况</w:t>
      </w:r>
      <w:bookmarkEnd w:id="172"/>
      <w:bookmarkEnd w:id="173"/>
      <w:bookmarkEnd w:id="174"/>
      <w:bookmarkEnd w:id="175"/>
      <w:bookmarkEnd w:id="176"/>
      <w:bookmarkEnd w:id="178"/>
    </w:p>
    <w:p w14:paraId="42D4D37E">
      <w:pPr>
        <w:wordWrap w:val="0"/>
        <w:adjustRightInd w:val="0"/>
        <w:snapToGrid w:val="0"/>
        <w:spacing w:line="360" w:lineRule="auto"/>
        <w:ind w:firstLine="560" w:firstLineChars="200"/>
        <w:rPr>
          <w:rFonts w:hint="default" w:ascii="Times New Roman" w:hAnsi="Times New Roman" w:eastAsia="宋体" w:cs="Times New Roman"/>
          <w:sz w:val="28"/>
          <w:szCs w:val="21"/>
        </w:rPr>
      </w:pPr>
      <w:bookmarkStart w:id="179" w:name="_Toc18210"/>
      <w:bookmarkStart w:id="180" w:name="_Toc16238673"/>
      <w:bookmarkStart w:id="181" w:name="_Toc293408510"/>
      <w:r>
        <w:rPr>
          <w:rFonts w:hint="default" w:ascii="Times New Roman" w:hAnsi="Times New Roman" w:eastAsia="宋体" w:cs="Times New Roman"/>
          <w:sz w:val="28"/>
          <w:szCs w:val="21"/>
        </w:rPr>
        <w:t>1、地形地貌</w:t>
      </w:r>
    </w:p>
    <w:p w14:paraId="13B0C31E">
      <w:pPr>
        <w:wordWrap w:val="0"/>
        <w:adjustRightInd w:val="0"/>
        <w:snapToGrid w:val="0"/>
        <w:spacing w:line="360" w:lineRule="auto"/>
        <w:ind w:firstLine="560" w:firstLineChars="200"/>
        <w:rPr>
          <w:rFonts w:hint="default" w:ascii="Times New Roman" w:hAnsi="Times New Roman" w:eastAsia="宋体" w:cs="Times New Roman"/>
          <w:sz w:val="28"/>
          <w:szCs w:val="21"/>
          <w:lang w:val="zh-CN"/>
        </w:rPr>
      </w:pPr>
      <w:r>
        <w:rPr>
          <w:rFonts w:hint="default" w:ascii="Times New Roman" w:hAnsi="Times New Roman" w:eastAsia="宋体" w:cs="Times New Roman"/>
          <w:sz w:val="28"/>
          <w:szCs w:val="21"/>
        </w:rPr>
        <w:t>矿区</w:t>
      </w:r>
      <w:r>
        <w:rPr>
          <w:rFonts w:hint="default" w:ascii="Times New Roman" w:hAnsi="Times New Roman" w:eastAsia="宋体" w:cs="Times New Roman"/>
          <w:sz w:val="28"/>
          <w:szCs w:val="21"/>
          <w:lang w:val="zh-CN"/>
        </w:rPr>
        <w:t>属中</w:t>
      </w:r>
      <w:r>
        <w:rPr>
          <w:rFonts w:hint="default" w:ascii="Times New Roman" w:hAnsi="Times New Roman" w:eastAsia="宋体" w:cs="Times New Roman"/>
          <w:sz w:val="28"/>
          <w:szCs w:val="21"/>
        </w:rPr>
        <w:t>低</w:t>
      </w:r>
      <w:r>
        <w:rPr>
          <w:rFonts w:hint="default" w:ascii="Times New Roman" w:hAnsi="Times New Roman" w:eastAsia="宋体" w:cs="Times New Roman"/>
          <w:sz w:val="28"/>
          <w:szCs w:val="21"/>
          <w:lang w:val="zh-CN"/>
        </w:rPr>
        <w:t>山岩溶斜坡地貌，</w:t>
      </w:r>
      <w:r>
        <w:rPr>
          <w:rFonts w:hint="default" w:ascii="Times New Roman" w:hAnsi="Times New Roman" w:eastAsia="宋体" w:cs="Times New Roman"/>
          <w:sz w:val="28"/>
          <w:szCs w:val="21"/>
        </w:rPr>
        <w:t>地形总体上东高西</w:t>
      </w:r>
      <w:r>
        <w:rPr>
          <w:rFonts w:hint="default" w:ascii="Times New Roman" w:hAnsi="Times New Roman" w:eastAsia="宋体" w:cs="Times New Roman"/>
          <w:sz w:val="28"/>
          <w:szCs w:val="21"/>
          <w:lang w:val="zh-CN"/>
        </w:rPr>
        <w:t>低，地形起伏不大，坡度5°～20°。</w:t>
      </w:r>
      <w:r>
        <w:rPr>
          <w:rFonts w:hint="default" w:ascii="Times New Roman" w:hAnsi="Times New Roman" w:eastAsia="宋体" w:cs="Times New Roman"/>
          <w:sz w:val="28"/>
          <w:szCs w:val="21"/>
        </w:rPr>
        <w:t>矿区内</w:t>
      </w:r>
      <w:r>
        <w:rPr>
          <w:rFonts w:hint="default" w:ascii="Times New Roman" w:hAnsi="Times New Roman" w:eastAsia="宋体" w:cs="Times New Roman"/>
          <w:sz w:val="28"/>
          <w:szCs w:val="21"/>
          <w:lang w:val="zh-CN"/>
        </w:rPr>
        <w:t>最高点位于</w:t>
      </w:r>
      <w:r>
        <w:rPr>
          <w:rFonts w:hint="default" w:ascii="Times New Roman" w:hAnsi="Times New Roman" w:eastAsia="宋体" w:cs="Times New Roman"/>
          <w:sz w:val="28"/>
          <w:szCs w:val="21"/>
        </w:rPr>
        <w:t>7号矿界拐点附近</w:t>
      </w:r>
      <w:r>
        <w:rPr>
          <w:rFonts w:hint="default" w:ascii="Times New Roman" w:hAnsi="Times New Roman" w:eastAsia="宋体" w:cs="Times New Roman"/>
          <w:sz w:val="28"/>
          <w:szCs w:val="21"/>
          <w:lang w:val="zh-CN"/>
        </w:rPr>
        <w:t>，高程为1553m，最低点位于矿1拐点处，高程约1470m，相对高差8</w:t>
      </w:r>
      <w:r>
        <w:rPr>
          <w:rFonts w:hint="default" w:ascii="Times New Roman" w:hAnsi="Times New Roman" w:eastAsia="宋体" w:cs="Times New Roman"/>
          <w:sz w:val="28"/>
          <w:szCs w:val="21"/>
        </w:rPr>
        <w:t>3</w:t>
      </w:r>
      <w:r>
        <w:rPr>
          <w:rFonts w:hint="default" w:ascii="Times New Roman" w:hAnsi="Times New Roman" w:eastAsia="宋体" w:cs="Times New Roman"/>
          <w:sz w:val="28"/>
          <w:szCs w:val="21"/>
          <w:lang w:val="zh-CN"/>
        </w:rPr>
        <w:t>m。</w:t>
      </w:r>
    </w:p>
    <w:p w14:paraId="4CFDABF6">
      <w:pPr>
        <w:wordWrap w:val="0"/>
        <w:adjustRightInd w:val="0"/>
        <w:snapToGrid w:val="0"/>
        <w:spacing w:line="360" w:lineRule="auto"/>
        <w:ind w:firstLine="560" w:firstLineChars="200"/>
        <w:rPr>
          <w:rFonts w:hint="default" w:ascii="Times New Roman" w:hAnsi="Times New Roman" w:eastAsia="宋体" w:cs="Times New Roman"/>
          <w:sz w:val="28"/>
          <w:szCs w:val="21"/>
        </w:rPr>
      </w:pPr>
      <w:r>
        <w:rPr>
          <w:rFonts w:hint="default" w:ascii="Times New Roman" w:hAnsi="Times New Roman" w:eastAsia="宋体" w:cs="Times New Roman"/>
          <w:sz w:val="28"/>
          <w:szCs w:val="21"/>
          <w:lang w:val="zh-CN"/>
        </w:rPr>
        <w:t>区内多为开荒地，植被不发育，主要为稀疏矮小的灌木丛和杂草，植被覆盖率约10%，项目区地貌类型单一，地形条件单一。矿区地形地貌复杂程度为简单类型</w:t>
      </w:r>
      <w:r>
        <w:rPr>
          <w:rFonts w:hint="default" w:ascii="Times New Roman" w:hAnsi="Times New Roman" w:eastAsia="宋体" w:cs="Times New Roman"/>
          <w:sz w:val="28"/>
          <w:szCs w:val="21"/>
        </w:rPr>
        <w:t>。</w:t>
      </w:r>
    </w:p>
    <w:p w14:paraId="19A9336A">
      <w:pPr>
        <w:wordWrap w:val="0"/>
        <w:adjustRightInd w:val="0"/>
        <w:snapToGrid w:val="0"/>
        <w:spacing w:line="360" w:lineRule="auto"/>
        <w:ind w:firstLine="560" w:firstLineChars="200"/>
        <w:rPr>
          <w:rFonts w:hint="default" w:ascii="Times New Roman" w:hAnsi="Times New Roman" w:eastAsia="宋体" w:cs="Times New Roman"/>
          <w:sz w:val="28"/>
          <w:szCs w:val="21"/>
        </w:rPr>
      </w:pPr>
      <w:r>
        <w:rPr>
          <w:rFonts w:hint="default" w:ascii="Times New Roman" w:hAnsi="Times New Roman" w:eastAsia="宋体" w:cs="Times New Roman"/>
          <w:sz w:val="28"/>
          <w:szCs w:val="21"/>
        </w:rPr>
        <w:t>2、气象及水文特征</w:t>
      </w:r>
    </w:p>
    <w:p w14:paraId="319B01F6">
      <w:pPr>
        <w:wordWrap w:val="0"/>
        <w:adjustRightInd w:val="0"/>
        <w:snapToGrid w:val="0"/>
        <w:spacing w:line="360" w:lineRule="auto"/>
        <w:ind w:firstLine="560" w:firstLineChars="200"/>
        <w:rPr>
          <w:rFonts w:hint="default" w:ascii="Times New Roman" w:hAnsi="Times New Roman" w:eastAsia="宋体" w:cs="Times New Roman"/>
          <w:sz w:val="28"/>
          <w:szCs w:val="21"/>
        </w:rPr>
      </w:pPr>
      <w:r>
        <w:rPr>
          <w:rFonts w:hint="default" w:ascii="Times New Roman" w:hAnsi="Times New Roman" w:eastAsia="宋体" w:cs="Times New Roman"/>
          <w:sz w:val="28"/>
          <w:szCs w:val="21"/>
        </w:rPr>
        <w:t>矿区属低纬度亚热带季风气候，气候温暖湿润，冬无严寒、夏无酷暑，区内多年平均气温为17.3℃，多年平均降雨量971.7mm，降雨主要集中在5～10月，11月至翌年的4月为干季，常年以西南风为主。</w:t>
      </w:r>
    </w:p>
    <w:p w14:paraId="56C0C8D0">
      <w:pPr>
        <w:wordWrap w:val="0"/>
        <w:adjustRightInd w:val="0"/>
        <w:snapToGrid w:val="0"/>
        <w:spacing w:line="360" w:lineRule="auto"/>
        <w:ind w:firstLine="560" w:firstLineChars="200"/>
        <w:rPr>
          <w:rFonts w:hint="default" w:ascii="Times New Roman" w:hAnsi="Times New Roman" w:eastAsia="宋体" w:cs="Times New Roman"/>
          <w:sz w:val="28"/>
          <w:szCs w:val="21"/>
        </w:rPr>
      </w:pPr>
      <w:r>
        <w:rPr>
          <w:rFonts w:hint="default" w:ascii="Times New Roman" w:hAnsi="Times New Roman" w:eastAsia="宋体" w:cs="Times New Roman"/>
          <w:sz w:val="28"/>
          <w:szCs w:val="21"/>
        </w:rPr>
        <w:t>区域属南盘江水系，甸溪河流域，甸溪河是南盘江的一条主要支流，流程约96km；甸西河在弥勒盆地由北向南途经竹园、朋普盆地向南东汇入南盘江。矿区北部有跃进大沟，地表水主要由沿沟谷低洼地带汇入跃进大沟，最终汇入南西侧羊街水库，位于矿区南西部直线距离约4km处，为该区域的侵蚀基准面。</w:t>
      </w:r>
    </w:p>
    <w:p w14:paraId="7106D8B1">
      <w:pPr>
        <w:wordWrap w:val="0"/>
        <w:adjustRightInd w:val="0"/>
        <w:snapToGrid w:val="0"/>
        <w:spacing w:line="360" w:lineRule="auto"/>
        <w:ind w:firstLine="560" w:firstLineChars="200"/>
        <w:rPr>
          <w:rFonts w:hint="default" w:ascii="Times New Roman" w:hAnsi="Times New Roman" w:eastAsia="宋体" w:cs="Times New Roman"/>
          <w:sz w:val="28"/>
          <w:szCs w:val="21"/>
        </w:rPr>
      </w:pPr>
      <w:r>
        <w:rPr>
          <w:rFonts w:hint="default" w:ascii="Times New Roman" w:hAnsi="Times New Roman" w:eastAsia="宋体" w:cs="Times New Roman"/>
          <w:sz w:val="28"/>
          <w:szCs w:val="21"/>
        </w:rPr>
        <w:t>3、区内经济概况</w:t>
      </w:r>
    </w:p>
    <w:p w14:paraId="2EBE4958">
      <w:pPr>
        <w:wordWrap w:val="0"/>
        <w:adjustRightInd w:val="0"/>
        <w:snapToGrid w:val="0"/>
        <w:spacing w:line="360" w:lineRule="auto"/>
        <w:ind w:firstLine="560" w:firstLineChars="200"/>
        <w:rPr>
          <w:rFonts w:hint="default" w:ascii="Times New Roman" w:hAnsi="Times New Roman" w:eastAsia="宋体" w:cs="Times New Roman"/>
          <w:sz w:val="28"/>
          <w:szCs w:val="21"/>
        </w:rPr>
      </w:pPr>
      <w:r>
        <w:rPr>
          <w:rFonts w:hint="default" w:ascii="Times New Roman" w:hAnsi="Times New Roman" w:eastAsia="宋体" w:cs="Times New Roman"/>
          <w:sz w:val="28"/>
          <w:szCs w:val="21"/>
        </w:rPr>
        <w:t>弥勒市国土面积4004km</w:t>
      </w:r>
      <w:r>
        <w:rPr>
          <w:rFonts w:hint="default" w:ascii="Times New Roman" w:hAnsi="Times New Roman" w:eastAsia="宋体" w:cs="Times New Roman"/>
          <w:sz w:val="28"/>
          <w:szCs w:val="21"/>
          <w:vertAlign w:val="superscript"/>
        </w:rPr>
        <w:t>2</w:t>
      </w:r>
      <w:r>
        <w:rPr>
          <w:rFonts w:hint="default" w:ascii="Times New Roman" w:hAnsi="Times New Roman" w:eastAsia="宋体" w:cs="Times New Roman"/>
          <w:sz w:val="28"/>
          <w:szCs w:val="21"/>
        </w:rPr>
        <w:t>，辖3个街道、9个镇、2个乡。2022年末，弥勒市户籍总人口为55.35万人，其中城镇人口25.69万人，乡村人口29.66万人；2023年，弥勒市常住总人口为53.39万人。</w:t>
      </w:r>
    </w:p>
    <w:p w14:paraId="58A48BEC">
      <w:pPr>
        <w:wordWrap w:val="0"/>
        <w:adjustRightInd w:val="0"/>
        <w:snapToGrid w:val="0"/>
        <w:spacing w:line="360" w:lineRule="auto"/>
        <w:ind w:firstLine="560" w:firstLineChars="200"/>
        <w:rPr>
          <w:rFonts w:hint="default" w:ascii="Times New Roman" w:hAnsi="Times New Roman" w:eastAsia="宋体" w:cs="Times New Roman"/>
          <w:sz w:val="28"/>
          <w:szCs w:val="21"/>
        </w:rPr>
      </w:pPr>
      <w:r>
        <w:rPr>
          <w:rFonts w:hint="default" w:ascii="Times New Roman" w:hAnsi="Times New Roman" w:eastAsia="宋体" w:cs="Times New Roman"/>
          <w:sz w:val="28"/>
          <w:szCs w:val="21"/>
        </w:rPr>
        <w:t>2022年弥勒市实现地区生产总值524.74亿元，人均生产总值达97319元。境内果、蔬、药、花种类繁多，水果、蔬菜、花卉、中药材种植面积66万亩，是云南重要的食品、药品原料产地；境内主要矿产为煤炭，储量达19亿吨，主要有跨竹煤矿区山心村煤、脚落沼煤矿区等。</w:t>
      </w:r>
    </w:p>
    <w:p w14:paraId="7D6B6D28">
      <w:pPr>
        <w:adjustRightInd w:val="0"/>
        <w:snapToGrid w:val="0"/>
        <w:spacing w:line="360" w:lineRule="auto"/>
        <w:ind w:firstLine="560" w:firstLineChars="200"/>
        <w:rPr>
          <w:rFonts w:hint="default" w:ascii="Times New Roman" w:hAnsi="Times New Roman" w:eastAsia="宋体" w:cs="Times New Roman"/>
          <w:sz w:val="28"/>
          <w:szCs w:val="28"/>
          <w:lang w:eastAsia="zh-CN"/>
        </w:rPr>
      </w:pPr>
      <w:r>
        <w:rPr>
          <w:rFonts w:hint="default" w:ascii="Times New Roman" w:hAnsi="Times New Roman" w:eastAsia="宋体" w:cs="Times New Roman"/>
          <w:sz w:val="28"/>
          <w:szCs w:val="21"/>
        </w:rPr>
        <w:t>矿区位于弥勒市新哨镇，已生产经营多年，水、电、路、网等基础设施配套齐全，生产、生活用水、用电方便。矿区附近居住民族主要以汉族、彝族为主，主要经济作物有葡萄、烤烟、玉米、小麦、薯类等农作物，自然经济条件一般</w:t>
      </w:r>
      <w:r>
        <w:rPr>
          <w:rFonts w:hint="default" w:ascii="Times New Roman" w:hAnsi="Times New Roman" w:cs="Times New Roman"/>
          <w:sz w:val="28"/>
          <w:szCs w:val="28"/>
          <w:lang w:eastAsia="zh-CN"/>
        </w:rPr>
        <w:t>。</w:t>
      </w:r>
    </w:p>
    <w:p w14:paraId="3495EBF7">
      <w:pPr>
        <w:pStyle w:val="3"/>
        <w:spacing w:before="0" w:after="0" w:line="360" w:lineRule="auto"/>
        <w:jc w:val="center"/>
        <w:rPr>
          <w:rFonts w:hint="default" w:ascii="Times New Roman" w:hAnsi="Times New Roman" w:eastAsia="黑体" w:cs="Times New Roman"/>
          <w:sz w:val="30"/>
          <w:szCs w:val="30"/>
        </w:rPr>
      </w:pPr>
      <w:bookmarkStart w:id="182" w:name="_Toc7778"/>
      <w:bookmarkStart w:id="183" w:name="_Toc10431"/>
      <w:bookmarkStart w:id="184" w:name="_Toc31823"/>
      <w:bookmarkStart w:id="185" w:name="_Toc29168"/>
      <w:bookmarkStart w:id="186" w:name="_Toc2821"/>
      <w:bookmarkStart w:id="187" w:name="_Toc25343"/>
      <w:r>
        <w:rPr>
          <w:rFonts w:hint="default" w:ascii="Times New Roman" w:hAnsi="Times New Roman" w:eastAsia="黑体" w:cs="Times New Roman"/>
          <w:sz w:val="30"/>
          <w:szCs w:val="30"/>
        </w:rPr>
        <w:t>2.3建设项目地质概况</w:t>
      </w:r>
      <w:bookmarkEnd w:id="182"/>
      <w:bookmarkEnd w:id="183"/>
      <w:bookmarkEnd w:id="184"/>
      <w:bookmarkEnd w:id="185"/>
      <w:bookmarkEnd w:id="186"/>
      <w:bookmarkEnd w:id="187"/>
    </w:p>
    <w:p w14:paraId="7160E545">
      <w:pPr>
        <w:keepNext/>
        <w:keepLines/>
        <w:spacing w:line="360" w:lineRule="auto"/>
        <w:ind w:firstLine="560" w:firstLineChars="200"/>
        <w:jc w:val="left"/>
        <w:rPr>
          <w:rFonts w:hint="default" w:ascii="Times New Roman" w:hAnsi="Times New Roman" w:cs="Times New Roman"/>
          <w:sz w:val="28"/>
          <w:szCs w:val="28"/>
        </w:rPr>
      </w:pPr>
      <w:r>
        <w:rPr>
          <w:rFonts w:hint="default" w:ascii="Times New Roman" w:hAnsi="Times New Roman" w:cs="Times New Roman"/>
          <w:sz w:val="28"/>
          <w:szCs w:val="28"/>
        </w:rPr>
        <w:t>本评价报告的地质概况依据昆明龙宇达矿产资源有限公司20</w:t>
      </w:r>
      <w:r>
        <w:rPr>
          <w:rFonts w:hint="default" w:ascii="Times New Roman" w:hAnsi="Times New Roman" w:cs="Times New Roman"/>
          <w:sz w:val="28"/>
          <w:szCs w:val="28"/>
          <w:lang w:val="en-US" w:eastAsia="zh-CN"/>
        </w:rPr>
        <w:t>16</w:t>
      </w:r>
      <w:r>
        <w:rPr>
          <w:rFonts w:hint="default" w:ascii="Times New Roman" w:hAnsi="Times New Roman" w:cs="Times New Roman"/>
          <w:sz w:val="28"/>
          <w:szCs w:val="28"/>
        </w:rPr>
        <w:t>年</w:t>
      </w:r>
      <w:r>
        <w:rPr>
          <w:rFonts w:hint="default" w:ascii="Times New Roman" w:hAnsi="Times New Roman" w:cs="Times New Roman"/>
          <w:sz w:val="28"/>
          <w:szCs w:val="28"/>
          <w:lang w:val="en-US" w:eastAsia="zh-CN"/>
        </w:rPr>
        <w:t>12</w:t>
      </w:r>
      <w:r>
        <w:rPr>
          <w:rFonts w:hint="default" w:ascii="Times New Roman" w:hAnsi="Times New Roman" w:cs="Times New Roman"/>
          <w:sz w:val="28"/>
          <w:szCs w:val="28"/>
        </w:rPr>
        <w:t>月编制的《弥勒市小沙冲砂场普通建筑材料用白云岩矿资源储量核实报告》进行叙述。</w:t>
      </w:r>
    </w:p>
    <w:p w14:paraId="094E8A1F">
      <w:pPr>
        <w:pStyle w:val="4"/>
        <w:spacing w:before="0" w:after="0" w:line="360" w:lineRule="auto"/>
        <w:rPr>
          <w:rFonts w:hint="default" w:ascii="Times New Roman" w:hAnsi="Times New Roman" w:cs="Times New Roman"/>
          <w:sz w:val="28"/>
          <w:szCs w:val="28"/>
        </w:rPr>
      </w:pPr>
      <w:r>
        <w:rPr>
          <w:rFonts w:hint="default" w:ascii="Times New Roman" w:hAnsi="Times New Roman" w:cs="Times New Roman"/>
          <w:sz w:val="28"/>
          <w:szCs w:val="28"/>
        </w:rPr>
        <w:t>2.3.1矿区地质</w:t>
      </w:r>
    </w:p>
    <w:p w14:paraId="66552D13">
      <w:pPr>
        <w:spacing w:line="360" w:lineRule="auto"/>
        <w:ind w:firstLine="562" w:firstLineChars="200"/>
        <w:outlineLvl w:val="3"/>
        <w:rPr>
          <w:rFonts w:hint="default" w:ascii="Times New Roman" w:hAnsi="Times New Roman" w:cs="Times New Roman"/>
          <w:b/>
          <w:bCs/>
          <w:sz w:val="28"/>
          <w:szCs w:val="28"/>
        </w:rPr>
      </w:pPr>
      <w:r>
        <w:rPr>
          <w:rFonts w:hint="default" w:ascii="Times New Roman" w:hAnsi="Times New Roman" w:cs="Times New Roman"/>
          <w:b/>
          <w:bCs/>
          <w:sz w:val="28"/>
          <w:szCs w:val="28"/>
        </w:rPr>
        <w:t>2.3.1.1地层</w:t>
      </w:r>
    </w:p>
    <w:p w14:paraId="38227D68">
      <w:pPr>
        <w:wordWrap w:val="0"/>
        <w:adjustRightInd w:val="0"/>
        <w:snapToGrid w:val="0"/>
        <w:spacing w:line="360" w:lineRule="auto"/>
        <w:ind w:firstLine="560" w:firstLineChars="200"/>
        <w:rPr>
          <w:rFonts w:hint="default" w:ascii="Times New Roman" w:hAnsi="Times New Roman" w:eastAsia="宋体" w:cs="Times New Roman"/>
          <w:sz w:val="28"/>
          <w:szCs w:val="21"/>
        </w:rPr>
      </w:pPr>
      <w:r>
        <w:rPr>
          <w:rFonts w:hint="default" w:ascii="Times New Roman" w:hAnsi="Times New Roman" w:eastAsia="宋体" w:cs="Times New Roman"/>
          <w:sz w:val="28"/>
          <w:szCs w:val="21"/>
        </w:rPr>
        <w:t>矿区内出露地层比较简单，主要出露第四系（Q</w:t>
      </w:r>
      <w:r>
        <w:rPr>
          <w:rFonts w:hint="default" w:ascii="Times New Roman" w:hAnsi="Times New Roman" w:eastAsia="宋体" w:cs="Times New Roman"/>
          <w:i/>
          <w:iCs/>
          <w:sz w:val="28"/>
          <w:szCs w:val="21"/>
          <w:vertAlign w:val="superscript"/>
        </w:rPr>
        <w:t>el+dl</w:t>
      </w:r>
      <w:r>
        <w:rPr>
          <w:rFonts w:hint="default" w:ascii="Times New Roman" w:hAnsi="Times New Roman" w:eastAsia="宋体" w:cs="Times New Roman"/>
          <w:sz w:val="28"/>
          <w:szCs w:val="21"/>
        </w:rPr>
        <w:t>）和三叠系中统个旧组第四段（T</w:t>
      </w:r>
      <w:r>
        <w:rPr>
          <w:rFonts w:hint="default" w:ascii="Times New Roman" w:hAnsi="Times New Roman" w:eastAsia="宋体" w:cs="Times New Roman"/>
          <w:sz w:val="28"/>
          <w:szCs w:val="21"/>
          <w:vertAlign w:val="subscript"/>
        </w:rPr>
        <w:t>2</w:t>
      </w:r>
      <w:r>
        <w:rPr>
          <w:rFonts w:hint="default" w:ascii="Times New Roman" w:hAnsi="Times New Roman" w:eastAsia="宋体" w:cs="Times New Roman"/>
          <w:i/>
          <w:sz w:val="28"/>
          <w:szCs w:val="21"/>
        </w:rPr>
        <w:t>g</w:t>
      </w:r>
      <w:r>
        <w:rPr>
          <w:rFonts w:hint="default" w:ascii="Times New Roman" w:hAnsi="Times New Roman" w:eastAsia="宋体" w:cs="Times New Roman"/>
          <w:sz w:val="28"/>
          <w:szCs w:val="21"/>
          <w:vertAlign w:val="superscript"/>
        </w:rPr>
        <w:t>d</w:t>
      </w:r>
      <w:r>
        <w:rPr>
          <w:rFonts w:hint="default" w:ascii="Times New Roman" w:hAnsi="Times New Roman" w:eastAsia="宋体" w:cs="Times New Roman"/>
          <w:sz w:val="28"/>
          <w:szCs w:val="21"/>
        </w:rPr>
        <w:t>）地层，其特征分述如下：</w:t>
      </w:r>
    </w:p>
    <w:p w14:paraId="11A7030C">
      <w:pPr>
        <w:wordWrap w:val="0"/>
        <w:adjustRightInd w:val="0"/>
        <w:snapToGrid w:val="0"/>
        <w:spacing w:line="360" w:lineRule="auto"/>
        <w:ind w:firstLine="560" w:firstLineChars="200"/>
        <w:rPr>
          <w:rFonts w:hint="default" w:ascii="Times New Roman" w:hAnsi="Times New Roman" w:eastAsia="宋体" w:cs="Times New Roman"/>
          <w:sz w:val="28"/>
          <w:szCs w:val="21"/>
        </w:rPr>
      </w:pPr>
      <w:r>
        <w:rPr>
          <w:rFonts w:hint="default" w:ascii="Times New Roman" w:hAnsi="Times New Roman" w:eastAsia="宋体" w:cs="Times New Roman"/>
          <w:sz w:val="28"/>
          <w:szCs w:val="21"/>
        </w:rPr>
        <w:t>第四系（Q</w:t>
      </w:r>
      <w:r>
        <w:rPr>
          <w:rFonts w:hint="default" w:ascii="Times New Roman" w:hAnsi="Times New Roman" w:eastAsia="宋体" w:cs="Times New Roman"/>
          <w:i/>
          <w:iCs/>
          <w:sz w:val="28"/>
          <w:szCs w:val="21"/>
          <w:vertAlign w:val="superscript"/>
        </w:rPr>
        <w:t>el+dl</w:t>
      </w:r>
      <w:r>
        <w:rPr>
          <w:rFonts w:hint="default" w:ascii="Times New Roman" w:hAnsi="Times New Roman" w:eastAsia="宋体" w:cs="Times New Roman"/>
          <w:sz w:val="28"/>
          <w:szCs w:val="21"/>
        </w:rPr>
        <w:t>）残坡积层：分布于矿区及外围浅地表，主要为</w:t>
      </w:r>
      <w:r>
        <w:rPr>
          <w:rFonts w:hint="default" w:ascii="Times New Roman" w:hAnsi="Times New Roman" w:eastAsia="宋体" w:cs="Times New Roman"/>
          <w:sz w:val="28"/>
          <w:szCs w:val="21"/>
          <w:lang w:val="en-GB"/>
        </w:rPr>
        <w:t>褐红色砂质粘土</w:t>
      </w:r>
      <w:r>
        <w:rPr>
          <w:rFonts w:hint="default" w:ascii="Times New Roman" w:hAnsi="Times New Roman" w:eastAsia="宋体" w:cs="Times New Roman"/>
          <w:sz w:val="28"/>
          <w:szCs w:val="21"/>
        </w:rPr>
        <w:t>，层厚一般为0～5.5m，不整合覆盖于下伏地层之上。露天采区内该覆盖层已被剥离，其厚度未知；现场仅零星分布于未剥离区、缓坡地带、地表岩溶沟槽中及矿界外围，因面积较小，图上未圈出。</w:t>
      </w:r>
    </w:p>
    <w:p w14:paraId="7F15E589">
      <w:pPr>
        <w:adjustRightInd w:val="0"/>
        <w:snapToGrid w:val="0"/>
        <w:spacing w:line="360" w:lineRule="auto"/>
        <w:ind w:firstLine="560" w:firstLineChars="200"/>
        <w:rPr>
          <w:rFonts w:hint="default" w:ascii="Times New Roman" w:hAnsi="Times New Roman" w:cs="Times New Roman"/>
          <w:snapToGrid w:val="0"/>
          <w:kern w:val="0"/>
          <w:sz w:val="28"/>
          <w:szCs w:val="28"/>
        </w:rPr>
      </w:pPr>
      <w:bookmarkStart w:id="188" w:name="_Hlk194258272"/>
      <w:r>
        <w:rPr>
          <w:rFonts w:hint="default" w:ascii="Times New Roman" w:hAnsi="Times New Roman" w:eastAsia="宋体" w:cs="Times New Roman"/>
          <w:sz w:val="28"/>
          <w:szCs w:val="21"/>
        </w:rPr>
        <w:t>三叠系中统个旧组第四段（T</w:t>
      </w:r>
      <w:r>
        <w:rPr>
          <w:rFonts w:hint="default" w:ascii="Times New Roman" w:hAnsi="Times New Roman" w:eastAsia="宋体" w:cs="Times New Roman"/>
          <w:sz w:val="28"/>
          <w:szCs w:val="21"/>
          <w:vertAlign w:val="subscript"/>
        </w:rPr>
        <w:t>2</w:t>
      </w:r>
      <w:r>
        <w:rPr>
          <w:rFonts w:hint="default" w:ascii="Times New Roman" w:hAnsi="Times New Roman" w:eastAsia="宋体" w:cs="Times New Roman"/>
          <w:i/>
          <w:sz w:val="28"/>
          <w:szCs w:val="21"/>
        </w:rPr>
        <w:t>g</w:t>
      </w:r>
      <w:r>
        <w:rPr>
          <w:rFonts w:hint="default" w:ascii="Times New Roman" w:hAnsi="Times New Roman" w:eastAsia="宋体" w:cs="Times New Roman"/>
          <w:sz w:val="28"/>
          <w:szCs w:val="21"/>
          <w:vertAlign w:val="superscript"/>
        </w:rPr>
        <w:t>d</w:t>
      </w:r>
      <w:r>
        <w:rPr>
          <w:rFonts w:hint="default" w:ascii="Times New Roman" w:hAnsi="Times New Roman" w:eastAsia="宋体" w:cs="Times New Roman"/>
          <w:sz w:val="28"/>
          <w:szCs w:val="21"/>
        </w:rPr>
        <w:t>）：大面积出露于矿区及其外围，岩性为灰色、深灰色中</w:t>
      </w:r>
      <w:r>
        <w:rPr>
          <w:rFonts w:hint="default" w:ascii="Times New Roman" w:hAnsi="Times New Roman" w:cs="Times New Roman"/>
          <w:sz w:val="28"/>
          <w:szCs w:val="21"/>
          <w:lang w:eastAsia="zh-CN"/>
        </w:rPr>
        <w:t>－</w:t>
      </w:r>
      <w:r>
        <w:rPr>
          <w:rFonts w:hint="default" w:ascii="Times New Roman" w:hAnsi="Times New Roman" w:eastAsia="宋体" w:cs="Times New Roman"/>
          <w:kern w:val="0"/>
          <w:sz w:val="28"/>
          <w:szCs w:val="21"/>
        </w:rPr>
        <w:t>强风化白云岩</w:t>
      </w:r>
      <w:r>
        <w:rPr>
          <w:rFonts w:hint="default" w:ascii="Times New Roman" w:hAnsi="Times New Roman" w:eastAsia="宋体" w:cs="Times New Roman"/>
          <w:sz w:val="28"/>
          <w:szCs w:val="21"/>
        </w:rPr>
        <w:t>夹白云质灰岩，</w:t>
      </w:r>
      <w:r>
        <w:rPr>
          <w:rFonts w:hint="default" w:ascii="Times New Roman" w:hAnsi="Times New Roman" w:eastAsia="宋体" w:cs="Times New Roman"/>
          <w:kern w:val="0"/>
          <w:sz w:val="28"/>
          <w:szCs w:val="21"/>
        </w:rPr>
        <w:t>微</w:t>
      </w:r>
      <w:r>
        <w:rPr>
          <w:rFonts w:hint="default" w:ascii="Times New Roman" w:hAnsi="Times New Roman" w:eastAsia="宋体" w:cs="Times New Roman"/>
          <w:sz w:val="28"/>
          <w:szCs w:val="21"/>
        </w:rPr>
        <w:t>晶结构，块状构造</w:t>
      </w:r>
      <w:bookmarkEnd w:id="188"/>
      <w:r>
        <w:rPr>
          <w:rFonts w:hint="default" w:ascii="Times New Roman" w:hAnsi="Times New Roman" w:eastAsia="宋体" w:cs="Times New Roman"/>
          <w:sz w:val="28"/>
          <w:szCs w:val="21"/>
        </w:rPr>
        <w:t>，由于受规模巨大的地质构造动力作用，致使脆性的块状白云岩被挤压破碎呈碎裂岩，仅局部残存有原岩可辩別岩层产状，地层产状：138°～144°∠21°～25°，该段地层厚度大于500m</w:t>
      </w:r>
      <w:r>
        <w:rPr>
          <w:rFonts w:hint="default" w:ascii="Times New Roman" w:hAnsi="Times New Roman" w:eastAsia="宋体" w:cs="Times New Roman"/>
          <w:spacing w:val="-4"/>
          <w:sz w:val="28"/>
          <w:szCs w:val="28"/>
        </w:rPr>
        <w:t>。</w:t>
      </w:r>
    </w:p>
    <w:p w14:paraId="41B13778">
      <w:pPr>
        <w:spacing w:line="360" w:lineRule="auto"/>
        <w:ind w:firstLine="562" w:firstLineChars="200"/>
        <w:outlineLvl w:val="3"/>
        <w:rPr>
          <w:rFonts w:hint="default" w:ascii="Times New Roman" w:hAnsi="Times New Roman" w:cs="Times New Roman"/>
          <w:b/>
          <w:bCs/>
          <w:sz w:val="28"/>
          <w:szCs w:val="28"/>
        </w:rPr>
      </w:pPr>
      <w:r>
        <w:rPr>
          <w:rFonts w:hint="default" w:ascii="Times New Roman" w:hAnsi="Times New Roman" w:cs="Times New Roman"/>
          <w:b/>
          <w:bCs/>
          <w:sz w:val="28"/>
          <w:szCs w:val="28"/>
        </w:rPr>
        <w:t>2.3.1.2构造</w:t>
      </w:r>
    </w:p>
    <w:p w14:paraId="1E30EE11">
      <w:pPr>
        <w:adjustRightInd w:val="0"/>
        <w:snapToGrid w:val="0"/>
        <w:spacing w:line="360" w:lineRule="auto"/>
        <w:ind w:firstLine="560" w:firstLineChars="200"/>
        <w:rPr>
          <w:rFonts w:hint="default" w:ascii="Times New Roman" w:hAnsi="Times New Roman" w:cs="Times New Roman"/>
          <w:snapToGrid w:val="0"/>
          <w:kern w:val="0"/>
          <w:sz w:val="28"/>
          <w:szCs w:val="28"/>
        </w:rPr>
      </w:pPr>
      <w:r>
        <w:rPr>
          <w:rFonts w:hint="default" w:ascii="Times New Roman" w:hAnsi="Times New Roman" w:cs="Times New Roman"/>
          <w:snapToGrid w:val="0"/>
          <w:kern w:val="0"/>
          <w:sz w:val="28"/>
          <w:szCs w:val="28"/>
        </w:rPr>
        <w:t>矿区内构造简单，主要表现为单斜构造，未发现较大规模的断裂。根据施工钻孔分析，矿区内Ⅳ级结构面为节理裂隙结构面，主要发育于风化较强的浅部岩层。以风化裂隙和构造裂隙为主，裂隙宽0.1～1cm，多为泥质胶质、方解石脉充填或无充填，节理裂隙间距25～35cm，平均间距30cm。以两组陡倾角构造裂隙为主要发育：倾向204°～219°，倾角65°～75°，结构面均光滑平直，多为钙泥质填充；倾向110°～120°，倾角24°～40°，结构面均光滑平直，局部填充方解石脉；另两组稀疏分布的构造裂隙为次：238°～245°，倾角76°～78°；倾向165°～170°，倾角73°～75°。</w:t>
      </w:r>
    </w:p>
    <w:p w14:paraId="019207D5">
      <w:pPr>
        <w:pStyle w:val="4"/>
        <w:spacing w:before="0" w:after="0" w:line="360" w:lineRule="auto"/>
        <w:rPr>
          <w:rFonts w:hint="default" w:ascii="Times New Roman" w:hAnsi="Times New Roman" w:cs="Times New Roman"/>
          <w:sz w:val="28"/>
          <w:szCs w:val="28"/>
        </w:rPr>
      </w:pPr>
      <w:r>
        <w:rPr>
          <w:rFonts w:hint="default" w:ascii="Times New Roman" w:hAnsi="Times New Roman" w:cs="Times New Roman"/>
          <w:sz w:val="28"/>
          <w:szCs w:val="28"/>
        </w:rPr>
        <w:t>2.3.2矿体地质特征</w:t>
      </w:r>
    </w:p>
    <w:p w14:paraId="3D45F6B7">
      <w:pPr>
        <w:adjustRightInd w:val="0"/>
        <w:snapToGrid w:val="0"/>
        <w:spacing w:line="360" w:lineRule="auto"/>
        <w:ind w:firstLine="560" w:firstLineChars="200"/>
        <w:rPr>
          <w:rFonts w:hint="default" w:ascii="Times New Roman" w:hAnsi="Times New Roman" w:eastAsia="宋体" w:cs="Times New Roman"/>
          <w:snapToGrid w:val="0"/>
          <w:kern w:val="0"/>
          <w:sz w:val="28"/>
          <w:szCs w:val="28"/>
        </w:rPr>
      </w:pPr>
      <w:r>
        <w:rPr>
          <w:rFonts w:hint="default" w:ascii="Times New Roman" w:hAnsi="Times New Roman" w:eastAsia="宋体" w:cs="Times New Roman"/>
          <w:snapToGrid w:val="0"/>
          <w:kern w:val="0"/>
          <w:sz w:val="28"/>
          <w:szCs w:val="28"/>
        </w:rPr>
        <w:t>该区碎裂白云岩矿床分布稳定，为单斜层状产出，未开挖地段地表零星分布有残坡积褐红色砂质黏土，一般厚度约0～5.5m，露天采区内该覆盖层已被剥离，其厚度未知；现场仅零星分布于未剥离区、缓坡地带、地表岩溶沟槽中及矿界外围，因面积较小，图上未圈出。开挖地段均可见碎裂白云岩，根据采矿权范围的形态共圈定出一条碎裂白云岩矿体。</w:t>
      </w:r>
    </w:p>
    <w:p w14:paraId="5E939B89">
      <w:pPr>
        <w:adjustRightInd w:val="0"/>
        <w:snapToGrid w:val="0"/>
        <w:spacing w:line="360" w:lineRule="auto"/>
        <w:ind w:firstLine="560" w:firstLineChars="200"/>
        <w:rPr>
          <w:rFonts w:hint="default" w:ascii="Times New Roman" w:hAnsi="Times New Roman" w:eastAsia="宋体" w:cs="Times New Roman"/>
          <w:snapToGrid w:val="0"/>
          <w:kern w:val="0"/>
          <w:sz w:val="28"/>
          <w:szCs w:val="28"/>
          <w:lang w:val="en-US" w:eastAsia="zh-CN"/>
        </w:rPr>
      </w:pPr>
      <w:r>
        <w:rPr>
          <w:rFonts w:hint="default" w:ascii="Times New Roman" w:hAnsi="Times New Roman" w:eastAsia="宋体" w:cs="Times New Roman"/>
          <w:snapToGrid w:val="0"/>
          <w:kern w:val="0"/>
          <w:sz w:val="28"/>
          <w:szCs w:val="28"/>
        </w:rPr>
        <w:t>矿区内共圈定出一条白云岩矿体，属海相沉积型矿床，矿体产于三叠系中统个旧组第四段（T</w:t>
      </w:r>
      <w:r>
        <w:rPr>
          <w:rFonts w:hint="default" w:ascii="Times New Roman" w:hAnsi="Times New Roman" w:eastAsia="宋体" w:cs="Times New Roman"/>
          <w:snapToGrid w:val="0"/>
          <w:kern w:val="0"/>
          <w:sz w:val="28"/>
          <w:szCs w:val="28"/>
          <w:vertAlign w:val="subscript"/>
        </w:rPr>
        <w:t>2</w:t>
      </w:r>
      <w:r>
        <w:rPr>
          <w:rFonts w:hint="default" w:ascii="Times New Roman" w:hAnsi="Times New Roman" w:eastAsia="宋体" w:cs="Times New Roman"/>
          <w:snapToGrid w:val="0"/>
          <w:kern w:val="0"/>
          <w:sz w:val="28"/>
          <w:szCs w:val="28"/>
        </w:rPr>
        <w:t>g</w:t>
      </w:r>
      <w:r>
        <w:rPr>
          <w:rFonts w:hint="default" w:ascii="Times New Roman" w:hAnsi="Times New Roman" w:eastAsia="宋体" w:cs="Times New Roman"/>
          <w:snapToGrid w:val="0"/>
          <w:kern w:val="0"/>
          <w:sz w:val="28"/>
          <w:szCs w:val="28"/>
          <w:vertAlign w:val="superscript"/>
        </w:rPr>
        <w:t>d</w:t>
      </w:r>
      <w:r>
        <w:rPr>
          <w:rFonts w:hint="default" w:ascii="Times New Roman" w:hAnsi="Times New Roman" w:eastAsia="宋体" w:cs="Times New Roman"/>
          <w:snapToGrid w:val="0"/>
          <w:kern w:val="0"/>
          <w:sz w:val="28"/>
          <w:szCs w:val="28"/>
        </w:rPr>
        <w:t>）白云岩层中，矿石为灰色、深灰色中</w:t>
      </w:r>
      <w:r>
        <w:rPr>
          <w:rFonts w:hint="default" w:ascii="Times New Roman" w:hAnsi="Times New Roman" w:cs="Times New Roman"/>
          <w:snapToGrid w:val="0"/>
          <w:kern w:val="0"/>
          <w:sz w:val="28"/>
          <w:szCs w:val="28"/>
          <w:lang w:eastAsia="zh-CN"/>
        </w:rPr>
        <w:t>－</w:t>
      </w:r>
      <w:r>
        <w:rPr>
          <w:rFonts w:hint="default" w:ascii="Times New Roman" w:hAnsi="Times New Roman" w:eastAsia="宋体" w:cs="Times New Roman"/>
          <w:snapToGrid w:val="0"/>
          <w:kern w:val="0"/>
          <w:sz w:val="28"/>
          <w:szCs w:val="28"/>
        </w:rPr>
        <w:t>强风化白云岩，中厚层状，微晶结构，块状构造，矿石抗压强度Rc（MPa）30.7～36.8MPa，平均33.4Mpa，岩层产状：138°～144°∠21°～25°，块状白云岩受地质构造动力强烈挤压破碎作用，使脆性的白云岩被挤压呈具有碎裂结构、糜棱结构的碎裂白云岩，矿区碎裂白云岩矿体出露于地表，呈不规则带状沿北东方向分布与区域构造线方向一致</w:t>
      </w:r>
      <w:r>
        <w:rPr>
          <w:rFonts w:hint="default" w:ascii="Times New Roman" w:hAnsi="Times New Roman" w:eastAsia="宋体" w:cs="Times New Roman"/>
          <w:snapToGrid w:val="0"/>
          <w:kern w:val="0"/>
          <w:sz w:val="28"/>
          <w:szCs w:val="28"/>
          <w:lang w:eastAsia="zh-CN"/>
        </w:rPr>
        <w:t>。</w:t>
      </w:r>
    </w:p>
    <w:p w14:paraId="2E0A1A5C">
      <w:pPr>
        <w:pStyle w:val="4"/>
        <w:spacing w:before="0" w:after="0" w:line="360" w:lineRule="auto"/>
        <w:rPr>
          <w:rFonts w:hint="default" w:ascii="Times New Roman" w:hAnsi="Times New Roman" w:eastAsia="宋体" w:cs="Times New Roman"/>
          <w:sz w:val="28"/>
          <w:szCs w:val="28"/>
          <w:lang w:val="en-US" w:eastAsia="zh-CN"/>
        </w:rPr>
      </w:pPr>
      <w:r>
        <w:rPr>
          <w:rFonts w:hint="default" w:ascii="Times New Roman" w:hAnsi="Times New Roman" w:cs="Times New Roman"/>
          <w:sz w:val="28"/>
          <w:szCs w:val="28"/>
          <w:lang w:val="en-US" w:eastAsia="zh-CN"/>
        </w:rPr>
        <w:t>2.3.3矿石特征</w:t>
      </w:r>
    </w:p>
    <w:p w14:paraId="5A02649C">
      <w:pPr>
        <w:spacing w:line="360" w:lineRule="auto"/>
        <w:ind w:firstLine="562" w:firstLineChars="200"/>
        <w:outlineLvl w:val="3"/>
        <w:rPr>
          <w:rFonts w:hint="default" w:ascii="Times New Roman" w:hAnsi="Times New Roman" w:cs="Times New Roman"/>
          <w:b/>
          <w:bCs/>
          <w:sz w:val="28"/>
          <w:szCs w:val="28"/>
        </w:rPr>
      </w:pPr>
      <w:r>
        <w:rPr>
          <w:rFonts w:hint="default" w:ascii="Times New Roman" w:hAnsi="Times New Roman" w:cs="Times New Roman"/>
          <w:b/>
          <w:bCs/>
          <w:sz w:val="28"/>
          <w:szCs w:val="28"/>
        </w:rPr>
        <w:t>2.3.</w:t>
      </w:r>
      <w:r>
        <w:rPr>
          <w:rFonts w:hint="default" w:ascii="Times New Roman" w:hAnsi="Times New Roman" w:cs="Times New Roman"/>
          <w:b/>
          <w:bCs/>
          <w:sz w:val="28"/>
          <w:szCs w:val="28"/>
          <w:lang w:val="en-US" w:eastAsia="zh-CN"/>
        </w:rPr>
        <w:t>3</w:t>
      </w:r>
      <w:r>
        <w:rPr>
          <w:rFonts w:hint="default" w:ascii="Times New Roman" w:hAnsi="Times New Roman" w:cs="Times New Roman"/>
          <w:b/>
          <w:bCs/>
          <w:sz w:val="28"/>
          <w:szCs w:val="28"/>
        </w:rPr>
        <w:t>.1矿石类型和品级</w:t>
      </w:r>
    </w:p>
    <w:p w14:paraId="6AD96A9A">
      <w:pPr>
        <w:adjustRightInd w:val="0"/>
        <w:snapToGrid w:val="0"/>
        <w:spacing w:line="360" w:lineRule="auto"/>
        <w:ind w:firstLine="560" w:firstLineChars="200"/>
        <w:rPr>
          <w:rFonts w:hint="default" w:ascii="Times New Roman" w:hAnsi="Times New Roman" w:cs="Times New Roman"/>
          <w:sz w:val="28"/>
          <w:szCs w:val="28"/>
        </w:rPr>
      </w:pPr>
      <w:r>
        <w:rPr>
          <w:rFonts w:hint="default" w:ascii="Times New Roman" w:hAnsi="Times New Roman" w:cs="Times New Roman"/>
          <w:sz w:val="28"/>
          <w:szCs w:val="28"/>
        </w:rPr>
        <w:t>矿石的自然类型分为泥微晶白云岩、细粉晶白云岩、微晶白云岩和白云岩质碎裂角砾岩，矿区产出的白云岩属于主要为泥微晶白云岩，占到全区的80％以上。</w:t>
      </w:r>
    </w:p>
    <w:p w14:paraId="7FF1298A">
      <w:pPr>
        <w:adjustRightInd w:val="0"/>
        <w:snapToGrid w:val="0"/>
        <w:spacing w:line="360" w:lineRule="auto"/>
        <w:ind w:firstLine="560" w:firstLineChars="200"/>
        <w:rPr>
          <w:rFonts w:hint="default" w:ascii="Times New Roman" w:hAnsi="Times New Roman" w:cs="Times New Roman"/>
          <w:sz w:val="28"/>
          <w:szCs w:val="28"/>
        </w:rPr>
      </w:pPr>
      <w:r>
        <w:rPr>
          <w:rFonts w:hint="default" w:ascii="Times New Roman" w:hAnsi="Times New Roman" w:cs="Times New Roman"/>
          <w:sz w:val="28"/>
          <w:szCs w:val="28"/>
        </w:rPr>
        <w:t>矿区产出的白云岩矿石经机械破碎加工后主要用作普通建筑材料用的机制砂，根据《矿产地质勘查规范建筑用石料类》（DZ/T 0341-2020），矿石工业类型为普通建筑材料用建筑用砂。</w:t>
      </w:r>
    </w:p>
    <w:p w14:paraId="73F10F93">
      <w:pPr>
        <w:adjustRightInd w:val="0"/>
        <w:snapToGrid w:val="0"/>
        <w:spacing w:line="360" w:lineRule="auto"/>
        <w:ind w:firstLine="560" w:firstLineChars="200"/>
        <w:rPr>
          <w:rFonts w:hint="default" w:ascii="Times New Roman" w:hAnsi="Times New Roman" w:cs="Times New Roman"/>
          <w:sz w:val="28"/>
          <w:szCs w:val="28"/>
        </w:rPr>
      </w:pPr>
      <w:r>
        <w:rPr>
          <w:rFonts w:hint="default" w:ascii="Times New Roman" w:hAnsi="Times New Roman" w:cs="Times New Roman"/>
          <w:sz w:val="28"/>
          <w:szCs w:val="28"/>
        </w:rPr>
        <w:t>矿山产品为普通建筑石料用粗砂、细沙及石粉。根据《矿产地质勘查规范 建筑用石料类》（DZ/T0341-2020）混凝土用细骨料质量技术指标，矿区内矿石自然类型为泥微晶白云岩，矿石属硬质岩石、坚固性、压碎指标、吸水率、表观密度等物理性能满足Ⅲ类矿石质量要求，矿石内照射指数IRa ≤1.0和外照射指数I r≤1.0，其产销与使用范围不限限制。</w:t>
      </w:r>
    </w:p>
    <w:p w14:paraId="3EB465B7">
      <w:pPr>
        <w:spacing w:line="360" w:lineRule="auto"/>
        <w:ind w:firstLine="562" w:firstLineChars="200"/>
        <w:outlineLvl w:val="3"/>
        <w:rPr>
          <w:rFonts w:hint="default"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2.3.</w:t>
      </w:r>
      <w:r>
        <w:rPr>
          <w:rFonts w:hint="default" w:ascii="Times New Roman" w:hAnsi="Times New Roman" w:cs="Times New Roman"/>
          <w:b/>
          <w:bCs/>
          <w:sz w:val="28"/>
          <w:szCs w:val="28"/>
          <w:lang w:val="en-US" w:eastAsia="zh-CN"/>
        </w:rPr>
        <w:t>3</w:t>
      </w:r>
      <w:r>
        <w:rPr>
          <w:rFonts w:hint="default" w:ascii="Times New Roman" w:hAnsi="Times New Roman" w:cs="Times New Roman"/>
          <w:b/>
          <w:bCs/>
          <w:sz w:val="28"/>
          <w:szCs w:val="28"/>
        </w:rPr>
        <w:t>.2</w:t>
      </w:r>
      <w:r>
        <w:rPr>
          <w:rFonts w:hint="default" w:ascii="Times New Roman" w:hAnsi="Times New Roman" w:cs="Times New Roman"/>
          <w:b/>
          <w:bCs/>
          <w:sz w:val="28"/>
          <w:szCs w:val="28"/>
          <w:lang w:val="en-US" w:eastAsia="zh-CN"/>
        </w:rPr>
        <w:t>矿物组成</w:t>
      </w:r>
    </w:p>
    <w:p w14:paraId="10629F7F">
      <w:pPr>
        <w:adjustRightInd w:val="0"/>
        <w:snapToGrid w:val="0"/>
        <w:spacing w:line="360" w:lineRule="auto"/>
        <w:ind w:firstLine="560" w:firstLineChars="200"/>
        <w:rPr>
          <w:rFonts w:hint="default" w:ascii="Times New Roman" w:hAnsi="Times New Roman" w:cs="Times New Roman"/>
          <w:snapToGrid w:val="0"/>
          <w:kern w:val="0"/>
          <w:sz w:val="28"/>
          <w:szCs w:val="28"/>
        </w:rPr>
      </w:pPr>
      <w:r>
        <w:rPr>
          <w:rFonts w:hint="default" w:ascii="Times New Roman" w:hAnsi="Times New Roman" w:cs="Times New Roman"/>
          <w:snapToGrid w:val="0"/>
          <w:kern w:val="0"/>
          <w:sz w:val="28"/>
          <w:szCs w:val="28"/>
        </w:rPr>
        <w:t>根据送云南省地质矿产勘查开发局中心实验室（自然资源部昆明矿产资源检测中心）岩矿鉴定结果，矿山矿石主要为灰色强风化碎裂微晶白云岩，主要为白云石，粒度≤0.03mm占98</w:t>
      </w:r>
      <w:r>
        <w:rPr>
          <w:rFonts w:hint="default" w:ascii="Times New Roman" w:hAnsi="Times New Roman" w:cs="Times New Roman"/>
          <w:snapToGrid w:val="0"/>
          <w:kern w:val="0"/>
          <w:sz w:val="28"/>
          <w:szCs w:val="28"/>
          <w:lang w:eastAsia="zh-CN"/>
        </w:rPr>
        <w:t>%～</w:t>
      </w:r>
      <w:r>
        <w:rPr>
          <w:rFonts w:hint="default" w:ascii="Times New Roman" w:hAnsi="Times New Roman" w:cs="Times New Roman"/>
          <w:snapToGrid w:val="0"/>
          <w:kern w:val="0"/>
          <w:sz w:val="28"/>
          <w:szCs w:val="28"/>
        </w:rPr>
        <w:t>97%，泥微状为主，少量呈碎粒粉状沿碎裂纹等不均匀充填；铁泥质占2</w:t>
      </w:r>
      <w:r>
        <w:rPr>
          <w:rFonts w:hint="default" w:ascii="Times New Roman" w:hAnsi="Times New Roman" w:cs="Times New Roman"/>
          <w:snapToGrid w:val="0"/>
          <w:kern w:val="0"/>
          <w:sz w:val="28"/>
          <w:szCs w:val="28"/>
          <w:lang w:eastAsia="zh-CN"/>
        </w:rPr>
        <w:t>%～</w:t>
      </w:r>
      <w:r>
        <w:rPr>
          <w:rFonts w:hint="default" w:ascii="Times New Roman" w:hAnsi="Times New Roman" w:cs="Times New Roman"/>
          <w:snapToGrid w:val="0"/>
          <w:kern w:val="0"/>
          <w:sz w:val="28"/>
          <w:szCs w:val="28"/>
        </w:rPr>
        <w:t>3%，褐色隐晶质，不均匀充填并胶结；极少量不明矿物。因受脆性主导的应力作用显著，岩石局部发生破（压）碎呈大小不规则状、棱角状、次棱角状碎块、碎斑产出，并发育碎裂纹。碎块、碎斑呈棱角状、次棱角状，成分主要由微晶白云岩（由粒径≤0.03mm的泥微晶状白云石和极少数铁泥质、不透明矿物等组成，不均匀分布）组成。沿碎裂纹主要由粒径≤0.1mm白云石、铁泥质等不均匀充填并胶结角砾状碎块、碎斑等。</w:t>
      </w:r>
    </w:p>
    <w:p w14:paraId="60332DF0">
      <w:pPr>
        <w:spacing w:line="360" w:lineRule="auto"/>
        <w:ind w:firstLine="562" w:firstLineChars="200"/>
        <w:outlineLvl w:val="3"/>
        <w:rPr>
          <w:rFonts w:hint="default"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2.3.</w:t>
      </w:r>
      <w:r>
        <w:rPr>
          <w:rFonts w:hint="default" w:ascii="Times New Roman" w:hAnsi="Times New Roman" w:cs="Times New Roman"/>
          <w:b/>
          <w:bCs/>
          <w:sz w:val="28"/>
          <w:szCs w:val="28"/>
          <w:lang w:val="en-US" w:eastAsia="zh-CN"/>
        </w:rPr>
        <w:t>3</w:t>
      </w:r>
      <w:r>
        <w:rPr>
          <w:rFonts w:hint="default" w:ascii="Times New Roman" w:hAnsi="Times New Roman" w:cs="Times New Roman"/>
          <w:b/>
          <w:bCs/>
          <w:sz w:val="28"/>
          <w:szCs w:val="28"/>
        </w:rPr>
        <w:t>.</w:t>
      </w:r>
      <w:r>
        <w:rPr>
          <w:rFonts w:hint="default" w:ascii="Times New Roman" w:hAnsi="Times New Roman" w:cs="Times New Roman"/>
          <w:b/>
          <w:bCs/>
          <w:sz w:val="28"/>
          <w:szCs w:val="28"/>
          <w:lang w:val="en-US" w:eastAsia="zh-CN"/>
        </w:rPr>
        <w:t>3矿石结构构造</w:t>
      </w:r>
    </w:p>
    <w:p w14:paraId="568E21B6">
      <w:pPr>
        <w:adjustRightInd w:val="0"/>
        <w:snapToGrid w:val="0"/>
        <w:spacing w:line="360" w:lineRule="auto"/>
        <w:ind w:firstLine="560" w:firstLineChars="200"/>
        <w:rPr>
          <w:rFonts w:hint="default" w:ascii="Times New Roman" w:hAnsi="Times New Roman" w:eastAsia="宋体" w:cs="Times New Roman"/>
          <w:snapToGrid w:val="0"/>
          <w:kern w:val="0"/>
          <w:sz w:val="28"/>
          <w:szCs w:val="28"/>
          <w:lang w:eastAsia="zh-CN"/>
        </w:rPr>
      </w:pPr>
      <w:r>
        <w:rPr>
          <w:rFonts w:hint="default" w:ascii="Times New Roman" w:hAnsi="Times New Roman" w:eastAsia="宋体" w:cs="Times New Roman"/>
          <w:snapToGrid w:val="0"/>
          <w:kern w:val="0"/>
          <w:sz w:val="28"/>
          <w:szCs w:val="28"/>
        </w:rPr>
        <w:t>矿区内矿石外观颜色为灰色、深灰色，呈微晶结构、块状构造；矿石颗粒为棱角明显的多面体。矿石构造为沉积型中～厚层状构造、块状构造、少量条带状构造</w:t>
      </w:r>
      <w:r>
        <w:rPr>
          <w:rFonts w:hint="default" w:ascii="Times New Roman" w:hAnsi="Times New Roman" w:eastAsia="宋体" w:cs="Times New Roman"/>
          <w:snapToGrid w:val="0"/>
          <w:kern w:val="0"/>
          <w:sz w:val="28"/>
          <w:szCs w:val="28"/>
          <w:lang w:eastAsia="zh-CN"/>
        </w:rPr>
        <w:t>。</w:t>
      </w:r>
    </w:p>
    <w:p w14:paraId="1B9C3862">
      <w:pPr>
        <w:keepNext w:val="0"/>
        <w:keepLines w:val="0"/>
        <w:pageBreakBefore w:val="0"/>
        <w:widowControl w:val="0"/>
        <w:kinsoku/>
        <w:overflowPunct/>
        <w:topLinePunct w:val="0"/>
        <w:autoSpaceDE/>
        <w:autoSpaceDN/>
        <w:bidi w:val="0"/>
        <w:adjustRightInd w:val="0"/>
        <w:snapToGrid w:val="0"/>
        <w:spacing w:line="360" w:lineRule="auto"/>
        <w:ind w:firstLine="562" w:firstLineChars="200"/>
        <w:textAlignment w:val="auto"/>
        <w:outlineLvl w:val="3"/>
        <w:rPr>
          <w:rFonts w:hint="default"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2.3.</w:t>
      </w:r>
      <w:r>
        <w:rPr>
          <w:rFonts w:hint="default" w:ascii="Times New Roman" w:hAnsi="Times New Roman" w:cs="Times New Roman"/>
          <w:b/>
          <w:bCs/>
          <w:sz w:val="28"/>
          <w:szCs w:val="28"/>
          <w:lang w:val="en-US" w:eastAsia="zh-CN"/>
        </w:rPr>
        <w:t>3</w:t>
      </w:r>
      <w:r>
        <w:rPr>
          <w:rFonts w:hint="default" w:ascii="Times New Roman" w:hAnsi="Times New Roman" w:cs="Times New Roman"/>
          <w:b/>
          <w:bCs/>
          <w:sz w:val="28"/>
          <w:szCs w:val="28"/>
        </w:rPr>
        <w:t>.</w:t>
      </w:r>
      <w:r>
        <w:rPr>
          <w:rFonts w:hint="default" w:ascii="Times New Roman" w:hAnsi="Times New Roman" w:cs="Times New Roman"/>
          <w:b/>
          <w:bCs/>
          <w:sz w:val="28"/>
          <w:szCs w:val="28"/>
          <w:lang w:val="en-US" w:eastAsia="zh-CN"/>
        </w:rPr>
        <w:t>4化学成分及物化性能</w:t>
      </w:r>
    </w:p>
    <w:p w14:paraId="674C45FE">
      <w:pPr>
        <w:keepNext w:val="0"/>
        <w:keepLines w:val="0"/>
        <w:pageBreakBefore w:val="0"/>
        <w:widowControl w:val="0"/>
        <w:kinsoku/>
        <w:wordWrap w:val="0"/>
        <w:overflowPunct/>
        <w:topLinePunct w:val="0"/>
        <w:autoSpaceDE/>
        <w:autoSpaceDN/>
        <w:bidi w:val="0"/>
        <w:adjustRightInd w:val="0"/>
        <w:snapToGrid w:val="0"/>
        <w:spacing w:line="360" w:lineRule="auto"/>
        <w:ind w:firstLine="560" w:firstLineChars="200"/>
        <w:textAlignment w:val="auto"/>
        <w:rPr>
          <w:rFonts w:hint="default" w:ascii="Times New Roman" w:hAnsi="Times New Roman" w:eastAsia="宋体" w:cs="Times New Roman"/>
          <w:sz w:val="28"/>
          <w:szCs w:val="21"/>
        </w:rPr>
      </w:pPr>
      <w:r>
        <w:rPr>
          <w:rFonts w:hint="default" w:ascii="Times New Roman" w:hAnsi="Times New Roman" w:eastAsia="宋体" w:cs="Times New Roman"/>
          <w:sz w:val="28"/>
          <w:szCs w:val="21"/>
          <w:lang w:val="en-US" w:eastAsia="zh-CN"/>
        </w:rPr>
        <w:t>根据</w:t>
      </w:r>
      <w:r>
        <w:rPr>
          <w:rFonts w:hint="default" w:ascii="Times New Roman" w:hAnsi="Times New Roman" w:eastAsia="宋体" w:cs="Times New Roman"/>
          <w:sz w:val="28"/>
          <w:szCs w:val="21"/>
        </w:rPr>
        <w:t>采集化学分析样1件送中国建筑材料工业地质勘查中心云南总队测试中心的测试结果</w:t>
      </w:r>
      <w:r>
        <w:rPr>
          <w:rFonts w:hint="default" w:ascii="Times New Roman" w:hAnsi="Times New Roman" w:eastAsia="宋体" w:cs="Times New Roman"/>
          <w:kern w:val="0"/>
          <w:sz w:val="28"/>
          <w:szCs w:val="21"/>
        </w:rPr>
        <w:t>，化学成分变化较稳定，有害杂质含量低，对人体无害，矿石质量优良</w:t>
      </w:r>
      <w:r>
        <w:rPr>
          <w:rFonts w:hint="default" w:ascii="Times New Roman" w:hAnsi="Times New Roman" w:eastAsia="宋体" w:cs="Times New Roman"/>
          <w:sz w:val="28"/>
          <w:szCs w:val="21"/>
        </w:rPr>
        <w:t>。</w:t>
      </w:r>
    </w:p>
    <w:p w14:paraId="7AE4880C">
      <w:pPr>
        <w:keepNext w:val="0"/>
        <w:keepLines w:val="0"/>
        <w:pageBreakBefore w:val="0"/>
        <w:widowControl w:val="0"/>
        <w:kinsoku/>
        <w:wordWrap w:val="0"/>
        <w:overflowPunct/>
        <w:topLinePunct w:val="0"/>
        <w:autoSpaceDE/>
        <w:autoSpaceDN/>
        <w:bidi w:val="0"/>
        <w:adjustRightInd w:val="0"/>
        <w:snapToGrid w:val="0"/>
        <w:spacing w:line="360" w:lineRule="auto"/>
        <w:ind w:firstLine="560" w:firstLineChars="200"/>
        <w:textAlignment w:val="auto"/>
        <w:rPr>
          <w:rFonts w:hint="default" w:ascii="Times New Roman" w:hAnsi="Times New Roman" w:eastAsia="宋体" w:cs="Times New Roman"/>
          <w:sz w:val="28"/>
          <w:szCs w:val="21"/>
        </w:rPr>
      </w:pPr>
      <w:r>
        <w:rPr>
          <w:rFonts w:hint="default" w:ascii="Times New Roman" w:hAnsi="Times New Roman" w:eastAsia="宋体" w:cs="Times New Roman"/>
          <w:sz w:val="28"/>
          <w:szCs w:val="21"/>
        </w:rPr>
        <w:t>采集放射性样3件，通过对放射性核素镭-226、钍-232和钾-40的比活度分析得出内照射指数</w:t>
      </w:r>
      <w:r>
        <w:rPr>
          <w:rFonts w:hint="default" w:ascii="Times New Roman" w:hAnsi="Times New Roman" w:eastAsia="宋体" w:cs="Times New Roman"/>
          <w:kern w:val="0"/>
          <w:sz w:val="28"/>
          <w:szCs w:val="21"/>
          <w:lang w:bidi="ar"/>
        </w:rPr>
        <w:t>I</w:t>
      </w:r>
      <w:r>
        <w:rPr>
          <w:rFonts w:hint="default" w:ascii="Times New Roman" w:hAnsi="Times New Roman" w:eastAsia="宋体" w:cs="Times New Roman"/>
          <w:kern w:val="0"/>
          <w:sz w:val="28"/>
          <w:szCs w:val="21"/>
          <w:vertAlign w:val="subscript"/>
          <w:lang w:bidi="ar"/>
        </w:rPr>
        <w:t>Ra</w:t>
      </w:r>
      <w:r>
        <w:rPr>
          <w:rFonts w:hint="default" w:ascii="Times New Roman" w:hAnsi="Times New Roman" w:eastAsia="宋体" w:cs="Times New Roman"/>
          <w:sz w:val="28"/>
          <w:szCs w:val="21"/>
        </w:rPr>
        <w:t>=0.1～0.2，</w:t>
      </w:r>
      <w:r>
        <w:rPr>
          <w:rFonts w:hint="default" w:ascii="Times New Roman" w:hAnsi="Times New Roman" w:eastAsia="宋体" w:cs="Times New Roman"/>
          <w:kern w:val="0"/>
          <w:sz w:val="28"/>
          <w:szCs w:val="21"/>
          <w:lang w:bidi="ar"/>
        </w:rPr>
        <w:t>I</w:t>
      </w:r>
      <w:r>
        <w:rPr>
          <w:rFonts w:hint="default" w:ascii="Times New Roman" w:hAnsi="Times New Roman" w:eastAsia="宋体" w:cs="Times New Roman"/>
          <w:kern w:val="0"/>
          <w:sz w:val="28"/>
          <w:szCs w:val="21"/>
          <w:vertAlign w:val="subscript"/>
          <w:lang w:bidi="ar"/>
        </w:rPr>
        <w:t>r</w:t>
      </w:r>
      <w:r>
        <w:rPr>
          <w:rFonts w:hint="default" w:ascii="Times New Roman" w:hAnsi="Times New Roman" w:eastAsia="宋体" w:cs="Times New Roman"/>
          <w:sz w:val="28"/>
          <w:szCs w:val="21"/>
        </w:rPr>
        <w:t>=0.1。根据《建筑材料放射性核素限量》（GB 6566-2010）的规定，均达到A类装饰装修材料（</w:t>
      </w:r>
      <w:r>
        <w:rPr>
          <w:rFonts w:hint="default" w:ascii="Times New Roman" w:hAnsi="Times New Roman" w:eastAsia="宋体" w:cs="Times New Roman"/>
          <w:kern w:val="0"/>
          <w:sz w:val="28"/>
          <w:szCs w:val="21"/>
          <w:lang w:bidi="ar"/>
        </w:rPr>
        <w:t>I</w:t>
      </w:r>
      <w:r>
        <w:rPr>
          <w:rFonts w:hint="default" w:ascii="Times New Roman" w:hAnsi="Times New Roman" w:eastAsia="宋体" w:cs="Times New Roman"/>
          <w:kern w:val="0"/>
          <w:sz w:val="28"/>
          <w:szCs w:val="21"/>
          <w:vertAlign w:val="subscript"/>
          <w:lang w:bidi="ar"/>
        </w:rPr>
        <w:t>Ra</w:t>
      </w:r>
      <w:r>
        <w:rPr>
          <w:rFonts w:hint="default" w:ascii="Times New Roman" w:hAnsi="Times New Roman" w:eastAsia="宋体" w:cs="Times New Roman"/>
          <w:sz w:val="28"/>
          <w:szCs w:val="21"/>
        </w:rPr>
        <w:t>≤1.0，</w:t>
      </w:r>
      <w:r>
        <w:rPr>
          <w:rFonts w:hint="default" w:ascii="Times New Roman" w:hAnsi="Times New Roman" w:eastAsia="宋体" w:cs="Times New Roman"/>
          <w:kern w:val="0"/>
          <w:sz w:val="28"/>
          <w:szCs w:val="21"/>
          <w:lang w:bidi="ar"/>
        </w:rPr>
        <w:t>I</w:t>
      </w:r>
      <w:r>
        <w:rPr>
          <w:rFonts w:hint="default" w:ascii="Times New Roman" w:hAnsi="Times New Roman" w:eastAsia="宋体" w:cs="Times New Roman"/>
          <w:kern w:val="0"/>
          <w:sz w:val="28"/>
          <w:szCs w:val="21"/>
          <w:vertAlign w:val="subscript"/>
          <w:lang w:bidi="ar"/>
        </w:rPr>
        <w:t>r</w:t>
      </w:r>
      <w:r>
        <w:rPr>
          <w:rFonts w:hint="default" w:ascii="Times New Roman" w:hAnsi="Times New Roman" w:eastAsia="宋体" w:cs="Times New Roman"/>
          <w:sz w:val="28"/>
          <w:szCs w:val="21"/>
        </w:rPr>
        <w:t>≤1.3）的要求，其产销与使用范围不限限制。</w:t>
      </w:r>
    </w:p>
    <w:p w14:paraId="2C845029">
      <w:pPr>
        <w:keepNext w:val="0"/>
        <w:keepLines w:val="0"/>
        <w:pageBreakBefore w:val="0"/>
        <w:widowControl w:val="0"/>
        <w:kinsoku/>
        <w:wordWrap w:val="0"/>
        <w:overflowPunct/>
        <w:topLinePunct w:val="0"/>
        <w:autoSpaceDE/>
        <w:autoSpaceDN/>
        <w:bidi w:val="0"/>
        <w:adjustRightInd w:val="0"/>
        <w:snapToGrid w:val="0"/>
        <w:spacing w:line="360" w:lineRule="auto"/>
        <w:ind w:firstLine="560" w:firstLineChars="200"/>
        <w:textAlignment w:val="auto"/>
        <w:rPr>
          <w:rFonts w:hint="default" w:ascii="Times New Roman" w:hAnsi="Times New Roman" w:eastAsia="宋体" w:cs="Times New Roman"/>
          <w:sz w:val="28"/>
          <w:szCs w:val="21"/>
        </w:rPr>
      </w:pPr>
      <w:r>
        <w:rPr>
          <w:rFonts w:hint="default" w:ascii="Times New Roman" w:hAnsi="Times New Roman" w:eastAsia="宋体" w:cs="Times New Roman"/>
          <w:sz w:val="28"/>
          <w:szCs w:val="21"/>
        </w:rPr>
        <w:t>矿区揭露的白云岩矿呈碎块状，</w:t>
      </w:r>
      <w:r>
        <w:rPr>
          <w:rFonts w:hint="default" w:ascii="Times New Roman" w:hAnsi="Times New Roman" w:eastAsia="宋体" w:cs="Times New Roman"/>
          <w:sz w:val="28"/>
          <w:szCs w:val="21"/>
          <w:lang w:val="en-US" w:eastAsia="zh-CN"/>
        </w:rPr>
        <w:t>该次</w:t>
      </w:r>
      <w:r>
        <w:rPr>
          <w:rFonts w:hint="default" w:ascii="Times New Roman" w:hAnsi="Times New Roman" w:eastAsia="宋体" w:cs="Times New Roman"/>
          <w:sz w:val="28"/>
          <w:szCs w:val="21"/>
        </w:rPr>
        <w:t>核实工作在矿区范围内不同位置取样20件（组），其中抗压强度试验样4组，点荷载试验样16件，送中国建筑材料工业地质勘查中心云南总队测试中心进行测试。</w:t>
      </w:r>
    </w:p>
    <w:p w14:paraId="74B3D546">
      <w:pPr>
        <w:keepNext w:val="0"/>
        <w:keepLines w:val="0"/>
        <w:pageBreakBefore w:val="0"/>
        <w:widowControl w:val="0"/>
        <w:kinsoku/>
        <w:overflowPunct/>
        <w:topLinePunct w:val="0"/>
        <w:autoSpaceDE/>
        <w:autoSpaceDN/>
        <w:bidi w:val="0"/>
        <w:adjustRightInd w:val="0"/>
        <w:snapToGrid w:val="0"/>
        <w:spacing w:line="360" w:lineRule="auto"/>
        <w:ind w:firstLine="560" w:firstLineChars="200"/>
        <w:textAlignment w:val="auto"/>
        <w:rPr>
          <w:rFonts w:hint="default" w:ascii="Times New Roman" w:hAnsi="Times New Roman" w:eastAsia="宋体" w:cs="Times New Roman"/>
          <w:sz w:val="28"/>
          <w:szCs w:val="21"/>
          <w:lang w:eastAsia="zh-CN"/>
        </w:rPr>
      </w:pPr>
      <w:r>
        <w:rPr>
          <w:rFonts w:hint="default" w:ascii="Times New Roman" w:hAnsi="Times New Roman" w:eastAsia="宋体" w:cs="Times New Roman"/>
          <w:sz w:val="28"/>
          <w:szCs w:val="21"/>
        </w:rPr>
        <w:t>根据测试结果表明，矿区范围内的碎裂白云岩在地表向下至垂深15m饱和状态时抗压强度</w:t>
      </w:r>
      <w:r>
        <w:rPr>
          <w:rFonts w:hint="default" w:ascii="Times New Roman" w:hAnsi="Times New Roman" w:eastAsia="宋体" w:cs="Times New Roman"/>
          <w:kern w:val="0"/>
          <w:sz w:val="24"/>
          <w:szCs w:val="21"/>
        </w:rPr>
        <w:t>Rc（MPa）</w:t>
      </w:r>
      <w:r>
        <w:rPr>
          <w:rFonts w:hint="default" w:ascii="Times New Roman" w:hAnsi="Times New Roman" w:eastAsia="宋体" w:cs="Times New Roman"/>
          <w:kern w:val="0"/>
          <w:sz w:val="28"/>
          <w:szCs w:val="21"/>
        </w:rPr>
        <w:t>平均值为23.26</w:t>
      </w:r>
      <w:r>
        <w:rPr>
          <w:rFonts w:hint="default" w:ascii="Times New Roman" w:hAnsi="Times New Roman" w:eastAsia="宋体" w:cs="Times New Roman"/>
          <w:sz w:val="28"/>
          <w:szCs w:val="21"/>
        </w:rPr>
        <w:t>Mpa，抗压强度值随矿石埋深增加而增加；垂深达到20m后饱和状态时抗压强度Rc（MPa）平均值为33.4Mpa，抗压强度值逐渐趋于平衡。根据老采区地表的两件（组）抗压强度试验样表明，矿石受自然风化作用影响强烈，导致地表矿石抗压强度偏低，不满足抗压强度值≥30Mpa的要求。该测试结果与矿山产品基本吻合，上部矿石主要生产细砂，下部矿石才能生产出粗砂</w:t>
      </w:r>
      <w:r>
        <w:rPr>
          <w:rFonts w:hint="default" w:ascii="Times New Roman" w:hAnsi="Times New Roman" w:eastAsia="宋体" w:cs="Times New Roman"/>
          <w:sz w:val="28"/>
          <w:szCs w:val="21"/>
          <w:lang w:eastAsia="zh-CN"/>
        </w:rPr>
        <w:t>。</w:t>
      </w:r>
    </w:p>
    <w:p w14:paraId="20B86072">
      <w:pPr>
        <w:keepNext w:val="0"/>
        <w:keepLines w:val="0"/>
        <w:pageBreakBefore w:val="0"/>
        <w:widowControl w:val="0"/>
        <w:kinsoku/>
        <w:overflowPunct/>
        <w:topLinePunct w:val="0"/>
        <w:autoSpaceDE/>
        <w:autoSpaceDN/>
        <w:bidi w:val="0"/>
        <w:adjustRightInd w:val="0"/>
        <w:snapToGrid w:val="0"/>
        <w:spacing w:line="360" w:lineRule="auto"/>
        <w:ind w:firstLine="562" w:firstLineChars="200"/>
        <w:textAlignment w:val="auto"/>
        <w:outlineLvl w:val="3"/>
        <w:rPr>
          <w:rFonts w:hint="default"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2.3.</w:t>
      </w:r>
      <w:r>
        <w:rPr>
          <w:rFonts w:hint="default" w:ascii="Times New Roman" w:hAnsi="Times New Roman" w:cs="Times New Roman"/>
          <w:b/>
          <w:bCs/>
          <w:sz w:val="28"/>
          <w:szCs w:val="28"/>
          <w:lang w:val="en-US" w:eastAsia="zh-CN"/>
        </w:rPr>
        <w:t>3</w:t>
      </w:r>
      <w:r>
        <w:rPr>
          <w:rFonts w:hint="default" w:ascii="Times New Roman" w:hAnsi="Times New Roman" w:cs="Times New Roman"/>
          <w:b/>
          <w:bCs/>
          <w:sz w:val="28"/>
          <w:szCs w:val="28"/>
        </w:rPr>
        <w:t>.</w:t>
      </w:r>
      <w:r>
        <w:rPr>
          <w:rFonts w:hint="default" w:ascii="Times New Roman" w:hAnsi="Times New Roman" w:cs="Times New Roman"/>
          <w:b/>
          <w:bCs/>
          <w:sz w:val="28"/>
          <w:szCs w:val="28"/>
          <w:lang w:val="en-US" w:eastAsia="zh-CN"/>
        </w:rPr>
        <w:t>5矿体围岩和夹石</w:t>
      </w:r>
    </w:p>
    <w:p w14:paraId="23EA558C">
      <w:pPr>
        <w:keepNext w:val="0"/>
        <w:keepLines w:val="0"/>
        <w:pageBreakBefore w:val="0"/>
        <w:widowControl w:val="0"/>
        <w:kinsoku/>
        <w:wordWrap w:val="0"/>
        <w:overflowPunct/>
        <w:topLinePunct w:val="0"/>
        <w:autoSpaceDE/>
        <w:autoSpaceDN/>
        <w:bidi w:val="0"/>
        <w:adjustRightInd w:val="0"/>
        <w:snapToGrid w:val="0"/>
        <w:spacing w:line="360" w:lineRule="auto"/>
        <w:ind w:firstLine="560" w:firstLineChars="200"/>
        <w:textAlignment w:val="auto"/>
        <w:rPr>
          <w:rFonts w:hint="default" w:ascii="Times New Roman" w:hAnsi="Times New Roman" w:eastAsia="宋体" w:cs="Times New Roman"/>
          <w:sz w:val="28"/>
          <w:szCs w:val="21"/>
        </w:rPr>
      </w:pPr>
      <w:r>
        <w:rPr>
          <w:rFonts w:hint="default" w:ascii="Times New Roman" w:hAnsi="Times New Roman" w:eastAsia="宋体" w:cs="Times New Roman"/>
          <w:sz w:val="28"/>
          <w:szCs w:val="21"/>
        </w:rPr>
        <w:t>矿区内矿体顶板主要为第四系残坡积（Q</w:t>
      </w:r>
      <w:r>
        <w:rPr>
          <w:rFonts w:hint="default" w:ascii="Times New Roman" w:hAnsi="Times New Roman" w:eastAsia="宋体" w:cs="Times New Roman"/>
          <w:i/>
          <w:iCs/>
          <w:sz w:val="28"/>
          <w:szCs w:val="21"/>
          <w:vertAlign w:val="superscript"/>
        </w:rPr>
        <w:t>el+dl</w:t>
      </w:r>
      <w:r>
        <w:rPr>
          <w:rFonts w:hint="default" w:ascii="Times New Roman" w:hAnsi="Times New Roman" w:eastAsia="宋体" w:cs="Times New Roman"/>
          <w:sz w:val="28"/>
          <w:szCs w:val="21"/>
        </w:rPr>
        <w:t>），零星分布于矿区浅表，岩性为红褐色残坡积粘土。粘土呈松散土状，粒度较细，塑性较好，手搓有弱砂感，厚度0～5.5m，第四系覆盖层对采矿影响较小，因面积较小，图上未圈出。</w:t>
      </w:r>
    </w:p>
    <w:p w14:paraId="1AC1388E">
      <w:pPr>
        <w:keepNext w:val="0"/>
        <w:keepLines w:val="0"/>
        <w:pageBreakBefore w:val="0"/>
        <w:widowControl w:val="0"/>
        <w:kinsoku/>
        <w:overflowPunct/>
        <w:topLinePunct w:val="0"/>
        <w:autoSpaceDE/>
        <w:autoSpaceDN/>
        <w:bidi w:val="0"/>
        <w:adjustRightInd w:val="0"/>
        <w:snapToGrid w:val="0"/>
        <w:spacing w:line="360" w:lineRule="auto"/>
        <w:ind w:firstLine="560" w:firstLineChars="200"/>
        <w:textAlignment w:val="auto"/>
        <w:rPr>
          <w:rFonts w:hint="default" w:ascii="Times New Roman" w:hAnsi="Times New Roman" w:eastAsia="宋体" w:cs="Times New Roman"/>
          <w:kern w:val="0"/>
          <w:sz w:val="28"/>
          <w:szCs w:val="21"/>
          <w:lang w:eastAsia="zh-CN"/>
        </w:rPr>
      </w:pPr>
      <w:r>
        <w:rPr>
          <w:rFonts w:hint="default" w:ascii="Times New Roman" w:hAnsi="Times New Roman" w:eastAsia="宋体" w:cs="Times New Roman"/>
          <w:sz w:val="28"/>
          <w:szCs w:val="21"/>
        </w:rPr>
        <w:t>矿区内矿体地层出露厚度较大，延深较大，含矿层位分布于整个矿区范围内并向外延伸数公里，最低开采标高及矿区范围外仍然为三叠系中统个旧组第四段（T</w:t>
      </w:r>
      <w:r>
        <w:rPr>
          <w:rFonts w:hint="default" w:ascii="Times New Roman" w:hAnsi="Times New Roman" w:eastAsia="宋体" w:cs="Times New Roman"/>
          <w:sz w:val="28"/>
          <w:szCs w:val="21"/>
          <w:vertAlign w:val="subscript"/>
        </w:rPr>
        <w:t>2</w:t>
      </w:r>
      <w:r>
        <w:rPr>
          <w:rFonts w:hint="default" w:ascii="Times New Roman" w:hAnsi="Times New Roman" w:eastAsia="宋体" w:cs="Times New Roman"/>
          <w:i/>
          <w:sz w:val="28"/>
          <w:szCs w:val="21"/>
        </w:rPr>
        <w:t>g</w:t>
      </w:r>
      <w:r>
        <w:rPr>
          <w:rFonts w:hint="default" w:ascii="Times New Roman" w:hAnsi="Times New Roman" w:eastAsia="宋体" w:cs="Times New Roman"/>
          <w:sz w:val="28"/>
          <w:szCs w:val="21"/>
          <w:vertAlign w:val="superscript"/>
        </w:rPr>
        <w:t>d</w:t>
      </w:r>
      <w:r>
        <w:rPr>
          <w:rFonts w:hint="default" w:ascii="Times New Roman" w:hAnsi="Times New Roman" w:eastAsia="宋体" w:cs="Times New Roman"/>
          <w:sz w:val="28"/>
          <w:szCs w:val="21"/>
        </w:rPr>
        <w:t>）</w:t>
      </w:r>
      <w:r>
        <w:rPr>
          <w:rFonts w:hint="default" w:ascii="Times New Roman" w:hAnsi="Times New Roman" w:eastAsia="宋体" w:cs="Times New Roman"/>
          <w:kern w:val="0"/>
          <w:sz w:val="28"/>
          <w:szCs w:val="21"/>
        </w:rPr>
        <w:t>白云岩，矿体</w:t>
      </w:r>
      <w:r>
        <w:rPr>
          <w:rFonts w:hint="default" w:ascii="Times New Roman" w:hAnsi="Times New Roman" w:eastAsia="宋体" w:cs="Times New Roman"/>
          <w:sz w:val="28"/>
          <w:szCs w:val="21"/>
        </w:rPr>
        <w:t>围岩</w:t>
      </w:r>
      <w:r>
        <w:rPr>
          <w:rFonts w:hint="default" w:ascii="Times New Roman" w:hAnsi="Times New Roman" w:eastAsia="宋体" w:cs="Times New Roman"/>
          <w:kern w:val="0"/>
          <w:sz w:val="28"/>
          <w:szCs w:val="21"/>
        </w:rPr>
        <w:t>均为白云岩，矿体部分裂隙充填有少量的泥质物</w:t>
      </w:r>
      <w:r>
        <w:rPr>
          <w:rFonts w:hint="default" w:ascii="Times New Roman" w:hAnsi="Times New Roman" w:eastAsia="宋体" w:cs="Times New Roman"/>
          <w:kern w:val="0"/>
          <w:sz w:val="28"/>
          <w:szCs w:val="21"/>
          <w:lang w:eastAsia="zh-CN"/>
        </w:rPr>
        <w:t>。</w:t>
      </w:r>
    </w:p>
    <w:p w14:paraId="6A6C07B1">
      <w:pPr>
        <w:keepNext w:val="0"/>
        <w:keepLines w:val="0"/>
        <w:pageBreakBefore w:val="0"/>
        <w:widowControl w:val="0"/>
        <w:kinsoku/>
        <w:overflowPunct/>
        <w:topLinePunct w:val="0"/>
        <w:autoSpaceDE/>
        <w:autoSpaceDN/>
        <w:bidi w:val="0"/>
        <w:adjustRightInd w:val="0"/>
        <w:snapToGrid w:val="0"/>
        <w:spacing w:line="360" w:lineRule="auto"/>
        <w:ind w:firstLine="562" w:firstLineChars="200"/>
        <w:textAlignment w:val="auto"/>
        <w:outlineLvl w:val="3"/>
        <w:rPr>
          <w:rFonts w:hint="default"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2.3.</w:t>
      </w:r>
      <w:r>
        <w:rPr>
          <w:rFonts w:hint="default" w:ascii="Times New Roman" w:hAnsi="Times New Roman" w:cs="Times New Roman"/>
          <w:b/>
          <w:bCs/>
          <w:sz w:val="28"/>
          <w:szCs w:val="28"/>
          <w:lang w:val="en-US" w:eastAsia="zh-CN"/>
        </w:rPr>
        <w:t>3</w:t>
      </w:r>
      <w:r>
        <w:rPr>
          <w:rFonts w:hint="default" w:ascii="Times New Roman" w:hAnsi="Times New Roman" w:cs="Times New Roman"/>
          <w:b/>
          <w:bCs/>
          <w:sz w:val="28"/>
          <w:szCs w:val="28"/>
        </w:rPr>
        <w:t>.</w:t>
      </w:r>
      <w:r>
        <w:rPr>
          <w:rFonts w:hint="default" w:ascii="Times New Roman" w:hAnsi="Times New Roman" w:cs="Times New Roman"/>
          <w:b/>
          <w:bCs/>
          <w:sz w:val="28"/>
          <w:szCs w:val="28"/>
          <w:lang w:val="en-US" w:eastAsia="zh-CN"/>
        </w:rPr>
        <w:t>6矿石加工技术性能</w:t>
      </w:r>
    </w:p>
    <w:p w14:paraId="37E7B1E8">
      <w:pPr>
        <w:keepNext w:val="0"/>
        <w:keepLines w:val="0"/>
        <w:pageBreakBefore w:val="0"/>
        <w:widowControl w:val="0"/>
        <w:kinsoku/>
        <w:overflowPunct/>
        <w:topLinePunct w:val="0"/>
        <w:autoSpaceDE/>
        <w:autoSpaceDN/>
        <w:bidi w:val="0"/>
        <w:adjustRightInd w:val="0"/>
        <w:snapToGrid w:val="0"/>
        <w:spacing w:line="360" w:lineRule="auto"/>
        <w:ind w:firstLine="560" w:firstLineChars="200"/>
        <w:textAlignment w:val="auto"/>
        <w:rPr>
          <w:rFonts w:hint="default" w:ascii="Times New Roman" w:hAnsi="Times New Roman" w:eastAsia="宋体" w:cs="Times New Roman"/>
          <w:kern w:val="0"/>
          <w:sz w:val="28"/>
          <w:szCs w:val="21"/>
          <w:lang w:val="en-US" w:eastAsia="zh-CN"/>
        </w:rPr>
      </w:pPr>
      <w:r>
        <w:rPr>
          <w:rFonts w:hint="default" w:ascii="Times New Roman" w:hAnsi="Times New Roman" w:eastAsia="宋体" w:cs="Times New Roman"/>
          <w:kern w:val="0"/>
          <w:sz w:val="28"/>
          <w:szCs w:val="21"/>
          <w:lang w:val="en-US" w:eastAsia="zh-CN"/>
        </w:rPr>
        <w:t>弥勒市小沙冲砂场作为普通建筑材料用砂石料原产地，开采矿石为受构造运动挤压破碎的白云岩。根据钻孔岩芯结果表明，矿区范围内可采矿石均为碎裂白云岩，受构造运动及风化作用影响，矿石多成碎块状、角砾状。矿山矿石加工程序简单，无需选矿，只需通过机械破碎筛分成建筑企业需求的粒度即可。</w:t>
      </w:r>
    </w:p>
    <w:p w14:paraId="62E501E9">
      <w:pPr>
        <w:pStyle w:val="4"/>
        <w:spacing w:before="0" w:after="0" w:line="360" w:lineRule="auto"/>
        <w:rPr>
          <w:rFonts w:hint="default" w:ascii="Times New Roman" w:hAnsi="Times New Roman" w:cs="Times New Roman"/>
          <w:sz w:val="28"/>
          <w:szCs w:val="28"/>
        </w:rPr>
      </w:pPr>
      <w:bookmarkStart w:id="189" w:name="_Toc518071415"/>
      <w:bookmarkStart w:id="190" w:name="_Toc1244"/>
      <w:r>
        <w:rPr>
          <w:rFonts w:hint="default" w:ascii="Times New Roman" w:hAnsi="Times New Roman" w:cs="Times New Roman"/>
          <w:sz w:val="28"/>
          <w:szCs w:val="28"/>
        </w:rPr>
        <w:t>2.3.</w:t>
      </w:r>
      <w:r>
        <w:rPr>
          <w:rFonts w:hint="default" w:ascii="Times New Roman" w:hAnsi="Times New Roman" w:cs="Times New Roman"/>
          <w:sz w:val="28"/>
          <w:szCs w:val="28"/>
          <w:lang w:val="en-US" w:eastAsia="zh-CN"/>
        </w:rPr>
        <w:t>4</w:t>
      </w:r>
      <w:r>
        <w:rPr>
          <w:rFonts w:hint="default" w:ascii="Times New Roman" w:hAnsi="Times New Roman" w:cs="Times New Roman"/>
          <w:sz w:val="28"/>
          <w:szCs w:val="28"/>
        </w:rPr>
        <w:t>开采技术条件</w:t>
      </w:r>
      <w:bookmarkEnd w:id="189"/>
      <w:bookmarkEnd w:id="190"/>
    </w:p>
    <w:p w14:paraId="057B39FA">
      <w:pPr>
        <w:spacing w:line="360" w:lineRule="auto"/>
        <w:ind w:firstLine="562" w:firstLineChars="200"/>
        <w:outlineLvl w:val="3"/>
        <w:rPr>
          <w:rFonts w:hint="default" w:ascii="Times New Roman" w:hAnsi="Times New Roman" w:cs="Times New Roman"/>
          <w:b/>
          <w:bCs/>
          <w:sz w:val="28"/>
          <w:szCs w:val="28"/>
        </w:rPr>
      </w:pPr>
      <w:r>
        <w:rPr>
          <w:rFonts w:hint="default" w:ascii="Times New Roman" w:hAnsi="Times New Roman" w:cs="Times New Roman"/>
          <w:b/>
          <w:bCs/>
          <w:sz w:val="28"/>
          <w:szCs w:val="28"/>
        </w:rPr>
        <w:t>2.3.</w:t>
      </w:r>
      <w:r>
        <w:rPr>
          <w:rFonts w:hint="default" w:ascii="Times New Roman" w:hAnsi="Times New Roman" w:cs="Times New Roman"/>
          <w:b/>
          <w:bCs/>
          <w:sz w:val="28"/>
          <w:szCs w:val="28"/>
          <w:lang w:val="en-US" w:eastAsia="zh-CN"/>
        </w:rPr>
        <w:t>4</w:t>
      </w:r>
      <w:r>
        <w:rPr>
          <w:rFonts w:hint="default" w:ascii="Times New Roman" w:hAnsi="Times New Roman" w:cs="Times New Roman"/>
          <w:b/>
          <w:bCs/>
          <w:sz w:val="28"/>
          <w:szCs w:val="28"/>
        </w:rPr>
        <w:t>.1水文地质条件</w:t>
      </w:r>
    </w:p>
    <w:p w14:paraId="0D360E3E">
      <w:pPr>
        <w:adjustRightInd w:val="0"/>
        <w:snapToGrid w:val="0"/>
        <w:spacing w:line="360" w:lineRule="auto"/>
        <w:ind w:firstLine="560" w:firstLineChars="200"/>
        <w:rPr>
          <w:rFonts w:hint="default" w:ascii="Times New Roman" w:hAnsi="Times New Roman" w:cs="Times New Roman"/>
          <w:sz w:val="28"/>
          <w:szCs w:val="28"/>
        </w:rPr>
      </w:pPr>
      <w:r>
        <w:rPr>
          <w:rFonts w:hint="default" w:ascii="Times New Roman" w:hAnsi="Times New Roman" w:cs="Times New Roman"/>
          <w:sz w:val="28"/>
          <w:szCs w:val="28"/>
          <w:lang w:eastAsia="zh-CN"/>
        </w:rPr>
        <w:t>（</w:t>
      </w:r>
      <w:r>
        <w:rPr>
          <w:rFonts w:hint="default" w:ascii="Times New Roman" w:hAnsi="Times New Roman" w:cs="Times New Roman"/>
          <w:sz w:val="28"/>
          <w:szCs w:val="28"/>
          <w:lang w:val="en-US" w:eastAsia="zh-CN"/>
        </w:rPr>
        <w:t>1</w:t>
      </w:r>
      <w:r>
        <w:rPr>
          <w:rFonts w:hint="default" w:ascii="Times New Roman" w:hAnsi="Times New Roman" w:cs="Times New Roman"/>
          <w:sz w:val="28"/>
          <w:szCs w:val="28"/>
          <w:lang w:eastAsia="zh-CN"/>
        </w:rPr>
        <w:t>）</w:t>
      </w:r>
      <w:r>
        <w:rPr>
          <w:rFonts w:hint="default" w:ascii="Times New Roman" w:hAnsi="Times New Roman" w:cs="Times New Roman"/>
          <w:sz w:val="28"/>
          <w:szCs w:val="28"/>
          <w:lang w:val="en-US" w:eastAsia="zh-CN"/>
        </w:rPr>
        <w:t>区域</w:t>
      </w:r>
      <w:r>
        <w:rPr>
          <w:rFonts w:hint="default" w:ascii="Times New Roman" w:hAnsi="Times New Roman" w:cs="Times New Roman"/>
          <w:sz w:val="28"/>
          <w:szCs w:val="28"/>
        </w:rPr>
        <w:t>水文地质</w:t>
      </w:r>
    </w:p>
    <w:p w14:paraId="274D3A86">
      <w:pPr>
        <w:adjustRightInd w:val="0"/>
        <w:snapToGrid w:val="0"/>
        <w:spacing w:line="360" w:lineRule="auto"/>
        <w:ind w:firstLine="560" w:firstLineChars="200"/>
        <w:rPr>
          <w:rFonts w:hint="default" w:ascii="Times New Roman" w:hAnsi="Times New Roman" w:eastAsia="宋体" w:cs="Times New Roman"/>
          <w:sz w:val="28"/>
          <w:szCs w:val="21"/>
        </w:rPr>
      </w:pPr>
      <w:r>
        <w:rPr>
          <w:rFonts w:hint="default" w:ascii="Times New Roman" w:hAnsi="Times New Roman" w:eastAsia="宋体" w:cs="Times New Roman"/>
          <w:sz w:val="28"/>
          <w:szCs w:val="21"/>
        </w:rPr>
        <w:t>区域上地处滇东高原的一部分，受南盘江及其支流的切割，地形高差较大，高原面被强烈剥蚀、分割，形成山谷相间的中山中低山地形与小型盆地（坝子）相间的地貌类型。地势北高南低，东西高、中间低凹，形成弥勒、竹朋、虹溪等盆地。境内东西两山由北向南走向，成三面环绕市境。最高山峰新哨布龙金顶山，主峰海拔2315m；最低为东山乡与丘北县舍得接界的河谷地带，海拔870m。弥勒境内地形地貌复杂，形态多样，根据成因及形态不同，主要分为构造剥蚀地貌、河流侵蚀地貌、岩溶地貌、构造溶蚀和断陷湖积盆地等四种类型。</w:t>
      </w:r>
    </w:p>
    <w:p w14:paraId="583373F4">
      <w:pPr>
        <w:adjustRightInd w:val="0"/>
        <w:snapToGrid w:val="0"/>
        <w:spacing w:line="360" w:lineRule="auto"/>
        <w:ind w:firstLine="560" w:firstLineChars="200"/>
        <w:rPr>
          <w:rFonts w:hint="default" w:ascii="Times New Roman" w:hAnsi="Times New Roman" w:eastAsia="宋体" w:cs="Times New Roman"/>
          <w:sz w:val="28"/>
          <w:szCs w:val="21"/>
        </w:rPr>
      </w:pPr>
      <w:r>
        <w:rPr>
          <w:rFonts w:hint="default" w:ascii="Times New Roman" w:hAnsi="Times New Roman" w:eastAsia="宋体" w:cs="Times New Roman"/>
          <w:sz w:val="28"/>
          <w:szCs w:val="21"/>
        </w:rPr>
        <w:t>（</w:t>
      </w:r>
      <w:r>
        <w:rPr>
          <w:rFonts w:hint="default" w:ascii="Times New Roman" w:hAnsi="Times New Roman" w:cs="Times New Roman"/>
          <w:sz w:val="28"/>
          <w:szCs w:val="21"/>
          <w:lang w:val="en-US" w:eastAsia="zh-CN"/>
        </w:rPr>
        <w:t>2</w:t>
      </w:r>
      <w:r>
        <w:rPr>
          <w:rFonts w:hint="default" w:ascii="Times New Roman" w:hAnsi="Times New Roman" w:eastAsia="宋体" w:cs="Times New Roman"/>
          <w:sz w:val="28"/>
          <w:szCs w:val="21"/>
        </w:rPr>
        <w:t>）矿区气候特征</w:t>
      </w:r>
    </w:p>
    <w:p w14:paraId="318F7C4E">
      <w:pPr>
        <w:adjustRightInd w:val="0"/>
        <w:snapToGrid w:val="0"/>
        <w:spacing w:line="360" w:lineRule="auto"/>
        <w:ind w:firstLine="560" w:firstLineChars="200"/>
        <w:rPr>
          <w:rFonts w:hint="default" w:ascii="Times New Roman" w:hAnsi="Times New Roman" w:eastAsia="宋体" w:cs="Times New Roman"/>
          <w:color w:val="000000"/>
          <w:sz w:val="28"/>
          <w:szCs w:val="21"/>
        </w:rPr>
      </w:pPr>
      <w:r>
        <w:rPr>
          <w:rFonts w:hint="default" w:ascii="Times New Roman" w:hAnsi="Times New Roman" w:eastAsia="宋体" w:cs="Times New Roman"/>
          <w:sz w:val="28"/>
          <w:szCs w:val="28"/>
        </w:rPr>
        <w:t>区域属亚热带湿润季风气候，气候特点是冬无严寒、夏无酷暑、秋凉湿润、雨热同季、干湿季分明。多年平均气温17.3℃，最高年18℃，最低年16.6℃；月平均气温最高为22.2℃，最高月25.1℃，月平均最低为1月9.8℃，最低月6.3℃，极端最高气温36.1℃，极端最低气温－4.5℃年。全年无霜期349天，降雨集中在5～10月，近十年最大降雨量1228.00mm（2018年）、最小降雨量仅为556.60mm（2011年）、平均降水量902.18mm；日最大降雨量218.2mm，日均降雨量104.98mm。风向以西南风为主，年平均风速为2.7m/s，风速最大22m/s。多年平均蒸发量1368.9mm。全年日照时数为2176.4小时，光照充足，霜雪日短，相对湿度74%。弥勒市20年一遇最大1小时降雨量为65.85mm，6小时降雨量为113.34mm，24小时降雨量为130.60mm。</w:t>
      </w:r>
    </w:p>
    <w:p w14:paraId="19345CBA">
      <w:pPr>
        <w:adjustRightInd w:val="0"/>
        <w:snapToGrid w:val="0"/>
        <w:spacing w:line="360" w:lineRule="auto"/>
        <w:ind w:firstLine="560" w:firstLineChars="200"/>
        <w:rPr>
          <w:rFonts w:hint="default" w:ascii="Times New Roman" w:hAnsi="Times New Roman" w:eastAsia="宋体" w:cs="Times New Roman"/>
          <w:sz w:val="28"/>
          <w:szCs w:val="28"/>
        </w:rPr>
      </w:pPr>
      <w:r>
        <w:rPr>
          <w:rFonts w:hint="default" w:ascii="Times New Roman" w:hAnsi="Times New Roman" w:eastAsia="宋体" w:cs="Times New Roman"/>
          <w:sz w:val="28"/>
          <w:szCs w:val="28"/>
        </w:rPr>
        <w:t>（3）岩（矿）层的富水性</w:t>
      </w:r>
    </w:p>
    <w:p w14:paraId="2C8BBCCC">
      <w:pPr>
        <w:wordWrap w:val="0"/>
        <w:adjustRightInd w:val="0"/>
        <w:snapToGrid w:val="0"/>
        <w:spacing w:line="360" w:lineRule="auto"/>
        <w:ind w:firstLine="560" w:firstLineChars="200"/>
        <w:rPr>
          <w:rFonts w:hint="default" w:ascii="Times New Roman" w:hAnsi="Times New Roman" w:eastAsia="宋体" w:cs="Times New Roman"/>
          <w:sz w:val="28"/>
          <w:szCs w:val="21"/>
        </w:rPr>
      </w:pPr>
      <w:r>
        <w:rPr>
          <w:rFonts w:hint="default" w:ascii="Times New Roman" w:hAnsi="Times New Roman" w:eastAsia="宋体" w:cs="Times New Roman"/>
          <w:sz w:val="28"/>
          <w:szCs w:val="21"/>
        </w:rPr>
        <w:t>矿区属南盘江水系，甸溪河流域，甸溪河是南盘江的一条主要支流，流程约96km；甸西河在弥勒盆地由北向南途经竹园、朋普盆地向南东汇入南盘江。矿区为侵蚀溶蚀低中山地貌类型（Ⅰ</w:t>
      </w:r>
      <w:r>
        <w:rPr>
          <w:rFonts w:hint="default" w:ascii="Times New Roman" w:hAnsi="Times New Roman" w:eastAsia="宋体" w:cs="Times New Roman"/>
          <w:sz w:val="28"/>
          <w:szCs w:val="21"/>
          <w:vertAlign w:val="subscript"/>
        </w:rPr>
        <w:t>1</w:t>
      </w:r>
      <w:r>
        <w:rPr>
          <w:rFonts w:hint="default" w:ascii="Times New Roman" w:hAnsi="Times New Roman" w:eastAsia="宋体" w:cs="Times New Roman"/>
          <w:sz w:val="28"/>
          <w:szCs w:val="21"/>
        </w:rPr>
        <w:t>），主要为中生代的碳酸盐岩，构造不发育，岩体多呈条带状排列。地形总体上东高西</w:t>
      </w:r>
      <w:r>
        <w:rPr>
          <w:rFonts w:hint="default" w:ascii="Times New Roman" w:hAnsi="Times New Roman" w:eastAsia="宋体" w:cs="Times New Roman"/>
          <w:sz w:val="28"/>
          <w:szCs w:val="21"/>
          <w:lang w:val="zh-CN"/>
        </w:rPr>
        <w:t>低，</w:t>
      </w:r>
      <w:r>
        <w:rPr>
          <w:rFonts w:hint="default" w:ascii="Times New Roman" w:hAnsi="Times New Roman" w:eastAsia="宋体" w:cs="Times New Roman"/>
          <w:sz w:val="28"/>
          <w:szCs w:val="21"/>
        </w:rPr>
        <w:t>山势变化不大，山体走向多与断裂走向一致。侵蚀溶蚀低中山具有岩溶低中山与侵蚀低中山等方面的特征，相对切割深度小于400m，山体坡度</w:t>
      </w:r>
      <w:r>
        <w:rPr>
          <w:rFonts w:hint="default" w:ascii="Times New Roman" w:hAnsi="Times New Roman" w:eastAsia="宋体" w:cs="Times New Roman"/>
          <w:sz w:val="28"/>
          <w:szCs w:val="21"/>
          <w:lang w:val="zh-CN"/>
        </w:rPr>
        <w:t>5°～20°</w:t>
      </w:r>
      <w:r>
        <w:rPr>
          <w:rFonts w:hint="default" w:ascii="Times New Roman" w:hAnsi="Times New Roman" w:eastAsia="宋体" w:cs="Times New Roman"/>
          <w:sz w:val="28"/>
          <w:szCs w:val="21"/>
        </w:rPr>
        <w:t>左右，岩溶段的沟谷切割深度略大于碎屑岩地段。矿区域上</w:t>
      </w:r>
      <w:r>
        <w:rPr>
          <w:rFonts w:hint="default" w:ascii="Times New Roman" w:hAnsi="Times New Roman" w:eastAsia="宋体" w:cs="Times New Roman"/>
          <w:sz w:val="28"/>
          <w:szCs w:val="21"/>
          <w:lang w:val="zh-CN"/>
        </w:rPr>
        <w:t>最高点位于</w:t>
      </w:r>
      <w:r>
        <w:rPr>
          <w:rFonts w:hint="default" w:ascii="Times New Roman" w:hAnsi="Times New Roman" w:eastAsia="宋体" w:cs="Times New Roman"/>
          <w:sz w:val="28"/>
          <w:szCs w:val="21"/>
        </w:rPr>
        <w:t>7号矿界拐点附近</w:t>
      </w:r>
      <w:r>
        <w:rPr>
          <w:rFonts w:hint="default" w:ascii="Times New Roman" w:hAnsi="Times New Roman" w:eastAsia="宋体" w:cs="Times New Roman"/>
          <w:sz w:val="28"/>
          <w:szCs w:val="21"/>
          <w:lang w:val="zh-CN"/>
        </w:rPr>
        <w:t>，高程为1553m，</w:t>
      </w:r>
      <w:r>
        <w:rPr>
          <w:rFonts w:hint="default" w:ascii="Times New Roman" w:hAnsi="Times New Roman" w:eastAsia="宋体" w:cs="Times New Roman"/>
          <w:sz w:val="28"/>
          <w:szCs w:val="21"/>
        </w:rPr>
        <w:t>最低点位于北西角，</w:t>
      </w:r>
      <w:r>
        <w:rPr>
          <w:rFonts w:hint="default" w:ascii="Times New Roman" w:hAnsi="Times New Roman" w:eastAsia="宋体" w:cs="Times New Roman"/>
          <w:sz w:val="28"/>
          <w:szCs w:val="21"/>
          <w:lang w:val="zh-CN"/>
        </w:rPr>
        <w:t>高程为1</w:t>
      </w:r>
      <w:r>
        <w:rPr>
          <w:rFonts w:hint="default" w:ascii="Times New Roman" w:hAnsi="Times New Roman" w:eastAsia="宋体" w:cs="Times New Roman"/>
          <w:sz w:val="28"/>
          <w:szCs w:val="21"/>
        </w:rPr>
        <w:t>430</w:t>
      </w:r>
      <w:r>
        <w:rPr>
          <w:rFonts w:hint="default" w:ascii="Times New Roman" w:hAnsi="Times New Roman" w:eastAsia="宋体" w:cs="Times New Roman"/>
          <w:sz w:val="28"/>
          <w:szCs w:val="21"/>
          <w:lang w:val="zh-CN"/>
        </w:rPr>
        <w:t>m，相对高差1</w:t>
      </w:r>
      <w:r>
        <w:rPr>
          <w:rFonts w:hint="default" w:ascii="Times New Roman" w:hAnsi="Times New Roman" w:eastAsia="宋体" w:cs="Times New Roman"/>
          <w:sz w:val="28"/>
          <w:szCs w:val="21"/>
        </w:rPr>
        <w:t>23</w:t>
      </w:r>
      <w:r>
        <w:rPr>
          <w:rFonts w:hint="default" w:ascii="Times New Roman" w:hAnsi="Times New Roman" w:eastAsia="宋体" w:cs="Times New Roman"/>
          <w:sz w:val="28"/>
          <w:szCs w:val="21"/>
          <w:lang w:val="zh-CN"/>
        </w:rPr>
        <w:t>m。</w:t>
      </w:r>
      <w:r>
        <w:rPr>
          <w:rFonts w:hint="default" w:ascii="Times New Roman" w:hAnsi="Times New Roman" w:eastAsia="宋体" w:cs="Times New Roman"/>
          <w:sz w:val="28"/>
          <w:szCs w:val="21"/>
        </w:rPr>
        <w:t>矿区北部有跃进大沟，北部地表水主要由沿沟谷低洼地带汇入跃进大沟，最终汇入位于矿区南西部直线距离约4km处的羊街水库，南部地表水主要汇入矿区南侧的小水塘，在顺沟自然排泄，平时也为生产提供用水，为该区域的侵蚀基准面。矿区地表水体不发育，地表水以大气降雨为主。矿区所处位置较高，矿层属区域岩溶含水系统水文地质单元的补给、径流区，地下水埋藏较深，地表无泉出露。雨季时采坑范围的涌水流向西方向，汇聚于低洼沟谷最终流入跃进大沟。</w:t>
      </w:r>
    </w:p>
    <w:p w14:paraId="102F6F0E">
      <w:pPr>
        <w:wordWrap w:val="0"/>
        <w:adjustRightInd w:val="0"/>
        <w:snapToGrid w:val="0"/>
        <w:spacing w:line="360" w:lineRule="auto"/>
        <w:ind w:firstLine="560" w:firstLineChars="200"/>
        <w:rPr>
          <w:rFonts w:hint="default" w:ascii="Times New Roman" w:hAnsi="Times New Roman" w:eastAsia="宋体" w:cs="Times New Roman"/>
          <w:sz w:val="28"/>
          <w:szCs w:val="21"/>
        </w:rPr>
      </w:pPr>
      <w:r>
        <w:rPr>
          <w:rFonts w:hint="default" w:ascii="Times New Roman" w:hAnsi="Times New Roman" w:eastAsia="宋体" w:cs="Times New Roman"/>
          <w:sz w:val="28"/>
          <w:szCs w:val="21"/>
        </w:rPr>
        <w:t>矿区水文地质条件简单，根据矿区出露地层成因类型、岩性组合特征、含水介质、泉水流量结合钻孔揭露水文地质特征、控制水位情况及对矿床充水的影响程度，将矿区地下水划分为松散岩类孔隙水含水层、碳酸盐岩溶裂隙含水层，现分述如下：</w:t>
      </w:r>
    </w:p>
    <w:p w14:paraId="635AAB6B">
      <w:pPr>
        <w:wordWrap w:val="0"/>
        <w:adjustRightInd w:val="0"/>
        <w:snapToGrid w:val="0"/>
        <w:spacing w:line="360" w:lineRule="auto"/>
        <w:ind w:firstLine="560" w:firstLineChars="200"/>
        <w:rPr>
          <w:rFonts w:hint="default" w:ascii="Times New Roman" w:hAnsi="Times New Roman" w:eastAsia="宋体" w:cs="Times New Roman"/>
          <w:sz w:val="28"/>
          <w:szCs w:val="21"/>
        </w:rPr>
      </w:pPr>
      <w:r>
        <w:rPr>
          <w:rFonts w:hint="default" w:ascii="Times New Roman" w:hAnsi="Times New Roman" w:eastAsia="宋体" w:cs="Times New Roman"/>
          <w:sz w:val="28"/>
          <w:szCs w:val="21"/>
        </w:rPr>
        <w:t>a、松散岩类孔隙水</w:t>
      </w:r>
    </w:p>
    <w:p w14:paraId="3447EA99">
      <w:pPr>
        <w:wordWrap w:val="0"/>
        <w:adjustRightInd w:val="0"/>
        <w:snapToGrid w:val="0"/>
        <w:spacing w:line="360" w:lineRule="auto"/>
        <w:ind w:firstLine="560" w:firstLineChars="200"/>
        <w:rPr>
          <w:rFonts w:hint="default" w:ascii="Times New Roman" w:hAnsi="Times New Roman" w:eastAsia="宋体" w:cs="Times New Roman"/>
          <w:bCs/>
          <w:kern w:val="28"/>
          <w:sz w:val="28"/>
          <w:szCs w:val="21"/>
        </w:rPr>
      </w:pPr>
      <w:r>
        <w:rPr>
          <w:rFonts w:hint="default" w:ascii="Times New Roman" w:hAnsi="Times New Roman" w:eastAsia="宋体" w:cs="Times New Roman"/>
          <w:sz w:val="28"/>
          <w:szCs w:val="21"/>
        </w:rPr>
        <w:t>第四系（Q</w:t>
      </w:r>
      <w:r>
        <w:rPr>
          <w:rFonts w:hint="default" w:ascii="Times New Roman" w:hAnsi="Times New Roman" w:eastAsia="宋体" w:cs="Times New Roman"/>
          <w:i/>
          <w:iCs/>
          <w:sz w:val="28"/>
          <w:szCs w:val="21"/>
          <w:vertAlign w:val="superscript"/>
        </w:rPr>
        <w:t>el+dl</w:t>
      </w:r>
      <w:r>
        <w:rPr>
          <w:rFonts w:hint="default" w:ascii="Times New Roman" w:hAnsi="Times New Roman" w:eastAsia="宋体" w:cs="Times New Roman"/>
          <w:sz w:val="28"/>
          <w:szCs w:val="21"/>
        </w:rPr>
        <w:t>）松散岩类孔隙</w:t>
      </w:r>
      <w:r>
        <w:rPr>
          <w:rFonts w:hint="default" w:ascii="Times New Roman" w:hAnsi="Times New Roman" w:eastAsia="宋体" w:cs="Times New Roman"/>
          <w:sz w:val="28"/>
          <w:szCs w:val="21"/>
          <w:lang w:val="zh-CN"/>
        </w:rPr>
        <w:t>水：</w:t>
      </w:r>
      <w:r>
        <w:rPr>
          <w:rFonts w:hint="default" w:ascii="Times New Roman" w:hAnsi="Times New Roman" w:eastAsia="宋体" w:cs="Times New Roman"/>
          <w:sz w:val="28"/>
          <w:szCs w:val="21"/>
        </w:rPr>
        <w:t>零星分布于缓坡及山间盆地，为</w:t>
      </w:r>
      <w:r>
        <w:rPr>
          <w:rFonts w:hint="default" w:ascii="Times New Roman" w:hAnsi="Times New Roman" w:eastAsia="宋体" w:cs="Times New Roman"/>
          <w:sz w:val="28"/>
          <w:szCs w:val="21"/>
          <w:lang w:val="en-GB"/>
        </w:rPr>
        <w:t>黄红色砂质粘土</w:t>
      </w:r>
      <w:r>
        <w:rPr>
          <w:rFonts w:hint="default" w:ascii="Times New Roman" w:hAnsi="Times New Roman" w:eastAsia="宋体" w:cs="Times New Roman"/>
          <w:sz w:val="28"/>
          <w:szCs w:val="21"/>
        </w:rPr>
        <w:t>。层厚0～5.5m，结构松散、孔隙度大，含弱孔隙水</w:t>
      </w:r>
      <w:r>
        <w:rPr>
          <w:rFonts w:hint="default" w:ascii="Times New Roman" w:hAnsi="Times New Roman" w:eastAsia="宋体" w:cs="Times New Roman"/>
          <w:bCs/>
          <w:kern w:val="28"/>
          <w:sz w:val="28"/>
          <w:szCs w:val="21"/>
        </w:rPr>
        <w:t>，均匀性差，连通性差，</w:t>
      </w:r>
      <w:r>
        <w:rPr>
          <w:rFonts w:hint="default" w:ascii="Times New Roman" w:hAnsi="Times New Roman" w:eastAsia="宋体" w:cs="Times New Roman"/>
          <w:sz w:val="28"/>
          <w:szCs w:val="21"/>
        </w:rPr>
        <w:t>接受大气降水后，平缓处大部分转化为地下水。该层地下水水位埋藏浅，渗透性强，且含水层（组）厚度较薄，具有透水不含水之特点，总体富水性弱。泉水流量典型值0.18L/s，单位涌水量0.65L/s·m。</w:t>
      </w:r>
      <w:r>
        <w:rPr>
          <w:rFonts w:hint="default" w:ascii="Times New Roman" w:hAnsi="Times New Roman" w:eastAsia="宋体" w:cs="Times New Roman"/>
          <w:kern w:val="0"/>
          <w:sz w:val="28"/>
          <w:szCs w:val="21"/>
        </w:rPr>
        <w:t>地下径流模数0.08L/s·平方公里，</w:t>
      </w:r>
      <w:r>
        <w:rPr>
          <w:rFonts w:hint="default" w:ascii="Times New Roman" w:hAnsi="Times New Roman" w:eastAsia="宋体" w:cs="Times New Roman"/>
          <w:sz w:val="28"/>
          <w:szCs w:val="21"/>
          <w:lang w:eastAsia="zh-CN"/>
        </w:rPr>
        <w:t>该次</w:t>
      </w:r>
      <w:r>
        <w:rPr>
          <w:rFonts w:hint="default" w:ascii="Times New Roman" w:hAnsi="Times New Roman" w:eastAsia="宋体" w:cs="Times New Roman"/>
          <w:sz w:val="28"/>
          <w:szCs w:val="21"/>
        </w:rPr>
        <w:t>调查矿区范围及附近未见泉点出露</w:t>
      </w:r>
      <w:r>
        <w:rPr>
          <w:rFonts w:hint="default" w:ascii="Times New Roman" w:hAnsi="Times New Roman" w:eastAsia="宋体" w:cs="Times New Roman"/>
          <w:bCs/>
          <w:kern w:val="28"/>
          <w:sz w:val="28"/>
          <w:szCs w:val="21"/>
        </w:rPr>
        <w:t>。</w:t>
      </w:r>
    </w:p>
    <w:p w14:paraId="31BB2B46">
      <w:pPr>
        <w:wordWrap w:val="0"/>
        <w:adjustRightInd w:val="0"/>
        <w:snapToGrid w:val="0"/>
        <w:spacing w:line="360" w:lineRule="auto"/>
        <w:ind w:firstLine="560" w:firstLineChars="200"/>
        <w:rPr>
          <w:rFonts w:hint="default" w:ascii="Times New Roman" w:hAnsi="Times New Roman" w:eastAsia="宋体" w:cs="Times New Roman"/>
          <w:kern w:val="28"/>
          <w:sz w:val="28"/>
          <w:szCs w:val="21"/>
        </w:rPr>
      </w:pPr>
      <w:r>
        <w:rPr>
          <w:rFonts w:hint="default" w:ascii="Times New Roman" w:hAnsi="Times New Roman" w:eastAsia="宋体" w:cs="Times New Roman"/>
          <w:bCs/>
          <w:kern w:val="28"/>
          <w:sz w:val="28"/>
          <w:szCs w:val="21"/>
        </w:rPr>
        <w:t>b、</w:t>
      </w:r>
      <w:r>
        <w:rPr>
          <w:rFonts w:hint="default" w:ascii="Times New Roman" w:hAnsi="Times New Roman" w:eastAsia="宋体" w:cs="Times New Roman"/>
          <w:sz w:val="28"/>
          <w:szCs w:val="21"/>
        </w:rPr>
        <w:t>碳酸盐岩溶裂隙含水层</w:t>
      </w:r>
    </w:p>
    <w:p w14:paraId="1C2CFBF8">
      <w:pPr>
        <w:adjustRightInd w:val="0"/>
        <w:snapToGrid w:val="0"/>
        <w:spacing w:line="360" w:lineRule="auto"/>
        <w:ind w:firstLine="560" w:firstLineChars="200"/>
        <w:rPr>
          <w:rFonts w:hint="default" w:ascii="Times New Roman" w:hAnsi="Times New Roman" w:eastAsia="宋体" w:cs="Times New Roman"/>
          <w:sz w:val="28"/>
          <w:szCs w:val="28"/>
        </w:rPr>
      </w:pPr>
      <w:r>
        <w:rPr>
          <w:rFonts w:hint="default" w:ascii="Times New Roman" w:hAnsi="Times New Roman" w:eastAsia="宋体" w:cs="Times New Roman"/>
          <w:sz w:val="28"/>
          <w:szCs w:val="21"/>
        </w:rPr>
        <w:t>三叠系中统个旧组第四段（T</w:t>
      </w:r>
      <w:r>
        <w:rPr>
          <w:rFonts w:hint="default" w:ascii="Times New Roman" w:hAnsi="Times New Roman" w:eastAsia="宋体" w:cs="Times New Roman"/>
          <w:sz w:val="28"/>
          <w:szCs w:val="21"/>
          <w:vertAlign w:val="subscript"/>
        </w:rPr>
        <w:t>2</w:t>
      </w:r>
      <w:r>
        <w:rPr>
          <w:rFonts w:hint="default" w:ascii="Times New Roman" w:hAnsi="Times New Roman" w:eastAsia="宋体" w:cs="Times New Roman"/>
          <w:sz w:val="28"/>
          <w:szCs w:val="21"/>
        </w:rPr>
        <w:t>g</w:t>
      </w:r>
      <w:r>
        <w:rPr>
          <w:rFonts w:hint="default" w:ascii="Times New Roman" w:hAnsi="Times New Roman" w:eastAsia="宋体" w:cs="Times New Roman"/>
          <w:sz w:val="28"/>
          <w:szCs w:val="21"/>
          <w:vertAlign w:val="superscript"/>
        </w:rPr>
        <w:t>d</w:t>
      </w:r>
      <w:r>
        <w:rPr>
          <w:rFonts w:hint="default" w:ascii="Times New Roman" w:hAnsi="Times New Roman" w:eastAsia="宋体" w:cs="Times New Roman"/>
          <w:sz w:val="28"/>
          <w:szCs w:val="21"/>
        </w:rPr>
        <w:t>）</w:t>
      </w:r>
      <w:r>
        <w:rPr>
          <w:rFonts w:hint="default" w:ascii="Times New Roman" w:hAnsi="Times New Roman" w:eastAsia="宋体" w:cs="Times New Roman"/>
          <w:sz w:val="28"/>
          <w:szCs w:val="21"/>
          <w:lang w:val="zh-CN"/>
        </w:rPr>
        <w:t>碳酸盐</w:t>
      </w:r>
      <w:r>
        <w:rPr>
          <w:rFonts w:hint="default" w:ascii="Times New Roman" w:hAnsi="Times New Roman" w:eastAsia="宋体" w:cs="Times New Roman"/>
          <w:sz w:val="28"/>
          <w:szCs w:val="21"/>
        </w:rPr>
        <w:t>岩溶裂隙</w:t>
      </w:r>
      <w:r>
        <w:rPr>
          <w:rFonts w:hint="default" w:ascii="Times New Roman" w:hAnsi="Times New Roman" w:eastAsia="宋体" w:cs="Times New Roman"/>
          <w:sz w:val="28"/>
          <w:szCs w:val="21"/>
          <w:lang w:val="zh-CN"/>
        </w:rPr>
        <w:t>含水层</w:t>
      </w:r>
      <w:r>
        <w:rPr>
          <w:rFonts w:hint="default" w:ascii="Times New Roman" w:hAnsi="Times New Roman" w:eastAsia="宋体" w:cs="Times New Roman"/>
          <w:sz w:val="28"/>
          <w:szCs w:val="21"/>
        </w:rPr>
        <w:t>：</w:t>
      </w:r>
      <w:r>
        <w:rPr>
          <w:rFonts w:hint="default" w:ascii="Times New Roman" w:hAnsi="Times New Roman" w:eastAsia="宋体" w:cs="Times New Roman"/>
          <w:bCs/>
          <w:sz w:val="28"/>
          <w:szCs w:val="21"/>
        </w:rPr>
        <w:t>出露整个矿区范围内，</w:t>
      </w:r>
      <w:r>
        <w:rPr>
          <w:rFonts w:hint="default" w:ascii="Times New Roman" w:hAnsi="Times New Roman" w:eastAsia="宋体" w:cs="Times New Roman"/>
          <w:sz w:val="28"/>
          <w:szCs w:val="21"/>
        </w:rPr>
        <w:t>为受地质运动挤压形成的灰色、深灰色碎裂白云岩，厚</w:t>
      </w:r>
      <w:r>
        <w:rPr>
          <w:rFonts w:hint="default" w:ascii="Times New Roman" w:hAnsi="Times New Roman" w:eastAsia="仿宋" w:cs="Times New Roman"/>
          <w:color w:val="000000"/>
          <w:sz w:val="28"/>
          <w:szCs w:val="28"/>
        </w:rPr>
        <w:t>度</w:t>
      </w:r>
      <w:r>
        <w:rPr>
          <w:rFonts w:hint="default" w:ascii="Times New Roman" w:hAnsi="Times New Roman" w:eastAsia="宋体" w:cs="Times New Roman"/>
          <w:sz w:val="28"/>
          <w:szCs w:val="21"/>
        </w:rPr>
        <w:t>165m</w:t>
      </w:r>
      <w:r>
        <w:rPr>
          <w:rFonts w:hint="default" w:ascii="Times New Roman" w:hAnsi="Times New Roman" w:eastAsia="宋体" w:cs="Times New Roman"/>
          <w:kern w:val="0"/>
          <w:sz w:val="28"/>
          <w:szCs w:val="21"/>
          <w:lang w:val="zh-CN"/>
        </w:rPr>
        <w:t>。为碳酸盐岩</w:t>
      </w:r>
      <w:r>
        <w:rPr>
          <w:rFonts w:hint="default" w:ascii="Times New Roman" w:hAnsi="Times New Roman" w:eastAsia="宋体" w:cs="Times New Roman"/>
          <w:kern w:val="0"/>
          <w:sz w:val="28"/>
          <w:szCs w:val="21"/>
        </w:rPr>
        <w:t>裂隙岩</w:t>
      </w:r>
      <w:r>
        <w:rPr>
          <w:rFonts w:hint="default" w:ascii="Times New Roman" w:hAnsi="Times New Roman" w:eastAsia="宋体" w:cs="Times New Roman"/>
          <w:kern w:val="0"/>
          <w:sz w:val="28"/>
          <w:szCs w:val="21"/>
          <w:lang w:val="zh-CN"/>
        </w:rPr>
        <w:t>溶含水层，含水层均匀性较差，连通性较好，透水性强，富水性</w:t>
      </w:r>
      <w:r>
        <w:rPr>
          <w:rFonts w:hint="default" w:ascii="Times New Roman" w:hAnsi="Times New Roman" w:eastAsia="宋体" w:cs="Times New Roman"/>
          <w:sz w:val="28"/>
          <w:szCs w:val="21"/>
        </w:rPr>
        <w:t>弱</w:t>
      </w:r>
      <w:r>
        <w:rPr>
          <w:rFonts w:hint="default" w:ascii="Times New Roman" w:hAnsi="Times New Roman" w:cs="Times New Roman"/>
          <w:sz w:val="28"/>
          <w:szCs w:val="21"/>
          <w:lang w:eastAsia="zh-CN"/>
        </w:rPr>
        <w:t>－</w:t>
      </w:r>
      <w:r>
        <w:rPr>
          <w:rFonts w:hint="default" w:ascii="Times New Roman" w:hAnsi="Times New Roman" w:eastAsia="宋体" w:cs="Times New Roman"/>
          <w:sz w:val="28"/>
          <w:szCs w:val="21"/>
        </w:rPr>
        <w:t>中等</w:t>
      </w:r>
      <w:r>
        <w:rPr>
          <w:rFonts w:hint="default" w:ascii="Times New Roman" w:hAnsi="Times New Roman" w:eastAsia="宋体" w:cs="Times New Roman"/>
          <w:kern w:val="0"/>
          <w:sz w:val="28"/>
          <w:szCs w:val="21"/>
          <w:lang w:val="zh-CN"/>
        </w:rPr>
        <w:t>，</w:t>
      </w:r>
      <w:r>
        <w:rPr>
          <w:rFonts w:hint="default" w:ascii="Times New Roman" w:hAnsi="Times New Roman" w:eastAsia="宋体" w:cs="Times New Roman"/>
          <w:kern w:val="0"/>
          <w:sz w:val="28"/>
          <w:szCs w:val="21"/>
        </w:rPr>
        <w:t>地下径流模数0.86～3.21L/s·平方公里。</w:t>
      </w:r>
      <w:r>
        <w:rPr>
          <w:rFonts w:hint="default" w:ascii="Times New Roman" w:hAnsi="Times New Roman" w:eastAsia="宋体" w:cs="Times New Roman"/>
          <w:sz w:val="28"/>
          <w:szCs w:val="21"/>
        </w:rPr>
        <w:t>地下岩溶、暗河不发育，水位埋藏较深，一般大于150m。富水性极不均匀，暗河、泉流量大于10～245.67L/s。水化学类型HCO</w:t>
      </w:r>
      <w:r>
        <w:rPr>
          <w:rFonts w:hint="default" w:ascii="Times New Roman" w:hAnsi="Times New Roman" w:eastAsia="宋体" w:cs="Times New Roman"/>
          <w:sz w:val="28"/>
          <w:szCs w:val="21"/>
          <w:vertAlign w:val="subscript"/>
        </w:rPr>
        <w:t>3</w:t>
      </w:r>
      <w:r>
        <w:rPr>
          <w:rFonts w:hint="default" w:ascii="Times New Roman" w:hAnsi="Times New Roman" w:eastAsia="宋体" w:cs="Times New Roman"/>
          <w:sz w:val="28"/>
          <w:szCs w:val="21"/>
        </w:rPr>
        <w:t>-Ca.Mg、HCO</w:t>
      </w:r>
      <w:r>
        <w:rPr>
          <w:rFonts w:hint="default" w:ascii="Times New Roman" w:hAnsi="Times New Roman" w:eastAsia="宋体" w:cs="Times New Roman"/>
          <w:sz w:val="28"/>
          <w:szCs w:val="21"/>
          <w:vertAlign w:val="subscript"/>
        </w:rPr>
        <w:t>3</w:t>
      </w:r>
      <w:r>
        <w:rPr>
          <w:rFonts w:hint="default" w:ascii="Times New Roman" w:hAnsi="Times New Roman" w:eastAsia="宋体" w:cs="Times New Roman"/>
          <w:sz w:val="28"/>
          <w:szCs w:val="21"/>
        </w:rPr>
        <w:t>-Ca型，矿化度0.02</w:t>
      </w:r>
      <w:r>
        <w:rPr>
          <w:rFonts w:hint="default" w:ascii="Times New Roman" w:hAnsi="Times New Roman" w:cs="Times New Roman"/>
          <w:sz w:val="28"/>
          <w:szCs w:val="21"/>
          <w:lang w:eastAsia="zh-CN"/>
        </w:rPr>
        <w:t>—</w:t>
      </w:r>
      <w:r>
        <w:rPr>
          <w:rFonts w:hint="default" w:ascii="Times New Roman" w:hAnsi="Times New Roman" w:eastAsia="宋体" w:cs="Times New Roman"/>
          <w:sz w:val="28"/>
          <w:szCs w:val="21"/>
        </w:rPr>
        <w:t>0.16g/L。矿区开采白云岩处于斜坡地带，地下水径流条件较好，地势相对较高，地下水埋深较深，地下水对矿山开采及运营的影响小，矿区及周围未见地下水出露</w:t>
      </w:r>
      <w:r>
        <w:rPr>
          <w:rFonts w:hint="default" w:ascii="Times New Roman" w:hAnsi="Times New Roman" w:eastAsia="宋体" w:cs="Times New Roman"/>
          <w:sz w:val="28"/>
          <w:szCs w:val="28"/>
        </w:rPr>
        <w:t>。</w:t>
      </w:r>
    </w:p>
    <w:p w14:paraId="678AED40">
      <w:pPr>
        <w:adjustRightInd w:val="0"/>
        <w:snapToGrid w:val="0"/>
        <w:spacing w:line="360" w:lineRule="auto"/>
        <w:ind w:firstLine="560" w:firstLineChars="200"/>
        <w:rPr>
          <w:rFonts w:hint="default" w:ascii="Times New Roman" w:hAnsi="Times New Roman" w:eastAsia="宋体" w:cs="Times New Roman"/>
          <w:sz w:val="28"/>
          <w:szCs w:val="28"/>
        </w:rPr>
      </w:pPr>
      <w:r>
        <w:rPr>
          <w:rFonts w:hint="default" w:ascii="Times New Roman" w:hAnsi="Times New Roman" w:eastAsia="宋体" w:cs="Times New Roman"/>
          <w:sz w:val="28"/>
          <w:szCs w:val="28"/>
        </w:rPr>
        <w:t>（4）构造水文地质特征</w:t>
      </w:r>
    </w:p>
    <w:p w14:paraId="2EFAC91D">
      <w:pPr>
        <w:adjustRightInd w:val="0"/>
        <w:snapToGrid w:val="0"/>
        <w:spacing w:line="360" w:lineRule="auto"/>
        <w:ind w:firstLine="560" w:firstLineChars="200"/>
        <w:rPr>
          <w:rFonts w:hint="default" w:ascii="Times New Roman" w:hAnsi="Times New Roman" w:eastAsia="宋体" w:cs="Times New Roman"/>
          <w:sz w:val="28"/>
          <w:szCs w:val="28"/>
        </w:rPr>
      </w:pPr>
      <w:r>
        <w:rPr>
          <w:rFonts w:hint="default" w:ascii="Times New Roman" w:hAnsi="Times New Roman" w:eastAsia="宋体" w:cs="Times New Roman"/>
          <w:sz w:val="28"/>
          <w:szCs w:val="28"/>
        </w:rPr>
        <w:t>1、断层破碎带水文地质特征</w:t>
      </w:r>
    </w:p>
    <w:p w14:paraId="019997E2">
      <w:pPr>
        <w:adjustRightInd w:val="0"/>
        <w:snapToGrid w:val="0"/>
        <w:spacing w:line="360" w:lineRule="auto"/>
        <w:ind w:firstLine="560" w:firstLineChars="200"/>
        <w:rPr>
          <w:rFonts w:hint="default" w:ascii="Times New Roman" w:hAnsi="Times New Roman" w:eastAsia="宋体" w:cs="Times New Roman"/>
          <w:sz w:val="28"/>
          <w:szCs w:val="28"/>
        </w:rPr>
      </w:pPr>
      <w:r>
        <w:rPr>
          <w:rFonts w:hint="default" w:ascii="Times New Roman" w:hAnsi="Times New Roman" w:eastAsia="宋体" w:cs="Times New Roman"/>
          <w:sz w:val="28"/>
          <w:szCs w:val="28"/>
        </w:rPr>
        <w:t>矿区内断裂构造不发育，距矿区最近的构造为北东向平距约3.7km处旱泥沟断层的次级断层，产状103°∠24°，区域上长约15km，沿北东延伸至图外。根据资料显示沿断层未见泉水出露，构造两盘地层一致、富水性一致，推测该断裂为张性断裂，富水性、导水性与两侧地层基本一致，为导水断层。但距矿区较远，在未来开采过程中对矿床充水基本没有影响。</w:t>
      </w:r>
    </w:p>
    <w:p w14:paraId="05DCB7AB">
      <w:pPr>
        <w:adjustRightInd w:val="0"/>
        <w:snapToGrid w:val="0"/>
        <w:spacing w:line="360" w:lineRule="auto"/>
        <w:ind w:firstLine="560" w:firstLineChars="200"/>
        <w:rPr>
          <w:rFonts w:hint="default" w:ascii="Times New Roman" w:hAnsi="Times New Roman" w:eastAsia="宋体" w:cs="Times New Roman"/>
          <w:sz w:val="28"/>
          <w:szCs w:val="28"/>
        </w:rPr>
      </w:pPr>
      <w:r>
        <w:rPr>
          <w:rFonts w:hint="default" w:ascii="Times New Roman" w:hAnsi="Times New Roman" w:eastAsia="宋体" w:cs="Times New Roman"/>
          <w:sz w:val="28"/>
          <w:szCs w:val="28"/>
        </w:rPr>
        <w:t>2、节理裂隙带水文地质特征</w:t>
      </w:r>
    </w:p>
    <w:p w14:paraId="5D087DF7">
      <w:pPr>
        <w:adjustRightInd w:val="0"/>
        <w:snapToGrid w:val="0"/>
        <w:spacing w:line="360" w:lineRule="auto"/>
        <w:ind w:firstLine="560" w:firstLineChars="200"/>
        <w:rPr>
          <w:rFonts w:hint="default" w:ascii="Times New Roman" w:hAnsi="Times New Roman" w:eastAsia="宋体" w:cs="Times New Roman"/>
          <w:color w:val="000000"/>
          <w:sz w:val="28"/>
          <w:szCs w:val="21"/>
        </w:rPr>
      </w:pPr>
      <w:r>
        <w:rPr>
          <w:rFonts w:hint="default" w:ascii="Times New Roman" w:hAnsi="Times New Roman" w:eastAsia="宋体" w:cs="Times New Roman"/>
          <w:sz w:val="28"/>
          <w:szCs w:val="28"/>
        </w:rPr>
        <w:t>矿权范围内节理裂隙、风化裂隙较发育，尤以浅部为甚，以风化裂隙为主，总体分布广，大部分节理面紧闭，较平直光滑，显示压性、压扭性质，发育密度平均1～8条/m，线裂隙率一般0.15</w:t>
      </w:r>
      <w:r>
        <w:rPr>
          <w:rFonts w:hint="default" w:ascii="Times New Roman" w:hAnsi="Times New Roman" w:cs="Times New Roman"/>
          <w:sz w:val="28"/>
          <w:szCs w:val="28"/>
          <w:lang w:eastAsia="zh-CN"/>
        </w:rPr>
        <w:t>%～</w:t>
      </w:r>
      <w:r>
        <w:rPr>
          <w:rFonts w:hint="default" w:ascii="Times New Roman" w:hAnsi="Times New Roman" w:eastAsia="宋体" w:cs="Times New Roman"/>
          <w:sz w:val="28"/>
          <w:szCs w:val="28"/>
        </w:rPr>
        <w:t>0.35％，裂隙宽1～5mm，1～8条/m。其水文地质特征：沿节理裂隙面往往有微弱水蚀痕迹，表明早期有地下水的活动痕迹，但因处于近地表，节理裂隙往往被泥质充填，使得岩层含水性、透水性极不均匀，影响其含（透）水性；据钻孔简易水文地质资料，钻孔在钻进过程中，动水位变化较大，冲洗液消耗量较大，表明裂隙联通性较好，岩层含（透）水性中等，经24小时静止水位观测，4孔均无地下水位，为干孔，说明地下水位线处于较深处，远低于矿区最低开采标高。</w:t>
      </w:r>
    </w:p>
    <w:p w14:paraId="4613303B">
      <w:pPr>
        <w:adjustRightInd w:val="0"/>
        <w:snapToGrid w:val="0"/>
        <w:spacing w:line="360" w:lineRule="auto"/>
        <w:ind w:firstLine="560" w:firstLineChars="200"/>
        <w:rPr>
          <w:rFonts w:hint="default" w:ascii="Times New Roman" w:hAnsi="Times New Roman" w:eastAsia="宋体" w:cs="Times New Roman"/>
          <w:sz w:val="28"/>
          <w:szCs w:val="21"/>
        </w:rPr>
      </w:pPr>
      <w:r>
        <w:rPr>
          <w:rFonts w:hint="default" w:ascii="Times New Roman" w:hAnsi="Times New Roman" w:eastAsia="宋体" w:cs="Times New Roman"/>
          <w:sz w:val="28"/>
          <w:szCs w:val="21"/>
        </w:rPr>
        <w:t>（5）地下水动态特征及其补给、径流、排泄</w:t>
      </w:r>
    </w:p>
    <w:p w14:paraId="09D90EE4">
      <w:pPr>
        <w:adjustRightInd w:val="0"/>
        <w:snapToGrid w:val="0"/>
        <w:spacing w:line="360" w:lineRule="auto"/>
        <w:ind w:firstLine="560" w:firstLineChars="200"/>
        <w:rPr>
          <w:rFonts w:hint="default" w:ascii="Times New Roman" w:hAnsi="Times New Roman" w:eastAsia="宋体" w:cs="Times New Roman"/>
          <w:sz w:val="28"/>
          <w:szCs w:val="21"/>
        </w:rPr>
      </w:pPr>
      <w:r>
        <w:rPr>
          <w:rFonts w:hint="default" w:ascii="Times New Roman" w:hAnsi="Times New Roman" w:eastAsia="宋体" w:cs="Times New Roman"/>
          <w:sz w:val="28"/>
          <w:szCs w:val="21"/>
        </w:rPr>
        <w:t>矿权范围位于次级水文地质单元的补给—径流区，地下水主要接受大气降雨补给，降雨沿裂隙通道下渗补给深部地下水。矿权范围及附近区域地形陡峻，沟谷深切，地表排泄通畅，降雨大部分形成地表径流，仅少量下渗补给地下水，地表岩石节理裂隙较发育，多充填泥质，富水性中等，补给总量有限。地下水动态变化严格受大气降水的控制，具有雨季补给，长年排泄和季节性排泄的特点。矿区地下水对矿床开采充水基本无影响。</w:t>
      </w:r>
    </w:p>
    <w:p w14:paraId="229CDC28">
      <w:pPr>
        <w:adjustRightInd w:val="0"/>
        <w:snapToGrid w:val="0"/>
        <w:spacing w:line="360" w:lineRule="auto"/>
        <w:ind w:firstLine="560" w:firstLineChars="200"/>
        <w:rPr>
          <w:rFonts w:hint="default" w:ascii="Times New Roman" w:hAnsi="Times New Roman" w:eastAsia="宋体" w:cs="Times New Roman"/>
          <w:sz w:val="28"/>
          <w:szCs w:val="21"/>
        </w:rPr>
      </w:pPr>
      <w:r>
        <w:rPr>
          <w:rFonts w:hint="default" w:ascii="Times New Roman" w:hAnsi="Times New Roman" w:eastAsia="宋体" w:cs="Times New Roman"/>
          <w:sz w:val="28"/>
          <w:szCs w:val="21"/>
        </w:rPr>
        <w:t>（6）矿床水文地质条件对矿床开采的影响评述</w:t>
      </w:r>
    </w:p>
    <w:p w14:paraId="7C8C79EE">
      <w:pPr>
        <w:adjustRightInd w:val="0"/>
        <w:snapToGrid w:val="0"/>
        <w:spacing w:line="360" w:lineRule="auto"/>
        <w:ind w:firstLine="560" w:firstLineChars="200"/>
        <w:rPr>
          <w:rFonts w:hint="default" w:ascii="Times New Roman" w:hAnsi="Times New Roman" w:cs="Times New Roman"/>
          <w:sz w:val="28"/>
          <w:szCs w:val="28"/>
        </w:rPr>
      </w:pPr>
      <w:r>
        <w:rPr>
          <w:rFonts w:hint="default" w:ascii="Times New Roman" w:hAnsi="Times New Roman" w:cs="Times New Roman"/>
          <w:sz w:val="28"/>
          <w:szCs w:val="28"/>
        </w:rPr>
        <w:t>矿权内无常年地表水体，沟谷主要为V型谷，呈树枝状分布，矿区北侧发育季节性溪沟—跃进大沟，主要接受大气降水直接补给，但其处于次级分水岭的北侧，且已常年处于断流状态。沟水从矿区外北部自西向东流走，沟底高程1450m，低于最低开采高程1470m。次级分水岭南侧的地表径流大部分顺风化裂隙直接渗入地下，再通过岩溶管道渗入深部地下后再下游排泄，小</w:t>
      </w:r>
      <w:r>
        <w:rPr>
          <w:rFonts w:hint="default" w:ascii="Times New Roman" w:hAnsi="Times New Roman" w:cs="Times New Roman"/>
          <w:sz w:val="28"/>
          <w:szCs w:val="28"/>
          <w:lang w:eastAsia="zh-CN"/>
        </w:rPr>
        <w:t>部分</w:t>
      </w:r>
      <w:r>
        <w:rPr>
          <w:rFonts w:hint="default" w:ascii="Times New Roman" w:hAnsi="Times New Roman" w:cs="Times New Roman"/>
          <w:sz w:val="28"/>
          <w:szCs w:val="28"/>
        </w:rPr>
        <w:t>向西南顺低洼处汇入落水洞后部分供生产使用。综合矿体控制分布范围、标高、河床位置标高、流量、岩性等特征，确定矿区地表水体对矿床开采充水基本无影响。</w:t>
      </w:r>
    </w:p>
    <w:p w14:paraId="6D2EB317">
      <w:pPr>
        <w:adjustRightInd w:val="0"/>
        <w:snapToGrid w:val="0"/>
        <w:spacing w:line="360" w:lineRule="auto"/>
        <w:ind w:firstLine="560" w:firstLineChars="200"/>
        <w:rPr>
          <w:rFonts w:hint="default" w:ascii="Times New Roman" w:hAnsi="Times New Roman" w:cs="Times New Roman"/>
          <w:sz w:val="28"/>
          <w:szCs w:val="28"/>
          <w:lang w:eastAsia="zh-CN"/>
        </w:rPr>
      </w:pPr>
      <w:r>
        <w:rPr>
          <w:rFonts w:hint="default" w:ascii="Times New Roman" w:hAnsi="Times New Roman" w:cs="Times New Roman"/>
          <w:sz w:val="28"/>
          <w:szCs w:val="28"/>
          <w:lang w:eastAsia="zh-CN"/>
        </w:rPr>
        <w:t>（</w:t>
      </w:r>
      <w:r>
        <w:rPr>
          <w:rFonts w:hint="default" w:ascii="Times New Roman" w:hAnsi="Times New Roman" w:cs="Times New Roman"/>
          <w:sz w:val="28"/>
          <w:szCs w:val="28"/>
          <w:lang w:val="en-US" w:eastAsia="zh-CN"/>
        </w:rPr>
        <w:t>7</w:t>
      </w:r>
      <w:r>
        <w:rPr>
          <w:rFonts w:hint="default" w:ascii="Times New Roman" w:hAnsi="Times New Roman" w:cs="Times New Roman"/>
          <w:sz w:val="28"/>
          <w:szCs w:val="28"/>
          <w:lang w:eastAsia="zh-CN"/>
        </w:rPr>
        <w:t>）矿床水文勘查类型</w:t>
      </w:r>
    </w:p>
    <w:p w14:paraId="645921EA">
      <w:pPr>
        <w:adjustRightInd w:val="0"/>
        <w:snapToGrid w:val="0"/>
        <w:spacing w:line="360" w:lineRule="auto"/>
        <w:ind w:firstLine="560" w:firstLineChars="200"/>
        <w:rPr>
          <w:rFonts w:hint="default" w:ascii="Times New Roman" w:hAnsi="Times New Roman" w:cs="Times New Roman"/>
          <w:sz w:val="28"/>
          <w:szCs w:val="28"/>
        </w:rPr>
      </w:pPr>
      <w:r>
        <w:rPr>
          <w:rFonts w:hint="default" w:ascii="Times New Roman" w:hAnsi="Times New Roman" w:cs="Times New Roman"/>
          <w:sz w:val="28"/>
          <w:szCs w:val="28"/>
          <w:lang w:eastAsia="zh-CN"/>
        </w:rPr>
        <w:t>矿区地处次级水文地质单元的补给—径流区，按《矿区水文地质工程地质勘查规范》（GB/T12719—2021）根据矿床主要充水含水层的容水空间特征，区域上地下水类型为第三类，以层状岩溶含水层充水为主的矿床，按岩溶形态划分为第一亚类以溶蚀裂隙为主的岩溶充水矿床。区域上地层含（透）水性弱，矿体埋藏浅，大部分出露地表。大气降雨为矿坑充水主要水源，地下水对矿床开采影响较小，矿床开采范围内无断裂带分布。矿床开采方式为露天开采，矿体位于当地侵蚀基准面以上（当地侵蚀基准面1432m），地形有利于自然排泄，开采时地表水可沿斜坡自然排泄，地下水对矿床开采无大的影响，因此，矿区水文地质条件属以碳酸盐岩裂隙充水为主的简单类型</w:t>
      </w:r>
      <w:r>
        <w:rPr>
          <w:rFonts w:hint="default" w:ascii="Times New Roman" w:hAnsi="Times New Roman" w:cs="Times New Roman"/>
          <w:sz w:val="28"/>
          <w:szCs w:val="28"/>
        </w:rPr>
        <w:t>。</w:t>
      </w:r>
    </w:p>
    <w:p w14:paraId="27EB45AD">
      <w:pPr>
        <w:spacing w:line="360" w:lineRule="auto"/>
        <w:ind w:firstLine="562" w:firstLineChars="200"/>
        <w:outlineLvl w:val="3"/>
        <w:rPr>
          <w:rFonts w:hint="default" w:ascii="Times New Roman" w:hAnsi="Times New Roman" w:cs="Times New Roman"/>
          <w:b/>
          <w:bCs/>
          <w:sz w:val="28"/>
          <w:szCs w:val="28"/>
        </w:rPr>
      </w:pPr>
      <w:r>
        <w:rPr>
          <w:rFonts w:hint="default" w:ascii="Times New Roman" w:hAnsi="Times New Roman" w:cs="Times New Roman"/>
          <w:b/>
          <w:bCs/>
          <w:sz w:val="28"/>
          <w:szCs w:val="28"/>
        </w:rPr>
        <w:t>2.3.</w:t>
      </w:r>
      <w:r>
        <w:rPr>
          <w:rFonts w:hint="default" w:ascii="Times New Roman" w:hAnsi="Times New Roman" w:cs="Times New Roman"/>
          <w:b/>
          <w:bCs/>
          <w:sz w:val="28"/>
          <w:szCs w:val="28"/>
          <w:lang w:val="en-US" w:eastAsia="zh-CN"/>
        </w:rPr>
        <w:t>4</w:t>
      </w:r>
      <w:r>
        <w:rPr>
          <w:rFonts w:hint="default" w:ascii="Times New Roman" w:hAnsi="Times New Roman" w:cs="Times New Roman"/>
          <w:b/>
          <w:bCs/>
          <w:sz w:val="28"/>
          <w:szCs w:val="28"/>
        </w:rPr>
        <w:t>.2工程地质条件</w:t>
      </w:r>
    </w:p>
    <w:p w14:paraId="612AB5A1">
      <w:pPr>
        <w:wordWrap w:val="0"/>
        <w:adjustRightInd w:val="0"/>
        <w:snapToGrid w:val="0"/>
        <w:spacing w:line="360" w:lineRule="auto"/>
        <w:ind w:firstLine="560" w:firstLineChars="200"/>
        <w:rPr>
          <w:rFonts w:hint="default" w:ascii="Times New Roman" w:hAnsi="Times New Roman" w:eastAsia="宋体" w:cs="Times New Roman"/>
          <w:sz w:val="28"/>
          <w:szCs w:val="21"/>
        </w:rPr>
      </w:pPr>
      <w:bookmarkStart w:id="191" w:name="_Toc245479864"/>
      <w:bookmarkStart w:id="192" w:name="_Toc492548225"/>
      <w:bookmarkStart w:id="193" w:name="_Toc245428238"/>
      <w:r>
        <w:rPr>
          <w:rFonts w:hint="default" w:ascii="Times New Roman" w:hAnsi="Times New Roman" w:eastAsia="宋体" w:cs="Times New Roman"/>
          <w:sz w:val="28"/>
          <w:szCs w:val="21"/>
          <w:lang w:val="en-US" w:eastAsia="zh-CN"/>
        </w:rPr>
        <w:t>一、</w:t>
      </w:r>
      <w:r>
        <w:rPr>
          <w:rFonts w:hint="default" w:ascii="Times New Roman" w:hAnsi="Times New Roman" w:eastAsia="宋体" w:cs="Times New Roman"/>
          <w:sz w:val="28"/>
          <w:szCs w:val="21"/>
        </w:rPr>
        <w:t>工程地质岩组特征</w:t>
      </w:r>
    </w:p>
    <w:p w14:paraId="62FF6B83">
      <w:pPr>
        <w:wordWrap w:val="0"/>
        <w:adjustRightInd w:val="0"/>
        <w:snapToGrid w:val="0"/>
        <w:spacing w:line="360" w:lineRule="auto"/>
        <w:ind w:firstLine="560" w:firstLineChars="200"/>
        <w:rPr>
          <w:rFonts w:hint="default" w:ascii="Times New Roman" w:hAnsi="Times New Roman" w:eastAsia="宋体" w:cs="Times New Roman"/>
          <w:sz w:val="28"/>
          <w:szCs w:val="21"/>
        </w:rPr>
      </w:pPr>
      <w:r>
        <w:rPr>
          <w:rFonts w:hint="default" w:ascii="Times New Roman" w:hAnsi="Times New Roman" w:eastAsia="宋体" w:cs="Times New Roman"/>
          <w:sz w:val="28"/>
          <w:szCs w:val="21"/>
        </w:rPr>
        <w:t>根据矿区范围内出露地层的岩性组合特征、力学强度、岩体结构类型及稳固性等因素，依据《</w:t>
      </w:r>
      <w:r>
        <w:rPr>
          <w:rFonts w:hint="default" w:ascii="Times New Roman" w:hAnsi="Times New Roman" w:cs="Times New Roman"/>
          <w:sz w:val="28"/>
          <w:szCs w:val="21"/>
          <w:lang w:eastAsia="zh-CN"/>
        </w:rPr>
        <w:t>矿区水文地质工程地质勘查规范</w:t>
      </w:r>
      <w:r>
        <w:rPr>
          <w:rFonts w:hint="default" w:ascii="Times New Roman" w:hAnsi="Times New Roman" w:eastAsia="宋体" w:cs="Times New Roman"/>
          <w:sz w:val="28"/>
          <w:szCs w:val="21"/>
        </w:rPr>
        <w:t>》（</w:t>
      </w:r>
      <w:r>
        <w:rPr>
          <w:rFonts w:hint="default" w:ascii="Times New Roman" w:hAnsi="Times New Roman" w:cs="Times New Roman"/>
          <w:sz w:val="28"/>
          <w:szCs w:val="21"/>
          <w:lang w:eastAsia="zh-CN"/>
        </w:rPr>
        <w:t>GB/T 12719-2021</w:t>
      </w:r>
      <w:r>
        <w:rPr>
          <w:rFonts w:hint="default" w:ascii="Times New Roman" w:hAnsi="Times New Roman" w:eastAsia="宋体" w:cs="Times New Roman"/>
          <w:sz w:val="28"/>
          <w:szCs w:val="21"/>
        </w:rPr>
        <w:t>）的规定，将矿区各地层岩体划分为松散、坚硬两个工程地质岩组。</w:t>
      </w:r>
    </w:p>
    <w:p w14:paraId="72C3EE2C">
      <w:pPr>
        <w:wordWrap w:val="0"/>
        <w:adjustRightInd w:val="0"/>
        <w:snapToGrid w:val="0"/>
        <w:spacing w:line="360" w:lineRule="auto"/>
        <w:ind w:firstLine="560" w:firstLineChars="200"/>
        <w:rPr>
          <w:rFonts w:hint="default" w:ascii="Times New Roman" w:hAnsi="Times New Roman" w:eastAsia="宋体" w:cs="Times New Roman"/>
          <w:sz w:val="28"/>
          <w:szCs w:val="21"/>
          <w:lang w:val="zh-CN"/>
        </w:rPr>
      </w:pPr>
      <w:r>
        <w:rPr>
          <w:rFonts w:hint="default" w:ascii="Times New Roman" w:hAnsi="Times New Roman" w:eastAsia="宋体" w:cs="Times New Roman"/>
          <w:sz w:val="28"/>
          <w:szCs w:val="21"/>
          <w:lang w:val="zh-CN"/>
        </w:rPr>
        <w:t>区域上地层出露较简单，岩性单一。根据岩石强度、岩石结构特征以及岩层组合特点，划分为二个岩组。</w:t>
      </w:r>
    </w:p>
    <w:p w14:paraId="25C477B8">
      <w:pPr>
        <w:wordWrap w:val="0"/>
        <w:adjustRightInd w:val="0"/>
        <w:snapToGrid w:val="0"/>
        <w:spacing w:line="360" w:lineRule="auto"/>
        <w:ind w:firstLine="560" w:firstLineChars="200"/>
        <w:rPr>
          <w:rFonts w:hint="default" w:ascii="Times New Roman" w:hAnsi="Times New Roman" w:eastAsia="宋体" w:cs="Times New Roman"/>
          <w:sz w:val="28"/>
          <w:szCs w:val="21"/>
          <w:lang w:val="zh-CN"/>
        </w:rPr>
      </w:pPr>
      <w:r>
        <w:rPr>
          <w:rFonts w:hint="default" w:ascii="Times New Roman" w:hAnsi="Times New Roman" w:eastAsia="宋体" w:cs="Times New Roman"/>
          <w:sz w:val="28"/>
          <w:szCs w:val="21"/>
        </w:rPr>
        <w:t>a、松散岩类软弱岩组（Ⅰ）</w:t>
      </w:r>
    </w:p>
    <w:p w14:paraId="06159A35">
      <w:pPr>
        <w:wordWrap w:val="0"/>
        <w:adjustRightInd w:val="0"/>
        <w:snapToGrid w:val="0"/>
        <w:spacing w:line="360" w:lineRule="auto"/>
        <w:ind w:firstLine="560" w:firstLineChars="200"/>
        <w:rPr>
          <w:rFonts w:hint="default" w:ascii="Times New Roman" w:hAnsi="Times New Roman" w:eastAsia="宋体" w:cs="Times New Roman"/>
          <w:sz w:val="28"/>
          <w:szCs w:val="21"/>
          <w:lang w:val="zh-CN"/>
        </w:rPr>
      </w:pPr>
      <w:r>
        <w:rPr>
          <w:rFonts w:hint="default" w:ascii="Times New Roman" w:hAnsi="Times New Roman" w:eastAsia="宋体" w:cs="Times New Roman"/>
          <w:sz w:val="28"/>
          <w:szCs w:val="21"/>
          <w:lang w:val="zh-CN"/>
        </w:rPr>
        <w:t>第四系（</w:t>
      </w:r>
      <w:r>
        <w:rPr>
          <w:rFonts w:hint="default" w:ascii="Times New Roman" w:hAnsi="Times New Roman" w:eastAsia="宋体" w:cs="Times New Roman"/>
          <w:sz w:val="28"/>
          <w:szCs w:val="21"/>
        </w:rPr>
        <w:t>Q</w:t>
      </w:r>
      <w:r>
        <w:rPr>
          <w:rFonts w:hint="default" w:ascii="Times New Roman" w:hAnsi="Times New Roman" w:eastAsia="宋体" w:cs="Times New Roman"/>
          <w:i/>
          <w:iCs/>
          <w:sz w:val="28"/>
          <w:szCs w:val="21"/>
          <w:vertAlign w:val="superscript"/>
        </w:rPr>
        <w:t>el+dl</w:t>
      </w:r>
      <w:r>
        <w:rPr>
          <w:rFonts w:hint="default" w:ascii="Times New Roman" w:hAnsi="Times New Roman" w:eastAsia="宋体" w:cs="Times New Roman"/>
          <w:sz w:val="28"/>
          <w:szCs w:val="21"/>
          <w:lang w:val="zh-CN"/>
        </w:rPr>
        <w:t>）松散岩组</w:t>
      </w:r>
    </w:p>
    <w:p w14:paraId="7463D77F">
      <w:pPr>
        <w:wordWrap w:val="0"/>
        <w:adjustRightInd w:val="0"/>
        <w:snapToGrid w:val="0"/>
        <w:spacing w:line="360" w:lineRule="auto"/>
        <w:ind w:firstLine="560" w:firstLineChars="200"/>
        <w:rPr>
          <w:rFonts w:hint="default" w:ascii="Times New Roman" w:hAnsi="Times New Roman" w:eastAsia="宋体" w:cs="Times New Roman"/>
          <w:sz w:val="28"/>
          <w:szCs w:val="21"/>
          <w:lang w:val="zh-CN"/>
        </w:rPr>
      </w:pPr>
      <w:r>
        <w:rPr>
          <w:rFonts w:hint="default" w:ascii="Times New Roman" w:hAnsi="Times New Roman" w:eastAsia="宋体" w:cs="Times New Roman"/>
          <w:sz w:val="28"/>
          <w:szCs w:val="21"/>
        </w:rPr>
        <w:t>为残积、坡积层。主要为</w:t>
      </w:r>
      <w:r>
        <w:rPr>
          <w:rFonts w:hint="default" w:ascii="Times New Roman" w:hAnsi="Times New Roman" w:eastAsia="宋体" w:cs="Times New Roman"/>
          <w:sz w:val="28"/>
          <w:szCs w:val="21"/>
          <w:lang w:val="en-GB"/>
        </w:rPr>
        <w:t>黄红色砂质粘土</w:t>
      </w:r>
      <w:r>
        <w:rPr>
          <w:rFonts w:hint="default" w:ascii="Times New Roman" w:hAnsi="Times New Roman" w:eastAsia="宋体" w:cs="Times New Roman"/>
          <w:sz w:val="28"/>
          <w:szCs w:val="21"/>
        </w:rPr>
        <w:t>，层厚0～3.5m</w:t>
      </w:r>
      <w:r>
        <w:rPr>
          <w:rFonts w:hint="default" w:ascii="Times New Roman" w:hAnsi="Times New Roman" w:eastAsia="宋体" w:cs="Times New Roman"/>
          <w:sz w:val="28"/>
          <w:szCs w:val="21"/>
          <w:lang w:val="zh-CN"/>
        </w:rPr>
        <w:t>。</w:t>
      </w:r>
      <w:r>
        <w:rPr>
          <w:rFonts w:hint="default" w:ascii="Times New Roman" w:hAnsi="Times New Roman" w:eastAsia="宋体" w:cs="Times New Roman"/>
          <w:sz w:val="28"/>
          <w:szCs w:val="21"/>
        </w:rPr>
        <w:t>零星</w:t>
      </w:r>
      <w:r>
        <w:rPr>
          <w:rFonts w:hint="default" w:ascii="Times New Roman" w:hAnsi="Times New Roman" w:eastAsia="宋体" w:cs="Times New Roman"/>
          <w:sz w:val="28"/>
          <w:szCs w:val="21"/>
          <w:lang w:val="zh-CN"/>
        </w:rPr>
        <w:t>分布于沟谷低凹地带，根据周边矿区工程经验，该层位RQD值为5%。该地层土体结构松散，力学强度较低，由它构成的土质边坡稳定性较差，易引发滑坡、崩塌等灾害。</w:t>
      </w:r>
    </w:p>
    <w:p w14:paraId="0B746D6E">
      <w:pPr>
        <w:wordWrap w:val="0"/>
        <w:adjustRightInd w:val="0"/>
        <w:snapToGrid w:val="0"/>
        <w:spacing w:line="360" w:lineRule="auto"/>
        <w:ind w:firstLine="560" w:firstLineChars="200"/>
        <w:rPr>
          <w:rFonts w:hint="default" w:ascii="Times New Roman" w:hAnsi="Times New Roman" w:eastAsia="宋体" w:cs="Times New Roman"/>
          <w:sz w:val="28"/>
          <w:szCs w:val="21"/>
          <w:lang w:val="zh-CN"/>
        </w:rPr>
      </w:pPr>
      <w:r>
        <w:rPr>
          <w:rFonts w:hint="default" w:ascii="Times New Roman" w:hAnsi="Times New Roman" w:eastAsia="宋体" w:cs="Times New Roman"/>
          <w:sz w:val="28"/>
          <w:szCs w:val="21"/>
          <w:lang w:val="zh-CN"/>
        </w:rPr>
        <w:t>b、</w:t>
      </w:r>
      <w:bookmarkStart w:id="194" w:name="_Hlk171118959"/>
      <w:r>
        <w:rPr>
          <w:rFonts w:hint="default" w:ascii="Times New Roman" w:hAnsi="Times New Roman" w:eastAsia="宋体" w:cs="Times New Roman"/>
          <w:sz w:val="28"/>
          <w:szCs w:val="21"/>
          <w:lang w:val="zh-CN"/>
        </w:rPr>
        <w:t>较软弱—半坚硬</w:t>
      </w:r>
      <w:bookmarkEnd w:id="194"/>
      <w:r>
        <w:rPr>
          <w:rFonts w:hint="default" w:ascii="Times New Roman" w:hAnsi="Times New Roman" w:eastAsia="宋体" w:cs="Times New Roman"/>
          <w:sz w:val="28"/>
          <w:szCs w:val="21"/>
          <w:lang w:val="zh-CN"/>
        </w:rPr>
        <w:t>岩组</w:t>
      </w:r>
      <w:r>
        <w:rPr>
          <w:rFonts w:hint="default" w:ascii="Times New Roman" w:hAnsi="Times New Roman" w:eastAsia="宋体" w:cs="Times New Roman"/>
          <w:sz w:val="28"/>
          <w:szCs w:val="21"/>
        </w:rPr>
        <w:t>（Ⅱ）</w:t>
      </w:r>
    </w:p>
    <w:p w14:paraId="0CFE8B10">
      <w:pPr>
        <w:wordWrap w:val="0"/>
        <w:adjustRightInd w:val="0"/>
        <w:snapToGrid w:val="0"/>
        <w:spacing w:line="360" w:lineRule="auto"/>
        <w:ind w:firstLine="560" w:firstLineChars="200"/>
        <w:rPr>
          <w:rFonts w:hint="default" w:ascii="Times New Roman" w:hAnsi="Times New Roman" w:eastAsia="宋体" w:cs="Times New Roman"/>
          <w:sz w:val="28"/>
          <w:szCs w:val="21"/>
        </w:rPr>
      </w:pPr>
      <w:r>
        <w:rPr>
          <w:rFonts w:hint="default" w:ascii="Times New Roman" w:hAnsi="Times New Roman" w:eastAsia="宋体" w:cs="Times New Roman"/>
          <w:sz w:val="28"/>
          <w:szCs w:val="21"/>
        </w:rPr>
        <w:t>三叠系中统个旧组第四段（T</w:t>
      </w:r>
      <w:r>
        <w:rPr>
          <w:rFonts w:hint="default" w:ascii="Times New Roman" w:hAnsi="Times New Roman" w:eastAsia="宋体" w:cs="Times New Roman"/>
          <w:sz w:val="28"/>
          <w:szCs w:val="21"/>
          <w:vertAlign w:val="subscript"/>
        </w:rPr>
        <w:t>2</w:t>
      </w:r>
      <w:r>
        <w:rPr>
          <w:rFonts w:hint="default" w:ascii="Times New Roman" w:hAnsi="Times New Roman" w:eastAsia="宋体" w:cs="Times New Roman"/>
          <w:sz w:val="28"/>
          <w:szCs w:val="21"/>
        </w:rPr>
        <w:t>g</w:t>
      </w:r>
      <w:r>
        <w:rPr>
          <w:rFonts w:hint="default" w:ascii="Times New Roman" w:hAnsi="Times New Roman" w:eastAsia="宋体" w:cs="Times New Roman"/>
          <w:sz w:val="28"/>
          <w:szCs w:val="21"/>
          <w:vertAlign w:val="superscript"/>
        </w:rPr>
        <w:t>d</w:t>
      </w:r>
      <w:r>
        <w:rPr>
          <w:rFonts w:hint="default" w:ascii="Times New Roman" w:hAnsi="Times New Roman" w:eastAsia="宋体" w:cs="Times New Roman"/>
          <w:sz w:val="28"/>
          <w:szCs w:val="21"/>
        </w:rPr>
        <w:t>）</w:t>
      </w:r>
      <w:r>
        <w:rPr>
          <w:rFonts w:hint="default" w:ascii="Times New Roman" w:hAnsi="Times New Roman" w:eastAsia="宋体" w:cs="Times New Roman"/>
          <w:sz w:val="28"/>
          <w:szCs w:val="21"/>
          <w:lang w:val="zh-CN"/>
        </w:rPr>
        <w:t>较软弱—半坚硬</w:t>
      </w:r>
      <w:r>
        <w:rPr>
          <w:rFonts w:hint="default" w:ascii="Times New Roman" w:hAnsi="Times New Roman" w:eastAsia="宋体" w:cs="Times New Roman"/>
          <w:sz w:val="28"/>
          <w:szCs w:val="21"/>
        </w:rPr>
        <w:t>岩组</w:t>
      </w:r>
    </w:p>
    <w:p w14:paraId="7619568B">
      <w:pPr>
        <w:wordWrap w:val="0"/>
        <w:adjustRightInd w:val="0"/>
        <w:snapToGrid w:val="0"/>
        <w:spacing w:line="360" w:lineRule="auto"/>
        <w:ind w:firstLine="560" w:firstLineChars="200"/>
        <w:rPr>
          <w:rFonts w:hint="default" w:ascii="Times New Roman" w:hAnsi="Times New Roman" w:eastAsia="宋体" w:cs="Times New Roman"/>
          <w:sz w:val="28"/>
          <w:szCs w:val="21"/>
        </w:rPr>
      </w:pPr>
      <w:r>
        <w:rPr>
          <w:rFonts w:hint="default" w:ascii="Times New Roman" w:hAnsi="Times New Roman" w:eastAsia="宋体" w:cs="Times New Roman"/>
          <w:sz w:val="28"/>
          <w:szCs w:val="21"/>
        </w:rPr>
        <w:t>为灰～深灰色中厚层状白云岩，厚度大，分布基本稳定，为本区出露矿层，浅部岩体中～强风化，深部弱风化。</w:t>
      </w:r>
      <w:r>
        <w:rPr>
          <w:rFonts w:hint="default" w:ascii="Times New Roman" w:hAnsi="Times New Roman" w:eastAsia="宋体" w:cs="Times New Roman"/>
          <w:sz w:val="28"/>
          <w:szCs w:val="21"/>
          <w:lang w:val="zh-CN"/>
        </w:rPr>
        <w:t>根据周边矿区工程经验，该层位RQD值为53.5%。</w:t>
      </w:r>
      <w:r>
        <w:rPr>
          <w:rFonts w:hint="default" w:ascii="Times New Roman" w:hAnsi="Times New Roman" w:eastAsia="宋体" w:cs="Times New Roman"/>
          <w:sz w:val="28"/>
          <w:szCs w:val="21"/>
        </w:rPr>
        <w:t>岩层整体受地质运动挤压形成碎裂白云岩，碎裂白云岩的结构面组合错综复杂，裂隙、节理密集而无序，较易形成岩体风化工程地质危害，在以后施工过程中，该岩组裂隙发育地段应高度重视。根据</w:t>
      </w:r>
      <w:r>
        <w:rPr>
          <w:rFonts w:hint="default" w:ascii="Times New Roman" w:hAnsi="Times New Roman" w:eastAsia="宋体" w:cs="Times New Roman"/>
          <w:sz w:val="28"/>
          <w:szCs w:val="21"/>
          <w:lang w:val="en-US" w:eastAsia="zh-CN"/>
        </w:rPr>
        <w:t>该</w:t>
      </w:r>
      <w:r>
        <w:rPr>
          <w:rFonts w:hint="default" w:ascii="Times New Roman" w:hAnsi="Times New Roman" w:eastAsia="宋体" w:cs="Times New Roman"/>
          <w:sz w:val="28"/>
          <w:szCs w:val="21"/>
        </w:rPr>
        <w:t>次核实取样分析测试，矿石表观密度2820～2830kg/m</w:t>
      </w:r>
      <w:r>
        <w:rPr>
          <w:rFonts w:hint="default" w:ascii="Times New Roman" w:hAnsi="Times New Roman" w:eastAsia="宋体" w:cs="Times New Roman"/>
          <w:sz w:val="28"/>
          <w:szCs w:val="21"/>
          <w:vertAlign w:val="superscript"/>
        </w:rPr>
        <w:t>3</w:t>
      </w:r>
      <w:r>
        <w:rPr>
          <w:rFonts w:hint="default" w:ascii="Times New Roman" w:hAnsi="Times New Roman" w:eastAsia="宋体" w:cs="Times New Roman"/>
          <w:sz w:val="28"/>
          <w:szCs w:val="21"/>
        </w:rPr>
        <w:t>，矿石密度（体重）2.35～2.36t/m</w:t>
      </w:r>
      <w:r>
        <w:rPr>
          <w:rFonts w:hint="default" w:ascii="Times New Roman" w:hAnsi="Times New Roman" w:eastAsia="宋体" w:cs="Times New Roman"/>
          <w:sz w:val="28"/>
          <w:szCs w:val="21"/>
          <w:vertAlign w:val="superscript"/>
        </w:rPr>
        <w:t>3</w:t>
      </w:r>
      <w:r>
        <w:rPr>
          <w:rFonts w:hint="default" w:ascii="Times New Roman" w:hAnsi="Times New Roman" w:eastAsia="宋体" w:cs="Times New Roman"/>
          <w:sz w:val="28"/>
          <w:szCs w:val="21"/>
        </w:rPr>
        <w:t>，经大体重修正后，取值体重2.25t/m</w:t>
      </w:r>
      <w:r>
        <w:rPr>
          <w:rFonts w:hint="default" w:ascii="Times New Roman" w:hAnsi="Times New Roman" w:eastAsia="宋体" w:cs="Times New Roman"/>
          <w:sz w:val="28"/>
          <w:szCs w:val="21"/>
          <w:vertAlign w:val="superscript"/>
        </w:rPr>
        <w:t>3</w:t>
      </w:r>
      <w:r>
        <w:rPr>
          <w:rFonts w:hint="default" w:ascii="Times New Roman" w:hAnsi="Times New Roman" w:eastAsia="宋体" w:cs="Times New Roman"/>
          <w:sz w:val="28"/>
          <w:szCs w:val="21"/>
        </w:rPr>
        <w:t>，矿石吸水率1.03</w:t>
      </w:r>
      <w:r>
        <w:rPr>
          <w:rFonts w:hint="default" w:ascii="Times New Roman" w:hAnsi="Times New Roman" w:cs="Times New Roman"/>
          <w:sz w:val="28"/>
          <w:szCs w:val="21"/>
          <w:lang w:eastAsia="zh-CN"/>
        </w:rPr>
        <w:t>%～</w:t>
      </w:r>
      <w:r>
        <w:rPr>
          <w:rFonts w:hint="default" w:ascii="Times New Roman" w:hAnsi="Times New Roman" w:eastAsia="宋体" w:cs="Times New Roman"/>
          <w:sz w:val="28"/>
          <w:szCs w:val="21"/>
        </w:rPr>
        <w:t>1.23%，矿石坚固性2～3、为Ⅰ类矿石，矿石压碎指标15～28，为Ⅲ类矿石，点荷载样IS（MPa）1.49～1.89MPa，根据岩石单轴饱和抗压强度划分为</w:t>
      </w:r>
      <w:r>
        <w:rPr>
          <w:rFonts w:hint="default" w:ascii="Times New Roman" w:hAnsi="Times New Roman" w:eastAsia="宋体" w:cs="Times New Roman"/>
          <w:sz w:val="28"/>
          <w:szCs w:val="21"/>
          <w:lang w:val="zh-CN"/>
        </w:rPr>
        <w:t>较软弱—半坚硬</w:t>
      </w:r>
      <w:r>
        <w:rPr>
          <w:rFonts w:hint="default" w:ascii="Times New Roman" w:hAnsi="Times New Roman" w:eastAsia="宋体" w:cs="Times New Roman"/>
          <w:sz w:val="28"/>
          <w:szCs w:val="21"/>
        </w:rPr>
        <w:t>岩，岩体基本质量级别为Ⅲ类。矿体和围岩均为碎裂白云岩，近地表浅部受风化作用的影响，岩石破碎，完整性差，力学强度较低，采场边帮在不利组合条件下，易引起采场边坡小规模滑坡或局部崩塌、掉块现象。</w:t>
      </w:r>
    </w:p>
    <w:p w14:paraId="637F1C1B">
      <w:pPr>
        <w:adjustRightInd w:val="0"/>
        <w:snapToGrid w:val="0"/>
        <w:spacing w:line="360" w:lineRule="auto"/>
        <w:ind w:firstLine="560" w:firstLineChars="200"/>
        <w:rPr>
          <w:rFonts w:hint="default" w:ascii="Times New Roman" w:hAnsi="Times New Roman" w:eastAsia="宋体" w:cs="Times New Roman"/>
          <w:sz w:val="28"/>
          <w:szCs w:val="28"/>
          <w:lang w:eastAsia="zh-CN"/>
        </w:rPr>
      </w:pPr>
      <w:r>
        <w:rPr>
          <w:rFonts w:hint="default" w:ascii="Times New Roman" w:hAnsi="Times New Roman" w:eastAsia="宋体" w:cs="Times New Roman"/>
          <w:sz w:val="28"/>
          <w:szCs w:val="21"/>
        </w:rPr>
        <w:t>矿区内构造简单，主要表现为单斜构造，未发现较大规模的断裂。根据施工钻孔分析，矿区内Ⅳ级结构面为节理裂隙结构面，主要发育于风化较强的浅部岩层。以风化裂隙和构造裂隙为主，裂隙宽0.1～1cm，多为泥质胶质、方解石脉充填或无充填，节理裂隙间距25～35cm，平均间距30cm。以两组陡倾角构造裂隙为主要发育：倾向204°～219°，倾角65°～75°，结构面均光滑平直，多为钙泥质填充；倾向110°～120°，倾角24°～40°结构面均光滑平直，局部填充方解石脉；另两组稀疏分布的构造裂隙为次：238°～245°，倾角76°～78°；倾向165°～170°，倾角73°～75°</w:t>
      </w:r>
      <w:r>
        <w:rPr>
          <w:rFonts w:hint="default" w:ascii="Times New Roman" w:hAnsi="Times New Roman" w:cs="Times New Roman"/>
          <w:sz w:val="28"/>
          <w:szCs w:val="28"/>
          <w:lang w:eastAsia="zh-CN"/>
        </w:rPr>
        <w:t>。</w:t>
      </w:r>
    </w:p>
    <w:p w14:paraId="616F0EAA">
      <w:pPr>
        <w:adjustRightInd w:val="0"/>
        <w:snapToGrid w:val="0"/>
        <w:spacing w:line="360" w:lineRule="auto"/>
        <w:ind w:firstLine="560" w:firstLineChars="200"/>
        <w:rPr>
          <w:rFonts w:hint="default" w:ascii="Times New Roman" w:hAnsi="Times New Roman" w:cs="Times New Roman"/>
          <w:sz w:val="28"/>
          <w:szCs w:val="28"/>
          <w:lang w:val="en-US" w:eastAsia="zh-CN"/>
        </w:rPr>
      </w:pPr>
      <w:r>
        <w:rPr>
          <w:rFonts w:hint="default" w:ascii="Times New Roman" w:hAnsi="Times New Roman" w:cs="Times New Roman"/>
          <w:sz w:val="28"/>
          <w:szCs w:val="28"/>
          <w:lang w:val="en-US" w:eastAsia="zh-CN"/>
        </w:rPr>
        <w:t>二、工程地质条件评价</w:t>
      </w:r>
    </w:p>
    <w:p w14:paraId="5DED4D1E">
      <w:pPr>
        <w:adjustRightInd w:val="0"/>
        <w:snapToGrid w:val="0"/>
        <w:spacing w:line="360" w:lineRule="auto"/>
        <w:ind w:firstLine="560" w:firstLineChars="200"/>
        <w:rPr>
          <w:rFonts w:hint="default" w:ascii="Times New Roman" w:hAnsi="Times New Roman" w:cs="Times New Roman"/>
          <w:sz w:val="28"/>
          <w:szCs w:val="28"/>
          <w:lang w:val="en-US" w:eastAsia="zh-CN"/>
        </w:rPr>
      </w:pPr>
      <w:r>
        <w:rPr>
          <w:rFonts w:hint="default" w:ascii="Times New Roman" w:hAnsi="Times New Roman" w:cs="Times New Roman"/>
          <w:sz w:val="28"/>
          <w:szCs w:val="28"/>
          <w:lang w:val="en-US" w:eastAsia="zh-CN"/>
        </w:rPr>
        <w:t>该次核实的矿体位于斜坡地带，矿体的顶板为第四系（Q</w:t>
      </w:r>
      <w:r>
        <w:rPr>
          <w:rFonts w:hint="default" w:ascii="Times New Roman" w:hAnsi="Times New Roman" w:cs="Times New Roman"/>
          <w:sz w:val="28"/>
          <w:szCs w:val="28"/>
          <w:vertAlign w:val="superscript"/>
          <w:lang w:val="en-US" w:eastAsia="zh-CN"/>
        </w:rPr>
        <w:t>el+dl</w:t>
      </w:r>
      <w:r>
        <w:rPr>
          <w:rFonts w:hint="default" w:ascii="Times New Roman" w:hAnsi="Times New Roman" w:cs="Times New Roman"/>
          <w:sz w:val="28"/>
          <w:szCs w:val="28"/>
          <w:lang w:val="en-US" w:eastAsia="zh-CN"/>
        </w:rPr>
        <w:t>）残积、坡积层粘土和风化程度较高的碎裂白云岩，底板及围岩均为碎裂白云岩。受地质构造运动对岩体破坏影响，围岩稳定性总体较差。矿山开采方式以露天为主，该次对围岩稳固性评价仅作为参考。按《矿区水文地质工程地质勘查规范》（GB/T 12719-2021）推荐的公式，分别采用岩体质量系数法和岩体质量指标法进行评价，同时采用《工程岩体分级标准（GB50218-2014）》对围岩岩体进行基本质量分级。</w:t>
      </w:r>
    </w:p>
    <w:p w14:paraId="050195B3">
      <w:pPr>
        <w:adjustRightInd w:val="0"/>
        <w:snapToGrid w:val="0"/>
        <w:spacing w:line="360" w:lineRule="auto"/>
        <w:ind w:firstLine="560" w:firstLineChars="200"/>
        <w:rPr>
          <w:rFonts w:hint="default" w:ascii="Times New Roman" w:hAnsi="Times New Roman" w:cs="Times New Roman"/>
          <w:sz w:val="28"/>
          <w:szCs w:val="28"/>
          <w:lang w:val="en-US" w:eastAsia="zh-CN"/>
        </w:rPr>
      </w:pPr>
      <w:r>
        <w:rPr>
          <w:rFonts w:hint="default" w:ascii="Times New Roman" w:hAnsi="Times New Roman" w:cs="Times New Roman"/>
          <w:sz w:val="28"/>
          <w:szCs w:val="28"/>
          <w:lang w:val="en-US" w:eastAsia="zh-CN"/>
        </w:rPr>
        <w:t>砂岩岩体质量等级一般，岩体质量中等，岩体完整性差；白云岩岩体质量等级好，岩体质量中等，岩体完整性中等。</w:t>
      </w:r>
    </w:p>
    <w:p w14:paraId="17C90E3C">
      <w:pPr>
        <w:adjustRightInd w:val="0"/>
        <w:snapToGrid w:val="0"/>
        <w:spacing w:line="360" w:lineRule="auto"/>
        <w:ind w:firstLine="560" w:firstLineChars="200"/>
        <w:rPr>
          <w:rFonts w:hint="default" w:ascii="Times New Roman" w:hAnsi="Times New Roman" w:eastAsia="宋体" w:cs="Times New Roman"/>
          <w:sz w:val="28"/>
          <w:szCs w:val="28"/>
          <w:lang w:val="en-US" w:eastAsia="zh-CN"/>
        </w:rPr>
      </w:pPr>
      <w:r>
        <w:rPr>
          <w:rFonts w:hint="default" w:ascii="Times New Roman" w:hAnsi="Times New Roman" w:eastAsia="宋体" w:cs="Times New Roman"/>
          <w:sz w:val="28"/>
          <w:szCs w:val="28"/>
          <w:lang w:val="en-US" w:eastAsia="zh-CN"/>
        </w:rPr>
        <w:t>三、主要工程地质问题</w:t>
      </w:r>
    </w:p>
    <w:p w14:paraId="2633AFC1">
      <w:pPr>
        <w:wordWrap w:val="0"/>
        <w:adjustRightInd w:val="0"/>
        <w:snapToGrid w:val="0"/>
        <w:spacing w:line="360" w:lineRule="auto"/>
        <w:ind w:firstLine="560" w:firstLineChars="200"/>
        <w:rPr>
          <w:rFonts w:hint="default" w:ascii="Times New Roman" w:hAnsi="Times New Roman" w:eastAsia="宋体" w:cs="Times New Roman"/>
          <w:sz w:val="28"/>
          <w:szCs w:val="21"/>
        </w:rPr>
      </w:pPr>
      <w:r>
        <w:rPr>
          <w:rFonts w:hint="default" w:ascii="Times New Roman" w:hAnsi="Times New Roman" w:eastAsia="宋体" w:cs="Times New Roman"/>
          <w:sz w:val="28"/>
          <w:szCs w:val="21"/>
        </w:rPr>
        <w:t>（1）松散结构岩土体</w:t>
      </w:r>
    </w:p>
    <w:p w14:paraId="0E57A3A7">
      <w:pPr>
        <w:wordWrap w:val="0"/>
        <w:adjustRightInd w:val="0"/>
        <w:snapToGrid w:val="0"/>
        <w:spacing w:line="360" w:lineRule="auto"/>
        <w:ind w:firstLine="560" w:firstLineChars="200"/>
        <w:rPr>
          <w:rFonts w:hint="default" w:ascii="Times New Roman" w:hAnsi="Times New Roman" w:eastAsia="宋体" w:cs="Times New Roman"/>
          <w:sz w:val="28"/>
          <w:szCs w:val="21"/>
        </w:rPr>
      </w:pPr>
      <w:r>
        <w:rPr>
          <w:rFonts w:hint="default" w:ascii="Times New Roman" w:hAnsi="Times New Roman" w:eastAsia="宋体" w:cs="Times New Roman"/>
          <w:sz w:val="28"/>
          <w:szCs w:val="21"/>
        </w:rPr>
        <w:t>松散结构岩土体主要表现为地表零星分布的第四系松散层及受构造影响节理裂隙较发育的破碎岩体。根据现场调查，一般地表松散层厚度0～5.5m，力学强度低，抗水流冲刷、侵蚀能力弱，稳定性较差，在降雨作用下易引发浅表层松散岩土体滑坡、崩塌等不良地质现象。松散土体与下伏基岩分界面在降雨时斜坡地表水下渗沿土石界面运移，在土石界面形成软弱结构面，当土石界面上覆松散土体前缘形成卸荷剪切口作用时，这些松散土体的抗剪强度降低，就沿土石界面形成的软弱滑动面产生滑动和</w:t>
      </w:r>
      <w:r>
        <w:rPr>
          <w:rFonts w:hint="default" w:ascii="Times New Roman" w:hAnsi="Times New Roman" w:cs="Times New Roman"/>
          <w:sz w:val="28"/>
          <w:szCs w:val="21"/>
          <w:lang w:eastAsia="zh-CN"/>
        </w:rPr>
        <w:t>下滑</w:t>
      </w:r>
      <w:r>
        <w:rPr>
          <w:rFonts w:hint="default" w:ascii="Times New Roman" w:hAnsi="Times New Roman" w:eastAsia="宋体" w:cs="Times New Roman"/>
          <w:sz w:val="28"/>
          <w:szCs w:val="21"/>
        </w:rPr>
        <w:t>，从而形成滑坡危害。</w:t>
      </w:r>
    </w:p>
    <w:p w14:paraId="3BAAEC09">
      <w:pPr>
        <w:wordWrap w:val="0"/>
        <w:adjustRightInd w:val="0"/>
        <w:snapToGrid w:val="0"/>
        <w:spacing w:line="360" w:lineRule="auto"/>
        <w:ind w:firstLine="560" w:firstLineChars="200"/>
        <w:rPr>
          <w:rFonts w:hint="default" w:ascii="Times New Roman" w:hAnsi="Times New Roman" w:eastAsia="宋体" w:cs="Times New Roman"/>
          <w:sz w:val="28"/>
          <w:szCs w:val="21"/>
        </w:rPr>
      </w:pPr>
      <w:r>
        <w:rPr>
          <w:rFonts w:hint="default" w:ascii="Times New Roman" w:hAnsi="Times New Roman" w:eastAsia="宋体" w:cs="Times New Roman"/>
          <w:sz w:val="28"/>
          <w:szCs w:val="21"/>
        </w:rPr>
        <w:t>（2）采矿场边坡稳定性</w:t>
      </w:r>
    </w:p>
    <w:p w14:paraId="1F9FD1E1">
      <w:pPr>
        <w:wordWrap w:val="0"/>
        <w:adjustRightInd w:val="0"/>
        <w:snapToGrid w:val="0"/>
        <w:spacing w:line="360" w:lineRule="auto"/>
        <w:ind w:firstLine="560" w:firstLineChars="200"/>
        <w:rPr>
          <w:rFonts w:hint="default" w:ascii="Times New Roman" w:hAnsi="Times New Roman" w:eastAsia="宋体" w:cs="Times New Roman"/>
          <w:sz w:val="28"/>
          <w:szCs w:val="21"/>
        </w:rPr>
      </w:pPr>
      <w:r>
        <w:rPr>
          <w:rFonts w:hint="default" w:ascii="Times New Roman" w:hAnsi="Times New Roman" w:eastAsia="宋体" w:cs="Times New Roman"/>
          <w:sz w:val="28"/>
          <w:szCs w:val="21"/>
        </w:rPr>
        <w:t>矿体为单斜构造，产状138°～144°∠21°～25°，属缓倾斜地层。岩矿层产状与开采边坡坡向相反或斜交，组合类型有利于斜坡稳定，组成边坡岩体的岩性主要为碎裂白云岩，属岩质边坡。岩石局部较破碎、节理裂隙较发育，主要发育六组节理裂隙，发育密度1～2条/cm，节理张开度2～3mm，力学性质为张性，呈交叉网状的特点。</w:t>
      </w:r>
    </w:p>
    <w:p w14:paraId="54C1F8FC">
      <w:pPr>
        <w:wordWrap w:val="0"/>
        <w:adjustRightInd w:val="0"/>
        <w:snapToGrid w:val="0"/>
        <w:spacing w:line="360" w:lineRule="auto"/>
        <w:ind w:firstLine="560" w:firstLineChars="200"/>
        <w:rPr>
          <w:rFonts w:hint="default" w:ascii="Times New Roman" w:hAnsi="Times New Roman" w:eastAsia="宋体" w:cs="Times New Roman"/>
          <w:sz w:val="28"/>
          <w:szCs w:val="21"/>
        </w:rPr>
      </w:pPr>
      <w:r>
        <w:rPr>
          <w:rFonts w:hint="default" w:ascii="Times New Roman" w:hAnsi="Times New Roman" w:eastAsia="宋体" w:cs="Times New Roman"/>
          <w:sz w:val="28"/>
          <w:szCs w:val="21"/>
        </w:rPr>
        <w:t>边坡岩体结构类型为</w:t>
      </w:r>
      <w:r>
        <w:rPr>
          <w:rFonts w:hint="default" w:ascii="Times New Roman" w:hAnsi="Times New Roman" w:eastAsia="宋体" w:cs="Times New Roman"/>
          <w:sz w:val="28"/>
          <w:szCs w:val="21"/>
          <w:lang w:val="zh-CN"/>
        </w:rPr>
        <w:t>较软弱—半坚硬岩组</w:t>
      </w:r>
      <w:r>
        <w:rPr>
          <w:rFonts w:hint="default" w:ascii="Times New Roman" w:hAnsi="Times New Roman" w:eastAsia="宋体" w:cs="Times New Roman"/>
          <w:sz w:val="28"/>
          <w:szCs w:val="21"/>
        </w:rPr>
        <w:t>，岩体整体强度差，结构面互相交叉组合，产生大规模岩体失稳的可能性中等；岩体表层风化程度较强，表层开挖可能产生小规模崩塌、滑坡。对边坡下方的过往采矿设备和作业人员有潜在危害，危险性中等，危害程度中等。</w:t>
      </w:r>
    </w:p>
    <w:p w14:paraId="765AD10F">
      <w:pPr>
        <w:wordWrap w:val="0"/>
        <w:adjustRightInd w:val="0"/>
        <w:snapToGrid w:val="0"/>
        <w:spacing w:line="360" w:lineRule="auto"/>
        <w:ind w:firstLine="560" w:firstLineChars="200"/>
        <w:rPr>
          <w:rFonts w:hint="default" w:ascii="Times New Roman" w:hAnsi="Times New Roman" w:eastAsia="宋体" w:cs="Times New Roman"/>
          <w:sz w:val="28"/>
          <w:szCs w:val="21"/>
        </w:rPr>
      </w:pPr>
      <w:r>
        <w:rPr>
          <w:rFonts w:hint="default" w:ascii="Times New Roman" w:hAnsi="Times New Roman" w:eastAsia="宋体" w:cs="Times New Roman"/>
          <w:sz w:val="28"/>
          <w:szCs w:val="21"/>
        </w:rPr>
        <w:t>（3）岩溶</w:t>
      </w:r>
    </w:p>
    <w:p w14:paraId="7154D70E">
      <w:pPr>
        <w:wordWrap w:val="0"/>
        <w:adjustRightInd w:val="0"/>
        <w:snapToGrid w:val="0"/>
        <w:spacing w:line="360" w:lineRule="auto"/>
        <w:ind w:firstLine="560" w:firstLineChars="200"/>
        <w:rPr>
          <w:rFonts w:hint="default" w:ascii="Times New Roman" w:hAnsi="Times New Roman" w:eastAsia="宋体" w:cs="Times New Roman"/>
          <w:sz w:val="28"/>
          <w:szCs w:val="21"/>
        </w:rPr>
      </w:pPr>
      <w:r>
        <w:rPr>
          <w:rFonts w:hint="default" w:ascii="Times New Roman" w:hAnsi="Times New Roman" w:eastAsia="宋体" w:cs="Times New Roman"/>
          <w:sz w:val="28"/>
          <w:szCs w:val="21"/>
        </w:rPr>
        <w:t>矿区范围及外围碳酸盐岩广泛分布，岩溶弱发育，以层状白云岩为主，岩体岩溶裂隙较发育根据现场调查，地表岩溶形态以刀砍状溶沟、溶槽、石芽及洼地为主，地表无溶洞分布，但有溶蚀裂隙发育，溶蚀裂隙部分溶蚀宽达50cm以上，有粘土充填，溶沟深一般0.2～1.0m，宽一般0.3～0.7m，均沿节理裂隙分布。根据</w:t>
      </w:r>
      <w:r>
        <w:rPr>
          <w:rFonts w:hint="default" w:ascii="Times New Roman" w:hAnsi="Times New Roman" w:eastAsia="宋体" w:cs="Times New Roman"/>
          <w:sz w:val="28"/>
          <w:szCs w:val="21"/>
          <w:lang w:eastAsia="zh-CN"/>
        </w:rPr>
        <w:t>该次</w:t>
      </w:r>
      <w:r>
        <w:rPr>
          <w:rFonts w:hint="default" w:ascii="Times New Roman" w:hAnsi="Times New Roman" w:eastAsia="宋体" w:cs="Times New Roman"/>
          <w:sz w:val="28"/>
          <w:szCs w:val="21"/>
        </w:rPr>
        <w:t>施工的4个钻孔统计，有一个钻孔（ZKB01）揭露深部有溶洞发育，溶洞内充填粘土。钻孔岩溶可见率25%，钻孔揭露的岩溶空隙为4.10m，单孔岩溶率7.46%，单孔岩溶充填率100%，矿区岩溶率总体不高。但此溶洞位于资源量估算最低标高1470ｍ以下，对资源量估算无影响。</w:t>
      </w:r>
    </w:p>
    <w:p w14:paraId="70FEC49B">
      <w:pPr>
        <w:wordWrap w:val="0"/>
        <w:adjustRightInd w:val="0"/>
        <w:snapToGrid w:val="0"/>
        <w:spacing w:line="360" w:lineRule="auto"/>
        <w:ind w:firstLine="560" w:firstLineChars="200"/>
        <w:rPr>
          <w:rFonts w:hint="default" w:ascii="Times New Roman" w:hAnsi="Times New Roman" w:eastAsia="宋体" w:cs="Times New Roman"/>
          <w:bCs/>
          <w:sz w:val="28"/>
          <w:szCs w:val="21"/>
        </w:rPr>
      </w:pPr>
      <w:r>
        <w:rPr>
          <w:rFonts w:hint="default" w:ascii="Times New Roman" w:hAnsi="Times New Roman" w:eastAsia="宋体" w:cs="Times New Roman"/>
          <w:bCs/>
          <w:sz w:val="28"/>
          <w:szCs w:val="21"/>
        </w:rPr>
        <w:t>通过调查和收集资料对矿区岩溶发育规律分析，该区岩溶发育一般受地层岩性、地质构造、地形、地貌、地下水的活动因素的影响。</w:t>
      </w:r>
    </w:p>
    <w:p w14:paraId="1C1700AA">
      <w:pPr>
        <w:wordWrap w:val="0"/>
        <w:adjustRightInd w:val="0"/>
        <w:snapToGrid w:val="0"/>
        <w:spacing w:line="360" w:lineRule="auto"/>
        <w:ind w:firstLine="560" w:firstLineChars="200"/>
        <w:rPr>
          <w:rFonts w:hint="default" w:ascii="Times New Roman" w:hAnsi="Times New Roman" w:eastAsia="宋体" w:cs="Times New Roman"/>
          <w:bCs/>
          <w:sz w:val="28"/>
          <w:szCs w:val="21"/>
        </w:rPr>
      </w:pPr>
      <w:r>
        <w:rPr>
          <w:rFonts w:hint="default" w:ascii="Times New Roman" w:hAnsi="Times New Roman" w:eastAsia="宋体" w:cs="Times New Roman"/>
          <w:bCs/>
          <w:sz w:val="28"/>
          <w:szCs w:val="21"/>
        </w:rPr>
        <w:t>①岩溶发育主方向与地层构造关系密切。主要表现在以下两点：其一是溶洞和岩溶管道发育的主方向与地层走向、断裂走向基本一致，区域溶隙、溶洞和岩溶管基本是顺层或沿断裂方向发育和延伸的。其二是区域上泉水有的沿断裂分布，有的则在同一时代但岩性不同的接触带出露。</w:t>
      </w:r>
    </w:p>
    <w:p w14:paraId="1D5CDA04">
      <w:pPr>
        <w:adjustRightInd w:val="0"/>
        <w:snapToGrid w:val="0"/>
        <w:spacing w:line="360" w:lineRule="auto"/>
        <w:ind w:firstLine="560" w:firstLineChars="200"/>
        <w:rPr>
          <w:rFonts w:hint="default" w:ascii="Times New Roman" w:hAnsi="Times New Roman" w:eastAsia="宋体" w:cs="Times New Roman"/>
          <w:bCs/>
          <w:sz w:val="28"/>
          <w:szCs w:val="21"/>
          <w:lang w:eastAsia="zh-CN"/>
        </w:rPr>
      </w:pPr>
      <w:r>
        <w:rPr>
          <w:rFonts w:hint="default" w:ascii="Times New Roman" w:hAnsi="Times New Roman" w:eastAsia="宋体" w:cs="Times New Roman"/>
          <w:bCs/>
          <w:sz w:val="28"/>
          <w:szCs w:val="21"/>
        </w:rPr>
        <w:t>②岩溶的发育受侵蚀基准制约。由于碳酸盐岩富水性强，地下水活动强烈，岩溶较发育。区域岩溶发育的方向及强度受隔水层的控制，在接触带附近，正是地下水富集的地方，致使岩溶在接触带碳酸盐岩一侧发育强烈。由于区内地壳的间歇性上升，在地壳上升阶段，岩溶发育以垂直方向发育为主；在断层挤压带内，断层角砾岩、断层泥或糜棱岩胶结紧密，不利于地下水活动，岩溶不发育，多为阻水断层，但在断层影响带上，节理裂隙发育，岩层破碎，岩溶也随之发育，为地下水运移提供了良好空间</w:t>
      </w:r>
      <w:r>
        <w:rPr>
          <w:rFonts w:hint="default" w:ascii="Times New Roman" w:hAnsi="Times New Roman" w:eastAsia="宋体" w:cs="Times New Roman"/>
          <w:bCs/>
          <w:sz w:val="28"/>
          <w:szCs w:val="21"/>
          <w:lang w:eastAsia="zh-CN"/>
        </w:rPr>
        <w:t>。</w:t>
      </w:r>
    </w:p>
    <w:p w14:paraId="10D435AF">
      <w:pPr>
        <w:adjustRightInd w:val="0"/>
        <w:snapToGrid w:val="0"/>
        <w:spacing w:line="360" w:lineRule="auto"/>
        <w:ind w:firstLine="560" w:firstLineChars="200"/>
        <w:rPr>
          <w:rFonts w:hint="default" w:ascii="Times New Roman" w:hAnsi="Times New Roman" w:eastAsia="宋体" w:cs="Times New Roman"/>
          <w:bCs/>
          <w:sz w:val="28"/>
          <w:szCs w:val="21"/>
          <w:lang w:val="en-US" w:eastAsia="zh-CN"/>
        </w:rPr>
      </w:pPr>
      <w:r>
        <w:rPr>
          <w:rFonts w:hint="default" w:ascii="Times New Roman" w:hAnsi="Times New Roman" w:eastAsia="宋体" w:cs="Times New Roman"/>
          <w:bCs/>
          <w:sz w:val="28"/>
          <w:szCs w:val="21"/>
          <w:lang w:val="en-US" w:eastAsia="zh-CN"/>
        </w:rPr>
        <w:t>四、矿床工程地质勘查类型</w:t>
      </w:r>
    </w:p>
    <w:p w14:paraId="3D2051EE">
      <w:pPr>
        <w:adjustRightInd w:val="0"/>
        <w:snapToGrid w:val="0"/>
        <w:spacing w:line="360" w:lineRule="auto"/>
        <w:ind w:firstLine="560" w:firstLineChars="200"/>
        <w:rPr>
          <w:rFonts w:hint="default" w:ascii="Times New Roman" w:hAnsi="Times New Roman" w:eastAsia="宋体" w:cs="Times New Roman"/>
          <w:bCs/>
          <w:sz w:val="28"/>
          <w:szCs w:val="21"/>
          <w:lang w:val="en-US" w:eastAsia="zh-CN"/>
        </w:rPr>
      </w:pPr>
      <w:bookmarkStart w:id="195" w:name="_Hlk170844757"/>
      <w:bookmarkStart w:id="196" w:name="_Hlk194342562"/>
      <w:r>
        <w:rPr>
          <w:rFonts w:hint="default" w:ascii="Times New Roman" w:hAnsi="Times New Roman" w:eastAsia="宋体" w:cs="Times New Roman"/>
          <w:sz w:val="28"/>
          <w:szCs w:val="21"/>
        </w:rPr>
        <w:t>矿体</w:t>
      </w:r>
      <w:bookmarkEnd w:id="195"/>
      <w:r>
        <w:rPr>
          <w:rFonts w:hint="default" w:ascii="Times New Roman" w:hAnsi="Times New Roman" w:eastAsia="宋体" w:cs="Times New Roman"/>
          <w:sz w:val="28"/>
          <w:szCs w:val="21"/>
        </w:rPr>
        <w:t>为性质</w:t>
      </w:r>
      <w:r>
        <w:rPr>
          <w:rFonts w:hint="default" w:ascii="Times New Roman" w:hAnsi="Times New Roman" w:eastAsia="宋体" w:cs="Times New Roman"/>
          <w:sz w:val="28"/>
          <w:szCs w:val="21"/>
          <w:lang w:val="zh-CN"/>
        </w:rPr>
        <w:t>较软弱—半坚硬岩组</w:t>
      </w:r>
      <w:r>
        <w:rPr>
          <w:rFonts w:hint="default" w:ascii="Times New Roman" w:hAnsi="Times New Roman" w:eastAsia="宋体" w:cs="Times New Roman"/>
          <w:sz w:val="28"/>
          <w:szCs w:val="21"/>
        </w:rPr>
        <w:t>的白云岩，抗压中大，稳固性较差。露天开采组成边坡的岩性稳定性相对较差，易产生不良工程地质现象。依据《</w:t>
      </w:r>
      <w:r>
        <w:rPr>
          <w:rFonts w:hint="default" w:ascii="Times New Roman" w:hAnsi="Times New Roman" w:cs="Times New Roman"/>
          <w:sz w:val="28"/>
          <w:szCs w:val="21"/>
          <w:lang w:eastAsia="zh-CN"/>
        </w:rPr>
        <w:t>矿区水文地质工程地质勘查规范</w:t>
      </w:r>
      <w:r>
        <w:rPr>
          <w:rFonts w:hint="default" w:ascii="Times New Roman" w:hAnsi="Times New Roman" w:eastAsia="宋体" w:cs="Times New Roman"/>
          <w:sz w:val="28"/>
          <w:szCs w:val="21"/>
        </w:rPr>
        <w:t>》</w:t>
      </w:r>
      <w:r>
        <w:rPr>
          <w:rFonts w:hint="default" w:ascii="Times New Roman" w:hAnsi="Times New Roman" w:eastAsia="宋体" w:cs="Times New Roman"/>
          <w:sz w:val="28"/>
          <w:szCs w:val="21"/>
          <w:lang w:eastAsia="zh-CN"/>
        </w:rPr>
        <w:t>（</w:t>
      </w:r>
      <w:r>
        <w:rPr>
          <w:rFonts w:hint="default" w:ascii="Times New Roman" w:hAnsi="Times New Roman" w:eastAsia="宋体" w:cs="Times New Roman"/>
          <w:sz w:val="28"/>
          <w:szCs w:val="21"/>
        </w:rPr>
        <w:t>GB/T12719-2021</w:t>
      </w:r>
      <w:r>
        <w:rPr>
          <w:rFonts w:hint="default" w:ascii="Times New Roman" w:hAnsi="Times New Roman" w:eastAsia="宋体" w:cs="Times New Roman"/>
          <w:sz w:val="28"/>
          <w:szCs w:val="21"/>
          <w:lang w:eastAsia="zh-CN"/>
        </w:rPr>
        <w:t>）</w:t>
      </w:r>
      <w:r>
        <w:rPr>
          <w:rFonts w:hint="default" w:ascii="Times New Roman" w:hAnsi="Times New Roman" w:eastAsia="宋体" w:cs="Times New Roman"/>
          <w:sz w:val="28"/>
          <w:szCs w:val="21"/>
        </w:rPr>
        <w:t>划分矿床水文地质类型标准，</w:t>
      </w:r>
      <w:r>
        <w:rPr>
          <w:rFonts w:hint="default" w:ascii="Times New Roman" w:hAnsi="Times New Roman" w:eastAsia="宋体" w:cs="Times New Roman"/>
          <w:spacing w:val="-6"/>
          <w:kern w:val="0"/>
          <w:sz w:val="28"/>
          <w:szCs w:val="21"/>
        </w:rPr>
        <w:t>工程地质条件一般较复杂，矿内地形地貌条件简单，地层岩性较单一，断裂构造不发育，岩体以层状结构为主。近地表岩石破碎，抗压强度低，在工程活动诱发下易发生浅层滑坡、崩塌、垮塌等矿山工程地质问题，</w:t>
      </w:r>
      <w:r>
        <w:rPr>
          <w:rFonts w:hint="default" w:ascii="Times New Roman" w:hAnsi="Times New Roman" w:eastAsia="宋体" w:cs="Times New Roman"/>
          <w:sz w:val="28"/>
          <w:szCs w:val="21"/>
        </w:rPr>
        <w:t>工程地质勘探类型属以碎裂结构块状岩类</w:t>
      </w:r>
      <w:r>
        <w:rPr>
          <w:rFonts w:hint="default" w:ascii="Times New Roman" w:hAnsi="Times New Roman" w:eastAsia="宋体" w:cs="Times New Roman"/>
          <w:sz w:val="28"/>
          <w:szCs w:val="21"/>
          <w:lang w:val="zh-CN"/>
        </w:rPr>
        <w:t>较</w:t>
      </w:r>
      <w:r>
        <w:rPr>
          <w:rFonts w:hint="default" w:ascii="Times New Roman" w:hAnsi="Times New Roman" w:eastAsia="宋体" w:cs="Times New Roman"/>
          <w:sz w:val="28"/>
          <w:szCs w:val="21"/>
        </w:rPr>
        <w:t>软弱—</w:t>
      </w:r>
      <w:r>
        <w:rPr>
          <w:rFonts w:hint="default" w:ascii="Times New Roman" w:hAnsi="Times New Roman" w:eastAsia="宋体" w:cs="Times New Roman"/>
          <w:sz w:val="28"/>
          <w:szCs w:val="21"/>
          <w:lang w:val="zh-CN"/>
        </w:rPr>
        <w:t>半</w:t>
      </w:r>
      <w:r>
        <w:rPr>
          <w:rFonts w:hint="default" w:ascii="Times New Roman" w:hAnsi="Times New Roman" w:eastAsia="宋体" w:cs="Times New Roman"/>
          <w:sz w:val="28"/>
          <w:szCs w:val="21"/>
        </w:rPr>
        <w:t>坚硬岩组为主的中等类型，工</w:t>
      </w:r>
      <w:r>
        <w:rPr>
          <w:rFonts w:hint="default" w:ascii="Times New Roman" w:hAnsi="Times New Roman" w:eastAsia="宋体" w:cs="Times New Roman"/>
          <w:spacing w:val="-6"/>
          <w:kern w:val="0"/>
          <w:sz w:val="28"/>
          <w:szCs w:val="21"/>
        </w:rPr>
        <w:t>程地质勘查复杂程度为中等型</w:t>
      </w:r>
      <w:bookmarkEnd w:id="196"/>
      <w:r>
        <w:rPr>
          <w:rFonts w:hint="default" w:ascii="Times New Roman" w:hAnsi="Times New Roman" w:eastAsia="宋体" w:cs="Times New Roman"/>
          <w:spacing w:val="-6"/>
          <w:kern w:val="0"/>
          <w:sz w:val="28"/>
          <w:szCs w:val="21"/>
          <w:lang w:eastAsia="zh-CN"/>
        </w:rPr>
        <w:t>。</w:t>
      </w:r>
    </w:p>
    <w:bookmarkEnd w:id="191"/>
    <w:bookmarkEnd w:id="192"/>
    <w:bookmarkEnd w:id="193"/>
    <w:p w14:paraId="37E9ACA0">
      <w:pPr>
        <w:spacing w:line="360" w:lineRule="auto"/>
        <w:ind w:firstLine="562" w:firstLineChars="200"/>
        <w:outlineLvl w:val="3"/>
        <w:rPr>
          <w:rFonts w:hint="default" w:ascii="Times New Roman" w:hAnsi="Times New Roman" w:cs="Times New Roman"/>
          <w:b/>
          <w:bCs/>
          <w:sz w:val="28"/>
          <w:szCs w:val="28"/>
        </w:rPr>
      </w:pPr>
      <w:r>
        <w:rPr>
          <w:rFonts w:hint="default" w:ascii="Times New Roman" w:hAnsi="Times New Roman" w:cs="Times New Roman"/>
          <w:b/>
          <w:bCs/>
          <w:sz w:val="28"/>
          <w:szCs w:val="28"/>
        </w:rPr>
        <w:t>2.3.</w:t>
      </w:r>
      <w:r>
        <w:rPr>
          <w:rFonts w:hint="default" w:ascii="Times New Roman" w:hAnsi="Times New Roman" w:cs="Times New Roman"/>
          <w:b/>
          <w:bCs/>
          <w:sz w:val="28"/>
          <w:szCs w:val="28"/>
          <w:lang w:val="en-US" w:eastAsia="zh-CN"/>
        </w:rPr>
        <w:t>4</w:t>
      </w:r>
      <w:r>
        <w:rPr>
          <w:rFonts w:hint="default" w:ascii="Times New Roman" w:hAnsi="Times New Roman" w:cs="Times New Roman"/>
          <w:b/>
          <w:bCs/>
          <w:sz w:val="28"/>
          <w:szCs w:val="28"/>
        </w:rPr>
        <w:t>.3环境地质条件</w:t>
      </w:r>
    </w:p>
    <w:p w14:paraId="358233ED">
      <w:pPr>
        <w:tabs>
          <w:tab w:val="left" w:pos="573"/>
        </w:tabs>
        <w:adjustRightInd w:val="0"/>
        <w:snapToGrid w:val="0"/>
        <w:spacing w:line="360" w:lineRule="auto"/>
        <w:ind w:firstLine="560" w:firstLineChars="200"/>
        <w:rPr>
          <w:rFonts w:hint="default" w:ascii="Times New Roman" w:hAnsi="Times New Roman" w:cs="Times New Roman"/>
          <w:sz w:val="28"/>
          <w:szCs w:val="28"/>
        </w:rPr>
      </w:pPr>
      <w:bookmarkStart w:id="197" w:name="_Toc269044875"/>
      <w:bookmarkStart w:id="198" w:name="_Toc259523332"/>
      <w:bookmarkStart w:id="199" w:name="_Toc288257206"/>
      <w:r>
        <w:rPr>
          <w:rFonts w:hint="default" w:ascii="Times New Roman" w:hAnsi="Times New Roman" w:cs="Times New Roman"/>
          <w:sz w:val="28"/>
          <w:szCs w:val="28"/>
        </w:rPr>
        <w:t>一、</w:t>
      </w:r>
      <w:bookmarkStart w:id="200" w:name="_Hlk194342586"/>
      <w:r>
        <w:rPr>
          <w:rFonts w:hint="default" w:ascii="Times New Roman" w:hAnsi="Times New Roman" w:cs="Times New Roman"/>
          <w:sz w:val="28"/>
          <w:szCs w:val="28"/>
        </w:rPr>
        <w:t>区域稳定性</w:t>
      </w:r>
      <w:bookmarkEnd w:id="200"/>
    </w:p>
    <w:p w14:paraId="0F7BD508">
      <w:pPr>
        <w:tabs>
          <w:tab w:val="left" w:pos="573"/>
        </w:tabs>
        <w:adjustRightInd w:val="0"/>
        <w:snapToGrid w:val="0"/>
        <w:spacing w:line="360" w:lineRule="auto"/>
        <w:ind w:firstLine="560" w:firstLineChars="200"/>
        <w:rPr>
          <w:rFonts w:hint="default" w:ascii="Times New Roman" w:hAnsi="Times New Roman" w:cs="Times New Roman"/>
          <w:sz w:val="28"/>
          <w:szCs w:val="28"/>
        </w:rPr>
      </w:pPr>
      <w:bookmarkStart w:id="201" w:name="_Hlk194342579"/>
      <w:r>
        <w:rPr>
          <w:rFonts w:hint="default" w:ascii="Times New Roman" w:hAnsi="Times New Roman" w:cs="Times New Roman"/>
          <w:sz w:val="28"/>
          <w:szCs w:val="28"/>
        </w:rPr>
        <w:t>弥勒市自明代有地震记载以来，仅有1909年5月11日发生了弥勒历史上最大的地震（西二西洱6.5级地震），距今已有112年。据1970 年成立地震监测机构以来的统计，境内平均每年有20 次以上1.0～4.5级的弱震或有感地震发生，2020年达51次。从新构造运动特点及省地震部门的预测来看，区内存在发生7级地震的可能性，今后应按此设防。</w:t>
      </w:r>
    </w:p>
    <w:p w14:paraId="7EA95E66">
      <w:pPr>
        <w:tabs>
          <w:tab w:val="left" w:pos="573"/>
        </w:tabs>
        <w:adjustRightInd w:val="0"/>
        <w:snapToGrid w:val="0"/>
        <w:spacing w:line="360" w:lineRule="auto"/>
        <w:ind w:firstLine="560" w:firstLineChars="200"/>
        <w:rPr>
          <w:rFonts w:hint="default" w:ascii="Times New Roman" w:hAnsi="Times New Roman" w:cs="Times New Roman"/>
          <w:kern w:val="10"/>
          <w:sz w:val="28"/>
          <w:szCs w:val="28"/>
        </w:rPr>
      </w:pPr>
      <w:r>
        <w:rPr>
          <w:rFonts w:hint="default" w:ascii="Times New Roman" w:hAnsi="Times New Roman" w:cs="Times New Roman"/>
          <w:sz w:val="28"/>
          <w:szCs w:val="28"/>
        </w:rPr>
        <w:t>根据《中国地震动峰值加速度区划图》及《</w:t>
      </w:r>
      <w:r>
        <w:rPr>
          <w:rFonts w:hint="default" w:ascii="Times New Roman" w:hAnsi="Times New Roman" w:cs="Times New Roman"/>
          <w:sz w:val="28"/>
          <w:szCs w:val="28"/>
          <w:lang w:eastAsia="zh-CN"/>
        </w:rPr>
        <w:t>中国地震动参数区划图</w:t>
      </w:r>
      <w:r>
        <w:rPr>
          <w:rFonts w:hint="default" w:ascii="Times New Roman" w:hAnsi="Times New Roman" w:cs="Times New Roman"/>
          <w:sz w:val="28"/>
          <w:szCs w:val="28"/>
        </w:rPr>
        <w:t>》（GB18306-2015），弥勒市地震动峰值加速度为0.15g，地震基本烈度为Ⅶ度，地震动反应谱特征周期为0.45s。所属的设计地震分组为第三组。按《云南省区域地壳稳定性评价图》，矿区位于弥勒—师宗断裂带南侧，该断裂带为弱活动断裂，在第四系中期或早期活动，对矿山开采生产无影响，区域处于次稳定区（Ⅲ</w:t>
      </w:r>
      <w:r>
        <w:rPr>
          <w:rFonts w:hint="default" w:ascii="Times New Roman" w:hAnsi="Times New Roman" w:cs="Times New Roman"/>
          <w:sz w:val="28"/>
          <w:szCs w:val="28"/>
          <w:vertAlign w:val="subscript"/>
        </w:rPr>
        <w:t>1</w:t>
      </w:r>
      <w:r>
        <w:rPr>
          <w:rFonts w:hint="default" w:ascii="Times New Roman" w:hAnsi="Times New Roman" w:cs="Times New Roman"/>
          <w:sz w:val="28"/>
          <w:szCs w:val="28"/>
        </w:rPr>
        <w:t>）内</w:t>
      </w:r>
      <w:bookmarkEnd w:id="201"/>
      <w:r>
        <w:rPr>
          <w:rFonts w:hint="default" w:ascii="Times New Roman" w:hAnsi="Times New Roman" w:cs="Times New Roman"/>
          <w:kern w:val="10"/>
          <w:sz w:val="28"/>
          <w:szCs w:val="28"/>
        </w:rPr>
        <w:t>。</w:t>
      </w:r>
    </w:p>
    <w:p w14:paraId="58367F19">
      <w:pPr>
        <w:tabs>
          <w:tab w:val="left" w:pos="573"/>
        </w:tabs>
        <w:adjustRightInd w:val="0"/>
        <w:snapToGrid w:val="0"/>
        <w:spacing w:line="360" w:lineRule="auto"/>
        <w:ind w:firstLine="560" w:firstLineChars="200"/>
        <w:rPr>
          <w:rFonts w:hint="default" w:ascii="Times New Roman" w:hAnsi="Times New Roman" w:cs="Times New Roman"/>
          <w:kern w:val="10"/>
          <w:sz w:val="28"/>
          <w:szCs w:val="28"/>
        </w:rPr>
      </w:pPr>
      <w:bookmarkStart w:id="202" w:name="_Toc311104049"/>
      <w:bookmarkStart w:id="203" w:name="_Toc30468"/>
      <w:bookmarkStart w:id="204" w:name="_Toc8964"/>
      <w:bookmarkStart w:id="205" w:name="_Toc478552195"/>
      <w:bookmarkStart w:id="206" w:name="_Toc11302"/>
      <w:bookmarkStart w:id="207" w:name="_Toc16509"/>
      <w:bookmarkStart w:id="208" w:name="_Toc492548230"/>
      <w:bookmarkStart w:id="209" w:name="_Toc11599"/>
      <w:bookmarkStart w:id="210" w:name="_Toc23222"/>
      <w:bookmarkStart w:id="211" w:name="_Toc19187"/>
      <w:bookmarkStart w:id="212" w:name="_Toc23099"/>
      <w:bookmarkStart w:id="213" w:name="_Toc26693"/>
      <w:bookmarkStart w:id="214" w:name="_Toc308596372"/>
      <w:bookmarkStart w:id="215" w:name="_Toc292544398"/>
      <w:bookmarkStart w:id="216" w:name="_Toc5287"/>
      <w:r>
        <w:rPr>
          <w:rFonts w:hint="default" w:ascii="Times New Roman" w:hAnsi="Times New Roman" w:cs="Times New Roman"/>
          <w:kern w:val="10"/>
          <w:sz w:val="28"/>
          <w:szCs w:val="28"/>
        </w:rPr>
        <w:t>二、</w:t>
      </w:r>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Start w:id="217" w:name="_Hlk194342594"/>
      <w:r>
        <w:rPr>
          <w:rFonts w:hint="default" w:ascii="Times New Roman" w:hAnsi="Times New Roman" w:cs="Times New Roman"/>
          <w:kern w:val="10"/>
          <w:sz w:val="28"/>
          <w:szCs w:val="28"/>
        </w:rPr>
        <w:t>矿山地质环境现状</w:t>
      </w:r>
      <w:bookmarkEnd w:id="217"/>
    </w:p>
    <w:p w14:paraId="0A8C6DF7">
      <w:pPr>
        <w:tabs>
          <w:tab w:val="left" w:pos="573"/>
        </w:tabs>
        <w:adjustRightInd w:val="0"/>
        <w:snapToGrid w:val="0"/>
        <w:spacing w:line="360" w:lineRule="auto"/>
        <w:ind w:firstLine="560" w:firstLineChars="200"/>
        <w:rPr>
          <w:rFonts w:hint="default" w:ascii="Times New Roman" w:hAnsi="Times New Roman" w:cs="Times New Roman"/>
          <w:kern w:val="10"/>
          <w:sz w:val="28"/>
          <w:szCs w:val="28"/>
        </w:rPr>
      </w:pPr>
      <w:bookmarkStart w:id="218" w:name="_Hlk194342606"/>
      <w:r>
        <w:rPr>
          <w:rFonts w:hint="default" w:ascii="Times New Roman" w:hAnsi="Times New Roman" w:cs="Times New Roman"/>
          <w:kern w:val="10"/>
          <w:sz w:val="28"/>
          <w:szCs w:val="28"/>
        </w:rPr>
        <w:t>采区占地已由采矿权人办理了相关手续，离居民点较远，采区主要为荒山、荒地、荒坡，离城镇、村庄500m以上，无历史遗迹、文物保护区，无自然保护区，无基本农田保护区，无军事禁区，无水库、水源保护区、无铁路等需要保护的设施，无特别需要保护的野生动、植物资源，区域整体生态环境状况一般。矿区最高开采标高1550m，最低开采标高1470m，相对高差80m，属低中山区地貌，矿区地形自然坡度5～20°，总体地貌为由东向西倾斜的单斜地貌，地形有利于大气降雨的自然排泄。矿区范围内的全部资源量均位于当地地下水侵蚀基准面1432m以上，地表水及地下水对矿山开采影响较小。</w:t>
      </w:r>
    </w:p>
    <w:p w14:paraId="79694CF4">
      <w:pPr>
        <w:tabs>
          <w:tab w:val="left" w:pos="573"/>
        </w:tabs>
        <w:adjustRightInd w:val="0"/>
        <w:snapToGrid w:val="0"/>
        <w:spacing w:line="360" w:lineRule="auto"/>
        <w:ind w:firstLine="560" w:firstLineChars="200"/>
        <w:rPr>
          <w:rFonts w:hint="default" w:ascii="Times New Roman" w:hAnsi="Times New Roman" w:cs="Times New Roman"/>
          <w:kern w:val="10"/>
          <w:sz w:val="28"/>
          <w:szCs w:val="28"/>
        </w:rPr>
      </w:pPr>
      <w:r>
        <w:rPr>
          <w:rFonts w:hint="default" w:ascii="Times New Roman" w:hAnsi="Times New Roman" w:cs="Times New Roman"/>
          <w:kern w:val="10"/>
          <w:sz w:val="28"/>
          <w:szCs w:val="28"/>
        </w:rPr>
        <w:t>经调查，目前未发现台阶边坡失稳、滑坡、崩塌、泥石流等不良地质现象。</w:t>
      </w:r>
    </w:p>
    <w:p w14:paraId="2B5C369A">
      <w:pPr>
        <w:tabs>
          <w:tab w:val="left" w:pos="573"/>
        </w:tabs>
        <w:adjustRightInd w:val="0"/>
        <w:snapToGrid w:val="0"/>
        <w:spacing w:line="360" w:lineRule="auto"/>
        <w:ind w:firstLine="560" w:firstLineChars="200"/>
        <w:rPr>
          <w:rFonts w:hint="default" w:ascii="Times New Roman" w:hAnsi="Times New Roman" w:cs="Times New Roman"/>
          <w:kern w:val="10"/>
          <w:sz w:val="28"/>
          <w:szCs w:val="28"/>
        </w:rPr>
      </w:pPr>
      <w:bookmarkStart w:id="219" w:name="_Toc446291208"/>
      <w:r>
        <w:rPr>
          <w:rFonts w:hint="default" w:ascii="Times New Roman" w:hAnsi="Times New Roman" w:cs="Times New Roman"/>
          <w:kern w:val="10"/>
          <w:sz w:val="28"/>
          <w:szCs w:val="28"/>
        </w:rPr>
        <w:t>（1）地表水、地下水环境质量评述</w:t>
      </w:r>
      <w:bookmarkEnd w:id="219"/>
    </w:p>
    <w:p w14:paraId="4FB529DF">
      <w:pPr>
        <w:tabs>
          <w:tab w:val="left" w:pos="573"/>
        </w:tabs>
        <w:adjustRightInd w:val="0"/>
        <w:snapToGrid w:val="0"/>
        <w:spacing w:line="360" w:lineRule="auto"/>
        <w:ind w:firstLine="560" w:firstLineChars="200"/>
        <w:rPr>
          <w:rFonts w:hint="default" w:ascii="Times New Roman" w:hAnsi="Times New Roman" w:cs="Times New Roman"/>
          <w:kern w:val="10"/>
          <w:sz w:val="28"/>
          <w:szCs w:val="28"/>
        </w:rPr>
      </w:pPr>
      <w:r>
        <w:rPr>
          <w:rFonts w:hint="default" w:ascii="Times New Roman" w:hAnsi="Times New Roman" w:cs="Times New Roman"/>
          <w:kern w:val="10"/>
          <w:sz w:val="28"/>
          <w:szCs w:val="28"/>
        </w:rPr>
        <w:t>矿区地表水系不发育，跃进大沟为季节性水流，现状基本断流。矿区内主要采用露天开采的方式，对其质量有一定程度的影响。由于地处分水岭地带，大气降雨补给地下水，地下水排泄补给地表水，地表水、地下水水质无污染，地表农业生态环境优越，地表水水质整体较好，但季节性变化较大，</w:t>
      </w:r>
      <w:r>
        <w:rPr>
          <w:rFonts w:hint="default" w:ascii="Times New Roman" w:hAnsi="Times New Roman" w:cs="Times New Roman"/>
          <w:kern w:val="10"/>
          <w:sz w:val="28"/>
          <w:szCs w:val="28"/>
          <w:lang w:val="zh-CN"/>
        </w:rPr>
        <w:t>矿山生产用水取自约1km外的小沙冲坝塘，</w:t>
      </w:r>
      <w:r>
        <w:rPr>
          <w:rFonts w:hint="default" w:ascii="Times New Roman" w:hAnsi="Times New Roman" w:cs="Times New Roman"/>
          <w:kern w:val="10"/>
          <w:sz w:val="28"/>
          <w:szCs w:val="28"/>
        </w:rPr>
        <w:t>生活用水由弥勒市自来水公司提供</w:t>
      </w:r>
      <w:r>
        <w:rPr>
          <w:rFonts w:hint="default" w:ascii="Times New Roman" w:hAnsi="Times New Roman" w:cs="Times New Roman"/>
          <w:kern w:val="10"/>
          <w:sz w:val="28"/>
          <w:szCs w:val="28"/>
          <w:lang w:val="zh-CN"/>
        </w:rPr>
        <w:t>。</w:t>
      </w:r>
    </w:p>
    <w:p w14:paraId="6375FFFB">
      <w:pPr>
        <w:tabs>
          <w:tab w:val="left" w:pos="573"/>
        </w:tabs>
        <w:adjustRightInd w:val="0"/>
        <w:snapToGrid w:val="0"/>
        <w:spacing w:line="360" w:lineRule="auto"/>
        <w:ind w:firstLine="560" w:firstLineChars="200"/>
        <w:rPr>
          <w:rFonts w:hint="default" w:ascii="Times New Roman" w:hAnsi="Times New Roman" w:cs="Times New Roman"/>
          <w:kern w:val="10"/>
          <w:sz w:val="28"/>
          <w:szCs w:val="28"/>
        </w:rPr>
      </w:pPr>
      <w:bookmarkStart w:id="220" w:name="_Toc446291209"/>
      <w:bookmarkEnd w:id="220"/>
      <w:r>
        <w:rPr>
          <w:rFonts w:hint="default" w:ascii="Times New Roman" w:hAnsi="Times New Roman" w:cs="Times New Roman"/>
          <w:kern w:val="10"/>
          <w:sz w:val="28"/>
          <w:szCs w:val="28"/>
        </w:rPr>
        <w:t>（2）矿石及围岩中有害组分对环境的影响</w:t>
      </w:r>
    </w:p>
    <w:p w14:paraId="597A2321">
      <w:pPr>
        <w:tabs>
          <w:tab w:val="left" w:pos="573"/>
        </w:tabs>
        <w:adjustRightInd w:val="0"/>
        <w:snapToGrid w:val="0"/>
        <w:spacing w:line="360" w:lineRule="auto"/>
        <w:ind w:firstLine="560" w:firstLineChars="200"/>
        <w:rPr>
          <w:rFonts w:hint="default" w:ascii="Times New Roman" w:hAnsi="Times New Roman" w:cs="Times New Roman"/>
          <w:kern w:val="10"/>
          <w:sz w:val="28"/>
          <w:szCs w:val="28"/>
        </w:rPr>
      </w:pPr>
      <w:r>
        <w:rPr>
          <w:rFonts w:hint="default" w:ascii="Times New Roman" w:hAnsi="Times New Roman" w:cs="Times New Roman"/>
          <w:kern w:val="10"/>
          <w:sz w:val="28"/>
          <w:szCs w:val="28"/>
        </w:rPr>
        <w:t>矿区内矿石为灰、深灰色碎裂白云岩，主要矿物组分为白云岩，少量白云石碎基，方解石、铁泥质胶结物组成。矿体和围岩中S、P、Cl元素含量较低，并且赋存状态稳定，矿体中不含放射性元素，有害元素含量较低，在淋滤作用下进入水体的含量微弱，不会对区内水体造成污染。矿床开采方式采用露天剥离开采，对环境不会造成大的影响</w:t>
      </w:r>
      <w:bookmarkEnd w:id="218"/>
      <w:r>
        <w:rPr>
          <w:rFonts w:hint="default" w:ascii="Times New Roman" w:hAnsi="Times New Roman" w:cs="Times New Roman"/>
          <w:kern w:val="10"/>
          <w:sz w:val="28"/>
          <w:szCs w:val="28"/>
        </w:rPr>
        <w:t>。</w:t>
      </w:r>
    </w:p>
    <w:p w14:paraId="7B1CEE3F">
      <w:pPr>
        <w:tabs>
          <w:tab w:val="left" w:pos="573"/>
        </w:tabs>
        <w:adjustRightInd w:val="0"/>
        <w:snapToGrid w:val="0"/>
        <w:spacing w:line="360" w:lineRule="auto"/>
        <w:ind w:firstLine="560" w:firstLineChars="200"/>
        <w:rPr>
          <w:rFonts w:hint="default" w:ascii="Times New Roman" w:hAnsi="Times New Roman" w:cs="Times New Roman"/>
          <w:kern w:val="10"/>
          <w:sz w:val="28"/>
          <w:szCs w:val="28"/>
          <w:lang w:val="en-US" w:eastAsia="zh-CN"/>
        </w:rPr>
      </w:pPr>
      <w:r>
        <w:rPr>
          <w:rFonts w:hint="default" w:ascii="Times New Roman" w:hAnsi="Times New Roman" w:cs="Times New Roman"/>
          <w:kern w:val="10"/>
          <w:sz w:val="28"/>
          <w:szCs w:val="28"/>
          <w:lang w:val="en-US" w:eastAsia="zh-CN"/>
        </w:rPr>
        <w:t>三、</w:t>
      </w:r>
      <w:bookmarkStart w:id="221" w:name="_Hlk194342619"/>
      <w:r>
        <w:rPr>
          <w:rFonts w:hint="default" w:ascii="Times New Roman" w:hAnsi="Times New Roman" w:cs="Times New Roman"/>
          <w:kern w:val="10"/>
          <w:sz w:val="28"/>
          <w:szCs w:val="28"/>
          <w:lang w:val="en-US" w:eastAsia="zh-CN"/>
        </w:rPr>
        <w:t>矿山开采对地质环境的影响</w:t>
      </w:r>
      <w:bookmarkEnd w:id="221"/>
    </w:p>
    <w:p w14:paraId="554189D9">
      <w:pPr>
        <w:tabs>
          <w:tab w:val="left" w:pos="573"/>
        </w:tabs>
        <w:adjustRightInd w:val="0"/>
        <w:snapToGrid w:val="0"/>
        <w:spacing w:line="360" w:lineRule="auto"/>
        <w:ind w:firstLine="560" w:firstLineChars="200"/>
        <w:rPr>
          <w:rFonts w:hint="default" w:ascii="Times New Roman" w:hAnsi="Times New Roman" w:cs="Times New Roman"/>
          <w:kern w:val="10"/>
          <w:sz w:val="28"/>
          <w:szCs w:val="28"/>
          <w:lang w:val="en-US" w:eastAsia="zh-CN"/>
        </w:rPr>
      </w:pPr>
      <w:r>
        <w:rPr>
          <w:rFonts w:hint="default" w:ascii="Times New Roman" w:hAnsi="Times New Roman" w:cs="Times New Roman"/>
          <w:kern w:val="10"/>
          <w:sz w:val="28"/>
          <w:szCs w:val="28"/>
          <w:lang w:val="en-US" w:eastAsia="zh-CN"/>
        </w:rPr>
        <w:t>1、本次地质工作认为，矿山开采对环境的影响主要表现在如下方面：</w:t>
      </w:r>
    </w:p>
    <w:p w14:paraId="26ED2857">
      <w:pPr>
        <w:tabs>
          <w:tab w:val="left" w:pos="573"/>
        </w:tabs>
        <w:adjustRightInd w:val="0"/>
        <w:snapToGrid w:val="0"/>
        <w:spacing w:line="360" w:lineRule="auto"/>
        <w:ind w:firstLine="560" w:firstLineChars="200"/>
        <w:rPr>
          <w:rFonts w:hint="default" w:ascii="Times New Roman" w:hAnsi="Times New Roman" w:cs="Times New Roman"/>
          <w:kern w:val="10"/>
          <w:sz w:val="28"/>
          <w:szCs w:val="28"/>
          <w:lang w:val="en-US" w:eastAsia="zh-CN"/>
        </w:rPr>
      </w:pPr>
      <w:r>
        <w:rPr>
          <w:rFonts w:hint="default" w:ascii="Times New Roman" w:hAnsi="Times New Roman" w:cs="Times New Roman"/>
          <w:kern w:val="10"/>
          <w:sz w:val="28"/>
          <w:szCs w:val="28"/>
          <w:lang w:val="en-US" w:eastAsia="zh-CN"/>
        </w:rPr>
        <w:t>（1）开拓采场：导致植被、灌木和草丛破坏。</w:t>
      </w:r>
    </w:p>
    <w:p w14:paraId="40250A74">
      <w:pPr>
        <w:tabs>
          <w:tab w:val="left" w:pos="573"/>
        </w:tabs>
        <w:adjustRightInd w:val="0"/>
        <w:snapToGrid w:val="0"/>
        <w:spacing w:line="360" w:lineRule="auto"/>
        <w:ind w:firstLine="560" w:firstLineChars="200"/>
        <w:rPr>
          <w:rFonts w:hint="default" w:ascii="Times New Roman" w:hAnsi="Times New Roman" w:cs="Times New Roman"/>
          <w:kern w:val="10"/>
          <w:sz w:val="28"/>
          <w:szCs w:val="28"/>
          <w:lang w:val="en-US" w:eastAsia="zh-CN"/>
        </w:rPr>
      </w:pPr>
      <w:r>
        <w:rPr>
          <w:rFonts w:hint="default" w:ascii="Times New Roman" w:hAnsi="Times New Roman" w:cs="Times New Roman"/>
          <w:kern w:val="10"/>
          <w:sz w:val="28"/>
          <w:szCs w:val="28"/>
          <w:lang w:val="en-US" w:eastAsia="zh-CN"/>
        </w:rPr>
        <w:t>（2）矿山开采：改变矿区的地形，形成开采台阶和边坡陡坎，边坡陡坎有诱发崩塌、滑坡地质灾害发生的可能，从而进一步加剧环境的改变。</w:t>
      </w:r>
    </w:p>
    <w:p w14:paraId="52FE3013">
      <w:pPr>
        <w:tabs>
          <w:tab w:val="left" w:pos="573"/>
        </w:tabs>
        <w:adjustRightInd w:val="0"/>
        <w:snapToGrid w:val="0"/>
        <w:spacing w:line="360" w:lineRule="auto"/>
        <w:ind w:firstLine="560" w:firstLineChars="200"/>
        <w:rPr>
          <w:rFonts w:hint="default" w:ascii="Times New Roman" w:hAnsi="Times New Roman" w:cs="Times New Roman"/>
          <w:kern w:val="10"/>
          <w:sz w:val="28"/>
          <w:szCs w:val="28"/>
          <w:lang w:val="en-US" w:eastAsia="zh-CN"/>
        </w:rPr>
      </w:pPr>
      <w:r>
        <w:rPr>
          <w:rFonts w:hint="default" w:ascii="Times New Roman" w:hAnsi="Times New Roman" w:cs="Times New Roman"/>
          <w:kern w:val="10"/>
          <w:sz w:val="28"/>
          <w:szCs w:val="28"/>
          <w:lang w:val="en-US" w:eastAsia="zh-CN"/>
        </w:rPr>
        <w:t>（3）挖采：产生噪声和粉尘污染。</w:t>
      </w:r>
    </w:p>
    <w:p w14:paraId="6D37576D">
      <w:pPr>
        <w:tabs>
          <w:tab w:val="left" w:pos="573"/>
        </w:tabs>
        <w:adjustRightInd w:val="0"/>
        <w:snapToGrid w:val="0"/>
        <w:spacing w:line="360" w:lineRule="auto"/>
        <w:ind w:firstLine="560" w:firstLineChars="200"/>
        <w:rPr>
          <w:rFonts w:hint="default" w:ascii="Times New Roman" w:hAnsi="Times New Roman" w:cs="Times New Roman"/>
          <w:kern w:val="10"/>
          <w:sz w:val="28"/>
          <w:szCs w:val="28"/>
          <w:lang w:val="en-US" w:eastAsia="zh-CN"/>
        </w:rPr>
      </w:pPr>
      <w:r>
        <w:rPr>
          <w:rFonts w:hint="default" w:ascii="Times New Roman" w:hAnsi="Times New Roman" w:cs="Times New Roman"/>
          <w:kern w:val="10"/>
          <w:sz w:val="28"/>
          <w:szCs w:val="28"/>
          <w:lang w:val="en-US" w:eastAsia="zh-CN"/>
        </w:rPr>
        <w:t>（4）破碎、筛分：冲击、反击破碎和筛分时，产生粉尘和噪声污染。</w:t>
      </w:r>
    </w:p>
    <w:p w14:paraId="44970042">
      <w:pPr>
        <w:tabs>
          <w:tab w:val="left" w:pos="573"/>
        </w:tabs>
        <w:adjustRightInd w:val="0"/>
        <w:snapToGrid w:val="0"/>
        <w:spacing w:line="360" w:lineRule="auto"/>
        <w:ind w:firstLine="560" w:firstLineChars="200"/>
        <w:rPr>
          <w:rFonts w:hint="default" w:ascii="Times New Roman" w:hAnsi="Times New Roman" w:cs="Times New Roman"/>
          <w:kern w:val="10"/>
          <w:sz w:val="28"/>
          <w:szCs w:val="28"/>
          <w:lang w:val="en-US" w:eastAsia="zh-CN"/>
        </w:rPr>
      </w:pPr>
      <w:r>
        <w:rPr>
          <w:rFonts w:hint="default" w:ascii="Times New Roman" w:hAnsi="Times New Roman" w:cs="Times New Roman"/>
          <w:kern w:val="10"/>
          <w:sz w:val="28"/>
          <w:szCs w:val="28"/>
          <w:lang w:val="en-US" w:eastAsia="zh-CN"/>
        </w:rPr>
        <w:t>（5）运输：装卸、运输过程中产生的泄漏和扬尘，造成局部及运输沿线的污染和有碍视觉景观、行车安全。</w:t>
      </w:r>
    </w:p>
    <w:p w14:paraId="13FC8E84">
      <w:pPr>
        <w:tabs>
          <w:tab w:val="left" w:pos="573"/>
        </w:tabs>
        <w:adjustRightInd w:val="0"/>
        <w:snapToGrid w:val="0"/>
        <w:spacing w:line="360" w:lineRule="auto"/>
        <w:ind w:firstLine="560" w:firstLineChars="200"/>
        <w:rPr>
          <w:rFonts w:hint="default" w:ascii="Times New Roman" w:hAnsi="Times New Roman" w:cs="Times New Roman"/>
          <w:kern w:val="10"/>
          <w:sz w:val="28"/>
          <w:szCs w:val="28"/>
          <w:lang w:val="en-US" w:eastAsia="zh-CN"/>
        </w:rPr>
      </w:pPr>
      <w:r>
        <w:rPr>
          <w:rFonts w:hint="default" w:ascii="Times New Roman" w:hAnsi="Times New Roman" w:cs="Times New Roman"/>
          <w:kern w:val="10"/>
          <w:sz w:val="28"/>
          <w:szCs w:val="28"/>
          <w:lang w:val="en-US" w:eastAsia="zh-CN"/>
        </w:rPr>
        <w:t>（6）矿山废水：矿山生产生活用水对环境造成污染。</w:t>
      </w:r>
    </w:p>
    <w:p w14:paraId="16D576B0">
      <w:pPr>
        <w:tabs>
          <w:tab w:val="left" w:pos="573"/>
        </w:tabs>
        <w:adjustRightInd w:val="0"/>
        <w:snapToGrid w:val="0"/>
        <w:spacing w:line="360" w:lineRule="auto"/>
        <w:ind w:firstLine="560" w:firstLineChars="200"/>
        <w:rPr>
          <w:rFonts w:hint="default" w:ascii="Times New Roman" w:hAnsi="Times New Roman" w:cs="Times New Roman"/>
          <w:kern w:val="10"/>
          <w:sz w:val="28"/>
          <w:szCs w:val="28"/>
        </w:rPr>
      </w:pPr>
      <w:r>
        <w:rPr>
          <w:rFonts w:hint="default" w:ascii="Times New Roman" w:hAnsi="Times New Roman" w:cs="Times New Roman"/>
          <w:kern w:val="10"/>
          <w:sz w:val="28"/>
          <w:szCs w:val="28"/>
          <w:lang w:val="en-US" w:eastAsia="zh-CN"/>
        </w:rPr>
        <w:t>（7）废石、土：矿山开采产生的废石、弃土大量堆放可能引发崩塌和泥石流等地质灾害</w:t>
      </w:r>
      <w:r>
        <w:rPr>
          <w:rFonts w:hint="default" w:ascii="Times New Roman" w:hAnsi="Times New Roman" w:cs="Times New Roman"/>
          <w:kern w:val="10"/>
          <w:sz w:val="28"/>
          <w:szCs w:val="28"/>
        </w:rPr>
        <w:t>。</w:t>
      </w:r>
    </w:p>
    <w:p w14:paraId="1BD08744">
      <w:pPr>
        <w:tabs>
          <w:tab w:val="left" w:pos="573"/>
        </w:tabs>
        <w:adjustRightInd w:val="0"/>
        <w:snapToGrid w:val="0"/>
        <w:spacing w:line="360" w:lineRule="auto"/>
        <w:ind w:firstLine="560" w:firstLineChars="200"/>
        <w:rPr>
          <w:rFonts w:hint="default" w:ascii="Times New Roman" w:hAnsi="Times New Roman" w:cs="Times New Roman"/>
          <w:kern w:val="10"/>
          <w:sz w:val="28"/>
          <w:szCs w:val="28"/>
          <w:lang w:val="en-US" w:eastAsia="zh-CN"/>
        </w:rPr>
      </w:pPr>
      <w:r>
        <w:rPr>
          <w:rFonts w:hint="default" w:ascii="Times New Roman" w:hAnsi="Times New Roman" w:cs="Times New Roman"/>
          <w:kern w:val="10"/>
          <w:sz w:val="28"/>
          <w:szCs w:val="28"/>
          <w:lang w:val="en-US" w:eastAsia="zh-CN"/>
        </w:rPr>
        <w:t>四、</w:t>
      </w:r>
      <w:bookmarkStart w:id="222" w:name="_Hlk194342637"/>
      <w:r>
        <w:rPr>
          <w:rFonts w:hint="default" w:ascii="Times New Roman" w:hAnsi="Times New Roman" w:cs="Times New Roman"/>
          <w:kern w:val="10"/>
          <w:sz w:val="28"/>
          <w:szCs w:val="28"/>
          <w:lang w:val="en-US" w:eastAsia="zh-CN"/>
        </w:rPr>
        <w:t>地质环境质量</w:t>
      </w:r>
      <w:bookmarkEnd w:id="222"/>
    </w:p>
    <w:p w14:paraId="4A2DC7EC">
      <w:pPr>
        <w:tabs>
          <w:tab w:val="left" w:pos="573"/>
        </w:tabs>
        <w:adjustRightInd w:val="0"/>
        <w:snapToGrid w:val="0"/>
        <w:spacing w:line="360" w:lineRule="auto"/>
        <w:ind w:firstLine="560" w:firstLineChars="200"/>
        <w:rPr>
          <w:rFonts w:hint="default" w:ascii="Times New Roman" w:hAnsi="Times New Roman" w:cs="Times New Roman"/>
          <w:kern w:val="10"/>
          <w:sz w:val="28"/>
          <w:szCs w:val="28"/>
          <w:lang w:val="en-US" w:eastAsia="zh-CN"/>
        </w:rPr>
      </w:pPr>
      <w:bookmarkStart w:id="223" w:name="_Hlk194342648"/>
      <w:bookmarkStart w:id="224" w:name="_Hlk171673732"/>
      <w:bookmarkStart w:id="225" w:name="_Hlk169872751"/>
      <w:r>
        <w:rPr>
          <w:rFonts w:hint="default" w:ascii="Times New Roman" w:hAnsi="Times New Roman" w:cs="Times New Roman"/>
          <w:kern w:val="10"/>
          <w:sz w:val="28"/>
          <w:szCs w:val="28"/>
          <w:lang w:val="en-US" w:eastAsia="zh-CN"/>
        </w:rPr>
        <w:t>本区地震基本烈度为Ⅶ度区，区域稳定性为次稳定区；矿区内未发现大规模的滑坡、泥石流、地裂缝、地面沉降等地质灾害现象，采矿可能产生局部地表变形，但对地质环境破坏不大，露天采场内存在开采边坡，矿山开采将可能加剧现状地质灾害，并可能诱发新的地质灾害；矿山露天开采破坏了当地的应力平衡、地形地貌景观、土地利用格局；矿区范围内现状地质灾害弱发育，地质灾害危险性小，但是地形地貌景观破坏严重，废渣堆放隐患大，容易对环境地质产生较大的影响。矿区地质环境类型属第二类，地质环境质量为中等类型。采矿活动可导致地表地形及地貌景观的改变。矿区地质环境质量属以次生环境地质问题为主的中等类型</w:t>
      </w:r>
      <w:bookmarkEnd w:id="223"/>
      <w:r>
        <w:rPr>
          <w:rFonts w:hint="default" w:ascii="Times New Roman" w:hAnsi="Times New Roman" w:cs="Times New Roman"/>
          <w:kern w:val="10"/>
          <w:sz w:val="28"/>
          <w:szCs w:val="28"/>
          <w:lang w:val="en-US" w:eastAsia="zh-CN"/>
        </w:rPr>
        <w:t>。</w:t>
      </w:r>
    </w:p>
    <w:p w14:paraId="71B3544F">
      <w:pPr>
        <w:tabs>
          <w:tab w:val="left" w:pos="573"/>
        </w:tabs>
        <w:adjustRightInd w:val="0"/>
        <w:snapToGrid w:val="0"/>
        <w:spacing w:line="360" w:lineRule="auto"/>
        <w:ind w:firstLine="560" w:firstLineChars="200"/>
        <w:rPr>
          <w:rFonts w:hint="default" w:ascii="Times New Roman" w:hAnsi="Times New Roman" w:cs="Times New Roman"/>
          <w:kern w:val="10"/>
          <w:sz w:val="28"/>
          <w:szCs w:val="28"/>
          <w:lang w:val="en-US" w:eastAsia="zh-CN"/>
        </w:rPr>
      </w:pPr>
      <w:r>
        <w:rPr>
          <w:rFonts w:hint="default" w:ascii="Times New Roman" w:hAnsi="Times New Roman" w:cs="Times New Roman"/>
          <w:kern w:val="10"/>
          <w:sz w:val="28"/>
          <w:szCs w:val="28"/>
          <w:lang w:val="en-US" w:eastAsia="zh-CN"/>
        </w:rPr>
        <w:t>五、环境地质类型</w:t>
      </w:r>
    </w:p>
    <w:bookmarkEnd w:id="224"/>
    <w:bookmarkEnd w:id="225"/>
    <w:p w14:paraId="32BC1CFD">
      <w:pPr>
        <w:tabs>
          <w:tab w:val="left" w:pos="573"/>
        </w:tabs>
        <w:adjustRightInd w:val="0"/>
        <w:snapToGrid w:val="0"/>
        <w:spacing w:line="360" w:lineRule="auto"/>
        <w:ind w:firstLine="560" w:firstLineChars="200"/>
        <w:rPr>
          <w:rFonts w:hint="default" w:ascii="Times New Roman" w:hAnsi="Times New Roman" w:eastAsia="宋体" w:cs="Times New Roman"/>
          <w:kern w:val="10"/>
          <w:sz w:val="28"/>
          <w:szCs w:val="28"/>
          <w:lang w:val="en-US" w:eastAsia="zh-CN"/>
        </w:rPr>
      </w:pPr>
      <w:bookmarkStart w:id="226" w:name="_Hlk194342659"/>
      <w:r>
        <w:rPr>
          <w:rFonts w:hint="default" w:ascii="Times New Roman" w:hAnsi="Times New Roman" w:cs="Times New Roman"/>
          <w:kern w:val="10"/>
          <w:sz w:val="28"/>
          <w:szCs w:val="28"/>
          <w:lang w:val="en-US" w:eastAsia="zh-CN"/>
        </w:rPr>
        <w:t>矿区地震动峰值加速度为0.15g，地震动加速度反应谱特征周期为0.45s，抗震设防烈度为Ⅶ度，地震分组属第三组，属次不稳定区。矿山采矿活动而形成采空区边坡，现状处于稳定状态。矿区所在区域自然状态下山体稳定性好。但由于矿山开采，多处形成人工边坡，破坏山体的自然稳定平衡，可能引发滑坡、崩塌地质灾害。同时，地表浅部残坡积层在雨水的浸润下容易发生小型浅层滑坡，对矿山开采会造成一定危害，采场边坡存在滑坡、崩塌的可能，矿区环境地质条件属中等类型</w:t>
      </w:r>
      <w:bookmarkEnd w:id="226"/>
      <w:r>
        <w:rPr>
          <w:rFonts w:hint="default" w:ascii="Times New Roman" w:hAnsi="Times New Roman" w:cs="Times New Roman"/>
          <w:kern w:val="10"/>
          <w:sz w:val="28"/>
          <w:szCs w:val="28"/>
          <w:lang w:val="en-US" w:eastAsia="zh-CN"/>
        </w:rPr>
        <w:t>。</w:t>
      </w:r>
    </w:p>
    <w:p w14:paraId="5F93691A">
      <w:pPr>
        <w:spacing w:line="360" w:lineRule="auto"/>
        <w:ind w:firstLine="562" w:firstLineChars="200"/>
        <w:outlineLvl w:val="3"/>
        <w:rPr>
          <w:rFonts w:hint="default" w:ascii="Times New Roman" w:hAnsi="Times New Roman" w:cs="Times New Roman"/>
          <w:b/>
          <w:bCs/>
          <w:sz w:val="28"/>
          <w:szCs w:val="28"/>
        </w:rPr>
      </w:pPr>
      <w:r>
        <w:rPr>
          <w:rFonts w:hint="default" w:ascii="Times New Roman" w:hAnsi="Times New Roman" w:cs="Times New Roman"/>
          <w:b/>
          <w:bCs/>
          <w:sz w:val="28"/>
          <w:szCs w:val="28"/>
        </w:rPr>
        <w:t>2.3.</w:t>
      </w:r>
      <w:bookmarkEnd w:id="197"/>
      <w:bookmarkEnd w:id="198"/>
      <w:bookmarkEnd w:id="199"/>
      <w:r>
        <w:rPr>
          <w:rFonts w:hint="default" w:ascii="Times New Roman" w:hAnsi="Times New Roman" w:cs="Times New Roman"/>
          <w:b/>
          <w:bCs/>
          <w:sz w:val="28"/>
          <w:szCs w:val="28"/>
          <w:lang w:val="en-US" w:eastAsia="zh-CN"/>
        </w:rPr>
        <w:t>4</w:t>
      </w:r>
      <w:r>
        <w:rPr>
          <w:rFonts w:hint="default" w:ascii="Times New Roman" w:hAnsi="Times New Roman" w:cs="Times New Roman"/>
          <w:b/>
          <w:bCs/>
          <w:sz w:val="28"/>
          <w:szCs w:val="28"/>
        </w:rPr>
        <w:t>.4开采技术条件小结</w:t>
      </w:r>
    </w:p>
    <w:p w14:paraId="175F8BEF">
      <w:pPr>
        <w:adjustRightInd w:val="0"/>
        <w:snapToGrid w:val="0"/>
        <w:spacing w:line="360" w:lineRule="auto"/>
        <w:ind w:firstLine="560" w:firstLineChars="200"/>
        <w:rPr>
          <w:rFonts w:hint="default" w:ascii="Times New Roman" w:hAnsi="Times New Roman" w:cs="Times New Roman"/>
          <w:sz w:val="28"/>
          <w:szCs w:val="28"/>
        </w:rPr>
      </w:pPr>
      <w:bookmarkStart w:id="227" w:name="_Hlk194258003"/>
      <w:r>
        <w:rPr>
          <w:rFonts w:hint="default" w:ascii="Times New Roman" w:hAnsi="Times New Roman" w:cs="Times New Roman"/>
          <w:sz w:val="28"/>
          <w:szCs w:val="28"/>
        </w:rPr>
        <w:t>矿体位于最低侵蚀面之上。大气降水是地下水的主要补给来源，地下水对矿床开采影响较小，地形有利于自然排泄，开采时地表水可沿斜坡自然排泄。因此，矿区水文地质条件属以碳酸盐岩裂隙充水为主的简单类型</w:t>
      </w:r>
      <w:bookmarkEnd w:id="227"/>
      <w:r>
        <w:rPr>
          <w:rFonts w:hint="default" w:ascii="Times New Roman" w:hAnsi="Times New Roman" w:cs="Times New Roman"/>
          <w:sz w:val="28"/>
          <w:szCs w:val="28"/>
        </w:rPr>
        <w:t>。</w:t>
      </w:r>
    </w:p>
    <w:p w14:paraId="13976D05">
      <w:pPr>
        <w:adjustRightInd w:val="0"/>
        <w:snapToGrid w:val="0"/>
        <w:spacing w:line="360" w:lineRule="auto"/>
        <w:ind w:firstLine="560" w:firstLineChars="200"/>
        <w:rPr>
          <w:rFonts w:hint="default" w:ascii="Times New Roman" w:hAnsi="Times New Roman" w:cs="Times New Roman"/>
          <w:sz w:val="28"/>
          <w:szCs w:val="28"/>
        </w:rPr>
      </w:pPr>
      <w:bookmarkStart w:id="228" w:name="_Hlk194258029"/>
      <w:r>
        <w:rPr>
          <w:rFonts w:hint="default" w:ascii="Times New Roman" w:hAnsi="Times New Roman" w:cs="Times New Roman"/>
          <w:sz w:val="28"/>
          <w:szCs w:val="28"/>
        </w:rPr>
        <w:t>矿区为</w:t>
      </w:r>
      <w:r>
        <w:rPr>
          <w:rFonts w:hint="default" w:ascii="Times New Roman" w:hAnsi="Times New Roman" w:cs="Times New Roman"/>
          <w:sz w:val="28"/>
          <w:szCs w:val="28"/>
          <w:lang w:val="zh-CN"/>
        </w:rPr>
        <w:t>较软弱—半坚硬岩组</w:t>
      </w:r>
      <w:r>
        <w:rPr>
          <w:rFonts w:hint="default" w:ascii="Times New Roman" w:hAnsi="Times New Roman" w:cs="Times New Roman"/>
          <w:sz w:val="28"/>
          <w:szCs w:val="28"/>
        </w:rPr>
        <w:t>，整体稳固较差，矿体及围岩体质量整体为中等。岩体以层状结构为主。近地表岩石破碎，抗压强度低，在工程活动诱发下易发生浅层滑坡、崩塌、垮塌等矿山工程地质问题。矿区工程地质条件程度为中等型。</w:t>
      </w:r>
    </w:p>
    <w:bookmarkEnd w:id="228"/>
    <w:p w14:paraId="68ED12DD">
      <w:pPr>
        <w:adjustRightInd w:val="0"/>
        <w:snapToGrid w:val="0"/>
        <w:spacing w:line="360" w:lineRule="auto"/>
        <w:ind w:firstLine="560" w:firstLineChars="200"/>
        <w:rPr>
          <w:rFonts w:hint="default" w:ascii="Times New Roman" w:hAnsi="Times New Roman" w:cs="Times New Roman"/>
          <w:sz w:val="28"/>
          <w:szCs w:val="28"/>
        </w:rPr>
      </w:pPr>
      <w:r>
        <w:rPr>
          <w:rFonts w:hint="default" w:ascii="Times New Roman" w:hAnsi="Times New Roman" w:cs="Times New Roman"/>
          <w:sz w:val="28"/>
          <w:szCs w:val="28"/>
        </w:rPr>
        <w:t>矿区地震动峰值加速度为0.15g，地震动加速度反应谱特征周期为0.45s，抗震设防烈度为Ⅶ度，地震分组属第三组，属次不稳定区。矿山采矿活动而形成采空区边坡，现状处于稳定状态。矿区所在区域自然状态下山体稳定性好。但由于矿山开采，多处形成人工边坡，破坏山体的自然稳定平衡，可能引发滑坡、崩塌地质灾害。同时，地表浅部残坡积层在雨水的浸润下容易发生小型浅层滑坡，对矿山开采会造成一定危害，采场边坡存在滑坡、崩塌的可能，矿区环境地质条件属中等类型。</w:t>
      </w:r>
    </w:p>
    <w:p w14:paraId="053D16B7">
      <w:pPr>
        <w:adjustRightInd w:val="0"/>
        <w:snapToGrid w:val="0"/>
        <w:spacing w:line="360" w:lineRule="auto"/>
        <w:ind w:firstLine="560" w:firstLineChars="200"/>
        <w:rPr>
          <w:rFonts w:hint="default" w:ascii="Times New Roman" w:hAnsi="Times New Roman" w:cs="Times New Roman"/>
          <w:sz w:val="28"/>
          <w:szCs w:val="28"/>
        </w:rPr>
      </w:pPr>
      <w:r>
        <w:rPr>
          <w:rFonts w:hint="default" w:ascii="Times New Roman" w:hAnsi="Times New Roman" w:cs="Times New Roman"/>
          <w:sz w:val="28"/>
          <w:szCs w:val="28"/>
        </w:rPr>
        <w:t>综上所述，该矿床开采技术条件属以工程地质和环境地质复合问题的中等类型。</w:t>
      </w:r>
    </w:p>
    <w:bookmarkEnd w:id="179"/>
    <w:bookmarkEnd w:id="180"/>
    <w:bookmarkEnd w:id="181"/>
    <w:p w14:paraId="39E53959">
      <w:pPr>
        <w:pStyle w:val="3"/>
        <w:spacing w:before="0" w:after="0" w:line="360" w:lineRule="auto"/>
        <w:jc w:val="center"/>
        <w:rPr>
          <w:rFonts w:hint="default" w:ascii="Times New Roman" w:hAnsi="Times New Roman" w:eastAsia="黑体" w:cs="Times New Roman"/>
          <w:sz w:val="30"/>
          <w:szCs w:val="30"/>
        </w:rPr>
      </w:pPr>
      <w:bookmarkStart w:id="229" w:name="_Toc226963138"/>
      <w:bookmarkStart w:id="230" w:name="_Toc242849748"/>
      <w:bookmarkStart w:id="231" w:name="_Toc7851"/>
      <w:bookmarkStart w:id="232" w:name="_Toc31094"/>
      <w:bookmarkStart w:id="233" w:name="_Toc26471"/>
      <w:bookmarkStart w:id="234" w:name="_Toc8468"/>
      <w:bookmarkStart w:id="235" w:name="_Toc6624"/>
      <w:bookmarkStart w:id="236" w:name="_Toc8682"/>
      <w:r>
        <w:rPr>
          <w:rFonts w:hint="default" w:ascii="Times New Roman" w:hAnsi="Times New Roman" w:eastAsia="黑体" w:cs="Times New Roman"/>
          <w:sz w:val="30"/>
          <w:szCs w:val="30"/>
        </w:rPr>
        <w:t>2.</w:t>
      </w:r>
      <w:bookmarkEnd w:id="229"/>
      <w:bookmarkEnd w:id="230"/>
      <w:r>
        <w:rPr>
          <w:rFonts w:hint="default" w:ascii="Times New Roman" w:hAnsi="Times New Roman" w:eastAsia="黑体" w:cs="Times New Roman"/>
          <w:sz w:val="30"/>
          <w:szCs w:val="30"/>
        </w:rPr>
        <w:t>4建设方案概况</w:t>
      </w:r>
      <w:bookmarkEnd w:id="231"/>
      <w:bookmarkEnd w:id="232"/>
      <w:bookmarkEnd w:id="233"/>
      <w:bookmarkEnd w:id="234"/>
      <w:bookmarkEnd w:id="235"/>
      <w:bookmarkEnd w:id="236"/>
    </w:p>
    <w:p w14:paraId="0D81EE22">
      <w:pPr>
        <w:spacing w:line="360" w:lineRule="auto"/>
        <w:ind w:firstLine="560" w:firstLineChars="200"/>
        <w:rPr>
          <w:rFonts w:hint="default" w:ascii="Times New Roman" w:hAnsi="Times New Roman" w:cs="Times New Roman"/>
          <w:sz w:val="28"/>
          <w:szCs w:val="28"/>
        </w:rPr>
      </w:pPr>
      <w:r>
        <w:rPr>
          <w:rFonts w:hint="default" w:ascii="Times New Roman" w:hAnsi="Times New Roman" w:cs="Times New Roman"/>
          <w:sz w:val="28"/>
          <w:szCs w:val="28"/>
        </w:rPr>
        <w:t>本次预评价报告主要依据</w:t>
      </w:r>
      <w:r>
        <w:rPr>
          <w:rFonts w:hint="default" w:ascii="Times New Roman" w:hAnsi="Times New Roman" w:cs="Times New Roman"/>
          <w:snapToGrid w:val="0"/>
          <w:kern w:val="0"/>
          <w:sz w:val="28"/>
          <w:szCs w:val="28"/>
        </w:rPr>
        <w:t>202</w:t>
      </w:r>
      <w:r>
        <w:rPr>
          <w:rFonts w:hint="default" w:ascii="Times New Roman" w:hAnsi="Times New Roman" w:cs="Times New Roman"/>
          <w:snapToGrid w:val="0"/>
          <w:kern w:val="0"/>
          <w:sz w:val="28"/>
          <w:szCs w:val="28"/>
          <w:lang w:val="en-US" w:eastAsia="zh-CN"/>
        </w:rPr>
        <w:t>5</w:t>
      </w:r>
      <w:r>
        <w:rPr>
          <w:rFonts w:hint="default" w:ascii="Times New Roman" w:hAnsi="Times New Roman" w:cs="Times New Roman"/>
          <w:snapToGrid w:val="0"/>
          <w:kern w:val="0"/>
          <w:sz w:val="28"/>
          <w:szCs w:val="28"/>
        </w:rPr>
        <w:t>年</w:t>
      </w:r>
      <w:r>
        <w:rPr>
          <w:rFonts w:hint="default" w:ascii="Times New Roman" w:hAnsi="Times New Roman" w:cs="Times New Roman"/>
          <w:snapToGrid w:val="0"/>
          <w:kern w:val="0"/>
          <w:sz w:val="28"/>
          <w:szCs w:val="28"/>
          <w:lang w:val="en-US" w:eastAsia="zh-CN"/>
        </w:rPr>
        <w:t>6</w:t>
      </w:r>
      <w:r>
        <w:rPr>
          <w:rFonts w:hint="default" w:ascii="Times New Roman" w:hAnsi="Times New Roman" w:cs="Times New Roman"/>
          <w:snapToGrid w:val="0"/>
          <w:kern w:val="0"/>
          <w:sz w:val="28"/>
          <w:szCs w:val="28"/>
        </w:rPr>
        <w:t>月河南省冶金规划设计研究院有限责任公司编制的</w:t>
      </w:r>
      <w:r>
        <w:rPr>
          <w:rFonts w:hint="default" w:ascii="Times New Roman" w:hAnsi="Times New Roman" w:cs="Times New Roman"/>
          <w:sz w:val="28"/>
          <w:szCs w:val="28"/>
        </w:rPr>
        <w:t>《</w:t>
      </w:r>
      <w:r>
        <w:rPr>
          <w:rFonts w:hint="default" w:ascii="Times New Roman" w:hAnsi="Times New Roman" w:cs="Times New Roman"/>
          <w:sz w:val="28"/>
          <w:szCs w:val="28"/>
          <w:lang w:eastAsia="zh-CN"/>
        </w:rPr>
        <w:t>弥勒市瑞垠矿业有限公司弥勒市小沙冲砂场</w:t>
      </w:r>
      <w:r>
        <w:rPr>
          <w:rFonts w:hint="default" w:ascii="Times New Roman" w:hAnsi="Times New Roman" w:cs="Times New Roman"/>
          <w:sz w:val="28"/>
          <w:szCs w:val="28"/>
          <w:lang w:eastAsia="zh-CN" w:bidi="en-US"/>
        </w:rPr>
        <w:t>22.22</w:t>
      </w:r>
      <w:r>
        <w:rPr>
          <w:rFonts w:hint="default" w:ascii="Times New Roman" w:hAnsi="Times New Roman" w:cs="Times New Roman"/>
          <w:sz w:val="28"/>
          <w:szCs w:val="28"/>
          <w:lang w:val="en-US" w:eastAsia="zh-CN" w:bidi="en-US"/>
        </w:rPr>
        <w:t>万</w:t>
      </w:r>
      <w:r>
        <w:rPr>
          <w:rFonts w:hint="default" w:ascii="Times New Roman" w:hAnsi="Times New Roman" w:cs="Times New Roman"/>
          <w:sz w:val="28"/>
          <w:szCs w:val="28"/>
          <w:lang w:eastAsia="zh-CN" w:bidi="en-US"/>
        </w:rPr>
        <w:t>m</w:t>
      </w:r>
      <w:r>
        <w:rPr>
          <w:rFonts w:hint="default" w:ascii="Times New Roman" w:hAnsi="Times New Roman" w:cs="Times New Roman"/>
          <w:sz w:val="28"/>
          <w:szCs w:val="28"/>
          <w:vertAlign w:val="superscript"/>
          <w:lang w:eastAsia="zh-CN" w:bidi="en-US"/>
        </w:rPr>
        <w:t>3</w:t>
      </w:r>
      <w:r>
        <w:rPr>
          <w:rFonts w:hint="default" w:ascii="Times New Roman" w:hAnsi="Times New Roman" w:cs="Times New Roman"/>
          <w:sz w:val="28"/>
          <w:szCs w:val="28"/>
          <w:lang w:val="en-US" w:eastAsia="zh-CN" w:bidi="en-US"/>
        </w:rPr>
        <w:t>/</w:t>
      </w:r>
      <w:r>
        <w:rPr>
          <w:rFonts w:hint="default" w:ascii="Times New Roman" w:hAnsi="Times New Roman" w:cs="Times New Roman"/>
          <w:sz w:val="28"/>
          <w:szCs w:val="28"/>
          <w:lang w:eastAsia="zh-CN" w:bidi="en-US"/>
        </w:rPr>
        <w:t>a（50万t</w:t>
      </w:r>
      <w:r>
        <w:rPr>
          <w:rFonts w:hint="default" w:ascii="Times New Roman" w:hAnsi="Times New Roman" w:cs="Times New Roman"/>
          <w:sz w:val="28"/>
          <w:szCs w:val="28"/>
          <w:lang w:val="en-US" w:eastAsia="zh-CN" w:bidi="en-US"/>
        </w:rPr>
        <w:t>/</w:t>
      </w:r>
      <w:r>
        <w:rPr>
          <w:rFonts w:hint="default" w:ascii="Times New Roman" w:hAnsi="Times New Roman" w:cs="Times New Roman"/>
          <w:sz w:val="28"/>
          <w:szCs w:val="28"/>
          <w:lang w:eastAsia="zh-CN" w:bidi="en-US"/>
        </w:rPr>
        <w:t>a）</w:t>
      </w:r>
      <w:r>
        <w:rPr>
          <w:rFonts w:hint="default" w:ascii="Times New Roman" w:hAnsi="Times New Roman" w:cs="Times New Roman"/>
          <w:sz w:val="28"/>
          <w:szCs w:val="28"/>
          <w:lang w:eastAsia="zh-CN"/>
        </w:rPr>
        <w:t>露天采矿工程初步设计（代可研）</w:t>
      </w:r>
      <w:r>
        <w:rPr>
          <w:rFonts w:hint="default" w:ascii="Times New Roman" w:hAnsi="Times New Roman" w:cs="Times New Roman"/>
          <w:sz w:val="28"/>
          <w:szCs w:val="28"/>
        </w:rPr>
        <w:t>》，以下项目建设方案均依据该设计中所设计的方案进行描述。</w:t>
      </w:r>
    </w:p>
    <w:p w14:paraId="0B491FC0">
      <w:pPr>
        <w:pStyle w:val="4"/>
        <w:spacing w:before="0" w:after="0" w:line="360" w:lineRule="auto"/>
        <w:rPr>
          <w:rFonts w:hint="default" w:ascii="Times New Roman" w:hAnsi="Times New Roman" w:cs="Times New Roman"/>
          <w:sz w:val="28"/>
          <w:szCs w:val="28"/>
        </w:rPr>
      </w:pPr>
      <w:bookmarkStart w:id="237" w:name="_Toc14710"/>
      <w:bookmarkStart w:id="238" w:name="_Toc23763"/>
      <w:bookmarkStart w:id="239" w:name="_Toc6713"/>
      <w:bookmarkStart w:id="240" w:name="_Toc12159"/>
      <w:r>
        <w:rPr>
          <w:rFonts w:hint="default" w:ascii="Times New Roman" w:hAnsi="Times New Roman" w:cs="Times New Roman"/>
          <w:sz w:val="28"/>
          <w:szCs w:val="28"/>
        </w:rPr>
        <w:t>2.4.1矿山现状</w:t>
      </w:r>
      <w:bookmarkEnd w:id="237"/>
      <w:bookmarkEnd w:id="238"/>
      <w:bookmarkEnd w:id="239"/>
      <w:bookmarkEnd w:id="240"/>
    </w:p>
    <w:p w14:paraId="320B7A94">
      <w:pPr>
        <w:wordWrap w:val="0"/>
        <w:adjustRightInd w:val="0"/>
        <w:snapToGrid w:val="0"/>
        <w:spacing w:line="360" w:lineRule="auto"/>
        <w:ind w:firstLine="560" w:firstLineChars="200"/>
        <w:rPr>
          <w:rFonts w:hint="default" w:ascii="Times New Roman" w:hAnsi="Times New Roman" w:eastAsia="宋体" w:cs="Times New Roman"/>
          <w:sz w:val="28"/>
          <w:szCs w:val="21"/>
        </w:rPr>
      </w:pPr>
      <w:bookmarkStart w:id="241" w:name="_Hlk171674110"/>
      <w:bookmarkStart w:id="242" w:name="_Hlk184086262"/>
      <w:r>
        <w:rPr>
          <w:rFonts w:hint="default" w:ascii="Times New Roman" w:hAnsi="Times New Roman" w:eastAsia="宋体" w:cs="Times New Roman"/>
          <w:sz w:val="28"/>
          <w:szCs w:val="21"/>
        </w:rPr>
        <w:t>1、矿区总平面布置现状</w:t>
      </w:r>
    </w:p>
    <w:bookmarkEnd w:id="241"/>
    <w:bookmarkEnd w:id="242"/>
    <w:p w14:paraId="327CBE0A">
      <w:pPr>
        <w:wordWrap w:val="0"/>
        <w:adjustRightInd w:val="0"/>
        <w:snapToGrid w:val="0"/>
        <w:spacing w:line="360" w:lineRule="auto"/>
        <w:ind w:firstLine="560" w:firstLineChars="200"/>
        <w:rPr>
          <w:rFonts w:hint="default" w:ascii="Times New Roman" w:hAnsi="Times New Roman" w:eastAsia="宋体" w:cs="Times New Roman"/>
          <w:sz w:val="28"/>
          <w:szCs w:val="21"/>
        </w:rPr>
      </w:pPr>
      <w:bookmarkStart w:id="243" w:name="_Hlk184086275"/>
      <w:r>
        <w:rPr>
          <w:rFonts w:hint="default" w:ascii="Times New Roman" w:hAnsi="Times New Roman" w:eastAsia="宋体" w:cs="Times New Roman"/>
          <w:sz w:val="28"/>
          <w:szCs w:val="21"/>
        </w:rPr>
        <w:t>矿山已开采多年，矿山现有露天采场，办公室、破碎站、道路等场地及辅助设施等。</w:t>
      </w:r>
    </w:p>
    <w:p w14:paraId="5B803DA7">
      <w:pPr>
        <w:spacing w:line="360" w:lineRule="auto"/>
        <w:ind w:firstLine="560" w:firstLineChars="200"/>
        <w:rPr>
          <w:rFonts w:hint="default" w:ascii="Times New Roman" w:hAnsi="Times New Roman" w:cs="Times New Roman"/>
          <w:sz w:val="28"/>
          <w:szCs w:val="28"/>
          <w:lang w:val="zh-CN"/>
        </w:rPr>
      </w:pPr>
      <w:r>
        <w:rPr>
          <w:rFonts w:hint="default" w:ascii="Times New Roman" w:hAnsi="Times New Roman" w:cs="Times New Roman"/>
          <w:sz w:val="28"/>
          <w:szCs w:val="28"/>
          <w:lang w:val="zh-CN"/>
        </w:rPr>
        <w:t>（</w:t>
      </w:r>
      <w:r>
        <w:rPr>
          <w:rFonts w:hint="default" w:ascii="Times New Roman" w:hAnsi="Times New Roman" w:cs="Times New Roman"/>
          <w:sz w:val="28"/>
          <w:szCs w:val="28"/>
        </w:rPr>
        <w:t>1</w:t>
      </w:r>
      <w:r>
        <w:rPr>
          <w:rFonts w:hint="default" w:ascii="Times New Roman" w:hAnsi="Times New Roman" w:cs="Times New Roman"/>
          <w:sz w:val="28"/>
          <w:szCs w:val="28"/>
          <w:lang w:val="zh-CN"/>
        </w:rPr>
        <w:t>）供电</w:t>
      </w:r>
    </w:p>
    <w:p w14:paraId="5F4409E2">
      <w:pPr>
        <w:spacing w:line="360" w:lineRule="auto"/>
        <w:ind w:firstLine="560" w:firstLineChars="200"/>
        <w:rPr>
          <w:rFonts w:hint="default" w:ascii="Times New Roman" w:hAnsi="Times New Roman" w:eastAsia="宋体" w:cs="Times New Roman"/>
          <w:b w:val="0"/>
          <w:bCs w:val="0"/>
          <w:sz w:val="28"/>
          <w:szCs w:val="28"/>
          <w:lang w:eastAsia="zh-CN"/>
        </w:rPr>
      </w:pPr>
      <w:r>
        <w:rPr>
          <w:rFonts w:hint="default" w:ascii="Times New Roman" w:hAnsi="Times New Roman" w:cs="Times New Roman"/>
          <w:b w:val="0"/>
          <w:bCs w:val="0"/>
          <w:sz w:val="28"/>
          <w:szCs w:val="28"/>
        </w:rPr>
        <w:t>矿山电源引自当地10kV高压线，矿山设置两配电室，一个位于破碎站西侧一个位于矿区东部矿4拐点附近，供电电压均为10kV。矿山用电范围主要为破碎站、办公生活，供电能力可以满足</w:t>
      </w:r>
      <w:r>
        <w:rPr>
          <w:rFonts w:hint="default" w:ascii="Times New Roman" w:hAnsi="Times New Roman" w:eastAsia="宋体" w:cs="Times New Roman"/>
          <w:b w:val="0"/>
          <w:bCs w:val="0"/>
          <w:sz w:val="28"/>
          <w:szCs w:val="28"/>
          <w:lang w:eastAsia="zh-CN"/>
        </w:rPr>
        <w:t>设计</w:t>
      </w:r>
      <w:r>
        <w:rPr>
          <w:rFonts w:hint="default" w:ascii="Times New Roman" w:hAnsi="Times New Roman" w:cs="Times New Roman"/>
          <w:b w:val="0"/>
          <w:bCs w:val="0"/>
          <w:sz w:val="28"/>
          <w:szCs w:val="28"/>
        </w:rPr>
        <w:t>的矿山建设项目用电需求</w:t>
      </w:r>
      <w:r>
        <w:rPr>
          <w:rFonts w:hint="default" w:ascii="Times New Roman" w:hAnsi="Times New Roman" w:eastAsia="宋体" w:cs="Times New Roman"/>
          <w:b w:val="0"/>
          <w:bCs w:val="0"/>
          <w:sz w:val="28"/>
          <w:szCs w:val="28"/>
          <w:lang w:eastAsia="zh-CN"/>
        </w:rPr>
        <w:t>。</w:t>
      </w:r>
    </w:p>
    <w:p w14:paraId="4C8CA6CA">
      <w:pPr>
        <w:spacing w:line="360" w:lineRule="auto"/>
        <w:ind w:firstLine="560" w:firstLineChars="200"/>
        <w:rPr>
          <w:rFonts w:hint="default" w:ascii="Times New Roman" w:hAnsi="Times New Roman" w:cs="Times New Roman"/>
          <w:sz w:val="28"/>
          <w:szCs w:val="28"/>
          <w:lang w:val="zh-CN"/>
        </w:rPr>
      </w:pPr>
      <w:r>
        <w:rPr>
          <w:rFonts w:hint="default" w:ascii="Times New Roman" w:hAnsi="Times New Roman" w:cs="Times New Roman"/>
          <w:sz w:val="28"/>
          <w:szCs w:val="28"/>
          <w:lang w:val="zh-CN"/>
        </w:rPr>
        <w:t>（</w:t>
      </w:r>
      <w:r>
        <w:rPr>
          <w:rFonts w:hint="default" w:ascii="Times New Roman" w:hAnsi="Times New Roman" w:cs="Times New Roman"/>
          <w:sz w:val="28"/>
          <w:szCs w:val="28"/>
        </w:rPr>
        <w:t>2</w:t>
      </w:r>
      <w:r>
        <w:rPr>
          <w:rFonts w:hint="default" w:ascii="Times New Roman" w:hAnsi="Times New Roman" w:cs="Times New Roman"/>
          <w:sz w:val="28"/>
          <w:szCs w:val="28"/>
          <w:lang w:val="zh-CN"/>
        </w:rPr>
        <w:t>）水源</w:t>
      </w:r>
    </w:p>
    <w:p w14:paraId="3A92BC19">
      <w:pPr>
        <w:adjustRightInd w:val="0"/>
        <w:snapToGrid w:val="0"/>
        <w:spacing w:line="360" w:lineRule="auto"/>
        <w:ind w:firstLine="560" w:firstLineChars="200"/>
        <w:jc w:val="left"/>
        <w:rPr>
          <w:rFonts w:hint="default" w:ascii="Times New Roman" w:hAnsi="Times New Roman" w:cs="Times New Roman"/>
          <w:sz w:val="28"/>
          <w:szCs w:val="28"/>
        </w:rPr>
      </w:pPr>
      <w:r>
        <w:rPr>
          <w:rFonts w:hint="default" w:ascii="Times New Roman" w:hAnsi="Times New Roman" w:cs="Times New Roman"/>
          <w:sz w:val="28"/>
          <w:szCs w:val="28"/>
        </w:rPr>
        <w:t>本工程生活、辅助生产、消防、绿化、浇洒道路及除尘用水等合并为一个给水系统，该系统由供水管网构成。给水系统由取水点引至水罐，之后采用给水管网（DN100钢管）给水。</w:t>
      </w:r>
    </w:p>
    <w:p w14:paraId="04BA0544">
      <w:pPr>
        <w:adjustRightInd w:val="0"/>
        <w:snapToGrid w:val="0"/>
        <w:spacing w:line="360" w:lineRule="auto"/>
        <w:ind w:firstLine="560" w:firstLineChars="200"/>
        <w:jc w:val="left"/>
        <w:rPr>
          <w:rFonts w:hint="default" w:ascii="Times New Roman" w:hAnsi="Times New Roman" w:cs="Times New Roman"/>
          <w:sz w:val="28"/>
          <w:szCs w:val="28"/>
        </w:rPr>
      </w:pPr>
      <w:r>
        <w:rPr>
          <w:rFonts w:hint="default" w:ascii="Times New Roman" w:hAnsi="Times New Roman" w:cs="Times New Roman"/>
          <w:sz w:val="28"/>
          <w:szCs w:val="28"/>
        </w:rPr>
        <w:t>（3）开拓运输道路</w:t>
      </w:r>
    </w:p>
    <w:p w14:paraId="5F35F468">
      <w:pPr>
        <w:adjustRightInd w:val="0"/>
        <w:snapToGrid w:val="0"/>
        <w:spacing w:line="360" w:lineRule="auto"/>
        <w:ind w:firstLine="560" w:firstLineChars="200"/>
        <w:rPr>
          <w:rFonts w:hint="default" w:ascii="Times New Roman" w:hAnsi="Times New Roman" w:cs="Times New Roman"/>
          <w:sz w:val="28"/>
          <w:szCs w:val="28"/>
        </w:rPr>
      </w:pPr>
      <w:r>
        <w:rPr>
          <w:rFonts w:hint="default" w:ascii="Times New Roman" w:hAnsi="Times New Roman" w:cs="Times New Roman"/>
          <w:sz w:val="28"/>
          <w:szCs w:val="28"/>
        </w:rPr>
        <w:t>矿山为改扩建矿山，现状采用公路开拓汽车运输方式，已修建</w:t>
      </w:r>
      <w:r>
        <w:rPr>
          <w:rFonts w:hint="default" w:ascii="Times New Roman" w:hAnsi="Times New Roman" w:eastAsia="宋体" w:cs="Times New Roman"/>
          <w:sz w:val="28"/>
          <w:szCs w:val="28"/>
          <w:lang w:val="en-US" w:eastAsia="zh-CN"/>
        </w:rPr>
        <w:t>有运输道路，</w:t>
      </w:r>
      <w:r>
        <w:rPr>
          <w:rFonts w:hint="default" w:ascii="Times New Roman" w:hAnsi="Times New Roman" w:cs="Times New Roman"/>
          <w:sz w:val="28"/>
          <w:szCs w:val="28"/>
        </w:rPr>
        <w:t>自破碎站卸料平台1475m通往中部山头顶部1542m，长度约955m，路面平距宽4</w:t>
      </w:r>
      <w:r>
        <w:rPr>
          <w:rFonts w:hint="default" w:ascii="Times New Roman" w:hAnsi="Times New Roman" w:eastAsia="宋体" w:cs="Times New Roman"/>
          <w:sz w:val="28"/>
          <w:szCs w:val="28"/>
          <w:lang w:eastAsia="zh-CN"/>
        </w:rPr>
        <w:t>—</w:t>
      </w:r>
      <w:r>
        <w:rPr>
          <w:rFonts w:hint="default" w:ascii="Times New Roman" w:hAnsi="Times New Roman" w:cs="Times New Roman"/>
          <w:sz w:val="28"/>
          <w:szCs w:val="28"/>
        </w:rPr>
        <w:t>6m，平均坡度7%，最大纵坡15%。</w:t>
      </w:r>
    </w:p>
    <w:p w14:paraId="00666F12">
      <w:pPr>
        <w:adjustRightInd w:val="0"/>
        <w:snapToGrid w:val="0"/>
        <w:spacing w:line="360" w:lineRule="auto"/>
        <w:ind w:firstLine="560" w:firstLineChars="200"/>
        <w:rPr>
          <w:rFonts w:hint="default" w:ascii="Times New Roman" w:hAnsi="Times New Roman" w:eastAsia="宋体" w:cs="Times New Roman"/>
          <w:sz w:val="28"/>
          <w:szCs w:val="28"/>
          <w:lang w:eastAsia="zh-CN"/>
        </w:rPr>
      </w:pPr>
      <w:r>
        <w:rPr>
          <w:rFonts w:hint="default" w:ascii="Times New Roman" w:hAnsi="Times New Roman" w:cs="Times New Roman"/>
          <w:sz w:val="28"/>
          <w:szCs w:val="28"/>
        </w:rPr>
        <w:t>矿山目前未设置截洪沟等场外防排水设施，现状运输道路内侧设置了宽0.5m，高0.5m，浆砌石排水沟</w:t>
      </w:r>
      <w:r>
        <w:rPr>
          <w:rFonts w:hint="default" w:ascii="Times New Roman" w:hAnsi="Times New Roman" w:eastAsia="宋体" w:cs="Times New Roman"/>
          <w:sz w:val="28"/>
          <w:szCs w:val="28"/>
          <w:lang w:eastAsia="zh-CN"/>
        </w:rPr>
        <w:t>。</w:t>
      </w:r>
    </w:p>
    <w:bookmarkEnd w:id="243"/>
    <w:p w14:paraId="2A0E5914">
      <w:pPr>
        <w:adjustRightInd w:val="0"/>
        <w:snapToGrid w:val="0"/>
        <w:spacing w:line="360" w:lineRule="auto"/>
        <w:ind w:firstLine="560" w:firstLineChars="200"/>
        <w:rPr>
          <w:rFonts w:hint="default" w:ascii="Times New Roman" w:hAnsi="Times New Roman" w:cs="Times New Roman"/>
          <w:sz w:val="28"/>
          <w:szCs w:val="28"/>
          <w:lang w:val="en-US" w:eastAsia="zh-CN"/>
        </w:rPr>
      </w:pPr>
      <w:r>
        <w:rPr>
          <w:rFonts w:hint="default" w:ascii="Times New Roman" w:hAnsi="Times New Roman" w:cs="Times New Roman"/>
          <w:sz w:val="28"/>
          <w:szCs w:val="28"/>
          <w:lang w:val="en-US" w:eastAsia="zh-CN"/>
        </w:rPr>
        <w:t>2、原设计开采情况</w:t>
      </w:r>
    </w:p>
    <w:p w14:paraId="538FBDC6">
      <w:pPr>
        <w:adjustRightInd w:val="0"/>
        <w:snapToGrid w:val="0"/>
        <w:spacing w:line="360" w:lineRule="auto"/>
        <w:ind w:firstLine="560" w:firstLineChars="200"/>
        <w:rPr>
          <w:rFonts w:hint="default" w:ascii="Times New Roman" w:hAnsi="Times New Roman" w:eastAsia="宋体" w:cs="Times New Roman"/>
          <w:sz w:val="28"/>
          <w:szCs w:val="28"/>
          <w:lang w:val="en-US" w:eastAsia="zh-CN"/>
        </w:rPr>
      </w:pPr>
      <w:r>
        <w:rPr>
          <w:rFonts w:hint="default" w:ascii="Times New Roman" w:hAnsi="Times New Roman" w:cs="Times New Roman"/>
          <w:sz w:val="28"/>
          <w:szCs w:val="28"/>
          <w:lang w:bidi="en-US"/>
        </w:rPr>
        <w:t>矿山</w:t>
      </w:r>
      <w:r>
        <w:rPr>
          <w:rFonts w:hint="default" w:ascii="Times New Roman" w:hAnsi="Times New Roman" w:cs="Times New Roman"/>
          <w:sz w:val="28"/>
          <w:szCs w:val="28"/>
          <w:lang w:val="en-US" w:eastAsia="zh-CN" w:bidi="en-US"/>
        </w:rPr>
        <w:t>于</w:t>
      </w:r>
      <w:r>
        <w:rPr>
          <w:rFonts w:hint="default" w:ascii="Times New Roman" w:hAnsi="Times New Roman" w:cs="Times New Roman"/>
          <w:sz w:val="28"/>
          <w:szCs w:val="28"/>
          <w:lang w:bidi="en-US"/>
        </w:rPr>
        <w:t>2021年委托昆明坤泽矿业技术有限责任公司编制的《弥勒市瑞垠矿业有限公司弥勒市小沙冲砂场5.55万立方米/年露天采矿工程初步设计（代可研）》及《弥勒市瑞垠矿业有限公司弥勒市小沙冲砂场5.55万立方米/年露天采矿工程安全设施设计》</w:t>
      </w:r>
      <w:r>
        <w:rPr>
          <w:rFonts w:hint="default" w:ascii="Times New Roman" w:hAnsi="Times New Roman" w:cs="Times New Roman"/>
          <w:sz w:val="28"/>
          <w:szCs w:val="28"/>
          <w:lang w:eastAsia="zh-CN" w:bidi="en-US"/>
        </w:rPr>
        <w:t>，</w:t>
      </w:r>
      <w:r>
        <w:rPr>
          <w:rFonts w:hint="default" w:ascii="Times New Roman" w:hAnsi="Times New Roman" w:cs="Times New Roman"/>
          <w:sz w:val="28"/>
          <w:szCs w:val="28"/>
          <w:lang w:val="en-US" w:eastAsia="zh-CN" w:bidi="en-US"/>
        </w:rPr>
        <w:t>设计于2021年12月30日通过专家评审。</w:t>
      </w:r>
    </w:p>
    <w:p w14:paraId="6550C406">
      <w:pPr>
        <w:adjustRightInd w:val="0"/>
        <w:snapToGrid w:val="0"/>
        <w:spacing w:line="360" w:lineRule="auto"/>
        <w:ind w:firstLine="560" w:firstLineChars="200"/>
        <w:rPr>
          <w:rFonts w:hint="default" w:ascii="Times New Roman" w:hAnsi="Times New Roman" w:eastAsia="宋体" w:cs="Times New Roman"/>
          <w:sz w:val="28"/>
          <w:szCs w:val="21"/>
        </w:rPr>
      </w:pPr>
      <w:r>
        <w:rPr>
          <w:rFonts w:hint="default" w:ascii="Times New Roman" w:hAnsi="Times New Roman" w:cs="Times New Roman"/>
          <w:sz w:val="28"/>
          <w:szCs w:val="28"/>
          <w:lang w:val="en-US" w:eastAsia="zh-CN"/>
        </w:rPr>
        <w:t>矿山建设单位未按原设计要求进行正常开采生产，于2025年7月收到弥勒市应急管理局开具的《行政处罚决定书》</w:t>
      </w:r>
      <w:r>
        <w:rPr>
          <w:rFonts w:hint="eastAsia" w:cs="Times New Roman"/>
          <w:sz w:val="28"/>
          <w:szCs w:val="28"/>
          <w:lang w:val="en-US" w:eastAsia="zh-CN"/>
        </w:rPr>
        <w:t>（</w:t>
      </w:r>
      <w:r>
        <w:rPr>
          <w:rFonts w:hint="default" w:ascii="Times New Roman" w:hAnsi="Times New Roman" w:cs="Times New Roman"/>
          <w:sz w:val="28"/>
          <w:szCs w:val="28"/>
          <w:lang w:val="en-US" w:eastAsia="zh-CN"/>
        </w:rPr>
        <w:t>弥</w:t>
      </w:r>
      <w:r>
        <w:rPr>
          <w:rFonts w:hint="eastAsia" w:cs="Times New Roman"/>
          <w:sz w:val="28"/>
          <w:szCs w:val="28"/>
          <w:lang w:val="en-US" w:eastAsia="zh-CN"/>
        </w:rPr>
        <w:t>）</w:t>
      </w:r>
      <w:r>
        <w:rPr>
          <w:rFonts w:hint="default" w:ascii="Times New Roman" w:hAnsi="Times New Roman" w:cs="Times New Roman"/>
          <w:sz w:val="28"/>
          <w:szCs w:val="28"/>
          <w:lang w:val="en-US" w:eastAsia="zh-CN"/>
        </w:rPr>
        <w:t>应急罚〔2025〕非煤-1号，矿山存在问题为：矿山未按照设计要求采用自上而下的开采顺序进行开采；矿山现采矿证拐点11附近的靠帮合阶高度或最终边坡台阶高度为15m超过原设计高度10m。</w:t>
      </w:r>
    </w:p>
    <w:p w14:paraId="62C70884">
      <w:pPr>
        <w:wordWrap w:val="0"/>
        <w:adjustRightInd w:val="0"/>
        <w:snapToGrid w:val="0"/>
        <w:spacing w:line="360" w:lineRule="auto"/>
        <w:ind w:firstLine="560" w:firstLineChars="200"/>
        <w:rPr>
          <w:rFonts w:hint="default" w:ascii="Times New Roman" w:hAnsi="Times New Roman" w:eastAsia="宋体" w:cs="Times New Roman"/>
          <w:sz w:val="28"/>
          <w:szCs w:val="21"/>
        </w:rPr>
      </w:pPr>
      <w:r>
        <w:rPr>
          <w:rFonts w:hint="default" w:ascii="Times New Roman" w:hAnsi="Times New Roman" w:cs="Times New Roman"/>
          <w:sz w:val="28"/>
          <w:szCs w:val="21"/>
          <w:lang w:val="en-US" w:eastAsia="zh-CN"/>
        </w:rPr>
        <w:t>3</w:t>
      </w:r>
      <w:r>
        <w:rPr>
          <w:rFonts w:hint="default" w:ascii="Times New Roman" w:hAnsi="Times New Roman" w:eastAsia="宋体" w:cs="Times New Roman"/>
          <w:sz w:val="28"/>
          <w:szCs w:val="21"/>
        </w:rPr>
        <w:t>、露天采场开采现状</w:t>
      </w:r>
    </w:p>
    <w:p w14:paraId="67054EE1">
      <w:pPr>
        <w:adjustRightInd w:val="0"/>
        <w:snapToGrid w:val="0"/>
        <w:spacing w:line="360" w:lineRule="auto"/>
        <w:ind w:firstLine="560" w:firstLineChars="200"/>
        <w:rPr>
          <w:rFonts w:hint="default" w:ascii="Times New Roman" w:hAnsi="Times New Roman" w:cs="Times New Roman"/>
          <w:sz w:val="28"/>
          <w:szCs w:val="28"/>
        </w:rPr>
      </w:pPr>
      <w:r>
        <w:rPr>
          <w:rFonts w:hint="default" w:ascii="Times New Roman" w:hAnsi="Times New Roman" w:cs="Times New Roman"/>
          <w:sz w:val="28"/>
          <w:szCs w:val="28"/>
        </w:rPr>
        <w:t>矿山已开采多年，矿区已形成露天采空区，其中矿区东侧采空区面积约0.05842km</w:t>
      </w:r>
      <w:r>
        <w:rPr>
          <w:rFonts w:hint="default" w:ascii="Times New Roman" w:hAnsi="Times New Roman" w:cs="Times New Roman"/>
          <w:sz w:val="28"/>
          <w:szCs w:val="28"/>
          <w:vertAlign w:val="superscript"/>
        </w:rPr>
        <w:t>2</w:t>
      </w:r>
      <w:r>
        <w:rPr>
          <w:rFonts w:hint="default" w:ascii="Times New Roman" w:hAnsi="Times New Roman" w:cs="Times New Roman"/>
          <w:sz w:val="28"/>
          <w:szCs w:val="28"/>
        </w:rPr>
        <w:t>，矿区西侧采空区面积约0.07948km</w:t>
      </w:r>
      <w:r>
        <w:rPr>
          <w:rFonts w:hint="default" w:ascii="Times New Roman" w:hAnsi="Times New Roman" w:cs="Times New Roman"/>
          <w:sz w:val="28"/>
          <w:szCs w:val="28"/>
          <w:vertAlign w:val="superscript"/>
        </w:rPr>
        <w:t>2</w:t>
      </w:r>
      <w:r>
        <w:rPr>
          <w:rFonts w:hint="default" w:ascii="Times New Roman" w:hAnsi="Times New Roman" w:cs="Times New Roman"/>
          <w:sz w:val="28"/>
          <w:szCs w:val="28"/>
        </w:rPr>
        <w:t>，采空区为历史开采形成，不存在越界开采行为，现状越界采空区均位于原矿权范围内。</w:t>
      </w:r>
    </w:p>
    <w:p w14:paraId="258F2C14">
      <w:pPr>
        <w:adjustRightInd w:val="0"/>
        <w:snapToGrid w:val="0"/>
        <w:spacing w:line="360" w:lineRule="auto"/>
        <w:ind w:firstLine="560" w:firstLineChars="200"/>
        <w:rPr>
          <w:rFonts w:hint="default" w:ascii="Times New Roman" w:hAnsi="Times New Roman" w:cs="Times New Roman"/>
          <w:sz w:val="28"/>
          <w:szCs w:val="28"/>
        </w:rPr>
      </w:pPr>
      <w:r>
        <w:rPr>
          <w:rFonts w:hint="default" w:ascii="Times New Roman" w:hAnsi="Times New Roman" w:cs="Times New Roman"/>
          <w:sz w:val="28"/>
          <w:szCs w:val="28"/>
        </w:rPr>
        <w:t>东部采空区现状：采空区位于矿区东侧，采空区面积约0.05842km</w:t>
      </w:r>
      <w:r>
        <w:rPr>
          <w:rFonts w:hint="default" w:ascii="Times New Roman" w:hAnsi="Times New Roman" w:cs="Times New Roman"/>
          <w:sz w:val="28"/>
          <w:szCs w:val="28"/>
          <w:vertAlign w:val="superscript"/>
        </w:rPr>
        <w:t>2</w:t>
      </w:r>
      <w:r>
        <w:rPr>
          <w:rFonts w:hint="default" w:ascii="Times New Roman" w:hAnsi="Times New Roman" w:cs="Times New Roman"/>
          <w:sz w:val="28"/>
          <w:szCs w:val="28"/>
        </w:rPr>
        <w:t>，采空区主要由西侧、东侧两面边坡组成，西侧边坡坡顶位于矿区中部山头，顶部标高1542m，底部标高1515m，边坡高度5m～27m，大致分为1534m、1526m、1520m、1515m四个台阶，台阶高5～8m；东侧边坡坡顶位于矿区东部山头矿9拐点附近，顶部标高1540m，底部标高1515m，边坡高度5m～25m，大致分为1534m、1526m、1520m、1515m四个台阶，台阶高5～8m；台阶坡面角32°～50°，最终边坡角22°～37°。</w:t>
      </w:r>
    </w:p>
    <w:p w14:paraId="348D760E">
      <w:pPr>
        <w:adjustRightInd w:val="0"/>
        <w:snapToGrid w:val="0"/>
        <w:spacing w:line="360" w:lineRule="auto"/>
        <w:ind w:firstLine="560" w:firstLineChars="200"/>
        <w:rPr>
          <w:rFonts w:hint="default" w:ascii="Times New Roman" w:hAnsi="Times New Roman" w:cs="Times New Roman"/>
          <w:sz w:val="28"/>
          <w:szCs w:val="28"/>
        </w:rPr>
      </w:pPr>
      <w:r>
        <w:rPr>
          <w:rFonts w:hint="default" w:ascii="Times New Roman" w:hAnsi="Times New Roman" w:cs="Times New Roman"/>
          <w:sz w:val="28"/>
          <w:szCs w:val="28"/>
        </w:rPr>
        <w:t>西部采空区现状：采空区位于矿区西部工业场地周边，边坡高度5m～48m，坡顶标高1518m，坡底标高1470m，大致分为1480m、1494m、15</w:t>
      </w:r>
      <w:r>
        <w:rPr>
          <w:rFonts w:hint="default" w:ascii="Times New Roman" w:hAnsi="Times New Roman" w:cs="Times New Roman"/>
          <w:sz w:val="28"/>
          <w:szCs w:val="28"/>
          <w:lang w:val="en-US" w:eastAsia="zh-CN"/>
        </w:rPr>
        <w:t>0</w:t>
      </w:r>
      <w:r>
        <w:rPr>
          <w:rFonts w:hint="default" w:ascii="Times New Roman" w:hAnsi="Times New Roman" w:cs="Times New Roman"/>
          <w:sz w:val="28"/>
          <w:szCs w:val="28"/>
        </w:rPr>
        <w:t>0m、1515m四个台阶，台阶高5～20m，局部台阶高30m，台阶坡面角23°～48°，最终边坡角22°～55°。</w:t>
      </w:r>
    </w:p>
    <w:p w14:paraId="51AD516D">
      <w:pPr>
        <w:wordWrap w:val="0"/>
        <w:adjustRightInd w:val="0"/>
        <w:snapToGrid w:val="0"/>
        <w:spacing w:line="360" w:lineRule="auto"/>
        <w:ind w:firstLine="560" w:firstLineChars="200"/>
        <w:rPr>
          <w:rFonts w:hint="default" w:ascii="Times New Roman" w:hAnsi="Times New Roman" w:cs="Times New Roman"/>
          <w:sz w:val="28"/>
          <w:szCs w:val="28"/>
          <w:lang w:val="en-US" w:eastAsia="zh-CN"/>
        </w:rPr>
      </w:pPr>
      <w:r>
        <w:rPr>
          <w:rFonts w:hint="default" w:ascii="Times New Roman" w:hAnsi="Times New Roman" w:cs="Times New Roman"/>
          <w:sz w:val="28"/>
          <w:szCs w:val="28"/>
          <w:lang w:val="en-US" w:eastAsia="zh-CN"/>
        </w:rPr>
        <w:t>采空区为历史开采形成，已形成多年。开采空边坡从整体上来看，现处于稳定状态。</w:t>
      </w:r>
    </w:p>
    <w:p w14:paraId="3725BFC1">
      <w:pPr>
        <w:wordWrap w:val="0"/>
        <w:adjustRightInd w:val="0"/>
        <w:snapToGrid w:val="0"/>
        <w:spacing w:line="360" w:lineRule="auto"/>
        <w:ind w:firstLine="560" w:firstLineChars="200"/>
        <w:rPr>
          <w:rFonts w:hint="default" w:ascii="Times New Roman" w:hAnsi="Times New Roman" w:eastAsia="宋体" w:cs="Times New Roman"/>
          <w:sz w:val="28"/>
          <w:szCs w:val="21"/>
        </w:rPr>
      </w:pPr>
      <w:r>
        <w:rPr>
          <w:rFonts w:hint="default" w:ascii="Times New Roman" w:hAnsi="Times New Roman" w:cs="Times New Roman"/>
          <w:sz w:val="28"/>
          <w:szCs w:val="28"/>
          <w:lang w:val="en-US" w:eastAsia="zh-CN"/>
        </w:rPr>
        <w:t>4、</w:t>
      </w:r>
      <w:r>
        <w:rPr>
          <w:rFonts w:hint="default" w:ascii="Times New Roman" w:hAnsi="Times New Roman" w:eastAsia="宋体" w:cs="Times New Roman"/>
          <w:sz w:val="28"/>
          <w:szCs w:val="21"/>
        </w:rPr>
        <w:t>破碎站</w:t>
      </w:r>
    </w:p>
    <w:p w14:paraId="2768B9BD">
      <w:pPr>
        <w:wordWrap w:val="0"/>
        <w:adjustRightInd w:val="0"/>
        <w:snapToGrid w:val="0"/>
        <w:spacing w:line="360" w:lineRule="auto"/>
        <w:ind w:firstLine="560" w:firstLineChars="200"/>
        <w:rPr>
          <w:rFonts w:hint="default" w:ascii="Times New Roman" w:hAnsi="Times New Roman" w:eastAsia="宋体" w:cs="Times New Roman"/>
          <w:sz w:val="28"/>
          <w:szCs w:val="21"/>
        </w:rPr>
      </w:pPr>
      <w:bookmarkStart w:id="244" w:name="_Hlk194347157"/>
      <w:r>
        <w:rPr>
          <w:rFonts w:hint="default" w:ascii="Times New Roman" w:hAnsi="Times New Roman" w:eastAsia="宋体" w:cs="Times New Roman"/>
          <w:sz w:val="28"/>
          <w:szCs w:val="21"/>
        </w:rPr>
        <w:t>破碎站位于矿区西侧，矿山目前建有的破碎站破碎能力为250t/h，矿山采用1班/天生产，能够满足年破碎50万t矿石的需求。</w:t>
      </w:r>
    </w:p>
    <w:p w14:paraId="42297868">
      <w:pPr>
        <w:wordWrap w:val="0"/>
        <w:adjustRightInd w:val="0"/>
        <w:snapToGrid w:val="0"/>
        <w:spacing w:line="360" w:lineRule="auto"/>
        <w:ind w:firstLine="560" w:firstLineChars="200"/>
        <w:rPr>
          <w:rFonts w:hint="default" w:ascii="Times New Roman" w:hAnsi="Times New Roman" w:eastAsia="宋体" w:cs="Times New Roman"/>
          <w:sz w:val="28"/>
          <w:szCs w:val="21"/>
        </w:rPr>
      </w:pPr>
      <w:r>
        <w:rPr>
          <w:rFonts w:hint="default" w:ascii="Times New Roman" w:hAnsi="Times New Roman" w:cs="Times New Roman"/>
          <w:sz w:val="28"/>
          <w:szCs w:val="21"/>
          <w:lang w:eastAsia="zh-CN"/>
        </w:rPr>
        <w:t>设计</w:t>
      </w:r>
      <w:r>
        <w:rPr>
          <w:rFonts w:hint="default" w:ascii="Times New Roman" w:hAnsi="Times New Roman" w:eastAsia="宋体" w:cs="Times New Roman"/>
          <w:sz w:val="28"/>
          <w:szCs w:val="21"/>
        </w:rPr>
        <w:t>利用已有设备，采用预先筛分+破碎+成品筛工艺</w:t>
      </w:r>
      <w:r>
        <w:rPr>
          <w:rFonts w:hint="default" w:ascii="Times New Roman" w:hAnsi="Times New Roman" w:cs="Times New Roman"/>
          <w:sz w:val="28"/>
          <w:szCs w:val="21"/>
          <w:lang w:eastAsia="zh-CN"/>
        </w:rPr>
        <w:t>，</w:t>
      </w:r>
      <w:r>
        <w:rPr>
          <w:rFonts w:hint="default" w:ascii="Times New Roman" w:hAnsi="Times New Roman" w:eastAsia="宋体" w:cs="Times New Roman"/>
          <w:sz w:val="28"/>
          <w:szCs w:val="21"/>
        </w:rPr>
        <w:t>具体为通过铲运机将矿石铲运至原矿仓后经振动给矿机给入预先分机（2YA1242振动筛），筛上物料进入制砂机（PFC1010</w:t>
      </w:r>
      <w:bookmarkStart w:id="245" w:name="OLE_LINK44"/>
      <w:r>
        <w:rPr>
          <w:rFonts w:hint="default" w:ascii="Times New Roman" w:hAnsi="Times New Roman" w:eastAsia="宋体" w:cs="Times New Roman"/>
          <w:sz w:val="28"/>
          <w:szCs w:val="21"/>
        </w:rPr>
        <w:t>）</w:t>
      </w:r>
      <w:bookmarkEnd w:id="245"/>
      <w:r>
        <w:rPr>
          <w:rFonts w:hint="default" w:ascii="Times New Roman" w:hAnsi="Times New Roman" w:eastAsia="宋体" w:cs="Times New Roman"/>
          <w:sz w:val="28"/>
          <w:szCs w:val="21"/>
        </w:rPr>
        <w:t>进行破碎，破碎后产品和预先筛分机筛下物料通过胶带运输机（B=800mm，1=18.2m），给入成品滚简筛（ф1.8x6.0m）进行筛分，得到最终破碎后产品。生产线工作制度为每年工作300天，1班/天，8小时/班。</w:t>
      </w:r>
    </w:p>
    <w:bookmarkEnd w:id="244"/>
    <w:p w14:paraId="6A7B5F6D">
      <w:pPr>
        <w:adjustRightInd w:val="0"/>
        <w:snapToGrid w:val="0"/>
        <w:spacing w:line="360" w:lineRule="auto"/>
        <w:ind w:firstLine="560" w:firstLineChars="200"/>
        <w:rPr>
          <w:rFonts w:hint="default" w:ascii="Times New Roman" w:hAnsi="Times New Roman" w:cs="Times New Roman"/>
          <w:sz w:val="28"/>
          <w:szCs w:val="28"/>
          <w:lang w:val="en-US" w:eastAsia="zh-CN"/>
        </w:rPr>
      </w:pPr>
      <w:r>
        <w:rPr>
          <w:rFonts w:hint="default" w:ascii="Times New Roman" w:hAnsi="Times New Roman" w:cs="Times New Roman"/>
          <w:sz w:val="28"/>
          <w:szCs w:val="28"/>
          <w:lang w:val="en-US" w:eastAsia="zh-CN"/>
        </w:rPr>
        <w:t>5、办公生活区、机修车间</w:t>
      </w:r>
    </w:p>
    <w:p w14:paraId="6D6C8475">
      <w:pPr>
        <w:adjustRightInd w:val="0"/>
        <w:snapToGrid w:val="0"/>
        <w:spacing w:line="360" w:lineRule="auto"/>
        <w:ind w:firstLine="560" w:firstLineChars="200"/>
        <w:rPr>
          <w:rFonts w:hint="default" w:ascii="Times New Roman" w:hAnsi="Times New Roman" w:cs="Times New Roman"/>
          <w:b/>
          <w:bCs/>
          <w:sz w:val="28"/>
          <w:szCs w:val="28"/>
          <w:lang w:val="en-US" w:eastAsia="zh-CN"/>
        </w:rPr>
      </w:pPr>
      <w:r>
        <w:rPr>
          <w:rFonts w:hint="default" w:ascii="Times New Roman" w:hAnsi="Times New Roman" w:cs="Times New Roman"/>
          <w:sz w:val="28"/>
          <w:szCs w:val="28"/>
          <w:lang w:val="en-US" w:eastAsia="zh-CN"/>
        </w:rPr>
        <w:t>矿山办公生活区主要位于矿区西侧，机修车间位于办公生活区旁。</w:t>
      </w:r>
    </w:p>
    <w:p w14:paraId="5603A7DA">
      <w:pPr>
        <w:pStyle w:val="4"/>
        <w:spacing w:before="0" w:after="0" w:line="360" w:lineRule="auto"/>
        <w:rPr>
          <w:rFonts w:hint="default" w:ascii="Times New Roman" w:hAnsi="Times New Roman" w:cs="Times New Roman"/>
          <w:sz w:val="28"/>
          <w:szCs w:val="28"/>
        </w:rPr>
      </w:pPr>
      <w:bookmarkStart w:id="246" w:name="_Toc20352"/>
      <w:bookmarkStart w:id="247" w:name="_Toc32372"/>
      <w:bookmarkStart w:id="248" w:name="_Toc969"/>
      <w:bookmarkStart w:id="249" w:name="_Toc7937"/>
      <w:r>
        <w:rPr>
          <w:rFonts w:hint="default" w:ascii="Times New Roman" w:hAnsi="Times New Roman" w:cs="Times New Roman"/>
          <w:sz w:val="28"/>
          <w:szCs w:val="28"/>
        </w:rPr>
        <w:t>2.4.2建设规模及工作制度</w:t>
      </w:r>
      <w:bookmarkEnd w:id="246"/>
      <w:bookmarkEnd w:id="247"/>
      <w:bookmarkEnd w:id="248"/>
      <w:bookmarkEnd w:id="249"/>
    </w:p>
    <w:p w14:paraId="0C0C111B">
      <w:pPr>
        <w:pStyle w:val="5"/>
        <w:spacing w:before="0" w:after="0" w:line="360" w:lineRule="auto"/>
        <w:ind w:firstLine="562" w:firstLineChars="200"/>
        <w:rPr>
          <w:rFonts w:hint="default" w:ascii="Times New Roman" w:hAnsi="Times New Roman" w:cs="Times New Roman"/>
        </w:rPr>
      </w:pPr>
      <w:bookmarkStart w:id="250" w:name="_Toc42224900"/>
      <w:r>
        <w:rPr>
          <w:rFonts w:hint="default" w:ascii="Times New Roman" w:hAnsi="Times New Roman" w:cs="Times New Roman"/>
        </w:rPr>
        <w:t>2.4.2.1</w:t>
      </w:r>
      <w:bookmarkEnd w:id="250"/>
      <w:r>
        <w:rPr>
          <w:rFonts w:hint="default" w:ascii="Times New Roman" w:hAnsi="Times New Roman" w:cs="Times New Roman"/>
        </w:rPr>
        <w:t>矿床资源储量</w:t>
      </w:r>
    </w:p>
    <w:p w14:paraId="10B768C6">
      <w:pPr>
        <w:keepNext/>
        <w:keepLines/>
        <w:spacing w:line="360" w:lineRule="auto"/>
        <w:ind w:firstLine="560" w:firstLineChars="200"/>
        <w:rPr>
          <w:rFonts w:hint="default" w:ascii="Times New Roman" w:hAnsi="Times New Roman" w:cs="Times New Roman"/>
          <w:sz w:val="28"/>
          <w:szCs w:val="28"/>
        </w:rPr>
      </w:pPr>
      <w:r>
        <w:rPr>
          <w:rFonts w:hint="default" w:ascii="Times New Roman" w:hAnsi="Times New Roman" w:cs="Times New Roman"/>
          <w:sz w:val="28"/>
          <w:szCs w:val="28"/>
        </w:rPr>
        <w:t>1、保有资源量</w:t>
      </w:r>
    </w:p>
    <w:p w14:paraId="18DE9A8A">
      <w:pPr>
        <w:adjustRightInd w:val="0"/>
        <w:snapToGrid w:val="0"/>
        <w:spacing w:line="360" w:lineRule="auto"/>
        <w:ind w:firstLine="560" w:firstLineChars="200"/>
        <w:rPr>
          <w:rFonts w:hint="default" w:ascii="Times New Roman" w:hAnsi="Times New Roman" w:cs="Times New Roman"/>
          <w:sz w:val="28"/>
          <w:szCs w:val="28"/>
        </w:rPr>
      </w:pPr>
      <w:r>
        <w:rPr>
          <w:rFonts w:hint="default" w:ascii="Times New Roman" w:hAnsi="Times New Roman" w:cs="Times New Roman"/>
          <w:sz w:val="28"/>
          <w:szCs w:val="28"/>
        </w:rPr>
        <w:t>根据《弥勒市小沙冲砂场白云岩矿（建筑用砂）资源储量核实报告》评审意见书（红晓金矿储评（弥勒）〔2025〕01号），截止2025年4月30日，矿区范围内累计查明白云岩（建筑用砂）探明+控制+推断资源量813.3万m</w:t>
      </w:r>
      <w:r>
        <w:rPr>
          <w:rFonts w:hint="default" w:ascii="Times New Roman" w:hAnsi="Times New Roman" w:cs="Times New Roman"/>
          <w:sz w:val="28"/>
          <w:szCs w:val="28"/>
          <w:vertAlign w:val="superscript"/>
        </w:rPr>
        <w:t>3</w:t>
      </w:r>
      <w:r>
        <w:rPr>
          <w:rFonts w:hint="default" w:ascii="Times New Roman" w:hAnsi="Times New Roman" w:cs="Times New Roman"/>
          <w:sz w:val="28"/>
          <w:szCs w:val="28"/>
        </w:rPr>
        <w:t>（1830.2万t</w:t>
      </w:r>
      <w:bookmarkStart w:id="251" w:name="OLE_LINK79"/>
      <w:r>
        <w:rPr>
          <w:rFonts w:hint="default" w:ascii="Times New Roman" w:hAnsi="Times New Roman" w:cs="Times New Roman"/>
          <w:sz w:val="28"/>
          <w:szCs w:val="28"/>
        </w:rPr>
        <w:t>）</w:t>
      </w:r>
      <w:bookmarkEnd w:id="251"/>
      <w:r>
        <w:rPr>
          <w:rFonts w:hint="default" w:ascii="Times New Roman" w:hAnsi="Times New Roman" w:cs="Times New Roman"/>
          <w:sz w:val="28"/>
          <w:szCs w:val="28"/>
        </w:rPr>
        <w:t>，其中动用探明资源量231.3万m</w:t>
      </w:r>
      <w:r>
        <w:rPr>
          <w:rFonts w:hint="default" w:ascii="Times New Roman" w:hAnsi="Times New Roman" w:cs="Times New Roman"/>
          <w:sz w:val="28"/>
          <w:szCs w:val="28"/>
          <w:vertAlign w:val="superscript"/>
        </w:rPr>
        <w:t>3</w:t>
      </w:r>
      <w:r>
        <w:rPr>
          <w:rFonts w:hint="default" w:ascii="Times New Roman" w:hAnsi="Times New Roman" w:cs="Times New Roman"/>
          <w:sz w:val="28"/>
          <w:szCs w:val="28"/>
        </w:rPr>
        <w:t>（520.5万t）；保有白云岩（建筑用砂）探明+控制+推断资源量582.0万m</w:t>
      </w:r>
      <w:r>
        <w:rPr>
          <w:rFonts w:hint="default" w:ascii="Times New Roman" w:hAnsi="Times New Roman" w:cs="Times New Roman"/>
          <w:sz w:val="28"/>
          <w:szCs w:val="28"/>
          <w:vertAlign w:val="superscript"/>
        </w:rPr>
        <w:t>3</w:t>
      </w:r>
      <w:r>
        <w:rPr>
          <w:rFonts w:hint="default" w:ascii="Times New Roman" w:hAnsi="Times New Roman" w:cs="Times New Roman"/>
          <w:sz w:val="28"/>
          <w:szCs w:val="28"/>
        </w:rPr>
        <w:t>（1309.7万t），其中探明资源量98.7万m</w:t>
      </w:r>
      <w:r>
        <w:rPr>
          <w:rFonts w:hint="default" w:ascii="Times New Roman" w:hAnsi="Times New Roman" w:cs="Times New Roman"/>
          <w:sz w:val="28"/>
          <w:szCs w:val="28"/>
          <w:vertAlign w:val="superscript"/>
        </w:rPr>
        <w:t>3</w:t>
      </w:r>
      <w:r>
        <w:rPr>
          <w:rFonts w:hint="default" w:ascii="Times New Roman" w:hAnsi="Times New Roman" w:cs="Times New Roman"/>
          <w:sz w:val="28"/>
          <w:szCs w:val="28"/>
        </w:rPr>
        <w:t>（222.2万t），占比16.96%；控制资源量244.8万m</w:t>
      </w:r>
      <w:r>
        <w:rPr>
          <w:rFonts w:hint="default" w:ascii="Times New Roman" w:hAnsi="Times New Roman" w:cs="Times New Roman"/>
          <w:sz w:val="28"/>
          <w:szCs w:val="28"/>
          <w:vertAlign w:val="superscript"/>
        </w:rPr>
        <w:t>3</w:t>
      </w:r>
      <w:r>
        <w:rPr>
          <w:rFonts w:hint="default" w:ascii="Times New Roman" w:hAnsi="Times New Roman" w:cs="Times New Roman"/>
          <w:sz w:val="28"/>
          <w:szCs w:val="28"/>
        </w:rPr>
        <w:t>（550.8万t），占比42.06%；推断资源量238.5万m</w:t>
      </w:r>
      <w:r>
        <w:rPr>
          <w:rFonts w:hint="default" w:ascii="Times New Roman" w:hAnsi="Times New Roman" w:cs="Times New Roman"/>
          <w:sz w:val="28"/>
          <w:szCs w:val="28"/>
          <w:vertAlign w:val="superscript"/>
        </w:rPr>
        <w:t>3</w:t>
      </w:r>
      <w:r>
        <w:rPr>
          <w:rFonts w:hint="default" w:ascii="Times New Roman" w:hAnsi="Times New Roman" w:cs="Times New Roman"/>
          <w:sz w:val="28"/>
          <w:szCs w:val="28"/>
        </w:rPr>
        <w:t>（536.7万t），占比40.98%。</w:t>
      </w:r>
    </w:p>
    <w:p w14:paraId="51FBB01D">
      <w:pPr>
        <w:adjustRightInd w:val="0"/>
        <w:snapToGrid w:val="0"/>
        <w:spacing w:line="360" w:lineRule="auto"/>
        <w:ind w:firstLine="560" w:firstLineChars="200"/>
        <w:rPr>
          <w:rFonts w:hint="default" w:ascii="Times New Roman" w:hAnsi="Times New Roman" w:cs="Times New Roman"/>
          <w:sz w:val="28"/>
          <w:szCs w:val="28"/>
        </w:rPr>
      </w:pPr>
      <w:r>
        <w:rPr>
          <w:rFonts w:hint="default" w:ascii="Times New Roman" w:hAnsi="Times New Roman" w:cs="Times New Roman"/>
          <w:sz w:val="28"/>
          <w:szCs w:val="28"/>
        </w:rPr>
        <w:t>2、利用资源量</w:t>
      </w:r>
    </w:p>
    <w:p w14:paraId="120051EB">
      <w:pPr>
        <w:adjustRightInd w:val="0"/>
        <w:snapToGrid w:val="0"/>
        <w:spacing w:line="360" w:lineRule="auto"/>
        <w:ind w:firstLine="560" w:firstLineChars="200"/>
        <w:rPr>
          <w:rFonts w:hint="default" w:ascii="Times New Roman" w:hAnsi="Times New Roman" w:cs="Times New Roman"/>
          <w:sz w:val="28"/>
          <w:szCs w:val="28"/>
        </w:rPr>
      </w:pPr>
      <w:r>
        <w:rPr>
          <w:rFonts w:hint="default" w:ascii="Times New Roman" w:hAnsi="Times New Roman" w:cs="Times New Roman"/>
          <w:sz w:val="28"/>
          <w:szCs w:val="28"/>
        </w:rPr>
        <w:t>由于矿区北侧矿权拐点1处有一高压线（10kv阿左邑1号变支线）穿过矿区，根据《电力设施保护条例》相关规定，设计沿高压线两侧各设置5m保护区，设置保护区后行形成1123m</w:t>
      </w:r>
      <w:r>
        <w:rPr>
          <w:rFonts w:hint="default" w:ascii="Times New Roman" w:hAnsi="Times New Roman" w:cs="Times New Roman"/>
          <w:sz w:val="28"/>
          <w:szCs w:val="28"/>
          <w:vertAlign w:val="superscript"/>
        </w:rPr>
        <w:t>2</w:t>
      </w:r>
      <w:r>
        <w:rPr>
          <w:rFonts w:hint="default" w:ascii="Times New Roman" w:hAnsi="Times New Roman" w:cs="Times New Roman"/>
          <w:sz w:val="28"/>
          <w:szCs w:val="28"/>
        </w:rPr>
        <w:t>（含设置保护区后造成矿权拐点1和保护区之间394m2的设计损失面积）禁采区，因设置禁采区损失资源量约3万t</w:t>
      </w:r>
      <w:bookmarkStart w:id="252" w:name="OLE_LINK83"/>
      <w:r>
        <w:rPr>
          <w:rFonts w:hint="default" w:ascii="Times New Roman" w:hAnsi="Times New Roman" w:cs="Times New Roman"/>
          <w:sz w:val="28"/>
          <w:szCs w:val="28"/>
        </w:rPr>
        <w:t>（推断资源量）</w:t>
      </w:r>
      <w:bookmarkEnd w:id="252"/>
      <w:r>
        <w:rPr>
          <w:rFonts w:hint="default" w:ascii="Times New Roman" w:hAnsi="Times New Roman" w:cs="Times New Roman"/>
          <w:sz w:val="28"/>
          <w:szCs w:val="28"/>
        </w:rPr>
        <w:t>。</w:t>
      </w:r>
    </w:p>
    <w:p w14:paraId="47667397">
      <w:pPr>
        <w:adjustRightInd w:val="0"/>
        <w:snapToGrid w:val="0"/>
        <w:spacing w:line="360" w:lineRule="auto"/>
        <w:ind w:firstLine="560" w:firstLineChars="200"/>
        <w:rPr>
          <w:rFonts w:hint="default" w:ascii="Times New Roman" w:hAnsi="Times New Roman" w:cs="Times New Roman"/>
          <w:sz w:val="28"/>
          <w:szCs w:val="28"/>
        </w:rPr>
      </w:pPr>
      <w:r>
        <w:rPr>
          <w:rFonts w:hint="default" w:ascii="Times New Roman" w:hAnsi="Times New Roman" w:cs="Times New Roman"/>
          <w:sz w:val="28"/>
          <w:szCs w:val="28"/>
        </w:rPr>
        <w:t>储量估算最终边坡角取值40°，设计最终边坡为38°，该部分损失资源量经计算约9.75万t（推断资源量）。</w:t>
      </w:r>
    </w:p>
    <w:p w14:paraId="0851273A">
      <w:pPr>
        <w:adjustRightInd w:val="0"/>
        <w:snapToGrid w:val="0"/>
        <w:spacing w:line="360" w:lineRule="auto"/>
        <w:ind w:firstLine="560" w:firstLineChars="200"/>
        <w:rPr>
          <w:rFonts w:hint="default" w:ascii="Times New Roman" w:hAnsi="Times New Roman" w:cs="Times New Roman"/>
          <w:sz w:val="28"/>
          <w:szCs w:val="28"/>
        </w:rPr>
      </w:pPr>
      <w:r>
        <w:rPr>
          <w:rFonts w:hint="default" w:ascii="Times New Roman" w:hAnsi="Times New Roman" w:cs="Times New Roman"/>
          <w:sz w:val="28"/>
          <w:szCs w:val="28"/>
        </w:rPr>
        <w:t>根据矿体的赋存条件和勘探程度，控制资源量资源利用系数取1，推断资源量资源利用系数取0.8；</w:t>
      </w:r>
    </w:p>
    <w:p w14:paraId="1D32DBD7">
      <w:pPr>
        <w:adjustRightInd w:val="0"/>
        <w:snapToGrid w:val="0"/>
        <w:spacing w:line="360" w:lineRule="auto"/>
        <w:ind w:firstLine="560" w:firstLineChars="200"/>
        <w:rPr>
          <w:rFonts w:hint="default" w:ascii="Times New Roman" w:hAnsi="Times New Roman" w:cs="Times New Roman"/>
          <w:sz w:val="28"/>
          <w:szCs w:val="28"/>
        </w:rPr>
      </w:pPr>
      <w:r>
        <w:rPr>
          <w:rFonts w:hint="default" w:ascii="Times New Roman" w:hAnsi="Times New Roman" w:cs="Times New Roman"/>
          <w:sz w:val="28"/>
          <w:szCs w:val="28"/>
        </w:rPr>
        <w:t>综上所述，扣除设计损失资源量，经计算利用资源量为1244.56万t。</w:t>
      </w:r>
    </w:p>
    <w:p w14:paraId="56B694A0">
      <w:pPr>
        <w:widowControl w:val="0"/>
        <w:wordWrap w:val="0"/>
        <w:adjustRightInd w:val="0"/>
        <w:snapToGrid w:val="0"/>
        <w:spacing w:line="240" w:lineRule="auto"/>
        <w:ind w:firstLine="0" w:firstLineChars="0"/>
        <w:jc w:val="center"/>
        <w:rPr>
          <w:rFonts w:hint="default" w:ascii="Times New Roman" w:hAnsi="Times New Roman" w:eastAsia="宋体" w:cs="Times New Roman"/>
          <w:b w:val="0"/>
          <w:bCs/>
          <w:kern w:val="0"/>
          <w:sz w:val="24"/>
          <w:szCs w:val="20"/>
          <w:lang w:val="en-US" w:eastAsia="zh-CN" w:bidi="ar-SA"/>
        </w:rPr>
      </w:pPr>
      <w:bookmarkStart w:id="253" w:name="_Hlk194342741"/>
      <w:r>
        <w:rPr>
          <w:rFonts w:hint="default" w:ascii="Times New Roman" w:hAnsi="Times New Roman" w:eastAsia="宋体" w:cs="Times New Roman"/>
          <w:b w:val="0"/>
          <w:bCs/>
          <w:kern w:val="0"/>
          <w:sz w:val="24"/>
          <w:szCs w:val="20"/>
          <w:lang w:val="en-US" w:eastAsia="zh-CN" w:bidi="ar-SA"/>
        </w:rPr>
        <w:t>表2.4-2  利用资源量表</w:t>
      </w:r>
    </w:p>
    <w:tbl>
      <w:tblPr>
        <w:tblStyle w:val="30"/>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76"/>
        <w:gridCol w:w="1446"/>
        <w:gridCol w:w="1766"/>
        <w:gridCol w:w="1604"/>
        <w:gridCol w:w="1614"/>
        <w:gridCol w:w="1693"/>
      </w:tblGrid>
      <w:tr w14:paraId="5CDF08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79" w:type="pct"/>
            <w:shd w:val="clear" w:color="auto" w:fill="auto"/>
            <w:vAlign w:val="center"/>
          </w:tcPr>
          <w:p w14:paraId="0F4E9E80">
            <w:pPr>
              <w:widowControl w:val="0"/>
              <w:wordWrap w:val="0"/>
              <w:adjustRightInd w:val="0"/>
              <w:snapToGrid w:val="0"/>
              <w:spacing w:line="240" w:lineRule="auto"/>
              <w:ind w:firstLine="0" w:firstLineChars="0"/>
              <w:jc w:val="center"/>
              <w:rPr>
                <w:rFonts w:hint="default" w:ascii="Times New Roman" w:hAnsi="Times New Roman" w:eastAsia="宋体" w:cs="Times New Roman"/>
                <w:b/>
                <w:bCs/>
                <w:kern w:val="2"/>
                <w:sz w:val="21"/>
                <w:szCs w:val="21"/>
                <w:lang w:val="en-US" w:eastAsia="zh-CN" w:bidi="ar-SA"/>
              </w:rPr>
            </w:pPr>
            <w:r>
              <w:rPr>
                <w:rFonts w:hint="default" w:ascii="Times New Roman" w:hAnsi="Times New Roman" w:eastAsia="宋体" w:cs="Times New Roman"/>
                <w:b/>
                <w:bCs/>
                <w:kern w:val="2"/>
                <w:sz w:val="21"/>
                <w:szCs w:val="21"/>
                <w:lang w:val="en-US" w:eastAsia="zh-CN" w:bidi="ar-SA"/>
              </w:rPr>
              <w:t>资源量类型</w:t>
            </w:r>
          </w:p>
        </w:tc>
        <w:tc>
          <w:tcPr>
            <w:tcW w:w="769" w:type="pct"/>
            <w:shd w:val="clear" w:color="auto" w:fill="auto"/>
            <w:vAlign w:val="center"/>
          </w:tcPr>
          <w:p w14:paraId="56422DE8">
            <w:pPr>
              <w:widowControl w:val="0"/>
              <w:wordWrap w:val="0"/>
              <w:adjustRightInd w:val="0"/>
              <w:snapToGrid w:val="0"/>
              <w:spacing w:line="240" w:lineRule="auto"/>
              <w:ind w:firstLine="0" w:firstLineChars="0"/>
              <w:jc w:val="center"/>
              <w:rPr>
                <w:rFonts w:hint="default" w:ascii="Times New Roman" w:hAnsi="Times New Roman" w:eastAsia="宋体" w:cs="Times New Roman"/>
                <w:b/>
                <w:bCs/>
                <w:kern w:val="2"/>
                <w:sz w:val="21"/>
                <w:szCs w:val="21"/>
                <w:lang w:val="en-US" w:eastAsia="zh-CN" w:bidi="ar-SA"/>
              </w:rPr>
            </w:pPr>
            <w:r>
              <w:rPr>
                <w:rFonts w:hint="default" w:ascii="Times New Roman" w:hAnsi="Times New Roman" w:eastAsia="宋体" w:cs="Times New Roman"/>
                <w:b/>
                <w:bCs/>
                <w:kern w:val="2"/>
                <w:sz w:val="21"/>
                <w:szCs w:val="21"/>
                <w:lang w:val="en-US" w:eastAsia="zh-CN" w:bidi="ar-SA"/>
              </w:rPr>
              <w:t>评审备案资源量</w:t>
            </w:r>
          </w:p>
        </w:tc>
        <w:tc>
          <w:tcPr>
            <w:tcW w:w="939" w:type="pct"/>
            <w:shd w:val="clear" w:color="auto" w:fill="auto"/>
            <w:vAlign w:val="center"/>
          </w:tcPr>
          <w:p w14:paraId="255D71A4">
            <w:pPr>
              <w:widowControl w:val="0"/>
              <w:wordWrap w:val="0"/>
              <w:adjustRightInd w:val="0"/>
              <w:snapToGrid w:val="0"/>
              <w:spacing w:line="240" w:lineRule="auto"/>
              <w:ind w:firstLine="0" w:firstLineChars="0"/>
              <w:jc w:val="center"/>
              <w:rPr>
                <w:rFonts w:hint="default" w:ascii="Times New Roman" w:hAnsi="Times New Roman" w:eastAsia="宋体" w:cs="Times New Roman"/>
                <w:b/>
                <w:bCs/>
                <w:kern w:val="2"/>
                <w:sz w:val="21"/>
                <w:szCs w:val="21"/>
                <w:lang w:val="en-US" w:eastAsia="zh-CN" w:bidi="ar-SA"/>
              </w:rPr>
            </w:pPr>
            <w:r>
              <w:rPr>
                <w:rFonts w:hint="default" w:ascii="Times New Roman" w:hAnsi="Times New Roman" w:eastAsia="宋体" w:cs="Times New Roman"/>
                <w:b/>
                <w:bCs/>
                <w:kern w:val="2"/>
                <w:sz w:val="21"/>
                <w:szCs w:val="21"/>
                <w:lang w:val="en-US" w:eastAsia="zh-CN" w:bidi="ar-SA"/>
              </w:rPr>
              <w:t>设计边坡损失（万t）</w:t>
            </w:r>
          </w:p>
        </w:tc>
        <w:tc>
          <w:tcPr>
            <w:tcW w:w="853" w:type="pct"/>
            <w:shd w:val="clear" w:color="auto" w:fill="auto"/>
            <w:vAlign w:val="center"/>
          </w:tcPr>
          <w:p w14:paraId="10174411">
            <w:pPr>
              <w:widowControl w:val="0"/>
              <w:wordWrap w:val="0"/>
              <w:adjustRightInd w:val="0"/>
              <w:snapToGrid w:val="0"/>
              <w:spacing w:line="240" w:lineRule="auto"/>
              <w:ind w:firstLine="0" w:firstLineChars="0"/>
              <w:jc w:val="center"/>
              <w:rPr>
                <w:rFonts w:hint="default" w:ascii="Times New Roman" w:hAnsi="Times New Roman" w:eastAsia="宋体" w:cs="Times New Roman"/>
                <w:b/>
                <w:bCs/>
                <w:kern w:val="2"/>
                <w:sz w:val="21"/>
                <w:szCs w:val="21"/>
                <w:lang w:val="en-US" w:eastAsia="zh-CN" w:bidi="ar-SA"/>
              </w:rPr>
            </w:pPr>
            <w:r>
              <w:rPr>
                <w:rFonts w:hint="default" w:ascii="Times New Roman" w:hAnsi="Times New Roman" w:eastAsia="宋体" w:cs="Times New Roman"/>
                <w:b/>
                <w:bCs/>
                <w:kern w:val="2"/>
                <w:sz w:val="21"/>
                <w:szCs w:val="21"/>
                <w:lang w:val="en-US" w:eastAsia="zh-CN" w:bidi="ar-SA"/>
              </w:rPr>
              <w:t>禁采区压覆</w:t>
            </w:r>
          </w:p>
          <w:p w14:paraId="1C6F20B7">
            <w:pPr>
              <w:widowControl w:val="0"/>
              <w:wordWrap w:val="0"/>
              <w:adjustRightInd w:val="0"/>
              <w:snapToGrid w:val="0"/>
              <w:spacing w:line="240" w:lineRule="auto"/>
              <w:ind w:firstLine="0" w:firstLineChars="0"/>
              <w:jc w:val="center"/>
              <w:rPr>
                <w:rFonts w:hint="default" w:ascii="Times New Roman" w:hAnsi="Times New Roman" w:eastAsia="宋体" w:cs="Times New Roman"/>
                <w:b/>
                <w:bCs/>
                <w:kern w:val="2"/>
                <w:sz w:val="21"/>
                <w:szCs w:val="21"/>
                <w:lang w:val="en-US" w:eastAsia="zh-CN" w:bidi="ar-SA"/>
              </w:rPr>
            </w:pPr>
            <w:r>
              <w:rPr>
                <w:rFonts w:hint="default" w:ascii="Times New Roman" w:hAnsi="Times New Roman" w:eastAsia="宋体" w:cs="Times New Roman"/>
                <w:b/>
                <w:bCs/>
                <w:kern w:val="2"/>
                <w:sz w:val="21"/>
                <w:szCs w:val="21"/>
                <w:lang w:val="en-US" w:eastAsia="zh-CN" w:bidi="ar-SA"/>
              </w:rPr>
              <w:t>（万t）</w:t>
            </w:r>
          </w:p>
        </w:tc>
        <w:tc>
          <w:tcPr>
            <w:tcW w:w="858" w:type="pct"/>
            <w:shd w:val="clear" w:color="auto" w:fill="auto"/>
            <w:vAlign w:val="center"/>
          </w:tcPr>
          <w:p w14:paraId="7C62B58F">
            <w:pPr>
              <w:widowControl w:val="0"/>
              <w:wordWrap w:val="0"/>
              <w:adjustRightInd w:val="0"/>
              <w:snapToGrid w:val="0"/>
              <w:spacing w:line="240" w:lineRule="auto"/>
              <w:ind w:firstLine="0" w:firstLineChars="0"/>
              <w:jc w:val="center"/>
              <w:rPr>
                <w:rFonts w:hint="default" w:ascii="Times New Roman" w:hAnsi="Times New Roman" w:eastAsia="宋体" w:cs="Times New Roman"/>
                <w:b/>
                <w:bCs/>
                <w:kern w:val="2"/>
                <w:sz w:val="21"/>
                <w:szCs w:val="21"/>
                <w:lang w:val="en-US" w:eastAsia="zh-CN" w:bidi="ar-SA"/>
              </w:rPr>
            </w:pPr>
            <w:r>
              <w:rPr>
                <w:rFonts w:hint="default" w:ascii="Times New Roman" w:hAnsi="Times New Roman" w:eastAsia="宋体" w:cs="Times New Roman"/>
                <w:b/>
                <w:bCs/>
                <w:kern w:val="2"/>
                <w:sz w:val="21"/>
                <w:szCs w:val="21"/>
                <w:lang w:val="en-US" w:eastAsia="zh-CN" w:bidi="ar-SA"/>
              </w:rPr>
              <w:t>资源利用系数</w:t>
            </w:r>
          </w:p>
        </w:tc>
        <w:tc>
          <w:tcPr>
            <w:tcW w:w="900" w:type="pct"/>
            <w:shd w:val="clear" w:color="auto" w:fill="auto"/>
            <w:vAlign w:val="center"/>
          </w:tcPr>
          <w:p w14:paraId="37D2441A">
            <w:pPr>
              <w:widowControl w:val="0"/>
              <w:wordWrap w:val="0"/>
              <w:adjustRightInd w:val="0"/>
              <w:snapToGrid w:val="0"/>
              <w:spacing w:line="240" w:lineRule="auto"/>
              <w:ind w:firstLine="0" w:firstLineChars="0"/>
              <w:jc w:val="center"/>
              <w:rPr>
                <w:rFonts w:hint="default" w:ascii="Times New Roman" w:hAnsi="Times New Roman" w:eastAsia="宋体" w:cs="Times New Roman"/>
                <w:b/>
                <w:bCs/>
                <w:kern w:val="2"/>
                <w:sz w:val="21"/>
                <w:szCs w:val="21"/>
                <w:lang w:val="en-US" w:eastAsia="zh-CN" w:bidi="ar-SA"/>
              </w:rPr>
            </w:pPr>
            <w:r>
              <w:rPr>
                <w:rFonts w:hint="default" w:ascii="Times New Roman" w:hAnsi="Times New Roman" w:eastAsia="宋体" w:cs="Times New Roman"/>
                <w:b/>
                <w:bCs/>
                <w:kern w:val="2"/>
                <w:sz w:val="21"/>
                <w:szCs w:val="21"/>
                <w:lang w:val="en-US" w:eastAsia="zh-CN" w:bidi="ar-SA"/>
              </w:rPr>
              <w:t>设计利用资源量</w:t>
            </w:r>
          </w:p>
          <w:p w14:paraId="639ADA23">
            <w:pPr>
              <w:widowControl w:val="0"/>
              <w:wordWrap w:val="0"/>
              <w:adjustRightInd w:val="0"/>
              <w:snapToGrid w:val="0"/>
              <w:spacing w:line="240" w:lineRule="auto"/>
              <w:ind w:firstLine="0" w:firstLineChars="0"/>
              <w:jc w:val="center"/>
              <w:rPr>
                <w:rFonts w:hint="default" w:ascii="Times New Roman" w:hAnsi="Times New Roman" w:eastAsia="宋体" w:cs="Times New Roman"/>
                <w:b/>
                <w:bCs/>
                <w:kern w:val="2"/>
                <w:sz w:val="21"/>
                <w:szCs w:val="21"/>
                <w:lang w:val="en-US" w:eastAsia="zh-CN" w:bidi="ar-SA"/>
              </w:rPr>
            </w:pPr>
            <w:r>
              <w:rPr>
                <w:rFonts w:hint="default" w:ascii="Times New Roman" w:hAnsi="Times New Roman" w:eastAsia="宋体" w:cs="Times New Roman"/>
                <w:b/>
                <w:bCs/>
                <w:kern w:val="2"/>
                <w:sz w:val="21"/>
                <w:szCs w:val="21"/>
                <w:lang w:val="en-US" w:eastAsia="zh-CN" w:bidi="ar-SA"/>
              </w:rPr>
              <w:t>（万t）</w:t>
            </w:r>
          </w:p>
        </w:tc>
      </w:tr>
      <w:tr w14:paraId="454325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79" w:type="pct"/>
            <w:shd w:val="clear" w:color="auto" w:fill="auto"/>
            <w:noWrap/>
            <w:vAlign w:val="center"/>
          </w:tcPr>
          <w:p w14:paraId="6F22653B">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探明</w:t>
            </w:r>
          </w:p>
        </w:tc>
        <w:tc>
          <w:tcPr>
            <w:tcW w:w="769" w:type="pct"/>
            <w:shd w:val="clear" w:color="auto" w:fill="auto"/>
            <w:noWrap/>
            <w:vAlign w:val="center"/>
          </w:tcPr>
          <w:p w14:paraId="02A2CC91">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222.20</w:t>
            </w:r>
          </w:p>
        </w:tc>
        <w:tc>
          <w:tcPr>
            <w:tcW w:w="939" w:type="pct"/>
            <w:shd w:val="clear" w:color="auto" w:fill="auto"/>
            <w:vAlign w:val="center"/>
          </w:tcPr>
          <w:p w14:paraId="2B1EDAE5">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0</w:t>
            </w:r>
          </w:p>
        </w:tc>
        <w:tc>
          <w:tcPr>
            <w:tcW w:w="853" w:type="pct"/>
            <w:shd w:val="clear" w:color="auto" w:fill="auto"/>
            <w:vAlign w:val="center"/>
          </w:tcPr>
          <w:p w14:paraId="3D2EE079">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0</w:t>
            </w:r>
          </w:p>
        </w:tc>
        <w:tc>
          <w:tcPr>
            <w:tcW w:w="858" w:type="pct"/>
            <w:shd w:val="clear" w:color="auto" w:fill="auto"/>
            <w:vAlign w:val="center"/>
          </w:tcPr>
          <w:p w14:paraId="301E36B7">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1</w:t>
            </w:r>
          </w:p>
        </w:tc>
        <w:tc>
          <w:tcPr>
            <w:tcW w:w="900" w:type="pct"/>
            <w:shd w:val="clear" w:color="auto" w:fill="auto"/>
            <w:vAlign w:val="center"/>
          </w:tcPr>
          <w:p w14:paraId="5BB75BC9">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222.20</w:t>
            </w:r>
          </w:p>
        </w:tc>
      </w:tr>
      <w:tr w14:paraId="4C356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79" w:type="pct"/>
            <w:shd w:val="clear" w:color="auto" w:fill="auto"/>
            <w:noWrap/>
            <w:vAlign w:val="center"/>
          </w:tcPr>
          <w:p w14:paraId="3161FFC7">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控制</w:t>
            </w:r>
          </w:p>
        </w:tc>
        <w:tc>
          <w:tcPr>
            <w:tcW w:w="769" w:type="pct"/>
            <w:shd w:val="clear" w:color="auto" w:fill="auto"/>
            <w:noWrap/>
            <w:vAlign w:val="center"/>
          </w:tcPr>
          <w:p w14:paraId="0C0D36B6">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550.80</w:t>
            </w:r>
          </w:p>
        </w:tc>
        <w:tc>
          <w:tcPr>
            <w:tcW w:w="939" w:type="pct"/>
            <w:shd w:val="clear" w:color="auto" w:fill="auto"/>
            <w:vAlign w:val="center"/>
          </w:tcPr>
          <w:p w14:paraId="2B824CE6">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0</w:t>
            </w:r>
          </w:p>
        </w:tc>
        <w:tc>
          <w:tcPr>
            <w:tcW w:w="853" w:type="pct"/>
            <w:shd w:val="clear" w:color="auto" w:fill="auto"/>
            <w:vAlign w:val="center"/>
          </w:tcPr>
          <w:p w14:paraId="287F5B11">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0</w:t>
            </w:r>
          </w:p>
        </w:tc>
        <w:tc>
          <w:tcPr>
            <w:tcW w:w="858" w:type="pct"/>
            <w:shd w:val="clear" w:color="auto" w:fill="auto"/>
            <w:vAlign w:val="center"/>
          </w:tcPr>
          <w:p w14:paraId="1AD4BBCB">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1</w:t>
            </w:r>
          </w:p>
        </w:tc>
        <w:tc>
          <w:tcPr>
            <w:tcW w:w="900" w:type="pct"/>
            <w:shd w:val="clear" w:color="auto" w:fill="auto"/>
            <w:vAlign w:val="center"/>
          </w:tcPr>
          <w:p w14:paraId="6A3B7F08">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550.80</w:t>
            </w:r>
          </w:p>
        </w:tc>
      </w:tr>
      <w:tr w14:paraId="178646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79" w:type="pct"/>
            <w:shd w:val="clear" w:color="auto" w:fill="auto"/>
            <w:noWrap/>
            <w:vAlign w:val="center"/>
          </w:tcPr>
          <w:p w14:paraId="5AD19334">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推断</w:t>
            </w:r>
          </w:p>
        </w:tc>
        <w:tc>
          <w:tcPr>
            <w:tcW w:w="769" w:type="pct"/>
            <w:shd w:val="clear" w:color="auto" w:fill="auto"/>
            <w:noWrap/>
            <w:vAlign w:val="center"/>
          </w:tcPr>
          <w:p w14:paraId="50E0DA48">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536.70</w:t>
            </w:r>
          </w:p>
        </w:tc>
        <w:tc>
          <w:tcPr>
            <w:tcW w:w="939" w:type="pct"/>
            <w:shd w:val="clear" w:color="auto" w:fill="auto"/>
            <w:noWrap/>
            <w:vAlign w:val="center"/>
          </w:tcPr>
          <w:p w14:paraId="0C5D2F00">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9.75</w:t>
            </w:r>
          </w:p>
        </w:tc>
        <w:tc>
          <w:tcPr>
            <w:tcW w:w="853" w:type="pct"/>
            <w:shd w:val="clear" w:color="auto" w:fill="auto"/>
            <w:noWrap/>
            <w:vAlign w:val="center"/>
          </w:tcPr>
          <w:p w14:paraId="796F2BAC">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3</w:t>
            </w:r>
          </w:p>
        </w:tc>
        <w:tc>
          <w:tcPr>
            <w:tcW w:w="858" w:type="pct"/>
            <w:shd w:val="clear" w:color="auto" w:fill="auto"/>
            <w:vAlign w:val="center"/>
          </w:tcPr>
          <w:p w14:paraId="0BE3B1E5">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0.9</w:t>
            </w:r>
          </w:p>
        </w:tc>
        <w:tc>
          <w:tcPr>
            <w:tcW w:w="900" w:type="pct"/>
            <w:shd w:val="clear" w:color="auto" w:fill="auto"/>
            <w:vAlign w:val="center"/>
          </w:tcPr>
          <w:p w14:paraId="76D25F0A">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471.56</w:t>
            </w:r>
          </w:p>
        </w:tc>
      </w:tr>
      <w:tr w14:paraId="11B2AD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79" w:type="pct"/>
            <w:shd w:val="clear" w:color="auto" w:fill="auto"/>
            <w:noWrap/>
            <w:vAlign w:val="center"/>
          </w:tcPr>
          <w:p w14:paraId="19CA8BD9">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合计</w:t>
            </w:r>
          </w:p>
        </w:tc>
        <w:tc>
          <w:tcPr>
            <w:tcW w:w="769" w:type="pct"/>
            <w:shd w:val="clear" w:color="auto" w:fill="auto"/>
            <w:noWrap/>
            <w:vAlign w:val="center"/>
          </w:tcPr>
          <w:p w14:paraId="7B20FC81">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1309.7</w:t>
            </w:r>
          </w:p>
        </w:tc>
        <w:tc>
          <w:tcPr>
            <w:tcW w:w="939" w:type="pct"/>
            <w:shd w:val="clear" w:color="auto" w:fill="auto"/>
            <w:noWrap/>
            <w:vAlign w:val="center"/>
          </w:tcPr>
          <w:p w14:paraId="5EDE1B80">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9.75</w:t>
            </w:r>
          </w:p>
        </w:tc>
        <w:tc>
          <w:tcPr>
            <w:tcW w:w="853" w:type="pct"/>
            <w:shd w:val="clear" w:color="auto" w:fill="auto"/>
            <w:noWrap/>
            <w:vAlign w:val="center"/>
          </w:tcPr>
          <w:p w14:paraId="47918D01">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3</w:t>
            </w:r>
          </w:p>
        </w:tc>
        <w:tc>
          <w:tcPr>
            <w:tcW w:w="858" w:type="pct"/>
            <w:shd w:val="clear" w:color="auto" w:fill="auto"/>
            <w:noWrap/>
            <w:vAlign w:val="center"/>
          </w:tcPr>
          <w:p w14:paraId="48BF1EB0">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p>
        </w:tc>
        <w:tc>
          <w:tcPr>
            <w:tcW w:w="900" w:type="pct"/>
            <w:shd w:val="clear" w:color="auto" w:fill="auto"/>
            <w:noWrap/>
            <w:vAlign w:val="center"/>
          </w:tcPr>
          <w:p w14:paraId="7474DDE4">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1244.56</w:t>
            </w:r>
          </w:p>
        </w:tc>
      </w:tr>
      <w:bookmarkEnd w:id="253"/>
    </w:tbl>
    <w:p w14:paraId="610F7C81">
      <w:pPr>
        <w:adjustRightInd w:val="0"/>
        <w:snapToGrid w:val="0"/>
        <w:spacing w:line="360" w:lineRule="auto"/>
        <w:ind w:firstLine="560" w:firstLineChars="200"/>
        <w:rPr>
          <w:rFonts w:hint="default" w:ascii="Times New Roman" w:hAnsi="Times New Roman" w:cs="Times New Roman"/>
          <w:sz w:val="28"/>
          <w:szCs w:val="28"/>
        </w:rPr>
      </w:pPr>
      <w:r>
        <w:rPr>
          <w:rFonts w:hint="default" w:ascii="Times New Roman" w:hAnsi="Times New Roman" w:cs="Times New Roman"/>
          <w:sz w:val="28"/>
          <w:szCs w:val="28"/>
        </w:rPr>
        <w:t>3、</w:t>
      </w:r>
      <w:r>
        <w:rPr>
          <w:rFonts w:hint="default" w:ascii="Times New Roman" w:hAnsi="Times New Roman" w:cs="Times New Roman"/>
          <w:sz w:val="28"/>
          <w:szCs w:val="28"/>
          <w:lang w:val="en-US" w:eastAsia="zh-CN"/>
        </w:rPr>
        <w:t>可采资源量</w:t>
      </w:r>
    </w:p>
    <w:p w14:paraId="7FBFF552">
      <w:pPr>
        <w:adjustRightInd w:val="0"/>
        <w:snapToGrid w:val="0"/>
        <w:spacing w:line="360" w:lineRule="auto"/>
        <w:ind w:firstLine="560" w:firstLineChars="200"/>
        <w:rPr>
          <w:rFonts w:hint="default" w:ascii="Times New Roman" w:hAnsi="Times New Roman" w:cs="Times New Roman"/>
          <w:sz w:val="28"/>
          <w:szCs w:val="28"/>
        </w:rPr>
      </w:pPr>
      <w:r>
        <w:rPr>
          <w:rFonts w:hint="default" w:ascii="Times New Roman" w:hAnsi="Times New Roman" w:cs="Times New Roman"/>
          <w:sz w:val="28"/>
          <w:szCs w:val="28"/>
        </w:rPr>
        <w:t>根据矿体的赋存条件，结合采用的采矿工艺，根据类似建筑用砂岩矿山取值，露天开采的损失率取5%，得矿山设计采出矿石量为1199.49万t。最终设计露天境界内采出矿石量见</w:t>
      </w:r>
      <w:r>
        <w:rPr>
          <w:rFonts w:hint="default" w:ascii="Times New Roman" w:hAnsi="Times New Roman" w:cs="Times New Roman"/>
          <w:sz w:val="28"/>
          <w:szCs w:val="28"/>
          <w:lang w:val="en-US" w:eastAsia="zh-CN"/>
        </w:rPr>
        <w:t>下</w:t>
      </w:r>
      <w:r>
        <w:rPr>
          <w:rFonts w:hint="default" w:ascii="Times New Roman" w:hAnsi="Times New Roman" w:cs="Times New Roman"/>
          <w:sz w:val="28"/>
          <w:szCs w:val="28"/>
        </w:rPr>
        <w:t>表。</w:t>
      </w:r>
    </w:p>
    <w:p w14:paraId="32AB336C">
      <w:pPr>
        <w:keepNext/>
        <w:keepLines/>
        <w:pageBreakBefore w:val="0"/>
        <w:widowControl w:val="0"/>
        <w:kinsoku/>
        <w:wordWrap/>
        <w:overflowPunct/>
        <w:topLinePunct w:val="0"/>
        <w:autoSpaceDE/>
        <w:autoSpaceDN/>
        <w:bidi w:val="0"/>
        <w:adjustRightInd w:val="0"/>
        <w:snapToGrid w:val="0"/>
        <w:ind w:firstLine="480" w:firstLineChars="200"/>
        <w:jc w:val="center"/>
        <w:textAlignment w:val="auto"/>
        <w:rPr>
          <w:rFonts w:hint="default" w:ascii="Times New Roman" w:hAnsi="Times New Roman" w:cs="Times New Roman"/>
          <w:bCs/>
          <w:sz w:val="24"/>
        </w:rPr>
      </w:pPr>
      <w:r>
        <w:rPr>
          <w:rFonts w:hint="default" w:ascii="Times New Roman" w:hAnsi="Times New Roman" w:cs="Times New Roman"/>
          <w:bCs/>
          <w:sz w:val="24"/>
        </w:rPr>
        <w:t>表2.4-</w:t>
      </w:r>
      <w:r>
        <w:rPr>
          <w:rFonts w:hint="default" w:ascii="Times New Roman" w:hAnsi="Times New Roman" w:cs="Times New Roman"/>
          <w:bCs/>
          <w:sz w:val="24"/>
          <w:lang w:val="en-US" w:eastAsia="zh-CN"/>
        </w:rPr>
        <w:t>3</w:t>
      </w:r>
      <w:r>
        <w:rPr>
          <w:rFonts w:hint="default" w:ascii="Times New Roman" w:hAnsi="Times New Roman" w:cs="Times New Roman"/>
          <w:bCs/>
          <w:sz w:val="24"/>
        </w:rPr>
        <w:t xml:space="preserve">  设计露天境界内采出矿石量汇总表</w:t>
      </w:r>
    </w:p>
    <w:tbl>
      <w:tblPr>
        <w:tblStyle w:val="3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80"/>
        <w:gridCol w:w="1684"/>
        <w:gridCol w:w="2448"/>
        <w:gridCol w:w="1941"/>
        <w:gridCol w:w="2046"/>
      </w:tblGrid>
      <w:tr w14:paraId="2EBD9F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blHeader/>
          <w:jc w:val="center"/>
        </w:trPr>
        <w:tc>
          <w:tcPr>
            <w:tcW w:w="713" w:type="pct"/>
            <w:vAlign w:val="center"/>
          </w:tcPr>
          <w:p w14:paraId="2AC152AB">
            <w:pPr>
              <w:pStyle w:val="116"/>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default" w:ascii="Times New Roman" w:hAnsi="Times New Roman" w:cs="Times New Roman"/>
                <w:b/>
                <w:bCs/>
                <w:sz w:val="21"/>
                <w:szCs w:val="21"/>
              </w:rPr>
            </w:pPr>
            <w:bookmarkStart w:id="254" w:name="_Hlk169873011"/>
            <w:r>
              <w:rPr>
                <w:rFonts w:hint="default" w:ascii="Times New Roman" w:hAnsi="Times New Roman" w:cs="Times New Roman"/>
                <w:b/>
                <w:bCs/>
                <w:sz w:val="21"/>
                <w:szCs w:val="21"/>
              </w:rPr>
              <w:t>台阶编号</w:t>
            </w:r>
          </w:p>
        </w:tc>
        <w:tc>
          <w:tcPr>
            <w:tcW w:w="928" w:type="pct"/>
            <w:noWrap/>
            <w:vAlign w:val="center"/>
          </w:tcPr>
          <w:p w14:paraId="234D75E4">
            <w:pPr>
              <w:pStyle w:val="116"/>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default" w:ascii="Times New Roman" w:hAnsi="Times New Roman" w:cs="Times New Roman"/>
                <w:b/>
                <w:bCs/>
                <w:sz w:val="21"/>
                <w:szCs w:val="21"/>
              </w:rPr>
            </w:pPr>
            <w:r>
              <w:rPr>
                <w:rFonts w:hint="default" w:ascii="Times New Roman" w:hAnsi="Times New Roman" w:cs="Times New Roman"/>
                <w:b/>
                <w:bCs/>
                <w:sz w:val="21"/>
                <w:szCs w:val="21"/>
              </w:rPr>
              <w:t>台阶高度（m）</w:t>
            </w:r>
          </w:p>
        </w:tc>
        <w:tc>
          <w:tcPr>
            <w:tcW w:w="1175" w:type="pct"/>
            <w:noWrap/>
            <w:vAlign w:val="center"/>
          </w:tcPr>
          <w:p w14:paraId="267DD462">
            <w:pPr>
              <w:pStyle w:val="116"/>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default" w:ascii="Times New Roman" w:hAnsi="Times New Roman" w:cs="Times New Roman"/>
                <w:b/>
                <w:bCs/>
                <w:sz w:val="21"/>
                <w:szCs w:val="21"/>
              </w:rPr>
            </w:pPr>
            <w:r>
              <w:rPr>
                <w:rFonts w:hint="default" w:ascii="Times New Roman" w:hAnsi="Times New Roman" w:cs="Times New Roman"/>
                <w:b/>
                <w:bCs/>
                <w:sz w:val="21"/>
                <w:szCs w:val="21"/>
              </w:rPr>
              <w:t>设计利用资源量（万t）</w:t>
            </w:r>
          </w:p>
        </w:tc>
        <w:tc>
          <w:tcPr>
            <w:tcW w:w="1064" w:type="pct"/>
            <w:noWrap/>
            <w:vAlign w:val="center"/>
          </w:tcPr>
          <w:p w14:paraId="5279941B">
            <w:pPr>
              <w:pStyle w:val="116"/>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default" w:ascii="Times New Roman" w:hAnsi="Times New Roman" w:cs="Times New Roman"/>
                <w:b/>
                <w:bCs/>
                <w:sz w:val="21"/>
                <w:szCs w:val="21"/>
              </w:rPr>
            </w:pPr>
            <w:r>
              <w:rPr>
                <w:rFonts w:hint="default" w:ascii="Times New Roman" w:hAnsi="Times New Roman" w:cs="Times New Roman"/>
                <w:b/>
                <w:bCs/>
                <w:sz w:val="21"/>
                <w:szCs w:val="21"/>
              </w:rPr>
              <w:t>采矿回收率</w:t>
            </w:r>
          </w:p>
        </w:tc>
        <w:tc>
          <w:tcPr>
            <w:tcW w:w="1120" w:type="pct"/>
            <w:noWrap/>
            <w:vAlign w:val="center"/>
          </w:tcPr>
          <w:p w14:paraId="61705D71">
            <w:pPr>
              <w:pStyle w:val="116"/>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default" w:ascii="Times New Roman" w:hAnsi="Times New Roman" w:cs="Times New Roman"/>
                <w:b/>
                <w:bCs/>
                <w:sz w:val="21"/>
                <w:szCs w:val="21"/>
              </w:rPr>
            </w:pPr>
            <w:r>
              <w:rPr>
                <w:rFonts w:hint="default" w:ascii="Times New Roman" w:hAnsi="Times New Roman" w:cs="Times New Roman"/>
                <w:b/>
                <w:bCs/>
                <w:sz w:val="21"/>
                <w:szCs w:val="21"/>
              </w:rPr>
              <w:t>采出矿石量（万t）</w:t>
            </w:r>
          </w:p>
        </w:tc>
      </w:tr>
      <w:tr w14:paraId="0F8B1D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13" w:type="pct"/>
            <w:noWrap/>
            <w:vAlign w:val="center"/>
          </w:tcPr>
          <w:p w14:paraId="0CEA8A34">
            <w:pPr>
              <w:pStyle w:val="116"/>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default" w:ascii="Times New Roman" w:hAnsi="Times New Roman" w:cs="Times New Roman"/>
                <w:sz w:val="21"/>
                <w:szCs w:val="21"/>
              </w:rPr>
            </w:pPr>
            <w:r>
              <w:rPr>
                <w:rFonts w:hint="default" w:ascii="Times New Roman" w:hAnsi="Times New Roman" w:cs="Times New Roman"/>
                <w:sz w:val="21"/>
                <w:szCs w:val="21"/>
              </w:rPr>
              <w:t>1542m</w:t>
            </w:r>
          </w:p>
        </w:tc>
        <w:tc>
          <w:tcPr>
            <w:tcW w:w="928" w:type="pct"/>
            <w:noWrap/>
            <w:vAlign w:val="center"/>
          </w:tcPr>
          <w:p w14:paraId="1CC4A41E">
            <w:pPr>
              <w:pStyle w:val="116"/>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default" w:ascii="Times New Roman" w:hAnsi="Times New Roman" w:cs="Times New Roman"/>
                <w:sz w:val="21"/>
                <w:szCs w:val="21"/>
              </w:rPr>
            </w:pPr>
            <w:r>
              <w:rPr>
                <w:rFonts w:hint="default" w:ascii="Times New Roman" w:hAnsi="Times New Roman" w:cs="Times New Roman"/>
                <w:sz w:val="21"/>
                <w:szCs w:val="21"/>
              </w:rPr>
              <w:t>8</w:t>
            </w:r>
          </w:p>
        </w:tc>
        <w:tc>
          <w:tcPr>
            <w:tcW w:w="1175" w:type="pct"/>
            <w:noWrap/>
            <w:vAlign w:val="center"/>
          </w:tcPr>
          <w:p w14:paraId="3ED8C15B">
            <w:pPr>
              <w:pStyle w:val="116"/>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default" w:ascii="Times New Roman" w:hAnsi="Times New Roman" w:cs="Times New Roman"/>
                <w:sz w:val="21"/>
                <w:szCs w:val="21"/>
              </w:rPr>
            </w:pPr>
            <w:r>
              <w:rPr>
                <w:rFonts w:hint="default" w:ascii="Times New Roman" w:hAnsi="Times New Roman" w:cs="Times New Roman"/>
                <w:sz w:val="21"/>
                <w:szCs w:val="21"/>
              </w:rPr>
              <w:t>2.61</w:t>
            </w:r>
          </w:p>
        </w:tc>
        <w:tc>
          <w:tcPr>
            <w:tcW w:w="1064" w:type="pct"/>
            <w:noWrap/>
            <w:vAlign w:val="center"/>
          </w:tcPr>
          <w:p w14:paraId="1C7E8B37">
            <w:pPr>
              <w:pStyle w:val="116"/>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default" w:ascii="Times New Roman" w:hAnsi="Times New Roman" w:cs="Times New Roman"/>
                <w:sz w:val="21"/>
                <w:szCs w:val="21"/>
              </w:rPr>
            </w:pPr>
            <w:r>
              <w:rPr>
                <w:rFonts w:hint="default" w:ascii="Times New Roman" w:hAnsi="Times New Roman" w:cs="Times New Roman"/>
                <w:sz w:val="21"/>
                <w:szCs w:val="21"/>
              </w:rPr>
              <w:t>95%</w:t>
            </w:r>
          </w:p>
        </w:tc>
        <w:tc>
          <w:tcPr>
            <w:tcW w:w="1120" w:type="pct"/>
            <w:noWrap/>
            <w:vAlign w:val="center"/>
          </w:tcPr>
          <w:p w14:paraId="3DAF7793">
            <w:pPr>
              <w:pStyle w:val="116"/>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default" w:ascii="Times New Roman" w:hAnsi="Times New Roman" w:cs="Times New Roman"/>
                <w:sz w:val="21"/>
                <w:szCs w:val="21"/>
              </w:rPr>
            </w:pPr>
            <w:r>
              <w:rPr>
                <w:rFonts w:hint="default" w:ascii="Times New Roman" w:hAnsi="Times New Roman" w:cs="Times New Roman"/>
                <w:color w:val="000000"/>
                <w:sz w:val="21"/>
                <w:szCs w:val="21"/>
              </w:rPr>
              <w:t>2.49</w:t>
            </w:r>
          </w:p>
        </w:tc>
      </w:tr>
      <w:tr w14:paraId="618194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13" w:type="pct"/>
            <w:noWrap/>
            <w:vAlign w:val="center"/>
          </w:tcPr>
          <w:p w14:paraId="67068559">
            <w:pPr>
              <w:pStyle w:val="116"/>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default" w:ascii="Times New Roman" w:hAnsi="Times New Roman" w:cs="Times New Roman"/>
                <w:sz w:val="21"/>
                <w:szCs w:val="21"/>
              </w:rPr>
            </w:pPr>
            <w:r>
              <w:rPr>
                <w:rFonts w:hint="default" w:ascii="Times New Roman" w:hAnsi="Times New Roman" w:cs="Times New Roman"/>
                <w:sz w:val="21"/>
                <w:szCs w:val="21"/>
              </w:rPr>
              <w:t>1534m</w:t>
            </w:r>
          </w:p>
        </w:tc>
        <w:tc>
          <w:tcPr>
            <w:tcW w:w="928" w:type="pct"/>
            <w:noWrap/>
            <w:vAlign w:val="center"/>
          </w:tcPr>
          <w:p w14:paraId="00369927">
            <w:pPr>
              <w:pStyle w:val="116"/>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default" w:ascii="Times New Roman" w:hAnsi="Times New Roman" w:cs="Times New Roman"/>
                <w:sz w:val="21"/>
                <w:szCs w:val="21"/>
              </w:rPr>
            </w:pPr>
            <w:r>
              <w:rPr>
                <w:rFonts w:hint="default" w:ascii="Times New Roman" w:hAnsi="Times New Roman" w:cs="Times New Roman"/>
                <w:sz w:val="21"/>
                <w:szCs w:val="21"/>
              </w:rPr>
              <w:t>8</w:t>
            </w:r>
          </w:p>
        </w:tc>
        <w:tc>
          <w:tcPr>
            <w:tcW w:w="1175" w:type="pct"/>
            <w:noWrap/>
            <w:vAlign w:val="center"/>
          </w:tcPr>
          <w:p w14:paraId="499E1D46">
            <w:pPr>
              <w:pStyle w:val="116"/>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default" w:ascii="Times New Roman" w:hAnsi="Times New Roman" w:cs="Times New Roman"/>
                <w:sz w:val="21"/>
                <w:szCs w:val="21"/>
              </w:rPr>
            </w:pPr>
            <w:r>
              <w:rPr>
                <w:rFonts w:hint="default" w:ascii="Times New Roman" w:hAnsi="Times New Roman" w:cs="Times New Roman"/>
                <w:sz w:val="21"/>
                <w:szCs w:val="21"/>
              </w:rPr>
              <w:t>12.58</w:t>
            </w:r>
          </w:p>
        </w:tc>
        <w:tc>
          <w:tcPr>
            <w:tcW w:w="1064" w:type="pct"/>
            <w:noWrap/>
            <w:vAlign w:val="center"/>
          </w:tcPr>
          <w:p w14:paraId="51D5D16F">
            <w:pPr>
              <w:pStyle w:val="116"/>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default" w:ascii="Times New Roman" w:hAnsi="Times New Roman" w:cs="Times New Roman"/>
                <w:sz w:val="21"/>
                <w:szCs w:val="21"/>
              </w:rPr>
            </w:pPr>
            <w:r>
              <w:rPr>
                <w:rFonts w:hint="default" w:ascii="Times New Roman" w:hAnsi="Times New Roman" w:cs="Times New Roman"/>
                <w:sz w:val="21"/>
                <w:szCs w:val="21"/>
              </w:rPr>
              <w:t>95%</w:t>
            </w:r>
          </w:p>
        </w:tc>
        <w:tc>
          <w:tcPr>
            <w:tcW w:w="1120" w:type="pct"/>
            <w:noWrap/>
            <w:vAlign w:val="center"/>
          </w:tcPr>
          <w:p w14:paraId="12D070BC">
            <w:pPr>
              <w:pStyle w:val="116"/>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default" w:ascii="Times New Roman" w:hAnsi="Times New Roman" w:cs="Times New Roman"/>
                <w:sz w:val="21"/>
                <w:szCs w:val="21"/>
              </w:rPr>
            </w:pPr>
            <w:r>
              <w:rPr>
                <w:rFonts w:hint="default" w:ascii="Times New Roman" w:hAnsi="Times New Roman" w:cs="Times New Roman"/>
                <w:color w:val="000000"/>
                <w:sz w:val="21"/>
                <w:szCs w:val="21"/>
              </w:rPr>
              <w:t>11.98</w:t>
            </w:r>
          </w:p>
        </w:tc>
      </w:tr>
      <w:tr w14:paraId="21ABFD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13" w:type="pct"/>
            <w:noWrap/>
            <w:vAlign w:val="center"/>
          </w:tcPr>
          <w:p w14:paraId="4338E7CF">
            <w:pPr>
              <w:pStyle w:val="116"/>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default" w:ascii="Times New Roman" w:hAnsi="Times New Roman" w:cs="Times New Roman"/>
                <w:sz w:val="21"/>
                <w:szCs w:val="21"/>
              </w:rPr>
            </w:pPr>
            <w:r>
              <w:rPr>
                <w:rFonts w:hint="default" w:ascii="Times New Roman" w:hAnsi="Times New Roman" w:cs="Times New Roman"/>
                <w:sz w:val="21"/>
                <w:szCs w:val="21"/>
              </w:rPr>
              <w:t>1526m</w:t>
            </w:r>
          </w:p>
        </w:tc>
        <w:tc>
          <w:tcPr>
            <w:tcW w:w="928" w:type="pct"/>
            <w:noWrap/>
            <w:vAlign w:val="center"/>
          </w:tcPr>
          <w:p w14:paraId="7921BDE6">
            <w:pPr>
              <w:pStyle w:val="116"/>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default" w:ascii="Times New Roman" w:hAnsi="Times New Roman" w:cs="Times New Roman"/>
                <w:sz w:val="21"/>
                <w:szCs w:val="21"/>
              </w:rPr>
            </w:pPr>
            <w:r>
              <w:rPr>
                <w:rFonts w:hint="default" w:ascii="Times New Roman" w:hAnsi="Times New Roman" w:cs="Times New Roman"/>
                <w:sz w:val="21"/>
                <w:szCs w:val="21"/>
              </w:rPr>
              <w:t>8</w:t>
            </w:r>
          </w:p>
        </w:tc>
        <w:tc>
          <w:tcPr>
            <w:tcW w:w="1175" w:type="pct"/>
            <w:noWrap/>
            <w:vAlign w:val="center"/>
          </w:tcPr>
          <w:p w14:paraId="1E7F0842">
            <w:pPr>
              <w:pStyle w:val="116"/>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default" w:ascii="Times New Roman" w:hAnsi="Times New Roman" w:cs="Times New Roman"/>
                <w:sz w:val="21"/>
                <w:szCs w:val="21"/>
              </w:rPr>
            </w:pPr>
            <w:r>
              <w:rPr>
                <w:rFonts w:hint="default" w:ascii="Times New Roman" w:hAnsi="Times New Roman" w:cs="Times New Roman"/>
                <w:sz w:val="21"/>
                <w:szCs w:val="21"/>
              </w:rPr>
              <w:t>36.03</w:t>
            </w:r>
          </w:p>
        </w:tc>
        <w:tc>
          <w:tcPr>
            <w:tcW w:w="1064" w:type="pct"/>
            <w:noWrap/>
            <w:vAlign w:val="center"/>
          </w:tcPr>
          <w:p w14:paraId="0A6C8E71">
            <w:pPr>
              <w:pStyle w:val="116"/>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default" w:ascii="Times New Roman" w:hAnsi="Times New Roman" w:cs="Times New Roman"/>
                <w:sz w:val="21"/>
                <w:szCs w:val="21"/>
              </w:rPr>
            </w:pPr>
            <w:r>
              <w:rPr>
                <w:rFonts w:hint="default" w:ascii="Times New Roman" w:hAnsi="Times New Roman" w:cs="Times New Roman"/>
                <w:sz w:val="21"/>
                <w:szCs w:val="21"/>
              </w:rPr>
              <w:t>95%</w:t>
            </w:r>
          </w:p>
        </w:tc>
        <w:tc>
          <w:tcPr>
            <w:tcW w:w="1120" w:type="pct"/>
            <w:noWrap/>
            <w:vAlign w:val="center"/>
          </w:tcPr>
          <w:p w14:paraId="01A13CF4">
            <w:pPr>
              <w:pStyle w:val="116"/>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default" w:ascii="Times New Roman" w:hAnsi="Times New Roman" w:cs="Times New Roman"/>
                <w:sz w:val="21"/>
                <w:szCs w:val="21"/>
              </w:rPr>
            </w:pPr>
            <w:r>
              <w:rPr>
                <w:rFonts w:hint="default" w:ascii="Times New Roman" w:hAnsi="Times New Roman" w:cs="Times New Roman"/>
                <w:color w:val="000000"/>
                <w:sz w:val="21"/>
                <w:szCs w:val="21"/>
              </w:rPr>
              <w:t>34.31</w:t>
            </w:r>
          </w:p>
        </w:tc>
      </w:tr>
      <w:tr w14:paraId="28F786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13" w:type="pct"/>
            <w:noWrap/>
            <w:vAlign w:val="center"/>
          </w:tcPr>
          <w:p w14:paraId="5E19016B">
            <w:pPr>
              <w:pStyle w:val="116"/>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default" w:ascii="Times New Roman" w:hAnsi="Times New Roman" w:cs="Times New Roman"/>
                <w:sz w:val="21"/>
                <w:szCs w:val="21"/>
              </w:rPr>
            </w:pPr>
            <w:r>
              <w:rPr>
                <w:rFonts w:hint="default" w:ascii="Times New Roman" w:hAnsi="Times New Roman" w:cs="Times New Roman"/>
                <w:sz w:val="21"/>
                <w:szCs w:val="21"/>
              </w:rPr>
              <w:t>1518m</w:t>
            </w:r>
          </w:p>
        </w:tc>
        <w:tc>
          <w:tcPr>
            <w:tcW w:w="928" w:type="pct"/>
            <w:noWrap/>
            <w:vAlign w:val="center"/>
          </w:tcPr>
          <w:p w14:paraId="005855B5">
            <w:pPr>
              <w:pStyle w:val="116"/>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default" w:ascii="Times New Roman" w:hAnsi="Times New Roman" w:cs="Times New Roman"/>
                <w:sz w:val="21"/>
                <w:szCs w:val="21"/>
              </w:rPr>
            </w:pPr>
            <w:r>
              <w:rPr>
                <w:rFonts w:hint="default" w:ascii="Times New Roman" w:hAnsi="Times New Roman" w:cs="Times New Roman"/>
                <w:sz w:val="21"/>
                <w:szCs w:val="21"/>
              </w:rPr>
              <w:t>8</w:t>
            </w:r>
          </w:p>
        </w:tc>
        <w:tc>
          <w:tcPr>
            <w:tcW w:w="1175" w:type="pct"/>
            <w:noWrap/>
            <w:vAlign w:val="center"/>
          </w:tcPr>
          <w:p w14:paraId="57DCA4DE">
            <w:pPr>
              <w:pStyle w:val="116"/>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default" w:ascii="Times New Roman" w:hAnsi="Times New Roman" w:cs="Times New Roman"/>
                <w:sz w:val="21"/>
                <w:szCs w:val="21"/>
              </w:rPr>
            </w:pPr>
            <w:r>
              <w:rPr>
                <w:rFonts w:hint="default" w:ascii="Times New Roman" w:hAnsi="Times New Roman" w:cs="Times New Roman"/>
                <w:sz w:val="21"/>
                <w:szCs w:val="21"/>
              </w:rPr>
              <w:t>60.32</w:t>
            </w:r>
          </w:p>
        </w:tc>
        <w:tc>
          <w:tcPr>
            <w:tcW w:w="1064" w:type="pct"/>
            <w:noWrap/>
            <w:vAlign w:val="center"/>
          </w:tcPr>
          <w:p w14:paraId="46ADC79E">
            <w:pPr>
              <w:pStyle w:val="116"/>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default" w:ascii="Times New Roman" w:hAnsi="Times New Roman" w:cs="Times New Roman"/>
                <w:sz w:val="21"/>
                <w:szCs w:val="21"/>
              </w:rPr>
            </w:pPr>
            <w:r>
              <w:rPr>
                <w:rFonts w:hint="default" w:ascii="Times New Roman" w:hAnsi="Times New Roman" w:cs="Times New Roman"/>
                <w:sz w:val="21"/>
                <w:szCs w:val="21"/>
              </w:rPr>
              <w:t>95%</w:t>
            </w:r>
          </w:p>
        </w:tc>
        <w:tc>
          <w:tcPr>
            <w:tcW w:w="1120" w:type="pct"/>
            <w:noWrap/>
            <w:vAlign w:val="center"/>
          </w:tcPr>
          <w:p w14:paraId="13CFE100">
            <w:pPr>
              <w:pStyle w:val="116"/>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default" w:ascii="Times New Roman" w:hAnsi="Times New Roman" w:cs="Times New Roman"/>
                <w:sz w:val="21"/>
                <w:szCs w:val="21"/>
              </w:rPr>
            </w:pPr>
            <w:r>
              <w:rPr>
                <w:rFonts w:hint="default" w:ascii="Times New Roman" w:hAnsi="Times New Roman" w:cs="Times New Roman"/>
                <w:color w:val="000000"/>
                <w:sz w:val="21"/>
                <w:szCs w:val="21"/>
              </w:rPr>
              <w:t>57.45</w:t>
            </w:r>
          </w:p>
        </w:tc>
      </w:tr>
      <w:tr w14:paraId="426D5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13" w:type="pct"/>
            <w:noWrap/>
            <w:vAlign w:val="center"/>
          </w:tcPr>
          <w:p w14:paraId="3AEA243B">
            <w:pPr>
              <w:pStyle w:val="116"/>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default" w:ascii="Times New Roman" w:hAnsi="Times New Roman" w:cs="Times New Roman"/>
                <w:sz w:val="21"/>
                <w:szCs w:val="21"/>
              </w:rPr>
            </w:pPr>
            <w:r>
              <w:rPr>
                <w:rFonts w:hint="default" w:ascii="Times New Roman" w:hAnsi="Times New Roman" w:cs="Times New Roman"/>
                <w:sz w:val="21"/>
                <w:szCs w:val="21"/>
              </w:rPr>
              <w:t>1510m</w:t>
            </w:r>
          </w:p>
        </w:tc>
        <w:tc>
          <w:tcPr>
            <w:tcW w:w="928" w:type="pct"/>
            <w:noWrap/>
            <w:vAlign w:val="center"/>
          </w:tcPr>
          <w:p w14:paraId="437CB6BD">
            <w:pPr>
              <w:pStyle w:val="116"/>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default" w:ascii="Times New Roman" w:hAnsi="Times New Roman" w:cs="Times New Roman"/>
                <w:sz w:val="21"/>
                <w:szCs w:val="21"/>
              </w:rPr>
            </w:pPr>
            <w:r>
              <w:rPr>
                <w:rFonts w:hint="default" w:ascii="Times New Roman" w:hAnsi="Times New Roman" w:cs="Times New Roman"/>
                <w:sz w:val="21"/>
                <w:szCs w:val="21"/>
              </w:rPr>
              <w:t>8</w:t>
            </w:r>
          </w:p>
        </w:tc>
        <w:tc>
          <w:tcPr>
            <w:tcW w:w="1175" w:type="pct"/>
            <w:noWrap/>
            <w:vAlign w:val="center"/>
          </w:tcPr>
          <w:p w14:paraId="227B3931">
            <w:pPr>
              <w:pStyle w:val="116"/>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default" w:ascii="Times New Roman" w:hAnsi="Times New Roman" w:cs="Times New Roman"/>
                <w:sz w:val="21"/>
                <w:szCs w:val="21"/>
              </w:rPr>
            </w:pPr>
            <w:r>
              <w:rPr>
                <w:rFonts w:hint="default" w:ascii="Times New Roman" w:hAnsi="Times New Roman" w:cs="Times New Roman"/>
                <w:sz w:val="21"/>
                <w:szCs w:val="21"/>
              </w:rPr>
              <w:t>61.04</w:t>
            </w:r>
          </w:p>
        </w:tc>
        <w:tc>
          <w:tcPr>
            <w:tcW w:w="1064" w:type="pct"/>
            <w:noWrap/>
            <w:vAlign w:val="center"/>
          </w:tcPr>
          <w:p w14:paraId="6C4DE00B">
            <w:pPr>
              <w:pStyle w:val="116"/>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default" w:ascii="Times New Roman" w:hAnsi="Times New Roman" w:cs="Times New Roman"/>
                <w:sz w:val="21"/>
                <w:szCs w:val="21"/>
              </w:rPr>
            </w:pPr>
            <w:r>
              <w:rPr>
                <w:rFonts w:hint="default" w:ascii="Times New Roman" w:hAnsi="Times New Roman" w:cs="Times New Roman"/>
                <w:sz w:val="21"/>
                <w:szCs w:val="21"/>
              </w:rPr>
              <w:t>95%</w:t>
            </w:r>
          </w:p>
        </w:tc>
        <w:tc>
          <w:tcPr>
            <w:tcW w:w="1120" w:type="pct"/>
            <w:noWrap/>
            <w:vAlign w:val="center"/>
          </w:tcPr>
          <w:p w14:paraId="0298FEA2">
            <w:pPr>
              <w:pStyle w:val="116"/>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default" w:ascii="Times New Roman" w:hAnsi="Times New Roman" w:cs="Times New Roman"/>
                <w:sz w:val="21"/>
                <w:szCs w:val="21"/>
              </w:rPr>
            </w:pPr>
            <w:r>
              <w:rPr>
                <w:rFonts w:hint="default" w:ascii="Times New Roman" w:hAnsi="Times New Roman" w:cs="Times New Roman"/>
                <w:sz w:val="21"/>
                <w:szCs w:val="21"/>
              </w:rPr>
              <w:t>57.99</w:t>
            </w:r>
          </w:p>
        </w:tc>
      </w:tr>
      <w:tr w14:paraId="480A6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13" w:type="pct"/>
            <w:noWrap/>
            <w:vAlign w:val="center"/>
          </w:tcPr>
          <w:p w14:paraId="76D90AB3">
            <w:pPr>
              <w:pStyle w:val="116"/>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default" w:ascii="Times New Roman" w:hAnsi="Times New Roman" w:cs="Times New Roman"/>
                <w:sz w:val="21"/>
                <w:szCs w:val="21"/>
              </w:rPr>
            </w:pPr>
            <w:r>
              <w:rPr>
                <w:rFonts w:hint="default" w:ascii="Times New Roman" w:hAnsi="Times New Roman" w:cs="Times New Roman"/>
                <w:sz w:val="21"/>
                <w:szCs w:val="21"/>
              </w:rPr>
              <w:t>1502m</w:t>
            </w:r>
          </w:p>
        </w:tc>
        <w:tc>
          <w:tcPr>
            <w:tcW w:w="928" w:type="pct"/>
            <w:noWrap/>
            <w:vAlign w:val="center"/>
          </w:tcPr>
          <w:p w14:paraId="7F7C78E6">
            <w:pPr>
              <w:pStyle w:val="116"/>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default" w:ascii="Times New Roman" w:hAnsi="Times New Roman" w:cs="Times New Roman"/>
                <w:sz w:val="21"/>
                <w:szCs w:val="21"/>
              </w:rPr>
            </w:pPr>
            <w:r>
              <w:rPr>
                <w:rFonts w:hint="default" w:ascii="Times New Roman" w:hAnsi="Times New Roman" w:cs="Times New Roman"/>
                <w:sz w:val="21"/>
                <w:szCs w:val="21"/>
              </w:rPr>
              <w:t>8</w:t>
            </w:r>
          </w:p>
        </w:tc>
        <w:tc>
          <w:tcPr>
            <w:tcW w:w="1175" w:type="pct"/>
            <w:noWrap/>
            <w:vAlign w:val="center"/>
          </w:tcPr>
          <w:p w14:paraId="653703C4">
            <w:pPr>
              <w:pStyle w:val="116"/>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default" w:ascii="Times New Roman" w:hAnsi="Times New Roman" w:cs="Times New Roman"/>
                <w:sz w:val="21"/>
                <w:szCs w:val="21"/>
              </w:rPr>
            </w:pPr>
            <w:r>
              <w:rPr>
                <w:rFonts w:hint="default" w:ascii="Times New Roman" w:hAnsi="Times New Roman" w:cs="Times New Roman"/>
                <w:sz w:val="21"/>
                <w:szCs w:val="21"/>
              </w:rPr>
              <w:t>160.76</w:t>
            </w:r>
          </w:p>
        </w:tc>
        <w:tc>
          <w:tcPr>
            <w:tcW w:w="1064" w:type="pct"/>
            <w:noWrap/>
            <w:vAlign w:val="center"/>
          </w:tcPr>
          <w:p w14:paraId="0A986BEB">
            <w:pPr>
              <w:pStyle w:val="116"/>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default" w:ascii="Times New Roman" w:hAnsi="Times New Roman" w:cs="Times New Roman"/>
                <w:sz w:val="21"/>
                <w:szCs w:val="21"/>
              </w:rPr>
            </w:pPr>
            <w:r>
              <w:rPr>
                <w:rFonts w:hint="default" w:ascii="Times New Roman" w:hAnsi="Times New Roman" w:cs="Times New Roman"/>
                <w:sz w:val="21"/>
                <w:szCs w:val="21"/>
              </w:rPr>
              <w:t>95%</w:t>
            </w:r>
          </w:p>
        </w:tc>
        <w:tc>
          <w:tcPr>
            <w:tcW w:w="1120" w:type="pct"/>
            <w:noWrap/>
            <w:vAlign w:val="center"/>
          </w:tcPr>
          <w:p w14:paraId="1470D790">
            <w:pPr>
              <w:pStyle w:val="116"/>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default" w:ascii="Times New Roman" w:hAnsi="Times New Roman" w:cs="Times New Roman"/>
                <w:sz w:val="21"/>
                <w:szCs w:val="21"/>
              </w:rPr>
            </w:pPr>
            <w:r>
              <w:rPr>
                <w:rFonts w:hint="default" w:ascii="Times New Roman" w:hAnsi="Times New Roman" w:cs="Times New Roman"/>
                <w:sz w:val="21"/>
                <w:szCs w:val="21"/>
              </w:rPr>
              <w:t>152.72</w:t>
            </w:r>
          </w:p>
        </w:tc>
      </w:tr>
      <w:tr w14:paraId="2B3230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13" w:type="pct"/>
            <w:noWrap/>
            <w:vAlign w:val="center"/>
          </w:tcPr>
          <w:p w14:paraId="51A4EF3E">
            <w:pPr>
              <w:pStyle w:val="116"/>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default" w:ascii="Times New Roman" w:hAnsi="Times New Roman" w:cs="Times New Roman"/>
                <w:sz w:val="21"/>
                <w:szCs w:val="21"/>
              </w:rPr>
            </w:pPr>
            <w:r>
              <w:rPr>
                <w:rFonts w:hint="default" w:ascii="Times New Roman" w:hAnsi="Times New Roman" w:cs="Times New Roman"/>
                <w:sz w:val="21"/>
                <w:szCs w:val="21"/>
              </w:rPr>
              <w:t>1494m</w:t>
            </w:r>
          </w:p>
        </w:tc>
        <w:tc>
          <w:tcPr>
            <w:tcW w:w="928" w:type="pct"/>
            <w:noWrap/>
            <w:vAlign w:val="center"/>
          </w:tcPr>
          <w:p w14:paraId="3F7B09F2">
            <w:pPr>
              <w:pStyle w:val="116"/>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default" w:ascii="Times New Roman" w:hAnsi="Times New Roman" w:cs="Times New Roman"/>
                <w:sz w:val="21"/>
                <w:szCs w:val="21"/>
              </w:rPr>
            </w:pPr>
            <w:r>
              <w:rPr>
                <w:rFonts w:hint="default" w:ascii="Times New Roman" w:hAnsi="Times New Roman" w:cs="Times New Roman"/>
                <w:sz w:val="21"/>
                <w:szCs w:val="21"/>
              </w:rPr>
              <w:t>8</w:t>
            </w:r>
          </w:p>
        </w:tc>
        <w:tc>
          <w:tcPr>
            <w:tcW w:w="1175" w:type="pct"/>
            <w:noWrap/>
            <w:vAlign w:val="center"/>
          </w:tcPr>
          <w:p w14:paraId="6E395C62">
            <w:pPr>
              <w:pStyle w:val="116"/>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default" w:ascii="Times New Roman" w:hAnsi="Times New Roman" w:cs="Times New Roman"/>
                <w:sz w:val="21"/>
                <w:szCs w:val="21"/>
              </w:rPr>
            </w:pPr>
            <w:r>
              <w:rPr>
                <w:rFonts w:hint="default" w:ascii="Times New Roman" w:hAnsi="Times New Roman" w:cs="Times New Roman"/>
                <w:sz w:val="21"/>
                <w:szCs w:val="21"/>
              </w:rPr>
              <w:t>193.05</w:t>
            </w:r>
          </w:p>
        </w:tc>
        <w:tc>
          <w:tcPr>
            <w:tcW w:w="1064" w:type="pct"/>
            <w:noWrap/>
            <w:vAlign w:val="center"/>
          </w:tcPr>
          <w:p w14:paraId="299A02C8">
            <w:pPr>
              <w:pStyle w:val="116"/>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default" w:ascii="Times New Roman" w:hAnsi="Times New Roman" w:cs="Times New Roman"/>
                <w:sz w:val="21"/>
                <w:szCs w:val="21"/>
              </w:rPr>
            </w:pPr>
            <w:r>
              <w:rPr>
                <w:rFonts w:hint="default" w:ascii="Times New Roman" w:hAnsi="Times New Roman" w:cs="Times New Roman"/>
                <w:sz w:val="21"/>
                <w:szCs w:val="21"/>
              </w:rPr>
              <w:t>95%</w:t>
            </w:r>
          </w:p>
        </w:tc>
        <w:tc>
          <w:tcPr>
            <w:tcW w:w="1120" w:type="pct"/>
            <w:noWrap/>
            <w:vAlign w:val="center"/>
          </w:tcPr>
          <w:p w14:paraId="14696AC8">
            <w:pPr>
              <w:pStyle w:val="116"/>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default" w:ascii="Times New Roman" w:hAnsi="Times New Roman" w:cs="Times New Roman"/>
                <w:sz w:val="21"/>
                <w:szCs w:val="21"/>
              </w:rPr>
            </w:pPr>
            <w:r>
              <w:rPr>
                <w:rFonts w:hint="default" w:ascii="Times New Roman" w:hAnsi="Times New Roman" w:cs="Times New Roman"/>
                <w:sz w:val="21"/>
                <w:szCs w:val="21"/>
              </w:rPr>
              <w:t>183.40</w:t>
            </w:r>
          </w:p>
        </w:tc>
      </w:tr>
      <w:tr w14:paraId="3DE5ED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13" w:type="pct"/>
            <w:noWrap/>
            <w:vAlign w:val="center"/>
          </w:tcPr>
          <w:p w14:paraId="3F687CCA">
            <w:pPr>
              <w:pStyle w:val="116"/>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default" w:ascii="Times New Roman" w:hAnsi="Times New Roman" w:cs="Times New Roman"/>
                <w:sz w:val="21"/>
                <w:szCs w:val="21"/>
              </w:rPr>
            </w:pPr>
            <w:r>
              <w:rPr>
                <w:rFonts w:hint="default" w:ascii="Times New Roman" w:hAnsi="Times New Roman" w:cs="Times New Roman"/>
                <w:sz w:val="21"/>
                <w:szCs w:val="21"/>
              </w:rPr>
              <w:t>1486m</w:t>
            </w:r>
          </w:p>
        </w:tc>
        <w:tc>
          <w:tcPr>
            <w:tcW w:w="928" w:type="pct"/>
            <w:noWrap/>
            <w:vAlign w:val="center"/>
          </w:tcPr>
          <w:p w14:paraId="268836D6">
            <w:pPr>
              <w:pStyle w:val="116"/>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default" w:ascii="Times New Roman" w:hAnsi="Times New Roman" w:cs="Times New Roman"/>
                <w:sz w:val="21"/>
                <w:szCs w:val="21"/>
              </w:rPr>
            </w:pPr>
            <w:r>
              <w:rPr>
                <w:rFonts w:hint="default" w:ascii="Times New Roman" w:hAnsi="Times New Roman" w:cs="Times New Roman"/>
                <w:sz w:val="21"/>
                <w:szCs w:val="21"/>
              </w:rPr>
              <w:t>8</w:t>
            </w:r>
          </w:p>
        </w:tc>
        <w:tc>
          <w:tcPr>
            <w:tcW w:w="1175" w:type="pct"/>
            <w:noWrap/>
            <w:vAlign w:val="center"/>
          </w:tcPr>
          <w:p w14:paraId="52AC8755">
            <w:pPr>
              <w:pStyle w:val="116"/>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default" w:ascii="Times New Roman" w:hAnsi="Times New Roman" w:cs="Times New Roman"/>
                <w:sz w:val="21"/>
                <w:szCs w:val="21"/>
              </w:rPr>
            </w:pPr>
            <w:r>
              <w:rPr>
                <w:rFonts w:hint="default" w:ascii="Times New Roman" w:hAnsi="Times New Roman" w:cs="Times New Roman"/>
                <w:sz w:val="21"/>
                <w:szCs w:val="21"/>
              </w:rPr>
              <w:t>222.59</w:t>
            </w:r>
          </w:p>
        </w:tc>
        <w:tc>
          <w:tcPr>
            <w:tcW w:w="1064" w:type="pct"/>
            <w:noWrap/>
            <w:vAlign w:val="center"/>
          </w:tcPr>
          <w:p w14:paraId="3FD0AEAE">
            <w:pPr>
              <w:pStyle w:val="116"/>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default" w:ascii="Times New Roman" w:hAnsi="Times New Roman" w:cs="Times New Roman"/>
                <w:sz w:val="21"/>
                <w:szCs w:val="21"/>
              </w:rPr>
            </w:pPr>
            <w:r>
              <w:rPr>
                <w:rFonts w:hint="default" w:ascii="Times New Roman" w:hAnsi="Times New Roman" w:cs="Times New Roman"/>
                <w:sz w:val="21"/>
                <w:szCs w:val="21"/>
              </w:rPr>
              <w:t>95%</w:t>
            </w:r>
          </w:p>
        </w:tc>
        <w:tc>
          <w:tcPr>
            <w:tcW w:w="1120" w:type="pct"/>
            <w:noWrap/>
            <w:vAlign w:val="center"/>
          </w:tcPr>
          <w:p w14:paraId="43CA2B24">
            <w:pPr>
              <w:pStyle w:val="116"/>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default" w:ascii="Times New Roman" w:hAnsi="Times New Roman" w:cs="Times New Roman"/>
                <w:sz w:val="21"/>
                <w:szCs w:val="21"/>
              </w:rPr>
            </w:pPr>
            <w:r>
              <w:rPr>
                <w:rFonts w:hint="default" w:ascii="Times New Roman" w:hAnsi="Times New Roman" w:cs="Times New Roman"/>
                <w:sz w:val="21"/>
                <w:szCs w:val="21"/>
              </w:rPr>
              <w:t>211.46</w:t>
            </w:r>
          </w:p>
        </w:tc>
      </w:tr>
      <w:tr w14:paraId="7EB96E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13" w:type="pct"/>
            <w:noWrap/>
            <w:vAlign w:val="center"/>
          </w:tcPr>
          <w:p w14:paraId="38D25746">
            <w:pPr>
              <w:pStyle w:val="116"/>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default" w:ascii="Times New Roman" w:hAnsi="Times New Roman" w:cs="Times New Roman"/>
                <w:sz w:val="21"/>
                <w:szCs w:val="21"/>
              </w:rPr>
            </w:pPr>
            <w:r>
              <w:rPr>
                <w:rFonts w:hint="default" w:ascii="Times New Roman" w:hAnsi="Times New Roman" w:cs="Times New Roman"/>
                <w:sz w:val="21"/>
                <w:szCs w:val="21"/>
              </w:rPr>
              <w:t>1478m</w:t>
            </w:r>
          </w:p>
        </w:tc>
        <w:tc>
          <w:tcPr>
            <w:tcW w:w="928" w:type="pct"/>
            <w:noWrap/>
            <w:vAlign w:val="center"/>
          </w:tcPr>
          <w:p w14:paraId="786AE8C0">
            <w:pPr>
              <w:pStyle w:val="116"/>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default" w:ascii="Times New Roman" w:hAnsi="Times New Roman" w:cs="Times New Roman"/>
                <w:sz w:val="21"/>
                <w:szCs w:val="21"/>
              </w:rPr>
            </w:pPr>
            <w:r>
              <w:rPr>
                <w:rFonts w:hint="default" w:ascii="Times New Roman" w:hAnsi="Times New Roman" w:cs="Times New Roman"/>
                <w:sz w:val="21"/>
                <w:szCs w:val="21"/>
              </w:rPr>
              <w:t>8</w:t>
            </w:r>
          </w:p>
        </w:tc>
        <w:tc>
          <w:tcPr>
            <w:tcW w:w="1175" w:type="pct"/>
            <w:noWrap/>
            <w:vAlign w:val="center"/>
          </w:tcPr>
          <w:p w14:paraId="3870032A">
            <w:pPr>
              <w:pStyle w:val="116"/>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default" w:ascii="Times New Roman" w:hAnsi="Times New Roman" w:cs="Times New Roman"/>
                <w:sz w:val="21"/>
                <w:szCs w:val="21"/>
              </w:rPr>
            </w:pPr>
            <w:r>
              <w:rPr>
                <w:rFonts w:hint="default" w:ascii="Times New Roman" w:hAnsi="Times New Roman" w:cs="Times New Roman"/>
                <w:sz w:val="21"/>
                <w:szCs w:val="21"/>
              </w:rPr>
              <w:t>263.49</w:t>
            </w:r>
          </w:p>
        </w:tc>
        <w:tc>
          <w:tcPr>
            <w:tcW w:w="1064" w:type="pct"/>
            <w:noWrap/>
            <w:vAlign w:val="center"/>
          </w:tcPr>
          <w:p w14:paraId="3C362E03">
            <w:pPr>
              <w:pStyle w:val="116"/>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default" w:ascii="Times New Roman" w:hAnsi="Times New Roman" w:cs="Times New Roman"/>
                <w:sz w:val="21"/>
                <w:szCs w:val="21"/>
              </w:rPr>
            </w:pPr>
            <w:r>
              <w:rPr>
                <w:rFonts w:hint="default" w:ascii="Times New Roman" w:hAnsi="Times New Roman" w:cs="Times New Roman"/>
                <w:sz w:val="21"/>
                <w:szCs w:val="21"/>
              </w:rPr>
              <w:t>95%</w:t>
            </w:r>
          </w:p>
        </w:tc>
        <w:tc>
          <w:tcPr>
            <w:tcW w:w="1120" w:type="pct"/>
            <w:noWrap/>
            <w:vAlign w:val="center"/>
          </w:tcPr>
          <w:p w14:paraId="058FF512">
            <w:pPr>
              <w:pStyle w:val="116"/>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default" w:ascii="Times New Roman" w:hAnsi="Times New Roman" w:cs="Times New Roman"/>
                <w:sz w:val="21"/>
                <w:szCs w:val="21"/>
              </w:rPr>
            </w:pPr>
            <w:r>
              <w:rPr>
                <w:rFonts w:hint="default" w:ascii="Times New Roman" w:hAnsi="Times New Roman" w:cs="Times New Roman"/>
                <w:sz w:val="21"/>
                <w:szCs w:val="21"/>
              </w:rPr>
              <w:t>250.32</w:t>
            </w:r>
          </w:p>
        </w:tc>
      </w:tr>
      <w:tr w14:paraId="1656C6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13" w:type="pct"/>
            <w:noWrap/>
            <w:vAlign w:val="center"/>
          </w:tcPr>
          <w:p w14:paraId="2AC009F8">
            <w:pPr>
              <w:pStyle w:val="116"/>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default" w:ascii="Times New Roman" w:hAnsi="Times New Roman" w:cs="Times New Roman"/>
                <w:sz w:val="21"/>
                <w:szCs w:val="21"/>
              </w:rPr>
            </w:pPr>
            <w:r>
              <w:rPr>
                <w:rFonts w:hint="default" w:ascii="Times New Roman" w:hAnsi="Times New Roman" w:cs="Times New Roman"/>
                <w:sz w:val="21"/>
                <w:szCs w:val="21"/>
              </w:rPr>
              <w:t>1470m</w:t>
            </w:r>
          </w:p>
        </w:tc>
        <w:tc>
          <w:tcPr>
            <w:tcW w:w="928" w:type="pct"/>
            <w:noWrap/>
            <w:vAlign w:val="center"/>
          </w:tcPr>
          <w:p w14:paraId="244B44BD">
            <w:pPr>
              <w:pStyle w:val="116"/>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default" w:ascii="Times New Roman" w:hAnsi="Times New Roman" w:cs="Times New Roman"/>
                <w:sz w:val="21"/>
                <w:szCs w:val="21"/>
              </w:rPr>
            </w:pPr>
            <w:r>
              <w:rPr>
                <w:rFonts w:hint="default" w:ascii="Times New Roman" w:hAnsi="Times New Roman" w:cs="Times New Roman"/>
                <w:sz w:val="21"/>
                <w:szCs w:val="21"/>
              </w:rPr>
              <w:t>8</w:t>
            </w:r>
          </w:p>
        </w:tc>
        <w:tc>
          <w:tcPr>
            <w:tcW w:w="1175" w:type="pct"/>
            <w:noWrap/>
            <w:vAlign w:val="center"/>
          </w:tcPr>
          <w:p w14:paraId="7698D1BC">
            <w:pPr>
              <w:pStyle w:val="116"/>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default" w:ascii="Times New Roman" w:hAnsi="Times New Roman" w:cs="Times New Roman"/>
                <w:sz w:val="21"/>
                <w:szCs w:val="21"/>
              </w:rPr>
            </w:pPr>
            <w:r>
              <w:rPr>
                <w:rFonts w:hint="default" w:ascii="Times New Roman" w:hAnsi="Times New Roman" w:cs="Times New Roman"/>
                <w:sz w:val="21"/>
                <w:szCs w:val="21"/>
              </w:rPr>
              <w:t>231.82</w:t>
            </w:r>
          </w:p>
        </w:tc>
        <w:tc>
          <w:tcPr>
            <w:tcW w:w="1064" w:type="pct"/>
            <w:noWrap/>
            <w:vAlign w:val="center"/>
          </w:tcPr>
          <w:p w14:paraId="5FB319A6">
            <w:pPr>
              <w:pStyle w:val="116"/>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default" w:ascii="Times New Roman" w:hAnsi="Times New Roman" w:cs="Times New Roman"/>
                <w:sz w:val="21"/>
                <w:szCs w:val="21"/>
              </w:rPr>
            </w:pPr>
            <w:r>
              <w:rPr>
                <w:rFonts w:hint="default" w:ascii="Times New Roman" w:hAnsi="Times New Roman" w:cs="Times New Roman"/>
                <w:sz w:val="21"/>
                <w:szCs w:val="21"/>
              </w:rPr>
              <w:t>95%</w:t>
            </w:r>
          </w:p>
        </w:tc>
        <w:tc>
          <w:tcPr>
            <w:tcW w:w="1120" w:type="pct"/>
            <w:noWrap/>
            <w:vAlign w:val="center"/>
          </w:tcPr>
          <w:p w14:paraId="74EBD4FC">
            <w:pPr>
              <w:pStyle w:val="116"/>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default" w:ascii="Times New Roman" w:hAnsi="Times New Roman" w:cs="Times New Roman"/>
                <w:sz w:val="21"/>
                <w:szCs w:val="21"/>
              </w:rPr>
            </w:pPr>
            <w:r>
              <w:rPr>
                <w:rFonts w:hint="default" w:ascii="Times New Roman" w:hAnsi="Times New Roman" w:cs="Times New Roman"/>
                <w:sz w:val="21"/>
                <w:szCs w:val="21"/>
              </w:rPr>
              <w:t>220.23</w:t>
            </w:r>
          </w:p>
        </w:tc>
      </w:tr>
      <w:tr w14:paraId="49B3DE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641" w:type="pct"/>
            <w:gridSpan w:val="2"/>
            <w:noWrap/>
            <w:vAlign w:val="center"/>
          </w:tcPr>
          <w:p w14:paraId="19F7C566">
            <w:pPr>
              <w:pStyle w:val="116"/>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default" w:ascii="Times New Roman" w:hAnsi="Times New Roman" w:cs="Times New Roman"/>
                <w:sz w:val="21"/>
                <w:szCs w:val="21"/>
              </w:rPr>
            </w:pPr>
            <w:r>
              <w:rPr>
                <w:rFonts w:hint="default" w:ascii="Times New Roman" w:hAnsi="Times New Roman" w:cs="Times New Roman"/>
                <w:sz w:val="21"/>
                <w:szCs w:val="21"/>
              </w:rPr>
              <w:t>合计</w:t>
            </w:r>
          </w:p>
        </w:tc>
        <w:tc>
          <w:tcPr>
            <w:tcW w:w="1175" w:type="pct"/>
            <w:noWrap/>
            <w:vAlign w:val="center"/>
          </w:tcPr>
          <w:p w14:paraId="515C9F23">
            <w:pPr>
              <w:pStyle w:val="116"/>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default" w:ascii="Times New Roman" w:hAnsi="Times New Roman" w:cs="Times New Roman"/>
                <w:sz w:val="21"/>
                <w:szCs w:val="21"/>
              </w:rPr>
            </w:pPr>
            <w:r>
              <w:rPr>
                <w:rFonts w:hint="default" w:ascii="Times New Roman" w:hAnsi="Times New Roman" w:cs="Times New Roman"/>
                <w:sz w:val="21"/>
                <w:szCs w:val="21"/>
              </w:rPr>
              <w:t>1244.56</w:t>
            </w:r>
          </w:p>
        </w:tc>
        <w:tc>
          <w:tcPr>
            <w:tcW w:w="1064" w:type="pct"/>
            <w:noWrap/>
            <w:vAlign w:val="center"/>
          </w:tcPr>
          <w:p w14:paraId="6951EDAF">
            <w:pPr>
              <w:pStyle w:val="116"/>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default" w:ascii="Times New Roman" w:hAnsi="Times New Roman" w:cs="Times New Roman"/>
                <w:sz w:val="21"/>
                <w:szCs w:val="21"/>
              </w:rPr>
            </w:pPr>
          </w:p>
        </w:tc>
        <w:tc>
          <w:tcPr>
            <w:tcW w:w="1120" w:type="pct"/>
            <w:noWrap/>
            <w:vAlign w:val="center"/>
          </w:tcPr>
          <w:p w14:paraId="071848F7">
            <w:pPr>
              <w:pStyle w:val="116"/>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default" w:ascii="Times New Roman" w:hAnsi="Times New Roman" w:cs="Times New Roman"/>
                <w:sz w:val="21"/>
                <w:szCs w:val="21"/>
              </w:rPr>
            </w:pPr>
            <w:r>
              <w:rPr>
                <w:rFonts w:hint="default" w:ascii="Times New Roman" w:hAnsi="Times New Roman" w:cs="Times New Roman"/>
                <w:sz w:val="21"/>
                <w:szCs w:val="21"/>
              </w:rPr>
              <w:t>1199.49</w:t>
            </w:r>
          </w:p>
        </w:tc>
      </w:tr>
      <w:bookmarkEnd w:id="254"/>
    </w:tbl>
    <w:p w14:paraId="2759EC88">
      <w:pPr>
        <w:wordWrap w:val="0"/>
        <w:adjustRightInd w:val="0"/>
        <w:snapToGrid w:val="0"/>
        <w:spacing w:line="360" w:lineRule="auto"/>
        <w:ind w:firstLine="560" w:firstLineChars="200"/>
        <w:rPr>
          <w:rFonts w:hint="default" w:ascii="Times New Roman" w:hAnsi="Times New Roman" w:eastAsia="宋体" w:cs="Times New Roman"/>
          <w:color w:val="000000"/>
          <w:sz w:val="28"/>
          <w:szCs w:val="21"/>
          <w:lang w:val="en-US" w:eastAsia="zh-CN"/>
        </w:rPr>
      </w:pPr>
      <w:r>
        <w:rPr>
          <w:rFonts w:hint="default" w:ascii="Times New Roman" w:hAnsi="Times New Roman" w:eastAsia="宋体" w:cs="Times New Roman"/>
          <w:color w:val="000000"/>
          <w:sz w:val="28"/>
          <w:szCs w:val="21"/>
          <w:lang w:val="en-US" w:eastAsia="zh-CN"/>
        </w:rPr>
        <w:t>4、采出矿石量</w:t>
      </w:r>
    </w:p>
    <w:p w14:paraId="320B0788">
      <w:pPr>
        <w:wordWrap w:val="0"/>
        <w:adjustRightInd w:val="0"/>
        <w:snapToGrid w:val="0"/>
        <w:spacing w:line="360" w:lineRule="auto"/>
        <w:ind w:firstLine="560" w:firstLineChars="200"/>
        <w:rPr>
          <w:rFonts w:hint="default" w:ascii="Times New Roman" w:hAnsi="Times New Roman" w:eastAsia="宋体" w:cs="Times New Roman"/>
          <w:color w:val="000000"/>
          <w:sz w:val="28"/>
          <w:szCs w:val="21"/>
        </w:rPr>
      </w:pPr>
      <w:r>
        <w:rPr>
          <w:rFonts w:hint="default" w:ascii="Times New Roman" w:hAnsi="Times New Roman" w:eastAsia="宋体" w:cs="Times New Roman"/>
          <w:color w:val="000000"/>
          <w:sz w:val="28"/>
          <w:szCs w:val="21"/>
        </w:rPr>
        <w:t>根据矿体的赋存条件，结合采用的采矿工艺，根据类似建筑用砂岩矿山取值，露天建筑用砂岩矿山不存在贫化，贫化率为0。</w:t>
      </w:r>
    </w:p>
    <w:p w14:paraId="09545A11">
      <w:pPr>
        <w:wordWrap w:val="0"/>
        <w:adjustRightInd w:val="0"/>
        <w:snapToGrid w:val="0"/>
        <w:spacing w:line="360" w:lineRule="auto"/>
        <w:ind w:firstLine="560" w:firstLineChars="200"/>
        <w:rPr>
          <w:rFonts w:hint="default" w:ascii="Times New Roman" w:hAnsi="Times New Roman" w:eastAsia="宋体" w:cs="Times New Roman"/>
          <w:color w:val="000000"/>
          <w:sz w:val="28"/>
          <w:szCs w:val="21"/>
          <w:lang w:val="en-US" w:eastAsia="zh-CN"/>
        </w:rPr>
      </w:pPr>
      <w:r>
        <w:rPr>
          <w:rFonts w:hint="default" w:ascii="Times New Roman" w:hAnsi="Times New Roman" w:eastAsia="宋体" w:cs="Times New Roman"/>
          <w:color w:val="000000"/>
          <w:sz w:val="28"/>
          <w:szCs w:val="21"/>
          <w:lang w:val="en-US" w:eastAsia="zh-CN"/>
        </w:rPr>
        <w:t>最终设计露天境界内采出矿石量为1199.49万t。</w:t>
      </w:r>
    </w:p>
    <w:p w14:paraId="7E394783">
      <w:pPr>
        <w:pStyle w:val="5"/>
        <w:spacing w:before="0" w:after="0" w:line="360" w:lineRule="auto"/>
        <w:ind w:firstLine="562" w:firstLineChars="200"/>
        <w:rPr>
          <w:rFonts w:hint="default" w:ascii="Times New Roman" w:hAnsi="Times New Roman" w:cs="Times New Roman"/>
        </w:rPr>
      </w:pPr>
      <w:r>
        <w:rPr>
          <w:rFonts w:hint="default" w:ascii="Times New Roman" w:hAnsi="Times New Roman" w:cs="Times New Roman"/>
        </w:rPr>
        <w:t>2.4.2.2建设规模</w:t>
      </w:r>
    </w:p>
    <w:p w14:paraId="3AB71797">
      <w:pPr>
        <w:spacing w:line="360" w:lineRule="auto"/>
        <w:ind w:firstLine="560" w:firstLineChars="200"/>
        <w:jc w:val="left"/>
        <w:rPr>
          <w:rFonts w:hint="default" w:ascii="Times New Roman" w:hAnsi="Times New Roman" w:cs="Times New Roman"/>
          <w:sz w:val="28"/>
          <w:szCs w:val="28"/>
        </w:rPr>
      </w:pPr>
      <w:r>
        <w:rPr>
          <w:rFonts w:hint="default" w:ascii="Times New Roman" w:hAnsi="Times New Roman" w:cs="Times New Roman"/>
          <w:sz w:val="28"/>
          <w:szCs w:val="28"/>
        </w:rPr>
        <w:t>根据采矿许可证以及生产能力验证，设计生产规模为</w:t>
      </w:r>
      <w:r>
        <w:rPr>
          <w:rFonts w:hint="default" w:ascii="Times New Roman" w:hAnsi="Times New Roman" w:cs="Times New Roman"/>
          <w:sz w:val="28"/>
          <w:szCs w:val="28"/>
          <w:lang w:val="en-US" w:eastAsia="zh-CN"/>
        </w:rPr>
        <w:t>50</w:t>
      </w:r>
      <w:r>
        <w:rPr>
          <w:rFonts w:hint="default" w:ascii="Times New Roman" w:hAnsi="Times New Roman" w:cs="Times New Roman"/>
          <w:sz w:val="28"/>
          <w:szCs w:val="28"/>
        </w:rPr>
        <w:t>万t/</w:t>
      </w:r>
      <w:r>
        <w:rPr>
          <w:rFonts w:hint="default" w:ascii="Times New Roman" w:hAnsi="Times New Roman" w:cs="Times New Roman"/>
          <w:sz w:val="28"/>
          <w:szCs w:val="28"/>
          <w:lang w:val="en-US" w:eastAsia="zh-CN"/>
        </w:rPr>
        <w:t>a</w:t>
      </w:r>
      <w:r>
        <w:rPr>
          <w:rFonts w:hint="default" w:ascii="Times New Roman" w:hAnsi="Times New Roman" w:cs="Times New Roman"/>
          <w:sz w:val="28"/>
          <w:szCs w:val="28"/>
        </w:rPr>
        <w:t>。</w:t>
      </w:r>
    </w:p>
    <w:p w14:paraId="5B9E07C8">
      <w:pPr>
        <w:pStyle w:val="5"/>
        <w:spacing w:before="0" w:after="0" w:line="360" w:lineRule="auto"/>
        <w:ind w:firstLine="562" w:firstLineChars="200"/>
        <w:rPr>
          <w:rFonts w:hint="default" w:ascii="Times New Roman" w:hAnsi="Times New Roman" w:cs="Times New Roman"/>
        </w:rPr>
      </w:pPr>
      <w:r>
        <w:rPr>
          <w:rFonts w:hint="default" w:ascii="Times New Roman" w:hAnsi="Times New Roman" w:cs="Times New Roman"/>
        </w:rPr>
        <w:t>2.4.2.3服务年限</w:t>
      </w:r>
    </w:p>
    <w:p w14:paraId="14C24C87">
      <w:pPr>
        <w:wordWrap w:val="0"/>
        <w:adjustRightInd w:val="0"/>
        <w:snapToGrid w:val="0"/>
        <w:spacing w:line="360" w:lineRule="auto"/>
        <w:ind w:firstLine="560" w:firstLineChars="200"/>
        <w:rPr>
          <w:rFonts w:hint="default" w:ascii="Times New Roman" w:hAnsi="Times New Roman" w:eastAsia="宋体" w:cs="Times New Roman"/>
          <w:sz w:val="28"/>
          <w:szCs w:val="21"/>
        </w:rPr>
      </w:pPr>
      <w:r>
        <w:rPr>
          <w:rFonts w:hint="default" w:ascii="Times New Roman" w:hAnsi="Times New Roman" w:eastAsia="宋体" w:cs="Times New Roman"/>
          <w:sz w:val="28"/>
          <w:szCs w:val="21"/>
        </w:rPr>
        <w:t>根据设计，圈定的开采境界内采出矿石量为1199.49万t，矿山年生产能力为50万t/年。</w:t>
      </w:r>
    </w:p>
    <w:p w14:paraId="6AE7D49E">
      <w:pPr>
        <w:wordWrap w:val="0"/>
        <w:adjustRightInd w:val="0"/>
        <w:snapToGrid w:val="0"/>
        <w:spacing w:line="360" w:lineRule="auto"/>
        <w:ind w:firstLine="560" w:firstLineChars="200"/>
        <w:jc w:val="center"/>
        <w:rPr>
          <w:rFonts w:hint="default" w:ascii="Times New Roman" w:hAnsi="Times New Roman" w:eastAsia="宋体" w:cs="Times New Roman"/>
          <w:sz w:val="28"/>
          <w:szCs w:val="21"/>
        </w:rPr>
      </w:pPr>
      <m:oMathPara>
        <m:oMath>
          <m:r>
            <m:rPr>
              <m:nor/>
              <m:sty m:val="p"/>
            </m:rPr>
            <w:rPr>
              <w:rFonts w:hint="default" w:ascii="Times New Roman" w:hAnsi="Times New Roman" w:cs="Times New Roman"/>
              <w:b w:val="0"/>
              <w:i w:val="0"/>
              <w:sz w:val="28"/>
              <w:szCs w:val="36"/>
            </w:rPr>
            <m:t>T=</m:t>
          </m:r>
          <m:f>
            <m:fPr>
              <m:ctrlPr>
                <w:rPr>
                  <w:rFonts w:hint="default" w:ascii="Cambria Math" w:hAnsi="Cambria Math" w:cs="Times New Roman"/>
                  <w:sz w:val="28"/>
                  <w:szCs w:val="36"/>
                </w:rPr>
              </m:ctrlPr>
            </m:fPr>
            <m:num>
              <m:r>
                <m:rPr>
                  <m:nor/>
                </m:rPr>
                <w:rPr>
                  <w:rFonts w:hint="default" w:ascii="Times New Roman" w:hAnsi="Times New Roman" w:cs="Times New Roman"/>
                  <w:i/>
                  <w:sz w:val="28"/>
                  <w:szCs w:val="36"/>
                </w:rPr>
                <m:t>Q</m:t>
              </m:r>
              <m:ctrlPr>
                <w:rPr>
                  <w:rFonts w:hint="default" w:ascii="Cambria Math" w:hAnsi="Cambria Math" w:cs="Times New Roman"/>
                  <w:sz w:val="28"/>
                  <w:szCs w:val="36"/>
                </w:rPr>
              </m:ctrlPr>
            </m:num>
            <m:den>
              <m:r>
                <m:rPr>
                  <m:nor/>
                </m:rPr>
                <w:rPr>
                  <w:rFonts w:hint="default" w:ascii="Times New Roman" w:hAnsi="Times New Roman" w:cs="Times New Roman"/>
                  <w:i/>
                  <w:sz w:val="28"/>
                  <w:szCs w:val="36"/>
                </w:rPr>
                <m:t>A</m:t>
              </m:r>
              <m:ctrlPr>
                <w:rPr>
                  <w:rFonts w:hint="default" w:ascii="Cambria Math" w:hAnsi="Cambria Math" w:cs="Times New Roman"/>
                  <w:sz w:val="28"/>
                  <w:szCs w:val="36"/>
                </w:rPr>
              </m:ctrlPr>
            </m:den>
          </m:f>
        </m:oMath>
      </m:oMathPara>
    </w:p>
    <w:p w14:paraId="022B0900">
      <w:pPr>
        <w:wordWrap w:val="0"/>
        <w:adjustRightInd w:val="0"/>
        <w:snapToGrid w:val="0"/>
        <w:spacing w:line="360" w:lineRule="auto"/>
        <w:ind w:firstLine="560" w:firstLineChars="200"/>
        <w:rPr>
          <w:rFonts w:hint="default" w:ascii="Times New Roman" w:hAnsi="Times New Roman" w:eastAsia="宋体" w:cs="Times New Roman"/>
          <w:sz w:val="28"/>
          <w:szCs w:val="21"/>
        </w:rPr>
      </w:pPr>
      <w:r>
        <w:rPr>
          <w:rFonts w:hint="default" w:ascii="Times New Roman" w:hAnsi="Times New Roman" w:eastAsia="宋体" w:cs="Times New Roman"/>
          <w:sz w:val="28"/>
          <w:szCs w:val="21"/>
        </w:rPr>
        <w:t>式中：</w:t>
      </w:r>
    </w:p>
    <w:p w14:paraId="0A84B971">
      <w:pPr>
        <w:wordWrap w:val="0"/>
        <w:adjustRightInd w:val="0"/>
        <w:snapToGrid w:val="0"/>
        <w:spacing w:line="360" w:lineRule="auto"/>
        <w:ind w:firstLine="560" w:firstLineChars="200"/>
        <w:rPr>
          <w:rFonts w:hint="default" w:ascii="Times New Roman" w:hAnsi="Times New Roman" w:eastAsia="宋体" w:cs="Times New Roman"/>
          <w:sz w:val="28"/>
          <w:szCs w:val="21"/>
        </w:rPr>
      </w:pPr>
      <w:r>
        <w:rPr>
          <w:rFonts w:hint="default" w:ascii="Times New Roman" w:hAnsi="Times New Roman" w:eastAsia="宋体" w:cs="Times New Roman"/>
          <w:sz w:val="28"/>
          <w:szCs w:val="21"/>
        </w:rPr>
        <w:t>T—矿山服务年限，年；</w:t>
      </w:r>
    </w:p>
    <w:p w14:paraId="2AFC2A37">
      <w:pPr>
        <w:wordWrap w:val="0"/>
        <w:adjustRightInd w:val="0"/>
        <w:snapToGrid w:val="0"/>
        <w:spacing w:line="360" w:lineRule="auto"/>
        <w:ind w:firstLine="560" w:firstLineChars="200"/>
        <w:rPr>
          <w:rFonts w:hint="default" w:ascii="Times New Roman" w:hAnsi="Times New Roman" w:eastAsia="宋体" w:cs="Times New Roman"/>
          <w:sz w:val="28"/>
          <w:szCs w:val="21"/>
        </w:rPr>
      </w:pPr>
      <w:r>
        <w:rPr>
          <w:rFonts w:hint="default" w:ascii="Times New Roman" w:hAnsi="Times New Roman" w:eastAsia="宋体" w:cs="Times New Roman"/>
          <w:sz w:val="28"/>
          <w:szCs w:val="21"/>
        </w:rPr>
        <w:t>Q—设计采出矿石量，万t；</w:t>
      </w:r>
    </w:p>
    <w:p w14:paraId="484953B7">
      <w:pPr>
        <w:wordWrap w:val="0"/>
        <w:adjustRightInd w:val="0"/>
        <w:snapToGrid w:val="0"/>
        <w:spacing w:line="360" w:lineRule="auto"/>
        <w:ind w:firstLine="560" w:firstLineChars="200"/>
        <w:rPr>
          <w:rFonts w:hint="default" w:ascii="Times New Roman" w:hAnsi="Times New Roman" w:eastAsia="宋体" w:cs="Times New Roman"/>
          <w:sz w:val="28"/>
          <w:szCs w:val="21"/>
        </w:rPr>
      </w:pPr>
      <w:r>
        <w:rPr>
          <w:rFonts w:hint="default" w:ascii="Times New Roman" w:hAnsi="Times New Roman" w:eastAsia="宋体" w:cs="Times New Roman"/>
          <w:sz w:val="28"/>
          <w:szCs w:val="21"/>
        </w:rPr>
        <w:t>A—矿山生产能力，万t。</w:t>
      </w:r>
    </w:p>
    <w:p w14:paraId="5E319823">
      <w:pPr>
        <w:wordWrap w:val="0"/>
        <w:adjustRightInd w:val="0"/>
        <w:snapToGrid w:val="0"/>
        <w:spacing w:line="360" w:lineRule="auto"/>
        <w:ind w:firstLine="560" w:firstLineChars="200"/>
        <w:rPr>
          <w:rFonts w:hint="default" w:ascii="Times New Roman" w:hAnsi="Times New Roman" w:eastAsia="宋体" w:cs="Times New Roman"/>
          <w:sz w:val="28"/>
          <w:szCs w:val="21"/>
        </w:rPr>
      </w:pPr>
      <m:oMath>
        <m:r>
          <m:rPr>
            <m:nor/>
            <m:sty m:val="p"/>
          </m:rPr>
          <w:rPr>
            <w:rFonts w:hint="default" w:ascii="Times New Roman" w:hAnsi="Times New Roman" w:cs="Times New Roman"/>
            <w:b w:val="0"/>
            <w:i w:val="0"/>
            <w:sz w:val="28"/>
            <w:szCs w:val="36"/>
          </w:rPr>
          <m:t>T=</m:t>
        </m:r>
        <m:f>
          <m:fPr>
            <m:ctrlPr>
              <w:rPr>
                <w:rFonts w:hint="default" w:ascii="Cambria Math" w:hAnsi="Cambria Math" w:cs="Times New Roman"/>
                <w:sz w:val="28"/>
                <w:szCs w:val="36"/>
              </w:rPr>
            </m:ctrlPr>
          </m:fPr>
          <m:num>
            <m:r>
              <m:rPr>
                <m:nor/>
                <m:sty m:val="p"/>
              </m:rPr>
              <w:rPr>
                <w:rFonts w:hint="default" w:ascii="Times New Roman" w:hAnsi="Times New Roman" w:cs="Times New Roman"/>
                <w:b w:val="0"/>
                <w:i w:val="0"/>
                <w:sz w:val="28"/>
                <w:szCs w:val="36"/>
              </w:rPr>
              <m:t>1199.49</m:t>
            </m:r>
            <m:ctrlPr>
              <w:rPr>
                <w:rFonts w:hint="default" w:ascii="Cambria Math" w:hAnsi="Cambria Math" w:cs="Times New Roman"/>
                <w:sz w:val="28"/>
                <w:szCs w:val="36"/>
              </w:rPr>
            </m:ctrlPr>
          </m:num>
          <m:den>
            <m:r>
              <m:rPr>
                <m:nor/>
                <m:sty m:val="p"/>
              </m:rPr>
              <w:rPr>
                <w:rFonts w:hint="default" w:ascii="Times New Roman" w:hAnsi="Times New Roman" w:cs="Times New Roman"/>
                <w:b w:val="0"/>
                <w:i w:val="0"/>
                <w:sz w:val="28"/>
                <w:szCs w:val="36"/>
              </w:rPr>
              <m:t>50</m:t>
            </m:r>
            <m:ctrlPr>
              <w:rPr>
                <w:rFonts w:hint="default" w:ascii="Cambria Math" w:hAnsi="Cambria Math" w:cs="Times New Roman"/>
                <w:sz w:val="28"/>
                <w:szCs w:val="36"/>
              </w:rPr>
            </m:ctrlPr>
          </m:den>
        </m:f>
        <m:r>
          <m:rPr>
            <m:nor/>
            <m:sty m:val="p"/>
          </m:rPr>
          <w:rPr>
            <w:rFonts w:hint="default" w:ascii="Times New Roman" w:hAnsi="Times New Roman" w:cs="Times New Roman"/>
            <w:b w:val="0"/>
            <w:i w:val="0"/>
            <w:sz w:val="28"/>
            <w:szCs w:val="36"/>
          </w:rPr>
          <m:t>≈24年</m:t>
        </m:r>
      </m:oMath>
      <w:r>
        <w:rPr>
          <w:rFonts w:hint="default" w:ascii="Times New Roman" w:hAnsi="Times New Roman" w:eastAsia="宋体" w:cs="Times New Roman"/>
          <w:sz w:val="28"/>
          <w:szCs w:val="21"/>
        </w:rPr>
        <w:t xml:space="preserve"> </w:t>
      </w:r>
    </w:p>
    <w:p w14:paraId="6DE60C9E">
      <w:pPr>
        <w:adjustRightInd w:val="0"/>
        <w:snapToGrid w:val="0"/>
        <w:spacing w:line="360" w:lineRule="auto"/>
        <w:ind w:firstLine="560" w:firstLineChars="200"/>
        <w:rPr>
          <w:rFonts w:hint="default" w:ascii="Times New Roman" w:hAnsi="Times New Roman" w:cs="Times New Roman"/>
          <w:sz w:val="28"/>
          <w:szCs w:val="28"/>
        </w:rPr>
      </w:pPr>
      <w:r>
        <w:rPr>
          <w:rFonts w:hint="default" w:ascii="Times New Roman" w:hAnsi="Times New Roman" w:eastAsia="宋体" w:cs="Times New Roman"/>
          <w:sz w:val="28"/>
          <w:szCs w:val="21"/>
        </w:rPr>
        <w:t>经计算，矿山生产服务年限为24年</w:t>
      </w:r>
      <w:r>
        <w:rPr>
          <w:rFonts w:hint="default" w:ascii="Times New Roman" w:hAnsi="Times New Roman" w:cs="Times New Roman"/>
          <w:sz w:val="28"/>
          <w:szCs w:val="28"/>
        </w:rPr>
        <w:t>。</w:t>
      </w:r>
    </w:p>
    <w:p w14:paraId="0E7DB4D4">
      <w:pPr>
        <w:pStyle w:val="5"/>
        <w:spacing w:before="0" w:after="0" w:line="360" w:lineRule="auto"/>
        <w:ind w:firstLine="562" w:firstLineChars="200"/>
        <w:rPr>
          <w:rFonts w:hint="default" w:ascii="Times New Roman" w:hAnsi="Times New Roman" w:cs="Times New Roman"/>
        </w:rPr>
      </w:pPr>
      <w:r>
        <w:rPr>
          <w:rFonts w:hint="default" w:ascii="Times New Roman" w:hAnsi="Times New Roman" w:cs="Times New Roman"/>
        </w:rPr>
        <w:t>2.4.2.4产品方案</w:t>
      </w:r>
    </w:p>
    <w:p w14:paraId="44ECDEB0">
      <w:pPr>
        <w:widowControl/>
        <w:spacing w:line="360" w:lineRule="auto"/>
        <w:ind w:firstLine="560" w:firstLineChars="200"/>
        <w:jc w:val="left"/>
        <w:rPr>
          <w:rFonts w:hint="default" w:ascii="Times New Roman" w:hAnsi="Times New Roman" w:cs="Times New Roman"/>
          <w:sz w:val="28"/>
          <w:szCs w:val="28"/>
        </w:rPr>
      </w:pPr>
      <w:r>
        <w:rPr>
          <w:rFonts w:hint="default" w:ascii="Times New Roman" w:hAnsi="Times New Roman" w:cs="Times New Roman"/>
          <w:sz w:val="28"/>
          <w:szCs w:val="28"/>
        </w:rPr>
        <w:t>产品方案：建筑用砂。</w:t>
      </w:r>
    </w:p>
    <w:p w14:paraId="01A89DA0">
      <w:pPr>
        <w:pStyle w:val="5"/>
        <w:spacing w:before="0" w:after="0" w:line="360" w:lineRule="auto"/>
        <w:ind w:firstLine="562" w:firstLineChars="200"/>
        <w:rPr>
          <w:rFonts w:hint="default" w:ascii="Times New Roman" w:hAnsi="Times New Roman" w:cs="Times New Roman"/>
        </w:rPr>
      </w:pPr>
      <w:r>
        <w:rPr>
          <w:rFonts w:hint="default" w:ascii="Times New Roman" w:hAnsi="Times New Roman" w:cs="Times New Roman"/>
        </w:rPr>
        <w:t>2.4.2.5工作制度</w:t>
      </w:r>
    </w:p>
    <w:p w14:paraId="1FDABCE4">
      <w:pPr>
        <w:widowControl/>
        <w:spacing w:line="360" w:lineRule="auto"/>
        <w:ind w:firstLine="560" w:firstLineChars="200"/>
        <w:rPr>
          <w:rFonts w:hint="default" w:ascii="Times New Roman" w:hAnsi="Times New Roman" w:cs="Times New Roman"/>
          <w:spacing w:val="6"/>
          <w:sz w:val="28"/>
          <w:szCs w:val="28"/>
        </w:rPr>
      </w:pPr>
      <w:r>
        <w:rPr>
          <w:rFonts w:hint="default" w:ascii="Times New Roman" w:hAnsi="Times New Roman" w:cs="Times New Roman"/>
          <w:sz w:val="28"/>
          <w:szCs w:val="28"/>
        </w:rPr>
        <w:t>设计矿山采剥作业采用间断工作制，年工作300天，每天工作1班，每班8小时。</w:t>
      </w:r>
    </w:p>
    <w:p w14:paraId="3335ECAA">
      <w:pPr>
        <w:pStyle w:val="4"/>
        <w:spacing w:before="0" w:after="0" w:line="360" w:lineRule="auto"/>
        <w:rPr>
          <w:rFonts w:hint="default" w:ascii="Times New Roman" w:hAnsi="Times New Roman" w:cs="Times New Roman"/>
          <w:sz w:val="28"/>
          <w:szCs w:val="28"/>
        </w:rPr>
      </w:pPr>
      <w:bookmarkStart w:id="255" w:name="_Toc242849753"/>
      <w:bookmarkStart w:id="256" w:name="_Toc7295"/>
      <w:bookmarkStart w:id="257" w:name="_Toc7630"/>
      <w:bookmarkStart w:id="258" w:name="_Toc22506"/>
      <w:bookmarkStart w:id="259" w:name="_Toc32268"/>
      <w:r>
        <w:rPr>
          <w:rFonts w:hint="default" w:ascii="Times New Roman" w:hAnsi="Times New Roman" w:cs="Times New Roman"/>
          <w:sz w:val="28"/>
          <w:szCs w:val="28"/>
        </w:rPr>
        <w:t>2.4.</w:t>
      </w:r>
      <w:bookmarkEnd w:id="255"/>
      <w:r>
        <w:rPr>
          <w:rFonts w:hint="default" w:ascii="Times New Roman" w:hAnsi="Times New Roman" w:cs="Times New Roman"/>
          <w:sz w:val="28"/>
          <w:szCs w:val="28"/>
        </w:rPr>
        <w:t>3总图运输</w:t>
      </w:r>
      <w:bookmarkEnd w:id="256"/>
      <w:bookmarkEnd w:id="257"/>
      <w:bookmarkEnd w:id="258"/>
      <w:bookmarkEnd w:id="259"/>
    </w:p>
    <w:p w14:paraId="55FEFC62">
      <w:pPr>
        <w:pStyle w:val="5"/>
        <w:spacing w:before="0" w:after="0" w:line="360" w:lineRule="auto"/>
        <w:ind w:firstLine="562" w:firstLineChars="200"/>
        <w:rPr>
          <w:rFonts w:hint="default" w:ascii="Times New Roman" w:hAnsi="Times New Roman" w:cs="Times New Roman"/>
        </w:rPr>
      </w:pPr>
      <w:r>
        <w:rPr>
          <w:rFonts w:hint="default" w:ascii="Times New Roman" w:hAnsi="Times New Roman" w:cs="Times New Roman"/>
        </w:rPr>
        <w:t>2.4.3.1总平面布置</w:t>
      </w:r>
      <w:bookmarkStart w:id="260" w:name="_Toc289011431"/>
      <w:bookmarkStart w:id="261" w:name="_Toc258243030"/>
      <w:bookmarkStart w:id="262" w:name="_Toc312176700"/>
      <w:bookmarkStart w:id="263" w:name="_Toc270436528"/>
      <w:bookmarkStart w:id="264" w:name="_Toc247367293"/>
      <w:bookmarkStart w:id="265" w:name="_Toc279768047"/>
      <w:bookmarkStart w:id="266" w:name="_Toc235543906"/>
      <w:bookmarkStart w:id="267" w:name="_Toc255287747"/>
      <w:bookmarkStart w:id="268" w:name="_Toc274572775"/>
      <w:bookmarkStart w:id="269" w:name="_Toc269487389"/>
      <w:bookmarkStart w:id="270" w:name="_Toc270536480"/>
      <w:bookmarkStart w:id="271" w:name="_Toc283072718"/>
      <w:bookmarkStart w:id="272" w:name="_Toc270174219"/>
      <w:bookmarkStart w:id="273" w:name="_Toc271406062"/>
      <w:bookmarkStart w:id="274" w:name="_Toc253153289"/>
      <w:bookmarkStart w:id="275" w:name="_Toc239225480"/>
      <w:bookmarkStart w:id="276" w:name="_Toc239224010"/>
      <w:bookmarkStart w:id="277" w:name="_Toc288999849"/>
      <w:bookmarkStart w:id="278" w:name="_Toc269898677"/>
    </w:p>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p w14:paraId="3573EC46">
      <w:pPr>
        <w:pStyle w:val="105"/>
        <w:rPr>
          <w:rFonts w:hint="default" w:ascii="Times New Roman" w:hAnsi="Times New Roman" w:cs="Times New Roman"/>
          <w:sz w:val="28"/>
          <w:szCs w:val="21"/>
        </w:rPr>
      </w:pPr>
      <w:r>
        <w:rPr>
          <w:rFonts w:hint="default" w:ascii="Times New Roman" w:hAnsi="Times New Roman" w:cs="Times New Roman"/>
        </w:rPr>
        <w:t>矿山工程设计</w:t>
      </w:r>
      <w:r>
        <w:rPr>
          <w:rFonts w:hint="default" w:ascii="Times New Roman" w:hAnsi="Times New Roman" w:cs="Times New Roman"/>
          <w:sz w:val="28"/>
          <w:szCs w:val="21"/>
        </w:rPr>
        <w:t>主要由露天采场、运输道路、工业场地及截排洪设施等组成。</w:t>
      </w:r>
    </w:p>
    <w:p w14:paraId="7AF0C78B">
      <w:pPr>
        <w:adjustRightInd w:val="0"/>
        <w:snapToGrid w:val="0"/>
        <w:spacing w:line="360" w:lineRule="auto"/>
        <w:ind w:firstLine="560" w:firstLineChars="200"/>
        <w:rPr>
          <w:rFonts w:hint="default" w:ascii="Times New Roman" w:hAnsi="Times New Roman" w:cs="Times New Roman"/>
          <w:sz w:val="28"/>
          <w:szCs w:val="21"/>
        </w:rPr>
      </w:pPr>
      <w:r>
        <w:rPr>
          <w:rFonts w:hint="default" w:ascii="Times New Roman" w:hAnsi="Times New Roman" w:cs="Times New Roman"/>
          <w:sz w:val="28"/>
          <w:szCs w:val="21"/>
        </w:rPr>
        <w:t>1、露天采</w:t>
      </w:r>
      <w:r>
        <w:rPr>
          <w:rFonts w:hint="default" w:ascii="Times New Roman" w:hAnsi="Times New Roman" w:cs="Times New Roman"/>
          <w:sz w:val="28"/>
          <w:szCs w:val="21"/>
          <w:lang w:val="en-US" w:eastAsia="zh-CN"/>
        </w:rPr>
        <w:t>矿</w:t>
      </w:r>
      <w:r>
        <w:rPr>
          <w:rFonts w:hint="default" w:ascii="Times New Roman" w:hAnsi="Times New Roman" w:cs="Times New Roman"/>
          <w:sz w:val="28"/>
          <w:szCs w:val="21"/>
        </w:rPr>
        <w:t>场</w:t>
      </w:r>
    </w:p>
    <w:p w14:paraId="5D2634F0">
      <w:pPr>
        <w:adjustRightInd w:val="0"/>
        <w:snapToGrid w:val="0"/>
        <w:spacing w:line="360" w:lineRule="auto"/>
        <w:ind w:firstLine="560" w:firstLineChars="200"/>
        <w:rPr>
          <w:rFonts w:hint="default" w:ascii="Times New Roman" w:hAnsi="Times New Roman" w:cs="Times New Roman"/>
          <w:sz w:val="28"/>
          <w:szCs w:val="21"/>
        </w:rPr>
      </w:pPr>
      <w:r>
        <w:rPr>
          <w:rFonts w:hint="default" w:ascii="Times New Roman" w:hAnsi="Times New Roman" w:cs="Times New Roman"/>
          <w:sz w:val="28"/>
          <w:szCs w:val="21"/>
        </w:rPr>
        <w:t>露天采场采用分台阶自上而下开采，按照8m的台阶高度自上而下的顺序一层一层开采，设计露天采场为山坡露天采场，设计范围1550m</w:t>
      </w:r>
      <w:r>
        <w:rPr>
          <w:rFonts w:hint="default" w:ascii="Times New Roman" w:hAnsi="Times New Roman" w:cs="Times New Roman"/>
          <w:sz w:val="28"/>
          <w:szCs w:val="21"/>
          <w:lang w:eastAsia="zh-CN"/>
        </w:rPr>
        <w:t>～</w:t>
      </w:r>
      <w:r>
        <w:rPr>
          <w:rFonts w:hint="default" w:ascii="Times New Roman" w:hAnsi="Times New Roman" w:cs="Times New Roman"/>
          <w:sz w:val="28"/>
          <w:szCs w:val="21"/>
        </w:rPr>
        <w:t>1470m标高，开采深度为80m，设计推荐采用公路开拓汽车运输。</w:t>
      </w:r>
    </w:p>
    <w:p w14:paraId="7361A627">
      <w:pPr>
        <w:adjustRightInd w:val="0"/>
        <w:snapToGrid w:val="0"/>
        <w:spacing w:line="360" w:lineRule="auto"/>
        <w:ind w:firstLine="560" w:firstLineChars="200"/>
        <w:rPr>
          <w:rFonts w:hint="default" w:ascii="Times New Roman" w:hAnsi="Times New Roman" w:eastAsia="宋体" w:cs="Times New Roman"/>
          <w:sz w:val="28"/>
          <w:szCs w:val="21"/>
          <w:lang w:val="en-US" w:eastAsia="zh-CN"/>
        </w:rPr>
      </w:pPr>
      <w:r>
        <w:rPr>
          <w:rFonts w:hint="default" w:ascii="Times New Roman" w:hAnsi="Times New Roman" w:cs="Times New Roman"/>
          <w:sz w:val="28"/>
          <w:szCs w:val="21"/>
        </w:rPr>
        <w:t>2、运输</w:t>
      </w:r>
      <w:r>
        <w:rPr>
          <w:rFonts w:hint="default" w:ascii="Times New Roman" w:hAnsi="Times New Roman" w:cs="Times New Roman"/>
          <w:sz w:val="28"/>
          <w:szCs w:val="21"/>
          <w:lang w:val="en-US" w:eastAsia="zh-CN"/>
        </w:rPr>
        <w:t>道路</w:t>
      </w:r>
    </w:p>
    <w:p w14:paraId="61710676">
      <w:pPr>
        <w:adjustRightInd w:val="0"/>
        <w:snapToGrid w:val="0"/>
        <w:spacing w:line="360" w:lineRule="auto"/>
        <w:ind w:firstLine="560" w:firstLineChars="200"/>
        <w:rPr>
          <w:rFonts w:hint="default" w:ascii="Times New Roman" w:hAnsi="Times New Roman" w:cs="Times New Roman"/>
          <w:sz w:val="28"/>
          <w:szCs w:val="28"/>
        </w:rPr>
      </w:pPr>
      <w:bookmarkStart w:id="279" w:name="_Hlk162180372"/>
      <w:r>
        <w:rPr>
          <w:rFonts w:hint="default" w:ascii="Times New Roman" w:hAnsi="Times New Roman" w:cs="Times New Roman"/>
          <w:sz w:val="28"/>
          <w:szCs w:val="28"/>
        </w:rPr>
        <w:t>运矿道路主要为重车下坡，使用载重自卸汽车运输矿石和表土，矿废石平均运距为</w:t>
      </w:r>
      <w:r>
        <w:rPr>
          <w:rFonts w:hint="default" w:ascii="Times New Roman" w:hAnsi="Times New Roman" w:cs="Times New Roman"/>
          <w:sz w:val="28"/>
          <w:szCs w:val="28"/>
          <w:lang w:val="en-US" w:eastAsia="zh-CN"/>
        </w:rPr>
        <w:t>6</w:t>
      </w:r>
      <w:r>
        <w:rPr>
          <w:rFonts w:hint="default" w:ascii="Times New Roman" w:hAnsi="Times New Roman" w:cs="Times New Roman"/>
          <w:sz w:val="28"/>
          <w:szCs w:val="28"/>
        </w:rPr>
        <w:t>00m。</w:t>
      </w:r>
      <w:r>
        <w:rPr>
          <w:rFonts w:hint="default" w:ascii="Times New Roman" w:hAnsi="Times New Roman" w:cs="Times New Roman"/>
          <w:sz w:val="28"/>
          <w:szCs w:val="28"/>
          <w:lang w:eastAsia="zh-CN"/>
        </w:rPr>
        <w:t>设计</w:t>
      </w:r>
      <w:r>
        <w:rPr>
          <w:rFonts w:hint="default" w:ascii="Times New Roman" w:hAnsi="Times New Roman" w:cs="Times New Roman"/>
          <w:sz w:val="28"/>
          <w:szCs w:val="28"/>
        </w:rPr>
        <w:t>矿石经过主干道路运至卸矿口。</w:t>
      </w:r>
    </w:p>
    <w:bookmarkEnd w:id="279"/>
    <w:p w14:paraId="1551B1E6">
      <w:pPr>
        <w:adjustRightInd w:val="0"/>
        <w:snapToGrid w:val="0"/>
        <w:spacing w:line="360" w:lineRule="auto"/>
        <w:ind w:firstLine="560" w:firstLineChars="200"/>
        <w:rPr>
          <w:rFonts w:hint="default" w:ascii="Times New Roman" w:hAnsi="Times New Roman" w:cs="Times New Roman"/>
          <w:sz w:val="28"/>
          <w:szCs w:val="21"/>
        </w:rPr>
      </w:pPr>
      <w:r>
        <w:rPr>
          <w:rFonts w:hint="default" w:ascii="Times New Roman" w:hAnsi="Times New Roman" w:cs="Times New Roman"/>
          <w:sz w:val="28"/>
          <w:szCs w:val="21"/>
        </w:rPr>
        <w:t>3、破碎站</w:t>
      </w:r>
    </w:p>
    <w:p w14:paraId="03E96961">
      <w:pPr>
        <w:adjustRightInd w:val="0"/>
        <w:snapToGrid w:val="0"/>
        <w:spacing w:line="360" w:lineRule="auto"/>
        <w:ind w:firstLine="560" w:firstLineChars="200"/>
        <w:rPr>
          <w:rFonts w:hint="default" w:ascii="Times New Roman" w:hAnsi="Times New Roman" w:cs="Times New Roman"/>
          <w:sz w:val="28"/>
          <w:szCs w:val="21"/>
        </w:rPr>
      </w:pPr>
      <w:r>
        <w:rPr>
          <w:rFonts w:hint="default" w:ascii="Times New Roman" w:hAnsi="Times New Roman" w:cs="Times New Roman"/>
          <w:sz w:val="28"/>
          <w:szCs w:val="21"/>
        </w:rPr>
        <w:t>矿山为改扩建矿山，破碎站位于露天采场西侧</w:t>
      </w:r>
      <w:r>
        <w:rPr>
          <w:rFonts w:hint="default" w:ascii="Times New Roman" w:hAnsi="Times New Roman" w:cs="Times New Roman"/>
          <w:sz w:val="28"/>
          <w:szCs w:val="21"/>
          <w:lang w:eastAsia="zh-CN"/>
        </w:rPr>
        <w:t>，</w:t>
      </w:r>
      <w:r>
        <w:rPr>
          <w:rFonts w:hint="default" w:ascii="Times New Roman" w:hAnsi="Times New Roman" w:cs="Times New Roman"/>
          <w:sz w:val="28"/>
          <w:szCs w:val="21"/>
          <w:lang w:val="en-US" w:eastAsia="zh-CN"/>
        </w:rPr>
        <w:t>距离矿区原有</w:t>
      </w:r>
      <w:r>
        <w:rPr>
          <w:rFonts w:hint="default" w:ascii="Times New Roman" w:hAnsi="Times New Roman" w:cs="Times New Roman"/>
          <w:sz w:val="28"/>
          <w:szCs w:val="28"/>
        </w:rPr>
        <w:t>西部采空区</w:t>
      </w:r>
      <w:r>
        <w:rPr>
          <w:rFonts w:hint="default" w:ascii="Times New Roman" w:hAnsi="Times New Roman" w:cs="Times New Roman"/>
          <w:sz w:val="28"/>
          <w:szCs w:val="28"/>
          <w:lang w:val="en-US" w:eastAsia="zh-CN"/>
        </w:rPr>
        <w:t>边坡约180m，</w:t>
      </w:r>
      <w:r>
        <w:rPr>
          <w:rFonts w:hint="default" w:ascii="Times New Roman" w:hAnsi="Times New Roman" w:cs="Times New Roman"/>
          <w:sz w:val="28"/>
          <w:szCs w:val="28"/>
        </w:rPr>
        <w:t>西部采空区</w:t>
      </w:r>
      <w:r>
        <w:rPr>
          <w:rFonts w:hint="default" w:ascii="Times New Roman" w:hAnsi="Times New Roman" w:cs="Times New Roman"/>
          <w:sz w:val="28"/>
          <w:szCs w:val="28"/>
          <w:lang w:val="en-US" w:eastAsia="zh-CN"/>
        </w:rPr>
        <w:t>现状边坡高度5m～48m，最终边坡角22°～55°，采空区边坡从整体上来看，现处于稳定状态，破碎站距离露天采空区边坡较远，破碎站边坡影响较小。已建成破碎站</w:t>
      </w:r>
      <w:r>
        <w:rPr>
          <w:rFonts w:hint="default" w:ascii="Times New Roman" w:hAnsi="Times New Roman" w:cs="Times New Roman"/>
          <w:sz w:val="28"/>
          <w:szCs w:val="21"/>
        </w:rPr>
        <w:t>破碎能力为250t/h，生产线工作制度为每年工作300天，1班/天，8小时/班。</w:t>
      </w:r>
    </w:p>
    <w:p w14:paraId="72AC5A51">
      <w:pPr>
        <w:adjustRightInd w:val="0"/>
        <w:snapToGrid w:val="0"/>
        <w:spacing w:line="360" w:lineRule="auto"/>
        <w:ind w:firstLine="560" w:firstLineChars="200"/>
        <w:rPr>
          <w:rFonts w:hint="default" w:ascii="Times New Roman" w:hAnsi="Times New Roman" w:cs="Times New Roman"/>
          <w:sz w:val="28"/>
          <w:szCs w:val="21"/>
        </w:rPr>
      </w:pPr>
      <w:r>
        <w:rPr>
          <w:rFonts w:hint="default" w:ascii="Times New Roman" w:hAnsi="Times New Roman" w:cs="Times New Roman"/>
          <w:sz w:val="28"/>
          <w:szCs w:val="21"/>
          <w:lang w:eastAsia="zh-CN"/>
        </w:rPr>
        <w:t>设计</w:t>
      </w:r>
      <w:r>
        <w:rPr>
          <w:rFonts w:hint="default" w:ascii="Times New Roman" w:hAnsi="Times New Roman" w:cs="Times New Roman"/>
          <w:sz w:val="28"/>
          <w:szCs w:val="21"/>
        </w:rPr>
        <w:t>矿山露天开采采矿总量50万t/a，平均日产量1667t/d，破碎及输送系统能力计算值为250t/h、2000t/d，能够满足矿石破碎处理要求。</w:t>
      </w:r>
    </w:p>
    <w:p w14:paraId="4BBB2312">
      <w:pPr>
        <w:adjustRightInd w:val="0"/>
        <w:snapToGrid w:val="0"/>
        <w:spacing w:line="360" w:lineRule="auto"/>
        <w:ind w:firstLine="560" w:firstLineChars="200"/>
        <w:rPr>
          <w:rFonts w:hint="default" w:ascii="Times New Roman" w:hAnsi="Times New Roman" w:cs="Times New Roman"/>
          <w:sz w:val="28"/>
          <w:szCs w:val="21"/>
        </w:rPr>
      </w:pPr>
      <w:r>
        <w:rPr>
          <w:rFonts w:hint="default" w:ascii="Times New Roman" w:hAnsi="Times New Roman" w:cs="Times New Roman"/>
          <w:sz w:val="28"/>
          <w:szCs w:val="21"/>
        </w:rPr>
        <w:t>4、工业场地及办公生活区</w:t>
      </w:r>
    </w:p>
    <w:p w14:paraId="5A1591C8">
      <w:pPr>
        <w:adjustRightInd w:val="0"/>
        <w:snapToGrid w:val="0"/>
        <w:spacing w:line="360" w:lineRule="auto"/>
        <w:ind w:firstLine="560" w:firstLineChars="200"/>
        <w:rPr>
          <w:rFonts w:hint="default" w:ascii="Times New Roman" w:hAnsi="Times New Roman" w:cs="Times New Roman"/>
          <w:sz w:val="28"/>
          <w:szCs w:val="21"/>
        </w:rPr>
      </w:pPr>
      <w:bookmarkStart w:id="280" w:name="_Hlk169976713"/>
      <w:r>
        <w:rPr>
          <w:rFonts w:hint="default" w:ascii="Times New Roman" w:hAnsi="Times New Roman" w:cs="Times New Roman"/>
          <w:sz w:val="28"/>
          <w:szCs w:val="21"/>
        </w:rPr>
        <w:t>矿山办公及工人生活区位于矿区西侧96m。</w:t>
      </w:r>
      <w:bookmarkEnd w:id="280"/>
    </w:p>
    <w:p w14:paraId="58A5C101">
      <w:pPr>
        <w:pStyle w:val="5"/>
        <w:spacing w:before="0" w:after="0" w:line="360" w:lineRule="auto"/>
        <w:ind w:firstLine="562" w:firstLineChars="200"/>
        <w:rPr>
          <w:rFonts w:hint="default" w:ascii="Times New Roman" w:hAnsi="Times New Roman" w:cs="Times New Roman"/>
        </w:rPr>
      </w:pPr>
      <w:r>
        <w:rPr>
          <w:rFonts w:hint="default" w:ascii="Times New Roman" w:hAnsi="Times New Roman" w:cs="Times New Roman"/>
        </w:rPr>
        <w:t>2.4.3.2运输</w:t>
      </w:r>
    </w:p>
    <w:p w14:paraId="7D61B661">
      <w:pPr>
        <w:widowControl/>
        <w:spacing w:line="360" w:lineRule="auto"/>
        <w:ind w:firstLine="560" w:firstLineChars="200"/>
        <w:jc w:val="left"/>
        <w:rPr>
          <w:rFonts w:hint="default" w:ascii="Times New Roman" w:hAnsi="Times New Roman" w:cs="Times New Roman"/>
          <w:sz w:val="28"/>
          <w:szCs w:val="28"/>
        </w:rPr>
      </w:pPr>
      <w:r>
        <w:rPr>
          <w:rFonts w:hint="default" w:ascii="Times New Roman" w:hAnsi="Times New Roman" w:cs="Times New Roman"/>
          <w:sz w:val="28"/>
          <w:szCs w:val="28"/>
        </w:rPr>
        <w:t>（1）外部运输方式</w:t>
      </w:r>
    </w:p>
    <w:p w14:paraId="58D625AB">
      <w:pPr>
        <w:adjustRightInd w:val="0"/>
        <w:snapToGrid w:val="0"/>
        <w:spacing w:line="360" w:lineRule="auto"/>
        <w:ind w:firstLine="560" w:firstLineChars="200"/>
        <w:rPr>
          <w:rFonts w:hint="default" w:ascii="Times New Roman" w:hAnsi="Times New Roman" w:cs="Times New Roman"/>
          <w:sz w:val="28"/>
          <w:szCs w:val="21"/>
        </w:rPr>
      </w:pPr>
      <w:r>
        <w:rPr>
          <w:rFonts w:hint="default" w:ascii="Times New Roman" w:hAnsi="Times New Roman" w:cs="Times New Roman"/>
          <w:sz w:val="28"/>
          <w:szCs w:val="21"/>
        </w:rPr>
        <w:t>矿区的外部运输主要为各种材料及备品备件运入以及生活物资运入。</w:t>
      </w:r>
    </w:p>
    <w:p w14:paraId="24ED0410">
      <w:pPr>
        <w:adjustRightInd w:val="0"/>
        <w:snapToGrid w:val="0"/>
        <w:spacing w:line="360" w:lineRule="auto"/>
        <w:ind w:firstLine="560" w:firstLineChars="200"/>
        <w:rPr>
          <w:rFonts w:hint="default" w:ascii="Times New Roman" w:hAnsi="Times New Roman" w:cs="Times New Roman"/>
          <w:sz w:val="28"/>
          <w:szCs w:val="21"/>
        </w:rPr>
      </w:pPr>
      <w:r>
        <w:rPr>
          <w:rFonts w:hint="default" w:ascii="Times New Roman" w:hAnsi="Times New Roman" w:cs="Times New Roman"/>
          <w:sz w:val="28"/>
          <w:szCs w:val="21"/>
        </w:rPr>
        <w:t>各种材料及备品备件：根据生产要求从附近县城将物资运至仓库或各个工段，每日运量不等。</w:t>
      </w:r>
    </w:p>
    <w:p w14:paraId="2DB28832">
      <w:pPr>
        <w:adjustRightInd w:val="0"/>
        <w:snapToGrid w:val="0"/>
        <w:spacing w:line="360" w:lineRule="auto"/>
        <w:ind w:firstLine="560" w:firstLineChars="200"/>
        <w:rPr>
          <w:rFonts w:hint="default" w:ascii="Times New Roman" w:hAnsi="Times New Roman" w:cs="Times New Roman"/>
          <w:sz w:val="28"/>
          <w:szCs w:val="21"/>
        </w:rPr>
      </w:pPr>
      <w:r>
        <w:rPr>
          <w:rFonts w:hint="default" w:ascii="Times New Roman" w:hAnsi="Times New Roman" w:cs="Times New Roman"/>
          <w:sz w:val="28"/>
          <w:szCs w:val="21"/>
        </w:rPr>
        <w:t>生活物资：矿区职工所需的各种生活物资，均依托当地的市场供给。</w:t>
      </w:r>
    </w:p>
    <w:p w14:paraId="285645E2">
      <w:pPr>
        <w:widowControl/>
        <w:spacing w:line="360" w:lineRule="auto"/>
        <w:ind w:firstLine="560" w:firstLineChars="200"/>
        <w:jc w:val="left"/>
        <w:rPr>
          <w:rFonts w:hint="default" w:ascii="Times New Roman" w:hAnsi="Times New Roman" w:cs="Times New Roman"/>
          <w:sz w:val="28"/>
          <w:szCs w:val="28"/>
        </w:rPr>
      </w:pPr>
      <w:r>
        <w:rPr>
          <w:rFonts w:hint="default" w:ascii="Times New Roman" w:hAnsi="Times New Roman" w:cs="Times New Roman"/>
          <w:sz w:val="28"/>
          <w:szCs w:val="28"/>
        </w:rPr>
        <w:t>（2）内部运输方式</w:t>
      </w:r>
    </w:p>
    <w:p w14:paraId="46A6F100">
      <w:pPr>
        <w:adjustRightInd w:val="0"/>
        <w:snapToGrid w:val="0"/>
        <w:spacing w:line="360" w:lineRule="auto"/>
        <w:ind w:firstLine="560" w:firstLineChars="200"/>
        <w:rPr>
          <w:rFonts w:hint="default" w:ascii="Times New Roman" w:hAnsi="Times New Roman" w:cs="Times New Roman"/>
          <w:sz w:val="28"/>
          <w:szCs w:val="21"/>
        </w:rPr>
      </w:pPr>
      <w:r>
        <w:rPr>
          <w:rFonts w:hint="default" w:ascii="Times New Roman" w:hAnsi="Times New Roman" w:cs="Times New Roman"/>
          <w:sz w:val="28"/>
          <w:szCs w:val="21"/>
        </w:rPr>
        <w:t>矿区内部运输主要为露天开采、工业场地区域之间的物料运输。</w:t>
      </w:r>
    </w:p>
    <w:p w14:paraId="58114032">
      <w:pPr>
        <w:adjustRightInd w:val="0"/>
        <w:snapToGrid w:val="0"/>
        <w:spacing w:line="360" w:lineRule="auto"/>
        <w:ind w:firstLine="560" w:firstLineChars="200"/>
        <w:rPr>
          <w:rFonts w:hint="default" w:ascii="Times New Roman" w:hAnsi="Times New Roman" w:cs="Times New Roman"/>
          <w:sz w:val="28"/>
          <w:szCs w:val="21"/>
        </w:rPr>
      </w:pPr>
      <w:r>
        <w:rPr>
          <w:rFonts w:hint="default" w:ascii="Times New Roman" w:hAnsi="Times New Roman" w:cs="Times New Roman"/>
          <w:sz w:val="28"/>
          <w:szCs w:val="21"/>
        </w:rPr>
        <w:t>矿石：从露天采场采出的矿石通过汽车运至卸矿平台，矿石运输每年约50万t，运距约400m。</w:t>
      </w:r>
    </w:p>
    <w:p w14:paraId="0FACA150">
      <w:pPr>
        <w:adjustRightInd w:val="0"/>
        <w:snapToGrid w:val="0"/>
        <w:spacing w:line="360" w:lineRule="auto"/>
        <w:ind w:firstLine="560" w:firstLineChars="200"/>
        <w:rPr>
          <w:rFonts w:hint="default" w:ascii="Times New Roman" w:hAnsi="Times New Roman" w:cs="Times New Roman"/>
          <w:sz w:val="28"/>
          <w:szCs w:val="21"/>
        </w:rPr>
      </w:pPr>
      <w:r>
        <w:rPr>
          <w:rFonts w:hint="default" w:ascii="Times New Roman" w:hAnsi="Times New Roman" w:cs="Times New Roman"/>
          <w:sz w:val="28"/>
          <w:szCs w:val="21"/>
        </w:rPr>
        <w:t>各种材料及备品备件：场外运输到仓库。</w:t>
      </w:r>
    </w:p>
    <w:p w14:paraId="4A608597">
      <w:pPr>
        <w:pStyle w:val="4"/>
        <w:spacing w:before="0" w:after="0" w:line="360" w:lineRule="auto"/>
        <w:rPr>
          <w:rFonts w:hint="default" w:ascii="Times New Roman" w:hAnsi="Times New Roman" w:cs="Times New Roman"/>
          <w:sz w:val="28"/>
          <w:szCs w:val="28"/>
        </w:rPr>
      </w:pPr>
      <w:bookmarkStart w:id="281" w:name="_Toc14978"/>
      <w:bookmarkStart w:id="282" w:name="_Toc18306"/>
      <w:bookmarkStart w:id="283" w:name="_Toc2971"/>
      <w:bookmarkStart w:id="284" w:name="_Toc29985"/>
      <w:r>
        <w:rPr>
          <w:rFonts w:hint="default" w:ascii="Times New Roman" w:hAnsi="Times New Roman" w:cs="Times New Roman"/>
          <w:sz w:val="28"/>
          <w:szCs w:val="28"/>
        </w:rPr>
        <w:t>2.4.4开采范围</w:t>
      </w:r>
      <w:bookmarkEnd w:id="281"/>
      <w:bookmarkEnd w:id="282"/>
      <w:bookmarkEnd w:id="283"/>
      <w:bookmarkEnd w:id="284"/>
    </w:p>
    <w:p w14:paraId="353A501E">
      <w:pPr>
        <w:pStyle w:val="105"/>
        <w:rPr>
          <w:rFonts w:hint="default" w:ascii="Times New Roman" w:hAnsi="Times New Roman" w:cs="Times New Roman"/>
        </w:rPr>
      </w:pPr>
      <w:r>
        <w:rPr>
          <w:rFonts w:hint="default" w:ascii="Times New Roman" w:hAnsi="Times New Roman" w:cs="Times New Roman"/>
          <w:b/>
          <w:bCs/>
        </w:rPr>
        <w:t>开采范围：</w:t>
      </w:r>
      <w:r>
        <w:rPr>
          <w:rFonts w:hint="default" w:ascii="Times New Roman" w:hAnsi="Times New Roman" w:cs="Times New Roman"/>
        </w:rPr>
        <w:t>矿区北侧矿权拐点1处有一高压线（10kv阿左邑1号变支线）穿过矿区，根据《电力设施保护条例》第十条架空电力线路保护区的规定，1-10千伏电力线保护范围5m，设计沿高压线两侧各设置5m保护区，设置保护区后行形成1123m</w:t>
      </w:r>
      <w:r>
        <w:rPr>
          <w:rFonts w:hint="default" w:ascii="Times New Roman" w:hAnsi="Times New Roman" w:cs="Times New Roman"/>
          <w:vertAlign w:val="superscript"/>
        </w:rPr>
        <w:t>2</w:t>
      </w:r>
      <w:r>
        <w:rPr>
          <w:rFonts w:hint="default" w:ascii="Times New Roman" w:hAnsi="Times New Roman" w:cs="Times New Roman"/>
        </w:rPr>
        <w:t>（含设置保护区后造成矿权拐点1和保护区之间394m</w:t>
      </w:r>
      <w:r>
        <w:rPr>
          <w:rFonts w:hint="default" w:ascii="Times New Roman" w:hAnsi="Times New Roman" w:cs="Times New Roman"/>
          <w:vertAlign w:val="superscript"/>
        </w:rPr>
        <w:t>2</w:t>
      </w:r>
      <w:r>
        <w:rPr>
          <w:rFonts w:hint="default" w:ascii="Times New Roman" w:hAnsi="Times New Roman" w:cs="Times New Roman"/>
        </w:rPr>
        <w:t>的设计损失面积）禁采区，设计开采范围开采面积为0.2521km</w:t>
      </w:r>
      <w:r>
        <w:rPr>
          <w:rFonts w:hint="default" w:ascii="Times New Roman" w:hAnsi="Times New Roman" w:cs="Times New Roman"/>
          <w:vertAlign w:val="superscript"/>
        </w:rPr>
        <w:t>2</w:t>
      </w:r>
      <w:r>
        <w:rPr>
          <w:rFonts w:hint="default" w:ascii="Times New Roman" w:hAnsi="Times New Roman" w:cs="Times New Roman"/>
        </w:rPr>
        <w:t>（矿权面积0.2536km</w:t>
      </w:r>
      <w:r>
        <w:rPr>
          <w:rFonts w:hint="default" w:ascii="Times New Roman" w:hAnsi="Times New Roman" w:cs="Times New Roman"/>
          <w:vertAlign w:val="superscript"/>
        </w:rPr>
        <w:t>2</w:t>
      </w:r>
      <w:r>
        <w:rPr>
          <w:rFonts w:hint="default" w:ascii="Times New Roman" w:hAnsi="Times New Roman" w:cs="Times New Roman"/>
        </w:rPr>
        <w:t>、储量估算积0.2531km</w:t>
      </w:r>
      <w:r>
        <w:rPr>
          <w:rFonts w:hint="default" w:ascii="Times New Roman" w:hAnsi="Times New Roman" w:cs="Times New Roman"/>
          <w:vertAlign w:val="superscript"/>
        </w:rPr>
        <w:t>2</w:t>
      </w:r>
      <w:r>
        <w:rPr>
          <w:rFonts w:hint="default" w:ascii="Times New Roman" w:hAnsi="Times New Roman" w:cs="Times New Roman"/>
        </w:rPr>
        <w:t>），设计开采标高1550m～1470m，设计开采范围及开采标高均在采矿证准许范围内</w:t>
      </w:r>
      <w:r>
        <w:rPr>
          <w:rFonts w:hint="default" w:ascii="Times New Roman" w:hAnsi="Times New Roman" w:cs="Times New Roman"/>
          <w:b w:val="0"/>
          <w:bCs w:val="0"/>
        </w:rPr>
        <w:t>，</w:t>
      </w:r>
      <w:r>
        <w:rPr>
          <w:rFonts w:hint="default" w:ascii="Times New Roman" w:hAnsi="Times New Roman" w:cs="Times New Roman"/>
          <w:b w:val="0"/>
          <w:bCs w:val="0"/>
          <w:lang w:val="en-US" w:eastAsia="zh-CN"/>
        </w:rPr>
        <w:t>矿区</w:t>
      </w:r>
      <w:r>
        <w:rPr>
          <w:rFonts w:hint="default" w:ascii="Times New Roman" w:hAnsi="Times New Roman" w:cs="Times New Roman"/>
        </w:rPr>
        <w:t>拐点坐标见表1.1-</w:t>
      </w:r>
      <w:r>
        <w:rPr>
          <w:rFonts w:hint="default" w:ascii="Times New Roman" w:hAnsi="Times New Roman" w:cs="Times New Roman"/>
          <w:lang w:val="en-US" w:eastAsia="zh-CN"/>
        </w:rPr>
        <w:t>1</w:t>
      </w:r>
      <w:r>
        <w:rPr>
          <w:rFonts w:hint="default" w:ascii="Times New Roman" w:hAnsi="Times New Roman" w:cs="Times New Roman"/>
        </w:rPr>
        <w:t>。</w:t>
      </w:r>
    </w:p>
    <w:p w14:paraId="0007FC79">
      <w:pPr>
        <w:pStyle w:val="105"/>
        <w:ind w:firstLine="562"/>
        <w:rPr>
          <w:rFonts w:hint="default" w:ascii="Times New Roman" w:hAnsi="Times New Roman" w:cs="Times New Roman"/>
        </w:rPr>
      </w:pPr>
      <w:r>
        <w:rPr>
          <w:rFonts w:hint="default" w:ascii="Times New Roman" w:hAnsi="Times New Roman" w:cs="Times New Roman"/>
          <w:b/>
          <w:bCs/>
        </w:rPr>
        <w:t>开采</w:t>
      </w:r>
      <w:r>
        <w:rPr>
          <w:rFonts w:hint="default" w:ascii="Times New Roman" w:hAnsi="Times New Roman" w:cs="Times New Roman"/>
          <w:b/>
          <w:bCs/>
          <w:lang w:val="en-US" w:eastAsia="zh-CN"/>
        </w:rPr>
        <w:t>方式</w:t>
      </w:r>
      <w:r>
        <w:rPr>
          <w:rFonts w:hint="default" w:ascii="Times New Roman" w:hAnsi="Times New Roman" w:cs="Times New Roman"/>
          <w:b/>
          <w:bCs/>
        </w:rPr>
        <w:t>：</w:t>
      </w:r>
      <w:r>
        <w:rPr>
          <w:rFonts w:hint="default" w:ascii="Times New Roman" w:hAnsi="Times New Roman" w:cs="Times New Roman"/>
        </w:rPr>
        <w:t>依据矿山储量核实报告中矿岩赋存条件、矿体产状、埋深等特点，</w:t>
      </w:r>
      <w:r>
        <w:rPr>
          <w:rFonts w:hint="default" w:ascii="Times New Roman" w:hAnsi="Times New Roman" w:cs="Times New Roman"/>
          <w:lang w:eastAsia="zh-CN"/>
        </w:rPr>
        <w:t>设计</w:t>
      </w:r>
      <w:r>
        <w:rPr>
          <w:rFonts w:hint="default" w:ascii="Times New Roman" w:hAnsi="Times New Roman" w:cs="Times New Roman"/>
        </w:rPr>
        <w:t>开采方式为自上而下露天开采方式。</w:t>
      </w:r>
    </w:p>
    <w:p w14:paraId="5C72736F">
      <w:pPr>
        <w:pStyle w:val="4"/>
        <w:spacing w:before="0" w:after="0" w:line="360" w:lineRule="auto"/>
        <w:rPr>
          <w:rFonts w:hint="default" w:ascii="Times New Roman" w:hAnsi="Times New Roman" w:cs="Times New Roman"/>
          <w:sz w:val="28"/>
          <w:szCs w:val="28"/>
        </w:rPr>
      </w:pPr>
      <w:bookmarkStart w:id="285" w:name="_Toc29009"/>
      <w:bookmarkStart w:id="286" w:name="_Toc9791"/>
      <w:bookmarkStart w:id="287" w:name="_Toc19696"/>
      <w:bookmarkStart w:id="288" w:name="_Toc228"/>
      <w:r>
        <w:rPr>
          <w:rFonts w:hint="default" w:ascii="Times New Roman" w:hAnsi="Times New Roman" w:cs="Times New Roman"/>
          <w:sz w:val="28"/>
          <w:szCs w:val="28"/>
        </w:rPr>
        <w:t>2.4.5开拓运输</w:t>
      </w:r>
      <w:bookmarkEnd w:id="285"/>
      <w:bookmarkEnd w:id="286"/>
      <w:bookmarkEnd w:id="287"/>
      <w:bookmarkEnd w:id="288"/>
    </w:p>
    <w:p w14:paraId="543F1F78">
      <w:pPr>
        <w:pStyle w:val="5"/>
        <w:keepNext w:val="0"/>
        <w:keepLines w:val="0"/>
        <w:adjustRightInd w:val="0"/>
        <w:snapToGrid w:val="0"/>
        <w:spacing w:before="0" w:after="0" w:line="360" w:lineRule="auto"/>
        <w:ind w:firstLine="562" w:firstLineChars="200"/>
        <w:rPr>
          <w:rFonts w:hint="default" w:ascii="Times New Roman" w:hAnsi="Times New Roman" w:cs="Times New Roman"/>
        </w:rPr>
      </w:pPr>
      <w:r>
        <w:rPr>
          <w:rFonts w:hint="default" w:ascii="Times New Roman" w:hAnsi="Times New Roman" w:cs="Times New Roman"/>
        </w:rPr>
        <w:t>2.4.5.1 开拓运输现状</w:t>
      </w:r>
    </w:p>
    <w:p w14:paraId="33593A42">
      <w:pPr>
        <w:adjustRightInd w:val="0"/>
        <w:snapToGrid w:val="0"/>
        <w:spacing w:line="360" w:lineRule="auto"/>
        <w:ind w:firstLine="560" w:firstLineChars="200"/>
        <w:rPr>
          <w:rFonts w:hint="default" w:ascii="Times New Roman" w:hAnsi="Times New Roman" w:eastAsia="宋体" w:cs="Times New Roman"/>
          <w:sz w:val="28"/>
          <w:szCs w:val="28"/>
          <w:lang w:val="en-US" w:eastAsia="zh-CN"/>
        </w:rPr>
      </w:pPr>
      <w:r>
        <w:rPr>
          <w:rFonts w:hint="default" w:ascii="Times New Roman" w:hAnsi="Times New Roman" w:cs="Times New Roman"/>
          <w:sz w:val="28"/>
          <w:szCs w:val="28"/>
        </w:rPr>
        <w:t>矿区属中低山岩溶斜坡地貌，地形总体上东高西低，地形起伏不大，坡度5°～20°。矿区内最高点位于7号矿界拐点附近，高程为1553m，最低点位于矿1拐点处，高程约1470m，相对高差83m</w:t>
      </w:r>
      <w:r>
        <w:rPr>
          <w:rFonts w:hint="default" w:ascii="Times New Roman" w:hAnsi="Times New Roman" w:cs="Times New Roman"/>
          <w:lang w:eastAsia="zh-CN"/>
        </w:rPr>
        <w:t>。</w:t>
      </w:r>
    </w:p>
    <w:p w14:paraId="05BC6533">
      <w:pPr>
        <w:adjustRightInd w:val="0"/>
        <w:snapToGrid w:val="0"/>
        <w:spacing w:line="360" w:lineRule="auto"/>
        <w:ind w:firstLine="560" w:firstLineChars="200"/>
        <w:rPr>
          <w:rFonts w:hint="default" w:ascii="Times New Roman" w:hAnsi="Times New Roman" w:cs="Times New Roman"/>
          <w:sz w:val="28"/>
          <w:szCs w:val="28"/>
        </w:rPr>
      </w:pPr>
      <w:r>
        <w:rPr>
          <w:rFonts w:hint="default" w:ascii="Times New Roman" w:hAnsi="Times New Roman" w:cs="Times New Roman"/>
          <w:sz w:val="28"/>
          <w:szCs w:val="28"/>
        </w:rPr>
        <w:t>矿山为改扩建矿山，矿山现状主要使用公路运输道路，运输道路自破碎站卸料平台1475m通往中部山头顶部1542m，长度约955m，路面</w:t>
      </w:r>
      <w:r>
        <w:rPr>
          <w:rFonts w:hint="default" w:ascii="Times New Roman" w:hAnsi="Times New Roman" w:cs="Times New Roman"/>
          <w:sz w:val="28"/>
          <w:szCs w:val="28"/>
          <w:lang w:eastAsia="zh-CN"/>
        </w:rPr>
        <w:t>平均</w:t>
      </w:r>
      <w:r>
        <w:rPr>
          <w:rFonts w:hint="default" w:ascii="Times New Roman" w:hAnsi="Times New Roman" w:cs="Times New Roman"/>
          <w:sz w:val="28"/>
          <w:szCs w:val="28"/>
        </w:rPr>
        <w:t>宽4</w:t>
      </w:r>
      <w:r>
        <w:rPr>
          <w:rFonts w:hint="default" w:ascii="Times New Roman" w:hAnsi="Times New Roman" w:cs="Times New Roman"/>
          <w:sz w:val="28"/>
          <w:szCs w:val="28"/>
          <w:lang w:eastAsia="zh-CN"/>
        </w:rPr>
        <w:t>—</w:t>
      </w:r>
      <w:r>
        <w:rPr>
          <w:rFonts w:hint="default" w:ascii="Times New Roman" w:hAnsi="Times New Roman" w:cs="Times New Roman"/>
          <w:sz w:val="28"/>
          <w:szCs w:val="28"/>
        </w:rPr>
        <w:t>6m，平均坡度7%。</w:t>
      </w:r>
    </w:p>
    <w:p w14:paraId="32EE06E4">
      <w:pPr>
        <w:pStyle w:val="5"/>
        <w:keepNext w:val="0"/>
        <w:keepLines w:val="0"/>
        <w:adjustRightInd w:val="0"/>
        <w:snapToGrid w:val="0"/>
        <w:spacing w:before="0" w:after="0" w:line="360" w:lineRule="auto"/>
        <w:ind w:firstLine="562" w:firstLineChars="200"/>
        <w:rPr>
          <w:rFonts w:hint="default" w:ascii="Times New Roman" w:hAnsi="Times New Roman" w:cs="Times New Roman"/>
        </w:rPr>
      </w:pPr>
      <w:r>
        <w:rPr>
          <w:rFonts w:hint="default" w:ascii="Times New Roman" w:hAnsi="Times New Roman" w:cs="Times New Roman"/>
        </w:rPr>
        <w:t>2.4.5.2 开拓运输</w:t>
      </w:r>
    </w:p>
    <w:p w14:paraId="1607401F">
      <w:pPr>
        <w:adjustRightInd w:val="0"/>
        <w:snapToGrid w:val="0"/>
        <w:spacing w:line="360" w:lineRule="auto"/>
        <w:ind w:firstLine="560" w:firstLineChars="200"/>
        <w:rPr>
          <w:rFonts w:hint="default" w:ascii="Times New Roman" w:hAnsi="Times New Roman" w:cs="Times New Roman"/>
          <w:sz w:val="28"/>
          <w:szCs w:val="28"/>
        </w:rPr>
      </w:pPr>
      <w:r>
        <w:rPr>
          <w:rFonts w:hint="default" w:ascii="Times New Roman" w:hAnsi="Times New Roman" w:cs="Times New Roman"/>
          <w:sz w:val="28"/>
          <w:szCs w:val="28"/>
          <w:lang w:val="zh-CN"/>
        </w:rPr>
        <w:t>矿山为露天矿山，根据本次圈定露天境界内台阶矿岩量分布，露天境界内平均运距600m。矿区地形相对高差较小，地形坡度5°～20°，地形坡度较缓，结合类似矿山经济合理运距、矿山年采剥总量和当地气候条件，设计采用场内公路开拓、汽车运输方式。</w:t>
      </w:r>
    </w:p>
    <w:p w14:paraId="4037D197">
      <w:pPr>
        <w:adjustRightInd w:val="0"/>
        <w:snapToGrid w:val="0"/>
        <w:spacing w:line="360" w:lineRule="auto"/>
        <w:ind w:firstLine="560" w:firstLineChars="200"/>
        <w:rPr>
          <w:rFonts w:hint="default" w:ascii="Times New Roman" w:hAnsi="Times New Roman" w:cs="Times New Roman"/>
          <w:sz w:val="28"/>
          <w:szCs w:val="28"/>
          <w:lang w:val="zh-CN"/>
        </w:rPr>
      </w:pPr>
      <w:r>
        <w:rPr>
          <w:rFonts w:hint="default" w:ascii="Times New Roman" w:hAnsi="Times New Roman" w:cs="Times New Roman"/>
          <w:sz w:val="28"/>
          <w:szCs w:val="28"/>
          <w:lang w:val="zh-CN"/>
        </w:rPr>
        <w:t>设计矿山生产干线的道路等级为三级，生产支线的道路等级为三级，公路路面采用泥结碎石路面。设计以20t自卸汽车的技术参数对公路结构参数进行计算。</w:t>
      </w:r>
    </w:p>
    <w:p w14:paraId="3CE61C36">
      <w:pPr>
        <w:adjustRightInd w:val="0"/>
        <w:snapToGrid w:val="0"/>
        <w:spacing w:line="360" w:lineRule="auto"/>
        <w:ind w:firstLine="560" w:firstLineChars="200"/>
        <w:rPr>
          <w:rFonts w:hint="default" w:ascii="Times New Roman" w:hAnsi="Times New Roman" w:eastAsia="宋体" w:cs="Times New Roman"/>
          <w:sz w:val="28"/>
          <w:szCs w:val="28"/>
          <w:lang w:val="en-US" w:eastAsia="zh-CN"/>
        </w:rPr>
      </w:pPr>
      <w:r>
        <w:rPr>
          <w:rFonts w:hint="default" w:ascii="Times New Roman" w:hAnsi="Times New Roman" w:cs="Times New Roman"/>
          <w:sz w:val="28"/>
          <w:szCs w:val="28"/>
          <w:lang w:val="en-US" w:eastAsia="zh-CN"/>
        </w:rPr>
        <w:t>设计在运输道路外侧修建车挡，主干运输道路采用土质车挡；并依据情况具体规定各地段的车速，并在各路段设置路标。</w:t>
      </w:r>
    </w:p>
    <w:p w14:paraId="56422009">
      <w:pPr>
        <w:pStyle w:val="105"/>
        <w:rPr>
          <w:rFonts w:hint="default" w:ascii="Times New Roman" w:hAnsi="Times New Roman" w:eastAsia="宋体" w:cs="Times New Roman"/>
          <w:b/>
          <w:bCs/>
          <w:lang w:val="en-US" w:eastAsia="zh-CN"/>
        </w:rPr>
      </w:pPr>
      <w:r>
        <w:rPr>
          <w:rFonts w:hint="default" w:ascii="Times New Roman" w:hAnsi="Times New Roman" w:cs="Times New Roman"/>
          <w:b/>
          <w:bCs/>
          <w:lang w:val="en-US" w:eastAsia="zh-CN"/>
        </w:rPr>
        <w:t>1、设计道路</w:t>
      </w:r>
    </w:p>
    <w:p w14:paraId="76262871">
      <w:pPr>
        <w:pStyle w:val="105"/>
        <w:rPr>
          <w:rFonts w:hint="default" w:ascii="Times New Roman" w:hAnsi="Times New Roman" w:cs="Times New Roman"/>
        </w:rPr>
      </w:pPr>
      <w:r>
        <w:rPr>
          <w:rFonts w:hint="default" w:ascii="Times New Roman" w:hAnsi="Times New Roman" w:cs="Times New Roman"/>
        </w:rPr>
        <w:t>根据采出矿石量分布，结合矿区现状地形条件、卸矿平台位置等，本工程拟定道路采用单车道。</w:t>
      </w:r>
    </w:p>
    <w:p w14:paraId="61B4D6B8">
      <w:pPr>
        <w:pStyle w:val="105"/>
        <w:rPr>
          <w:rFonts w:hint="default" w:ascii="Times New Roman" w:hAnsi="Times New Roman" w:cs="Times New Roman"/>
        </w:rPr>
      </w:pPr>
      <w:r>
        <w:rPr>
          <w:rFonts w:hint="default" w:ascii="Times New Roman" w:hAnsi="Times New Roman" w:cs="Times New Roman"/>
        </w:rPr>
        <w:t>设计道路从矿区卸矿平台1475m标高到中部山头基建剥离平台1532m，新建运输道路865m，路面宽4m，路基宽6m，运输道路平均坡度为6.6%，最大纵坡8.7%。</w:t>
      </w:r>
    </w:p>
    <w:p w14:paraId="033F7E65">
      <w:pPr>
        <w:pStyle w:val="105"/>
        <w:rPr>
          <w:rFonts w:hint="default" w:ascii="Times New Roman" w:hAnsi="Times New Roman" w:cs="Times New Roman"/>
        </w:rPr>
      </w:pPr>
      <w:r>
        <w:rPr>
          <w:rFonts w:hint="default" w:ascii="Times New Roman" w:hAnsi="Times New Roman" w:cs="Times New Roman"/>
        </w:rPr>
        <w:t>运输道路每200m设置错车道，错车道宽8m长40m，运输道路邻边坡一侧，设置土质安全车档，车档设置为梯形，高度为1.0m，上底宽0.6m，下底宽1.2m，公路内侧设排水沟，水沟为梯形断面：上底0.6m，下底0.4m，深0.4m。</w:t>
      </w:r>
    </w:p>
    <w:p w14:paraId="1685784F">
      <w:pPr>
        <w:pStyle w:val="105"/>
        <w:keepNext/>
        <w:keepLines/>
        <w:pageBreakBefore w:val="0"/>
        <w:widowControl w:val="0"/>
        <w:kinsoku/>
        <w:wordWrap/>
        <w:overflowPunct/>
        <w:topLinePunct w:val="0"/>
        <w:autoSpaceDE/>
        <w:autoSpaceDN/>
        <w:bidi w:val="0"/>
        <w:adjustRightInd w:val="0"/>
        <w:snapToGrid w:val="0"/>
        <w:ind w:firstLine="562"/>
        <w:textAlignment w:val="auto"/>
        <w:rPr>
          <w:rFonts w:hint="default" w:ascii="Times New Roman" w:hAnsi="Times New Roman" w:cs="Times New Roman"/>
          <w:b/>
          <w:bCs/>
        </w:rPr>
      </w:pPr>
      <w:r>
        <w:rPr>
          <w:rFonts w:hint="default" w:ascii="Times New Roman" w:hAnsi="Times New Roman" w:cs="Times New Roman"/>
          <w:b/>
          <w:bCs/>
          <w:lang w:val="en-US" w:eastAsia="zh-CN"/>
        </w:rPr>
        <w:t>2</w:t>
      </w:r>
      <w:r>
        <w:rPr>
          <w:rFonts w:hint="default" w:ascii="Times New Roman" w:hAnsi="Times New Roman" w:cs="Times New Roman"/>
          <w:b/>
          <w:bCs/>
        </w:rPr>
        <w:t>、运输设备</w:t>
      </w:r>
    </w:p>
    <w:p w14:paraId="1410FAF1">
      <w:pPr>
        <w:pStyle w:val="105"/>
        <w:rPr>
          <w:rFonts w:hint="default" w:ascii="Times New Roman" w:hAnsi="Times New Roman" w:cs="Times New Roman"/>
        </w:rPr>
      </w:pPr>
      <w:r>
        <w:rPr>
          <w:rFonts w:hint="default" w:ascii="Times New Roman" w:hAnsi="Times New Roman" w:cs="Times New Roman"/>
          <w:lang w:val="en-US" w:eastAsia="zh-CN"/>
        </w:rPr>
        <w:t>根据设计计算，设计运输设备共需4辆载重量20t自卸式汽车进行运输，矿山现有的4辆汽车能满足需求</w:t>
      </w:r>
      <w:r>
        <w:rPr>
          <w:rFonts w:hint="default" w:ascii="Times New Roman" w:hAnsi="Times New Roman" w:cs="Times New Roman"/>
        </w:rPr>
        <w:t>。</w:t>
      </w:r>
    </w:p>
    <w:p w14:paraId="0967319F">
      <w:pPr>
        <w:pStyle w:val="4"/>
        <w:spacing w:before="0" w:after="0" w:line="360" w:lineRule="auto"/>
        <w:rPr>
          <w:rFonts w:hint="default" w:ascii="Times New Roman" w:hAnsi="Times New Roman" w:cs="Times New Roman"/>
          <w:sz w:val="28"/>
          <w:szCs w:val="28"/>
        </w:rPr>
      </w:pPr>
      <w:bookmarkStart w:id="289" w:name="_Toc24337"/>
      <w:bookmarkStart w:id="290" w:name="_Toc112"/>
      <w:bookmarkStart w:id="291" w:name="_Toc5245"/>
      <w:bookmarkStart w:id="292" w:name="_Toc4955"/>
      <w:r>
        <w:rPr>
          <w:rFonts w:hint="default" w:ascii="Times New Roman" w:hAnsi="Times New Roman" w:cs="Times New Roman"/>
          <w:sz w:val="28"/>
          <w:szCs w:val="28"/>
        </w:rPr>
        <w:t>2.4.6采剥工艺</w:t>
      </w:r>
      <w:bookmarkEnd w:id="289"/>
      <w:bookmarkEnd w:id="290"/>
      <w:bookmarkEnd w:id="291"/>
      <w:bookmarkEnd w:id="292"/>
    </w:p>
    <w:p w14:paraId="18E07543">
      <w:pPr>
        <w:pStyle w:val="5"/>
        <w:keepNext w:val="0"/>
        <w:keepLines w:val="0"/>
        <w:adjustRightInd w:val="0"/>
        <w:snapToGrid w:val="0"/>
        <w:spacing w:before="0" w:after="0" w:line="360" w:lineRule="auto"/>
        <w:ind w:firstLine="562" w:firstLineChars="200"/>
        <w:rPr>
          <w:rFonts w:hint="default" w:ascii="Times New Roman" w:hAnsi="Times New Roman" w:eastAsia="宋体" w:cs="Times New Roman"/>
          <w:lang w:eastAsia="zh-CN"/>
        </w:rPr>
      </w:pPr>
      <w:bookmarkStart w:id="293" w:name="_Toc42224930"/>
      <w:r>
        <w:rPr>
          <w:rFonts w:hint="default" w:ascii="Times New Roman" w:hAnsi="Times New Roman" w:cs="Times New Roman"/>
        </w:rPr>
        <w:t>2.4.6.1</w:t>
      </w:r>
      <w:r>
        <w:rPr>
          <w:rFonts w:hint="default" w:ascii="Times New Roman" w:hAnsi="Times New Roman" w:cs="Times New Roman"/>
          <w:lang w:val="en-US" w:eastAsia="zh-CN"/>
        </w:rPr>
        <w:t>采剥方法</w:t>
      </w:r>
    </w:p>
    <w:bookmarkEnd w:id="293"/>
    <w:p w14:paraId="53E27BC8">
      <w:pPr>
        <w:adjustRightInd w:val="0"/>
        <w:snapToGrid w:val="0"/>
        <w:spacing w:line="360" w:lineRule="auto"/>
        <w:ind w:firstLine="560" w:firstLineChars="200"/>
        <w:rPr>
          <w:rFonts w:hint="default" w:ascii="Times New Roman" w:hAnsi="Times New Roman" w:cs="Times New Roman"/>
          <w:sz w:val="28"/>
          <w:szCs w:val="21"/>
        </w:rPr>
      </w:pPr>
      <w:bookmarkStart w:id="294" w:name="_Toc42224933"/>
      <w:r>
        <w:rPr>
          <w:rFonts w:hint="default" w:ascii="Times New Roman" w:hAnsi="Times New Roman" w:cs="Times New Roman"/>
          <w:sz w:val="28"/>
          <w:szCs w:val="21"/>
        </w:rPr>
        <w:t>矿山剥离物主要为矿体上部第四系，厚度0.0m～5.5m，露天采区内第四系覆盖层大部分已被剥离，利用挖掘机直接开挖。</w:t>
      </w:r>
    </w:p>
    <w:p w14:paraId="3345624B">
      <w:pPr>
        <w:adjustRightInd w:val="0"/>
        <w:snapToGrid w:val="0"/>
        <w:spacing w:line="360" w:lineRule="auto"/>
        <w:ind w:firstLine="560" w:firstLineChars="200"/>
        <w:rPr>
          <w:rFonts w:hint="default" w:ascii="Times New Roman" w:hAnsi="Times New Roman" w:cs="Times New Roman"/>
          <w:sz w:val="28"/>
          <w:szCs w:val="21"/>
        </w:rPr>
      </w:pPr>
      <w:r>
        <w:rPr>
          <w:rFonts w:hint="default" w:ascii="Times New Roman" w:hAnsi="Times New Roman" w:cs="Times New Roman"/>
          <w:sz w:val="28"/>
          <w:szCs w:val="21"/>
        </w:rPr>
        <w:t>根据矿区内矿岩性质，矿石利用挖掘机直接开挖，然后进行铲装运输的采剥方法。</w:t>
      </w:r>
    </w:p>
    <w:p w14:paraId="0C5B0A38">
      <w:pPr>
        <w:pStyle w:val="5"/>
        <w:spacing w:before="0" w:after="0" w:line="360" w:lineRule="auto"/>
        <w:ind w:firstLine="562" w:firstLineChars="200"/>
        <w:rPr>
          <w:rFonts w:hint="default" w:ascii="Times New Roman" w:hAnsi="Times New Roman" w:cs="Times New Roman"/>
          <w:lang w:val="en-US" w:eastAsia="zh-CN"/>
        </w:rPr>
      </w:pPr>
      <w:r>
        <w:rPr>
          <w:rFonts w:hint="default" w:ascii="Times New Roman" w:hAnsi="Times New Roman" w:cs="Times New Roman"/>
        </w:rPr>
        <w:t>2.4.6.2</w:t>
      </w:r>
      <w:r>
        <w:rPr>
          <w:rFonts w:hint="default" w:ascii="Times New Roman" w:hAnsi="Times New Roman" w:cs="Times New Roman"/>
          <w:lang w:val="en-US" w:eastAsia="zh-CN"/>
        </w:rPr>
        <w:t>采剥工艺</w:t>
      </w:r>
    </w:p>
    <w:p w14:paraId="4F865130">
      <w:pPr>
        <w:adjustRightInd w:val="0"/>
        <w:snapToGrid w:val="0"/>
        <w:spacing w:line="360" w:lineRule="auto"/>
        <w:ind w:firstLine="560" w:firstLineChars="200"/>
        <w:rPr>
          <w:rFonts w:hint="default" w:ascii="Times New Roman" w:hAnsi="Times New Roman" w:cs="Times New Roman"/>
          <w:sz w:val="28"/>
          <w:szCs w:val="28"/>
        </w:rPr>
      </w:pPr>
      <w:r>
        <w:rPr>
          <w:rFonts w:hint="default" w:ascii="Times New Roman" w:hAnsi="Times New Roman" w:cs="Times New Roman"/>
          <w:sz w:val="28"/>
          <w:szCs w:val="28"/>
        </w:rPr>
        <w:t>矿山采剥作业过程中，需开采的矿岩主要为破碎白云岩，普氏系数f=2~5，矿岩较软，设计采用挖掘机直接开挖。</w:t>
      </w:r>
    </w:p>
    <w:p w14:paraId="2C70833F">
      <w:pPr>
        <w:adjustRightInd w:val="0"/>
        <w:snapToGrid w:val="0"/>
        <w:spacing w:line="360" w:lineRule="auto"/>
        <w:ind w:firstLine="560" w:firstLineChars="200"/>
        <w:rPr>
          <w:rFonts w:hint="default" w:ascii="Times New Roman" w:hAnsi="Times New Roman" w:cs="Times New Roman"/>
          <w:sz w:val="28"/>
          <w:szCs w:val="28"/>
        </w:rPr>
      </w:pPr>
      <w:r>
        <w:rPr>
          <w:rFonts w:hint="default" w:ascii="Times New Roman" w:hAnsi="Times New Roman" w:cs="Times New Roman"/>
          <w:sz w:val="28"/>
          <w:szCs w:val="28"/>
        </w:rPr>
        <w:t>矿岩铲装设计主要铲装设备为一台3.0m</w:t>
      </w:r>
      <w:r>
        <w:rPr>
          <w:rFonts w:hint="default" w:ascii="Times New Roman" w:hAnsi="Times New Roman" w:cs="Times New Roman"/>
          <w:sz w:val="28"/>
          <w:szCs w:val="28"/>
          <w:vertAlign w:val="superscript"/>
        </w:rPr>
        <w:t>3</w:t>
      </w:r>
      <w:r>
        <w:rPr>
          <w:rFonts w:hint="default" w:ascii="Times New Roman" w:hAnsi="Times New Roman" w:cs="Times New Roman"/>
          <w:sz w:val="28"/>
          <w:szCs w:val="28"/>
        </w:rPr>
        <w:t>挖掘机，配备</w:t>
      </w:r>
      <w:r>
        <w:rPr>
          <w:rFonts w:hint="default" w:ascii="Times New Roman" w:hAnsi="Times New Roman" w:cs="Times New Roman"/>
          <w:sz w:val="28"/>
          <w:szCs w:val="28"/>
          <w:lang w:val="en-US" w:eastAsia="zh-CN"/>
        </w:rPr>
        <w:t>4</w:t>
      </w:r>
      <w:r>
        <w:rPr>
          <w:rFonts w:hint="default" w:ascii="Times New Roman" w:hAnsi="Times New Roman" w:cs="Times New Roman"/>
          <w:sz w:val="28"/>
          <w:szCs w:val="28"/>
        </w:rPr>
        <w:t>辆20t自卸汽车进行矿岩运输。</w:t>
      </w:r>
    </w:p>
    <w:p w14:paraId="0B5571F3">
      <w:pPr>
        <w:pStyle w:val="5"/>
        <w:spacing w:before="0" w:after="0" w:line="360" w:lineRule="auto"/>
        <w:ind w:firstLine="562" w:firstLineChars="200"/>
        <w:rPr>
          <w:rFonts w:hint="default" w:ascii="Times New Roman" w:hAnsi="Times New Roman" w:cs="Times New Roman"/>
        </w:rPr>
      </w:pPr>
      <w:r>
        <w:rPr>
          <w:rFonts w:hint="default" w:ascii="Times New Roman" w:hAnsi="Times New Roman" w:cs="Times New Roman"/>
        </w:rPr>
        <w:t>2.4.6.3采剥参数</w:t>
      </w:r>
    </w:p>
    <w:p w14:paraId="5E212B3A">
      <w:pPr>
        <w:adjustRightInd w:val="0"/>
        <w:snapToGrid w:val="0"/>
        <w:spacing w:line="360" w:lineRule="auto"/>
        <w:ind w:firstLine="560" w:firstLineChars="200"/>
        <w:rPr>
          <w:rFonts w:hint="default" w:ascii="Times New Roman" w:hAnsi="Times New Roman" w:cs="Times New Roman"/>
          <w:sz w:val="28"/>
          <w:szCs w:val="28"/>
        </w:rPr>
      </w:pPr>
      <w:r>
        <w:rPr>
          <w:rFonts w:hint="default" w:ascii="Times New Roman" w:hAnsi="Times New Roman" w:cs="Times New Roman"/>
          <w:sz w:val="28"/>
          <w:szCs w:val="28"/>
        </w:rPr>
        <w:t>采矿工作参数如下：</w:t>
      </w:r>
    </w:p>
    <w:p w14:paraId="7FE2FD5F">
      <w:pPr>
        <w:keepNext/>
        <w:keepLines/>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bCs/>
          <w:sz w:val="24"/>
          <w:lang w:val="en-US" w:eastAsia="zh-CN"/>
        </w:rPr>
      </w:pPr>
      <w:r>
        <w:rPr>
          <w:rFonts w:hint="default" w:ascii="Times New Roman" w:hAnsi="Times New Roman" w:cs="Times New Roman"/>
          <w:bCs/>
          <w:sz w:val="24"/>
        </w:rPr>
        <w:t>表2.4-</w:t>
      </w:r>
      <w:r>
        <w:rPr>
          <w:rFonts w:hint="default" w:ascii="Times New Roman" w:hAnsi="Times New Roman" w:cs="Times New Roman"/>
          <w:bCs/>
          <w:sz w:val="24"/>
          <w:lang w:val="en-US" w:eastAsia="zh-CN"/>
        </w:rPr>
        <w:t>4</w:t>
      </w:r>
      <w:r>
        <w:rPr>
          <w:rFonts w:hint="default" w:ascii="Times New Roman" w:hAnsi="Times New Roman" w:cs="Times New Roman"/>
          <w:bCs/>
          <w:sz w:val="24"/>
        </w:rPr>
        <w:t xml:space="preserve">  采剥工艺参数</w:t>
      </w:r>
      <w:r>
        <w:rPr>
          <w:rFonts w:hint="default" w:ascii="Times New Roman" w:hAnsi="Times New Roman" w:cs="Times New Roman"/>
          <w:bCs/>
          <w:sz w:val="24"/>
          <w:lang w:val="en-US" w:eastAsia="zh-CN"/>
        </w:rPr>
        <w:t>表</w:t>
      </w:r>
    </w:p>
    <w:tbl>
      <w:tblPr>
        <w:tblStyle w:val="3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89"/>
        <w:gridCol w:w="5290"/>
        <w:gridCol w:w="1290"/>
        <w:gridCol w:w="1530"/>
      </w:tblGrid>
      <w:tr w14:paraId="414977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blHeader/>
          <w:jc w:val="center"/>
        </w:trPr>
        <w:tc>
          <w:tcPr>
            <w:tcW w:w="686" w:type="pct"/>
            <w:vAlign w:val="center"/>
          </w:tcPr>
          <w:p w14:paraId="0CAAAEAA">
            <w:pPr>
              <w:widowControl w:val="0"/>
              <w:adjustRightInd w:val="0"/>
              <w:snapToGrid w:val="0"/>
              <w:spacing w:line="240" w:lineRule="auto"/>
              <w:ind w:firstLine="0" w:firstLineChars="0"/>
              <w:jc w:val="center"/>
              <w:rPr>
                <w:rFonts w:hint="default" w:ascii="Times New Roman" w:hAnsi="Times New Roman" w:eastAsia="宋体" w:cs="Times New Roman"/>
                <w:b/>
                <w:bCs/>
                <w:color w:val="000000"/>
                <w:kern w:val="2"/>
                <w:sz w:val="24"/>
                <w:szCs w:val="21"/>
                <w:lang w:val="en-US" w:eastAsia="zh-CN" w:bidi="ar-SA"/>
              </w:rPr>
            </w:pPr>
            <w:bookmarkStart w:id="295" w:name="_Hlk167709238"/>
            <w:r>
              <w:rPr>
                <w:rFonts w:hint="default" w:ascii="Times New Roman" w:hAnsi="Times New Roman" w:eastAsia="宋体" w:cs="Times New Roman"/>
                <w:b/>
                <w:bCs/>
                <w:color w:val="000000"/>
                <w:kern w:val="2"/>
                <w:sz w:val="24"/>
                <w:szCs w:val="21"/>
                <w:lang w:val="en-US" w:eastAsia="zh-CN" w:bidi="ar-SA"/>
              </w:rPr>
              <w:t>序号</w:t>
            </w:r>
          </w:p>
        </w:tc>
        <w:tc>
          <w:tcPr>
            <w:tcW w:w="2814" w:type="pct"/>
            <w:vAlign w:val="center"/>
          </w:tcPr>
          <w:p w14:paraId="522AB67B">
            <w:pPr>
              <w:widowControl w:val="0"/>
              <w:adjustRightInd w:val="0"/>
              <w:snapToGrid w:val="0"/>
              <w:spacing w:line="240" w:lineRule="auto"/>
              <w:ind w:firstLine="0" w:firstLineChars="0"/>
              <w:jc w:val="center"/>
              <w:rPr>
                <w:rFonts w:hint="default" w:ascii="Times New Roman" w:hAnsi="Times New Roman" w:eastAsia="宋体" w:cs="Times New Roman"/>
                <w:b/>
                <w:bCs/>
                <w:color w:val="000000"/>
                <w:kern w:val="2"/>
                <w:sz w:val="24"/>
                <w:szCs w:val="21"/>
                <w:lang w:val="en-US" w:eastAsia="zh-CN" w:bidi="ar-SA"/>
              </w:rPr>
            </w:pPr>
            <w:r>
              <w:rPr>
                <w:rFonts w:hint="default" w:ascii="Times New Roman" w:hAnsi="Times New Roman" w:eastAsia="宋体" w:cs="Times New Roman"/>
                <w:b/>
                <w:bCs/>
                <w:color w:val="000000"/>
                <w:kern w:val="2"/>
                <w:sz w:val="24"/>
                <w:szCs w:val="21"/>
                <w:lang w:val="en-US" w:eastAsia="zh-CN" w:bidi="ar-SA"/>
              </w:rPr>
              <w:t>项目</w:t>
            </w:r>
          </w:p>
        </w:tc>
        <w:tc>
          <w:tcPr>
            <w:tcW w:w="686" w:type="pct"/>
            <w:vAlign w:val="center"/>
          </w:tcPr>
          <w:p w14:paraId="16F761CC">
            <w:pPr>
              <w:widowControl w:val="0"/>
              <w:adjustRightInd w:val="0"/>
              <w:snapToGrid w:val="0"/>
              <w:spacing w:line="240" w:lineRule="auto"/>
              <w:ind w:firstLine="0" w:firstLineChars="0"/>
              <w:jc w:val="center"/>
              <w:rPr>
                <w:rFonts w:hint="default" w:ascii="Times New Roman" w:hAnsi="Times New Roman" w:eastAsia="宋体" w:cs="Times New Roman"/>
                <w:b/>
                <w:bCs/>
                <w:color w:val="000000"/>
                <w:kern w:val="2"/>
                <w:sz w:val="24"/>
                <w:szCs w:val="21"/>
                <w:lang w:val="en-US" w:eastAsia="zh-CN" w:bidi="ar-SA"/>
              </w:rPr>
            </w:pPr>
            <w:r>
              <w:rPr>
                <w:rFonts w:hint="default" w:ascii="Times New Roman" w:hAnsi="Times New Roman" w:eastAsia="宋体" w:cs="Times New Roman"/>
                <w:b/>
                <w:bCs/>
                <w:color w:val="000000"/>
                <w:kern w:val="2"/>
                <w:sz w:val="24"/>
                <w:szCs w:val="21"/>
                <w:lang w:val="en-US" w:eastAsia="zh-CN" w:bidi="ar-SA"/>
              </w:rPr>
              <w:t>单位</w:t>
            </w:r>
          </w:p>
        </w:tc>
        <w:tc>
          <w:tcPr>
            <w:tcW w:w="814" w:type="pct"/>
            <w:vAlign w:val="center"/>
          </w:tcPr>
          <w:p w14:paraId="30961AB0">
            <w:pPr>
              <w:widowControl w:val="0"/>
              <w:adjustRightInd w:val="0"/>
              <w:snapToGrid w:val="0"/>
              <w:spacing w:line="240" w:lineRule="auto"/>
              <w:ind w:firstLine="0" w:firstLineChars="0"/>
              <w:jc w:val="center"/>
              <w:rPr>
                <w:rFonts w:hint="default" w:ascii="Times New Roman" w:hAnsi="Times New Roman" w:eastAsia="宋体" w:cs="Times New Roman"/>
                <w:b/>
                <w:bCs/>
                <w:color w:val="000000"/>
                <w:kern w:val="2"/>
                <w:sz w:val="24"/>
                <w:szCs w:val="21"/>
                <w:lang w:val="en-US" w:eastAsia="zh-CN" w:bidi="ar-SA"/>
              </w:rPr>
            </w:pPr>
            <w:r>
              <w:rPr>
                <w:rFonts w:hint="default" w:ascii="Times New Roman" w:hAnsi="Times New Roman" w:eastAsia="宋体" w:cs="Times New Roman"/>
                <w:b/>
                <w:bCs/>
                <w:color w:val="000000"/>
                <w:kern w:val="2"/>
                <w:sz w:val="24"/>
                <w:szCs w:val="21"/>
                <w:lang w:val="en-US" w:eastAsia="zh-CN" w:bidi="ar-SA"/>
              </w:rPr>
              <w:t>取值</w:t>
            </w:r>
          </w:p>
        </w:tc>
      </w:tr>
      <w:tr w14:paraId="1C82C0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6" w:type="pct"/>
            <w:vAlign w:val="center"/>
          </w:tcPr>
          <w:p w14:paraId="7D5FC940">
            <w:pPr>
              <w:widowControl w:val="0"/>
              <w:adjustRightInd w:val="0"/>
              <w:snapToGrid w:val="0"/>
              <w:spacing w:line="240" w:lineRule="auto"/>
              <w:ind w:firstLine="0" w:firstLineChars="0"/>
              <w:jc w:val="center"/>
              <w:rPr>
                <w:rFonts w:hint="default" w:ascii="Times New Roman" w:hAnsi="Times New Roman" w:eastAsia="宋体" w:cs="Times New Roman"/>
                <w:b w:val="0"/>
                <w:color w:val="000000"/>
                <w:kern w:val="2"/>
                <w:sz w:val="24"/>
                <w:szCs w:val="21"/>
                <w:lang w:val="en-US" w:eastAsia="zh-CN" w:bidi="ar-SA"/>
              </w:rPr>
            </w:pPr>
            <w:r>
              <w:rPr>
                <w:rFonts w:hint="default" w:ascii="Times New Roman" w:hAnsi="Times New Roman" w:eastAsia="宋体" w:cs="Times New Roman"/>
                <w:b w:val="0"/>
                <w:color w:val="000000"/>
                <w:kern w:val="2"/>
                <w:sz w:val="24"/>
                <w:szCs w:val="21"/>
                <w:lang w:val="en-US" w:eastAsia="zh-CN" w:bidi="ar-SA"/>
              </w:rPr>
              <w:t>1</w:t>
            </w:r>
          </w:p>
        </w:tc>
        <w:tc>
          <w:tcPr>
            <w:tcW w:w="5290" w:type="dxa"/>
            <w:vAlign w:val="center"/>
          </w:tcPr>
          <w:p w14:paraId="15B7A393">
            <w:pPr>
              <w:widowControl w:val="0"/>
              <w:adjustRightInd w:val="0"/>
              <w:snapToGrid w:val="0"/>
              <w:spacing w:line="240" w:lineRule="auto"/>
              <w:ind w:firstLine="0" w:firstLineChars="0"/>
              <w:jc w:val="center"/>
              <w:rPr>
                <w:rFonts w:hint="default" w:ascii="Times New Roman" w:hAnsi="Times New Roman" w:eastAsia="宋体" w:cs="Times New Roman"/>
                <w:b w:val="0"/>
                <w:color w:val="000000"/>
                <w:kern w:val="2"/>
                <w:sz w:val="24"/>
                <w:szCs w:val="21"/>
                <w:lang w:val="en-US" w:eastAsia="zh-CN" w:bidi="ar-SA"/>
              </w:rPr>
            </w:pPr>
            <w:r>
              <w:rPr>
                <w:rFonts w:hint="default" w:ascii="Times New Roman" w:hAnsi="Times New Roman" w:eastAsia="宋体" w:cs="Times New Roman"/>
                <w:b w:val="0"/>
                <w:color w:val="000000"/>
                <w:kern w:val="2"/>
                <w:sz w:val="24"/>
                <w:szCs w:val="21"/>
                <w:lang w:val="en-US" w:eastAsia="zh-CN" w:bidi="ar-SA"/>
              </w:rPr>
              <w:t>作业台阶高度</w:t>
            </w:r>
          </w:p>
        </w:tc>
        <w:tc>
          <w:tcPr>
            <w:tcW w:w="1290" w:type="dxa"/>
            <w:vAlign w:val="center"/>
          </w:tcPr>
          <w:p w14:paraId="6E80A3E7">
            <w:pPr>
              <w:widowControl w:val="0"/>
              <w:adjustRightInd w:val="0"/>
              <w:snapToGrid w:val="0"/>
              <w:spacing w:line="240" w:lineRule="auto"/>
              <w:ind w:firstLine="0" w:firstLineChars="0"/>
              <w:jc w:val="center"/>
              <w:rPr>
                <w:rFonts w:hint="default" w:ascii="Times New Roman" w:hAnsi="Times New Roman" w:eastAsia="宋体" w:cs="Times New Roman"/>
                <w:b w:val="0"/>
                <w:color w:val="000000"/>
                <w:kern w:val="2"/>
                <w:sz w:val="24"/>
                <w:szCs w:val="21"/>
                <w:lang w:val="en-US" w:eastAsia="zh-CN" w:bidi="ar-SA"/>
              </w:rPr>
            </w:pPr>
            <w:r>
              <w:rPr>
                <w:rFonts w:hint="default" w:ascii="Times New Roman" w:hAnsi="Times New Roman" w:eastAsia="宋体" w:cs="Times New Roman"/>
                <w:b w:val="0"/>
                <w:color w:val="000000"/>
                <w:kern w:val="2"/>
                <w:sz w:val="24"/>
                <w:szCs w:val="21"/>
                <w:lang w:val="en-US" w:eastAsia="zh-CN" w:bidi="ar-SA"/>
              </w:rPr>
              <w:t>m</w:t>
            </w:r>
          </w:p>
        </w:tc>
        <w:tc>
          <w:tcPr>
            <w:tcW w:w="1530" w:type="dxa"/>
            <w:vAlign w:val="center"/>
          </w:tcPr>
          <w:p w14:paraId="5B89FE9B">
            <w:pPr>
              <w:widowControl w:val="0"/>
              <w:adjustRightInd w:val="0"/>
              <w:snapToGrid w:val="0"/>
              <w:spacing w:line="240" w:lineRule="auto"/>
              <w:ind w:firstLine="0" w:firstLineChars="0"/>
              <w:jc w:val="center"/>
              <w:rPr>
                <w:rFonts w:hint="default" w:ascii="Times New Roman" w:hAnsi="Times New Roman" w:eastAsia="宋体" w:cs="Times New Roman"/>
                <w:b w:val="0"/>
                <w:color w:val="000000"/>
                <w:kern w:val="2"/>
                <w:sz w:val="24"/>
                <w:szCs w:val="21"/>
                <w:lang w:val="en-US" w:eastAsia="zh-CN" w:bidi="ar-SA"/>
              </w:rPr>
            </w:pPr>
            <w:r>
              <w:rPr>
                <w:rFonts w:hint="default" w:ascii="Times New Roman" w:hAnsi="Times New Roman" w:eastAsia="宋体" w:cs="Times New Roman"/>
                <w:b w:val="0"/>
                <w:color w:val="000000"/>
                <w:kern w:val="2"/>
                <w:sz w:val="24"/>
                <w:szCs w:val="21"/>
                <w:lang w:val="en-US" w:eastAsia="zh-CN" w:bidi="ar-SA"/>
              </w:rPr>
              <w:t>8</w:t>
            </w:r>
          </w:p>
        </w:tc>
      </w:tr>
      <w:tr w14:paraId="3FCBAD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6" w:type="pct"/>
            <w:vAlign w:val="center"/>
          </w:tcPr>
          <w:p w14:paraId="07A548E1">
            <w:pPr>
              <w:widowControl w:val="0"/>
              <w:adjustRightInd w:val="0"/>
              <w:snapToGrid w:val="0"/>
              <w:spacing w:line="240" w:lineRule="auto"/>
              <w:ind w:firstLine="0" w:firstLineChars="0"/>
              <w:jc w:val="center"/>
              <w:rPr>
                <w:rFonts w:hint="default" w:ascii="Times New Roman" w:hAnsi="Times New Roman" w:eastAsia="宋体" w:cs="Times New Roman"/>
                <w:b w:val="0"/>
                <w:color w:val="000000"/>
                <w:kern w:val="2"/>
                <w:sz w:val="24"/>
                <w:szCs w:val="21"/>
                <w:lang w:val="en-US" w:eastAsia="zh-CN" w:bidi="ar-SA"/>
              </w:rPr>
            </w:pPr>
            <w:r>
              <w:rPr>
                <w:rFonts w:hint="default" w:ascii="Times New Roman" w:hAnsi="Times New Roman" w:eastAsia="宋体" w:cs="Times New Roman"/>
                <w:b w:val="0"/>
                <w:color w:val="000000"/>
                <w:kern w:val="2"/>
                <w:sz w:val="24"/>
                <w:szCs w:val="21"/>
                <w:lang w:val="en-US" w:eastAsia="zh-CN" w:bidi="ar-SA"/>
              </w:rPr>
              <w:t>2</w:t>
            </w:r>
          </w:p>
        </w:tc>
        <w:tc>
          <w:tcPr>
            <w:tcW w:w="5290" w:type="dxa"/>
            <w:vAlign w:val="center"/>
          </w:tcPr>
          <w:p w14:paraId="28F92B7B">
            <w:pPr>
              <w:widowControl w:val="0"/>
              <w:adjustRightInd w:val="0"/>
              <w:snapToGrid w:val="0"/>
              <w:spacing w:line="240" w:lineRule="auto"/>
              <w:ind w:firstLine="0" w:firstLineChars="0"/>
              <w:jc w:val="center"/>
              <w:rPr>
                <w:rFonts w:hint="default" w:ascii="Times New Roman" w:hAnsi="Times New Roman" w:eastAsia="宋体" w:cs="Times New Roman"/>
                <w:b w:val="0"/>
                <w:color w:val="000000"/>
                <w:kern w:val="2"/>
                <w:sz w:val="24"/>
                <w:szCs w:val="21"/>
                <w:lang w:val="en-US" w:eastAsia="zh-CN" w:bidi="ar-SA"/>
              </w:rPr>
            </w:pPr>
            <w:r>
              <w:rPr>
                <w:rFonts w:hint="default" w:ascii="Times New Roman" w:hAnsi="Times New Roman" w:eastAsia="宋体" w:cs="Times New Roman"/>
                <w:b w:val="0"/>
                <w:color w:val="000000"/>
                <w:kern w:val="2"/>
                <w:sz w:val="24"/>
                <w:szCs w:val="21"/>
                <w:lang w:val="en-US" w:eastAsia="zh-CN" w:bidi="ar-SA"/>
              </w:rPr>
              <w:t>最小作业平台宽度</w:t>
            </w:r>
          </w:p>
        </w:tc>
        <w:tc>
          <w:tcPr>
            <w:tcW w:w="1290" w:type="dxa"/>
            <w:vAlign w:val="center"/>
          </w:tcPr>
          <w:p w14:paraId="3191E996">
            <w:pPr>
              <w:widowControl w:val="0"/>
              <w:adjustRightInd w:val="0"/>
              <w:snapToGrid w:val="0"/>
              <w:spacing w:line="240" w:lineRule="auto"/>
              <w:ind w:firstLine="0" w:firstLineChars="0"/>
              <w:jc w:val="center"/>
              <w:rPr>
                <w:rFonts w:hint="default" w:ascii="Times New Roman" w:hAnsi="Times New Roman" w:eastAsia="宋体" w:cs="Times New Roman"/>
                <w:b w:val="0"/>
                <w:color w:val="000000"/>
                <w:kern w:val="2"/>
                <w:sz w:val="24"/>
                <w:szCs w:val="21"/>
                <w:lang w:val="en-US" w:eastAsia="zh-CN" w:bidi="ar-SA"/>
              </w:rPr>
            </w:pPr>
            <w:r>
              <w:rPr>
                <w:rFonts w:hint="default" w:ascii="Times New Roman" w:hAnsi="Times New Roman" w:eastAsia="宋体" w:cs="Times New Roman"/>
                <w:b w:val="0"/>
                <w:color w:val="000000"/>
                <w:kern w:val="2"/>
                <w:sz w:val="24"/>
                <w:szCs w:val="21"/>
                <w:lang w:val="en-US" w:eastAsia="zh-CN" w:bidi="ar-SA"/>
              </w:rPr>
              <w:t>m</w:t>
            </w:r>
          </w:p>
        </w:tc>
        <w:tc>
          <w:tcPr>
            <w:tcW w:w="1530" w:type="dxa"/>
            <w:vAlign w:val="center"/>
          </w:tcPr>
          <w:p w14:paraId="6A0E2B0A">
            <w:pPr>
              <w:widowControl w:val="0"/>
              <w:adjustRightInd w:val="0"/>
              <w:snapToGrid w:val="0"/>
              <w:spacing w:line="240" w:lineRule="auto"/>
              <w:ind w:firstLine="0" w:firstLineChars="0"/>
              <w:jc w:val="center"/>
              <w:rPr>
                <w:rFonts w:hint="default" w:ascii="Times New Roman" w:hAnsi="Times New Roman" w:eastAsia="宋体" w:cs="Times New Roman"/>
                <w:b w:val="0"/>
                <w:color w:val="000000"/>
                <w:kern w:val="2"/>
                <w:sz w:val="24"/>
                <w:szCs w:val="21"/>
                <w:lang w:val="en-US" w:eastAsia="zh-CN" w:bidi="ar-SA"/>
              </w:rPr>
            </w:pPr>
            <w:r>
              <w:rPr>
                <w:rFonts w:hint="default" w:ascii="Times New Roman" w:hAnsi="Times New Roman" w:eastAsia="宋体" w:cs="Times New Roman"/>
                <w:b w:val="0"/>
                <w:color w:val="000000"/>
                <w:kern w:val="2"/>
                <w:sz w:val="24"/>
                <w:szCs w:val="21"/>
                <w:lang w:val="en-US" w:eastAsia="zh-CN" w:bidi="ar-SA"/>
              </w:rPr>
              <w:t>22</w:t>
            </w:r>
          </w:p>
        </w:tc>
      </w:tr>
      <w:tr w14:paraId="19759A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6" w:type="pct"/>
            <w:vAlign w:val="center"/>
          </w:tcPr>
          <w:p w14:paraId="40B8178A">
            <w:pPr>
              <w:widowControl w:val="0"/>
              <w:adjustRightInd w:val="0"/>
              <w:snapToGrid w:val="0"/>
              <w:spacing w:line="240" w:lineRule="auto"/>
              <w:ind w:firstLine="0" w:firstLineChars="0"/>
              <w:jc w:val="center"/>
              <w:rPr>
                <w:rFonts w:hint="default" w:ascii="Times New Roman" w:hAnsi="Times New Roman" w:eastAsia="宋体" w:cs="Times New Roman"/>
                <w:b w:val="0"/>
                <w:color w:val="000000"/>
                <w:kern w:val="2"/>
                <w:sz w:val="24"/>
                <w:szCs w:val="21"/>
                <w:lang w:val="en-US" w:eastAsia="zh-CN" w:bidi="ar-SA"/>
              </w:rPr>
            </w:pPr>
            <w:r>
              <w:rPr>
                <w:rFonts w:hint="default" w:ascii="Times New Roman" w:hAnsi="Times New Roman" w:eastAsia="宋体" w:cs="Times New Roman"/>
                <w:b w:val="0"/>
                <w:color w:val="000000"/>
                <w:kern w:val="2"/>
                <w:sz w:val="24"/>
                <w:szCs w:val="21"/>
                <w:lang w:val="en-US" w:eastAsia="zh-CN" w:bidi="ar-SA"/>
              </w:rPr>
              <w:t>3</w:t>
            </w:r>
          </w:p>
        </w:tc>
        <w:tc>
          <w:tcPr>
            <w:tcW w:w="5290" w:type="dxa"/>
            <w:vAlign w:val="center"/>
          </w:tcPr>
          <w:p w14:paraId="7475E8E5">
            <w:pPr>
              <w:widowControl w:val="0"/>
              <w:adjustRightInd w:val="0"/>
              <w:snapToGrid w:val="0"/>
              <w:spacing w:line="240" w:lineRule="auto"/>
              <w:ind w:firstLine="0" w:firstLineChars="0"/>
              <w:jc w:val="center"/>
              <w:rPr>
                <w:rFonts w:hint="default" w:ascii="Times New Roman" w:hAnsi="Times New Roman" w:eastAsia="宋体" w:cs="Times New Roman"/>
                <w:b w:val="0"/>
                <w:color w:val="000000"/>
                <w:kern w:val="2"/>
                <w:sz w:val="24"/>
                <w:szCs w:val="21"/>
                <w:lang w:val="en-US" w:eastAsia="zh-CN" w:bidi="ar-SA"/>
              </w:rPr>
            </w:pPr>
            <w:r>
              <w:rPr>
                <w:rFonts w:hint="default" w:ascii="Times New Roman" w:hAnsi="Times New Roman" w:eastAsia="宋体" w:cs="Times New Roman"/>
                <w:b w:val="0"/>
                <w:color w:val="000000"/>
                <w:kern w:val="2"/>
                <w:sz w:val="24"/>
                <w:szCs w:val="21"/>
                <w:lang w:val="en-US" w:eastAsia="zh-CN" w:bidi="ar-SA"/>
              </w:rPr>
              <w:t>正常生产时工作平台宽度</w:t>
            </w:r>
          </w:p>
        </w:tc>
        <w:tc>
          <w:tcPr>
            <w:tcW w:w="1290" w:type="dxa"/>
            <w:vAlign w:val="center"/>
          </w:tcPr>
          <w:p w14:paraId="1965A9B7">
            <w:pPr>
              <w:widowControl w:val="0"/>
              <w:adjustRightInd w:val="0"/>
              <w:snapToGrid w:val="0"/>
              <w:spacing w:line="240" w:lineRule="auto"/>
              <w:ind w:firstLine="0" w:firstLineChars="0"/>
              <w:jc w:val="center"/>
              <w:rPr>
                <w:rFonts w:hint="default" w:ascii="Times New Roman" w:hAnsi="Times New Roman" w:eastAsia="宋体" w:cs="Times New Roman"/>
                <w:b w:val="0"/>
                <w:color w:val="000000"/>
                <w:kern w:val="2"/>
                <w:sz w:val="24"/>
                <w:szCs w:val="21"/>
                <w:lang w:val="en-US" w:eastAsia="zh-CN" w:bidi="ar-SA"/>
              </w:rPr>
            </w:pPr>
            <w:r>
              <w:rPr>
                <w:rFonts w:hint="default" w:ascii="Times New Roman" w:hAnsi="Times New Roman" w:eastAsia="宋体" w:cs="Times New Roman"/>
                <w:b w:val="0"/>
                <w:color w:val="000000"/>
                <w:kern w:val="2"/>
                <w:sz w:val="24"/>
                <w:szCs w:val="21"/>
                <w:lang w:val="en-US" w:eastAsia="zh-CN" w:bidi="ar-SA"/>
              </w:rPr>
              <w:t>m</w:t>
            </w:r>
          </w:p>
        </w:tc>
        <w:tc>
          <w:tcPr>
            <w:tcW w:w="1530" w:type="dxa"/>
            <w:vAlign w:val="center"/>
          </w:tcPr>
          <w:p w14:paraId="70D64805">
            <w:pPr>
              <w:widowControl w:val="0"/>
              <w:adjustRightInd w:val="0"/>
              <w:snapToGrid w:val="0"/>
              <w:spacing w:line="240" w:lineRule="auto"/>
              <w:ind w:firstLine="0" w:firstLineChars="0"/>
              <w:jc w:val="center"/>
              <w:rPr>
                <w:rFonts w:hint="default" w:ascii="Times New Roman" w:hAnsi="Times New Roman" w:eastAsia="宋体" w:cs="Times New Roman"/>
                <w:b w:val="0"/>
                <w:color w:val="000000"/>
                <w:kern w:val="2"/>
                <w:sz w:val="24"/>
                <w:szCs w:val="21"/>
                <w:lang w:val="en-US" w:eastAsia="zh-CN" w:bidi="ar-SA"/>
              </w:rPr>
            </w:pPr>
            <w:r>
              <w:rPr>
                <w:rFonts w:hint="default" w:ascii="Times New Roman" w:hAnsi="Times New Roman" w:eastAsia="宋体" w:cs="Times New Roman"/>
                <w:b w:val="0"/>
                <w:color w:val="000000"/>
                <w:kern w:val="2"/>
                <w:sz w:val="24"/>
                <w:szCs w:val="21"/>
                <w:lang w:val="en-US" w:eastAsia="zh-CN" w:bidi="ar-SA"/>
              </w:rPr>
              <w:t>50~60</w:t>
            </w:r>
          </w:p>
        </w:tc>
      </w:tr>
      <w:tr w14:paraId="6FC620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6" w:type="pct"/>
            <w:vAlign w:val="center"/>
          </w:tcPr>
          <w:p w14:paraId="4536CCAE">
            <w:pPr>
              <w:widowControl w:val="0"/>
              <w:adjustRightInd w:val="0"/>
              <w:snapToGrid w:val="0"/>
              <w:spacing w:line="240" w:lineRule="auto"/>
              <w:ind w:firstLine="0" w:firstLineChars="0"/>
              <w:jc w:val="center"/>
              <w:rPr>
                <w:rFonts w:hint="default" w:ascii="Times New Roman" w:hAnsi="Times New Roman" w:eastAsia="宋体" w:cs="Times New Roman"/>
                <w:b w:val="0"/>
                <w:color w:val="000000"/>
                <w:kern w:val="2"/>
                <w:sz w:val="24"/>
                <w:szCs w:val="21"/>
                <w:lang w:val="en-US" w:eastAsia="zh-CN" w:bidi="ar-SA"/>
              </w:rPr>
            </w:pPr>
            <w:r>
              <w:rPr>
                <w:rFonts w:hint="default" w:ascii="Times New Roman" w:hAnsi="Times New Roman" w:eastAsia="宋体" w:cs="Times New Roman"/>
                <w:b w:val="0"/>
                <w:color w:val="000000"/>
                <w:kern w:val="2"/>
                <w:sz w:val="24"/>
                <w:szCs w:val="21"/>
                <w:lang w:val="en-US" w:eastAsia="zh-CN" w:bidi="ar-SA"/>
              </w:rPr>
              <w:t>4</w:t>
            </w:r>
          </w:p>
        </w:tc>
        <w:tc>
          <w:tcPr>
            <w:tcW w:w="5290" w:type="dxa"/>
            <w:vAlign w:val="center"/>
          </w:tcPr>
          <w:p w14:paraId="06CACCC8">
            <w:pPr>
              <w:widowControl w:val="0"/>
              <w:adjustRightInd w:val="0"/>
              <w:snapToGrid w:val="0"/>
              <w:spacing w:line="240" w:lineRule="auto"/>
              <w:ind w:firstLine="0" w:firstLineChars="0"/>
              <w:jc w:val="center"/>
              <w:rPr>
                <w:rFonts w:hint="default" w:ascii="Times New Roman" w:hAnsi="Times New Roman" w:eastAsia="宋体" w:cs="Times New Roman"/>
                <w:b w:val="0"/>
                <w:color w:val="000000"/>
                <w:kern w:val="2"/>
                <w:sz w:val="24"/>
                <w:szCs w:val="21"/>
                <w:lang w:val="en-US" w:eastAsia="zh-CN" w:bidi="ar-SA"/>
              </w:rPr>
            </w:pPr>
            <w:r>
              <w:rPr>
                <w:rFonts w:hint="default" w:ascii="Times New Roman" w:hAnsi="Times New Roman" w:eastAsia="宋体" w:cs="Times New Roman"/>
                <w:b w:val="0"/>
                <w:color w:val="000000"/>
                <w:kern w:val="2"/>
                <w:sz w:val="24"/>
                <w:szCs w:val="21"/>
                <w:lang w:val="en-US" w:eastAsia="zh-CN" w:bidi="ar-SA"/>
              </w:rPr>
              <w:t>工作台阶坡面角</w:t>
            </w:r>
          </w:p>
        </w:tc>
        <w:tc>
          <w:tcPr>
            <w:tcW w:w="1290" w:type="dxa"/>
            <w:vAlign w:val="center"/>
          </w:tcPr>
          <w:p w14:paraId="68C79D19">
            <w:pPr>
              <w:widowControl w:val="0"/>
              <w:adjustRightInd w:val="0"/>
              <w:snapToGrid w:val="0"/>
              <w:spacing w:line="240" w:lineRule="auto"/>
              <w:ind w:firstLine="0" w:firstLineChars="0"/>
              <w:jc w:val="center"/>
              <w:rPr>
                <w:rFonts w:hint="default" w:ascii="Times New Roman" w:hAnsi="Times New Roman" w:eastAsia="宋体" w:cs="Times New Roman"/>
                <w:b w:val="0"/>
                <w:color w:val="000000"/>
                <w:kern w:val="2"/>
                <w:sz w:val="24"/>
                <w:szCs w:val="21"/>
                <w:lang w:val="en-US" w:eastAsia="zh-CN" w:bidi="ar-SA"/>
              </w:rPr>
            </w:pPr>
            <w:r>
              <w:rPr>
                <w:rFonts w:hint="default" w:ascii="Times New Roman" w:hAnsi="Times New Roman" w:eastAsia="宋体" w:cs="Times New Roman"/>
                <w:b w:val="0"/>
                <w:color w:val="000000"/>
                <w:kern w:val="2"/>
                <w:sz w:val="24"/>
                <w:szCs w:val="21"/>
                <w:lang w:val="en-US" w:eastAsia="zh-CN" w:bidi="ar-SA"/>
              </w:rPr>
              <w:t>°</w:t>
            </w:r>
          </w:p>
        </w:tc>
        <w:tc>
          <w:tcPr>
            <w:tcW w:w="1530" w:type="dxa"/>
            <w:vAlign w:val="center"/>
          </w:tcPr>
          <w:p w14:paraId="5007E85F">
            <w:pPr>
              <w:widowControl w:val="0"/>
              <w:adjustRightInd w:val="0"/>
              <w:snapToGrid w:val="0"/>
              <w:spacing w:line="240" w:lineRule="auto"/>
              <w:ind w:firstLine="0" w:firstLineChars="0"/>
              <w:jc w:val="center"/>
              <w:rPr>
                <w:rFonts w:hint="default" w:ascii="Times New Roman" w:hAnsi="Times New Roman" w:eastAsia="宋体" w:cs="Times New Roman"/>
                <w:b w:val="0"/>
                <w:color w:val="000000"/>
                <w:kern w:val="2"/>
                <w:sz w:val="24"/>
                <w:szCs w:val="21"/>
                <w:lang w:val="en-US" w:eastAsia="zh-CN" w:bidi="ar-SA"/>
              </w:rPr>
            </w:pPr>
            <w:r>
              <w:rPr>
                <w:rFonts w:hint="default" w:ascii="Times New Roman" w:hAnsi="Times New Roman" w:eastAsia="宋体" w:cs="Times New Roman"/>
                <w:b w:val="0"/>
                <w:color w:val="000000"/>
                <w:kern w:val="2"/>
                <w:sz w:val="24"/>
                <w:szCs w:val="21"/>
                <w:lang w:val="en-US" w:eastAsia="zh-CN" w:bidi="ar-SA"/>
              </w:rPr>
              <w:t>50</w:t>
            </w:r>
          </w:p>
        </w:tc>
      </w:tr>
      <w:tr w14:paraId="27433D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6" w:type="pct"/>
            <w:vAlign w:val="center"/>
          </w:tcPr>
          <w:p w14:paraId="0000A186">
            <w:pPr>
              <w:widowControl w:val="0"/>
              <w:adjustRightInd w:val="0"/>
              <w:snapToGrid w:val="0"/>
              <w:spacing w:line="240" w:lineRule="auto"/>
              <w:ind w:firstLine="0" w:firstLineChars="0"/>
              <w:jc w:val="center"/>
              <w:rPr>
                <w:rFonts w:hint="default" w:ascii="Times New Roman" w:hAnsi="Times New Roman" w:eastAsia="宋体" w:cs="Times New Roman"/>
                <w:b w:val="0"/>
                <w:color w:val="000000"/>
                <w:kern w:val="2"/>
                <w:sz w:val="24"/>
                <w:szCs w:val="21"/>
                <w:lang w:val="en-US" w:eastAsia="zh-CN" w:bidi="ar-SA"/>
              </w:rPr>
            </w:pPr>
            <w:r>
              <w:rPr>
                <w:rFonts w:hint="default" w:ascii="Times New Roman" w:hAnsi="Times New Roman" w:eastAsia="宋体" w:cs="Times New Roman"/>
                <w:b w:val="0"/>
                <w:color w:val="000000"/>
                <w:kern w:val="2"/>
                <w:sz w:val="24"/>
                <w:szCs w:val="21"/>
                <w:lang w:val="en-US" w:eastAsia="zh-CN" w:bidi="ar-SA"/>
              </w:rPr>
              <w:t>5</w:t>
            </w:r>
          </w:p>
        </w:tc>
        <w:tc>
          <w:tcPr>
            <w:tcW w:w="5290" w:type="dxa"/>
            <w:vAlign w:val="center"/>
          </w:tcPr>
          <w:p w14:paraId="400A828E">
            <w:pPr>
              <w:widowControl w:val="0"/>
              <w:adjustRightInd w:val="0"/>
              <w:snapToGrid w:val="0"/>
              <w:spacing w:line="240" w:lineRule="auto"/>
              <w:ind w:firstLine="0" w:firstLineChars="0"/>
              <w:jc w:val="center"/>
              <w:rPr>
                <w:rFonts w:hint="default" w:ascii="Times New Roman" w:hAnsi="Times New Roman" w:eastAsia="宋体" w:cs="Times New Roman"/>
                <w:b w:val="0"/>
                <w:color w:val="000000"/>
                <w:kern w:val="2"/>
                <w:sz w:val="24"/>
                <w:szCs w:val="21"/>
                <w:lang w:val="en-US" w:eastAsia="zh-CN" w:bidi="ar-SA"/>
              </w:rPr>
            </w:pPr>
            <w:r>
              <w:rPr>
                <w:rFonts w:hint="default" w:ascii="Times New Roman" w:hAnsi="Times New Roman" w:eastAsia="宋体" w:cs="Times New Roman"/>
                <w:b w:val="0"/>
                <w:color w:val="000000"/>
                <w:kern w:val="2"/>
                <w:sz w:val="24"/>
                <w:szCs w:val="21"/>
                <w:lang w:val="en-US" w:eastAsia="zh-CN" w:bidi="ar-SA"/>
              </w:rPr>
              <w:t>最小工作线长度</w:t>
            </w:r>
          </w:p>
        </w:tc>
        <w:tc>
          <w:tcPr>
            <w:tcW w:w="1290" w:type="dxa"/>
            <w:vAlign w:val="center"/>
          </w:tcPr>
          <w:p w14:paraId="5FFBF668">
            <w:pPr>
              <w:widowControl w:val="0"/>
              <w:adjustRightInd w:val="0"/>
              <w:snapToGrid w:val="0"/>
              <w:spacing w:line="240" w:lineRule="auto"/>
              <w:ind w:firstLine="0" w:firstLineChars="0"/>
              <w:jc w:val="center"/>
              <w:rPr>
                <w:rFonts w:hint="default" w:ascii="Times New Roman" w:hAnsi="Times New Roman" w:eastAsia="宋体" w:cs="Times New Roman"/>
                <w:b w:val="0"/>
                <w:color w:val="000000"/>
                <w:kern w:val="2"/>
                <w:sz w:val="24"/>
                <w:szCs w:val="21"/>
                <w:lang w:val="en-US" w:eastAsia="zh-CN" w:bidi="ar-SA"/>
              </w:rPr>
            </w:pPr>
            <w:r>
              <w:rPr>
                <w:rFonts w:hint="default" w:ascii="Times New Roman" w:hAnsi="Times New Roman" w:eastAsia="宋体" w:cs="Times New Roman"/>
                <w:b w:val="0"/>
                <w:color w:val="000000"/>
                <w:kern w:val="2"/>
                <w:sz w:val="24"/>
                <w:szCs w:val="21"/>
                <w:lang w:val="en-US" w:eastAsia="zh-CN" w:bidi="ar-SA"/>
              </w:rPr>
              <w:t>m</w:t>
            </w:r>
          </w:p>
        </w:tc>
        <w:tc>
          <w:tcPr>
            <w:tcW w:w="1530" w:type="dxa"/>
            <w:vAlign w:val="center"/>
          </w:tcPr>
          <w:p w14:paraId="375D2EF2">
            <w:pPr>
              <w:widowControl w:val="0"/>
              <w:adjustRightInd w:val="0"/>
              <w:snapToGrid w:val="0"/>
              <w:spacing w:line="240" w:lineRule="auto"/>
              <w:ind w:firstLine="0" w:firstLineChars="0"/>
              <w:jc w:val="center"/>
              <w:rPr>
                <w:rFonts w:hint="default" w:ascii="Times New Roman" w:hAnsi="Times New Roman" w:eastAsia="宋体" w:cs="Times New Roman"/>
                <w:b w:val="0"/>
                <w:color w:val="000000"/>
                <w:kern w:val="2"/>
                <w:sz w:val="24"/>
                <w:szCs w:val="21"/>
                <w:lang w:val="en-US" w:eastAsia="zh-CN" w:bidi="ar-SA"/>
              </w:rPr>
            </w:pPr>
            <w:r>
              <w:rPr>
                <w:rFonts w:hint="default" w:ascii="Times New Roman" w:hAnsi="Times New Roman" w:eastAsia="宋体" w:cs="Times New Roman"/>
                <w:b w:val="0"/>
                <w:color w:val="000000"/>
                <w:kern w:val="2"/>
                <w:sz w:val="24"/>
                <w:szCs w:val="21"/>
                <w:lang w:val="en-US" w:eastAsia="zh-CN" w:bidi="ar-SA"/>
              </w:rPr>
              <w:t>90</w:t>
            </w:r>
          </w:p>
        </w:tc>
      </w:tr>
      <w:bookmarkEnd w:id="295"/>
    </w:tbl>
    <w:p w14:paraId="2DE5C839">
      <w:pPr>
        <w:pStyle w:val="5"/>
        <w:spacing w:before="0" w:after="0" w:line="360" w:lineRule="auto"/>
        <w:ind w:firstLine="562" w:firstLineChars="200"/>
        <w:rPr>
          <w:rFonts w:hint="default" w:ascii="Times New Roman" w:hAnsi="Times New Roman" w:cs="Times New Roman"/>
        </w:rPr>
      </w:pPr>
      <w:r>
        <w:rPr>
          <w:rFonts w:hint="default" w:ascii="Times New Roman" w:hAnsi="Times New Roman" w:cs="Times New Roman"/>
        </w:rPr>
        <w:t>2.4.6.4露天开采境界</w:t>
      </w:r>
    </w:p>
    <w:p w14:paraId="1AEFA653">
      <w:pPr>
        <w:adjustRightInd w:val="0"/>
        <w:snapToGrid w:val="0"/>
        <w:spacing w:line="360" w:lineRule="auto"/>
        <w:ind w:firstLine="560" w:firstLineChars="200"/>
        <w:rPr>
          <w:rFonts w:hint="default" w:ascii="Times New Roman" w:hAnsi="Times New Roman" w:cs="Times New Roman"/>
          <w:sz w:val="28"/>
          <w:szCs w:val="28"/>
        </w:rPr>
      </w:pPr>
      <w:r>
        <w:rPr>
          <w:rFonts w:hint="default" w:ascii="Times New Roman" w:hAnsi="Times New Roman" w:cs="Times New Roman"/>
          <w:sz w:val="28"/>
          <w:szCs w:val="28"/>
        </w:rPr>
        <w:t>露天开采终了境界主要指标</w:t>
      </w:r>
      <w:r>
        <w:rPr>
          <w:rFonts w:hint="default" w:ascii="Times New Roman" w:hAnsi="Times New Roman" w:cs="Times New Roman"/>
          <w:sz w:val="28"/>
          <w:szCs w:val="28"/>
          <w:lang w:val="en-US" w:eastAsia="zh-CN"/>
        </w:rPr>
        <w:t>见</w:t>
      </w:r>
      <w:r>
        <w:rPr>
          <w:rFonts w:hint="default" w:ascii="Times New Roman" w:hAnsi="Times New Roman" w:cs="Times New Roman"/>
          <w:sz w:val="28"/>
          <w:szCs w:val="28"/>
        </w:rPr>
        <w:t>下表。</w:t>
      </w:r>
    </w:p>
    <w:p w14:paraId="4B7E4BBA">
      <w:pPr>
        <w:keepNext/>
        <w:keepLines/>
        <w:pageBreakBefore w:val="0"/>
        <w:widowControl w:val="0"/>
        <w:kinsoku/>
        <w:wordWrap/>
        <w:overflowPunct/>
        <w:topLinePunct w:val="0"/>
        <w:autoSpaceDE/>
        <w:autoSpaceDN/>
        <w:bidi w:val="0"/>
        <w:adjustRightInd w:val="0"/>
        <w:snapToGrid w:val="0"/>
        <w:ind w:firstLine="480" w:firstLineChars="200"/>
        <w:jc w:val="center"/>
        <w:textAlignment w:val="auto"/>
        <w:rPr>
          <w:rFonts w:hint="default" w:ascii="Times New Roman" w:hAnsi="Times New Roman" w:cs="Times New Roman"/>
          <w:bCs/>
          <w:sz w:val="24"/>
        </w:rPr>
      </w:pPr>
      <w:r>
        <w:rPr>
          <w:rFonts w:hint="default" w:ascii="Times New Roman" w:hAnsi="Times New Roman" w:cs="Times New Roman"/>
          <w:bCs/>
          <w:sz w:val="24"/>
        </w:rPr>
        <w:t>表2.4-</w:t>
      </w:r>
      <w:r>
        <w:rPr>
          <w:rFonts w:hint="default" w:ascii="Times New Roman" w:hAnsi="Times New Roman" w:cs="Times New Roman"/>
          <w:bCs/>
          <w:sz w:val="24"/>
          <w:lang w:val="en-US" w:eastAsia="zh-CN"/>
        </w:rPr>
        <w:t>5</w:t>
      </w:r>
      <w:r>
        <w:rPr>
          <w:rFonts w:hint="default" w:ascii="Times New Roman" w:hAnsi="Times New Roman" w:cs="Times New Roman"/>
          <w:bCs/>
          <w:sz w:val="24"/>
        </w:rPr>
        <w:t xml:space="preserve">  露天开采终了境界主要指标表</w:t>
      </w:r>
    </w:p>
    <w:tbl>
      <w:tblPr>
        <w:tblStyle w:val="30"/>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61"/>
        <w:gridCol w:w="2891"/>
        <w:gridCol w:w="1767"/>
        <w:gridCol w:w="2980"/>
      </w:tblGrid>
      <w:tr w14:paraId="129975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blHeader/>
        </w:trPr>
        <w:tc>
          <w:tcPr>
            <w:tcW w:w="2475" w:type="pct"/>
            <w:gridSpan w:val="2"/>
            <w:shd w:val="clear" w:color="auto" w:fill="auto"/>
            <w:vAlign w:val="center"/>
          </w:tcPr>
          <w:p w14:paraId="4155E920">
            <w:pPr>
              <w:widowControl w:val="0"/>
              <w:wordWrap w:val="0"/>
              <w:adjustRightInd w:val="0"/>
              <w:snapToGrid w:val="0"/>
              <w:spacing w:line="240" w:lineRule="auto"/>
              <w:ind w:firstLine="0" w:firstLineChars="0"/>
              <w:jc w:val="center"/>
              <w:rPr>
                <w:rFonts w:hint="default" w:ascii="Times New Roman" w:hAnsi="Times New Roman" w:eastAsia="宋体" w:cs="Times New Roman"/>
                <w:b/>
                <w:bCs/>
                <w:kern w:val="2"/>
                <w:sz w:val="21"/>
                <w:szCs w:val="21"/>
                <w:lang w:val="en-US" w:eastAsia="zh-CN" w:bidi="ar-SA"/>
              </w:rPr>
            </w:pPr>
            <w:bookmarkStart w:id="296" w:name="_Hlk169828723"/>
            <w:r>
              <w:rPr>
                <w:rFonts w:hint="default" w:ascii="Times New Roman" w:hAnsi="Times New Roman" w:eastAsia="宋体" w:cs="Times New Roman"/>
                <w:b/>
                <w:bCs/>
                <w:kern w:val="2"/>
                <w:sz w:val="21"/>
                <w:szCs w:val="21"/>
                <w:lang w:val="en-US" w:eastAsia="zh-CN" w:bidi="ar-SA"/>
              </w:rPr>
              <w:t>项目</w:t>
            </w:r>
          </w:p>
        </w:tc>
        <w:tc>
          <w:tcPr>
            <w:tcW w:w="940" w:type="pct"/>
            <w:shd w:val="clear" w:color="auto" w:fill="auto"/>
            <w:vAlign w:val="center"/>
          </w:tcPr>
          <w:p w14:paraId="0F801682">
            <w:pPr>
              <w:widowControl w:val="0"/>
              <w:wordWrap w:val="0"/>
              <w:adjustRightInd w:val="0"/>
              <w:snapToGrid w:val="0"/>
              <w:spacing w:line="240" w:lineRule="auto"/>
              <w:ind w:firstLine="0" w:firstLineChars="0"/>
              <w:jc w:val="center"/>
              <w:rPr>
                <w:rFonts w:hint="default" w:ascii="Times New Roman" w:hAnsi="Times New Roman" w:eastAsia="宋体" w:cs="Times New Roman"/>
                <w:b/>
                <w:bCs/>
                <w:kern w:val="2"/>
                <w:sz w:val="21"/>
                <w:szCs w:val="21"/>
                <w:lang w:val="en-US" w:eastAsia="zh-CN" w:bidi="ar-SA"/>
              </w:rPr>
            </w:pPr>
            <w:r>
              <w:rPr>
                <w:rFonts w:hint="default" w:ascii="Times New Roman" w:hAnsi="Times New Roman" w:eastAsia="宋体" w:cs="Times New Roman"/>
                <w:b/>
                <w:bCs/>
                <w:kern w:val="2"/>
                <w:sz w:val="21"/>
                <w:szCs w:val="21"/>
                <w:lang w:val="en-US" w:eastAsia="zh-CN" w:bidi="ar-SA"/>
              </w:rPr>
              <w:t>参数</w:t>
            </w:r>
          </w:p>
        </w:tc>
        <w:tc>
          <w:tcPr>
            <w:tcW w:w="1585" w:type="pct"/>
            <w:shd w:val="clear" w:color="auto" w:fill="auto"/>
            <w:vAlign w:val="center"/>
          </w:tcPr>
          <w:p w14:paraId="54B10B49">
            <w:pPr>
              <w:widowControl w:val="0"/>
              <w:wordWrap w:val="0"/>
              <w:adjustRightInd w:val="0"/>
              <w:snapToGrid w:val="0"/>
              <w:spacing w:line="240" w:lineRule="auto"/>
              <w:ind w:firstLine="0" w:firstLineChars="0"/>
              <w:jc w:val="center"/>
              <w:rPr>
                <w:rFonts w:hint="default" w:ascii="Times New Roman" w:hAnsi="Times New Roman" w:eastAsia="宋体" w:cs="Times New Roman"/>
                <w:b/>
                <w:bCs/>
                <w:kern w:val="2"/>
                <w:sz w:val="21"/>
                <w:szCs w:val="21"/>
                <w:lang w:val="en-US" w:eastAsia="zh-CN" w:bidi="ar-SA"/>
              </w:rPr>
            </w:pPr>
            <w:r>
              <w:rPr>
                <w:rFonts w:hint="default" w:ascii="Times New Roman" w:hAnsi="Times New Roman" w:eastAsia="宋体" w:cs="Times New Roman"/>
                <w:b/>
                <w:bCs/>
                <w:kern w:val="2"/>
                <w:sz w:val="21"/>
                <w:szCs w:val="21"/>
                <w:lang w:val="en-US" w:eastAsia="zh-CN" w:bidi="ar-SA"/>
              </w:rPr>
              <w:t>备注</w:t>
            </w:r>
          </w:p>
        </w:tc>
      </w:tr>
      <w:tr w14:paraId="50705F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37" w:type="pct"/>
            <w:vMerge w:val="restart"/>
            <w:shd w:val="clear" w:color="auto" w:fill="auto"/>
            <w:vAlign w:val="center"/>
          </w:tcPr>
          <w:p w14:paraId="137713FA">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境界</w:t>
            </w:r>
          </w:p>
        </w:tc>
        <w:tc>
          <w:tcPr>
            <w:tcW w:w="1538" w:type="pct"/>
            <w:shd w:val="clear" w:color="auto" w:fill="auto"/>
            <w:vAlign w:val="center"/>
          </w:tcPr>
          <w:p w14:paraId="1139A078">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上口尺寸（长×宽）</w:t>
            </w:r>
          </w:p>
        </w:tc>
        <w:tc>
          <w:tcPr>
            <w:tcW w:w="940" w:type="pct"/>
            <w:shd w:val="clear" w:color="auto" w:fill="auto"/>
            <w:vAlign w:val="center"/>
          </w:tcPr>
          <w:p w14:paraId="0061CFE2">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650×540m</w:t>
            </w:r>
          </w:p>
        </w:tc>
        <w:tc>
          <w:tcPr>
            <w:tcW w:w="1585" w:type="pct"/>
            <w:shd w:val="clear" w:color="auto" w:fill="auto"/>
            <w:vAlign w:val="center"/>
          </w:tcPr>
          <w:p w14:paraId="7BE4F786">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p>
        </w:tc>
      </w:tr>
      <w:tr w14:paraId="6DF0A9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37" w:type="pct"/>
            <w:vMerge w:val="continue"/>
            <w:vAlign w:val="center"/>
          </w:tcPr>
          <w:p w14:paraId="190DC0E8">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p>
        </w:tc>
        <w:tc>
          <w:tcPr>
            <w:tcW w:w="1538" w:type="pct"/>
            <w:shd w:val="clear" w:color="auto" w:fill="auto"/>
            <w:vAlign w:val="center"/>
          </w:tcPr>
          <w:p w14:paraId="59172C7A">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底部尺寸（长×宽）</w:t>
            </w:r>
          </w:p>
        </w:tc>
        <w:tc>
          <w:tcPr>
            <w:tcW w:w="940" w:type="pct"/>
            <w:shd w:val="clear" w:color="auto" w:fill="auto"/>
            <w:vAlign w:val="center"/>
          </w:tcPr>
          <w:p w14:paraId="4F024AF3">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440×400m</w:t>
            </w:r>
          </w:p>
        </w:tc>
        <w:tc>
          <w:tcPr>
            <w:tcW w:w="1585" w:type="pct"/>
            <w:shd w:val="clear" w:color="auto" w:fill="auto"/>
            <w:vAlign w:val="center"/>
          </w:tcPr>
          <w:p w14:paraId="74AA2214">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p>
        </w:tc>
      </w:tr>
      <w:tr w14:paraId="061B53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37" w:type="pct"/>
            <w:vMerge w:val="continue"/>
            <w:vAlign w:val="center"/>
          </w:tcPr>
          <w:p w14:paraId="06858445">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p>
        </w:tc>
        <w:tc>
          <w:tcPr>
            <w:tcW w:w="1538" w:type="pct"/>
            <w:shd w:val="clear" w:color="auto" w:fill="auto"/>
            <w:vAlign w:val="center"/>
          </w:tcPr>
          <w:p w14:paraId="767BFA06">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最高标高</w:t>
            </w:r>
          </w:p>
        </w:tc>
        <w:tc>
          <w:tcPr>
            <w:tcW w:w="940" w:type="pct"/>
            <w:shd w:val="clear" w:color="auto" w:fill="auto"/>
            <w:vAlign w:val="center"/>
          </w:tcPr>
          <w:p w14:paraId="7E8C0386">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1550m</w:t>
            </w:r>
          </w:p>
        </w:tc>
        <w:tc>
          <w:tcPr>
            <w:tcW w:w="1585" w:type="pct"/>
            <w:shd w:val="clear" w:color="auto" w:fill="auto"/>
            <w:vAlign w:val="center"/>
          </w:tcPr>
          <w:p w14:paraId="598C10E2">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p>
        </w:tc>
      </w:tr>
      <w:tr w14:paraId="743F44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37" w:type="pct"/>
            <w:vMerge w:val="continue"/>
            <w:vAlign w:val="center"/>
          </w:tcPr>
          <w:p w14:paraId="7948ECE9">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p>
        </w:tc>
        <w:tc>
          <w:tcPr>
            <w:tcW w:w="1538" w:type="pct"/>
            <w:shd w:val="clear" w:color="auto" w:fill="auto"/>
            <w:vAlign w:val="center"/>
          </w:tcPr>
          <w:p w14:paraId="5DC4D079">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最低标高</w:t>
            </w:r>
          </w:p>
        </w:tc>
        <w:tc>
          <w:tcPr>
            <w:tcW w:w="940" w:type="pct"/>
            <w:shd w:val="clear" w:color="auto" w:fill="auto"/>
            <w:vAlign w:val="center"/>
          </w:tcPr>
          <w:p w14:paraId="377B1A87">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1470m</w:t>
            </w:r>
          </w:p>
        </w:tc>
        <w:tc>
          <w:tcPr>
            <w:tcW w:w="1585" w:type="pct"/>
            <w:shd w:val="clear" w:color="auto" w:fill="auto"/>
            <w:vAlign w:val="center"/>
          </w:tcPr>
          <w:p w14:paraId="6231BBFF">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p>
        </w:tc>
      </w:tr>
      <w:tr w14:paraId="5842B7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37" w:type="pct"/>
            <w:vMerge w:val="continue"/>
            <w:vAlign w:val="center"/>
          </w:tcPr>
          <w:p w14:paraId="5C1441C9">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p>
        </w:tc>
        <w:tc>
          <w:tcPr>
            <w:tcW w:w="1538" w:type="pct"/>
            <w:shd w:val="clear" w:color="auto" w:fill="auto"/>
            <w:vAlign w:val="center"/>
          </w:tcPr>
          <w:p w14:paraId="7870116B">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边坡高度</w:t>
            </w:r>
          </w:p>
        </w:tc>
        <w:tc>
          <w:tcPr>
            <w:tcW w:w="940" w:type="pct"/>
            <w:shd w:val="clear" w:color="auto" w:fill="auto"/>
            <w:vAlign w:val="center"/>
          </w:tcPr>
          <w:p w14:paraId="325EB8F7">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80m</w:t>
            </w:r>
          </w:p>
        </w:tc>
        <w:tc>
          <w:tcPr>
            <w:tcW w:w="1585" w:type="pct"/>
            <w:shd w:val="clear" w:color="auto" w:fill="auto"/>
            <w:vAlign w:val="center"/>
          </w:tcPr>
          <w:p w14:paraId="722CBEDC">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p>
        </w:tc>
      </w:tr>
      <w:tr w14:paraId="05B871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37" w:type="pct"/>
            <w:vMerge w:val="restart"/>
            <w:shd w:val="clear" w:color="auto" w:fill="auto"/>
            <w:vAlign w:val="center"/>
          </w:tcPr>
          <w:p w14:paraId="752993E8">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台阶</w:t>
            </w:r>
          </w:p>
        </w:tc>
        <w:tc>
          <w:tcPr>
            <w:tcW w:w="1538" w:type="pct"/>
            <w:shd w:val="clear" w:color="auto" w:fill="auto"/>
            <w:vAlign w:val="center"/>
          </w:tcPr>
          <w:p w14:paraId="675FC2C2">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台阶高度</w:t>
            </w:r>
          </w:p>
        </w:tc>
        <w:tc>
          <w:tcPr>
            <w:tcW w:w="940" w:type="pct"/>
            <w:shd w:val="clear" w:color="auto" w:fill="auto"/>
            <w:vAlign w:val="center"/>
          </w:tcPr>
          <w:p w14:paraId="79B5D0F2">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8m</w:t>
            </w:r>
          </w:p>
        </w:tc>
        <w:tc>
          <w:tcPr>
            <w:tcW w:w="1585" w:type="pct"/>
            <w:shd w:val="clear" w:color="auto" w:fill="auto"/>
            <w:vAlign w:val="center"/>
          </w:tcPr>
          <w:p w14:paraId="67585EBE">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p>
        </w:tc>
      </w:tr>
      <w:tr w14:paraId="70EF38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37" w:type="pct"/>
            <w:vMerge w:val="continue"/>
            <w:vAlign w:val="center"/>
          </w:tcPr>
          <w:p w14:paraId="33ECACBA">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p>
        </w:tc>
        <w:tc>
          <w:tcPr>
            <w:tcW w:w="1538" w:type="pct"/>
            <w:shd w:val="clear" w:color="auto" w:fill="auto"/>
            <w:vAlign w:val="center"/>
          </w:tcPr>
          <w:p w14:paraId="5A2332D1">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最高台阶标高</w:t>
            </w:r>
          </w:p>
        </w:tc>
        <w:tc>
          <w:tcPr>
            <w:tcW w:w="940" w:type="pct"/>
            <w:shd w:val="clear" w:color="auto" w:fill="auto"/>
            <w:vAlign w:val="center"/>
          </w:tcPr>
          <w:p w14:paraId="760ABCF8">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1542m</w:t>
            </w:r>
          </w:p>
        </w:tc>
        <w:tc>
          <w:tcPr>
            <w:tcW w:w="1585" w:type="pct"/>
            <w:shd w:val="clear" w:color="auto" w:fill="auto"/>
            <w:vAlign w:val="center"/>
          </w:tcPr>
          <w:p w14:paraId="6D538F60">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最终境界</w:t>
            </w:r>
          </w:p>
        </w:tc>
      </w:tr>
      <w:tr w14:paraId="232CD0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37" w:type="pct"/>
            <w:vMerge w:val="continue"/>
            <w:vAlign w:val="center"/>
          </w:tcPr>
          <w:p w14:paraId="6A9E3463">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p>
        </w:tc>
        <w:tc>
          <w:tcPr>
            <w:tcW w:w="1538" w:type="pct"/>
            <w:shd w:val="clear" w:color="auto" w:fill="auto"/>
            <w:vAlign w:val="center"/>
          </w:tcPr>
          <w:p w14:paraId="460598A6">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最低台阶标高</w:t>
            </w:r>
          </w:p>
        </w:tc>
        <w:tc>
          <w:tcPr>
            <w:tcW w:w="940" w:type="pct"/>
            <w:shd w:val="clear" w:color="auto" w:fill="auto"/>
            <w:vAlign w:val="center"/>
          </w:tcPr>
          <w:p w14:paraId="29A4209A">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1470m</w:t>
            </w:r>
          </w:p>
        </w:tc>
        <w:tc>
          <w:tcPr>
            <w:tcW w:w="1585" w:type="pct"/>
            <w:shd w:val="clear" w:color="auto" w:fill="auto"/>
            <w:vAlign w:val="center"/>
          </w:tcPr>
          <w:p w14:paraId="2C7F111F">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最终境界</w:t>
            </w:r>
          </w:p>
        </w:tc>
      </w:tr>
      <w:tr w14:paraId="63EDA6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37" w:type="pct"/>
            <w:vMerge w:val="continue"/>
            <w:vAlign w:val="center"/>
          </w:tcPr>
          <w:p w14:paraId="53261D55">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p>
        </w:tc>
        <w:tc>
          <w:tcPr>
            <w:tcW w:w="1538" w:type="pct"/>
            <w:shd w:val="clear" w:color="auto" w:fill="auto"/>
            <w:vAlign w:val="center"/>
          </w:tcPr>
          <w:p w14:paraId="19DDFCA4">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台阶数</w:t>
            </w:r>
          </w:p>
        </w:tc>
        <w:tc>
          <w:tcPr>
            <w:tcW w:w="940" w:type="pct"/>
            <w:shd w:val="clear" w:color="auto" w:fill="auto"/>
            <w:vAlign w:val="center"/>
          </w:tcPr>
          <w:p w14:paraId="3C8A1E39">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13个</w:t>
            </w:r>
          </w:p>
        </w:tc>
        <w:tc>
          <w:tcPr>
            <w:tcW w:w="1585" w:type="pct"/>
            <w:shd w:val="clear" w:color="auto" w:fill="auto"/>
            <w:vAlign w:val="center"/>
          </w:tcPr>
          <w:p w14:paraId="43296301">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两个山头</w:t>
            </w:r>
          </w:p>
        </w:tc>
      </w:tr>
      <w:tr w14:paraId="07830B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37" w:type="pct"/>
            <w:vMerge w:val="restart"/>
            <w:shd w:val="clear" w:color="auto" w:fill="auto"/>
            <w:vAlign w:val="center"/>
          </w:tcPr>
          <w:p w14:paraId="5D1333F3">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平台</w:t>
            </w:r>
          </w:p>
        </w:tc>
        <w:tc>
          <w:tcPr>
            <w:tcW w:w="1538" w:type="pct"/>
            <w:shd w:val="clear" w:color="auto" w:fill="auto"/>
            <w:vAlign w:val="center"/>
          </w:tcPr>
          <w:p w14:paraId="116B7259">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最小底部宽度</w:t>
            </w:r>
          </w:p>
        </w:tc>
        <w:tc>
          <w:tcPr>
            <w:tcW w:w="940" w:type="pct"/>
            <w:shd w:val="clear" w:color="auto" w:fill="auto"/>
            <w:vAlign w:val="center"/>
          </w:tcPr>
          <w:p w14:paraId="7CAABC8B">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≥22m</w:t>
            </w:r>
          </w:p>
        </w:tc>
        <w:tc>
          <w:tcPr>
            <w:tcW w:w="1585" w:type="pct"/>
            <w:shd w:val="clear" w:color="auto" w:fill="auto"/>
            <w:vAlign w:val="center"/>
          </w:tcPr>
          <w:p w14:paraId="2E00B63B">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p>
        </w:tc>
      </w:tr>
      <w:tr w14:paraId="4FBCE8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37" w:type="pct"/>
            <w:vMerge w:val="continue"/>
            <w:vAlign w:val="center"/>
          </w:tcPr>
          <w:p w14:paraId="2141F9C1">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p>
        </w:tc>
        <w:tc>
          <w:tcPr>
            <w:tcW w:w="1538" w:type="pct"/>
            <w:shd w:val="clear" w:color="auto" w:fill="auto"/>
            <w:vAlign w:val="center"/>
          </w:tcPr>
          <w:p w14:paraId="53DDE8DB">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最小工作平台宽度</w:t>
            </w:r>
          </w:p>
        </w:tc>
        <w:tc>
          <w:tcPr>
            <w:tcW w:w="940" w:type="pct"/>
            <w:shd w:val="clear" w:color="auto" w:fill="auto"/>
            <w:vAlign w:val="center"/>
          </w:tcPr>
          <w:p w14:paraId="6465AFAB">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22m</w:t>
            </w:r>
          </w:p>
        </w:tc>
        <w:tc>
          <w:tcPr>
            <w:tcW w:w="1585" w:type="pct"/>
            <w:shd w:val="clear" w:color="auto" w:fill="auto"/>
            <w:vAlign w:val="center"/>
          </w:tcPr>
          <w:p w14:paraId="3AF7C4A8">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p>
        </w:tc>
      </w:tr>
      <w:tr w14:paraId="5BF6CC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37" w:type="pct"/>
            <w:vMerge w:val="continue"/>
            <w:vAlign w:val="center"/>
          </w:tcPr>
          <w:p w14:paraId="1DCAFC41">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p>
        </w:tc>
        <w:tc>
          <w:tcPr>
            <w:tcW w:w="1538" w:type="pct"/>
            <w:shd w:val="clear" w:color="auto" w:fill="auto"/>
            <w:vAlign w:val="center"/>
          </w:tcPr>
          <w:p w14:paraId="56537F98">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安全平台宽度</w:t>
            </w:r>
          </w:p>
        </w:tc>
        <w:tc>
          <w:tcPr>
            <w:tcW w:w="940" w:type="pct"/>
            <w:shd w:val="clear" w:color="auto" w:fill="auto"/>
            <w:vAlign w:val="center"/>
          </w:tcPr>
          <w:p w14:paraId="680035B5">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3m</w:t>
            </w:r>
          </w:p>
        </w:tc>
        <w:tc>
          <w:tcPr>
            <w:tcW w:w="1585" w:type="pct"/>
            <w:vMerge w:val="restart"/>
            <w:shd w:val="clear" w:color="auto" w:fill="auto"/>
            <w:vAlign w:val="center"/>
          </w:tcPr>
          <w:p w14:paraId="054E434A">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间隔2个安全平台</w:t>
            </w:r>
          </w:p>
          <w:p w14:paraId="06115E54">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设置1个清扫平台</w:t>
            </w:r>
          </w:p>
        </w:tc>
      </w:tr>
      <w:tr w14:paraId="23B1D1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37" w:type="pct"/>
            <w:vMerge w:val="continue"/>
            <w:vAlign w:val="center"/>
          </w:tcPr>
          <w:p w14:paraId="0C25EBCA">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p>
        </w:tc>
        <w:tc>
          <w:tcPr>
            <w:tcW w:w="1538" w:type="pct"/>
            <w:shd w:val="clear" w:color="auto" w:fill="auto"/>
            <w:vAlign w:val="center"/>
          </w:tcPr>
          <w:p w14:paraId="57467231">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清扫平台宽度</w:t>
            </w:r>
          </w:p>
        </w:tc>
        <w:tc>
          <w:tcPr>
            <w:tcW w:w="940" w:type="pct"/>
            <w:shd w:val="clear" w:color="auto" w:fill="auto"/>
            <w:vAlign w:val="center"/>
          </w:tcPr>
          <w:p w14:paraId="12B9CF4E">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6m</w:t>
            </w:r>
          </w:p>
        </w:tc>
        <w:tc>
          <w:tcPr>
            <w:tcW w:w="1585" w:type="pct"/>
            <w:vMerge w:val="continue"/>
            <w:shd w:val="clear" w:color="auto" w:fill="auto"/>
            <w:vAlign w:val="center"/>
          </w:tcPr>
          <w:p w14:paraId="20D42C1B">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p>
        </w:tc>
      </w:tr>
      <w:tr w14:paraId="28C2C0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37" w:type="pct"/>
            <w:vMerge w:val="restart"/>
            <w:shd w:val="clear" w:color="auto" w:fill="auto"/>
            <w:vAlign w:val="center"/>
          </w:tcPr>
          <w:p w14:paraId="0153C18B">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台阶</w:t>
            </w:r>
          </w:p>
          <w:p w14:paraId="6300E2C4">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坡面角</w:t>
            </w:r>
          </w:p>
        </w:tc>
        <w:tc>
          <w:tcPr>
            <w:tcW w:w="1538" w:type="pct"/>
            <w:shd w:val="clear" w:color="auto" w:fill="auto"/>
            <w:vAlign w:val="center"/>
          </w:tcPr>
          <w:p w14:paraId="1EE45E2D">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工作台阶坡面角</w:t>
            </w:r>
          </w:p>
        </w:tc>
        <w:tc>
          <w:tcPr>
            <w:tcW w:w="940" w:type="pct"/>
            <w:shd w:val="clear" w:color="auto" w:fill="auto"/>
            <w:vAlign w:val="center"/>
          </w:tcPr>
          <w:p w14:paraId="61659610">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50°</w:t>
            </w:r>
          </w:p>
        </w:tc>
        <w:tc>
          <w:tcPr>
            <w:tcW w:w="1585" w:type="pct"/>
            <w:shd w:val="clear" w:color="auto" w:fill="auto"/>
            <w:vAlign w:val="center"/>
          </w:tcPr>
          <w:p w14:paraId="136BA88B">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p>
        </w:tc>
      </w:tr>
      <w:tr w14:paraId="3B8072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37" w:type="pct"/>
            <w:vMerge w:val="continue"/>
            <w:shd w:val="clear" w:color="auto" w:fill="auto"/>
            <w:vAlign w:val="center"/>
          </w:tcPr>
          <w:p w14:paraId="1C9BDC28">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p>
        </w:tc>
        <w:tc>
          <w:tcPr>
            <w:tcW w:w="1538" w:type="pct"/>
            <w:shd w:val="clear" w:color="auto" w:fill="auto"/>
            <w:vAlign w:val="center"/>
          </w:tcPr>
          <w:p w14:paraId="1248098F">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靠帮台阶坡面角</w:t>
            </w:r>
          </w:p>
        </w:tc>
        <w:tc>
          <w:tcPr>
            <w:tcW w:w="940" w:type="pct"/>
            <w:shd w:val="clear" w:color="auto" w:fill="auto"/>
            <w:vAlign w:val="center"/>
          </w:tcPr>
          <w:p w14:paraId="763F5E7E">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50°</w:t>
            </w:r>
          </w:p>
        </w:tc>
        <w:tc>
          <w:tcPr>
            <w:tcW w:w="1585" w:type="pct"/>
            <w:shd w:val="clear" w:color="auto" w:fill="auto"/>
            <w:vAlign w:val="center"/>
          </w:tcPr>
          <w:p w14:paraId="1148EA23">
            <w:pPr>
              <w:widowControl w:val="0"/>
              <w:wordWrap w:val="0"/>
              <w:adjustRightInd w:val="0"/>
              <w:snapToGrid w:val="0"/>
              <w:spacing w:line="240" w:lineRule="auto"/>
              <w:ind w:firstLine="0" w:firstLineChars="0"/>
              <w:jc w:val="both"/>
              <w:rPr>
                <w:rFonts w:hint="default" w:ascii="Times New Roman" w:hAnsi="Times New Roman" w:eastAsia="宋体" w:cs="Times New Roman"/>
                <w:b w:val="0"/>
                <w:kern w:val="2"/>
                <w:sz w:val="21"/>
                <w:szCs w:val="21"/>
                <w:lang w:val="en-US" w:eastAsia="zh-CN" w:bidi="ar-SA"/>
              </w:rPr>
            </w:pPr>
          </w:p>
        </w:tc>
      </w:tr>
      <w:tr w14:paraId="3C75F9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37" w:type="pct"/>
            <w:shd w:val="clear" w:color="auto" w:fill="auto"/>
            <w:vAlign w:val="center"/>
          </w:tcPr>
          <w:p w14:paraId="61D9A004">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最终边坡角</w:t>
            </w:r>
          </w:p>
        </w:tc>
        <w:tc>
          <w:tcPr>
            <w:tcW w:w="1538" w:type="pct"/>
            <w:shd w:val="clear" w:color="auto" w:fill="auto"/>
            <w:vAlign w:val="center"/>
          </w:tcPr>
          <w:p w14:paraId="50F76EDB">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p>
        </w:tc>
        <w:tc>
          <w:tcPr>
            <w:tcW w:w="940" w:type="pct"/>
            <w:shd w:val="clear" w:color="auto" w:fill="auto"/>
            <w:vAlign w:val="center"/>
          </w:tcPr>
          <w:p w14:paraId="265C2A93">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38°</w:t>
            </w:r>
          </w:p>
        </w:tc>
        <w:tc>
          <w:tcPr>
            <w:tcW w:w="1585" w:type="pct"/>
            <w:shd w:val="clear" w:color="auto" w:fill="auto"/>
            <w:vAlign w:val="center"/>
          </w:tcPr>
          <w:p w14:paraId="41906768">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p>
        </w:tc>
      </w:tr>
      <w:bookmarkEnd w:id="294"/>
      <w:bookmarkEnd w:id="296"/>
    </w:tbl>
    <w:p w14:paraId="48D6063D">
      <w:pPr>
        <w:pStyle w:val="5"/>
        <w:spacing w:before="0" w:after="0" w:line="360" w:lineRule="auto"/>
        <w:ind w:firstLine="562" w:firstLineChars="200"/>
        <w:rPr>
          <w:rFonts w:hint="default" w:ascii="Times New Roman" w:hAnsi="Times New Roman" w:cs="Times New Roman"/>
        </w:rPr>
      </w:pPr>
      <w:r>
        <w:rPr>
          <w:rFonts w:hint="default" w:ascii="Times New Roman" w:hAnsi="Times New Roman" w:cs="Times New Roman"/>
        </w:rPr>
        <w:t>2.4.6.6主要设备</w:t>
      </w:r>
    </w:p>
    <w:p w14:paraId="51901775">
      <w:pPr>
        <w:adjustRightInd w:val="0"/>
        <w:snapToGrid w:val="0"/>
        <w:spacing w:line="360" w:lineRule="auto"/>
        <w:ind w:firstLine="560" w:firstLineChars="200"/>
        <w:rPr>
          <w:rFonts w:hint="default" w:ascii="Times New Roman" w:hAnsi="Times New Roman" w:cs="Times New Roman"/>
          <w:sz w:val="28"/>
          <w:szCs w:val="28"/>
        </w:rPr>
      </w:pPr>
      <w:r>
        <w:rPr>
          <w:rFonts w:hint="default" w:ascii="Times New Roman" w:hAnsi="Times New Roman" w:cs="Times New Roman"/>
          <w:sz w:val="28"/>
          <w:szCs w:val="28"/>
          <w:lang w:eastAsia="zh-CN"/>
        </w:rPr>
        <w:t>（</w:t>
      </w:r>
      <w:r>
        <w:rPr>
          <w:rFonts w:hint="default" w:ascii="Times New Roman" w:hAnsi="Times New Roman" w:cs="Times New Roman"/>
          <w:sz w:val="28"/>
          <w:szCs w:val="28"/>
          <w:lang w:val="en-US" w:eastAsia="zh-CN"/>
        </w:rPr>
        <w:t>1</w:t>
      </w:r>
      <w:r>
        <w:rPr>
          <w:rFonts w:hint="default" w:ascii="Times New Roman" w:hAnsi="Times New Roman" w:cs="Times New Roman"/>
          <w:sz w:val="28"/>
          <w:szCs w:val="28"/>
          <w:lang w:eastAsia="zh-CN"/>
        </w:rPr>
        <w:t>）</w:t>
      </w:r>
      <w:r>
        <w:rPr>
          <w:rFonts w:hint="default" w:ascii="Times New Roman" w:hAnsi="Times New Roman" w:cs="Times New Roman"/>
          <w:sz w:val="28"/>
          <w:szCs w:val="28"/>
        </w:rPr>
        <w:t>铲装作业</w:t>
      </w:r>
    </w:p>
    <w:p w14:paraId="2CB51498">
      <w:pPr>
        <w:adjustRightInd w:val="0"/>
        <w:snapToGrid w:val="0"/>
        <w:spacing w:line="360" w:lineRule="auto"/>
        <w:ind w:firstLine="560" w:firstLineChars="200"/>
        <w:rPr>
          <w:rFonts w:hint="default" w:ascii="Times New Roman" w:hAnsi="Times New Roman" w:cs="Times New Roman"/>
          <w:sz w:val="28"/>
          <w:szCs w:val="28"/>
        </w:rPr>
      </w:pPr>
      <w:r>
        <w:rPr>
          <w:rFonts w:hint="default" w:ascii="Times New Roman" w:hAnsi="Times New Roman" w:cs="Times New Roman"/>
          <w:sz w:val="28"/>
          <w:szCs w:val="28"/>
        </w:rPr>
        <w:t>现有挖掘机斗容能满足50万t/a生产规模，配已有的20t自卸式汽车，箱斗比1</w:t>
      </w:r>
      <w:r>
        <w:rPr>
          <w:rFonts w:hint="default" w:ascii="Times New Roman" w:hAnsi="Times New Roman" w:cs="Times New Roman"/>
          <w:sz w:val="28"/>
          <w:szCs w:val="28"/>
          <w:lang w:eastAsia="zh-CN"/>
        </w:rPr>
        <w:t>：</w:t>
      </w:r>
      <w:r>
        <w:rPr>
          <w:rFonts w:hint="default" w:ascii="Times New Roman" w:hAnsi="Times New Roman" w:cs="Times New Roman"/>
          <w:sz w:val="28"/>
          <w:szCs w:val="28"/>
        </w:rPr>
        <w:t>5，比较匹配，且满足规范要求。</w:t>
      </w:r>
    </w:p>
    <w:p w14:paraId="5FEB6C8C">
      <w:pPr>
        <w:adjustRightInd w:val="0"/>
        <w:snapToGrid w:val="0"/>
        <w:spacing w:line="360" w:lineRule="auto"/>
        <w:ind w:firstLine="560" w:firstLineChars="200"/>
        <w:rPr>
          <w:rFonts w:hint="default" w:ascii="Times New Roman" w:hAnsi="Times New Roman" w:cs="Times New Roman"/>
          <w:sz w:val="28"/>
          <w:szCs w:val="28"/>
          <w:lang w:val="en-US" w:eastAsia="zh-CN"/>
        </w:rPr>
      </w:pPr>
      <w:r>
        <w:rPr>
          <w:rFonts w:hint="default" w:ascii="Times New Roman" w:hAnsi="Times New Roman" w:cs="Times New Roman"/>
          <w:sz w:val="28"/>
          <w:szCs w:val="28"/>
          <w:lang w:val="en-US" w:eastAsia="zh-CN"/>
        </w:rPr>
        <w:t>设计利用原有1台斗容3.0m</w:t>
      </w:r>
      <w:r>
        <w:rPr>
          <w:rFonts w:hint="default" w:ascii="Times New Roman" w:hAnsi="Times New Roman" w:cs="Times New Roman"/>
          <w:sz w:val="28"/>
          <w:szCs w:val="28"/>
          <w:vertAlign w:val="superscript"/>
          <w:lang w:val="en-US" w:eastAsia="zh-CN"/>
        </w:rPr>
        <w:t>3</w:t>
      </w:r>
      <w:r>
        <w:rPr>
          <w:rFonts w:hint="default" w:ascii="Times New Roman" w:hAnsi="Times New Roman" w:cs="Times New Roman"/>
          <w:sz w:val="28"/>
          <w:szCs w:val="28"/>
          <w:lang w:val="en-US" w:eastAsia="zh-CN"/>
        </w:rPr>
        <w:t>的挖掘机作为采场主要铲装设备，另利用矿山原有挖掘机用于矿山辅助作业，能够满足生产需求。</w:t>
      </w:r>
    </w:p>
    <w:p w14:paraId="5E046A6E">
      <w:pPr>
        <w:adjustRightInd w:val="0"/>
        <w:snapToGrid w:val="0"/>
        <w:spacing w:line="360" w:lineRule="auto"/>
        <w:ind w:firstLine="560" w:firstLineChars="200"/>
        <w:rPr>
          <w:rFonts w:hint="default" w:ascii="Times New Roman" w:hAnsi="Times New Roman" w:cs="Times New Roman"/>
          <w:sz w:val="28"/>
          <w:szCs w:val="28"/>
          <w:lang w:val="en-US" w:eastAsia="zh-CN"/>
        </w:rPr>
      </w:pPr>
      <w:r>
        <w:rPr>
          <w:rFonts w:hint="default" w:ascii="Times New Roman" w:hAnsi="Times New Roman" w:cs="Times New Roman"/>
          <w:sz w:val="28"/>
          <w:szCs w:val="28"/>
          <w:lang w:val="en-US" w:eastAsia="zh-CN"/>
        </w:rPr>
        <w:t>（2）运输</w:t>
      </w:r>
    </w:p>
    <w:p w14:paraId="0037F73A">
      <w:pPr>
        <w:adjustRightInd w:val="0"/>
        <w:snapToGrid w:val="0"/>
        <w:spacing w:line="360" w:lineRule="auto"/>
        <w:ind w:firstLine="560" w:firstLineChars="200"/>
        <w:rPr>
          <w:rFonts w:hint="default" w:ascii="Times New Roman" w:hAnsi="Times New Roman" w:cs="Times New Roman"/>
          <w:sz w:val="28"/>
          <w:szCs w:val="28"/>
          <w:lang w:val="en-US" w:eastAsia="zh-CN"/>
        </w:rPr>
      </w:pPr>
      <w:r>
        <w:rPr>
          <w:rFonts w:hint="default" w:ascii="Times New Roman" w:hAnsi="Times New Roman" w:cs="Times New Roman"/>
          <w:sz w:val="28"/>
          <w:szCs w:val="28"/>
          <w:lang w:val="en-US" w:eastAsia="zh-CN"/>
        </w:rPr>
        <w:t>设计矿山公路运输设备采用原有的4辆20t自卸汽车运输矿岩。</w:t>
      </w:r>
    </w:p>
    <w:p w14:paraId="59DEA626">
      <w:pPr>
        <w:adjustRightInd w:val="0"/>
        <w:snapToGrid w:val="0"/>
        <w:spacing w:line="360" w:lineRule="auto"/>
        <w:ind w:firstLine="560" w:firstLineChars="200"/>
        <w:rPr>
          <w:rFonts w:hint="default" w:ascii="Times New Roman" w:hAnsi="Times New Roman" w:eastAsia="宋体" w:cs="Times New Roman"/>
          <w:sz w:val="28"/>
          <w:szCs w:val="28"/>
          <w:lang w:val="en-US" w:eastAsia="zh-CN"/>
        </w:rPr>
      </w:pPr>
      <w:r>
        <w:rPr>
          <w:rFonts w:hint="default" w:ascii="Times New Roman" w:hAnsi="Times New Roman" w:eastAsia="宋体" w:cs="Times New Roman"/>
          <w:sz w:val="28"/>
          <w:szCs w:val="28"/>
          <w:lang w:val="en-US" w:eastAsia="zh-CN"/>
        </w:rPr>
        <w:t>（3）辅助作业及主要设备</w:t>
      </w:r>
    </w:p>
    <w:p w14:paraId="42F538CF">
      <w:pPr>
        <w:wordWrap w:val="0"/>
        <w:adjustRightInd w:val="0"/>
        <w:snapToGrid w:val="0"/>
        <w:spacing w:line="360" w:lineRule="auto"/>
        <w:ind w:firstLine="560" w:firstLineChars="200"/>
        <w:rPr>
          <w:rFonts w:hint="default" w:ascii="Times New Roman" w:hAnsi="Times New Roman" w:eastAsia="宋体" w:cs="Times New Roman"/>
          <w:sz w:val="28"/>
          <w:szCs w:val="21"/>
        </w:rPr>
      </w:pPr>
      <w:bookmarkStart w:id="297" w:name="_Hlk194347213"/>
      <w:bookmarkStart w:id="298" w:name="_Hlk140055950"/>
      <w:r>
        <w:rPr>
          <w:rFonts w:hint="default" w:ascii="Times New Roman" w:hAnsi="Times New Roman" w:eastAsia="宋体" w:cs="Times New Roman"/>
          <w:sz w:val="28"/>
          <w:szCs w:val="21"/>
        </w:rPr>
        <w:t>露天采场辅助作业内容主要包括：采场工作面整平、矿岩集堆</w:t>
      </w:r>
      <w:r>
        <w:rPr>
          <w:rFonts w:hint="default" w:ascii="Times New Roman" w:hAnsi="Times New Roman" w:cs="Times New Roman"/>
          <w:sz w:val="28"/>
          <w:szCs w:val="21"/>
          <w:lang w:eastAsia="zh-CN"/>
        </w:rPr>
        <w:t>、</w:t>
      </w:r>
      <w:r>
        <w:rPr>
          <w:rFonts w:hint="default" w:ascii="Times New Roman" w:hAnsi="Times New Roman" w:eastAsia="宋体" w:cs="Times New Roman"/>
          <w:sz w:val="28"/>
          <w:szCs w:val="21"/>
        </w:rPr>
        <w:t>挖掘机铲装、矿堆及路面洒水除尘、临时道路修整和维护等</w:t>
      </w:r>
      <w:bookmarkEnd w:id="297"/>
      <w:r>
        <w:rPr>
          <w:rFonts w:hint="default" w:ascii="Times New Roman" w:hAnsi="Times New Roman" w:eastAsia="宋体" w:cs="Times New Roman"/>
          <w:sz w:val="28"/>
          <w:szCs w:val="21"/>
        </w:rPr>
        <w:t>。具体采矿主要设备见下表。</w:t>
      </w:r>
    </w:p>
    <w:p w14:paraId="60EAF7EE">
      <w:pPr>
        <w:keepNext/>
        <w:keepLines/>
        <w:pageBreakBefore w:val="0"/>
        <w:widowControl w:val="0"/>
        <w:kinsoku/>
        <w:wordWrap w:val="0"/>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kern w:val="2"/>
          <w:sz w:val="24"/>
          <w:szCs w:val="20"/>
          <w:lang w:val="en-US" w:eastAsia="zh-CN" w:bidi="ar-SA"/>
        </w:rPr>
      </w:pPr>
      <w:r>
        <w:rPr>
          <w:rFonts w:hint="default" w:ascii="Times New Roman" w:hAnsi="Times New Roman" w:eastAsia="宋体" w:cs="Times New Roman"/>
          <w:b w:val="0"/>
          <w:bCs/>
          <w:kern w:val="2"/>
          <w:sz w:val="24"/>
          <w:szCs w:val="20"/>
          <w:lang w:val="en-US" w:eastAsia="zh-CN" w:bidi="ar-SA"/>
        </w:rPr>
        <w:t>表</w:t>
      </w:r>
      <w:r>
        <w:rPr>
          <w:rFonts w:hint="default" w:ascii="Times New Roman" w:hAnsi="Times New Roman" w:eastAsia="宋体" w:cs="Times New Roman"/>
          <w:b w:val="0"/>
          <w:bCs/>
          <w:kern w:val="0"/>
          <w:sz w:val="24"/>
          <w:szCs w:val="20"/>
          <w:lang w:val="en-US" w:eastAsia="zh-CN" w:bidi="ar-SA"/>
        </w:rPr>
        <w:t xml:space="preserve">2.4-6  </w:t>
      </w:r>
      <w:r>
        <w:rPr>
          <w:rFonts w:hint="default" w:ascii="Times New Roman" w:hAnsi="Times New Roman" w:eastAsia="宋体" w:cs="Times New Roman"/>
          <w:b w:val="0"/>
          <w:bCs/>
          <w:kern w:val="2"/>
          <w:sz w:val="24"/>
          <w:szCs w:val="20"/>
          <w:lang w:val="en-US" w:eastAsia="zh-CN" w:bidi="ar-SA"/>
        </w:rPr>
        <w:t>主要采矿设备表</w:t>
      </w:r>
    </w:p>
    <w:bookmarkEnd w:id="298"/>
    <w:tbl>
      <w:tblPr>
        <w:tblStyle w:val="3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8"/>
        <w:gridCol w:w="766"/>
        <w:gridCol w:w="2928"/>
        <w:gridCol w:w="2567"/>
        <w:gridCol w:w="528"/>
        <w:gridCol w:w="745"/>
        <w:gridCol w:w="1387"/>
      </w:tblGrid>
      <w:tr w14:paraId="573504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blHeader/>
          <w:jc w:val="center"/>
        </w:trPr>
        <w:tc>
          <w:tcPr>
            <w:tcW w:w="254" w:type="pct"/>
            <w:noWrap/>
            <w:vAlign w:val="center"/>
          </w:tcPr>
          <w:p w14:paraId="28329194">
            <w:pPr>
              <w:widowControl w:val="0"/>
              <w:wordWrap w:val="0"/>
              <w:adjustRightInd w:val="0"/>
              <w:snapToGrid w:val="0"/>
              <w:spacing w:line="240" w:lineRule="auto"/>
              <w:ind w:firstLine="0" w:firstLineChars="0"/>
              <w:jc w:val="center"/>
              <w:rPr>
                <w:rFonts w:hint="default" w:ascii="Times New Roman" w:hAnsi="Times New Roman" w:eastAsia="宋体" w:cs="Times New Roman"/>
                <w:b/>
                <w:bCs/>
                <w:kern w:val="2"/>
                <w:sz w:val="21"/>
                <w:szCs w:val="21"/>
                <w:lang w:val="en-US" w:eastAsia="zh-CN" w:bidi="ar-SA"/>
              </w:rPr>
            </w:pPr>
            <w:r>
              <w:rPr>
                <w:rFonts w:hint="default" w:ascii="Times New Roman" w:hAnsi="Times New Roman" w:eastAsia="宋体" w:cs="Times New Roman"/>
                <w:b/>
                <w:bCs/>
                <w:kern w:val="2"/>
                <w:sz w:val="21"/>
                <w:szCs w:val="21"/>
                <w:lang w:val="en-US" w:eastAsia="zh-CN" w:bidi="ar-SA"/>
              </w:rPr>
              <w:t>序号</w:t>
            </w:r>
          </w:p>
        </w:tc>
        <w:tc>
          <w:tcPr>
            <w:tcW w:w="407" w:type="pct"/>
            <w:vAlign w:val="center"/>
          </w:tcPr>
          <w:p w14:paraId="3E94FD1A">
            <w:pPr>
              <w:widowControl w:val="0"/>
              <w:wordWrap w:val="0"/>
              <w:adjustRightInd w:val="0"/>
              <w:snapToGrid w:val="0"/>
              <w:spacing w:line="240" w:lineRule="auto"/>
              <w:ind w:firstLine="0" w:firstLineChars="0"/>
              <w:jc w:val="center"/>
              <w:rPr>
                <w:rFonts w:hint="default" w:ascii="Times New Roman" w:hAnsi="Times New Roman" w:eastAsia="宋体" w:cs="Times New Roman"/>
                <w:b/>
                <w:bCs/>
                <w:kern w:val="2"/>
                <w:sz w:val="21"/>
                <w:szCs w:val="21"/>
                <w:lang w:val="en-US" w:eastAsia="zh-CN" w:bidi="ar-SA"/>
              </w:rPr>
            </w:pPr>
            <w:r>
              <w:rPr>
                <w:rFonts w:hint="default" w:ascii="Times New Roman" w:hAnsi="Times New Roman" w:eastAsia="宋体" w:cs="Times New Roman"/>
                <w:b/>
                <w:bCs/>
                <w:kern w:val="2"/>
                <w:sz w:val="21"/>
                <w:szCs w:val="21"/>
                <w:lang w:val="en-US" w:eastAsia="zh-CN" w:bidi="ar-SA"/>
              </w:rPr>
              <w:t>作业</w:t>
            </w:r>
          </w:p>
        </w:tc>
        <w:tc>
          <w:tcPr>
            <w:tcW w:w="1558" w:type="pct"/>
            <w:noWrap/>
            <w:vAlign w:val="center"/>
          </w:tcPr>
          <w:p w14:paraId="6E84EA96">
            <w:pPr>
              <w:widowControl w:val="0"/>
              <w:wordWrap w:val="0"/>
              <w:adjustRightInd w:val="0"/>
              <w:snapToGrid w:val="0"/>
              <w:spacing w:line="240" w:lineRule="auto"/>
              <w:ind w:firstLine="0" w:firstLineChars="0"/>
              <w:jc w:val="center"/>
              <w:rPr>
                <w:rFonts w:hint="default" w:ascii="Times New Roman" w:hAnsi="Times New Roman" w:eastAsia="宋体" w:cs="Times New Roman"/>
                <w:b/>
                <w:bCs/>
                <w:kern w:val="2"/>
                <w:sz w:val="21"/>
                <w:szCs w:val="21"/>
                <w:lang w:val="en-US" w:eastAsia="zh-CN" w:bidi="ar-SA"/>
              </w:rPr>
            </w:pPr>
            <w:r>
              <w:rPr>
                <w:rFonts w:hint="default" w:ascii="Times New Roman" w:hAnsi="Times New Roman" w:eastAsia="宋体" w:cs="Times New Roman"/>
                <w:b/>
                <w:bCs/>
                <w:kern w:val="2"/>
                <w:sz w:val="21"/>
                <w:szCs w:val="21"/>
                <w:lang w:val="en-US" w:eastAsia="zh-CN" w:bidi="ar-SA"/>
              </w:rPr>
              <w:t>设备名称</w:t>
            </w:r>
          </w:p>
        </w:tc>
        <w:tc>
          <w:tcPr>
            <w:tcW w:w="1366" w:type="pct"/>
            <w:noWrap/>
            <w:vAlign w:val="center"/>
          </w:tcPr>
          <w:p w14:paraId="3570B75E">
            <w:pPr>
              <w:widowControl w:val="0"/>
              <w:wordWrap w:val="0"/>
              <w:adjustRightInd w:val="0"/>
              <w:snapToGrid w:val="0"/>
              <w:spacing w:line="240" w:lineRule="auto"/>
              <w:ind w:firstLine="0" w:firstLineChars="0"/>
              <w:jc w:val="center"/>
              <w:rPr>
                <w:rFonts w:hint="default" w:ascii="Times New Roman" w:hAnsi="Times New Roman" w:eastAsia="宋体" w:cs="Times New Roman"/>
                <w:b/>
                <w:bCs/>
                <w:kern w:val="2"/>
                <w:sz w:val="21"/>
                <w:szCs w:val="21"/>
                <w:lang w:val="en-US" w:eastAsia="zh-CN" w:bidi="ar-SA"/>
              </w:rPr>
            </w:pPr>
            <w:r>
              <w:rPr>
                <w:rFonts w:hint="default" w:ascii="Times New Roman" w:hAnsi="Times New Roman" w:eastAsia="宋体" w:cs="Times New Roman"/>
                <w:b/>
                <w:bCs/>
                <w:kern w:val="2"/>
                <w:sz w:val="21"/>
                <w:szCs w:val="21"/>
                <w:lang w:val="en-US" w:eastAsia="zh-CN" w:bidi="ar-SA"/>
              </w:rPr>
              <w:t>规格型号</w:t>
            </w:r>
          </w:p>
        </w:tc>
        <w:tc>
          <w:tcPr>
            <w:tcW w:w="281" w:type="pct"/>
            <w:noWrap/>
            <w:vAlign w:val="center"/>
          </w:tcPr>
          <w:p w14:paraId="0D5A2105">
            <w:pPr>
              <w:widowControl w:val="0"/>
              <w:wordWrap w:val="0"/>
              <w:adjustRightInd w:val="0"/>
              <w:snapToGrid w:val="0"/>
              <w:spacing w:line="240" w:lineRule="auto"/>
              <w:ind w:firstLine="0" w:firstLineChars="0"/>
              <w:jc w:val="center"/>
              <w:rPr>
                <w:rFonts w:hint="default" w:ascii="Times New Roman" w:hAnsi="Times New Roman" w:eastAsia="宋体" w:cs="Times New Roman"/>
                <w:b/>
                <w:bCs/>
                <w:kern w:val="2"/>
                <w:sz w:val="21"/>
                <w:szCs w:val="21"/>
                <w:lang w:val="en-US" w:eastAsia="zh-CN" w:bidi="ar-SA"/>
              </w:rPr>
            </w:pPr>
            <w:r>
              <w:rPr>
                <w:rFonts w:hint="default" w:ascii="Times New Roman" w:hAnsi="Times New Roman" w:eastAsia="宋体" w:cs="Times New Roman"/>
                <w:b/>
                <w:bCs/>
                <w:kern w:val="2"/>
                <w:sz w:val="21"/>
                <w:szCs w:val="21"/>
                <w:lang w:val="en-US" w:eastAsia="zh-CN" w:bidi="ar-SA"/>
              </w:rPr>
              <w:t>单位</w:t>
            </w:r>
          </w:p>
        </w:tc>
        <w:tc>
          <w:tcPr>
            <w:tcW w:w="396" w:type="pct"/>
            <w:noWrap/>
            <w:vAlign w:val="center"/>
          </w:tcPr>
          <w:p w14:paraId="3974286A">
            <w:pPr>
              <w:widowControl w:val="0"/>
              <w:wordWrap w:val="0"/>
              <w:adjustRightInd w:val="0"/>
              <w:snapToGrid w:val="0"/>
              <w:spacing w:line="240" w:lineRule="auto"/>
              <w:ind w:firstLine="0" w:firstLineChars="0"/>
              <w:jc w:val="center"/>
              <w:rPr>
                <w:rFonts w:hint="default" w:ascii="Times New Roman" w:hAnsi="Times New Roman" w:eastAsia="宋体" w:cs="Times New Roman"/>
                <w:b/>
                <w:bCs/>
                <w:kern w:val="2"/>
                <w:sz w:val="21"/>
                <w:szCs w:val="21"/>
                <w:lang w:val="en-US" w:eastAsia="zh-CN" w:bidi="ar-SA"/>
              </w:rPr>
            </w:pPr>
            <w:r>
              <w:rPr>
                <w:rFonts w:hint="default" w:ascii="Times New Roman" w:hAnsi="Times New Roman" w:eastAsia="宋体" w:cs="Times New Roman"/>
                <w:b/>
                <w:bCs/>
                <w:kern w:val="2"/>
                <w:sz w:val="21"/>
                <w:szCs w:val="21"/>
                <w:lang w:val="en-US" w:eastAsia="zh-CN" w:bidi="ar-SA"/>
              </w:rPr>
              <w:t>数量</w:t>
            </w:r>
          </w:p>
        </w:tc>
        <w:tc>
          <w:tcPr>
            <w:tcW w:w="739" w:type="pct"/>
            <w:noWrap/>
            <w:vAlign w:val="center"/>
          </w:tcPr>
          <w:p w14:paraId="42FB74E0">
            <w:pPr>
              <w:widowControl w:val="0"/>
              <w:wordWrap w:val="0"/>
              <w:adjustRightInd w:val="0"/>
              <w:snapToGrid w:val="0"/>
              <w:spacing w:line="240" w:lineRule="auto"/>
              <w:ind w:firstLine="0" w:firstLineChars="0"/>
              <w:jc w:val="center"/>
              <w:rPr>
                <w:rFonts w:hint="default" w:ascii="Times New Roman" w:hAnsi="Times New Roman" w:eastAsia="宋体" w:cs="Times New Roman"/>
                <w:b/>
                <w:bCs/>
                <w:kern w:val="2"/>
                <w:sz w:val="21"/>
                <w:szCs w:val="21"/>
                <w:lang w:val="en-US" w:eastAsia="zh-CN" w:bidi="ar-SA"/>
              </w:rPr>
            </w:pPr>
            <w:r>
              <w:rPr>
                <w:rFonts w:hint="default" w:ascii="Times New Roman" w:hAnsi="Times New Roman" w:eastAsia="宋体" w:cs="Times New Roman"/>
                <w:b/>
                <w:bCs/>
                <w:kern w:val="2"/>
                <w:sz w:val="21"/>
                <w:szCs w:val="21"/>
                <w:lang w:val="en-US" w:eastAsia="zh-CN" w:bidi="ar-SA"/>
              </w:rPr>
              <w:t>备注</w:t>
            </w:r>
          </w:p>
        </w:tc>
      </w:tr>
      <w:tr w14:paraId="542655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54" w:type="pct"/>
            <w:vMerge w:val="restart"/>
            <w:noWrap/>
            <w:vAlign w:val="center"/>
          </w:tcPr>
          <w:p w14:paraId="0A0CB848">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1</w:t>
            </w:r>
          </w:p>
        </w:tc>
        <w:tc>
          <w:tcPr>
            <w:tcW w:w="407" w:type="pct"/>
            <w:vMerge w:val="restart"/>
            <w:vAlign w:val="center"/>
          </w:tcPr>
          <w:p w14:paraId="20E51908">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铲装</w:t>
            </w:r>
          </w:p>
        </w:tc>
        <w:tc>
          <w:tcPr>
            <w:tcW w:w="1558" w:type="pct"/>
            <w:noWrap/>
            <w:vAlign w:val="center"/>
          </w:tcPr>
          <w:p w14:paraId="7C43BD7A">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挖掘机</w:t>
            </w:r>
          </w:p>
        </w:tc>
        <w:tc>
          <w:tcPr>
            <w:tcW w:w="1366" w:type="pct"/>
            <w:noWrap/>
            <w:vAlign w:val="center"/>
          </w:tcPr>
          <w:p w14:paraId="71CAEE54">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三一SY600（电动）</w:t>
            </w:r>
          </w:p>
        </w:tc>
        <w:tc>
          <w:tcPr>
            <w:tcW w:w="281" w:type="pct"/>
            <w:noWrap/>
            <w:vAlign w:val="center"/>
          </w:tcPr>
          <w:p w14:paraId="385C3B0C">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台</w:t>
            </w:r>
          </w:p>
        </w:tc>
        <w:tc>
          <w:tcPr>
            <w:tcW w:w="396" w:type="pct"/>
            <w:noWrap/>
            <w:vAlign w:val="center"/>
          </w:tcPr>
          <w:p w14:paraId="76E012BF">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1</w:t>
            </w:r>
          </w:p>
        </w:tc>
        <w:tc>
          <w:tcPr>
            <w:tcW w:w="739" w:type="pct"/>
            <w:noWrap/>
            <w:vAlign w:val="center"/>
          </w:tcPr>
          <w:p w14:paraId="1F780064">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斗容3.0m³</w:t>
            </w:r>
          </w:p>
        </w:tc>
      </w:tr>
      <w:tr w14:paraId="78CEE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54" w:type="pct"/>
            <w:vMerge w:val="continue"/>
            <w:vAlign w:val="center"/>
          </w:tcPr>
          <w:p w14:paraId="32F2B2B5">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p>
        </w:tc>
        <w:tc>
          <w:tcPr>
            <w:tcW w:w="407" w:type="pct"/>
            <w:vMerge w:val="continue"/>
            <w:vAlign w:val="center"/>
          </w:tcPr>
          <w:p w14:paraId="31B7EBE5">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p>
        </w:tc>
        <w:tc>
          <w:tcPr>
            <w:tcW w:w="1558" w:type="pct"/>
            <w:noWrap/>
            <w:vAlign w:val="center"/>
          </w:tcPr>
          <w:p w14:paraId="1B65FF8C">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装载机</w:t>
            </w:r>
          </w:p>
        </w:tc>
        <w:tc>
          <w:tcPr>
            <w:tcW w:w="1366" w:type="pct"/>
            <w:noWrap/>
            <w:vAlign w:val="center"/>
          </w:tcPr>
          <w:p w14:paraId="3A8297D9">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三一SW966（电动）</w:t>
            </w:r>
          </w:p>
        </w:tc>
        <w:tc>
          <w:tcPr>
            <w:tcW w:w="281" w:type="pct"/>
            <w:noWrap/>
            <w:vAlign w:val="center"/>
          </w:tcPr>
          <w:p w14:paraId="55707730">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台</w:t>
            </w:r>
          </w:p>
        </w:tc>
        <w:tc>
          <w:tcPr>
            <w:tcW w:w="396" w:type="pct"/>
            <w:noWrap/>
            <w:vAlign w:val="center"/>
          </w:tcPr>
          <w:p w14:paraId="751AE318">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2</w:t>
            </w:r>
          </w:p>
        </w:tc>
        <w:tc>
          <w:tcPr>
            <w:tcW w:w="739" w:type="pct"/>
            <w:noWrap/>
            <w:vAlign w:val="center"/>
          </w:tcPr>
          <w:p w14:paraId="1DCA545E">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斗容2.7m³</w:t>
            </w:r>
          </w:p>
        </w:tc>
      </w:tr>
      <w:tr w14:paraId="2F64BE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54" w:type="pct"/>
            <w:vMerge w:val="continue"/>
            <w:vAlign w:val="center"/>
          </w:tcPr>
          <w:p w14:paraId="12CCA897">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p>
        </w:tc>
        <w:tc>
          <w:tcPr>
            <w:tcW w:w="407" w:type="pct"/>
            <w:vMerge w:val="continue"/>
            <w:vAlign w:val="center"/>
          </w:tcPr>
          <w:p w14:paraId="1A8203EE">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p>
        </w:tc>
        <w:tc>
          <w:tcPr>
            <w:tcW w:w="1558" w:type="pct"/>
            <w:noWrap/>
            <w:vAlign w:val="center"/>
          </w:tcPr>
          <w:p w14:paraId="261CB618">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辅助挖掘机</w:t>
            </w:r>
          </w:p>
        </w:tc>
        <w:tc>
          <w:tcPr>
            <w:tcW w:w="1366" w:type="pct"/>
            <w:noWrap/>
            <w:vAlign w:val="center"/>
          </w:tcPr>
          <w:p w14:paraId="4ACFFBB9">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三一SY375H（电动）</w:t>
            </w:r>
          </w:p>
        </w:tc>
        <w:tc>
          <w:tcPr>
            <w:tcW w:w="281" w:type="pct"/>
            <w:noWrap/>
            <w:vAlign w:val="center"/>
          </w:tcPr>
          <w:p w14:paraId="20D2A502">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台</w:t>
            </w:r>
          </w:p>
        </w:tc>
        <w:tc>
          <w:tcPr>
            <w:tcW w:w="396" w:type="pct"/>
            <w:noWrap/>
            <w:vAlign w:val="center"/>
          </w:tcPr>
          <w:p w14:paraId="2AD0B131">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2</w:t>
            </w:r>
          </w:p>
        </w:tc>
        <w:tc>
          <w:tcPr>
            <w:tcW w:w="739" w:type="pct"/>
            <w:noWrap/>
            <w:vAlign w:val="center"/>
          </w:tcPr>
          <w:p w14:paraId="135A17F8">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斗容1.9m³</w:t>
            </w:r>
          </w:p>
        </w:tc>
      </w:tr>
      <w:tr w14:paraId="4390BF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54" w:type="pct"/>
            <w:noWrap/>
            <w:vAlign w:val="center"/>
          </w:tcPr>
          <w:p w14:paraId="78F69A8C">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2</w:t>
            </w:r>
          </w:p>
        </w:tc>
        <w:tc>
          <w:tcPr>
            <w:tcW w:w="407" w:type="pct"/>
            <w:vAlign w:val="center"/>
          </w:tcPr>
          <w:p w14:paraId="7399C5EC">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运输</w:t>
            </w:r>
          </w:p>
        </w:tc>
        <w:tc>
          <w:tcPr>
            <w:tcW w:w="1558" w:type="pct"/>
            <w:noWrap/>
            <w:vAlign w:val="center"/>
          </w:tcPr>
          <w:p w14:paraId="1F9E4E85">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矿用汽车</w:t>
            </w:r>
          </w:p>
        </w:tc>
        <w:tc>
          <w:tcPr>
            <w:tcW w:w="1366" w:type="pct"/>
            <w:noWrap/>
            <w:vAlign w:val="center"/>
          </w:tcPr>
          <w:p w14:paraId="7BD51416">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20t（电动）</w:t>
            </w:r>
          </w:p>
        </w:tc>
        <w:tc>
          <w:tcPr>
            <w:tcW w:w="281" w:type="pct"/>
            <w:noWrap/>
            <w:vAlign w:val="center"/>
          </w:tcPr>
          <w:p w14:paraId="42A57997">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台</w:t>
            </w:r>
          </w:p>
        </w:tc>
        <w:tc>
          <w:tcPr>
            <w:tcW w:w="396" w:type="pct"/>
            <w:noWrap/>
            <w:vAlign w:val="center"/>
          </w:tcPr>
          <w:p w14:paraId="1F348330">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4</w:t>
            </w:r>
          </w:p>
        </w:tc>
        <w:tc>
          <w:tcPr>
            <w:tcW w:w="739" w:type="pct"/>
            <w:noWrap/>
            <w:vAlign w:val="center"/>
          </w:tcPr>
          <w:p w14:paraId="43B97985">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p>
        </w:tc>
      </w:tr>
      <w:tr w14:paraId="126967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54" w:type="pct"/>
            <w:vMerge w:val="restart"/>
            <w:noWrap/>
            <w:vAlign w:val="center"/>
          </w:tcPr>
          <w:p w14:paraId="468BFFDB">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3</w:t>
            </w:r>
          </w:p>
        </w:tc>
        <w:tc>
          <w:tcPr>
            <w:tcW w:w="407" w:type="pct"/>
            <w:vMerge w:val="restart"/>
            <w:vAlign w:val="center"/>
          </w:tcPr>
          <w:p w14:paraId="05868FF9">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破碎</w:t>
            </w:r>
          </w:p>
        </w:tc>
        <w:tc>
          <w:tcPr>
            <w:tcW w:w="1558" w:type="pct"/>
            <w:noWrap/>
            <w:vAlign w:val="center"/>
          </w:tcPr>
          <w:p w14:paraId="013CFD40">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color w:val="000000"/>
                <w:kern w:val="2"/>
                <w:sz w:val="21"/>
                <w:szCs w:val="21"/>
                <w:lang w:val="en-US" w:eastAsia="zh-CN" w:bidi="ar-SA"/>
              </w:rPr>
              <w:t>重锤破（一破）PFC1010</w:t>
            </w:r>
          </w:p>
        </w:tc>
        <w:tc>
          <w:tcPr>
            <w:tcW w:w="1366" w:type="pct"/>
            <w:noWrap/>
            <w:vAlign w:val="center"/>
          </w:tcPr>
          <w:p w14:paraId="4F4D4530">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color w:val="000000"/>
                <w:kern w:val="2"/>
                <w:sz w:val="21"/>
                <w:szCs w:val="21"/>
                <w:lang w:val="en-US" w:eastAsia="zh-CN" w:bidi="ar-SA"/>
              </w:rPr>
              <w:t>PFC1010</w:t>
            </w:r>
          </w:p>
        </w:tc>
        <w:tc>
          <w:tcPr>
            <w:tcW w:w="281" w:type="pct"/>
            <w:noWrap/>
            <w:vAlign w:val="center"/>
          </w:tcPr>
          <w:p w14:paraId="0D2355A0">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台</w:t>
            </w:r>
          </w:p>
        </w:tc>
        <w:tc>
          <w:tcPr>
            <w:tcW w:w="396" w:type="pct"/>
            <w:noWrap/>
            <w:vAlign w:val="center"/>
          </w:tcPr>
          <w:p w14:paraId="180F3895">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等线" w:cs="Times New Roman"/>
                <w:b w:val="0"/>
                <w:color w:val="000000"/>
                <w:kern w:val="2"/>
                <w:sz w:val="21"/>
                <w:szCs w:val="21"/>
                <w:lang w:val="en-US" w:eastAsia="zh-CN" w:bidi="ar-SA"/>
              </w:rPr>
              <w:t>1</w:t>
            </w:r>
          </w:p>
        </w:tc>
        <w:tc>
          <w:tcPr>
            <w:tcW w:w="739" w:type="pct"/>
            <w:noWrap/>
            <w:vAlign w:val="center"/>
          </w:tcPr>
          <w:p w14:paraId="7140525B">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p>
        </w:tc>
      </w:tr>
      <w:tr w14:paraId="310895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54" w:type="pct"/>
            <w:vMerge w:val="continue"/>
            <w:noWrap/>
            <w:vAlign w:val="center"/>
          </w:tcPr>
          <w:p w14:paraId="4A2EC7BD">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p>
        </w:tc>
        <w:tc>
          <w:tcPr>
            <w:tcW w:w="407" w:type="pct"/>
            <w:vMerge w:val="continue"/>
            <w:vAlign w:val="center"/>
          </w:tcPr>
          <w:p w14:paraId="1AE5390C">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p>
        </w:tc>
        <w:tc>
          <w:tcPr>
            <w:tcW w:w="1558" w:type="pct"/>
            <w:noWrap/>
            <w:vAlign w:val="center"/>
          </w:tcPr>
          <w:p w14:paraId="233A8531">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color w:val="000000"/>
                <w:kern w:val="2"/>
                <w:sz w:val="21"/>
                <w:szCs w:val="21"/>
                <w:lang w:val="en-US" w:eastAsia="zh-CN" w:bidi="ar-SA"/>
              </w:rPr>
              <w:t>重锤破（二破）PC1220</w:t>
            </w:r>
          </w:p>
        </w:tc>
        <w:tc>
          <w:tcPr>
            <w:tcW w:w="1366" w:type="pct"/>
            <w:noWrap/>
            <w:vAlign w:val="center"/>
          </w:tcPr>
          <w:p w14:paraId="6D0D6255">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color w:val="000000"/>
                <w:kern w:val="2"/>
                <w:sz w:val="21"/>
                <w:szCs w:val="21"/>
                <w:lang w:val="en-US" w:eastAsia="zh-CN" w:bidi="ar-SA"/>
              </w:rPr>
              <w:t>PC1220</w:t>
            </w:r>
          </w:p>
        </w:tc>
        <w:tc>
          <w:tcPr>
            <w:tcW w:w="281" w:type="pct"/>
            <w:noWrap/>
            <w:vAlign w:val="center"/>
          </w:tcPr>
          <w:p w14:paraId="1650E29E">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台</w:t>
            </w:r>
          </w:p>
        </w:tc>
        <w:tc>
          <w:tcPr>
            <w:tcW w:w="396" w:type="pct"/>
            <w:noWrap/>
            <w:vAlign w:val="center"/>
          </w:tcPr>
          <w:p w14:paraId="75F5C6A1">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等线" w:cs="Times New Roman"/>
                <w:b w:val="0"/>
                <w:color w:val="000000"/>
                <w:kern w:val="2"/>
                <w:sz w:val="21"/>
                <w:szCs w:val="21"/>
                <w:lang w:val="en-US" w:eastAsia="zh-CN" w:bidi="ar-SA"/>
              </w:rPr>
              <w:t>2</w:t>
            </w:r>
          </w:p>
        </w:tc>
        <w:tc>
          <w:tcPr>
            <w:tcW w:w="739" w:type="pct"/>
            <w:noWrap/>
            <w:vAlign w:val="center"/>
          </w:tcPr>
          <w:p w14:paraId="634DC242">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p>
        </w:tc>
      </w:tr>
      <w:tr w14:paraId="254894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54" w:type="pct"/>
            <w:vMerge w:val="continue"/>
            <w:noWrap/>
            <w:vAlign w:val="center"/>
          </w:tcPr>
          <w:p w14:paraId="7CB3F4A2">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p>
        </w:tc>
        <w:tc>
          <w:tcPr>
            <w:tcW w:w="407" w:type="pct"/>
            <w:vMerge w:val="continue"/>
            <w:vAlign w:val="center"/>
          </w:tcPr>
          <w:p w14:paraId="4F2E6B8A">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p>
        </w:tc>
        <w:tc>
          <w:tcPr>
            <w:tcW w:w="1558" w:type="pct"/>
            <w:noWrap/>
            <w:vAlign w:val="center"/>
          </w:tcPr>
          <w:p w14:paraId="02A54E9E">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color w:val="000000"/>
                <w:kern w:val="2"/>
                <w:sz w:val="21"/>
                <w:szCs w:val="21"/>
                <w:lang w:val="en-US" w:eastAsia="zh-CN" w:bidi="ar-SA"/>
              </w:rPr>
              <w:t>给料机ZG1220</w:t>
            </w:r>
          </w:p>
        </w:tc>
        <w:tc>
          <w:tcPr>
            <w:tcW w:w="1366" w:type="pct"/>
            <w:noWrap/>
            <w:vAlign w:val="center"/>
          </w:tcPr>
          <w:p w14:paraId="42E996E4">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color w:val="000000"/>
                <w:kern w:val="2"/>
                <w:sz w:val="21"/>
                <w:szCs w:val="21"/>
                <w:lang w:val="en-US" w:eastAsia="zh-CN" w:bidi="ar-SA"/>
              </w:rPr>
              <w:t>ZG1220</w:t>
            </w:r>
          </w:p>
        </w:tc>
        <w:tc>
          <w:tcPr>
            <w:tcW w:w="281" w:type="pct"/>
            <w:noWrap/>
            <w:vAlign w:val="center"/>
          </w:tcPr>
          <w:p w14:paraId="52061780">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台</w:t>
            </w:r>
          </w:p>
        </w:tc>
        <w:tc>
          <w:tcPr>
            <w:tcW w:w="396" w:type="pct"/>
            <w:noWrap/>
            <w:vAlign w:val="center"/>
          </w:tcPr>
          <w:p w14:paraId="3BE597F7">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等线" w:cs="Times New Roman"/>
                <w:b w:val="0"/>
                <w:color w:val="000000"/>
                <w:kern w:val="2"/>
                <w:sz w:val="21"/>
                <w:szCs w:val="21"/>
                <w:lang w:val="en-US" w:eastAsia="zh-CN" w:bidi="ar-SA"/>
              </w:rPr>
              <w:t>2</w:t>
            </w:r>
          </w:p>
        </w:tc>
        <w:tc>
          <w:tcPr>
            <w:tcW w:w="739" w:type="pct"/>
            <w:noWrap/>
            <w:vAlign w:val="center"/>
          </w:tcPr>
          <w:p w14:paraId="3A7AF36D">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p>
        </w:tc>
      </w:tr>
      <w:tr w14:paraId="7B5152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54" w:type="pct"/>
            <w:vMerge w:val="continue"/>
            <w:noWrap/>
            <w:vAlign w:val="center"/>
          </w:tcPr>
          <w:p w14:paraId="41ACF93C">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p>
        </w:tc>
        <w:tc>
          <w:tcPr>
            <w:tcW w:w="407" w:type="pct"/>
            <w:vMerge w:val="continue"/>
            <w:vAlign w:val="center"/>
          </w:tcPr>
          <w:p w14:paraId="23D8614A">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p>
        </w:tc>
        <w:tc>
          <w:tcPr>
            <w:tcW w:w="1558" w:type="pct"/>
            <w:noWrap/>
            <w:vAlign w:val="center"/>
          </w:tcPr>
          <w:p w14:paraId="56556F3F">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color w:val="000000"/>
                <w:kern w:val="2"/>
                <w:sz w:val="21"/>
                <w:szCs w:val="21"/>
                <w:lang w:val="en-US" w:eastAsia="zh-CN" w:bidi="ar-SA"/>
              </w:rPr>
              <w:t>振动筛 2YA1242</w:t>
            </w:r>
          </w:p>
        </w:tc>
        <w:tc>
          <w:tcPr>
            <w:tcW w:w="1366" w:type="pct"/>
            <w:noWrap/>
            <w:vAlign w:val="center"/>
          </w:tcPr>
          <w:p w14:paraId="282BFB7F">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color w:val="000000"/>
                <w:kern w:val="2"/>
                <w:sz w:val="21"/>
                <w:szCs w:val="21"/>
                <w:lang w:val="en-US" w:eastAsia="zh-CN" w:bidi="ar-SA"/>
              </w:rPr>
              <w:t>2YA1242</w:t>
            </w:r>
          </w:p>
        </w:tc>
        <w:tc>
          <w:tcPr>
            <w:tcW w:w="281" w:type="pct"/>
            <w:noWrap/>
            <w:vAlign w:val="center"/>
          </w:tcPr>
          <w:p w14:paraId="379DFB15">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台</w:t>
            </w:r>
          </w:p>
        </w:tc>
        <w:tc>
          <w:tcPr>
            <w:tcW w:w="396" w:type="pct"/>
            <w:noWrap/>
            <w:vAlign w:val="center"/>
          </w:tcPr>
          <w:p w14:paraId="7E2E2464">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等线" w:cs="Times New Roman"/>
                <w:b w:val="0"/>
                <w:color w:val="000000"/>
                <w:kern w:val="2"/>
                <w:sz w:val="21"/>
                <w:szCs w:val="21"/>
                <w:lang w:val="en-US" w:eastAsia="zh-CN" w:bidi="ar-SA"/>
              </w:rPr>
              <w:t>1</w:t>
            </w:r>
          </w:p>
        </w:tc>
        <w:tc>
          <w:tcPr>
            <w:tcW w:w="739" w:type="pct"/>
            <w:noWrap/>
            <w:vAlign w:val="center"/>
          </w:tcPr>
          <w:p w14:paraId="20ABAB49">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p>
        </w:tc>
      </w:tr>
      <w:tr w14:paraId="618D8C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54" w:type="pct"/>
            <w:vMerge w:val="continue"/>
            <w:noWrap/>
            <w:vAlign w:val="center"/>
          </w:tcPr>
          <w:p w14:paraId="339052A5">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p>
        </w:tc>
        <w:tc>
          <w:tcPr>
            <w:tcW w:w="407" w:type="pct"/>
            <w:vMerge w:val="continue"/>
            <w:vAlign w:val="center"/>
          </w:tcPr>
          <w:p w14:paraId="7715E112">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p>
        </w:tc>
        <w:tc>
          <w:tcPr>
            <w:tcW w:w="1558" w:type="pct"/>
            <w:noWrap/>
            <w:vAlign w:val="center"/>
          </w:tcPr>
          <w:p w14:paraId="6942FCC9">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color w:val="000000"/>
                <w:kern w:val="2"/>
                <w:sz w:val="21"/>
                <w:szCs w:val="21"/>
                <w:lang w:val="en-US" w:eastAsia="zh-CN" w:bidi="ar-SA"/>
              </w:rPr>
              <w:t>皮带输送机</w:t>
            </w:r>
          </w:p>
        </w:tc>
        <w:tc>
          <w:tcPr>
            <w:tcW w:w="1366" w:type="pct"/>
            <w:noWrap/>
            <w:vAlign w:val="center"/>
          </w:tcPr>
          <w:p w14:paraId="6D1D52EB">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800mm</w:t>
            </w:r>
          </w:p>
        </w:tc>
        <w:tc>
          <w:tcPr>
            <w:tcW w:w="281" w:type="pct"/>
            <w:noWrap/>
            <w:vAlign w:val="center"/>
          </w:tcPr>
          <w:p w14:paraId="257AC9CF">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条</w:t>
            </w:r>
          </w:p>
        </w:tc>
        <w:tc>
          <w:tcPr>
            <w:tcW w:w="396" w:type="pct"/>
            <w:noWrap/>
            <w:vAlign w:val="center"/>
          </w:tcPr>
          <w:p w14:paraId="48070829">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等线" w:cs="Times New Roman"/>
                <w:b w:val="0"/>
                <w:color w:val="000000"/>
                <w:kern w:val="2"/>
                <w:sz w:val="21"/>
                <w:szCs w:val="21"/>
                <w:lang w:val="en-US" w:eastAsia="zh-CN" w:bidi="ar-SA"/>
              </w:rPr>
              <w:t>8</w:t>
            </w:r>
          </w:p>
        </w:tc>
        <w:tc>
          <w:tcPr>
            <w:tcW w:w="739" w:type="pct"/>
            <w:noWrap/>
            <w:vAlign w:val="center"/>
          </w:tcPr>
          <w:p w14:paraId="3DF989E1">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p>
        </w:tc>
      </w:tr>
      <w:tr w14:paraId="5B3CA0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54" w:type="pct"/>
            <w:noWrap/>
            <w:vAlign w:val="center"/>
          </w:tcPr>
          <w:p w14:paraId="08965FD9">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4</w:t>
            </w:r>
          </w:p>
        </w:tc>
        <w:tc>
          <w:tcPr>
            <w:tcW w:w="407" w:type="pct"/>
            <w:vAlign w:val="center"/>
          </w:tcPr>
          <w:p w14:paraId="39F47BDE">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洒水</w:t>
            </w:r>
          </w:p>
        </w:tc>
        <w:tc>
          <w:tcPr>
            <w:tcW w:w="1558" w:type="pct"/>
            <w:noWrap/>
            <w:vAlign w:val="center"/>
          </w:tcPr>
          <w:p w14:paraId="56D6BB23">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洒水车</w:t>
            </w:r>
          </w:p>
        </w:tc>
        <w:tc>
          <w:tcPr>
            <w:tcW w:w="1366" w:type="pct"/>
            <w:noWrap/>
            <w:vAlign w:val="center"/>
          </w:tcPr>
          <w:p w14:paraId="34AC247E">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东风140</w:t>
            </w:r>
          </w:p>
        </w:tc>
        <w:tc>
          <w:tcPr>
            <w:tcW w:w="281" w:type="pct"/>
            <w:noWrap/>
            <w:vAlign w:val="center"/>
          </w:tcPr>
          <w:p w14:paraId="582FFB1A">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台</w:t>
            </w:r>
          </w:p>
        </w:tc>
        <w:tc>
          <w:tcPr>
            <w:tcW w:w="396" w:type="pct"/>
            <w:noWrap/>
            <w:vAlign w:val="center"/>
          </w:tcPr>
          <w:p w14:paraId="0AB1ACBB">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1</w:t>
            </w:r>
          </w:p>
        </w:tc>
        <w:tc>
          <w:tcPr>
            <w:tcW w:w="739" w:type="pct"/>
            <w:noWrap/>
            <w:vAlign w:val="center"/>
          </w:tcPr>
          <w:p w14:paraId="2FD80FAA">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p>
        </w:tc>
      </w:tr>
      <w:tr w14:paraId="09F47C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54" w:type="pct"/>
            <w:noWrap/>
            <w:vAlign w:val="center"/>
          </w:tcPr>
          <w:p w14:paraId="674AE214">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5</w:t>
            </w:r>
          </w:p>
        </w:tc>
        <w:tc>
          <w:tcPr>
            <w:tcW w:w="407" w:type="pct"/>
            <w:vAlign w:val="center"/>
          </w:tcPr>
          <w:p w14:paraId="3CEF2CFA">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货运</w:t>
            </w:r>
          </w:p>
        </w:tc>
        <w:tc>
          <w:tcPr>
            <w:tcW w:w="1558" w:type="pct"/>
            <w:noWrap/>
            <w:vAlign w:val="center"/>
          </w:tcPr>
          <w:p w14:paraId="466EC277">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皮卡车</w:t>
            </w:r>
          </w:p>
        </w:tc>
        <w:tc>
          <w:tcPr>
            <w:tcW w:w="1366" w:type="pct"/>
            <w:noWrap/>
            <w:vAlign w:val="center"/>
          </w:tcPr>
          <w:p w14:paraId="2972DE09">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皮卡车</w:t>
            </w:r>
          </w:p>
        </w:tc>
        <w:tc>
          <w:tcPr>
            <w:tcW w:w="281" w:type="pct"/>
            <w:noWrap/>
            <w:vAlign w:val="center"/>
          </w:tcPr>
          <w:p w14:paraId="42555790">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台</w:t>
            </w:r>
          </w:p>
        </w:tc>
        <w:tc>
          <w:tcPr>
            <w:tcW w:w="396" w:type="pct"/>
            <w:noWrap/>
            <w:vAlign w:val="center"/>
          </w:tcPr>
          <w:p w14:paraId="65843209">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1</w:t>
            </w:r>
          </w:p>
        </w:tc>
        <w:tc>
          <w:tcPr>
            <w:tcW w:w="739" w:type="pct"/>
            <w:noWrap/>
            <w:vAlign w:val="center"/>
          </w:tcPr>
          <w:p w14:paraId="14D7E606">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材料拉运</w:t>
            </w:r>
          </w:p>
        </w:tc>
      </w:tr>
    </w:tbl>
    <w:p w14:paraId="2823F0BF">
      <w:pPr>
        <w:pStyle w:val="4"/>
        <w:spacing w:before="0" w:after="0" w:line="360" w:lineRule="auto"/>
        <w:rPr>
          <w:rFonts w:hint="default" w:ascii="Times New Roman" w:hAnsi="Times New Roman" w:cs="Times New Roman"/>
          <w:sz w:val="28"/>
          <w:szCs w:val="28"/>
        </w:rPr>
      </w:pPr>
      <w:r>
        <w:rPr>
          <w:rFonts w:hint="default" w:ascii="Times New Roman" w:hAnsi="Times New Roman" w:cs="Times New Roman"/>
          <w:sz w:val="28"/>
          <w:szCs w:val="28"/>
        </w:rPr>
        <w:t>2.4.7边坡监测</w:t>
      </w:r>
    </w:p>
    <w:p w14:paraId="14055CFF">
      <w:pPr>
        <w:pStyle w:val="5"/>
        <w:keepNext w:val="0"/>
        <w:keepLines w:val="0"/>
        <w:adjustRightInd w:val="0"/>
        <w:snapToGrid w:val="0"/>
        <w:spacing w:before="0" w:after="0" w:line="360" w:lineRule="auto"/>
        <w:ind w:firstLine="562" w:firstLineChars="200"/>
        <w:rPr>
          <w:rFonts w:hint="default" w:ascii="Times New Roman" w:hAnsi="Times New Roman" w:cs="Times New Roman"/>
          <w:b/>
          <w:bCs/>
        </w:rPr>
      </w:pPr>
      <w:r>
        <w:rPr>
          <w:rFonts w:hint="default" w:ascii="Times New Roman" w:hAnsi="Times New Roman" w:cs="Times New Roman"/>
          <w:b/>
          <w:bCs/>
        </w:rPr>
        <w:t>2.4.7.1监测等级</w:t>
      </w:r>
    </w:p>
    <w:p w14:paraId="65499F01">
      <w:pPr>
        <w:adjustRightInd w:val="0"/>
        <w:snapToGrid w:val="0"/>
        <w:spacing w:line="360" w:lineRule="auto"/>
        <w:ind w:firstLine="560" w:firstLineChars="200"/>
        <w:rPr>
          <w:rFonts w:hint="default" w:ascii="Times New Roman" w:hAnsi="Times New Roman" w:eastAsia="宋体" w:cs="Times New Roman"/>
          <w:color w:val="000000"/>
          <w:sz w:val="28"/>
          <w:szCs w:val="21"/>
        </w:rPr>
      </w:pPr>
      <w:r>
        <w:rPr>
          <w:rFonts w:hint="default" w:ascii="Times New Roman" w:hAnsi="Times New Roman" w:eastAsia="宋体" w:cs="Times New Roman"/>
          <w:color w:val="000000"/>
          <w:sz w:val="28"/>
          <w:szCs w:val="21"/>
        </w:rPr>
        <w:t>根据采场边坡高度、坡度、地质条件、稳定性等指标确定不同监测等级。</w:t>
      </w:r>
    </w:p>
    <w:p w14:paraId="3A0271E9">
      <w:pPr>
        <w:adjustRightInd w:val="0"/>
        <w:snapToGrid w:val="0"/>
        <w:spacing w:line="360" w:lineRule="auto"/>
        <w:ind w:firstLine="560" w:firstLineChars="200"/>
        <w:rPr>
          <w:rFonts w:hint="default" w:ascii="Times New Roman" w:hAnsi="Times New Roman" w:eastAsia="宋体" w:cs="Times New Roman"/>
          <w:color w:val="000000"/>
          <w:sz w:val="28"/>
          <w:szCs w:val="21"/>
        </w:rPr>
      </w:pPr>
      <w:bookmarkStart w:id="299" w:name="_Toc3013_WPSOffice_Level3"/>
      <w:bookmarkStart w:id="300" w:name="_Toc89368813"/>
      <w:r>
        <w:rPr>
          <w:rFonts w:hint="default" w:ascii="Times New Roman" w:hAnsi="Times New Roman" w:eastAsia="宋体" w:cs="Times New Roman"/>
          <w:color w:val="000000"/>
          <w:sz w:val="28"/>
          <w:szCs w:val="21"/>
        </w:rPr>
        <w:t>（1）边坡高度等级</w:t>
      </w:r>
      <w:bookmarkEnd w:id="299"/>
      <w:bookmarkEnd w:id="300"/>
    </w:p>
    <w:p w14:paraId="397F83BE">
      <w:pPr>
        <w:adjustRightInd w:val="0"/>
        <w:snapToGrid w:val="0"/>
        <w:ind w:firstLine="480" w:firstLineChars="200"/>
        <w:jc w:val="center"/>
        <w:rPr>
          <w:rFonts w:hint="default" w:ascii="Times New Roman" w:hAnsi="Times New Roman" w:cs="Times New Roman"/>
          <w:bCs/>
          <w:sz w:val="24"/>
          <w:lang w:val="en-US" w:eastAsia="zh-CN"/>
        </w:rPr>
      </w:pPr>
      <w:r>
        <w:rPr>
          <w:rFonts w:hint="default" w:ascii="Times New Roman" w:hAnsi="Times New Roman" w:cs="Times New Roman"/>
          <w:bCs/>
          <w:sz w:val="24"/>
        </w:rPr>
        <w:t>表2.4-</w:t>
      </w:r>
      <w:r>
        <w:rPr>
          <w:rFonts w:hint="default" w:ascii="Times New Roman" w:hAnsi="Times New Roman" w:cs="Times New Roman"/>
          <w:bCs/>
          <w:sz w:val="24"/>
          <w:lang w:val="en-US" w:eastAsia="zh-CN"/>
        </w:rPr>
        <w:t>7</w:t>
      </w:r>
      <w:r>
        <w:rPr>
          <w:rFonts w:hint="default" w:ascii="Times New Roman" w:hAnsi="Times New Roman" w:cs="Times New Roman"/>
          <w:bCs/>
          <w:sz w:val="24"/>
        </w:rPr>
        <w:t xml:space="preserve">  </w:t>
      </w:r>
      <w:r>
        <w:rPr>
          <w:rFonts w:hint="default" w:ascii="Times New Roman" w:hAnsi="Times New Roman" w:cs="Times New Roman"/>
          <w:bCs/>
          <w:sz w:val="24"/>
          <w:lang w:val="en-US" w:eastAsia="zh-CN"/>
        </w:rPr>
        <w:t>边坡高度等级</w:t>
      </w:r>
    </w:p>
    <w:tbl>
      <w:tblPr>
        <w:tblStyle w:val="3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558"/>
        <w:gridCol w:w="2502"/>
        <w:gridCol w:w="3339"/>
      </w:tblGrid>
      <w:tr w14:paraId="22FE9A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blHeader/>
          <w:jc w:val="center"/>
        </w:trPr>
        <w:tc>
          <w:tcPr>
            <w:tcW w:w="1893" w:type="pct"/>
            <w:vAlign w:val="center"/>
          </w:tcPr>
          <w:p w14:paraId="0762F37A">
            <w:pPr>
              <w:widowControl w:val="0"/>
              <w:adjustRightInd w:val="0"/>
              <w:snapToGrid w:val="0"/>
              <w:spacing w:line="240" w:lineRule="auto"/>
              <w:ind w:firstLine="0" w:firstLineChars="0"/>
              <w:jc w:val="center"/>
              <w:rPr>
                <w:rFonts w:hint="default" w:ascii="Times New Roman" w:hAnsi="Times New Roman" w:eastAsia="宋体" w:cs="Times New Roman"/>
                <w:b/>
                <w:bCs/>
                <w:color w:val="000000"/>
                <w:kern w:val="2"/>
                <w:sz w:val="21"/>
                <w:szCs w:val="21"/>
                <w:lang w:val="en-US" w:eastAsia="zh-CN" w:bidi="ar-SA"/>
              </w:rPr>
            </w:pPr>
            <w:r>
              <w:rPr>
                <w:rFonts w:hint="default" w:ascii="Times New Roman" w:hAnsi="Times New Roman" w:eastAsia="宋体" w:cs="Times New Roman"/>
                <w:b/>
                <w:bCs/>
                <w:color w:val="000000"/>
                <w:kern w:val="2"/>
                <w:sz w:val="21"/>
                <w:szCs w:val="21"/>
                <w:lang w:val="en-US" w:eastAsia="zh-CN" w:bidi="ar-SA"/>
              </w:rPr>
              <w:t>高度等级指数（H）</w:t>
            </w:r>
          </w:p>
        </w:tc>
        <w:tc>
          <w:tcPr>
            <w:tcW w:w="1331" w:type="pct"/>
            <w:vAlign w:val="center"/>
          </w:tcPr>
          <w:p w14:paraId="74307ADC">
            <w:pPr>
              <w:widowControl w:val="0"/>
              <w:adjustRightInd w:val="0"/>
              <w:snapToGrid w:val="0"/>
              <w:spacing w:line="240" w:lineRule="auto"/>
              <w:ind w:firstLine="0" w:firstLineChars="0"/>
              <w:jc w:val="center"/>
              <w:rPr>
                <w:rFonts w:hint="default" w:ascii="Times New Roman" w:hAnsi="Times New Roman" w:eastAsia="宋体" w:cs="Times New Roman"/>
                <w:b/>
                <w:bCs/>
                <w:color w:val="000000"/>
                <w:kern w:val="2"/>
                <w:sz w:val="21"/>
                <w:szCs w:val="21"/>
                <w:lang w:val="en-US" w:eastAsia="zh-CN" w:bidi="ar-SA"/>
              </w:rPr>
            </w:pPr>
            <w:r>
              <w:rPr>
                <w:rFonts w:hint="default" w:ascii="Times New Roman" w:hAnsi="Times New Roman" w:eastAsia="宋体" w:cs="Times New Roman"/>
                <w:b/>
                <w:bCs/>
                <w:color w:val="000000"/>
                <w:kern w:val="2"/>
                <w:sz w:val="21"/>
                <w:szCs w:val="21"/>
                <w:lang w:val="en-US" w:eastAsia="zh-CN" w:bidi="ar-SA"/>
              </w:rPr>
              <w:t>分类名称</w:t>
            </w:r>
          </w:p>
        </w:tc>
        <w:tc>
          <w:tcPr>
            <w:tcW w:w="1776" w:type="pct"/>
            <w:vAlign w:val="center"/>
          </w:tcPr>
          <w:p w14:paraId="3EA85046">
            <w:pPr>
              <w:widowControl w:val="0"/>
              <w:adjustRightInd w:val="0"/>
              <w:snapToGrid w:val="0"/>
              <w:spacing w:line="240" w:lineRule="auto"/>
              <w:ind w:firstLine="0" w:firstLineChars="0"/>
              <w:jc w:val="center"/>
              <w:rPr>
                <w:rFonts w:hint="default" w:ascii="Times New Roman" w:hAnsi="Times New Roman" w:eastAsia="宋体" w:cs="Times New Roman"/>
                <w:b/>
                <w:bCs/>
                <w:color w:val="000000"/>
                <w:kern w:val="2"/>
                <w:sz w:val="21"/>
                <w:szCs w:val="21"/>
                <w:lang w:val="en-US" w:eastAsia="zh-CN" w:bidi="ar-SA"/>
              </w:rPr>
            </w:pPr>
            <w:r>
              <w:rPr>
                <w:rFonts w:hint="default" w:ascii="Times New Roman" w:hAnsi="Times New Roman" w:eastAsia="宋体" w:cs="Times New Roman"/>
                <w:b/>
                <w:bCs/>
                <w:color w:val="000000"/>
                <w:kern w:val="2"/>
                <w:sz w:val="21"/>
                <w:szCs w:val="21"/>
                <w:lang w:val="en-US" w:eastAsia="zh-CN" w:bidi="ar-SA"/>
              </w:rPr>
              <w:t>高度</w:t>
            </w:r>
          </w:p>
        </w:tc>
      </w:tr>
      <w:tr w14:paraId="698E39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893" w:type="pct"/>
            <w:vAlign w:val="center"/>
          </w:tcPr>
          <w:p w14:paraId="377BB205">
            <w:pPr>
              <w:widowControl w:val="0"/>
              <w:adjustRightInd w:val="0"/>
              <w:snapToGrid w:val="0"/>
              <w:spacing w:line="240" w:lineRule="auto"/>
              <w:ind w:firstLine="0" w:firstLineChars="0"/>
              <w:jc w:val="center"/>
              <w:rPr>
                <w:rFonts w:hint="default" w:ascii="Times New Roman" w:hAnsi="Times New Roman" w:eastAsia="宋体" w:cs="Times New Roman"/>
                <w:b w:val="0"/>
                <w:color w:val="000000"/>
                <w:kern w:val="2"/>
                <w:sz w:val="21"/>
                <w:szCs w:val="21"/>
                <w:lang w:val="en-US" w:eastAsia="zh-CN" w:bidi="ar-SA"/>
              </w:rPr>
            </w:pPr>
            <w:r>
              <w:rPr>
                <w:rFonts w:hint="default" w:ascii="Times New Roman" w:hAnsi="Times New Roman" w:eastAsia="宋体" w:cs="Times New Roman"/>
                <w:b w:val="0"/>
                <w:color w:val="000000"/>
                <w:kern w:val="2"/>
                <w:sz w:val="21"/>
                <w:szCs w:val="21"/>
                <w:lang w:val="en-US" w:eastAsia="zh-CN" w:bidi="ar-SA"/>
              </w:rPr>
              <w:t>1</w:t>
            </w:r>
          </w:p>
        </w:tc>
        <w:tc>
          <w:tcPr>
            <w:tcW w:w="1331" w:type="pct"/>
            <w:vAlign w:val="center"/>
          </w:tcPr>
          <w:p w14:paraId="479F84E1">
            <w:pPr>
              <w:widowControl w:val="0"/>
              <w:adjustRightInd w:val="0"/>
              <w:snapToGrid w:val="0"/>
              <w:spacing w:line="240" w:lineRule="auto"/>
              <w:ind w:firstLine="0" w:firstLineChars="0"/>
              <w:jc w:val="center"/>
              <w:rPr>
                <w:rFonts w:hint="default" w:ascii="Times New Roman" w:hAnsi="Times New Roman" w:eastAsia="宋体" w:cs="Times New Roman"/>
                <w:b w:val="0"/>
                <w:color w:val="000000"/>
                <w:kern w:val="2"/>
                <w:sz w:val="21"/>
                <w:szCs w:val="21"/>
                <w:lang w:val="en-US" w:eastAsia="zh-CN" w:bidi="ar-SA"/>
              </w:rPr>
            </w:pPr>
            <w:r>
              <w:rPr>
                <w:rFonts w:hint="default" w:ascii="Times New Roman" w:hAnsi="Times New Roman" w:eastAsia="宋体" w:cs="Times New Roman"/>
                <w:b w:val="0"/>
                <w:color w:val="000000"/>
                <w:kern w:val="2"/>
                <w:sz w:val="21"/>
                <w:szCs w:val="21"/>
                <w:lang w:val="en-US" w:eastAsia="zh-CN" w:bidi="ar-SA"/>
              </w:rPr>
              <w:t>超高边坡</w:t>
            </w:r>
          </w:p>
        </w:tc>
        <w:tc>
          <w:tcPr>
            <w:tcW w:w="1776" w:type="pct"/>
            <w:vAlign w:val="center"/>
          </w:tcPr>
          <w:p w14:paraId="54BAC073">
            <w:pPr>
              <w:widowControl w:val="0"/>
              <w:adjustRightInd w:val="0"/>
              <w:snapToGrid w:val="0"/>
              <w:spacing w:line="240" w:lineRule="auto"/>
              <w:ind w:firstLine="0" w:firstLineChars="0"/>
              <w:jc w:val="center"/>
              <w:rPr>
                <w:rFonts w:hint="default" w:ascii="Times New Roman" w:hAnsi="Times New Roman" w:eastAsia="宋体" w:cs="Times New Roman"/>
                <w:b w:val="0"/>
                <w:color w:val="000000"/>
                <w:kern w:val="2"/>
                <w:sz w:val="21"/>
                <w:szCs w:val="21"/>
                <w:lang w:val="en-US" w:eastAsia="zh-CN" w:bidi="ar-SA"/>
              </w:rPr>
            </w:pPr>
            <w:r>
              <w:rPr>
                <w:rFonts w:hint="default" w:ascii="Times New Roman" w:hAnsi="Times New Roman" w:eastAsia="宋体" w:cs="Times New Roman"/>
                <w:b w:val="0"/>
                <w:color w:val="000000"/>
                <w:kern w:val="2"/>
                <w:sz w:val="21"/>
                <w:szCs w:val="21"/>
                <w:lang w:val="en-US" w:eastAsia="zh-CN" w:bidi="ar-SA"/>
              </w:rPr>
              <w:t>大于500</w:t>
            </w:r>
          </w:p>
        </w:tc>
      </w:tr>
      <w:tr w14:paraId="3C8620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893" w:type="pct"/>
            <w:vAlign w:val="center"/>
          </w:tcPr>
          <w:p w14:paraId="0CEFEA70">
            <w:pPr>
              <w:widowControl w:val="0"/>
              <w:adjustRightInd w:val="0"/>
              <w:snapToGrid w:val="0"/>
              <w:spacing w:line="240" w:lineRule="auto"/>
              <w:ind w:firstLine="0" w:firstLineChars="0"/>
              <w:jc w:val="center"/>
              <w:rPr>
                <w:rFonts w:hint="default" w:ascii="Times New Roman" w:hAnsi="Times New Roman" w:eastAsia="宋体" w:cs="Times New Roman"/>
                <w:b w:val="0"/>
                <w:color w:val="000000"/>
                <w:kern w:val="2"/>
                <w:sz w:val="21"/>
                <w:szCs w:val="21"/>
                <w:lang w:val="en-US" w:eastAsia="zh-CN" w:bidi="ar-SA"/>
              </w:rPr>
            </w:pPr>
            <w:r>
              <w:rPr>
                <w:rFonts w:hint="default" w:ascii="Times New Roman" w:hAnsi="Times New Roman" w:eastAsia="宋体" w:cs="Times New Roman"/>
                <w:b w:val="0"/>
                <w:color w:val="000000"/>
                <w:kern w:val="2"/>
                <w:sz w:val="21"/>
                <w:szCs w:val="21"/>
                <w:lang w:val="en-US" w:eastAsia="zh-CN" w:bidi="ar-SA"/>
              </w:rPr>
              <w:t>2</w:t>
            </w:r>
          </w:p>
        </w:tc>
        <w:tc>
          <w:tcPr>
            <w:tcW w:w="1331" w:type="pct"/>
            <w:vAlign w:val="center"/>
          </w:tcPr>
          <w:p w14:paraId="6C0FB9DE">
            <w:pPr>
              <w:widowControl w:val="0"/>
              <w:adjustRightInd w:val="0"/>
              <w:snapToGrid w:val="0"/>
              <w:spacing w:line="240" w:lineRule="auto"/>
              <w:ind w:firstLine="0" w:firstLineChars="0"/>
              <w:jc w:val="center"/>
              <w:rPr>
                <w:rFonts w:hint="default" w:ascii="Times New Roman" w:hAnsi="Times New Roman" w:eastAsia="宋体" w:cs="Times New Roman"/>
                <w:b w:val="0"/>
                <w:color w:val="000000"/>
                <w:kern w:val="2"/>
                <w:sz w:val="21"/>
                <w:szCs w:val="21"/>
                <w:lang w:val="en-US" w:eastAsia="zh-CN" w:bidi="ar-SA"/>
              </w:rPr>
            </w:pPr>
            <w:r>
              <w:rPr>
                <w:rFonts w:hint="default" w:ascii="Times New Roman" w:hAnsi="Times New Roman" w:eastAsia="宋体" w:cs="Times New Roman"/>
                <w:b w:val="0"/>
                <w:color w:val="000000"/>
                <w:kern w:val="2"/>
                <w:sz w:val="21"/>
                <w:szCs w:val="21"/>
                <w:lang w:val="en-US" w:eastAsia="zh-CN" w:bidi="ar-SA"/>
              </w:rPr>
              <w:t>高边坡</w:t>
            </w:r>
          </w:p>
        </w:tc>
        <w:tc>
          <w:tcPr>
            <w:tcW w:w="1776" w:type="pct"/>
            <w:vAlign w:val="center"/>
          </w:tcPr>
          <w:p w14:paraId="43C7AC86">
            <w:pPr>
              <w:widowControl w:val="0"/>
              <w:adjustRightInd w:val="0"/>
              <w:snapToGrid w:val="0"/>
              <w:spacing w:line="240" w:lineRule="auto"/>
              <w:ind w:firstLine="0" w:firstLineChars="0"/>
              <w:jc w:val="center"/>
              <w:rPr>
                <w:rFonts w:hint="default" w:ascii="Times New Roman" w:hAnsi="Times New Roman" w:eastAsia="宋体" w:cs="Times New Roman"/>
                <w:b w:val="0"/>
                <w:color w:val="000000"/>
                <w:kern w:val="2"/>
                <w:sz w:val="21"/>
                <w:szCs w:val="21"/>
                <w:lang w:val="en-US" w:eastAsia="zh-CN" w:bidi="ar-SA"/>
              </w:rPr>
            </w:pPr>
            <w:r>
              <w:rPr>
                <w:rFonts w:hint="default" w:ascii="Times New Roman" w:hAnsi="Times New Roman" w:eastAsia="宋体" w:cs="Times New Roman"/>
                <w:b w:val="0"/>
                <w:color w:val="000000"/>
                <w:kern w:val="2"/>
                <w:sz w:val="21"/>
                <w:szCs w:val="21"/>
                <w:lang w:val="en-US" w:eastAsia="zh-CN" w:bidi="ar-SA"/>
              </w:rPr>
              <w:t>200~500</w:t>
            </w:r>
          </w:p>
        </w:tc>
      </w:tr>
      <w:tr w14:paraId="24EBFA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893" w:type="pct"/>
            <w:vAlign w:val="center"/>
          </w:tcPr>
          <w:p w14:paraId="19CFBF07">
            <w:pPr>
              <w:widowControl w:val="0"/>
              <w:adjustRightInd w:val="0"/>
              <w:snapToGrid w:val="0"/>
              <w:spacing w:line="240" w:lineRule="auto"/>
              <w:ind w:firstLine="0" w:firstLineChars="0"/>
              <w:jc w:val="center"/>
              <w:rPr>
                <w:rFonts w:hint="default" w:ascii="Times New Roman" w:hAnsi="Times New Roman" w:eastAsia="宋体" w:cs="Times New Roman"/>
                <w:b w:val="0"/>
                <w:color w:val="000000"/>
                <w:kern w:val="2"/>
                <w:sz w:val="21"/>
                <w:szCs w:val="21"/>
                <w:lang w:val="en-US" w:eastAsia="zh-CN" w:bidi="ar-SA"/>
              </w:rPr>
            </w:pPr>
            <w:r>
              <w:rPr>
                <w:rFonts w:hint="default" w:ascii="Times New Roman" w:hAnsi="Times New Roman" w:eastAsia="宋体" w:cs="Times New Roman"/>
                <w:b w:val="0"/>
                <w:color w:val="000000"/>
                <w:kern w:val="2"/>
                <w:sz w:val="21"/>
                <w:szCs w:val="21"/>
                <w:lang w:val="en-US" w:eastAsia="zh-CN" w:bidi="ar-SA"/>
              </w:rPr>
              <w:t>3</w:t>
            </w:r>
          </w:p>
        </w:tc>
        <w:tc>
          <w:tcPr>
            <w:tcW w:w="1331" w:type="pct"/>
            <w:vAlign w:val="center"/>
          </w:tcPr>
          <w:p w14:paraId="1909292D">
            <w:pPr>
              <w:widowControl w:val="0"/>
              <w:adjustRightInd w:val="0"/>
              <w:snapToGrid w:val="0"/>
              <w:spacing w:line="240" w:lineRule="auto"/>
              <w:ind w:firstLine="0" w:firstLineChars="0"/>
              <w:jc w:val="center"/>
              <w:rPr>
                <w:rFonts w:hint="default" w:ascii="Times New Roman" w:hAnsi="Times New Roman" w:eastAsia="宋体" w:cs="Times New Roman"/>
                <w:b w:val="0"/>
                <w:color w:val="000000"/>
                <w:kern w:val="2"/>
                <w:sz w:val="21"/>
                <w:szCs w:val="21"/>
                <w:lang w:val="en-US" w:eastAsia="zh-CN" w:bidi="ar-SA"/>
              </w:rPr>
            </w:pPr>
            <w:r>
              <w:rPr>
                <w:rFonts w:hint="default" w:ascii="Times New Roman" w:hAnsi="Times New Roman" w:eastAsia="宋体" w:cs="Times New Roman"/>
                <w:b w:val="0"/>
                <w:color w:val="000000"/>
                <w:kern w:val="2"/>
                <w:sz w:val="21"/>
                <w:szCs w:val="21"/>
                <w:lang w:val="en-US" w:eastAsia="zh-CN" w:bidi="ar-SA"/>
              </w:rPr>
              <w:t>中高边坡</w:t>
            </w:r>
          </w:p>
        </w:tc>
        <w:tc>
          <w:tcPr>
            <w:tcW w:w="1776" w:type="pct"/>
            <w:vAlign w:val="center"/>
          </w:tcPr>
          <w:p w14:paraId="70D74957">
            <w:pPr>
              <w:widowControl w:val="0"/>
              <w:adjustRightInd w:val="0"/>
              <w:snapToGrid w:val="0"/>
              <w:spacing w:line="240" w:lineRule="auto"/>
              <w:ind w:firstLine="0" w:firstLineChars="0"/>
              <w:jc w:val="center"/>
              <w:rPr>
                <w:rFonts w:hint="default" w:ascii="Times New Roman" w:hAnsi="Times New Roman" w:eastAsia="宋体" w:cs="Times New Roman"/>
                <w:b w:val="0"/>
                <w:color w:val="000000"/>
                <w:kern w:val="2"/>
                <w:sz w:val="21"/>
                <w:szCs w:val="21"/>
                <w:lang w:val="en-US" w:eastAsia="zh-CN" w:bidi="ar-SA"/>
              </w:rPr>
            </w:pPr>
            <w:r>
              <w:rPr>
                <w:rFonts w:hint="default" w:ascii="Times New Roman" w:hAnsi="Times New Roman" w:eastAsia="宋体" w:cs="Times New Roman"/>
                <w:b w:val="0"/>
                <w:color w:val="000000"/>
                <w:kern w:val="2"/>
                <w:sz w:val="21"/>
                <w:szCs w:val="21"/>
                <w:lang w:val="en-US" w:eastAsia="zh-CN" w:bidi="ar-SA"/>
              </w:rPr>
              <w:t>100~200</w:t>
            </w:r>
          </w:p>
        </w:tc>
      </w:tr>
      <w:tr w14:paraId="1EC210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893" w:type="pct"/>
            <w:vAlign w:val="center"/>
          </w:tcPr>
          <w:p w14:paraId="3EED570D">
            <w:pPr>
              <w:widowControl w:val="0"/>
              <w:adjustRightInd w:val="0"/>
              <w:snapToGrid w:val="0"/>
              <w:spacing w:line="240" w:lineRule="auto"/>
              <w:ind w:firstLine="0" w:firstLineChars="0"/>
              <w:jc w:val="center"/>
              <w:rPr>
                <w:rFonts w:hint="default" w:ascii="Times New Roman" w:hAnsi="Times New Roman" w:eastAsia="宋体" w:cs="Times New Roman"/>
                <w:b w:val="0"/>
                <w:color w:val="000000"/>
                <w:kern w:val="2"/>
                <w:sz w:val="21"/>
                <w:szCs w:val="21"/>
                <w:lang w:val="en-US" w:eastAsia="zh-CN" w:bidi="ar-SA"/>
              </w:rPr>
            </w:pPr>
            <w:r>
              <w:rPr>
                <w:rFonts w:hint="default" w:ascii="Times New Roman" w:hAnsi="Times New Roman" w:eastAsia="宋体" w:cs="Times New Roman"/>
                <w:b w:val="0"/>
                <w:color w:val="000000"/>
                <w:kern w:val="2"/>
                <w:sz w:val="21"/>
                <w:szCs w:val="21"/>
                <w:lang w:val="en-US" w:eastAsia="zh-CN" w:bidi="ar-SA"/>
              </w:rPr>
              <w:t>4</w:t>
            </w:r>
          </w:p>
        </w:tc>
        <w:tc>
          <w:tcPr>
            <w:tcW w:w="1331" w:type="pct"/>
            <w:vAlign w:val="center"/>
          </w:tcPr>
          <w:p w14:paraId="1FECC551">
            <w:pPr>
              <w:widowControl w:val="0"/>
              <w:adjustRightInd w:val="0"/>
              <w:snapToGrid w:val="0"/>
              <w:spacing w:line="240" w:lineRule="auto"/>
              <w:ind w:firstLine="0" w:firstLineChars="0"/>
              <w:jc w:val="center"/>
              <w:rPr>
                <w:rFonts w:hint="default" w:ascii="Times New Roman" w:hAnsi="Times New Roman" w:eastAsia="宋体" w:cs="Times New Roman"/>
                <w:b w:val="0"/>
                <w:color w:val="000000"/>
                <w:kern w:val="2"/>
                <w:sz w:val="21"/>
                <w:szCs w:val="21"/>
                <w:lang w:val="en-US" w:eastAsia="zh-CN" w:bidi="ar-SA"/>
              </w:rPr>
            </w:pPr>
            <w:r>
              <w:rPr>
                <w:rFonts w:hint="default" w:ascii="Times New Roman" w:hAnsi="Times New Roman" w:eastAsia="宋体" w:cs="Times New Roman"/>
                <w:b w:val="0"/>
                <w:color w:val="000000"/>
                <w:kern w:val="2"/>
                <w:sz w:val="21"/>
                <w:szCs w:val="21"/>
                <w:lang w:val="en-US" w:eastAsia="zh-CN" w:bidi="ar-SA"/>
              </w:rPr>
              <w:t>低边坡</w:t>
            </w:r>
          </w:p>
        </w:tc>
        <w:tc>
          <w:tcPr>
            <w:tcW w:w="1776" w:type="pct"/>
            <w:vAlign w:val="center"/>
          </w:tcPr>
          <w:p w14:paraId="444DABE4">
            <w:pPr>
              <w:widowControl w:val="0"/>
              <w:adjustRightInd w:val="0"/>
              <w:snapToGrid w:val="0"/>
              <w:spacing w:line="240" w:lineRule="auto"/>
              <w:ind w:firstLine="0" w:firstLineChars="0"/>
              <w:jc w:val="center"/>
              <w:rPr>
                <w:rFonts w:hint="default" w:ascii="Times New Roman" w:hAnsi="Times New Roman" w:eastAsia="宋体" w:cs="Times New Roman"/>
                <w:b w:val="0"/>
                <w:color w:val="000000"/>
                <w:kern w:val="2"/>
                <w:sz w:val="21"/>
                <w:szCs w:val="21"/>
                <w:lang w:val="en-US" w:eastAsia="zh-CN" w:bidi="ar-SA"/>
              </w:rPr>
            </w:pPr>
            <w:r>
              <w:rPr>
                <w:rFonts w:hint="default" w:ascii="Times New Roman" w:hAnsi="Times New Roman" w:eastAsia="宋体" w:cs="Times New Roman"/>
                <w:b w:val="0"/>
                <w:color w:val="000000"/>
                <w:kern w:val="2"/>
                <w:sz w:val="21"/>
                <w:szCs w:val="21"/>
                <w:lang w:val="en-US" w:eastAsia="zh-CN" w:bidi="ar-SA"/>
              </w:rPr>
              <w:t>小于100</w:t>
            </w:r>
          </w:p>
        </w:tc>
      </w:tr>
    </w:tbl>
    <w:p w14:paraId="6B80FBBB">
      <w:pPr>
        <w:adjustRightInd w:val="0"/>
        <w:snapToGrid w:val="0"/>
        <w:spacing w:line="360" w:lineRule="auto"/>
        <w:ind w:firstLine="560" w:firstLineChars="200"/>
        <w:rPr>
          <w:rFonts w:hint="default" w:ascii="Times New Roman" w:hAnsi="Times New Roman" w:eastAsia="宋体" w:cs="Times New Roman"/>
          <w:color w:val="000000"/>
          <w:sz w:val="28"/>
          <w:szCs w:val="21"/>
        </w:rPr>
      </w:pPr>
      <w:r>
        <w:rPr>
          <w:rFonts w:hint="default" w:ascii="Times New Roman" w:hAnsi="Times New Roman" w:eastAsia="宋体" w:cs="Times New Roman"/>
          <w:color w:val="000000"/>
          <w:sz w:val="28"/>
          <w:szCs w:val="21"/>
        </w:rPr>
        <w:t>设计终了最大高度分别80m，边坡高度等级指数（H）均为4。</w:t>
      </w:r>
    </w:p>
    <w:p w14:paraId="19AD3E50">
      <w:pPr>
        <w:adjustRightInd w:val="0"/>
        <w:snapToGrid w:val="0"/>
        <w:spacing w:line="360" w:lineRule="auto"/>
        <w:ind w:firstLine="560" w:firstLineChars="200"/>
        <w:rPr>
          <w:rFonts w:hint="default" w:ascii="Times New Roman" w:hAnsi="Times New Roman" w:eastAsia="宋体" w:cs="Times New Roman"/>
          <w:color w:val="000000"/>
          <w:sz w:val="28"/>
          <w:szCs w:val="21"/>
        </w:rPr>
      </w:pPr>
      <w:bookmarkStart w:id="301" w:name="_Toc89368814"/>
      <w:bookmarkStart w:id="302" w:name="_Toc31770_WPSOffice_Level3"/>
      <w:r>
        <w:rPr>
          <w:rFonts w:hint="default" w:ascii="Times New Roman" w:hAnsi="Times New Roman" w:eastAsia="宋体" w:cs="Times New Roman"/>
          <w:color w:val="000000"/>
          <w:sz w:val="28"/>
          <w:szCs w:val="21"/>
        </w:rPr>
        <w:t>（2）总体边坡角等级</w:t>
      </w:r>
      <w:bookmarkEnd w:id="301"/>
      <w:bookmarkEnd w:id="302"/>
    </w:p>
    <w:p w14:paraId="650ACB20">
      <w:pPr>
        <w:keepNext/>
        <w:keepLines/>
        <w:pageBreakBefore w:val="0"/>
        <w:widowControl w:val="0"/>
        <w:kinsoku/>
        <w:wordWrap/>
        <w:overflowPunct/>
        <w:topLinePunct w:val="0"/>
        <w:autoSpaceDE/>
        <w:autoSpaceDN/>
        <w:bidi w:val="0"/>
        <w:adjustRightInd w:val="0"/>
        <w:snapToGrid w:val="0"/>
        <w:ind w:firstLine="480" w:firstLineChars="200"/>
        <w:jc w:val="center"/>
        <w:textAlignment w:val="auto"/>
        <w:rPr>
          <w:rFonts w:hint="default" w:ascii="Times New Roman" w:hAnsi="Times New Roman" w:cs="Times New Roman"/>
          <w:bCs/>
          <w:sz w:val="24"/>
          <w:lang w:val="en-US" w:eastAsia="zh-CN"/>
        </w:rPr>
      </w:pPr>
      <w:r>
        <w:rPr>
          <w:rFonts w:hint="default" w:ascii="Times New Roman" w:hAnsi="Times New Roman" w:cs="Times New Roman"/>
          <w:bCs/>
          <w:sz w:val="24"/>
        </w:rPr>
        <w:t>表2.4-</w:t>
      </w:r>
      <w:r>
        <w:rPr>
          <w:rFonts w:hint="default" w:ascii="Times New Roman" w:hAnsi="Times New Roman" w:cs="Times New Roman"/>
          <w:bCs/>
          <w:sz w:val="24"/>
          <w:lang w:val="en-US" w:eastAsia="zh-CN"/>
        </w:rPr>
        <w:t>8</w:t>
      </w:r>
      <w:r>
        <w:rPr>
          <w:rFonts w:hint="default" w:ascii="Times New Roman" w:hAnsi="Times New Roman" w:cs="Times New Roman"/>
          <w:bCs/>
          <w:sz w:val="24"/>
        </w:rPr>
        <w:t xml:space="preserve">  </w:t>
      </w:r>
      <w:r>
        <w:rPr>
          <w:rFonts w:hint="default" w:ascii="Times New Roman" w:hAnsi="Times New Roman" w:cs="Times New Roman"/>
          <w:bCs/>
          <w:sz w:val="24"/>
          <w:lang w:val="en-US" w:eastAsia="zh-CN"/>
        </w:rPr>
        <w:t>总体边坡角等级</w:t>
      </w:r>
    </w:p>
    <w:tbl>
      <w:tblPr>
        <w:tblStyle w:val="3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3124"/>
        <w:gridCol w:w="2618"/>
        <w:gridCol w:w="3451"/>
      </w:tblGrid>
      <w:tr w14:paraId="4D32E4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exact"/>
          <w:jc w:val="center"/>
        </w:trPr>
        <w:tc>
          <w:tcPr>
            <w:tcW w:w="1699" w:type="pct"/>
            <w:vAlign w:val="center"/>
          </w:tcPr>
          <w:p w14:paraId="4F852CB9">
            <w:pPr>
              <w:widowControl w:val="0"/>
              <w:adjustRightInd w:val="0"/>
              <w:snapToGrid w:val="0"/>
              <w:spacing w:line="240" w:lineRule="auto"/>
              <w:ind w:firstLine="0" w:firstLineChars="0"/>
              <w:jc w:val="center"/>
              <w:rPr>
                <w:rFonts w:hint="default" w:ascii="Times New Roman" w:hAnsi="Times New Roman" w:eastAsia="宋体" w:cs="Times New Roman"/>
                <w:b/>
                <w:bCs/>
                <w:color w:val="000000"/>
                <w:kern w:val="2"/>
                <w:sz w:val="21"/>
                <w:szCs w:val="21"/>
                <w:lang w:val="en-US" w:eastAsia="zh-CN" w:bidi="ar-SA"/>
              </w:rPr>
            </w:pPr>
            <w:r>
              <w:rPr>
                <w:rFonts w:hint="default" w:ascii="Times New Roman" w:hAnsi="Times New Roman" w:eastAsia="宋体" w:cs="Times New Roman"/>
                <w:b/>
                <w:bCs/>
                <w:color w:val="000000"/>
                <w:kern w:val="2"/>
                <w:sz w:val="21"/>
                <w:szCs w:val="21"/>
                <w:lang w:val="en-US" w:eastAsia="zh-CN" w:bidi="ar-SA"/>
              </w:rPr>
              <w:t>计算</w:t>
            </w:r>
          </w:p>
        </w:tc>
        <w:tc>
          <w:tcPr>
            <w:tcW w:w="1424" w:type="pct"/>
            <w:vAlign w:val="center"/>
          </w:tcPr>
          <w:p w14:paraId="3E23E657">
            <w:pPr>
              <w:widowControl w:val="0"/>
              <w:adjustRightInd w:val="0"/>
              <w:snapToGrid w:val="0"/>
              <w:spacing w:line="240" w:lineRule="auto"/>
              <w:ind w:firstLine="0" w:firstLineChars="0"/>
              <w:jc w:val="center"/>
              <w:rPr>
                <w:rFonts w:hint="default" w:ascii="Times New Roman" w:hAnsi="Times New Roman" w:eastAsia="宋体" w:cs="Times New Roman"/>
                <w:b/>
                <w:bCs/>
                <w:color w:val="000000"/>
                <w:kern w:val="2"/>
                <w:sz w:val="21"/>
                <w:szCs w:val="21"/>
                <w:lang w:val="en-US" w:eastAsia="zh-CN" w:bidi="ar-SA"/>
              </w:rPr>
            </w:pPr>
            <w:r>
              <w:rPr>
                <w:rFonts w:hint="default" w:ascii="Times New Roman" w:hAnsi="Times New Roman" w:eastAsia="宋体" w:cs="Times New Roman"/>
                <w:b/>
                <w:bCs/>
                <w:color w:val="000000"/>
                <w:kern w:val="2"/>
                <w:sz w:val="21"/>
                <w:szCs w:val="21"/>
                <w:lang w:val="en-US" w:eastAsia="zh-CN" w:bidi="ar-SA"/>
              </w:rPr>
              <w:t>分类名称</w:t>
            </w:r>
          </w:p>
        </w:tc>
        <w:tc>
          <w:tcPr>
            <w:tcW w:w="1877" w:type="pct"/>
            <w:vAlign w:val="center"/>
          </w:tcPr>
          <w:p w14:paraId="4DB9A74D">
            <w:pPr>
              <w:widowControl w:val="0"/>
              <w:adjustRightInd w:val="0"/>
              <w:snapToGrid w:val="0"/>
              <w:spacing w:line="240" w:lineRule="auto"/>
              <w:ind w:firstLine="0" w:firstLineChars="0"/>
              <w:jc w:val="center"/>
              <w:rPr>
                <w:rFonts w:hint="default" w:ascii="Times New Roman" w:hAnsi="Times New Roman" w:eastAsia="宋体" w:cs="Times New Roman"/>
                <w:b/>
                <w:bCs/>
                <w:color w:val="000000"/>
                <w:kern w:val="2"/>
                <w:sz w:val="21"/>
                <w:szCs w:val="21"/>
                <w:lang w:val="en-US" w:eastAsia="zh-CN" w:bidi="ar-SA"/>
              </w:rPr>
            </w:pPr>
            <w:r>
              <w:rPr>
                <w:rFonts w:hint="default" w:ascii="Times New Roman" w:hAnsi="Times New Roman" w:eastAsia="宋体" w:cs="Times New Roman"/>
                <w:b/>
                <w:bCs/>
                <w:color w:val="000000"/>
                <w:kern w:val="2"/>
                <w:sz w:val="21"/>
                <w:szCs w:val="21"/>
                <w:lang w:val="en-US" w:eastAsia="zh-CN" w:bidi="ar-SA"/>
              </w:rPr>
              <w:t>总边坡角度</w:t>
            </w:r>
          </w:p>
        </w:tc>
      </w:tr>
      <w:tr w14:paraId="59C39E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exact"/>
          <w:jc w:val="center"/>
        </w:trPr>
        <w:tc>
          <w:tcPr>
            <w:tcW w:w="1699" w:type="pct"/>
            <w:vAlign w:val="center"/>
          </w:tcPr>
          <w:p w14:paraId="6E64E018">
            <w:pPr>
              <w:widowControl w:val="0"/>
              <w:adjustRightInd w:val="0"/>
              <w:snapToGrid w:val="0"/>
              <w:spacing w:line="240" w:lineRule="auto"/>
              <w:ind w:firstLine="0" w:firstLineChars="0"/>
              <w:jc w:val="center"/>
              <w:rPr>
                <w:rFonts w:hint="default" w:ascii="Times New Roman" w:hAnsi="Times New Roman" w:eastAsia="宋体" w:cs="Times New Roman"/>
                <w:b w:val="0"/>
                <w:color w:val="000000"/>
                <w:kern w:val="2"/>
                <w:sz w:val="21"/>
                <w:szCs w:val="21"/>
                <w:lang w:val="en-US" w:eastAsia="zh-CN" w:bidi="ar-SA"/>
              </w:rPr>
            </w:pPr>
            <w:r>
              <w:rPr>
                <w:rFonts w:hint="default" w:ascii="Times New Roman" w:hAnsi="Times New Roman" w:eastAsia="宋体" w:cs="Times New Roman"/>
                <w:b w:val="0"/>
                <w:color w:val="000000"/>
                <w:kern w:val="2"/>
                <w:sz w:val="21"/>
                <w:szCs w:val="21"/>
                <w:lang w:val="en-US" w:eastAsia="zh-CN" w:bidi="ar-SA"/>
              </w:rPr>
              <w:t>1</w:t>
            </w:r>
          </w:p>
        </w:tc>
        <w:tc>
          <w:tcPr>
            <w:tcW w:w="1424" w:type="pct"/>
            <w:vAlign w:val="center"/>
          </w:tcPr>
          <w:p w14:paraId="59F65F31">
            <w:pPr>
              <w:widowControl w:val="0"/>
              <w:adjustRightInd w:val="0"/>
              <w:snapToGrid w:val="0"/>
              <w:spacing w:line="240" w:lineRule="auto"/>
              <w:ind w:firstLine="0" w:firstLineChars="0"/>
              <w:jc w:val="center"/>
              <w:rPr>
                <w:rFonts w:hint="default" w:ascii="Times New Roman" w:hAnsi="Times New Roman" w:eastAsia="宋体" w:cs="Times New Roman"/>
                <w:b w:val="0"/>
                <w:color w:val="000000"/>
                <w:kern w:val="2"/>
                <w:sz w:val="21"/>
                <w:szCs w:val="21"/>
                <w:lang w:val="en-US" w:eastAsia="zh-CN" w:bidi="ar-SA"/>
              </w:rPr>
            </w:pPr>
            <w:r>
              <w:rPr>
                <w:rFonts w:hint="default" w:ascii="Times New Roman" w:hAnsi="Times New Roman" w:eastAsia="宋体" w:cs="Times New Roman"/>
                <w:b w:val="0"/>
                <w:color w:val="000000"/>
                <w:kern w:val="2"/>
                <w:sz w:val="21"/>
                <w:szCs w:val="21"/>
                <w:lang w:val="en-US" w:eastAsia="zh-CN" w:bidi="ar-SA"/>
              </w:rPr>
              <w:t>陡坡</w:t>
            </w:r>
          </w:p>
        </w:tc>
        <w:tc>
          <w:tcPr>
            <w:tcW w:w="1877" w:type="pct"/>
            <w:vAlign w:val="center"/>
          </w:tcPr>
          <w:p w14:paraId="35AEF33F">
            <w:pPr>
              <w:widowControl w:val="0"/>
              <w:adjustRightInd w:val="0"/>
              <w:snapToGrid w:val="0"/>
              <w:spacing w:line="240" w:lineRule="auto"/>
              <w:ind w:firstLine="0" w:firstLineChars="0"/>
              <w:jc w:val="center"/>
              <w:rPr>
                <w:rFonts w:hint="default" w:ascii="Times New Roman" w:hAnsi="Times New Roman" w:eastAsia="宋体" w:cs="Times New Roman"/>
                <w:b w:val="0"/>
                <w:color w:val="000000"/>
                <w:kern w:val="2"/>
                <w:sz w:val="21"/>
                <w:szCs w:val="21"/>
                <w:lang w:val="en-US" w:eastAsia="zh-CN" w:bidi="ar-SA"/>
              </w:rPr>
            </w:pPr>
            <w:r>
              <w:rPr>
                <w:rFonts w:hint="default" w:ascii="Times New Roman" w:hAnsi="Times New Roman" w:eastAsia="宋体" w:cs="Times New Roman"/>
                <w:b w:val="0"/>
                <w:color w:val="000000"/>
                <w:kern w:val="2"/>
                <w:sz w:val="21"/>
                <w:szCs w:val="21"/>
                <w:lang w:val="en-US" w:eastAsia="zh-CN" w:bidi="ar-SA"/>
              </w:rPr>
              <w:t>大于42°</w:t>
            </w:r>
          </w:p>
        </w:tc>
      </w:tr>
      <w:tr w14:paraId="1309EA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exact"/>
          <w:jc w:val="center"/>
        </w:trPr>
        <w:tc>
          <w:tcPr>
            <w:tcW w:w="1699" w:type="pct"/>
            <w:vAlign w:val="center"/>
          </w:tcPr>
          <w:p w14:paraId="37049372">
            <w:pPr>
              <w:widowControl w:val="0"/>
              <w:adjustRightInd w:val="0"/>
              <w:snapToGrid w:val="0"/>
              <w:spacing w:line="240" w:lineRule="auto"/>
              <w:ind w:firstLine="0" w:firstLineChars="0"/>
              <w:jc w:val="center"/>
              <w:rPr>
                <w:rFonts w:hint="default" w:ascii="Times New Roman" w:hAnsi="Times New Roman" w:eastAsia="宋体" w:cs="Times New Roman"/>
                <w:b w:val="0"/>
                <w:color w:val="000000"/>
                <w:kern w:val="2"/>
                <w:sz w:val="21"/>
                <w:szCs w:val="21"/>
                <w:lang w:val="en-US" w:eastAsia="zh-CN" w:bidi="ar-SA"/>
              </w:rPr>
            </w:pPr>
            <w:r>
              <w:rPr>
                <w:rFonts w:hint="default" w:ascii="Times New Roman" w:hAnsi="Times New Roman" w:eastAsia="宋体" w:cs="Times New Roman"/>
                <w:b w:val="0"/>
                <w:color w:val="000000"/>
                <w:kern w:val="2"/>
                <w:sz w:val="21"/>
                <w:szCs w:val="21"/>
                <w:lang w:val="en-US" w:eastAsia="zh-CN" w:bidi="ar-SA"/>
              </w:rPr>
              <w:t>2</w:t>
            </w:r>
          </w:p>
        </w:tc>
        <w:tc>
          <w:tcPr>
            <w:tcW w:w="1424" w:type="pct"/>
            <w:vAlign w:val="center"/>
          </w:tcPr>
          <w:p w14:paraId="73310827">
            <w:pPr>
              <w:widowControl w:val="0"/>
              <w:adjustRightInd w:val="0"/>
              <w:snapToGrid w:val="0"/>
              <w:spacing w:line="240" w:lineRule="auto"/>
              <w:ind w:firstLine="0" w:firstLineChars="0"/>
              <w:jc w:val="center"/>
              <w:rPr>
                <w:rFonts w:hint="default" w:ascii="Times New Roman" w:hAnsi="Times New Roman" w:eastAsia="宋体" w:cs="Times New Roman"/>
                <w:b w:val="0"/>
                <w:color w:val="000000"/>
                <w:kern w:val="2"/>
                <w:sz w:val="21"/>
                <w:szCs w:val="21"/>
                <w:lang w:val="en-US" w:eastAsia="zh-CN" w:bidi="ar-SA"/>
              </w:rPr>
            </w:pPr>
            <w:r>
              <w:rPr>
                <w:rFonts w:hint="default" w:ascii="Times New Roman" w:hAnsi="Times New Roman" w:eastAsia="宋体" w:cs="Times New Roman"/>
                <w:b w:val="0"/>
                <w:color w:val="000000"/>
                <w:kern w:val="2"/>
                <w:sz w:val="21"/>
                <w:szCs w:val="21"/>
                <w:lang w:val="en-US" w:eastAsia="zh-CN" w:bidi="ar-SA"/>
              </w:rPr>
              <w:t>斜坡</w:t>
            </w:r>
          </w:p>
        </w:tc>
        <w:tc>
          <w:tcPr>
            <w:tcW w:w="1877" w:type="pct"/>
            <w:vAlign w:val="center"/>
          </w:tcPr>
          <w:p w14:paraId="57D6CDC9">
            <w:pPr>
              <w:widowControl w:val="0"/>
              <w:adjustRightInd w:val="0"/>
              <w:snapToGrid w:val="0"/>
              <w:spacing w:line="240" w:lineRule="auto"/>
              <w:ind w:firstLine="0" w:firstLineChars="0"/>
              <w:jc w:val="center"/>
              <w:rPr>
                <w:rFonts w:hint="default" w:ascii="Times New Roman" w:hAnsi="Times New Roman" w:eastAsia="宋体" w:cs="Times New Roman"/>
                <w:b w:val="0"/>
                <w:color w:val="000000"/>
                <w:kern w:val="2"/>
                <w:sz w:val="21"/>
                <w:szCs w:val="21"/>
                <w:lang w:val="en-US" w:eastAsia="zh-CN" w:bidi="ar-SA"/>
              </w:rPr>
            </w:pPr>
            <w:r>
              <w:rPr>
                <w:rFonts w:hint="default" w:ascii="Times New Roman" w:hAnsi="Times New Roman" w:eastAsia="宋体" w:cs="Times New Roman"/>
                <w:b w:val="0"/>
                <w:color w:val="000000"/>
                <w:kern w:val="2"/>
                <w:sz w:val="21"/>
                <w:szCs w:val="21"/>
                <w:lang w:val="en-US" w:eastAsia="zh-CN" w:bidi="ar-SA"/>
              </w:rPr>
              <w:t>30°~42°</w:t>
            </w:r>
          </w:p>
        </w:tc>
      </w:tr>
      <w:tr w14:paraId="7BD83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exact"/>
          <w:jc w:val="center"/>
        </w:trPr>
        <w:tc>
          <w:tcPr>
            <w:tcW w:w="1699" w:type="pct"/>
            <w:vAlign w:val="center"/>
          </w:tcPr>
          <w:p w14:paraId="304FF277">
            <w:pPr>
              <w:widowControl w:val="0"/>
              <w:adjustRightInd w:val="0"/>
              <w:snapToGrid w:val="0"/>
              <w:spacing w:line="240" w:lineRule="auto"/>
              <w:ind w:firstLine="0" w:firstLineChars="0"/>
              <w:jc w:val="center"/>
              <w:rPr>
                <w:rFonts w:hint="default" w:ascii="Times New Roman" w:hAnsi="Times New Roman" w:eastAsia="宋体" w:cs="Times New Roman"/>
                <w:b w:val="0"/>
                <w:color w:val="000000"/>
                <w:kern w:val="2"/>
                <w:sz w:val="21"/>
                <w:szCs w:val="21"/>
                <w:lang w:val="en-US" w:eastAsia="zh-CN" w:bidi="ar-SA"/>
              </w:rPr>
            </w:pPr>
            <w:r>
              <w:rPr>
                <w:rFonts w:hint="default" w:ascii="Times New Roman" w:hAnsi="Times New Roman" w:eastAsia="宋体" w:cs="Times New Roman"/>
                <w:b w:val="0"/>
                <w:color w:val="000000"/>
                <w:kern w:val="2"/>
                <w:sz w:val="21"/>
                <w:szCs w:val="21"/>
                <w:lang w:val="en-US" w:eastAsia="zh-CN" w:bidi="ar-SA"/>
              </w:rPr>
              <w:t>3</w:t>
            </w:r>
          </w:p>
        </w:tc>
        <w:tc>
          <w:tcPr>
            <w:tcW w:w="1424" w:type="pct"/>
            <w:vAlign w:val="center"/>
          </w:tcPr>
          <w:p w14:paraId="32773111">
            <w:pPr>
              <w:widowControl w:val="0"/>
              <w:adjustRightInd w:val="0"/>
              <w:snapToGrid w:val="0"/>
              <w:spacing w:line="240" w:lineRule="auto"/>
              <w:ind w:firstLine="0" w:firstLineChars="0"/>
              <w:jc w:val="center"/>
              <w:rPr>
                <w:rFonts w:hint="default" w:ascii="Times New Roman" w:hAnsi="Times New Roman" w:eastAsia="宋体" w:cs="Times New Roman"/>
                <w:b w:val="0"/>
                <w:color w:val="000000"/>
                <w:kern w:val="2"/>
                <w:sz w:val="21"/>
                <w:szCs w:val="21"/>
                <w:lang w:val="en-US" w:eastAsia="zh-CN" w:bidi="ar-SA"/>
              </w:rPr>
            </w:pPr>
            <w:r>
              <w:rPr>
                <w:rFonts w:hint="default" w:ascii="Times New Roman" w:hAnsi="Times New Roman" w:eastAsia="宋体" w:cs="Times New Roman"/>
                <w:b w:val="0"/>
                <w:color w:val="000000"/>
                <w:kern w:val="2"/>
                <w:sz w:val="21"/>
                <w:szCs w:val="21"/>
                <w:lang w:val="en-US" w:eastAsia="zh-CN" w:bidi="ar-SA"/>
              </w:rPr>
              <w:t>缓坡</w:t>
            </w:r>
          </w:p>
        </w:tc>
        <w:tc>
          <w:tcPr>
            <w:tcW w:w="1877" w:type="pct"/>
            <w:vAlign w:val="center"/>
          </w:tcPr>
          <w:p w14:paraId="4E32A4F0">
            <w:pPr>
              <w:widowControl w:val="0"/>
              <w:adjustRightInd w:val="0"/>
              <w:snapToGrid w:val="0"/>
              <w:spacing w:line="240" w:lineRule="auto"/>
              <w:ind w:firstLine="0" w:firstLineChars="0"/>
              <w:jc w:val="center"/>
              <w:rPr>
                <w:rFonts w:hint="default" w:ascii="Times New Roman" w:hAnsi="Times New Roman" w:eastAsia="宋体" w:cs="Times New Roman"/>
                <w:b w:val="0"/>
                <w:color w:val="000000"/>
                <w:kern w:val="2"/>
                <w:sz w:val="21"/>
                <w:szCs w:val="21"/>
                <w:lang w:val="en-US" w:eastAsia="zh-CN" w:bidi="ar-SA"/>
              </w:rPr>
            </w:pPr>
            <w:r>
              <w:rPr>
                <w:rFonts w:hint="default" w:ascii="Times New Roman" w:hAnsi="Times New Roman" w:eastAsia="宋体" w:cs="Times New Roman"/>
                <w:b w:val="0"/>
                <w:color w:val="000000"/>
                <w:kern w:val="2"/>
                <w:sz w:val="21"/>
                <w:szCs w:val="21"/>
                <w:lang w:val="en-US" w:eastAsia="zh-CN" w:bidi="ar-SA"/>
              </w:rPr>
              <w:t>小于30°</w:t>
            </w:r>
          </w:p>
        </w:tc>
      </w:tr>
    </w:tbl>
    <w:p w14:paraId="048C50F3">
      <w:pPr>
        <w:adjustRightInd w:val="0"/>
        <w:snapToGrid w:val="0"/>
        <w:spacing w:line="360" w:lineRule="auto"/>
        <w:ind w:firstLine="560" w:firstLineChars="200"/>
        <w:rPr>
          <w:rFonts w:hint="default" w:ascii="Times New Roman" w:hAnsi="Times New Roman" w:eastAsia="宋体" w:cs="Times New Roman"/>
          <w:color w:val="000000"/>
          <w:sz w:val="28"/>
          <w:szCs w:val="21"/>
        </w:rPr>
      </w:pPr>
      <w:bookmarkStart w:id="303" w:name="_Toc13634_WPSOffice_Level3"/>
      <w:bookmarkStart w:id="304" w:name="_Toc89368815"/>
      <w:r>
        <w:rPr>
          <w:rFonts w:hint="default" w:ascii="Times New Roman" w:hAnsi="Times New Roman" w:eastAsia="宋体" w:cs="Times New Roman"/>
          <w:color w:val="000000"/>
          <w:sz w:val="28"/>
          <w:szCs w:val="21"/>
        </w:rPr>
        <w:t>设计采场最大边坡角分别为39°，坡度等级指数（A）均为2。</w:t>
      </w:r>
    </w:p>
    <w:p w14:paraId="1D68B4D5">
      <w:pPr>
        <w:adjustRightInd w:val="0"/>
        <w:snapToGrid w:val="0"/>
        <w:spacing w:line="360" w:lineRule="auto"/>
        <w:ind w:firstLine="560" w:firstLineChars="200"/>
        <w:rPr>
          <w:rFonts w:hint="default" w:ascii="Times New Roman" w:hAnsi="Times New Roman" w:eastAsia="宋体" w:cs="Times New Roman"/>
          <w:color w:val="000000"/>
          <w:sz w:val="28"/>
          <w:szCs w:val="21"/>
        </w:rPr>
      </w:pPr>
      <w:r>
        <w:rPr>
          <w:rFonts w:hint="default" w:ascii="Times New Roman" w:hAnsi="Times New Roman" w:eastAsia="宋体" w:cs="Times New Roman"/>
          <w:color w:val="000000"/>
          <w:sz w:val="28"/>
          <w:szCs w:val="21"/>
        </w:rPr>
        <w:t>（3）地质条件等级</w:t>
      </w:r>
      <w:bookmarkEnd w:id="303"/>
      <w:bookmarkEnd w:id="304"/>
    </w:p>
    <w:p w14:paraId="0C305EF6">
      <w:pPr>
        <w:adjustRightInd w:val="0"/>
        <w:snapToGrid w:val="0"/>
        <w:spacing w:line="360" w:lineRule="auto"/>
        <w:ind w:firstLine="560" w:firstLineChars="200"/>
        <w:rPr>
          <w:rFonts w:hint="default" w:ascii="Times New Roman" w:hAnsi="Times New Roman" w:eastAsia="宋体" w:cs="Times New Roman"/>
          <w:color w:val="000000"/>
          <w:sz w:val="28"/>
          <w:szCs w:val="21"/>
        </w:rPr>
      </w:pPr>
      <w:r>
        <w:rPr>
          <w:rFonts w:hint="default" w:ascii="Times New Roman" w:hAnsi="Times New Roman" w:eastAsia="宋体" w:cs="Times New Roman"/>
          <w:color w:val="000000"/>
          <w:sz w:val="28"/>
          <w:szCs w:val="21"/>
        </w:rPr>
        <w:t>工程地质条件和水文地质条件分别划分为复杂型、中等型和简单型，对应的地质条件等级指数G分别为1、2、3。当工程地质条件和水文地质条件等级不一致时，取两者中较高的等级作为采场边坡地质条件等级。该矿山工程地质条件为中等，水文地质条件为简单，地质条件等级指数G为2。</w:t>
      </w:r>
    </w:p>
    <w:p w14:paraId="097C1E24">
      <w:pPr>
        <w:adjustRightInd w:val="0"/>
        <w:snapToGrid w:val="0"/>
        <w:spacing w:line="360" w:lineRule="auto"/>
        <w:ind w:firstLine="560" w:firstLineChars="200"/>
        <w:rPr>
          <w:rFonts w:hint="default" w:ascii="Times New Roman" w:hAnsi="Times New Roman" w:eastAsia="宋体" w:cs="Times New Roman"/>
          <w:color w:val="000000"/>
          <w:sz w:val="28"/>
          <w:szCs w:val="21"/>
        </w:rPr>
      </w:pPr>
      <w:bookmarkStart w:id="305" w:name="_Toc12930_WPSOffice_Level3"/>
      <w:bookmarkStart w:id="306" w:name="_Toc89368816"/>
      <w:r>
        <w:rPr>
          <w:rFonts w:hint="default" w:ascii="Times New Roman" w:hAnsi="Times New Roman" w:eastAsia="宋体" w:cs="Times New Roman"/>
          <w:color w:val="000000"/>
          <w:sz w:val="28"/>
          <w:szCs w:val="21"/>
        </w:rPr>
        <w:t>（4）采场边坡滑坡风险等级</w:t>
      </w:r>
      <w:bookmarkEnd w:id="305"/>
      <w:bookmarkEnd w:id="306"/>
    </w:p>
    <w:p w14:paraId="04321898">
      <w:pPr>
        <w:adjustRightInd w:val="0"/>
        <w:snapToGrid w:val="0"/>
        <w:spacing w:line="360" w:lineRule="auto"/>
        <w:ind w:firstLine="560" w:firstLineChars="200"/>
        <w:rPr>
          <w:rFonts w:hint="default" w:ascii="Times New Roman" w:hAnsi="Times New Roman" w:eastAsia="宋体" w:cs="Times New Roman"/>
          <w:color w:val="000000"/>
          <w:sz w:val="28"/>
          <w:szCs w:val="21"/>
        </w:rPr>
      </w:pPr>
      <w:r>
        <w:rPr>
          <w:rFonts w:hint="default" w:ascii="Times New Roman" w:hAnsi="Times New Roman" w:eastAsia="宋体" w:cs="Times New Roman"/>
          <w:color w:val="000000"/>
          <w:sz w:val="28"/>
          <w:szCs w:val="21"/>
        </w:rPr>
        <w:t>根据安全系数F对采场边坡稳定性进行滑坡风险分级，按下表正常和非正常工况条件下边坡滑坡风险等级为3。</w:t>
      </w:r>
    </w:p>
    <w:p w14:paraId="6CFBC751">
      <w:pPr>
        <w:adjustRightInd w:val="0"/>
        <w:snapToGrid w:val="0"/>
        <w:ind w:firstLine="480" w:firstLineChars="200"/>
        <w:jc w:val="center"/>
        <w:rPr>
          <w:rFonts w:hint="default" w:ascii="Times New Roman" w:hAnsi="Times New Roman" w:cs="Times New Roman"/>
          <w:bCs/>
          <w:sz w:val="24"/>
          <w:lang w:val="en-US" w:eastAsia="zh-CN"/>
        </w:rPr>
      </w:pPr>
      <w:r>
        <w:rPr>
          <w:rFonts w:hint="default" w:ascii="Times New Roman" w:hAnsi="Times New Roman" w:cs="Times New Roman"/>
          <w:bCs/>
          <w:sz w:val="24"/>
        </w:rPr>
        <w:t>表2.4-</w:t>
      </w:r>
      <w:r>
        <w:rPr>
          <w:rFonts w:hint="default" w:ascii="Times New Roman" w:hAnsi="Times New Roman" w:cs="Times New Roman"/>
          <w:bCs/>
          <w:sz w:val="24"/>
          <w:lang w:val="en-US" w:eastAsia="zh-CN"/>
        </w:rPr>
        <w:t>9</w:t>
      </w:r>
      <w:r>
        <w:rPr>
          <w:rFonts w:hint="default" w:ascii="Times New Roman" w:hAnsi="Times New Roman" w:cs="Times New Roman"/>
          <w:bCs/>
          <w:sz w:val="24"/>
        </w:rPr>
        <w:t xml:space="preserve">  </w:t>
      </w:r>
      <w:r>
        <w:rPr>
          <w:rFonts w:hint="default" w:ascii="Times New Roman" w:hAnsi="Times New Roman" w:cs="Times New Roman"/>
          <w:bCs/>
          <w:sz w:val="24"/>
          <w:lang w:val="en-US" w:eastAsia="zh-CN"/>
        </w:rPr>
        <w:t>采场边坡滑坡风险等级</w:t>
      </w:r>
    </w:p>
    <w:tbl>
      <w:tblPr>
        <w:tblStyle w:val="3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3179"/>
        <w:gridCol w:w="3096"/>
        <w:gridCol w:w="2918"/>
      </w:tblGrid>
      <w:tr w14:paraId="3C7C8B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729" w:type="pct"/>
            <w:vMerge w:val="restart"/>
            <w:vAlign w:val="center"/>
          </w:tcPr>
          <w:p w14:paraId="241CDEB9">
            <w:pPr>
              <w:widowControl w:val="0"/>
              <w:adjustRightInd w:val="0"/>
              <w:snapToGrid w:val="0"/>
              <w:spacing w:line="240" w:lineRule="auto"/>
              <w:ind w:firstLine="0" w:firstLineChars="0"/>
              <w:jc w:val="center"/>
              <w:rPr>
                <w:rFonts w:hint="default" w:ascii="Times New Roman" w:hAnsi="Times New Roman" w:eastAsia="宋体" w:cs="Times New Roman"/>
                <w:b/>
                <w:bCs/>
                <w:color w:val="000000"/>
                <w:kern w:val="2"/>
                <w:sz w:val="21"/>
                <w:szCs w:val="21"/>
                <w:lang w:val="en-US" w:eastAsia="zh-CN" w:bidi="ar-SA"/>
              </w:rPr>
            </w:pPr>
            <w:r>
              <w:rPr>
                <w:rFonts w:hint="default" w:ascii="Times New Roman" w:hAnsi="Times New Roman" w:eastAsia="宋体" w:cs="Times New Roman"/>
                <w:b/>
                <w:bCs/>
                <w:color w:val="000000"/>
                <w:kern w:val="2"/>
                <w:sz w:val="21"/>
                <w:szCs w:val="21"/>
                <w:lang w:val="en-US" w:eastAsia="zh-CN" w:bidi="ar-SA"/>
              </w:rPr>
              <w:t>滑坡风险等级指数 S</w:t>
            </w:r>
          </w:p>
        </w:tc>
        <w:tc>
          <w:tcPr>
            <w:tcW w:w="3271" w:type="pct"/>
            <w:gridSpan w:val="2"/>
            <w:vAlign w:val="center"/>
          </w:tcPr>
          <w:p w14:paraId="358C9B8A">
            <w:pPr>
              <w:widowControl w:val="0"/>
              <w:adjustRightInd w:val="0"/>
              <w:snapToGrid w:val="0"/>
              <w:spacing w:line="240" w:lineRule="auto"/>
              <w:ind w:firstLine="0" w:firstLineChars="0"/>
              <w:jc w:val="center"/>
              <w:rPr>
                <w:rFonts w:hint="default" w:ascii="Times New Roman" w:hAnsi="Times New Roman" w:eastAsia="宋体" w:cs="Times New Roman"/>
                <w:b/>
                <w:bCs/>
                <w:color w:val="000000"/>
                <w:kern w:val="2"/>
                <w:sz w:val="21"/>
                <w:szCs w:val="21"/>
                <w:lang w:val="en-US" w:eastAsia="zh-CN" w:bidi="ar-SA"/>
              </w:rPr>
            </w:pPr>
            <w:r>
              <w:rPr>
                <w:rFonts w:hint="default" w:ascii="Times New Roman" w:hAnsi="Times New Roman" w:eastAsia="宋体" w:cs="Times New Roman"/>
                <w:b/>
                <w:bCs/>
                <w:color w:val="000000"/>
                <w:kern w:val="2"/>
                <w:sz w:val="21"/>
                <w:szCs w:val="21"/>
                <w:lang w:val="en-US" w:eastAsia="zh-CN" w:bidi="ar-SA"/>
              </w:rPr>
              <w:t>安全系数F</w:t>
            </w:r>
          </w:p>
        </w:tc>
      </w:tr>
      <w:tr w14:paraId="5831FD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729" w:type="pct"/>
            <w:vMerge w:val="continue"/>
            <w:vAlign w:val="center"/>
          </w:tcPr>
          <w:p w14:paraId="2A4C5A54">
            <w:pPr>
              <w:widowControl w:val="0"/>
              <w:adjustRightInd w:val="0"/>
              <w:snapToGrid w:val="0"/>
              <w:spacing w:line="240" w:lineRule="auto"/>
              <w:ind w:firstLine="0" w:firstLineChars="0"/>
              <w:jc w:val="center"/>
              <w:rPr>
                <w:rFonts w:hint="default" w:ascii="Times New Roman" w:hAnsi="Times New Roman" w:eastAsia="宋体" w:cs="Times New Roman"/>
                <w:b/>
                <w:bCs/>
                <w:color w:val="000000"/>
                <w:kern w:val="2"/>
                <w:sz w:val="21"/>
                <w:szCs w:val="21"/>
                <w:lang w:val="en-US" w:eastAsia="zh-CN" w:bidi="ar-SA"/>
              </w:rPr>
            </w:pPr>
          </w:p>
        </w:tc>
        <w:tc>
          <w:tcPr>
            <w:tcW w:w="1684" w:type="pct"/>
            <w:vAlign w:val="center"/>
          </w:tcPr>
          <w:p w14:paraId="75F30BFE">
            <w:pPr>
              <w:widowControl w:val="0"/>
              <w:adjustRightInd w:val="0"/>
              <w:snapToGrid w:val="0"/>
              <w:spacing w:line="240" w:lineRule="auto"/>
              <w:ind w:firstLine="0" w:firstLineChars="0"/>
              <w:jc w:val="center"/>
              <w:rPr>
                <w:rFonts w:hint="default" w:ascii="Times New Roman" w:hAnsi="Times New Roman" w:eastAsia="宋体" w:cs="Times New Roman"/>
                <w:b/>
                <w:bCs/>
                <w:color w:val="000000"/>
                <w:kern w:val="2"/>
                <w:sz w:val="21"/>
                <w:szCs w:val="21"/>
                <w:lang w:val="en-US" w:eastAsia="zh-CN" w:bidi="ar-SA"/>
              </w:rPr>
            </w:pPr>
            <w:r>
              <w:rPr>
                <w:rFonts w:hint="default" w:ascii="Times New Roman" w:hAnsi="Times New Roman" w:eastAsia="宋体" w:cs="Times New Roman"/>
                <w:b/>
                <w:bCs/>
                <w:color w:val="000000"/>
                <w:kern w:val="2"/>
                <w:sz w:val="21"/>
                <w:szCs w:val="21"/>
                <w:lang w:val="en-US" w:eastAsia="zh-CN" w:bidi="ar-SA"/>
              </w:rPr>
              <w:t>正常工况</w:t>
            </w:r>
          </w:p>
        </w:tc>
        <w:tc>
          <w:tcPr>
            <w:tcW w:w="1587" w:type="pct"/>
            <w:vAlign w:val="center"/>
          </w:tcPr>
          <w:p w14:paraId="7593F376">
            <w:pPr>
              <w:widowControl w:val="0"/>
              <w:adjustRightInd w:val="0"/>
              <w:snapToGrid w:val="0"/>
              <w:spacing w:line="240" w:lineRule="auto"/>
              <w:ind w:firstLine="0" w:firstLineChars="0"/>
              <w:jc w:val="center"/>
              <w:rPr>
                <w:rFonts w:hint="default" w:ascii="Times New Roman" w:hAnsi="Times New Roman" w:eastAsia="宋体" w:cs="Times New Roman"/>
                <w:b/>
                <w:bCs/>
                <w:color w:val="000000"/>
                <w:kern w:val="2"/>
                <w:sz w:val="21"/>
                <w:szCs w:val="21"/>
                <w:lang w:val="en-US" w:eastAsia="zh-CN" w:bidi="ar-SA"/>
              </w:rPr>
            </w:pPr>
            <w:r>
              <w:rPr>
                <w:rFonts w:hint="default" w:ascii="Times New Roman" w:hAnsi="Times New Roman" w:eastAsia="宋体" w:cs="Times New Roman"/>
                <w:b/>
                <w:bCs/>
                <w:color w:val="000000"/>
                <w:kern w:val="2"/>
                <w:sz w:val="21"/>
                <w:szCs w:val="21"/>
                <w:lang w:val="en-US" w:eastAsia="zh-CN" w:bidi="ar-SA"/>
              </w:rPr>
              <w:t>非正常工况</w:t>
            </w:r>
          </w:p>
        </w:tc>
      </w:tr>
      <w:tr w14:paraId="1C1FED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729" w:type="pct"/>
            <w:vAlign w:val="center"/>
          </w:tcPr>
          <w:p w14:paraId="71AB310E">
            <w:pPr>
              <w:widowControl w:val="0"/>
              <w:adjustRightInd w:val="0"/>
              <w:snapToGrid w:val="0"/>
              <w:spacing w:line="240" w:lineRule="auto"/>
              <w:ind w:firstLine="0" w:firstLineChars="0"/>
              <w:jc w:val="center"/>
              <w:rPr>
                <w:rFonts w:hint="default" w:ascii="Times New Roman" w:hAnsi="Times New Roman" w:eastAsia="宋体" w:cs="Times New Roman"/>
                <w:b w:val="0"/>
                <w:color w:val="000000"/>
                <w:kern w:val="2"/>
                <w:sz w:val="21"/>
                <w:szCs w:val="21"/>
                <w:lang w:val="en-US" w:eastAsia="zh-CN" w:bidi="ar-SA"/>
              </w:rPr>
            </w:pPr>
            <w:r>
              <w:rPr>
                <w:rFonts w:hint="default" w:ascii="Times New Roman" w:hAnsi="Times New Roman" w:eastAsia="宋体" w:cs="Times New Roman"/>
                <w:b w:val="0"/>
                <w:color w:val="000000"/>
                <w:kern w:val="2"/>
                <w:sz w:val="21"/>
                <w:szCs w:val="21"/>
                <w:lang w:val="en-US" w:eastAsia="zh-CN" w:bidi="ar-SA"/>
              </w:rPr>
              <w:t>1</w:t>
            </w:r>
          </w:p>
        </w:tc>
        <w:tc>
          <w:tcPr>
            <w:tcW w:w="1684" w:type="pct"/>
            <w:vAlign w:val="center"/>
          </w:tcPr>
          <w:p w14:paraId="23FDF4A5">
            <w:pPr>
              <w:widowControl w:val="0"/>
              <w:adjustRightInd w:val="0"/>
              <w:snapToGrid w:val="0"/>
              <w:spacing w:line="240" w:lineRule="auto"/>
              <w:ind w:firstLine="0" w:firstLineChars="0"/>
              <w:jc w:val="center"/>
              <w:rPr>
                <w:rFonts w:hint="default" w:ascii="Times New Roman" w:hAnsi="Times New Roman" w:eastAsia="宋体" w:cs="Times New Roman"/>
                <w:b w:val="0"/>
                <w:color w:val="000000"/>
                <w:kern w:val="2"/>
                <w:sz w:val="21"/>
                <w:szCs w:val="21"/>
                <w:lang w:val="en-US" w:eastAsia="zh-CN" w:bidi="ar-SA"/>
              </w:rPr>
            </w:pPr>
            <w:r>
              <w:rPr>
                <w:rFonts w:hint="default" w:ascii="Times New Roman" w:hAnsi="Times New Roman" w:eastAsia="宋体" w:cs="Times New Roman"/>
                <w:b w:val="0"/>
                <w:color w:val="000000"/>
                <w:kern w:val="2"/>
                <w:sz w:val="21"/>
                <w:szCs w:val="21"/>
                <w:lang w:val="en-US" w:eastAsia="zh-CN" w:bidi="ar-SA"/>
              </w:rPr>
              <w:t>F</w:t>
            </w:r>
            <w:r>
              <w:rPr>
                <w:rFonts w:hint="default" w:ascii="Times New Roman" w:hAnsi="Times New Roman" w:cs="Times New Roman"/>
                <w:b w:val="0"/>
                <w:color w:val="000000"/>
                <w:kern w:val="2"/>
                <w:sz w:val="21"/>
                <w:szCs w:val="21"/>
                <w:lang w:val="en-US" w:eastAsia="zh-CN" w:bidi="ar-SA"/>
              </w:rPr>
              <w:t>&lt;</w:t>
            </w:r>
            <w:r>
              <w:rPr>
                <w:rFonts w:hint="default" w:ascii="Times New Roman" w:hAnsi="Times New Roman" w:eastAsia="宋体" w:cs="Times New Roman"/>
                <w:b w:val="0"/>
                <w:color w:val="000000"/>
                <w:kern w:val="2"/>
                <w:sz w:val="21"/>
                <w:szCs w:val="21"/>
                <w:lang w:val="en-US" w:eastAsia="zh-CN" w:bidi="ar-SA"/>
              </w:rPr>
              <w:t>1.1</w:t>
            </w:r>
          </w:p>
        </w:tc>
        <w:tc>
          <w:tcPr>
            <w:tcW w:w="1587" w:type="pct"/>
            <w:vAlign w:val="center"/>
          </w:tcPr>
          <w:p w14:paraId="430F88E2">
            <w:pPr>
              <w:widowControl w:val="0"/>
              <w:adjustRightInd w:val="0"/>
              <w:snapToGrid w:val="0"/>
              <w:spacing w:line="240" w:lineRule="auto"/>
              <w:ind w:firstLine="0" w:firstLineChars="0"/>
              <w:jc w:val="center"/>
              <w:rPr>
                <w:rFonts w:hint="default" w:ascii="Times New Roman" w:hAnsi="Times New Roman" w:eastAsia="宋体" w:cs="Times New Roman"/>
                <w:b w:val="0"/>
                <w:color w:val="000000"/>
                <w:kern w:val="2"/>
                <w:sz w:val="21"/>
                <w:szCs w:val="21"/>
                <w:lang w:val="en-US" w:eastAsia="zh-CN" w:bidi="ar-SA"/>
              </w:rPr>
            </w:pPr>
            <w:r>
              <w:rPr>
                <w:rFonts w:hint="default" w:ascii="Times New Roman" w:hAnsi="Times New Roman" w:eastAsia="宋体" w:cs="Times New Roman"/>
                <w:b w:val="0"/>
                <w:color w:val="000000"/>
                <w:kern w:val="2"/>
                <w:sz w:val="21"/>
                <w:szCs w:val="21"/>
                <w:lang w:val="en-US" w:eastAsia="zh-CN" w:bidi="ar-SA"/>
              </w:rPr>
              <w:t>F</w:t>
            </w:r>
            <w:r>
              <w:rPr>
                <w:rFonts w:hint="default" w:ascii="Times New Roman" w:hAnsi="Times New Roman" w:cs="Times New Roman"/>
                <w:b w:val="0"/>
                <w:color w:val="000000"/>
                <w:kern w:val="2"/>
                <w:sz w:val="21"/>
                <w:szCs w:val="21"/>
                <w:lang w:val="en-US" w:eastAsia="zh-CN" w:bidi="ar-SA"/>
              </w:rPr>
              <w:t>&lt;</w:t>
            </w:r>
            <w:r>
              <w:rPr>
                <w:rFonts w:hint="default" w:ascii="Times New Roman" w:hAnsi="Times New Roman" w:eastAsia="宋体" w:cs="Times New Roman"/>
                <w:b w:val="0"/>
                <w:color w:val="000000"/>
                <w:kern w:val="2"/>
                <w:sz w:val="21"/>
                <w:szCs w:val="21"/>
                <w:lang w:val="en-US" w:eastAsia="zh-CN" w:bidi="ar-SA"/>
              </w:rPr>
              <w:t>1.05</w:t>
            </w:r>
          </w:p>
        </w:tc>
      </w:tr>
      <w:tr w14:paraId="1F4364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729" w:type="pct"/>
            <w:vAlign w:val="center"/>
          </w:tcPr>
          <w:p w14:paraId="39BFA29B">
            <w:pPr>
              <w:widowControl w:val="0"/>
              <w:adjustRightInd w:val="0"/>
              <w:snapToGrid w:val="0"/>
              <w:spacing w:line="240" w:lineRule="auto"/>
              <w:ind w:firstLine="0" w:firstLineChars="0"/>
              <w:jc w:val="center"/>
              <w:rPr>
                <w:rFonts w:hint="default" w:ascii="Times New Roman" w:hAnsi="Times New Roman" w:eastAsia="宋体" w:cs="Times New Roman"/>
                <w:b w:val="0"/>
                <w:color w:val="000000"/>
                <w:kern w:val="2"/>
                <w:sz w:val="21"/>
                <w:szCs w:val="21"/>
                <w:lang w:val="en-US" w:eastAsia="zh-CN" w:bidi="ar-SA"/>
              </w:rPr>
            </w:pPr>
            <w:r>
              <w:rPr>
                <w:rFonts w:hint="default" w:ascii="Times New Roman" w:hAnsi="Times New Roman" w:eastAsia="宋体" w:cs="Times New Roman"/>
                <w:b w:val="0"/>
                <w:color w:val="000000"/>
                <w:kern w:val="2"/>
                <w:sz w:val="21"/>
                <w:szCs w:val="21"/>
                <w:lang w:val="en-US" w:eastAsia="zh-CN" w:bidi="ar-SA"/>
              </w:rPr>
              <w:t>2</w:t>
            </w:r>
          </w:p>
        </w:tc>
        <w:tc>
          <w:tcPr>
            <w:tcW w:w="1684" w:type="pct"/>
            <w:vAlign w:val="center"/>
          </w:tcPr>
          <w:p w14:paraId="019B498E">
            <w:pPr>
              <w:widowControl w:val="0"/>
              <w:adjustRightInd w:val="0"/>
              <w:snapToGrid w:val="0"/>
              <w:spacing w:line="240" w:lineRule="auto"/>
              <w:ind w:firstLine="0" w:firstLineChars="0"/>
              <w:jc w:val="center"/>
              <w:rPr>
                <w:rFonts w:hint="default" w:ascii="Times New Roman" w:hAnsi="Times New Roman" w:eastAsia="宋体" w:cs="Times New Roman"/>
                <w:b w:val="0"/>
                <w:color w:val="000000"/>
                <w:kern w:val="2"/>
                <w:sz w:val="21"/>
                <w:szCs w:val="21"/>
                <w:lang w:val="en-US" w:eastAsia="zh-CN" w:bidi="ar-SA"/>
              </w:rPr>
            </w:pPr>
            <w:r>
              <w:rPr>
                <w:rFonts w:hint="default" w:ascii="Times New Roman" w:hAnsi="Times New Roman" w:eastAsia="宋体" w:cs="Times New Roman"/>
                <w:b w:val="0"/>
                <w:color w:val="000000"/>
                <w:kern w:val="2"/>
                <w:sz w:val="21"/>
                <w:szCs w:val="21"/>
                <w:lang w:val="en-US" w:eastAsia="zh-CN" w:bidi="ar-SA"/>
              </w:rPr>
              <w:t>1.1≤F</w:t>
            </w:r>
            <w:r>
              <w:rPr>
                <w:rFonts w:hint="default" w:ascii="Times New Roman" w:hAnsi="Times New Roman" w:cs="Times New Roman"/>
                <w:b w:val="0"/>
                <w:color w:val="000000"/>
                <w:kern w:val="2"/>
                <w:sz w:val="21"/>
                <w:szCs w:val="21"/>
                <w:lang w:val="en-US" w:eastAsia="zh-CN" w:bidi="ar-SA"/>
              </w:rPr>
              <w:t>&lt;</w:t>
            </w:r>
            <w:r>
              <w:rPr>
                <w:rFonts w:hint="default" w:ascii="Times New Roman" w:hAnsi="Times New Roman" w:eastAsia="宋体" w:cs="Times New Roman"/>
                <w:b w:val="0"/>
                <w:color w:val="000000"/>
                <w:kern w:val="2"/>
                <w:sz w:val="21"/>
                <w:szCs w:val="21"/>
                <w:lang w:val="en-US" w:eastAsia="zh-CN" w:bidi="ar-SA"/>
              </w:rPr>
              <w:t>1.2</w:t>
            </w:r>
          </w:p>
        </w:tc>
        <w:tc>
          <w:tcPr>
            <w:tcW w:w="1587" w:type="pct"/>
            <w:vAlign w:val="center"/>
          </w:tcPr>
          <w:p w14:paraId="015F20C5">
            <w:pPr>
              <w:widowControl w:val="0"/>
              <w:adjustRightInd w:val="0"/>
              <w:snapToGrid w:val="0"/>
              <w:spacing w:line="240" w:lineRule="auto"/>
              <w:ind w:firstLine="0" w:firstLineChars="0"/>
              <w:jc w:val="center"/>
              <w:rPr>
                <w:rFonts w:hint="default" w:ascii="Times New Roman" w:hAnsi="Times New Roman" w:eastAsia="宋体" w:cs="Times New Roman"/>
                <w:b w:val="0"/>
                <w:color w:val="000000"/>
                <w:kern w:val="2"/>
                <w:sz w:val="21"/>
                <w:szCs w:val="21"/>
                <w:lang w:val="en-US" w:eastAsia="zh-CN" w:bidi="ar-SA"/>
              </w:rPr>
            </w:pPr>
            <w:r>
              <w:rPr>
                <w:rFonts w:hint="default" w:ascii="Times New Roman" w:hAnsi="Times New Roman" w:eastAsia="宋体" w:cs="Times New Roman"/>
                <w:b w:val="0"/>
                <w:color w:val="000000"/>
                <w:kern w:val="2"/>
                <w:sz w:val="21"/>
                <w:szCs w:val="21"/>
                <w:lang w:val="en-US" w:eastAsia="zh-CN" w:bidi="ar-SA"/>
              </w:rPr>
              <w:t>1.05≤F</w:t>
            </w:r>
            <w:r>
              <w:rPr>
                <w:rFonts w:hint="default" w:ascii="Times New Roman" w:hAnsi="Times New Roman" w:cs="Times New Roman"/>
                <w:b w:val="0"/>
                <w:color w:val="000000"/>
                <w:kern w:val="2"/>
                <w:sz w:val="21"/>
                <w:szCs w:val="21"/>
                <w:lang w:val="en-US" w:eastAsia="zh-CN" w:bidi="ar-SA"/>
              </w:rPr>
              <w:t>&lt;</w:t>
            </w:r>
            <w:r>
              <w:rPr>
                <w:rFonts w:hint="default" w:ascii="Times New Roman" w:hAnsi="Times New Roman" w:eastAsia="宋体" w:cs="Times New Roman"/>
                <w:b w:val="0"/>
                <w:color w:val="000000"/>
                <w:kern w:val="2"/>
                <w:sz w:val="21"/>
                <w:szCs w:val="21"/>
                <w:lang w:val="en-US" w:eastAsia="zh-CN" w:bidi="ar-SA"/>
              </w:rPr>
              <w:t>1.15</w:t>
            </w:r>
          </w:p>
        </w:tc>
      </w:tr>
      <w:tr w14:paraId="5F5778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729" w:type="pct"/>
            <w:vAlign w:val="center"/>
          </w:tcPr>
          <w:p w14:paraId="6473A5BE">
            <w:pPr>
              <w:widowControl w:val="0"/>
              <w:adjustRightInd w:val="0"/>
              <w:snapToGrid w:val="0"/>
              <w:spacing w:line="240" w:lineRule="auto"/>
              <w:ind w:firstLine="0" w:firstLineChars="0"/>
              <w:jc w:val="center"/>
              <w:rPr>
                <w:rFonts w:hint="default" w:ascii="Times New Roman" w:hAnsi="Times New Roman" w:eastAsia="宋体" w:cs="Times New Roman"/>
                <w:b w:val="0"/>
                <w:color w:val="000000"/>
                <w:kern w:val="2"/>
                <w:sz w:val="21"/>
                <w:szCs w:val="21"/>
                <w:lang w:val="en-US" w:eastAsia="zh-CN" w:bidi="ar-SA"/>
              </w:rPr>
            </w:pPr>
            <w:r>
              <w:rPr>
                <w:rFonts w:hint="default" w:ascii="Times New Roman" w:hAnsi="Times New Roman" w:eastAsia="宋体" w:cs="Times New Roman"/>
                <w:b w:val="0"/>
                <w:color w:val="000000"/>
                <w:kern w:val="2"/>
                <w:sz w:val="21"/>
                <w:szCs w:val="21"/>
                <w:lang w:val="en-US" w:eastAsia="zh-CN" w:bidi="ar-SA"/>
              </w:rPr>
              <w:t>3</w:t>
            </w:r>
          </w:p>
        </w:tc>
        <w:tc>
          <w:tcPr>
            <w:tcW w:w="1684" w:type="pct"/>
            <w:vAlign w:val="center"/>
          </w:tcPr>
          <w:p w14:paraId="6C6AF03D">
            <w:pPr>
              <w:widowControl w:val="0"/>
              <w:adjustRightInd w:val="0"/>
              <w:snapToGrid w:val="0"/>
              <w:spacing w:line="240" w:lineRule="auto"/>
              <w:ind w:firstLine="0" w:firstLineChars="0"/>
              <w:jc w:val="center"/>
              <w:rPr>
                <w:rFonts w:hint="default" w:ascii="Times New Roman" w:hAnsi="Times New Roman" w:eastAsia="宋体" w:cs="Times New Roman"/>
                <w:b w:val="0"/>
                <w:color w:val="000000"/>
                <w:kern w:val="2"/>
                <w:sz w:val="21"/>
                <w:szCs w:val="21"/>
                <w:lang w:val="en-US" w:eastAsia="zh-CN" w:bidi="ar-SA"/>
              </w:rPr>
            </w:pPr>
            <w:r>
              <w:rPr>
                <w:rFonts w:hint="default" w:ascii="Times New Roman" w:hAnsi="Times New Roman" w:eastAsia="宋体" w:cs="Times New Roman"/>
                <w:b w:val="0"/>
                <w:color w:val="000000"/>
                <w:kern w:val="2"/>
                <w:sz w:val="21"/>
                <w:szCs w:val="21"/>
                <w:lang w:val="en-US" w:eastAsia="zh-CN" w:bidi="ar-SA"/>
              </w:rPr>
              <w:t>1.2≤F</w:t>
            </w:r>
            <w:r>
              <w:rPr>
                <w:rFonts w:hint="default" w:ascii="Times New Roman" w:hAnsi="Times New Roman" w:cs="Times New Roman"/>
                <w:b w:val="0"/>
                <w:color w:val="000000"/>
                <w:kern w:val="2"/>
                <w:sz w:val="21"/>
                <w:szCs w:val="21"/>
                <w:lang w:val="en-US" w:eastAsia="zh-CN" w:bidi="ar-SA"/>
              </w:rPr>
              <w:t>&lt;</w:t>
            </w:r>
            <w:r>
              <w:rPr>
                <w:rFonts w:hint="default" w:ascii="Times New Roman" w:hAnsi="Times New Roman" w:eastAsia="宋体" w:cs="Times New Roman"/>
                <w:b w:val="0"/>
                <w:color w:val="000000"/>
                <w:kern w:val="2"/>
                <w:sz w:val="21"/>
                <w:szCs w:val="21"/>
                <w:lang w:val="en-US" w:eastAsia="zh-CN" w:bidi="ar-SA"/>
              </w:rPr>
              <w:t>1.3</w:t>
            </w:r>
          </w:p>
        </w:tc>
        <w:tc>
          <w:tcPr>
            <w:tcW w:w="1587" w:type="pct"/>
            <w:vAlign w:val="center"/>
          </w:tcPr>
          <w:p w14:paraId="5314C8B9">
            <w:pPr>
              <w:widowControl w:val="0"/>
              <w:adjustRightInd w:val="0"/>
              <w:snapToGrid w:val="0"/>
              <w:spacing w:line="240" w:lineRule="auto"/>
              <w:ind w:firstLine="0" w:firstLineChars="0"/>
              <w:jc w:val="center"/>
              <w:rPr>
                <w:rFonts w:hint="default" w:ascii="Times New Roman" w:hAnsi="Times New Roman" w:eastAsia="宋体" w:cs="Times New Roman"/>
                <w:b w:val="0"/>
                <w:color w:val="000000"/>
                <w:kern w:val="2"/>
                <w:sz w:val="21"/>
                <w:szCs w:val="21"/>
                <w:lang w:val="en-US" w:eastAsia="zh-CN" w:bidi="ar-SA"/>
              </w:rPr>
            </w:pPr>
            <w:r>
              <w:rPr>
                <w:rFonts w:hint="default" w:ascii="Times New Roman" w:hAnsi="Times New Roman" w:eastAsia="宋体" w:cs="Times New Roman"/>
                <w:b w:val="0"/>
                <w:color w:val="000000"/>
                <w:kern w:val="2"/>
                <w:sz w:val="21"/>
                <w:szCs w:val="21"/>
                <w:lang w:val="en-US" w:eastAsia="zh-CN" w:bidi="ar-SA"/>
              </w:rPr>
              <w:t>1.15≤F</w:t>
            </w:r>
            <w:r>
              <w:rPr>
                <w:rFonts w:hint="default" w:ascii="Times New Roman" w:hAnsi="Times New Roman" w:cs="Times New Roman"/>
                <w:b w:val="0"/>
                <w:color w:val="000000"/>
                <w:kern w:val="2"/>
                <w:sz w:val="21"/>
                <w:szCs w:val="21"/>
                <w:lang w:val="en-US" w:eastAsia="zh-CN" w:bidi="ar-SA"/>
              </w:rPr>
              <w:t>&lt;</w:t>
            </w:r>
            <w:r>
              <w:rPr>
                <w:rFonts w:hint="default" w:ascii="Times New Roman" w:hAnsi="Times New Roman" w:eastAsia="宋体" w:cs="Times New Roman"/>
                <w:b w:val="0"/>
                <w:color w:val="000000"/>
                <w:kern w:val="2"/>
                <w:sz w:val="21"/>
                <w:szCs w:val="21"/>
                <w:lang w:val="en-US" w:eastAsia="zh-CN" w:bidi="ar-SA"/>
              </w:rPr>
              <w:t>1.25</w:t>
            </w:r>
          </w:p>
        </w:tc>
      </w:tr>
      <w:tr w14:paraId="764B25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729" w:type="pct"/>
            <w:vAlign w:val="center"/>
          </w:tcPr>
          <w:p w14:paraId="3DD4AD78">
            <w:pPr>
              <w:widowControl w:val="0"/>
              <w:adjustRightInd w:val="0"/>
              <w:snapToGrid w:val="0"/>
              <w:spacing w:line="240" w:lineRule="auto"/>
              <w:ind w:firstLine="0" w:firstLineChars="0"/>
              <w:jc w:val="center"/>
              <w:rPr>
                <w:rFonts w:hint="default" w:ascii="Times New Roman" w:hAnsi="Times New Roman" w:eastAsia="宋体" w:cs="Times New Roman"/>
                <w:b w:val="0"/>
                <w:color w:val="000000"/>
                <w:kern w:val="2"/>
                <w:sz w:val="21"/>
                <w:szCs w:val="21"/>
                <w:lang w:val="en-US" w:eastAsia="zh-CN" w:bidi="ar-SA"/>
              </w:rPr>
            </w:pPr>
            <w:r>
              <w:rPr>
                <w:rFonts w:hint="default" w:ascii="Times New Roman" w:hAnsi="Times New Roman" w:eastAsia="宋体" w:cs="Times New Roman"/>
                <w:b w:val="0"/>
                <w:color w:val="000000"/>
                <w:kern w:val="2"/>
                <w:sz w:val="21"/>
                <w:szCs w:val="21"/>
                <w:lang w:val="en-US" w:eastAsia="zh-CN" w:bidi="ar-SA"/>
              </w:rPr>
              <w:t>4</w:t>
            </w:r>
          </w:p>
        </w:tc>
        <w:tc>
          <w:tcPr>
            <w:tcW w:w="1684" w:type="pct"/>
            <w:vAlign w:val="center"/>
          </w:tcPr>
          <w:p w14:paraId="6B048791">
            <w:pPr>
              <w:widowControl w:val="0"/>
              <w:adjustRightInd w:val="0"/>
              <w:snapToGrid w:val="0"/>
              <w:spacing w:line="240" w:lineRule="auto"/>
              <w:ind w:firstLine="0" w:firstLineChars="0"/>
              <w:jc w:val="center"/>
              <w:rPr>
                <w:rFonts w:hint="default" w:ascii="Times New Roman" w:hAnsi="Times New Roman" w:eastAsia="宋体" w:cs="Times New Roman"/>
                <w:b w:val="0"/>
                <w:color w:val="000000"/>
                <w:kern w:val="2"/>
                <w:sz w:val="21"/>
                <w:szCs w:val="21"/>
                <w:lang w:val="en-US" w:eastAsia="zh-CN" w:bidi="ar-SA"/>
              </w:rPr>
            </w:pPr>
            <w:r>
              <w:rPr>
                <w:rFonts w:hint="default" w:ascii="Times New Roman" w:hAnsi="Times New Roman" w:eastAsia="宋体" w:cs="Times New Roman"/>
                <w:b w:val="0"/>
                <w:color w:val="000000"/>
                <w:kern w:val="2"/>
                <w:sz w:val="21"/>
                <w:szCs w:val="21"/>
                <w:lang w:val="en-US" w:eastAsia="zh-CN" w:bidi="ar-SA"/>
              </w:rPr>
              <w:t>1.3≤F</w:t>
            </w:r>
          </w:p>
        </w:tc>
        <w:tc>
          <w:tcPr>
            <w:tcW w:w="1587" w:type="pct"/>
            <w:vAlign w:val="center"/>
          </w:tcPr>
          <w:p w14:paraId="0532D0AB">
            <w:pPr>
              <w:widowControl w:val="0"/>
              <w:adjustRightInd w:val="0"/>
              <w:snapToGrid w:val="0"/>
              <w:spacing w:line="240" w:lineRule="auto"/>
              <w:ind w:firstLine="0" w:firstLineChars="0"/>
              <w:jc w:val="center"/>
              <w:rPr>
                <w:rFonts w:hint="default" w:ascii="Times New Roman" w:hAnsi="Times New Roman" w:eastAsia="宋体" w:cs="Times New Roman"/>
                <w:b w:val="0"/>
                <w:color w:val="000000"/>
                <w:kern w:val="2"/>
                <w:sz w:val="21"/>
                <w:szCs w:val="21"/>
                <w:lang w:val="en-US" w:eastAsia="zh-CN" w:bidi="ar-SA"/>
              </w:rPr>
            </w:pPr>
            <w:r>
              <w:rPr>
                <w:rFonts w:hint="default" w:ascii="Times New Roman" w:hAnsi="Times New Roman" w:eastAsia="宋体" w:cs="Times New Roman"/>
                <w:b w:val="0"/>
                <w:color w:val="000000"/>
                <w:kern w:val="2"/>
                <w:sz w:val="21"/>
                <w:szCs w:val="21"/>
                <w:lang w:val="en-US" w:eastAsia="zh-CN" w:bidi="ar-SA"/>
              </w:rPr>
              <w:t>1.25≤F</w:t>
            </w:r>
          </w:p>
        </w:tc>
      </w:tr>
      <w:tr w14:paraId="7D798F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5000" w:type="pct"/>
            <w:gridSpan w:val="3"/>
            <w:vAlign w:val="center"/>
          </w:tcPr>
          <w:p w14:paraId="5865980D">
            <w:pPr>
              <w:widowControl w:val="0"/>
              <w:adjustRightInd w:val="0"/>
              <w:snapToGrid w:val="0"/>
              <w:spacing w:line="240" w:lineRule="auto"/>
              <w:ind w:firstLine="0" w:firstLineChars="0"/>
              <w:jc w:val="center"/>
              <w:rPr>
                <w:rFonts w:hint="default" w:ascii="Times New Roman" w:hAnsi="Times New Roman" w:eastAsia="宋体" w:cs="Times New Roman"/>
                <w:b w:val="0"/>
                <w:color w:val="000000"/>
                <w:kern w:val="2"/>
                <w:sz w:val="21"/>
                <w:szCs w:val="21"/>
                <w:lang w:val="en-US" w:eastAsia="zh-CN" w:bidi="ar-SA"/>
              </w:rPr>
            </w:pPr>
            <w:r>
              <w:rPr>
                <w:rFonts w:hint="default" w:ascii="Times New Roman" w:hAnsi="Times New Roman" w:eastAsia="宋体" w:cs="Times New Roman"/>
                <w:b w:val="0"/>
                <w:color w:val="000000"/>
                <w:kern w:val="2"/>
                <w:sz w:val="21"/>
                <w:szCs w:val="21"/>
                <w:lang w:val="en-US" w:eastAsia="zh-CN" w:bidi="ar-SA"/>
              </w:rPr>
              <w:t>注：非正常工况考虑暴雨或地震等荷载情况下的安全系数。</w:t>
            </w:r>
          </w:p>
        </w:tc>
      </w:tr>
    </w:tbl>
    <w:p w14:paraId="3EDEE8A9">
      <w:pPr>
        <w:adjustRightInd w:val="0"/>
        <w:snapToGrid w:val="0"/>
        <w:spacing w:line="360" w:lineRule="auto"/>
        <w:ind w:firstLine="560" w:firstLineChars="200"/>
        <w:rPr>
          <w:rFonts w:hint="default" w:ascii="Times New Roman" w:hAnsi="Times New Roman" w:eastAsia="宋体" w:cs="Times New Roman"/>
          <w:color w:val="000000"/>
          <w:sz w:val="28"/>
          <w:szCs w:val="21"/>
        </w:rPr>
      </w:pPr>
      <w:bookmarkStart w:id="307" w:name="_Toc89368817"/>
      <w:bookmarkStart w:id="308" w:name="_Toc11017_WPSOffice_Level3"/>
      <w:r>
        <w:rPr>
          <w:rFonts w:hint="default" w:ascii="Times New Roman" w:hAnsi="Times New Roman" w:eastAsia="宋体" w:cs="Times New Roman"/>
          <w:color w:val="000000"/>
          <w:sz w:val="28"/>
          <w:szCs w:val="21"/>
        </w:rPr>
        <w:t>（5）采场边坡安全监测等级确定</w:t>
      </w:r>
      <w:bookmarkEnd w:id="307"/>
      <w:bookmarkEnd w:id="308"/>
    </w:p>
    <w:p w14:paraId="4056AD11">
      <w:pPr>
        <w:adjustRightInd w:val="0"/>
        <w:snapToGrid w:val="0"/>
        <w:spacing w:line="360" w:lineRule="auto"/>
        <w:ind w:firstLine="560" w:firstLineChars="200"/>
        <w:rPr>
          <w:rFonts w:hint="default" w:ascii="Times New Roman" w:hAnsi="Times New Roman" w:eastAsia="宋体" w:cs="Times New Roman"/>
          <w:color w:val="000000"/>
          <w:sz w:val="28"/>
          <w:szCs w:val="21"/>
        </w:rPr>
      </w:pPr>
      <w:r>
        <w:rPr>
          <w:rFonts w:hint="default" w:ascii="Times New Roman" w:hAnsi="Times New Roman" w:eastAsia="宋体" w:cs="Times New Roman"/>
          <w:color w:val="000000"/>
          <w:sz w:val="28"/>
          <w:szCs w:val="21"/>
        </w:rPr>
        <w:t>露天矿山采场边坡安全监测等级由边坡的变形指数和滑坡风险等级共同确定，共分为一、二、三、四级，一级为最高等级并依次降低，其中变形指数由下式确定：</w:t>
      </w:r>
    </w:p>
    <w:p w14:paraId="57E1BF37">
      <w:pPr>
        <w:adjustRightInd w:val="0"/>
        <w:snapToGrid w:val="0"/>
        <w:spacing w:line="360" w:lineRule="auto"/>
        <w:ind w:firstLine="560" w:firstLineChars="200"/>
        <w:rPr>
          <w:rFonts w:hint="default" w:ascii="Times New Roman" w:hAnsi="Times New Roman" w:eastAsia="宋体" w:cs="Times New Roman"/>
          <w:color w:val="000000"/>
          <w:sz w:val="28"/>
          <w:szCs w:val="21"/>
        </w:rPr>
      </w:pPr>
      <w:r>
        <w:rPr>
          <w:rFonts w:hint="default" w:ascii="Times New Roman" w:hAnsi="Times New Roman" w:eastAsia="宋体" w:cs="Times New Roman"/>
          <w:color w:val="000000"/>
          <w:sz w:val="28"/>
          <w:szCs w:val="21"/>
        </w:rPr>
        <w:t>D=H+A+G</w:t>
      </w:r>
    </w:p>
    <w:p w14:paraId="78FA0598">
      <w:pPr>
        <w:adjustRightInd w:val="0"/>
        <w:snapToGrid w:val="0"/>
        <w:spacing w:line="360" w:lineRule="auto"/>
        <w:ind w:firstLine="560" w:firstLineChars="200"/>
        <w:rPr>
          <w:rFonts w:hint="default" w:ascii="Times New Roman" w:hAnsi="Times New Roman" w:eastAsia="宋体" w:cs="Times New Roman"/>
          <w:color w:val="000000"/>
          <w:sz w:val="28"/>
          <w:szCs w:val="21"/>
        </w:rPr>
      </w:pPr>
      <w:r>
        <w:rPr>
          <w:rFonts w:hint="default" w:ascii="Times New Roman" w:hAnsi="Times New Roman" w:eastAsia="宋体" w:cs="Times New Roman"/>
          <w:color w:val="000000"/>
          <w:sz w:val="28"/>
          <w:szCs w:val="21"/>
        </w:rPr>
        <w:t>式中：</w:t>
      </w:r>
    </w:p>
    <w:p w14:paraId="5186917D">
      <w:pPr>
        <w:adjustRightInd w:val="0"/>
        <w:snapToGrid w:val="0"/>
        <w:spacing w:line="360" w:lineRule="auto"/>
        <w:ind w:firstLine="560" w:firstLineChars="200"/>
        <w:rPr>
          <w:rFonts w:hint="default" w:ascii="Times New Roman" w:hAnsi="Times New Roman" w:eastAsia="宋体" w:cs="Times New Roman"/>
          <w:color w:val="000000"/>
          <w:sz w:val="28"/>
          <w:szCs w:val="21"/>
        </w:rPr>
      </w:pPr>
      <w:r>
        <w:rPr>
          <w:rFonts w:hint="default" w:ascii="Times New Roman" w:hAnsi="Times New Roman" w:eastAsia="宋体" w:cs="Times New Roman"/>
          <w:color w:val="000000"/>
          <w:sz w:val="28"/>
          <w:szCs w:val="21"/>
        </w:rPr>
        <w:t>D—变形指数；</w:t>
      </w:r>
    </w:p>
    <w:p w14:paraId="48156C5A">
      <w:pPr>
        <w:adjustRightInd w:val="0"/>
        <w:snapToGrid w:val="0"/>
        <w:spacing w:line="360" w:lineRule="auto"/>
        <w:ind w:firstLine="560" w:firstLineChars="200"/>
        <w:rPr>
          <w:rFonts w:hint="default" w:ascii="Times New Roman" w:hAnsi="Times New Roman" w:eastAsia="宋体" w:cs="Times New Roman"/>
          <w:color w:val="000000"/>
          <w:sz w:val="28"/>
          <w:szCs w:val="21"/>
        </w:rPr>
      </w:pPr>
      <w:r>
        <w:rPr>
          <w:rFonts w:hint="default" w:ascii="Times New Roman" w:hAnsi="Times New Roman" w:eastAsia="宋体" w:cs="Times New Roman"/>
          <w:color w:val="000000"/>
          <w:sz w:val="28"/>
          <w:szCs w:val="21"/>
        </w:rPr>
        <w:t>H—高度等级指数；</w:t>
      </w:r>
    </w:p>
    <w:p w14:paraId="0BFDDD6A">
      <w:pPr>
        <w:adjustRightInd w:val="0"/>
        <w:snapToGrid w:val="0"/>
        <w:spacing w:line="360" w:lineRule="auto"/>
        <w:ind w:firstLine="560" w:firstLineChars="200"/>
        <w:rPr>
          <w:rFonts w:hint="default" w:ascii="Times New Roman" w:hAnsi="Times New Roman" w:eastAsia="宋体" w:cs="Times New Roman"/>
          <w:color w:val="000000"/>
          <w:sz w:val="28"/>
          <w:szCs w:val="21"/>
        </w:rPr>
      </w:pPr>
      <w:r>
        <w:rPr>
          <w:rFonts w:hint="default" w:ascii="Times New Roman" w:hAnsi="Times New Roman" w:eastAsia="宋体" w:cs="Times New Roman"/>
          <w:color w:val="000000"/>
          <w:sz w:val="28"/>
          <w:szCs w:val="21"/>
        </w:rPr>
        <w:t>A—坡度等级指数；</w:t>
      </w:r>
    </w:p>
    <w:p w14:paraId="139153F3">
      <w:pPr>
        <w:adjustRightInd w:val="0"/>
        <w:snapToGrid w:val="0"/>
        <w:spacing w:line="360" w:lineRule="auto"/>
        <w:ind w:firstLine="560" w:firstLineChars="200"/>
        <w:rPr>
          <w:rFonts w:hint="default" w:ascii="Times New Roman" w:hAnsi="Times New Roman" w:eastAsia="宋体" w:cs="Times New Roman"/>
          <w:color w:val="000000"/>
          <w:sz w:val="28"/>
          <w:szCs w:val="21"/>
        </w:rPr>
      </w:pPr>
      <w:r>
        <w:rPr>
          <w:rFonts w:hint="default" w:ascii="Times New Roman" w:hAnsi="Times New Roman" w:eastAsia="宋体" w:cs="Times New Roman"/>
          <w:color w:val="000000"/>
          <w:sz w:val="28"/>
          <w:szCs w:val="21"/>
        </w:rPr>
        <w:t>G—地质条件指数。</w:t>
      </w:r>
    </w:p>
    <w:p w14:paraId="61733E7E">
      <w:pPr>
        <w:adjustRightInd w:val="0"/>
        <w:snapToGrid w:val="0"/>
        <w:spacing w:line="360" w:lineRule="auto"/>
        <w:ind w:firstLine="560" w:firstLineChars="200"/>
        <w:rPr>
          <w:rFonts w:hint="default" w:ascii="Times New Roman" w:hAnsi="Times New Roman" w:eastAsia="宋体" w:cs="Times New Roman"/>
          <w:color w:val="000000"/>
          <w:sz w:val="28"/>
          <w:szCs w:val="21"/>
        </w:rPr>
      </w:pPr>
      <w:r>
        <w:rPr>
          <w:rFonts w:hint="default" w:ascii="Times New Roman" w:hAnsi="Times New Roman" w:eastAsia="宋体" w:cs="Times New Roman"/>
          <w:color w:val="000000"/>
          <w:sz w:val="28"/>
          <w:szCs w:val="21"/>
        </w:rPr>
        <w:t>当边坡变形指数和风险指数取值不在同一监测等级时，取两者中较高等级。</w:t>
      </w:r>
    </w:p>
    <w:p w14:paraId="7738C2F6">
      <w:pPr>
        <w:keepNext/>
        <w:keepLines/>
        <w:pageBreakBefore w:val="0"/>
        <w:widowControl w:val="0"/>
        <w:kinsoku/>
        <w:wordWrap/>
        <w:overflowPunct/>
        <w:topLinePunct w:val="0"/>
        <w:autoSpaceDE/>
        <w:autoSpaceDN/>
        <w:bidi w:val="0"/>
        <w:adjustRightInd w:val="0"/>
        <w:snapToGrid w:val="0"/>
        <w:ind w:firstLine="480" w:firstLineChars="200"/>
        <w:jc w:val="center"/>
        <w:textAlignment w:val="auto"/>
        <w:rPr>
          <w:rFonts w:hint="default" w:ascii="Times New Roman" w:hAnsi="Times New Roman" w:eastAsia="宋体" w:cs="Times New Roman"/>
          <w:bCs/>
          <w:sz w:val="24"/>
          <w:lang w:val="en-US" w:eastAsia="zh-CN"/>
        </w:rPr>
      </w:pPr>
      <w:r>
        <w:rPr>
          <w:rFonts w:hint="default" w:ascii="Times New Roman" w:hAnsi="Times New Roman" w:cs="Times New Roman"/>
          <w:bCs/>
          <w:sz w:val="24"/>
        </w:rPr>
        <w:t>表2.4-1</w:t>
      </w:r>
      <w:r>
        <w:rPr>
          <w:rFonts w:hint="default" w:ascii="Times New Roman" w:hAnsi="Times New Roman" w:cs="Times New Roman"/>
          <w:bCs/>
          <w:sz w:val="24"/>
          <w:lang w:val="en-US" w:eastAsia="zh-CN"/>
        </w:rPr>
        <w:t>0</w:t>
      </w:r>
      <w:r>
        <w:rPr>
          <w:rFonts w:hint="default" w:ascii="Times New Roman" w:hAnsi="Times New Roman" w:cs="Times New Roman"/>
          <w:bCs/>
          <w:sz w:val="24"/>
        </w:rPr>
        <w:t xml:space="preserve">  </w:t>
      </w:r>
      <w:r>
        <w:rPr>
          <w:rFonts w:hint="default" w:ascii="Times New Roman" w:hAnsi="Times New Roman" w:cs="Times New Roman"/>
          <w:bCs/>
          <w:sz w:val="24"/>
          <w:lang w:val="en-US" w:eastAsia="zh-CN"/>
        </w:rPr>
        <w:t>采场边坡</w:t>
      </w:r>
      <w:r>
        <w:rPr>
          <w:rFonts w:hint="default" w:ascii="Times New Roman" w:hAnsi="Times New Roman" w:cs="Times New Roman"/>
          <w:bCs/>
          <w:sz w:val="24"/>
        </w:rPr>
        <w:t>安全监测等级</w:t>
      </w:r>
      <w:r>
        <w:rPr>
          <w:rFonts w:hint="default" w:ascii="Times New Roman" w:hAnsi="Times New Roman" w:cs="Times New Roman"/>
          <w:bCs/>
          <w:sz w:val="24"/>
          <w:lang w:val="en-US" w:eastAsia="zh-CN"/>
        </w:rPr>
        <w:t>表</w:t>
      </w:r>
    </w:p>
    <w:tbl>
      <w:tblPr>
        <w:tblStyle w:val="3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2912"/>
        <w:gridCol w:w="2659"/>
        <w:gridCol w:w="3622"/>
      </w:tblGrid>
      <w:tr w14:paraId="385838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exact"/>
          <w:tblHeader/>
          <w:jc w:val="center"/>
        </w:trPr>
        <w:tc>
          <w:tcPr>
            <w:tcW w:w="1584" w:type="pct"/>
            <w:vAlign w:val="center"/>
          </w:tcPr>
          <w:p w14:paraId="7D5974A8">
            <w:pPr>
              <w:keepNext/>
              <w:keepLines/>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bCs/>
                <w:color w:val="000000"/>
                <w:kern w:val="2"/>
                <w:sz w:val="24"/>
                <w:szCs w:val="21"/>
                <w:lang w:val="en-US" w:eastAsia="zh-CN" w:bidi="ar-SA"/>
              </w:rPr>
            </w:pPr>
            <w:r>
              <w:rPr>
                <w:rFonts w:hint="default" w:ascii="Times New Roman" w:hAnsi="Times New Roman" w:eastAsia="宋体" w:cs="Times New Roman"/>
                <w:b/>
                <w:bCs/>
                <w:color w:val="000000"/>
                <w:kern w:val="2"/>
                <w:sz w:val="24"/>
                <w:szCs w:val="21"/>
                <w:lang w:val="en-US" w:eastAsia="zh-CN" w:bidi="ar-SA"/>
              </w:rPr>
              <w:t>安全监测等级</w:t>
            </w:r>
          </w:p>
        </w:tc>
        <w:tc>
          <w:tcPr>
            <w:tcW w:w="1446" w:type="pct"/>
            <w:vAlign w:val="center"/>
          </w:tcPr>
          <w:p w14:paraId="7BFDC8AC">
            <w:pPr>
              <w:keepNext/>
              <w:keepLines/>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bCs/>
                <w:color w:val="000000"/>
                <w:kern w:val="2"/>
                <w:sz w:val="24"/>
                <w:szCs w:val="21"/>
                <w:lang w:val="en-US" w:eastAsia="zh-CN" w:bidi="ar-SA"/>
              </w:rPr>
            </w:pPr>
            <w:r>
              <w:rPr>
                <w:rFonts w:hint="default" w:ascii="Times New Roman" w:hAnsi="Times New Roman" w:eastAsia="宋体" w:cs="Times New Roman"/>
                <w:b/>
                <w:bCs/>
                <w:color w:val="000000"/>
                <w:kern w:val="2"/>
                <w:sz w:val="24"/>
                <w:szCs w:val="21"/>
                <w:lang w:val="en-US" w:eastAsia="zh-CN" w:bidi="ar-SA"/>
              </w:rPr>
              <w:t>变形指数D</w:t>
            </w:r>
          </w:p>
        </w:tc>
        <w:tc>
          <w:tcPr>
            <w:tcW w:w="1970" w:type="pct"/>
            <w:vAlign w:val="center"/>
          </w:tcPr>
          <w:p w14:paraId="79180540">
            <w:pPr>
              <w:keepNext/>
              <w:keepLines/>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bCs/>
                <w:color w:val="000000"/>
                <w:kern w:val="2"/>
                <w:sz w:val="24"/>
                <w:szCs w:val="21"/>
                <w:lang w:val="en-US" w:eastAsia="zh-CN" w:bidi="ar-SA"/>
              </w:rPr>
            </w:pPr>
            <w:r>
              <w:rPr>
                <w:rFonts w:hint="default" w:ascii="Times New Roman" w:hAnsi="Times New Roman" w:eastAsia="宋体" w:cs="Times New Roman"/>
                <w:b/>
                <w:bCs/>
                <w:color w:val="000000"/>
                <w:kern w:val="2"/>
                <w:sz w:val="24"/>
                <w:szCs w:val="21"/>
                <w:lang w:val="en-US" w:eastAsia="zh-CN" w:bidi="ar-SA"/>
              </w:rPr>
              <w:t>滑坡风险等级S</w:t>
            </w:r>
          </w:p>
        </w:tc>
      </w:tr>
      <w:tr w14:paraId="628FE3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exact"/>
          <w:jc w:val="center"/>
        </w:trPr>
        <w:tc>
          <w:tcPr>
            <w:tcW w:w="1584" w:type="pct"/>
            <w:vAlign w:val="center"/>
          </w:tcPr>
          <w:p w14:paraId="2E510EF0">
            <w:pPr>
              <w:widowControl w:val="0"/>
              <w:adjustRightInd w:val="0"/>
              <w:snapToGrid w:val="0"/>
              <w:spacing w:line="240" w:lineRule="auto"/>
              <w:ind w:firstLine="0" w:firstLineChars="0"/>
              <w:jc w:val="center"/>
              <w:rPr>
                <w:rFonts w:hint="default" w:ascii="Times New Roman" w:hAnsi="Times New Roman" w:eastAsia="宋体" w:cs="Times New Roman"/>
                <w:b w:val="0"/>
                <w:color w:val="000000"/>
                <w:kern w:val="2"/>
                <w:sz w:val="24"/>
                <w:szCs w:val="21"/>
                <w:lang w:val="en-US" w:eastAsia="zh-CN" w:bidi="ar-SA"/>
              </w:rPr>
            </w:pPr>
            <w:r>
              <w:rPr>
                <w:rFonts w:hint="default" w:ascii="Times New Roman" w:hAnsi="Times New Roman" w:eastAsia="宋体" w:cs="Times New Roman"/>
                <w:b w:val="0"/>
                <w:color w:val="000000"/>
                <w:kern w:val="2"/>
                <w:sz w:val="24"/>
                <w:szCs w:val="21"/>
                <w:lang w:val="en-US" w:eastAsia="zh-CN" w:bidi="ar-SA"/>
              </w:rPr>
              <w:t>一级</w:t>
            </w:r>
          </w:p>
        </w:tc>
        <w:tc>
          <w:tcPr>
            <w:tcW w:w="1446" w:type="pct"/>
            <w:vAlign w:val="center"/>
          </w:tcPr>
          <w:p w14:paraId="7879CCC1">
            <w:pPr>
              <w:widowControl w:val="0"/>
              <w:adjustRightInd w:val="0"/>
              <w:snapToGrid w:val="0"/>
              <w:spacing w:line="240" w:lineRule="auto"/>
              <w:ind w:firstLine="0" w:firstLineChars="0"/>
              <w:jc w:val="center"/>
              <w:rPr>
                <w:rFonts w:hint="default" w:ascii="Times New Roman" w:hAnsi="Times New Roman" w:eastAsia="宋体" w:cs="Times New Roman"/>
                <w:b w:val="0"/>
                <w:color w:val="000000"/>
                <w:kern w:val="2"/>
                <w:sz w:val="24"/>
                <w:szCs w:val="21"/>
                <w:lang w:val="en-US" w:eastAsia="zh-CN" w:bidi="ar-SA"/>
              </w:rPr>
            </w:pPr>
            <w:r>
              <w:rPr>
                <w:rFonts w:hint="default" w:ascii="Times New Roman" w:hAnsi="Times New Roman" w:eastAsia="宋体" w:cs="Times New Roman"/>
                <w:b w:val="0"/>
                <w:color w:val="000000"/>
                <w:kern w:val="2"/>
                <w:sz w:val="24"/>
                <w:szCs w:val="21"/>
                <w:lang w:val="en-US" w:eastAsia="zh-CN" w:bidi="ar-SA"/>
              </w:rPr>
              <w:t>3或4</w:t>
            </w:r>
          </w:p>
        </w:tc>
        <w:tc>
          <w:tcPr>
            <w:tcW w:w="1970" w:type="pct"/>
            <w:vAlign w:val="center"/>
          </w:tcPr>
          <w:p w14:paraId="2986821B">
            <w:pPr>
              <w:widowControl w:val="0"/>
              <w:adjustRightInd w:val="0"/>
              <w:snapToGrid w:val="0"/>
              <w:spacing w:line="240" w:lineRule="auto"/>
              <w:ind w:firstLine="0" w:firstLineChars="0"/>
              <w:jc w:val="center"/>
              <w:rPr>
                <w:rFonts w:hint="default" w:ascii="Times New Roman" w:hAnsi="Times New Roman" w:eastAsia="宋体" w:cs="Times New Roman"/>
                <w:b w:val="0"/>
                <w:color w:val="000000"/>
                <w:kern w:val="2"/>
                <w:sz w:val="24"/>
                <w:szCs w:val="21"/>
                <w:lang w:val="en-US" w:eastAsia="zh-CN" w:bidi="ar-SA"/>
              </w:rPr>
            </w:pPr>
            <w:r>
              <w:rPr>
                <w:rFonts w:hint="default" w:ascii="Times New Roman" w:hAnsi="Times New Roman" w:eastAsia="宋体" w:cs="Times New Roman"/>
                <w:b w:val="0"/>
                <w:color w:val="000000"/>
                <w:kern w:val="2"/>
                <w:sz w:val="24"/>
                <w:szCs w:val="21"/>
                <w:lang w:val="en-US" w:eastAsia="zh-CN" w:bidi="ar-SA"/>
              </w:rPr>
              <w:t>1</w:t>
            </w:r>
          </w:p>
        </w:tc>
      </w:tr>
      <w:tr w14:paraId="3D6413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exact"/>
          <w:jc w:val="center"/>
        </w:trPr>
        <w:tc>
          <w:tcPr>
            <w:tcW w:w="1584" w:type="pct"/>
            <w:vAlign w:val="center"/>
          </w:tcPr>
          <w:p w14:paraId="7C398BC2">
            <w:pPr>
              <w:widowControl w:val="0"/>
              <w:adjustRightInd w:val="0"/>
              <w:snapToGrid w:val="0"/>
              <w:spacing w:line="240" w:lineRule="auto"/>
              <w:ind w:firstLine="0" w:firstLineChars="0"/>
              <w:jc w:val="center"/>
              <w:rPr>
                <w:rFonts w:hint="default" w:ascii="Times New Roman" w:hAnsi="Times New Roman" w:eastAsia="宋体" w:cs="Times New Roman"/>
                <w:b w:val="0"/>
                <w:color w:val="000000"/>
                <w:kern w:val="2"/>
                <w:sz w:val="24"/>
                <w:szCs w:val="21"/>
                <w:lang w:val="en-US" w:eastAsia="zh-CN" w:bidi="ar-SA"/>
              </w:rPr>
            </w:pPr>
            <w:r>
              <w:rPr>
                <w:rFonts w:hint="default" w:ascii="Times New Roman" w:hAnsi="Times New Roman" w:eastAsia="宋体" w:cs="Times New Roman"/>
                <w:b w:val="0"/>
                <w:color w:val="000000"/>
                <w:kern w:val="2"/>
                <w:sz w:val="24"/>
                <w:szCs w:val="21"/>
                <w:lang w:val="en-US" w:eastAsia="zh-CN" w:bidi="ar-SA"/>
              </w:rPr>
              <w:t>二级</w:t>
            </w:r>
          </w:p>
        </w:tc>
        <w:tc>
          <w:tcPr>
            <w:tcW w:w="1446" w:type="pct"/>
            <w:vAlign w:val="center"/>
          </w:tcPr>
          <w:p w14:paraId="1B9216B1">
            <w:pPr>
              <w:widowControl w:val="0"/>
              <w:adjustRightInd w:val="0"/>
              <w:snapToGrid w:val="0"/>
              <w:spacing w:line="240" w:lineRule="auto"/>
              <w:ind w:firstLine="0" w:firstLineChars="0"/>
              <w:jc w:val="center"/>
              <w:rPr>
                <w:rFonts w:hint="default" w:ascii="Times New Roman" w:hAnsi="Times New Roman" w:eastAsia="宋体" w:cs="Times New Roman"/>
                <w:b w:val="0"/>
                <w:color w:val="000000"/>
                <w:kern w:val="2"/>
                <w:sz w:val="24"/>
                <w:szCs w:val="21"/>
                <w:lang w:val="en-US" w:eastAsia="zh-CN" w:bidi="ar-SA"/>
              </w:rPr>
            </w:pPr>
            <w:r>
              <w:rPr>
                <w:rFonts w:hint="default" w:ascii="Times New Roman" w:hAnsi="Times New Roman" w:eastAsia="宋体" w:cs="Times New Roman"/>
                <w:b w:val="0"/>
                <w:color w:val="000000"/>
                <w:kern w:val="2"/>
                <w:sz w:val="24"/>
                <w:szCs w:val="21"/>
                <w:lang w:val="en-US" w:eastAsia="zh-CN" w:bidi="ar-SA"/>
              </w:rPr>
              <w:t>5或6</w:t>
            </w:r>
          </w:p>
        </w:tc>
        <w:tc>
          <w:tcPr>
            <w:tcW w:w="1970" w:type="pct"/>
            <w:vAlign w:val="center"/>
          </w:tcPr>
          <w:p w14:paraId="1C75EA85">
            <w:pPr>
              <w:widowControl w:val="0"/>
              <w:adjustRightInd w:val="0"/>
              <w:snapToGrid w:val="0"/>
              <w:spacing w:line="240" w:lineRule="auto"/>
              <w:ind w:firstLine="0" w:firstLineChars="0"/>
              <w:jc w:val="center"/>
              <w:rPr>
                <w:rFonts w:hint="default" w:ascii="Times New Roman" w:hAnsi="Times New Roman" w:eastAsia="宋体" w:cs="Times New Roman"/>
                <w:b w:val="0"/>
                <w:color w:val="000000"/>
                <w:kern w:val="2"/>
                <w:sz w:val="24"/>
                <w:szCs w:val="21"/>
                <w:lang w:val="en-US" w:eastAsia="zh-CN" w:bidi="ar-SA"/>
              </w:rPr>
            </w:pPr>
            <w:r>
              <w:rPr>
                <w:rFonts w:hint="default" w:ascii="Times New Roman" w:hAnsi="Times New Roman" w:eastAsia="宋体" w:cs="Times New Roman"/>
                <w:b w:val="0"/>
                <w:color w:val="000000"/>
                <w:kern w:val="2"/>
                <w:sz w:val="24"/>
                <w:szCs w:val="21"/>
                <w:lang w:val="en-US" w:eastAsia="zh-CN" w:bidi="ar-SA"/>
              </w:rPr>
              <w:t>2</w:t>
            </w:r>
          </w:p>
        </w:tc>
      </w:tr>
      <w:tr w14:paraId="7934C7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exact"/>
          <w:jc w:val="center"/>
        </w:trPr>
        <w:tc>
          <w:tcPr>
            <w:tcW w:w="1584" w:type="pct"/>
            <w:vAlign w:val="center"/>
          </w:tcPr>
          <w:p w14:paraId="0E556AE4">
            <w:pPr>
              <w:widowControl w:val="0"/>
              <w:adjustRightInd w:val="0"/>
              <w:snapToGrid w:val="0"/>
              <w:spacing w:line="240" w:lineRule="auto"/>
              <w:ind w:firstLine="0" w:firstLineChars="0"/>
              <w:jc w:val="center"/>
              <w:rPr>
                <w:rFonts w:hint="default" w:ascii="Times New Roman" w:hAnsi="Times New Roman" w:eastAsia="宋体" w:cs="Times New Roman"/>
                <w:b w:val="0"/>
                <w:color w:val="000000"/>
                <w:kern w:val="2"/>
                <w:sz w:val="24"/>
                <w:szCs w:val="21"/>
                <w:lang w:val="en-US" w:eastAsia="zh-CN" w:bidi="ar-SA"/>
              </w:rPr>
            </w:pPr>
            <w:r>
              <w:rPr>
                <w:rFonts w:hint="default" w:ascii="Times New Roman" w:hAnsi="Times New Roman" w:eastAsia="宋体" w:cs="Times New Roman"/>
                <w:b w:val="0"/>
                <w:color w:val="000000"/>
                <w:kern w:val="2"/>
                <w:sz w:val="24"/>
                <w:szCs w:val="21"/>
                <w:lang w:val="en-US" w:eastAsia="zh-CN" w:bidi="ar-SA"/>
              </w:rPr>
              <w:t>三级</w:t>
            </w:r>
          </w:p>
        </w:tc>
        <w:tc>
          <w:tcPr>
            <w:tcW w:w="1446" w:type="pct"/>
            <w:vAlign w:val="center"/>
          </w:tcPr>
          <w:p w14:paraId="387A2370">
            <w:pPr>
              <w:widowControl w:val="0"/>
              <w:adjustRightInd w:val="0"/>
              <w:snapToGrid w:val="0"/>
              <w:spacing w:line="240" w:lineRule="auto"/>
              <w:ind w:firstLine="0" w:firstLineChars="0"/>
              <w:jc w:val="center"/>
              <w:rPr>
                <w:rFonts w:hint="default" w:ascii="Times New Roman" w:hAnsi="Times New Roman" w:eastAsia="宋体" w:cs="Times New Roman"/>
                <w:b w:val="0"/>
                <w:color w:val="000000"/>
                <w:kern w:val="2"/>
                <w:sz w:val="24"/>
                <w:szCs w:val="21"/>
                <w:lang w:val="en-US" w:eastAsia="zh-CN" w:bidi="ar-SA"/>
              </w:rPr>
            </w:pPr>
            <w:r>
              <w:rPr>
                <w:rFonts w:hint="default" w:ascii="Times New Roman" w:hAnsi="Times New Roman" w:eastAsia="宋体" w:cs="Times New Roman"/>
                <w:b w:val="0"/>
                <w:color w:val="000000"/>
                <w:kern w:val="2"/>
                <w:sz w:val="24"/>
                <w:szCs w:val="21"/>
                <w:lang w:val="en-US" w:eastAsia="zh-CN" w:bidi="ar-SA"/>
              </w:rPr>
              <w:t>7或8</w:t>
            </w:r>
          </w:p>
        </w:tc>
        <w:tc>
          <w:tcPr>
            <w:tcW w:w="1970" w:type="pct"/>
            <w:vAlign w:val="center"/>
          </w:tcPr>
          <w:p w14:paraId="4B8BC212">
            <w:pPr>
              <w:widowControl w:val="0"/>
              <w:adjustRightInd w:val="0"/>
              <w:snapToGrid w:val="0"/>
              <w:spacing w:line="240" w:lineRule="auto"/>
              <w:ind w:firstLine="0" w:firstLineChars="0"/>
              <w:jc w:val="center"/>
              <w:rPr>
                <w:rFonts w:hint="default" w:ascii="Times New Roman" w:hAnsi="Times New Roman" w:eastAsia="宋体" w:cs="Times New Roman"/>
                <w:b w:val="0"/>
                <w:color w:val="000000"/>
                <w:kern w:val="2"/>
                <w:sz w:val="24"/>
                <w:szCs w:val="21"/>
                <w:lang w:val="en-US" w:eastAsia="zh-CN" w:bidi="ar-SA"/>
              </w:rPr>
            </w:pPr>
            <w:r>
              <w:rPr>
                <w:rFonts w:hint="default" w:ascii="Times New Roman" w:hAnsi="Times New Roman" w:eastAsia="宋体" w:cs="Times New Roman"/>
                <w:b w:val="0"/>
                <w:color w:val="000000"/>
                <w:kern w:val="2"/>
                <w:sz w:val="24"/>
                <w:szCs w:val="21"/>
                <w:lang w:val="en-US" w:eastAsia="zh-CN" w:bidi="ar-SA"/>
              </w:rPr>
              <w:t>3</w:t>
            </w:r>
          </w:p>
        </w:tc>
      </w:tr>
      <w:tr w14:paraId="515384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exact"/>
          <w:jc w:val="center"/>
        </w:trPr>
        <w:tc>
          <w:tcPr>
            <w:tcW w:w="1584" w:type="pct"/>
            <w:vAlign w:val="center"/>
          </w:tcPr>
          <w:p w14:paraId="6C30D7ED">
            <w:pPr>
              <w:widowControl w:val="0"/>
              <w:adjustRightInd w:val="0"/>
              <w:snapToGrid w:val="0"/>
              <w:spacing w:line="240" w:lineRule="auto"/>
              <w:ind w:firstLine="0" w:firstLineChars="0"/>
              <w:jc w:val="center"/>
              <w:rPr>
                <w:rFonts w:hint="default" w:ascii="Times New Roman" w:hAnsi="Times New Roman" w:eastAsia="宋体" w:cs="Times New Roman"/>
                <w:b w:val="0"/>
                <w:color w:val="000000"/>
                <w:kern w:val="2"/>
                <w:sz w:val="24"/>
                <w:szCs w:val="21"/>
                <w:lang w:val="en-US" w:eastAsia="zh-CN" w:bidi="ar-SA"/>
              </w:rPr>
            </w:pPr>
            <w:r>
              <w:rPr>
                <w:rFonts w:hint="default" w:ascii="Times New Roman" w:hAnsi="Times New Roman" w:eastAsia="宋体" w:cs="Times New Roman"/>
                <w:b w:val="0"/>
                <w:color w:val="000000"/>
                <w:kern w:val="2"/>
                <w:sz w:val="24"/>
                <w:szCs w:val="21"/>
                <w:lang w:val="en-US" w:eastAsia="zh-CN" w:bidi="ar-SA"/>
              </w:rPr>
              <w:t>四级</w:t>
            </w:r>
          </w:p>
        </w:tc>
        <w:tc>
          <w:tcPr>
            <w:tcW w:w="1446" w:type="pct"/>
            <w:vAlign w:val="center"/>
          </w:tcPr>
          <w:p w14:paraId="2E9FA08C">
            <w:pPr>
              <w:widowControl w:val="0"/>
              <w:adjustRightInd w:val="0"/>
              <w:snapToGrid w:val="0"/>
              <w:spacing w:line="240" w:lineRule="auto"/>
              <w:ind w:firstLine="0" w:firstLineChars="0"/>
              <w:jc w:val="center"/>
              <w:rPr>
                <w:rFonts w:hint="default" w:ascii="Times New Roman" w:hAnsi="Times New Roman" w:eastAsia="宋体" w:cs="Times New Roman"/>
                <w:b w:val="0"/>
                <w:color w:val="000000"/>
                <w:kern w:val="2"/>
                <w:sz w:val="24"/>
                <w:szCs w:val="21"/>
                <w:lang w:val="en-US" w:eastAsia="zh-CN" w:bidi="ar-SA"/>
              </w:rPr>
            </w:pPr>
            <w:r>
              <w:rPr>
                <w:rFonts w:hint="default" w:ascii="Times New Roman" w:hAnsi="Times New Roman" w:eastAsia="宋体" w:cs="Times New Roman"/>
                <w:b w:val="0"/>
                <w:color w:val="000000"/>
                <w:kern w:val="2"/>
                <w:sz w:val="24"/>
                <w:szCs w:val="21"/>
                <w:lang w:val="en-US" w:eastAsia="zh-CN" w:bidi="ar-SA"/>
              </w:rPr>
              <w:t>9或10</w:t>
            </w:r>
          </w:p>
        </w:tc>
        <w:tc>
          <w:tcPr>
            <w:tcW w:w="1970" w:type="pct"/>
            <w:vAlign w:val="center"/>
          </w:tcPr>
          <w:p w14:paraId="162AEC55">
            <w:pPr>
              <w:widowControl w:val="0"/>
              <w:adjustRightInd w:val="0"/>
              <w:snapToGrid w:val="0"/>
              <w:spacing w:line="240" w:lineRule="auto"/>
              <w:ind w:firstLine="0" w:firstLineChars="0"/>
              <w:jc w:val="center"/>
              <w:rPr>
                <w:rFonts w:hint="default" w:ascii="Times New Roman" w:hAnsi="Times New Roman" w:eastAsia="宋体" w:cs="Times New Roman"/>
                <w:b w:val="0"/>
                <w:color w:val="000000"/>
                <w:kern w:val="2"/>
                <w:sz w:val="24"/>
                <w:szCs w:val="21"/>
                <w:lang w:val="en-US" w:eastAsia="zh-CN" w:bidi="ar-SA"/>
              </w:rPr>
            </w:pPr>
            <w:r>
              <w:rPr>
                <w:rFonts w:hint="default" w:ascii="Times New Roman" w:hAnsi="Times New Roman" w:eastAsia="宋体" w:cs="Times New Roman"/>
                <w:b w:val="0"/>
                <w:color w:val="000000"/>
                <w:kern w:val="2"/>
                <w:sz w:val="24"/>
                <w:szCs w:val="21"/>
                <w:lang w:val="en-US" w:eastAsia="zh-CN" w:bidi="ar-SA"/>
              </w:rPr>
              <w:t>4</w:t>
            </w:r>
          </w:p>
        </w:tc>
      </w:tr>
    </w:tbl>
    <w:p w14:paraId="3DD747F1">
      <w:pPr>
        <w:adjustRightInd w:val="0"/>
        <w:snapToGrid w:val="0"/>
        <w:spacing w:line="360" w:lineRule="auto"/>
        <w:ind w:firstLine="537" w:firstLineChars="192"/>
        <w:rPr>
          <w:rFonts w:hint="default" w:ascii="Times New Roman" w:hAnsi="Times New Roman" w:cs="Times New Roman"/>
          <w:bCs/>
          <w:sz w:val="28"/>
          <w:szCs w:val="28"/>
        </w:rPr>
      </w:pPr>
      <w:r>
        <w:rPr>
          <w:rFonts w:hint="default" w:ascii="Times New Roman" w:hAnsi="Times New Roman" w:cs="Times New Roman"/>
          <w:bCs/>
          <w:sz w:val="28"/>
          <w:szCs w:val="28"/>
        </w:rPr>
        <w:t>经计算，变形指数D=8，</w:t>
      </w:r>
      <w:r>
        <w:rPr>
          <w:rFonts w:hint="default" w:ascii="Times New Roman" w:hAnsi="Times New Roman" w:cs="Times New Roman"/>
          <w:bCs/>
          <w:sz w:val="28"/>
          <w:szCs w:val="28"/>
          <w:lang w:eastAsia="zh-CN"/>
        </w:rPr>
        <w:t>设计</w:t>
      </w:r>
      <w:r>
        <w:rPr>
          <w:rFonts w:hint="default" w:ascii="Times New Roman" w:hAnsi="Times New Roman" w:cs="Times New Roman"/>
          <w:bCs/>
          <w:sz w:val="28"/>
          <w:szCs w:val="28"/>
        </w:rPr>
        <w:t>边坡安全监测等级按三级监测。</w:t>
      </w:r>
    </w:p>
    <w:p w14:paraId="24BA1274">
      <w:pPr>
        <w:pStyle w:val="5"/>
        <w:keepNext w:val="0"/>
        <w:keepLines w:val="0"/>
        <w:adjustRightInd w:val="0"/>
        <w:snapToGrid w:val="0"/>
        <w:spacing w:before="0" w:after="0" w:line="360" w:lineRule="auto"/>
        <w:ind w:firstLine="562" w:firstLineChars="200"/>
        <w:rPr>
          <w:rFonts w:hint="default" w:ascii="Times New Roman" w:hAnsi="Times New Roman" w:cs="Times New Roman"/>
          <w:b/>
          <w:bCs/>
        </w:rPr>
      </w:pPr>
      <w:r>
        <w:rPr>
          <w:rFonts w:hint="default" w:ascii="Times New Roman" w:hAnsi="Times New Roman" w:cs="Times New Roman"/>
          <w:b/>
          <w:bCs/>
        </w:rPr>
        <w:t>2.4.7.2监测内容</w:t>
      </w:r>
    </w:p>
    <w:p w14:paraId="65DBD977">
      <w:pPr>
        <w:adjustRightInd w:val="0"/>
        <w:snapToGrid w:val="0"/>
        <w:spacing w:line="360" w:lineRule="auto"/>
        <w:ind w:firstLine="560" w:firstLineChars="200"/>
        <w:rPr>
          <w:rFonts w:hint="default" w:ascii="Times New Roman" w:hAnsi="Times New Roman" w:eastAsia="宋体" w:cs="Times New Roman"/>
          <w:b/>
          <w:color w:val="000000"/>
          <w:sz w:val="28"/>
          <w:szCs w:val="20"/>
        </w:rPr>
      </w:pPr>
      <w:r>
        <w:rPr>
          <w:rFonts w:hint="default" w:ascii="Times New Roman" w:hAnsi="Times New Roman" w:eastAsia="宋体" w:cs="Times New Roman"/>
          <w:color w:val="000000"/>
          <w:sz w:val="28"/>
          <w:szCs w:val="21"/>
        </w:rPr>
        <w:t>边坡安全监测等级为三级，应监测对象为表面位移、降雨量及视频监控，如下表</w:t>
      </w:r>
      <w:r>
        <w:rPr>
          <w:rFonts w:hint="default" w:ascii="Times New Roman" w:hAnsi="Times New Roman" w:cs="Times New Roman"/>
          <w:color w:val="000000"/>
          <w:sz w:val="28"/>
          <w:szCs w:val="21"/>
          <w:lang w:val="en-US" w:eastAsia="zh-CN"/>
        </w:rPr>
        <w:t>2.4-11</w:t>
      </w:r>
      <w:r>
        <w:rPr>
          <w:rFonts w:hint="default" w:ascii="Times New Roman" w:hAnsi="Times New Roman" w:eastAsia="宋体" w:cs="Times New Roman"/>
          <w:color w:val="000000"/>
          <w:sz w:val="28"/>
          <w:szCs w:val="21"/>
        </w:rPr>
        <w:t>所示，具体监测方案详见图</w:t>
      </w:r>
      <w:r>
        <w:rPr>
          <w:rFonts w:hint="default" w:ascii="Times New Roman" w:hAnsi="Times New Roman" w:cs="Times New Roman"/>
          <w:color w:val="000000"/>
          <w:sz w:val="28"/>
          <w:szCs w:val="21"/>
          <w:lang w:val="en-US" w:eastAsia="zh-CN"/>
        </w:rPr>
        <w:t>2.4-6</w:t>
      </w:r>
      <w:r>
        <w:rPr>
          <w:rFonts w:hint="default" w:ascii="Times New Roman" w:hAnsi="Times New Roman" w:eastAsia="宋体" w:cs="Times New Roman"/>
          <w:color w:val="000000"/>
          <w:sz w:val="28"/>
          <w:szCs w:val="21"/>
        </w:rPr>
        <w:t>。</w:t>
      </w:r>
    </w:p>
    <w:p w14:paraId="5C3F2ACA">
      <w:pPr>
        <w:adjustRightInd w:val="0"/>
        <w:snapToGrid w:val="0"/>
        <w:ind w:firstLine="480" w:firstLineChars="200"/>
        <w:jc w:val="center"/>
        <w:rPr>
          <w:rFonts w:hint="default" w:ascii="Times New Roman" w:hAnsi="Times New Roman" w:cs="Times New Roman"/>
          <w:bCs/>
          <w:sz w:val="24"/>
          <w:lang w:val="en-US" w:eastAsia="zh-CN"/>
        </w:rPr>
      </w:pPr>
      <w:r>
        <w:rPr>
          <w:rFonts w:hint="default" w:ascii="Times New Roman" w:hAnsi="Times New Roman" w:cs="Times New Roman"/>
          <w:bCs/>
          <w:sz w:val="24"/>
        </w:rPr>
        <w:t>表2.4-1</w:t>
      </w:r>
      <w:r>
        <w:rPr>
          <w:rFonts w:hint="default" w:ascii="Times New Roman" w:hAnsi="Times New Roman" w:cs="Times New Roman"/>
          <w:bCs/>
          <w:sz w:val="24"/>
          <w:lang w:val="en-US" w:eastAsia="zh-CN"/>
        </w:rPr>
        <w:t>1</w:t>
      </w:r>
      <w:r>
        <w:rPr>
          <w:rFonts w:hint="default" w:ascii="Times New Roman" w:hAnsi="Times New Roman" w:cs="Times New Roman"/>
          <w:bCs/>
          <w:sz w:val="24"/>
        </w:rPr>
        <w:t xml:space="preserve">  </w:t>
      </w:r>
      <w:r>
        <w:rPr>
          <w:rFonts w:hint="default" w:ascii="Times New Roman" w:hAnsi="Times New Roman" w:cs="Times New Roman"/>
          <w:bCs/>
          <w:sz w:val="24"/>
          <w:lang w:val="en-US" w:eastAsia="zh-CN"/>
        </w:rPr>
        <w:t>边坡安全监测基本指标表</w:t>
      </w:r>
    </w:p>
    <w:tbl>
      <w:tblPr>
        <w:tblStyle w:val="3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65"/>
        <w:gridCol w:w="761"/>
        <w:gridCol w:w="761"/>
        <w:gridCol w:w="938"/>
        <w:gridCol w:w="1265"/>
        <w:gridCol w:w="761"/>
        <w:gridCol w:w="936"/>
        <w:gridCol w:w="936"/>
        <w:gridCol w:w="1014"/>
        <w:gridCol w:w="762"/>
      </w:tblGrid>
      <w:tr w14:paraId="42CDF0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73" w:type="pct"/>
            <w:vMerge w:val="restart"/>
            <w:vAlign w:val="center"/>
          </w:tcPr>
          <w:p w14:paraId="54094E98">
            <w:pPr>
              <w:widowControl w:val="0"/>
              <w:adjustRightInd w:val="0"/>
              <w:snapToGrid w:val="0"/>
              <w:spacing w:line="240" w:lineRule="auto"/>
              <w:ind w:firstLine="0" w:firstLineChars="0"/>
              <w:jc w:val="center"/>
              <w:rPr>
                <w:rFonts w:hint="default" w:ascii="Times New Roman" w:hAnsi="Times New Roman" w:eastAsia="宋体" w:cs="Times New Roman"/>
                <w:b/>
                <w:bCs/>
                <w:color w:val="000000"/>
                <w:kern w:val="2"/>
                <w:sz w:val="21"/>
                <w:szCs w:val="21"/>
                <w:lang w:val="en-US" w:eastAsia="zh-CN" w:bidi="ar-SA"/>
              </w:rPr>
            </w:pPr>
            <w:r>
              <w:rPr>
                <w:rFonts w:hint="default" w:ascii="Times New Roman" w:hAnsi="Times New Roman" w:eastAsia="宋体" w:cs="Times New Roman"/>
                <w:b/>
                <w:bCs/>
                <w:color w:val="000000"/>
                <w:kern w:val="2"/>
                <w:sz w:val="21"/>
                <w:szCs w:val="21"/>
                <w:lang w:val="en-US" w:eastAsia="zh-CN" w:bidi="ar-SA"/>
              </w:rPr>
              <w:t>基本指标</w:t>
            </w:r>
          </w:p>
          <w:p w14:paraId="6DD13285">
            <w:pPr>
              <w:widowControl w:val="0"/>
              <w:adjustRightInd w:val="0"/>
              <w:snapToGrid w:val="0"/>
              <w:spacing w:line="240" w:lineRule="auto"/>
              <w:ind w:firstLine="0" w:firstLineChars="0"/>
              <w:jc w:val="center"/>
              <w:rPr>
                <w:rFonts w:hint="default" w:ascii="Times New Roman" w:hAnsi="Times New Roman" w:eastAsia="宋体" w:cs="Times New Roman"/>
                <w:b/>
                <w:bCs/>
                <w:color w:val="000000"/>
                <w:kern w:val="2"/>
                <w:sz w:val="21"/>
                <w:szCs w:val="21"/>
                <w:lang w:val="en-US" w:eastAsia="zh-CN" w:bidi="ar-SA"/>
              </w:rPr>
            </w:pPr>
            <w:r>
              <w:rPr>
                <w:rFonts w:hint="default" w:ascii="Times New Roman" w:hAnsi="Times New Roman" w:eastAsia="宋体" w:cs="Times New Roman"/>
                <w:b/>
                <w:bCs/>
                <w:color w:val="000000"/>
                <w:kern w:val="2"/>
                <w:sz w:val="21"/>
                <w:szCs w:val="21"/>
                <w:lang w:val="en-US" w:eastAsia="zh-CN" w:bidi="ar-SA"/>
              </w:rPr>
              <w:t>监测等级</w:t>
            </w:r>
          </w:p>
        </w:tc>
        <w:tc>
          <w:tcPr>
            <w:tcW w:w="1309" w:type="pct"/>
            <w:gridSpan w:val="3"/>
            <w:noWrap/>
            <w:vAlign w:val="center"/>
          </w:tcPr>
          <w:p w14:paraId="534DC62F">
            <w:pPr>
              <w:widowControl w:val="0"/>
              <w:adjustRightInd w:val="0"/>
              <w:snapToGrid w:val="0"/>
              <w:spacing w:line="240" w:lineRule="auto"/>
              <w:ind w:firstLine="0" w:firstLineChars="0"/>
              <w:jc w:val="center"/>
              <w:rPr>
                <w:rFonts w:hint="default" w:ascii="Times New Roman" w:hAnsi="Times New Roman" w:eastAsia="宋体" w:cs="Times New Roman"/>
                <w:b/>
                <w:bCs/>
                <w:color w:val="000000"/>
                <w:kern w:val="2"/>
                <w:sz w:val="21"/>
                <w:szCs w:val="21"/>
                <w:lang w:val="en-US" w:eastAsia="zh-CN" w:bidi="ar-SA"/>
              </w:rPr>
            </w:pPr>
            <w:r>
              <w:rPr>
                <w:rFonts w:hint="default" w:ascii="Times New Roman" w:hAnsi="Times New Roman" w:eastAsia="宋体" w:cs="Times New Roman"/>
                <w:b/>
                <w:bCs/>
                <w:color w:val="000000"/>
                <w:kern w:val="2"/>
                <w:sz w:val="21"/>
                <w:szCs w:val="21"/>
                <w:lang w:val="en-US" w:eastAsia="zh-CN" w:bidi="ar-SA"/>
              </w:rPr>
              <w:t>变形监测</w:t>
            </w:r>
          </w:p>
        </w:tc>
        <w:tc>
          <w:tcPr>
            <w:tcW w:w="673" w:type="pct"/>
            <w:vMerge w:val="restart"/>
            <w:vAlign w:val="center"/>
          </w:tcPr>
          <w:p w14:paraId="7D80BFCA">
            <w:pPr>
              <w:widowControl w:val="0"/>
              <w:adjustRightInd w:val="0"/>
              <w:snapToGrid w:val="0"/>
              <w:spacing w:line="240" w:lineRule="auto"/>
              <w:ind w:firstLine="0" w:firstLineChars="0"/>
              <w:jc w:val="center"/>
              <w:rPr>
                <w:rFonts w:hint="default" w:ascii="Times New Roman" w:hAnsi="Times New Roman" w:eastAsia="宋体" w:cs="Times New Roman"/>
                <w:b/>
                <w:bCs/>
                <w:color w:val="000000"/>
                <w:kern w:val="2"/>
                <w:sz w:val="21"/>
                <w:szCs w:val="21"/>
                <w:lang w:val="en-US" w:eastAsia="zh-CN" w:bidi="ar-SA"/>
              </w:rPr>
            </w:pPr>
            <w:r>
              <w:rPr>
                <w:rFonts w:hint="default" w:ascii="Times New Roman" w:hAnsi="Times New Roman" w:eastAsia="宋体" w:cs="Times New Roman"/>
                <w:b/>
                <w:bCs/>
                <w:color w:val="000000"/>
                <w:kern w:val="2"/>
                <w:sz w:val="21"/>
                <w:szCs w:val="21"/>
                <w:lang w:val="en-US" w:eastAsia="zh-CN" w:bidi="ar-SA"/>
              </w:rPr>
              <w:t>采动应力</w:t>
            </w:r>
          </w:p>
          <w:p w14:paraId="65E220CC">
            <w:pPr>
              <w:widowControl w:val="0"/>
              <w:adjustRightInd w:val="0"/>
              <w:snapToGrid w:val="0"/>
              <w:spacing w:line="240" w:lineRule="auto"/>
              <w:ind w:firstLine="0" w:firstLineChars="0"/>
              <w:jc w:val="center"/>
              <w:rPr>
                <w:rFonts w:hint="default" w:ascii="Times New Roman" w:hAnsi="Times New Roman" w:eastAsia="宋体" w:cs="Times New Roman"/>
                <w:b/>
                <w:bCs/>
                <w:color w:val="000000"/>
                <w:kern w:val="2"/>
                <w:sz w:val="21"/>
                <w:szCs w:val="21"/>
                <w:lang w:val="en-US" w:eastAsia="zh-CN" w:bidi="ar-SA"/>
              </w:rPr>
            </w:pPr>
            <w:r>
              <w:rPr>
                <w:rFonts w:hint="default" w:ascii="Times New Roman" w:hAnsi="Times New Roman" w:eastAsia="宋体" w:cs="Times New Roman"/>
                <w:b/>
                <w:bCs/>
                <w:color w:val="000000"/>
                <w:kern w:val="2"/>
                <w:sz w:val="21"/>
                <w:szCs w:val="21"/>
                <w:lang w:val="en-US" w:eastAsia="zh-CN" w:bidi="ar-SA"/>
              </w:rPr>
              <w:t>监测b</w:t>
            </w:r>
          </w:p>
        </w:tc>
        <w:tc>
          <w:tcPr>
            <w:tcW w:w="405" w:type="pct"/>
            <w:noWrap/>
            <w:vAlign w:val="center"/>
          </w:tcPr>
          <w:p w14:paraId="2F34980B">
            <w:pPr>
              <w:widowControl w:val="0"/>
              <w:adjustRightInd w:val="0"/>
              <w:snapToGrid w:val="0"/>
              <w:spacing w:line="240" w:lineRule="auto"/>
              <w:ind w:firstLine="0" w:firstLineChars="0"/>
              <w:jc w:val="center"/>
              <w:rPr>
                <w:rFonts w:hint="default" w:ascii="Times New Roman" w:hAnsi="Times New Roman" w:eastAsia="宋体" w:cs="Times New Roman"/>
                <w:b/>
                <w:bCs/>
                <w:color w:val="000000"/>
                <w:kern w:val="2"/>
                <w:sz w:val="21"/>
                <w:szCs w:val="21"/>
                <w:lang w:val="en-US" w:eastAsia="zh-CN" w:bidi="ar-SA"/>
              </w:rPr>
            </w:pPr>
            <w:r>
              <w:rPr>
                <w:rFonts w:hint="default" w:ascii="Times New Roman" w:hAnsi="Times New Roman" w:eastAsia="宋体" w:cs="Times New Roman"/>
                <w:b/>
                <w:bCs/>
                <w:color w:val="000000"/>
                <w:kern w:val="2"/>
                <w:sz w:val="21"/>
                <w:szCs w:val="21"/>
                <w:lang w:val="en-US" w:eastAsia="zh-CN" w:bidi="ar-SA"/>
              </w:rPr>
              <w:t>爆破</w:t>
            </w:r>
          </w:p>
          <w:p w14:paraId="7CE7E2DA">
            <w:pPr>
              <w:widowControl w:val="0"/>
              <w:adjustRightInd w:val="0"/>
              <w:snapToGrid w:val="0"/>
              <w:spacing w:line="240" w:lineRule="auto"/>
              <w:ind w:firstLine="0" w:firstLineChars="0"/>
              <w:jc w:val="center"/>
              <w:rPr>
                <w:rFonts w:hint="default" w:ascii="Times New Roman" w:hAnsi="Times New Roman" w:eastAsia="宋体" w:cs="Times New Roman"/>
                <w:b/>
                <w:bCs/>
                <w:color w:val="000000"/>
                <w:kern w:val="2"/>
                <w:sz w:val="21"/>
                <w:szCs w:val="21"/>
                <w:lang w:val="en-US" w:eastAsia="zh-CN" w:bidi="ar-SA"/>
              </w:rPr>
            </w:pPr>
            <w:r>
              <w:rPr>
                <w:rFonts w:hint="default" w:ascii="Times New Roman" w:hAnsi="Times New Roman" w:eastAsia="宋体" w:cs="Times New Roman"/>
                <w:b/>
                <w:bCs/>
                <w:color w:val="000000"/>
                <w:kern w:val="2"/>
                <w:sz w:val="21"/>
                <w:szCs w:val="21"/>
                <w:lang w:val="en-US" w:eastAsia="zh-CN" w:bidi="ar-SA"/>
              </w:rPr>
              <w:t>振动</w:t>
            </w:r>
          </w:p>
        </w:tc>
        <w:tc>
          <w:tcPr>
            <w:tcW w:w="1535" w:type="pct"/>
            <w:gridSpan w:val="3"/>
            <w:noWrap/>
            <w:vAlign w:val="center"/>
          </w:tcPr>
          <w:p w14:paraId="4BBDFCDD">
            <w:pPr>
              <w:widowControl w:val="0"/>
              <w:adjustRightInd w:val="0"/>
              <w:snapToGrid w:val="0"/>
              <w:spacing w:line="240" w:lineRule="auto"/>
              <w:ind w:firstLine="0" w:firstLineChars="0"/>
              <w:jc w:val="center"/>
              <w:rPr>
                <w:rFonts w:hint="default" w:ascii="Times New Roman" w:hAnsi="Times New Roman" w:eastAsia="宋体" w:cs="Times New Roman"/>
                <w:b/>
                <w:bCs/>
                <w:color w:val="000000"/>
                <w:kern w:val="2"/>
                <w:sz w:val="21"/>
                <w:szCs w:val="21"/>
                <w:lang w:val="en-US" w:eastAsia="zh-CN" w:bidi="ar-SA"/>
              </w:rPr>
            </w:pPr>
            <w:r>
              <w:rPr>
                <w:rFonts w:hint="default" w:ascii="Times New Roman" w:hAnsi="Times New Roman" w:eastAsia="宋体" w:cs="Times New Roman"/>
                <w:b/>
                <w:bCs/>
                <w:color w:val="000000"/>
                <w:kern w:val="2"/>
                <w:sz w:val="21"/>
                <w:szCs w:val="21"/>
                <w:lang w:val="en-US" w:eastAsia="zh-CN" w:bidi="ar-SA"/>
              </w:rPr>
              <w:t>水文气象监测</w:t>
            </w:r>
          </w:p>
        </w:tc>
        <w:tc>
          <w:tcPr>
            <w:tcW w:w="405" w:type="pct"/>
            <w:vMerge w:val="restart"/>
            <w:noWrap/>
            <w:vAlign w:val="center"/>
          </w:tcPr>
          <w:p w14:paraId="06DFCDC7">
            <w:pPr>
              <w:widowControl w:val="0"/>
              <w:adjustRightInd w:val="0"/>
              <w:snapToGrid w:val="0"/>
              <w:spacing w:line="240" w:lineRule="auto"/>
              <w:ind w:firstLine="0" w:firstLineChars="0"/>
              <w:jc w:val="center"/>
              <w:rPr>
                <w:rFonts w:hint="default" w:ascii="Times New Roman" w:hAnsi="Times New Roman" w:eastAsia="宋体" w:cs="Times New Roman"/>
                <w:b/>
                <w:bCs/>
                <w:color w:val="000000"/>
                <w:kern w:val="2"/>
                <w:sz w:val="21"/>
                <w:szCs w:val="21"/>
                <w:lang w:val="en-US" w:eastAsia="zh-CN" w:bidi="ar-SA"/>
              </w:rPr>
            </w:pPr>
            <w:r>
              <w:rPr>
                <w:rFonts w:hint="default" w:ascii="Times New Roman" w:hAnsi="Times New Roman" w:eastAsia="宋体" w:cs="Times New Roman"/>
                <w:b/>
                <w:bCs/>
                <w:color w:val="000000"/>
                <w:kern w:val="2"/>
                <w:sz w:val="21"/>
                <w:szCs w:val="21"/>
                <w:lang w:val="en-US" w:eastAsia="zh-CN" w:bidi="ar-SA"/>
              </w:rPr>
              <w:t>视频</w:t>
            </w:r>
          </w:p>
          <w:p w14:paraId="45E396BF">
            <w:pPr>
              <w:widowControl w:val="0"/>
              <w:adjustRightInd w:val="0"/>
              <w:snapToGrid w:val="0"/>
              <w:spacing w:line="240" w:lineRule="auto"/>
              <w:ind w:firstLine="0" w:firstLineChars="0"/>
              <w:jc w:val="center"/>
              <w:rPr>
                <w:rFonts w:hint="default" w:ascii="Times New Roman" w:hAnsi="Times New Roman" w:eastAsia="宋体" w:cs="Times New Roman"/>
                <w:b/>
                <w:bCs/>
                <w:color w:val="000000"/>
                <w:kern w:val="2"/>
                <w:sz w:val="21"/>
                <w:szCs w:val="21"/>
                <w:lang w:val="en-US" w:eastAsia="zh-CN" w:bidi="ar-SA"/>
              </w:rPr>
            </w:pPr>
            <w:r>
              <w:rPr>
                <w:rFonts w:hint="default" w:ascii="Times New Roman" w:hAnsi="Times New Roman" w:eastAsia="宋体" w:cs="Times New Roman"/>
                <w:b/>
                <w:bCs/>
                <w:color w:val="000000"/>
                <w:kern w:val="2"/>
                <w:sz w:val="21"/>
                <w:szCs w:val="21"/>
                <w:lang w:val="en-US" w:eastAsia="zh-CN" w:bidi="ar-SA"/>
              </w:rPr>
              <w:t>监控</w:t>
            </w:r>
          </w:p>
        </w:tc>
      </w:tr>
      <w:tr w14:paraId="0A4F09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73" w:type="pct"/>
            <w:vMerge w:val="continue"/>
            <w:vAlign w:val="center"/>
          </w:tcPr>
          <w:p w14:paraId="5ADA9481">
            <w:pPr>
              <w:widowControl w:val="0"/>
              <w:adjustRightInd w:val="0"/>
              <w:snapToGrid w:val="0"/>
              <w:spacing w:line="240" w:lineRule="auto"/>
              <w:ind w:firstLine="0" w:firstLineChars="0"/>
              <w:jc w:val="center"/>
              <w:rPr>
                <w:rFonts w:hint="default" w:ascii="Times New Roman" w:hAnsi="Times New Roman" w:eastAsia="宋体" w:cs="Times New Roman"/>
                <w:b w:val="0"/>
                <w:color w:val="000000"/>
                <w:kern w:val="2"/>
                <w:sz w:val="21"/>
                <w:szCs w:val="21"/>
                <w:lang w:val="en-US" w:eastAsia="zh-CN" w:bidi="ar-SA"/>
              </w:rPr>
            </w:pPr>
          </w:p>
        </w:tc>
        <w:tc>
          <w:tcPr>
            <w:tcW w:w="405" w:type="pct"/>
            <w:noWrap/>
            <w:vAlign w:val="center"/>
          </w:tcPr>
          <w:p w14:paraId="639980DA">
            <w:pPr>
              <w:widowControl w:val="0"/>
              <w:adjustRightInd w:val="0"/>
              <w:snapToGrid w:val="0"/>
              <w:spacing w:line="240" w:lineRule="auto"/>
              <w:ind w:firstLine="0" w:firstLineChars="0"/>
              <w:jc w:val="center"/>
              <w:rPr>
                <w:rFonts w:hint="default" w:ascii="Times New Roman" w:hAnsi="Times New Roman" w:eastAsia="宋体" w:cs="Times New Roman"/>
                <w:b/>
                <w:bCs/>
                <w:color w:val="000000"/>
                <w:kern w:val="2"/>
                <w:sz w:val="21"/>
                <w:szCs w:val="21"/>
                <w:lang w:val="en-US" w:eastAsia="zh-CN" w:bidi="ar-SA"/>
              </w:rPr>
            </w:pPr>
            <w:r>
              <w:rPr>
                <w:rFonts w:hint="default" w:ascii="Times New Roman" w:hAnsi="Times New Roman" w:eastAsia="宋体" w:cs="Times New Roman"/>
                <w:b/>
                <w:bCs/>
                <w:color w:val="000000"/>
                <w:kern w:val="2"/>
                <w:sz w:val="21"/>
                <w:szCs w:val="21"/>
                <w:lang w:val="en-US" w:eastAsia="zh-CN" w:bidi="ar-SA"/>
              </w:rPr>
              <w:t>表面</w:t>
            </w:r>
          </w:p>
          <w:p w14:paraId="388F6BFD">
            <w:pPr>
              <w:widowControl w:val="0"/>
              <w:adjustRightInd w:val="0"/>
              <w:snapToGrid w:val="0"/>
              <w:spacing w:line="240" w:lineRule="auto"/>
              <w:ind w:firstLine="0" w:firstLineChars="0"/>
              <w:jc w:val="center"/>
              <w:rPr>
                <w:rFonts w:hint="default" w:ascii="Times New Roman" w:hAnsi="Times New Roman" w:eastAsia="宋体" w:cs="Times New Roman"/>
                <w:b/>
                <w:bCs/>
                <w:color w:val="000000"/>
                <w:kern w:val="2"/>
                <w:sz w:val="21"/>
                <w:szCs w:val="21"/>
                <w:lang w:val="en-US" w:eastAsia="zh-CN" w:bidi="ar-SA"/>
              </w:rPr>
            </w:pPr>
            <w:r>
              <w:rPr>
                <w:rFonts w:hint="default" w:ascii="Times New Roman" w:hAnsi="Times New Roman" w:eastAsia="宋体" w:cs="Times New Roman"/>
                <w:b/>
                <w:bCs/>
                <w:color w:val="000000"/>
                <w:kern w:val="2"/>
                <w:sz w:val="21"/>
                <w:szCs w:val="21"/>
                <w:lang w:val="en-US" w:eastAsia="zh-CN" w:bidi="ar-SA"/>
              </w:rPr>
              <w:t>位移</w:t>
            </w:r>
          </w:p>
        </w:tc>
        <w:tc>
          <w:tcPr>
            <w:tcW w:w="405" w:type="pct"/>
            <w:noWrap/>
            <w:vAlign w:val="center"/>
          </w:tcPr>
          <w:p w14:paraId="55D7B909">
            <w:pPr>
              <w:widowControl w:val="0"/>
              <w:adjustRightInd w:val="0"/>
              <w:snapToGrid w:val="0"/>
              <w:spacing w:line="240" w:lineRule="auto"/>
              <w:ind w:firstLine="0" w:firstLineChars="0"/>
              <w:jc w:val="center"/>
              <w:rPr>
                <w:rFonts w:hint="default" w:ascii="Times New Roman" w:hAnsi="Times New Roman" w:eastAsia="宋体" w:cs="Times New Roman"/>
                <w:b/>
                <w:bCs/>
                <w:color w:val="000000"/>
                <w:kern w:val="2"/>
                <w:sz w:val="21"/>
                <w:szCs w:val="21"/>
                <w:lang w:val="en-US" w:eastAsia="zh-CN" w:bidi="ar-SA"/>
              </w:rPr>
            </w:pPr>
            <w:r>
              <w:rPr>
                <w:rFonts w:hint="default" w:ascii="Times New Roman" w:hAnsi="Times New Roman" w:eastAsia="宋体" w:cs="Times New Roman"/>
                <w:b/>
                <w:bCs/>
                <w:color w:val="000000"/>
                <w:kern w:val="2"/>
                <w:sz w:val="21"/>
                <w:szCs w:val="21"/>
                <w:lang w:val="en-US" w:eastAsia="zh-CN" w:bidi="ar-SA"/>
              </w:rPr>
              <w:t>内部</w:t>
            </w:r>
          </w:p>
          <w:p w14:paraId="305A8589">
            <w:pPr>
              <w:widowControl w:val="0"/>
              <w:adjustRightInd w:val="0"/>
              <w:snapToGrid w:val="0"/>
              <w:spacing w:line="240" w:lineRule="auto"/>
              <w:ind w:firstLine="0" w:firstLineChars="0"/>
              <w:jc w:val="center"/>
              <w:rPr>
                <w:rFonts w:hint="default" w:ascii="Times New Roman" w:hAnsi="Times New Roman" w:eastAsia="宋体" w:cs="Times New Roman"/>
                <w:b/>
                <w:bCs/>
                <w:color w:val="000000"/>
                <w:kern w:val="2"/>
                <w:sz w:val="21"/>
                <w:szCs w:val="21"/>
                <w:lang w:val="en-US" w:eastAsia="zh-CN" w:bidi="ar-SA"/>
              </w:rPr>
            </w:pPr>
            <w:r>
              <w:rPr>
                <w:rFonts w:hint="default" w:ascii="Times New Roman" w:hAnsi="Times New Roman" w:eastAsia="宋体" w:cs="Times New Roman"/>
                <w:b/>
                <w:bCs/>
                <w:color w:val="000000"/>
                <w:kern w:val="2"/>
                <w:sz w:val="21"/>
                <w:szCs w:val="21"/>
                <w:lang w:val="en-US" w:eastAsia="zh-CN" w:bidi="ar-SA"/>
              </w:rPr>
              <w:t>位移</w:t>
            </w:r>
          </w:p>
        </w:tc>
        <w:tc>
          <w:tcPr>
            <w:tcW w:w="499" w:type="pct"/>
            <w:noWrap/>
            <w:vAlign w:val="center"/>
          </w:tcPr>
          <w:p w14:paraId="1EB0613E">
            <w:pPr>
              <w:widowControl w:val="0"/>
              <w:adjustRightInd w:val="0"/>
              <w:snapToGrid w:val="0"/>
              <w:spacing w:line="240" w:lineRule="auto"/>
              <w:ind w:firstLine="0" w:firstLineChars="0"/>
              <w:jc w:val="center"/>
              <w:rPr>
                <w:rFonts w:hint="default" w:ascii="Times New Roman" w:hAnsi="Times New Roman" w:eastAsia="宋体" w:cs="Times New Roman"/>
                <w:b/>
                <w:bCs/>
                <w:color w:val="000000"/>
                <w:kern w:val="2"/>
                <w:sz w:val="21"/>
                <w:szCs w:val="21"/>
                <w:lang w:val="en-US" w:eastAsia="zh-CN" w:bidi="ar-SA"/>
              </w:rPr>
            </w:pPr>
            <w:r>
              <w:rPr>
                <w:rFonts w:hint="default" w:ascii="Times New Roman" w:hAnsi="Times New Roman" w:eastAsia="宋体" w:cs="Times New Roman"/>
                <w:b/>
                <w:bCs/>
                <w:color w:val="000000"/>
                <w:kern w:val="2"/>
                <w:sz w:val="21"/>
                <w:szCs w:val="21"/>
                <w:lang w:val="en-US" w:eastAsia="zh-CN" w:bidi="ar-SA"/>
              </w:rPr>
              <w:t>边坡</w:t>
            </w:r>
          </w:p>
          <w:p w14:paraId="42CA6E08">
            <w:pPr>
              <w:widowControl w:val="0"/>
              <w:adjustRightInd w:val="0"/>
              <w:snapToGrid w:val="0"/>
              <w:spacing w:line="240" w:lineRule="auto"/>
              <w:ind w:firstLine="0" w:firstLineChars="0"/>
              <w:jc w:val="center"/>
              <w:rPr>
                <w:rFonts w:hint="default" w:ascii="Times New Roman" w:hAnsi="Times New Roman" w:eastAsia="宋体" w:cs="Times New Roman"/>
                <w:b/>
                <w:bCs/>
                <w:color w:val="000000"/>
                <w:kern w:val="2"/>
                <w:sz w:val="21"/>
                <w:szCs w:val="21"/>
                <w:lang w:val="en-US" w:eastAsia="zh-CN" w:bidi="ar-SA"/>
              </w:rPr>
            </w:pPr>
            <w:r>
              <w:rPr>
                <w:rFonts w:hint="default" w:ascii="Times New Roman" w:hAnsi="Times New Roman" w:eastAsia="宋体" w:cs="Times New Roman"/>
                <w:b/>
                <w:bCs/>
                <w:color w:val="000000"/>
                <w:kern w:val="2"/>
                <w:sz w:val="21"/>
                <w:szCs w:val="21"/>
                <w:lang w:val="en-US" w:eastAsia="zh-CN" w:bidi="ar-SA"/>
              </w:rPr>
              <w:t>裂缝a</w:t>
            </w:r>
          </w:p>
        </w:tc>
        <w:tc>
          <w:tcPr>
            <w:tcW w:w="673" w:type="pct"/>
            <w:vMerge w:val="continue"/>
            <w:vAlign w:val="center"/>
          </w:tcPr>
          <w:p w14:paraId="2A84431B">
            <w:pPr>
              <w:widowControl w:val="0"/>
              <w:adjustRightInd w:val="0"/>
              <w:snapToGrid w:val="0"/>
              <w:spacing w:line="240" w:lineRule="auto"/>
              <w:ind w:firstLine="0" w:firstLineChars="0"/>
              <w:jc w:val="center"/>
              <w:rPr>
                <w:rFonts w:hint="default" w:ascii="Times New Roman" w:hAnsi="Times New Roman" w:eastAsia="宋体" w:cs="Times New Roman"/>
                <w:b/>
                <w:bCs/>
                <w:color w:val="000000"/>
                <w:kern w:val="2"/>
                <w:sz w:val="21"/>
                <w:szCs w:val="21"/>
                <w:lang w:val="en-US" w:eastAsia="zh-CN" w:bidi="ar-SA"/>
              </w:rPr>
            </w:pPr>
          </w:p>
        </w:tc>
        <w:tc>
          <w:tcPr>
            <w:tcW w:w="405" w:type="pct"/>
            <w:noWrap/>
            <w:vAlign w:val="center"/>
          </w:tcPr>
          <w:p w14:paraId="6B18D716">
            <w:pPr>
              <w:widowControl w:val="0"/>
              <w:adjustRightInd w:val="0"/>
              <w:snapToGrid w:val="0"/>
              <w:spacing w:line="240" w:lineRule="auto"/>
              <w:ind w:firstLine="0" w:firstLineChars="0"/>
              <w:jc w:val="center"/>
              <w:rPr>
                <w:rFonts w:hint="default" w:ascii="Times New Roman" w:hAnsi="Times New Roman" w:eastAsia="宋体" w:cs="Times New Roman"/>
                <w:b/>
                <w:bCs/>
                <w:color w:val="000000"/>
                <w:kern w:val="2"/>
                <w:sz w:val="21"/>
                <w:szCs w:val="21"/>
                <w:lang w:val="en-US" w:eastAsia="zh-CN" w:bidi="ar-SA"/>
              </w:rPr>
            </w:pPr>
            <w:r>
              <w:rPr>
                <w:rFonts w:hint="default" w:ascii="Times New Roman" w:hAnsi="Times New Roman" w:eastAsia="宋体" w:cs="Times New Roman"/>
                <w:b/>
                <w:bCs/>
                <w:color w:val="000000"/>
                <w:kern w:val="2"/>
                <w:sz w:val="21"/>
                <w:szCs w:val="21"/>
                <w:lang w:val="en-US" w:eastAsia="zh-CN" w:bidi="ar-SA"/>
              </w:rPr>
              <w:t>质点</w:t>
            </w:r>
          </w:p>
          <w:p w14:paraId="7384F502">
            <w:pPr>
              <w:widowControl w:val="0"/>
              <w:adjustRightInd w:val="0"/>
              <w:snapToGrid w:val="0"/>
              <w:spacing w:line="240" w:lineRule="auto"/>
              <w:ind w:firstLine="0" w:firstLineChars="0"/>
              <w:jc w:val="center"/>
              <w:rPr>
                <w:rFonts w:hint="default" w:ascii="Times New Roman" w:hAnsi="Times New Roman" w:eastAsia="宋体" w:cs="Times New Roman"/>
                <w:b/>
                <w:bCs/>
                <w:color w:val="000000"/>
                <w:kern w:val="2"/>
                <w:sz w:val="21"/>
                <w:szCs w:val="21"/>
                <w:lang w:val="en-US" w:eastAsia="zh-CN" w:bidi="ar-SA"/>
              </w:rPr>
            </w:pPr>
            <w:r>
              <w:rPr>
                <w:rFonts w:hint="default" w:ascii="Times New Roman" w:hAnsi="Times New Roman" w:eastAsia="宋体" w:cs="Times New Roman"/>
                <w:b/>
                <w:bCs/>
                <w:color w:val="000000"/>
                <w:kern w:val="2"/>
                <w:sz w:val="21"/>
                <w:szCs w:val="21"/>
                <w:lang w:val="en-US" w:eastAsia="zh-CN" w:bidi="ar-SA"/>
              </w:rPr>
              <w:t>速度</w:t>
            </w:r>
          </w:p>
        </w:tc>
        <w:tc>
          <w:tcPr>
            <w:tcW w:w="498" w:type="pct"/>
            <w:noWrap/>
            <w:vAlign w:val="center"/>
          </w:tcPr>
          <w:p w14:paraId="75F37341">
            <w:pPr>
              <w:widowControl w:val="0"/>
              <w:adjustRightInd w:val="0"/>
              <w:snapToGrid w:val="0"/>
              <w:spacing w:line="240" w:lineRule="auto"/>
              <w:ind w:firstLine="0" w:firstLineChars="0"/>
              <w:jc w:val="center"/>
              <w:rPr>
                <w:rFonts w:hint="default" w:ascii="Times New Roman" w:hAnsi="Times New Roman" w:eastAsia="宋体" w:cs="Times New Roman"/>
                <w:b/>
                <w:bCs/>
                <w:color w:val="000000"/>
                <w:kern w:val="2"/>
                <w:sz w:val="21"/>
                <w:szCs w:val="21"/>
                <w:lang w:val="en-US" w:eastAsia="zh-CN" w:bidi="ar-SA"/>
              </w:rPr>
            </w:pPr>
            <w:r>
              <w:rPr>
                <w:rFonts w:hint="default" w:ascii="Times New Roman" w:hAnsi="Times New Roman" w:eastAsia="宋体" w:cs="Times New Roman"/>
                <w:b/>
                <w:bCs/>
                <w:color w:val="000000"/>
                <w:kern w:val="2"/>
                <w:sz w:val="21"/>
                <w:szCs w:val="21"/>
                <w:lang w:val="en-US" w:eastAsia="zh-CN" w:bidi="ar-SA"/>
              </w:rPr>
              <w:t>渗透</w:t>
            </w:r>
          </w:p>
          <w:p w14:paraId="2E4E5E7A">
            <w:pPr>
              <w:widowControl w:val="0"/>
              <w:adjustRightInd w:val="0"/>
              <w:snapToGrid w:val="0"/>
              <w:spacing w:line="240" w:lineRule="auto"/>
              <w:ind w:firstLine="0" w:firstLineChars="0"/>
              <w:jc w:val="center"/>
              <w:rPr>
                <w:rFonts w:hint="default" w:ascii="Times New Roman" w:hAnsi="Times New Roman" w:eastAsia="宋体" w:cs="Times New Roman"/>
                <w:b/>
                <w:bCs/>
                <w:color w:val="000000"/>
                <w:kern w:val="2"/>
                <w:sz w:val="21"/>
                <w:szCs w:val="21"/>
                <w:lang w:val="en-US" w:eastAsia="zh-CN" w:bidi="ar-SA"/>
              </w:rPr>
            </w:pPr>
            <w:r>
              <w:rPr>
                <w:rFonts w:hint="default" w:ascii="Times New Roman" w:hAnsi="Times New Roman" w:eastAsia="宋体" w:cs="Times New Roman"/>
                <w:b/>
                <w:bCs/>
                <w:color w:val="000000"/>
                <w:kern w:val="2"/>
                <w:sz w:val="21"/>
                <w:szCs w:val="21"/>
                <w:lang w:val="en-US" w:eastAsia="zh-CN" w:bidi="ar-SA"/>
              </w:rPr>
              <w:t>压力c</w:t>
            </w:r>
          </w:p>
        </w:tc>
        <w:tc>
          <w:tcPr>
            <w:tcW w:w="498" w:type="pct"/>
            <w:noWrap/>
            <w:vAlign w:val="center"/>
          </w:tcPr>
          <w:p w14:paraId="126823F2">
            <w:pPr>
              <w:widowControl w:val="0"/>
              <w:adjustRightInd w:val="0"/>
              <w:snapToGrid w:val="0"/>
              <w:spacing w:line="240" w:lineRule="auto"/>
              <w:ind w:firstLine="0" w:firstLineChars="0"/>
              <w:jc w:val="center"/>
              <w:rPr>
                <w:rFonts w:hint="default" w:ascii="Times New Roman" w:hAnsi="Times New Roman" w:eastAsia="宋体" w:cs="Times New Roman"/>
                <w:b/>
                <w:bCs/>
                <w:color w:val="000000"/>
                <w:kern w:val="2"/>
                <w:sz w:val="21"/>
                <w:szCs w:val="21"/>
                <w:lang w:val="en-US" w:eastAsia="zh-CN" w:bidi="ar-SA"/>
              </w:rPr>
            </w:pPr>
            <w:r>
              <w:rPr>
                <w:rFonts w:hint="default" w:ascii="Times New Roman" w:hAnsi="Times New Roman" w:eastAsia="宋体" w:cs="Times New Roman"/>
                <w:b/>
                <w:bCs/>
                <w:color w:val="000000"/>
                <w:kern w:val="2"/>
                <w:sz w:val="21"/>
                <w:szCs w:val="21"/>
                <w:lang w:val="en-US" w:eastAsia="zh-CN" w:bidi="ar-SA"/>
              </w:rPr>
              <w:t>地下</w:t>
            </w:r>
          </w:p>
          <w:p w14:paraId="32F2345D">
            <w:pPr>
              <w:widowControl w:val="0"/>
              <w:adjustRightInd w:val="0"/>
              <w:snapToGrid w:val="0"/>
              <w:spacing w:line="240" w:lineRule="auto"/>
              <w:ind w:firstLine="0" w:firstLineChars="0"/>
              <w:jc w:val="center"/>
              <w:rPr>
                <w:rFonts w:hint="default" w:ascii="Times New Roman" w:hAnsi="Times New Roman" w:eastAsia="宋体" w:cs="Times New Roman"/>
                <w:b/>
                <w:bCs/>
                <w:color w:val="000000"/>
                <w:kern w:val="2"/>
                <w:sz w:val="21"/>
                <w:szCs w:val="21"/>
                <w:lang w:val="en-US" w:eastAsia="zh-CN" w:bidi="ar-SA"/>
              </w:rPr>
            </w:pPr>
            <w:r>
              <w:rPr>
                <w:rFonts w:hint="default" w:ascii="Times New Roman" w:hAnsi="Times New Roman" w:eastAsia="宋体" w:cs="Times New Roman"/>
                <w:b/>
                <w:bCs/>
                <w:color w:val="000000"/>
                <w:kern w:val="2"/>
                <w:sz w:val="21"/>
                <w:szCs w:val="21"/>
                <w:lang w:val="en-US" w:eastAsia="zh-CN" w:bidi="ar-SA"/>
              </w:rPr>
              <w:t>水位c</w:t>
            </w:r>
          </w:p>
        </w:tc>
        <w:tc>
          <w:tcPr>
            <w:tcW w:w="539" w:type="pct"/>
            <w:noWrap/>
            <w:vAlign w:val="center"/>
          </w:tcPr>
          <w:p w14:paraId="65E19209">
            <w:pPr>
              <w:widowControl w:val="0"/>
              <w:adjustRightInd w:val="0"/>
              <w:snapToGrid w:val="0"/>
              <w:spacing w:line="240" w:lineRule="auto"/>
              <w:ind w:firstLine="0" w:firstLineChars="0"/>
              <w:jc w:val="center"/>
              <w:rPr>
                <w:rFonts w:hint="default" w:ascii="Times New Roman" w:hAnsi="Times New Roman" w:eastAsia="宋体" w:cs="Times New Roman"/>
                <w:b/>
                <w:bCs/>
                <w:color w:val="000000"/>
                <w:kern w:val="2"/>
                <w:sz w:val="21"/>
                <w:szCs w:val="21"/>
                <w:lang w:val="en-US" w:eastAsia="zh-CN" w:bidi="ar-SA"/>
              </w:rPr>
            </w:pPr>
            <w:r>
              <w:rPr>
                <w:rFonts w:hint="default" w:ascii="Times New Roman" w:hAnsi="Times New Roman" w:eastAsia="宋体" w:cs="Times New Roman"/>
                <w:b/>
                <w:bCs/>
                <w:color w:val="000000"/>
                <w:kern w:val="2"/>
                <w:sz w:val="21"/>
                <w:szCs w:val="21"/>
                <w:lang w:val="en-US" w:eastAsia="zh-CN" w:bidi="ar-SA"/>
              </w:rPr>
              <w:t>降雨量</w:t>
            </w:r>
          </w:p>
        </w:tc>
        <w:tc>
          <w:tcPr>
            <w:tcW w:w="405" w:type="pct"/>
            <w:vMerge w:val="continue"/>
            <w:vAlign w:val="center"/>
          </w:tcPr>
          <w:p w14:paraId="445686C2">
            <w:pPr>
              <w:widowControl w:val="0"/>
              <w:adjustRightInd w:val="0"/>
              <w:snapToGrid w:val="0"/>
              <w:spacing w:line="240" w:lineRule="auto"/>
              <w:ind w:firstLine="0" w:firstLineChars="0"/>
              <w:jc w:val="center"/>
              <w:rPr>
                <w:rFonts w:hint="default" w:ascii="Times New Roman" w:hAnsi="Times New Roman" w:eastAsia="宋体" w:cs="Times New Roman"/>
                <w:b w:val="0"/>
                <w:color w:val="000000"/>
                <w:kern w:val="2"/>
                <w:sz w:val="21"/>
                <w:szCs w:val="21"/>
                <w:lang w:val="en-US" w:eastAsia="zh-CN" w:bidi="ar-SA"/>
              </w:rPr>
            </w:pPr>
          </w:p>
        </w:tc>
      </w:tr>
      <w:tr w14:paraId="54B596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73" w:type="pct"/>
            <w:noWrap/>
            <w:vAlign w:val="center"/>
          </w:tcPr>
          <w:p w14:paraId="2FD4C8CC">
            <w:pPr>
              <w:widowControl w:val="0"/>
              <w:adjustRightInd w:val="0"/>
              <w:snapToGrid w:val="0"/>
              <w:spacing w:line="240" w:lineRule="auto"/>
              <w:ind w:firstLine="0" w:firstLineChars="0"/>
              <w:jc w:val="center"/>
              <w:rPr>
                <w:rFonts w:hint="default" w:ascii="Times New Roman" w:hAnsi="Times New Roman" w:eastAsia="宋体" w:cs="Times New Roman"/>
                <w:b w:val="0"/>
                <w:color w:val="000000"/>
                <w:kern w:val="2"/>
                <w:sz w:val="21"/>
                <w:szCs w:val="21"/>
                <w:lang w:val="en-US" w:eastAsia="zh-CN" w:bidi="ar-SA"/>
              </w:rPr>
            </w:pPr>
            <w:r>
              <w:rPr>
                <w:rFonts w:hint="default" w:ascii="Times New Roman" w:hAnsi="Times New Roman" w:eastAsia="宋体" w:cs="Times New Roman"/>
                <w:b w:val="0"/>
                <w:color w:val="000000"/>
                <w:kern w:val="2"/>
                <w:sz w:val="21"/>
                <w:szCs w:val="21"/>
                <w:lang w:val="en-US" w:eastAsia="zh-CN" w:bidi="ar-SA"/>
              </w:rPr>
              <w:t>一级</w:t>
            </w:r>
          </w:p>
        </w:tc>
        <w:tc>
          <w:tcPr>
            <w:tcW w:w="405" w:type="pct"/>
            <w:noWrap/>
            <w:vAlign w:val="center"/>
          </w:tcPr>
          <w:p w14:paraId="06B5EB5A">
            <w:pPr>
              <w:widowControl w:val="0"/>
              <w:adjustRightInd w:val="0"/>
              <w:snapToGrid w:val="0"/>
              <w:spacing w:line="240" w:lineRule="auto"/>
              <w:ind w:firstLine="0" w:firstLineChars="0"/>
              <w:jc w:val="center"/>
              <w:rPr>
                <w:rFonts w:hint="default" w:ascii="Times New Roman" w:hAnsi="Times New Roman" w:eastAsia="宋体" w:cs="Times New Roman"/>
                <w:b w:val="0"/>
                <w:color w:val="000000"/>
                <w:kern w:val="2"/>
                <w:sz w:val="21"/>
                <w:szCs w:val="21"/>
                <w:lang w:val="en-US" w:eastAsia="zh-CN" w:bidi="ar-SA"/>
              </w:rPr>
            </w:pPr>
            <w:r>
              <w:rPr>
                <w:rFonts w:hint="default" w:ascii="Times New Roman" w:hAnsi="Times New Roman" w:eastAsia="宋体" w:cs="Times New Roman"/>
                <w:b w:val="0"/>
                <w:color w:val="000000"/>
                <w:kern w:val="2"/>
                <w:sz w:val="21"/>
                <w:szCs w:val="21"/>
                <w:lang w:val="en-US" w:eastAsia="zh-CN" w:bidi="ar-SA"/>
              </w:rPr>
              <w:t>●</w:t>
            </w:r>
          </w:p>
        </w:tc>
        <w:tc>
          <w:tcPr>
            <w:tcW w:w="405" w:type="pct"/>
            <w:noWrap/>
            <w:vAlign w:val="center"/>
          </w:tcPr>
          <w:p w14:paraId="70422554">
            <w:pPr>
              <w:widowControl w:val="0"/>
              <w:adjustRightInd w:val="0"/>
              <w:snapToGrid w:val="0"/>
              <w:spacing w:line="240" w:lineRule="auto"/>
              <w:ind w:firstLine="0" w:firstLineChars="0"/>
              <w:jc w:val="center"/>
              <w:rPr>
                <w:rFonts w:hint="default" w:ascii="Times New Roman" w:hAnsi="Times New Roman" w:eastAsia="宋体" w:cs="Times New Roman"/>
                <w:b w:val="0"/>
                <w:color w:val="000000"/>
                <w:kern w:val="2"/>
                <w:sz w:val="21"/>
                <w:szCs w:val="21"/>
                <w:lang w:val="en-US" w:eastAsia="zh-CN" w:bidi="ar-SA"/>
              </w:rPr>
            </w:pPr>
            <w:r>
              <w:rPr>
                <w:rFonts w:hint="default" w:ascii="Times New Roman" w:hAnsi="Times New Roman" w:eastAsia="宋体" w:cs="Times New Roman"/>
                <w:b w:val="0"/>
                <w:color w:val="000000"/>
                <w:kern w:val="2"/>
                <w:sz w:val="21"/>
                <w:szCs w:val="21"/>
                <w:lang w:val="en-US" w:eastAsia="zh-CN" w:bidi="ar-SA"/>
              </w:rPr>
              <w:t>●</w:t>
            </w:r>
          </w:p>
        </w:tc>
        <w:tc>
          <w:tcPr>
            <w:tcW w:w="499" w:type="pct"/>
            <w:noWrap/>
            <w:vAlign w:val="center"/>
          </w:tcPr>
          <w:p w14:paraId="1054939A">
            <w:pPr>
              <w:widowControl w:val="0"/>
              <w:adjustRightInd w:val="0"/>
              <w:snapToGrid w:val="0"/>
              <w:spacing w:line="240" w:lineRule="auto"/>
              <w:ind w:firstLine="0" w:firstLineChars="0"/>
              <w:jc w:val="center"/>
              <w:rPr>
                <w:rFonts w:hint="default" w:ascii="Times New Roman" w:hAnsi="Times New Roman" w:eastAsia="宋体" w:cs="Times New Roman"/>
                <w:b w:val="0"/>
                <w:color w:val="000000"/>
                <w:kern w:val="2"/>
                <w:sz w:val="21"/>
                <w:szCs w:val="21"/>
                <w:lang w:val="en-US" w:eastAsia="zh-CN" w:bidi="ar-SA"/>
              </w:rPr>
            </w:pPr>
            <w:r>
              <w:rPr>
                <w:rFonts w:hint="default" w:ascii="Times New Roman" w:hAnsi="Times New Roman" w:eastAsia="宋体" w:cs="Times New Roman"/>
                <w:b w:val="0"/>
                <w:color w:val="000000"/>
                <w:kern w:val="2"/>
                <w:sz w:val="21"/>
                <w:szCs w:val="21"/>
                <w:lang w:val="en-US" w:eastAsia="zh-CN" w:bidi="ar-SA"/>
              </w:rPr>
              <w:t>○</w:t>
            </w:r>
          </w:p>
        </w:tc>
        <w:tc>
          <w:tcPr>
            <w:tcW w:w="673" w:type="pct"/>
            <w:noWrap/>
            <w:vAlign w:val="center"/>
          </w:tcPr>
          <w:p w14:paraId="3AA2E2FD">
            <w:pPr>
              <w:widowControl w:val="0"/>
              <w:adjustRightInd w:val="0"/>
              <w:snapToGrid w:val="0"/>
              <w:spacing w:line="240" w:lineRule="auto"/>
              <w:ind w:firstLine="0" w:firstLineChars="0"/>
              <w:jc w:val="center"/>
              <w:rPr>
                <w:rFonts w:hint="default" w:ascii="Times New Roman" w:hAnsi="Times New Roman" w:eastAsia="宋体" w:cs="Times New Roman"/>
                <w:b w:val="0"/>
                <w:color w:val="000000"/>
                <w:kern w:val="2"/>
                <w:sz w:val="21"/>
                <w:szCs w:val="21"/>
                <w:lang w:val="en-US" w:eastAsia="zh-CN" w:bidi="ar-SA"/>
              </w:rPr>
            </w:pPr>
            <w:r>
              <w:rPr>
                <w:rFonts w:hint="default" w:ascii="Times New Roman" w:hAnsi="Times New Roman" w:eastAsia="宋体" w:cs="Times New Roman"/>
                <w:b w:val="0"/>
                <w:color w:val="000000"/>
                <w:kern w:val="2"/>
                <w:sz w:val="21"/>
                <w:szCs w:val="21"/>
                <w:lang w:val="en-US" w:eastAsia="zh-CN" w:bidi="ar-SA"/>
              </w:rPr>
              <w:t>●</w:t>
            </w:r>
          </w:p>
        </w:tc>
        <w:tc>
          <w:tcPr>
            <w:tcW w:w="405" w:type="pct"/>
            <w:noWrap/>
            <w:vAlign w:val="center"/>
          </w:tcPr>
          <w:p w14:paraId="7CE9E272">
            <w:pPr>
              <w:widowControl w:val="0"/>
              <w:adjustRightInd w:val="0"/>
              <w:snapToGrid w:val="0"/>
              <w:spacing w:line="240" w:lineRule="auto"/>
              <w:ind w:firstLine="0" w:firstLineChars="0"/>
              <w:jc w:val="center"/>
              <w:rPr>
                <w:rFonts w:hint="default" w:ascii="Times New Roman" w:hAnsi="Times New Roman" w:eastAsia="宋体" w:cs="Times New Roman"/>
                <w:b w:val="0"/>
                <w:color w:val="000000"/>
                <w:kern w:val="2"/>
                <w:sz w:val="21"/>
                <w:szCs w:val="21"/>
                <w:lang w:val="en-US" w:eastAsia="zh-CN" w:bidi="ar-SA"/>
              </w:rPr>
            </w:pPr>
            <w:r>
              <w:rPr>
                <w:rFonts w:hint="default" w:ascii="Times New Roman" w:hAnsi="Times New Roman" w:eastAsia="宋体" w:cs="Times New Roman"/>
                <w:b w:val="0"/>
                <w:color w:val="000000"/>
                <w:kern w:val="2"/>
                <w:sz w:val="21"/>
                <w:szCs w:val="21"/>
                <w:lang w:val="en-US" w:eastAsia="zh-CN" w:bidi="ar-SA"/>
              </w:rPr>
              <w:t>●</w:t>
            </w:r>
          </w:p>
        </w:tc>
        <w:tc>
          <w:tcPr>
            <w:tcW w:w="498" w:type="pct"/>
            <w:noWrap/>
            <w:vAlign w:val="center"/>
          </w:tcPr>
          <w:p w14:paraId="37E3257D">
            <w:pPr>
              <w:widowControl w:val="0"/>
              <w:adjustRightInd w:val="0"/>
              <w:snapToGrid w:val="0"/>
              <w:spacing w:line="240" w:lineRule="auto"/>
              <w:ind w:firstLine="0" w:firstLineChars="0"/>
              <w:jc w:val="center"/>
              <w:rPr>
                <w:rFonts w:hint="default" w:ascii="Times New Roman" w:hAnsi="Times New Roman" w:eastAsia="宋体" w:cs="Times New Roman"/>
                <w:b w:val="0"/>
                <w:color w:val="000000"/>
                <w:kern w:val="2"/>
                <w:sz w:val="21"/>
                <w:szCs w:val="21"/>
                <w:lang w:val="en-US" w:eastAsia="zh-CN" w:bidi="ar-SA"/>
              </w:rPr>
            </w:pPr>
            <w:r>
              <w:rPr>
                <w:rFonts w:hint="default" w:ascii="Times New Roman" w:hAnsi="Times New Roman" w:eastAsia="宋体" w:cs="Times New Roman"/>
                <w:b w:val="0"/>
                <w:color w:val="000000"/>
                <w:kern w:val="2"/>
                <w:sz w:val="21"/>
                <w:szCs w:val="21"/>
                <w:lang w:val="en-US" w:eastAsia="zh-CN" w:bidi="ar-SA"/>
              </w:rPr>
              <w:t>●</w:t>
            </w:r>
          </w:p>
        </w:tc>
        <w:tc>
          <w:tcPr>
            <w:tcW w:w="498" w:type="pct"/>
            <w:noWrap/>
            <w:vAlign w:val="center"/>
          </w:tcPr>
          <w:p w14:paraId="70DDE7B1">
            <w:pPr>
              <w:widowControl w:val="0"/>
              <w:adjustRightInd w:val="0"/>
              <w:snapToGrid w:val="0"/>
              <w:spacing w:line="240" w:lineRule="auto"/>
              <w:ind w:firstLine="0" w:firstLineChars="0"/>
              <w:jc w:val="center"/>
              <w:rPr>
                <w:rFonts w:hint="default" w:ascii="Times New Roman" w:hAnsi="Times New Roman" w:eastAsia="宋体" w:cs="Times New Roman"/>
                <w:b w:val="0"/>
                <w:color w:val="000000"/>
                <w:kern w:val="2"/>
                <w:sz w:val="21"/>
                <w:szCs w:val="21"/>
                <w:lang w:val="en-US" w:eastAsia="zh-CN" w:bidi="ar-SA"/>
              </w:rPr>
            </w:pPr>
            <w:r>
              <w:rPr>
                <w:rFonts w:hint="default" w:ascii="Times New Roman" w:hAnsi="Times New Roman" w:eastAsia="宋体" w:cs="Times New Roman"/>
                <w:b w:val="0"/>
                <w:color w:val="000000"/>
                <w:kern w:val="2"/>
                <w:sz w:val="21"/>
                <w:szCs w:val="21"/>
                <w:lang w:val="en-US" w:eastAsia="zh-CN" w:bidi="ar-SA"/>
              </w:rPr>
              <w:t>●</w:t>
            </w:r>
          </w:p>
        </w:tc>
        <w:tc>
          <w:tcPr>
            <w:tcW w:w="539" w:type="pct"/>
            <w:noWrap/>
            <w:vAlign w:val="center"/>
          </w:tcPr>
          <w:p w14:paraId="167D9842">
            <w:pPr>
              <w:widowControl w:val="0"/>
              <w:adjustRightInd w:val="0"/>
              <w:snapToGrid w:val="0"/>
              <w:spacing w:line="240" w:lineRule="auto"/>
              <w:ind w:firstLine="0" w:firstLineChars="0"/>
              <w:jc w:val="center"/>
              <w:rPr>
                <w:rFonts w:hint="default" w:ascii="Times New Roman" w:hAnsi="Times New Roman" w:eastAsia="宋体" w:cs="Times New Roman"/>
                <w:b w:val="0"/>
                <w:color w:val="000000"/>
                <w:kern w:val="2"/>
                <w:sz w:val="21"/>
                <w:szCs w:val="21"/>
                <w:lang w:val="en-US" w:eastAsia="zh-CN" w:bidi="ar-SA"/>
              </w:rPr>
            </w:pPr>
            <w:r>
              <w:rPr>
                <w:rFonts w:hint="default" w:ascii="Times New Roman" w:hAnsi="Times New Roman" w:eastAsia="宋体" w:cs="Times New Roman"/>
                <w:b w:val="0"/>
                <w:color w:val="000000"/>
                <w:kern w:val="2"/>
                <w:sz w:val="21"/>
                <w:szCs w:val="21"/>
                <w:lang w:val="en-US" w:eastAsia="zh-CN" w:bidi="ar-SA"/>
              </w:rPr>
              <w:t>●</w:t>
            </w:r>
          </w:p>
        </w:tc>
        <w:tc>
          <w:tcPr>
            <w:tcW w:w="405" w:type="pct"/>
            <w:noWrap/>
            <w:vAlign w:val="center"/>
          </w:tcPr>
          <w:p w14:paraId="165B6C39">
            <w:pPr>
              <w:widowControl w:val="0"/>
              <w:adjustRightInd w:val="0"/>
              <w:snapToGrid w:val="0"/>
              <w:spacing w:line="240" w:lineRule="auto"/>
              <w:ind w:firstLine="0" w:firstLineChars="0"/>
              <w:jc w:val="center"/>
              <w:rPr>
                <w:rFonts w:hint="default" w:ascii="Times New Roman" w:hAnsi="Times New Roman" w:eastAsia="宋体" w:cs="Times New Roman"/>
                <w:b w:val="0"/>
                <w:color w:val="000000"/>
                <w:kern w:val="2"/>
                <w:sz w:val="21"/>
                <w:szCs w:val="21"/>
                <w:lang w:val="en-US" w:eastAsia="zh-CN" w:bidi="ar-SA"/>
              </w:rPr>
            </w:pPr>
            <w:r>
              <w:rPr>
                <w:rFonts w:hint="default" w:ascii="Times New Roman" w:hAnsi="Times New Roman" w:eastAsia="宋体" w:cs="Times New Roman"/>
                <w:b w:val="0"/>
                <w:color w:val="000000"/>
                <w:kern w:val="2"/>
                <w:sz w:val="21"/>
                <w:szCs w:val="21"/>
                <w:lang w:val="en-US" w:eastAsia="zh-CN" w:bidi="ar-SA"/>
              </w:rPr>
              <w:t>●</w:t>
            </w:r>
          </w:p>
        </w:tc>
      </w:tr>
      <w:tr w14:paraId="385C13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73" w:type="pct"/>
            <w:noWrap/>
            <w:vAlign w:val="center"/>
          </w:tcPr>
          <w:p w14:paraId="6761CCCD">
            <w:pPr>
              <w:widowControl w:val="0"/>
              <w:adjustRightInd w:val="0"/>
              <w:snapToGrid w:val="0"/>
              <w:spacing w:line="240" w:lineRule="auto"/>
              <w:ind w:firstLine="0" w:firstLineChars="0"/>
              <w:jc w:val="center"/>
              <w:rPr>
                <w:rFonts w:hint="default" w:ascii="Times New Roman" w:hAnsi="Times New Roman" w:eastAsia="宋体" w:cs="Times New Roman"/>
                <w:b w:val="0"/>
                <w:color w:val="000000"/>
                <w:kern w:val="2"/>
                <w:sz w:val="21"/>
                <w:szCs w:val="21"/>
                <w:lang w:val="en-US" w:eastAsia="zh-CN" w:bidi="ar-SA"/>
              </w:rPr>
            </w:pPr>
            <w:r>
              <w:rPr>
                <w:rFonts w:hint="default" w:ascii="Times New Roman" w:hAnsi="Times New Roman" w:eastAsia="宋体" w:cs="Times New Roman"/>
                <w:b w:val="0"/>
                <w:color w:val="000000"/>
                <w:kern w:val="2"/>
                <w:sz w:val="21"/>
                <w:szCs w:val="21"/>
                <w:lang w:val="en-US" w:eastAsia="zh-CN" w:bidi="ar-SA"/>
              </w:rPr>
              <w:t>二级</w:t>
            </w:r>
          </w:p>
        </w:tc>
        <w:tc>
          <w:tcPr>
            <w:tcW w:w="405" w:type="pct"/>
            <w:noWrap/>
            <w:vAlign w:val="center"/>
          </w:tcPr>
          <w:p w14:paraId="51D135F7">
            <w:pPr>
              <w:widowControl w:val="0"/>
              <w:adjustRightInd w:val="0"/>
              <w:snapToGrid w:val="0"/>
              <w:spacing w:line="240" w:lineRule="auto"/>
              <w:ind w:firstLine="0" w:firstLineChars="0"/>
              <w:jc w:val="center"/>
              <w:rPr>
                <w:rFonts w:hint="default" w:ascii="Times New Roman" w:hAnsi="Times New Roman" w:eastAsia="宋体" w:cs="Times New Roman"/>
                <w:b w:val="0"/>
                <w:color w:val="000000"/>
                <w:kern w:val="2"/>
                <w:sz w:val="21"/>
                <w:szCs w:val="21"/>
                <w:lang w:val="en-US" w:eastAsia="zh-CN" w:bidi="ar-SA"/>
              </w:rPr>
            </w:pPr>
            <w:r>
              <w:rPr>
                <w:rFonts w:hint="default" w:ascii="Times New Roman" w:hAnsi="Times New Roman" w:eastAsia="宋体" w:cs="Times New Roman"/>
                <w:b w:val="0"/>
                <w:color w:val="000000"/>
                <w:kern w:val="2"/>
                <w:sz w:val="21"/>
                <w:szCs w:val="21"/>
                <w:lang w:val="en-US" w:eastAsia="zh-CN" w:bidi="ar-SA"/>
              </w:rPr>
              <w:t>●</w:t>
            </w:r>
          </w:p>
        </w:tc>
        <w:tc>
          <w:tcPr>
            <w:tcW w:w="405" w:type="pct"/>
            <w:noWrap/>
            <w:vAlign w:val="center"/>
          </w:tcPr>
          <w:p w14:paraId="14B81702">
            <w:pPr>
              <w:widowControl w:val="0"/>
              <w:adjustRightInd w:val="0"/>
              <w:snapToGrid w:val="0"/>
              <w:spacing w:line="240" w:lineRule="auto"/>
              <w:ind w:firstLine="0" w:firstLineChars="0"/>
              <w:jc w:val="center"/>
              <w:rPr>
                <w:rFonts w:hint="default" w:ascii="Times New Roman" w:hAnsi="Times New Roman" w:eastAsia="宋体" w:cs="Times New Roman"/>
                <w:b w:val="0"/>
                <w:color w:val="000000"/>
                <w:kern w:val="2"/>
                <w:sz w:val="21"/>
                <w:szCs w:val="21"/>
                <w:lang w:val="en-US" w:eastAsia="zh-CN" w:bidi="ar-SA"/>
              </w:rPr>
            </w:pPr>
            <w:r>
              <w:rPr>
                <w:rFonts w:hint="default" w:ascii="Times New Roman" w:hAnsi="Times New Roman" w:eastAsia="宋体" w:cs="Times New Roman"/>
                <w:b w:val="0"/>
                <w:color w:val="000000"/>
                <w:kern w:val="2"/>
                <w:sz w:val="21"/>
                <w:szCs w:val="21"/>
                <w:lang w:val="en-US" w:eastAsia="zh-CN" w:bidi="ar-SA"/>
              </w:rPr>
              <w:t>○</w:t>
            </w:r>
          </w:p>
        </w:tc>
        <w:tc>
          <w:tcPr>
            <w:tcW w:w="499" w:type="pct"/>
            <w:noWrap/>
            <w:vAlign w:val="center"/>
          </w:tcPr>
          <w:p w14:paraId="73E40DAE">
            <w:pPr>
              <w:widowControl w:val="0"/>
              <w:adjustRightInd w:val="0"/>
              <w:snapToGrid w:val="0"/>
              <w:spacing w:line="240" w:lineRule="auto"/>
              <w:ind w:firstLine="0" w:firstLineChars="0"/>
              <w:jc w:val="center"/>
              <w:rPr>
                <w:rFonts w:hint="default" w:ascii="Times New Roman" w:hAnsi="Times New Roman" w:eastAsia="宋体" w:cs="Times New Roman"/>
                <w:b w:val="0"/>
                <w:color w:val="000000"/>
                <w:kern w:val="2"/>
                <w:sz w:val="21"/>
                <w:szCs w:val="21"/>
                <w:lang w:val="en-US" w:eastAsia="zh-CN" w:bidi="ar-SA"/>
              </w:rPr>
            </w:pPr>
            <w:r>
              <w:rPr>
                <w:rFonts w:hint="default" w:ascii="Times New Roman" w:hAnsi="Times New Roman" w:eastAsia="宋体" w:cs="Times New Roman"/>
                <w:b w:val="0"/>
                <w:color w:val="000000"/>
                <w:kern w:val="2"/>
                <w:sz w:val="21"/>
                <w:szCs w:val="21"/>
                <w:lang w:val="en-US" w:eastAsia="zh-CN" w:bidi="ar-SA"/>
              </w:rPr>
              <w:t>○</w:t>
            </w:r>
          </w:p>
        </w:tc>
        <w:tc>
          <w:tcPr>
            <w:tcW w:w="673" w:type="pct"/>
            <w:noWrap/>
            <w:vAlign w:val="center"/>
          </w:tcPr>
          <w:p w14:paraId="6B97E626">
            <w:pPr>
              <w:widowControl w:val="0"/>
              <w:adjustRightInd w:val="0"/>
              <w:snapToGrid w:val="0"/>
              <w:spacing w:line="240" w:lineRule="auto"/>
              <w:ind w:firstLine="0" w:firstLineChars="0"/>
              <w:jc w:val="center"/>
              <w:rPr>
                <w:rFonts w:hint="default" w:ascii="Times New Roman" w:hAnsi="Times New Roman" w:eastAsia="宋体" w:cs="Times New Roman"/>
                <w:b w:val="0"/>
                <w:color w:val="000000"/>
                <w:kern w:val="2"/>
                <w:sz w:val="21"/>
                <w:szCs w:val="21"/>
                <w:lang w:val="en-US" w:eastAsia="zh-CN" w:bidi="ar-SA"/>
              </w:rPr>
            </w:pPr>
            <w:r>
              <w:rPr>
                <w:rFonts w:hint="default" w:ascii="Times New Roman" w:hAnsi="Times New Roman" w:eastAsia="宋体" w:cs="Times New Roman"/>
                <w:b w:val="0"/>
                <w:color w:val="000000"/>
                <w:kern w:val="2"/>
                <w:sz w:val="21"/>
                <w:szCs w:val="21"/>
                <w:lang w:val="en-US" w:eastAsia="zh-CN" w:bidi="ar-SA"/>
              </w:rPr>
              <w:t>○</w:t>
            </w:r>
          </w:p>
        </w:tc>
        <w:tc>
          <w:tcPr>
            <w:tcW w:w="405" w:type="pct"/>
            <w:noWrap/>
            <w:vAlign w:val="center"/>
          </w:tcPr>
          <w:p w14:paraId="309BB143">
            <w:pPr>
              <w:widowControl w:val="0"/>
              <w:adjustRightInd w:val="0"/>
              <w:snapToGrid w:val="0"/>
              <w:spacing w:line="240" w:lineRule="auto"/>
              <w:ind w:firstLine="0" w:firstLineChars="0"/>
              <w:jc w:val="center"/>
              <w:rPr>
                <w:rFonts w:hint="default" w:ascii="Times New Roman" w:hAnsi="Times New Roman" w:eastAsia="宋体" w:cs="Times New Roman"/>
                <w:b w:val="0"/>
                <w:color w:val="000000"/>
                <w:kern w:val="2"/>
                <w:sz w:val="21"/>
                <w:szCs w:val="21"/>
                <w:lang w:val="en-US" w:eastAsia="zh-CN" w:bidi="ar-SA"/>
              </w:rPr>
            </w:pPr>
            <w:r>
              <w:rPr>
                <w:rFonts w:hint="default" w:ascii="Times New Roman" w:hAnsi="Times New Roman" w:eastAsia="宋体" w:cs="Times New Roman"/>
                <w:b w:val="0"/>
                <w:color w:val="000000"/>
                <w:kern w:val="2"/>
                <w:sz w:val="21"/>
                <w:szCs w:val="21"/>
                <w:lang w:val="en-US" w:eastAsia="zh-CN" w:bidi="ar-SA"/>
              </w:rPr>
              <w:t>●</w:t>
            </w:r>
          </w:p>
        </w:tc>
        <w:tc>
          <w:tcPr>
            <w:tcW w:w="498" w:type="pct"/>
            <w:noWrap/>
            <w:vAlign w:val="center"/>
          </w:tcPr>
          <w:p w14:paraId="0B60C08D">
            <w:pPr>
              <w:widowControl w:val="0"/>
              <w:adjustRightInd w:val="0"/>
              <w:snapToGrid w:val="0"/>
              <w:spacing w:line="240" w:lineRule="auto"/>
              <w:ind w:firstLine="0" w:firstLineChars="0"/>
              <w:jc w:val="center"/>
              <w:rPr>
                <w:rFonts w:hint="default" w:ascii="Times New Roman" w:hAnsi="Times New Roman" w:eastAsia="宋体" w:cs="Times New Roman"/>
                <w:b w:val="0"/>
                <w:color w:val="000000"/>
                <w:kern w:val="2"/>
                <w:sz w:val="21"/>
                <w:szCs w:val="21"/>
                <w:lang w:val="en-US" w:eastAsia="zh-CN" w:bidi="ar-SA"/>
              </w:rPr>
            </w:pPr>
            <w:r>
              <w:rPr>
                <w:rFonts w:hint="default" w:ascii="Times New Roman" w:hAnsi="Times New Roman" w:eastAsia="宋体" w:cs="Times New Roman"/>
                <w:b w:val="0"/>
                <w:color w:val="000000"/>
                <w:kern w:val="2"/>
                <w:sz w:val="21"/>
                <w:szCs w:val="21"/>
                <w:lang w:val="en-US" w:eastAsia="zh-CN" w:bidi="ar-SA"/>
              </w:rPr>
              <w:t>○</w:t>
            </w:r>
          </w:p>
        </w:tc>
        <w:tc>
          <w:tcPr>
            <w:tcW w:w="498" w:type="pct"/>
            <w:noWrap/>
            <w:vAlign w:val="center"/>
          </w:tcPr>
          <w:p w14:paraId="1ECF5B47">
            <w:pPr>
              <w:widowControl w:val="0"/>
              <w:adjustRightInd w:val="0"/>
              <w:snapToGrid w:val="0"/>
              <w:spacing w:line="240" w:lineRule="auto"/>
              <w:ind w:firstLine="0" w:firstLineChars="0"/>
              <w:jc w:val="center"/>
              <w:rPr>
                <w:rFonts w:hint="default" w:ascii="Times New Roman" w:hAnsi="Times New Roman" w:eastAsia="宋体" w:cs="Times New Roman"/>
                <w:b w:val="0"/>
                <w:color w:val="000000"/>
                <w:kern w:val="2"/>
                <w:sz w:val="21"/>
                <w:szCs w:val="21"/>
                <w:lang w:val="en-US" w:eastAsia="zh-CN" w:bidi="ar-SA"/>
              </w:rPr>
            </w:pPr>
            <w:r>
              <w:rPr>
                <w:rFonts w:hint="default" w:ascii="Times New Roman" w:hAnsi="Times New Roman" w:eastAsia="宋体" w:cs="Times New Roman"/>
                <w:b w:val="0"/>
                <w:color w:val="000000"/>
                <w:kern w:val="2"/>
                <w:sz w:val="21"/>
                <w:szCs w:val="21"/>
                <w:lang w:val="en-US" w:eastAsia="zh-CN" w:bidi="ar-SA"/>
              </w:rPr>
              <w:t>●</w:t>
            </w:r>
          </w:p>
        </w:tc>
        <w:tc>
          <w:tcPr>
            <w:tcW w:w="539" w:type="pct"/>
            <w:noWrap/>
            <w:vAlign w:val="center"/>
          </w:tcPr>
          <w:p w14:paraId="48B32855">
            <w:pPr>
              <w:widowControl w:val="0"/>
              <w:adjustRightInd w:val="0"/>
              <w:snapToGrid w:val="0"/>
              <w:spacing w:line="240" w:lineRule="auto"/>
              <w:ind w:firstLine="0" w:firstLineChars="0"/>
              <w:jc w:val="center"/>
              <w:rPr>
                <w:rFonts w:hint="default" w:ascii="Times New Roman" w:hAnsi="Times New Roman" w:eastAsia="宋体" w:cs="Times New Roman"/>
                <w:b w:val="0"/>
                <w:color w:val="000000"/>
                <w:kern w:val="2"/>
                <w:sz w:val="21"/>
                <w:szCs w:val="21"/>
                <w:lang w:val="en-US" w:eastAsia="zh-CN" w:bidi="ar-SA"/>
              </w:rPr>
            </w:pPr>
            <w:r>
              <w:rPr>
                <w:rFonts w:hint="default" w:ascii="Times New Roman" w:hAnsi="Times New Roman" w:eastAsia="宋体" w:cs="Times New Roman"/>
                <w:b w:val="0"/>
                <w:color w:val="000000"/>
                <w:kern w:val="2"/>
                <w:sz w:val="21"/>
                <w:szCs w:val="21"/>
                <w:lang w:val="en-US" w:eastAsia="zh-CN" w:bidi="ar-SA"/>
              </w:rPr>
              <w:t>●</w:t>
            </w:r>
          </w:p>
        </w:tc>
        <w:tc>
          <w:tcPr>
            <w:tcW w:w="405" w:type="pct"/>
            <w:noWrap/>
            <w:vAlign w:val="center"/>
          </w:tcPr>
          <w:p w14:paraId="613FB93E">
            <w:pPr>
              <w:widowControl w:val="0"/>
              <w:adjustRightInd w:val="0"/>
              <w:snapToGrid w:val="0"/>
              <w:spacing w:line="240" w:lineRule="auto"/>
              <w:ind w:firstLine="0" w:firstLineChars="0"/>
              <w:jc w:val="center"/>
              <w:rPr>
                <w:rFonts w:hint="default" w:ascii="Times New Roman" w:hAnsi="Times New Roman" w:eastAsia="宋体" w:cs="Times New Roman"/>
                <w:b w:val="0"/>
                <w:color w:val="000000"/>
                <w:kern w:val="2"/>
                <w:sz w:val="21"/>
                <w:szCs w:val="21"/>
                <w:lang w:val="en-US" w:eastAsia="zh-CN" w:bidi="ar-SA"/>
              </w:rPr>
            </w:pPr>
            <w:r>
              <w:rPr>
                <w:rFonts w:hint="default" w:ascii="Times New Roman" w:hAnsi="Times New Roman" w:eastAsia="宋体" w:cs="Times New Roman"/>
                <w:b w:val="0"/>
                <w:color w:val="000000"/>
                <w:kern w:val="2"/>
                <w:sz w:val="21"/>
                <w:szCs w:val="21"/>
                <w:lang w:val="en-US" w:eastAsia="zh-CN" w:bidi="ar-SA"/>
              </w:rPr>
              <w:t>●</w:t>
            </w:r>
          </w:p>
        </w:tc>
      </w:tr>
      <w:tr w14:paraId="2C2E3C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73" w:type="pct"/>
            <w:noWrap/>
            <w:vAlign w:val="center"/>
          </w:tcPr>
          <w:p w14:paraId="47FF83A5">
            <w:pPr>
              <w:widowControl w:val="0"/>
              <w:adjustRightInd w:val="0"/>
              <w:snapToGrid w:val="0"/>
              <w:spacing w:line="240" w:lineRule="auto"/>
              <w:ind w:firstLine="0" w:firstLineChars="0"/>
              <w:jc w:val="center"/>
              <w:rPr>
                <w:rFonts w:hint="default" w:ascii="Times New Roman" w:hAnsi="Times New Roman" w:eastAsia="宋体" w:cs="Times New Roman"/>
                <w:b w:val="0"/>
                <w:color w:val="000000"/>
                <w:kern w:val="2"/>
                <w:sz w:val="21"/>
                <w:szCs w:val="21"/>
                <w:lang w:val="en-US" w:eastAsia="zh-CN" w:bidi="ar-SA"/>
              </w:rPr>
            </w:pPr>
            <w:r>
              <w:rPr>
                <w:rFonts w:hint="default" w:ascii="Times New Roman" w:hAnsi="Times New Roman" w:eastAsia="宋体" w:cs="Times New Roman"/>
                <w:b w:val="0"/>
                <w:color w:val="000000"/>
                <w:kern w:val="2"/>
                <w:sz w:val="21"/>
                <w:szCs w:val="21"/>
                <w:lang w:val="en-US" w:eastAsia="zh-CN" w:bidi="ar-SA"/>
              </w:rPr>
              <w:t>三级</w:t>
            </w:r>
          </w:p>
        </w:tc>
        <w:tc>
          <w:tcPr>
            <w:tcW w:w="405" w:type="pct"/>
            <w:noWrap/>
            <w:vAlign w:val="center"/>
          </w:tcPr>
          <w:p w14:paraId="44C50DB4">
            <w:pPr>
              <w:widowControl w:val="0"/>
              <w:adjustRightInd w:val="0"/>
              <w:snapToGrid w:val="0"/>
              <w:spacing w:line="240" w:lineRule="auto"/>
              <w:ind w:firstLine="0" w:firstLineChars="0"/>
              <w:jc w:val="center"/>
              <w:rPr>
                <w:rFonts w:hint="default" w:ascii="Times New Roman" w:hAnsi="Times New Roman" w:eastAsia="宋体" w:cs="Times New Roman"/>
                <w:b w:val="0"/>
                <w:color w:val="000000"/>
                <w:kern w:val="2"/>
                <w:sz w:val="21"/>
                <w:szCs w:val="21"/>
                <w:lang w:val="en-US" w:eastAsia="zh-CN" w:bidi="ar-SA"/>
              </w:rPr>
            </w:pPr>
            <w:r>
              <w:rPr>
                <w:rFonts w:hint="default" w:ascii="Times New Roman" w:hAnsi="Times New Roman" w:eastAsia="宋体" w:cs="Times New Roman"/>
                <w:b w:val="0"/>
                <w:color w:val="000000"/>
                <w:kern w:val="2"/>
                <w:sz w:val="21"/>
                <w:szCs w:val="21"/>
                <w:lang w:val="en-US" w:eastAsia="zh-CN" w:bidi="ar-SA"/>
              </w:rPr>
              <w:t>●</w:t>
            </w:r>
          </w:p>
        </w:tc>
        <w:tc>
          <w:tcPr>
            <w:tcW w:w="405" w:type="pct"/>
            <w:noWrap/>
            <w:vAlign w:val="center"/>
          </w:tcPr>
          <w:p w14:paraId="1E2E07E8">
            <w:pPr>
              <w:widowControl w:val="0"/>
              <w:adjustRightInd w:val="0"/>
              <w:snapToGrid w:val="0"/>
              <w:spacing w:line="240" w:lineRule="auto"/>
              <w:ind w:firstLine="0" w:firstLineChars="0"/>
              <w:jc w:val="center"/>
              <w:rPr>
                <w:rFonts w:hint="default" w:ascii="Times New Roman" w:hAnsi="Times New Roman" w:eastAsia="宋体" w:cs="Times New Roman"/>
                <w:b w:val="0"/>
                <w:color w:val="000000"/>
                <w:kern w:val="2"/>
                <w:sz w:val="21"/>
                <w:szCs w:val="21"/>
                <w:lang w:val="en-US" w:eastAsia="zh-CN" w:bidi="ar-SA"/>
              </w:rPr>
            </w:pPr>
            <w:r>
              <w:rPr>
                <w:rFonts w:hint="default" w:ascii="Times New Roman" w:hAnsi="Times New Roman" w:eastAsia="宋体" w:cs="Times New Roman"/>
                <w:b w:val="0"/>
                <w:color w:val="000000"/>
                <w:kern w:val="2"/>
                <w:sz w:val="21"/>
                <w:szCs w:val="21"/>
                <w:lang w:val="en-US" w:eastAsia="zh-CN" w:bidi="ar-SA"/>
              </w:rPr>
              <w:t>○</w:t>
            </w:r>
          </w:p>
        </w:tc>
        <w:tc>
          <w:tcPr>
            <w:tcW w:w="499" w:type="pct"/>
            <w:noWrap/>
            <w:vAlign w:val="center"/>
          </w:tcPr>
          <w:p w14:paraId="696033C6">
            <w:pPr>
              <w:widowControl w:val="0"/>
              <w:adjustRightInd w:val="0"/>
              <w:snapToGrid w:val="0"/>
              <w:spacing w:line="240" w:lineRule="auto"/>
              <w:ind w:firstLine="0" w:firstLineChars="0"/>
              <w:jc w:val="center"/>
              <w:rPr>
                <w:rFonts w:hint="default" w:ascii="Times New Roman" w:hAnsi="Times New Roman" w:eastAsia="宋体" w:cs="Times New Roman"/>
                <w:b w:val="0"/>
                <w:color w:val="000000"/>
                <w:kern w:val="2"/>
                <w:sz w:val="21"/>
                <w:szCs w:val="21"/>
                <w:lang w:val="en-US" w:eastAsia="zh-CN" w:bidi="ar-SA"/>
              </w:rPr>
            </w:pPr>
            <w:r>
              <w:rPr>
                <w:rFonts w:hint="default" w:ascii="Times New Roman" w:hAnsi="Times New Roman" w:eastAsia="宋体" w:cs="Times New Roman"/>
                <w:b w:val="0"/>
                <w:color w:val="000000"/>
                <w:kern w:val="2"/>
                <w:sz w:val="21"/>
                <w:szCs w:val="21"/>
                <w:lang w:val="en-US" w:eastAsia="zh-CN" w:bidi="ar-SA"/>
              </w:rPr>
              <w:t>○</w:t>
            </w:r>
          </w:p>
        </w:tc>
        <w:tc>
          <w:tcPr>
            <w:tcW w:w="673" w:type="pct"/>
            <w:noWrap/>
            <w:vAlign w:val="center"/>
          </w:tcPr>
          <w:p w14:paraId="330AC823">
            <w:pPr>
              <w:widowControl w:val="0"/>
              <w:adjustRightInd w:val="0"/>
              <w:snapToGrid w:val="0"/>
              <w:spacing w:line="240" w:lineRule="auto"/>
              <w:ind w:firstLine="0" w:firstLineChars="0"/>
              <w:jc w:val="center"/>
              <w:rPr>
                <w:rFonts w:hint="default" w:ascii="Times New Roman" w:hAnsi="Times New Roman" w:eastAsia="宋体" w:cs="Times New Roman"/>
                <w:b w:val="0"/>
                <w:color w:val="000000"/>
                <w:kern w:val="2"/>
                <w:sz w:val="21"/>
                <w:szCs w:val="21"/>
                <w:lang w:val="en-US" w:eastAsia="zh-CN" w:bidi="ar-SA"/>
              </w:rPr>
            </w:pPr>
            <w:r>
              <w:rPr>
                <w:rFonts w:hint="default" w:ascii="Times New Roman" w:hAnsi="Times New Roman" w:eastAsia="宋体" w:cs="Times New Roman"/>
                <w:b w:val="0"/>
                <w:color w:val="000000"/>
                <w:kern w:val="2"/>
                <w:sz w:val="21"/>
                <w:szCs w:val="21"/>
                <w:lang w:val="en-US" w:eastAsia="zh-CN" w:bidi="ar-SA"/>
              </w:rPr>
              <w:t>○</w:t>
            </w:r>
          </w:p>
        </w:tc>
        <w:tc>
          <w:tcPr>
            <w:tcW w:w="405" w:type="pct"/>
            <w:noWrap/>
            <w:vAlign w:val="center"/>
          </w:tcPr>
          <w:p w14:paraId="22F29593">
            <w:pPr>
              <w:widowControl w:val="0"/>
              <w:adjustRightInd w:val="0"/>
              <w:snapToGrid w:val="0"/>
              <w:spacing w:line="240" w:lineRule="auto"/>
              <w:ind w:firstLine="0" w:firstLineChars="0"/>
              <w:jc w:val="center"/>
              <w:rPr>
                <w:rFonts w:hint="default" w:ascii="Times New Roman" w:hAnsi="Times New Roman" w:eastAsia="宋体" w:cs="Times New Roman"/>
                <w:b w:val="0"/>
                <w:color w:val="000000"/>
                <w:kern w:val="2"/>
                <w:sz w:val="21"/>
                <w:szCs w:val="21"/>
                <w:lang w:val="en-US" w:eastAsia="zh-CN" w:bidi="ar-SA"/>
              </w:rPr>
            </w:pPr>
            <w:r>
              <w:rPr>
                <w:rFonts w:hint="default" w:ascii="Times New Roman" w:hAnsi="Times New Roman" w:eastAsia="宋体" w:cs="Times New Roman"/>
                <w:b w:val="0"/>
                <w:color w:val="000000"/>
                <w:kern w:val="2"/>
                <w:sz w:val="21"/>
                <w:szCs w:val="21"/>
                <w:lang w:val="en-US" w:eastAsia="zh-CN" w:bidi="ar-SA"/>
              </w:rPr>
              <w:t>○</w:t>
            </w:r>
          </w:p>
        </w:tc>
        <w:tc>
          <w:tcPr>
            <w:tcW w:w="498" w:type="pct"/>
            <w:noWrap/>
            <w:vAlign w:val="center"/>
          </w:tcPr>
          <w:p w14:paraId="0CD968E2">
            <w:pPr>
              <w:widowControl w:val="0"/>
              <w:adjustRightInd w:val="0"/>
              <w:snapToGrid w:val="0"/>
              <w:spacing w:line="240" w:lineRule="auto"/>
              <w:ind w:firstLine="0" w:firstLineChars="0"/>
              <w:jc w:val="center"/>
              <w:rPr>
                <w:rFonts w:hint="default" w:ascii="Times New Roman" w:hAnsi="Times New Roman" w:eastAsia="宋体" w:cs="Times New Roman"/>
                <w:b w:val="0"/>
                <w:color w:val="000000"/>
                <w:kern w:val="2"/>
                <w:sz w:val="21"/>
                <w:szCs w:val="21"/>
                <w:lang w:val="en-US" w:eastAsia="zh-CN" w:bidi="ar-SA"/>
              </w:rPr>
            </w:pPr>
            <w:r>
              <w:rPr>
                <w:rFonts w:hint="default" w:ascii="Times New Roman" w:hAnsi="Times New Roman" w:eastAsia="宋体" w:cs="Times New Roman"/>
                <w:b w:val="0"/>
                <w:color w:val="000000"/>
                <w:kern w:val="2"/>
                <w:sz w:val="21"/>
                <w:szCs w:val="21"/>
                <w:lang w:val="en-US" w:eastAsia="zh-CN" w:bidi="ar-SA"/>
              </w:rPr>
              <w:t>○</w:t>
            </w:r>
          </w:p>
        </w:tc>
        <w:tc>
          <w:tcPr>
            <w:tcW w:w="498" w:type="pct"/>
            <w:noWrap/>
            <w:vAlign w:val="center"/>
          </w:tcPr>
          <w:p w14:paraId="2AE0AD7E">
            <w:pPr>
              <w:widowControl w:val="0"/>
              <w:adjustRightInd w:val="0"/>
              <w:snapToGrid w:val="0"/>
              <w:spacing w:line="240" w:lineRule="auto"/>
              <w:ind w:firstLine="0" w:firstLineChars="0"/>
              <w:jc w:val="center"/>
              <w:rPr>
                <w:rFonts w:hint="default" w:ascii="Times New Roman" w:hAnsi="Times New Roman" w:eastAsia="宋体" w:cs="Times New Roman"/>
                <w:b w:val="0"/>
                <w:color w:val="000000"/>
                <w:kern w:val="2"/>
                <w:sz w:val="21"/>
                <w:szCs w:val="21"/>
                <w:lang w:val="en-US" w:eastAsia="zh-CN" w:bidi="ar-SA"/>
              </w:rPr>
            </w:pPr>
            <w:r>
              <w:rPr>
                <w:rFonts w:hint="default" w:ascii="Times New Roman" w:hAnsi="Times New Roman" w:eastAsia="宋体" w:cs="Times New Roman"/>
                <w:b w:val="0"/>
                <w:color w:val="000000"/>
                <w:kern w:val="2"/>
                <w:sz w:val="21"/>
                <w:szCs w:val="21"/>
                <w:lang w:val="en-US" w:eastAsia="zh-CN" w:bidi="ar-SA"/>
              </w:rPr>
              <w:t>○</w:t>
            </w:r>
          </w:p>
        </w:tc>
        <w:tc>
          <w:tcPr>
            <w:tcW w:w="539" w:type="pct"/>
            <w:noWrap/>
            <w:vAlign w:val="center"/>
          </w:tcPr>
          <w:p w14:paraId="7597E014">
            <w:pPr>
              <w:widowControl w:val="0"/>
              <w:adjustRightInd w:val="0"/>
              <w:snapToGrid w:val="0"/>
              <w:spacing w:line="240" w:lineRule="auto"/>
              <w:ind w:firstLine="0" w:firstLineChars="0"/>
              <w:jc w:val="center"/>
              <w:rPr>
                <w:rFonts w:hint="default" w:ascii="Times New Roman" w:hAnsi="Times New Roman" w:eastAsia="宋体" w:cs="Times New Roman"/>
                <w:b w:val="0"/>
                <w:color w:val="000000"/>
                <w:kern w:val="2"/>
                <w:sz w:val="21"/>
                <w:szCs w:val="21"/>
                <w:lang w:val="en-US" w:eastAsia="zh-CN" w:bidi="ar-SA"/>
              </w:rPr>
            </w:pPr>
            <w:r>
              <w:rPr>
                <w:rFonts w:hint="default" w:ascii="Times New Roman" w:hAnsi="Times New Roman" w:eastAsia="宋体" w:cs="Times New Roman"/>
                <w:b w:val="0"/>
                <w:color w:val="000000"/>
                <w:kern w:val="2"/>
                <w:sz w:val="21"/>
                <w:szCs w:val="21"/>
                <w:lang w:val="en-US" w:eastAsia="zh-CN" w:bidi="ar-SA"/>
              </w:rPr>
              <w:t>●</w:t>
            </w:r>
          </w:p>
        </w:tc>
        <w:tc>
          <w:tcPr>
            <w:tcW w:w="405" w:type="pct"/>
            <w:noWrap/>
            <w:vAlign w:val="center"/>
          </w:tcPr>
          <w:p w14:paraId="0F582D0E">
            <w:pPr>
              <w:widowControl w:val="0"/>
              <w:adjustRightInd w:val="0"/>
              <w:snapToGrid w:val="0"/>
              <w:spacing w:line="240" w:lineRule="auto"/>
              <w:ind w:firstLine="0" w:firstLineChars="0"/>
              <w:jc w:val="center"/>
              <w:rPr>
                <w:rFonts w:hint="default" w:ascii="Times New Roman" w:hAnsi="Times New Roman" w:eastAsia="宋体" w:cs="Times New Roman"/>
                <w:b w:val="0"/>
                <w:color w:val="000000"/>
                <w:kern w:val="2"/>
                <w:sz w:val="21"/>
                <w:szCs w:val="21"/>
                <w:lang w:val="en-US" w:eastAsia="zh-CN" w:bidi="ar-SA"/>
              </w:rPr>
            </w:pPr>
            <w:r>
              <w:rPr>
                <w:rFonts w:hint="default" w:ascii="Times New Roman" w:hAnsi="Times New Roman" w:eastAsia="宋体" w:cs="Times New Roman"/>
                <w:b w:val="0"/>
                <w:color w:val="000000"/>
                <w:kern w:val="2"/>
                <w:sz w:val="21"/>
                <w:szCs w:val="21"/>
                <w:lang w:val="en-US" w:eastAsia="zh-CN" w:bidi="ar-SA"/>
              </w:rPr>
              <w:t>●</w:t>
            </w:r>
          </w:p>
        </w:tc>
      </w:tr>
      <w:tr w14:paraId="5C9F3B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73" w:type="pct"/>
            <w:noWrap/>
            <w:vAlign w:val="center"/>
          </w:tcPr>
          <w:p w14:paraId="3C8BD27F">
            <w:pPr>
              <w:widowControl w:val="0"/>
              <w:adjustRightInd w:val="0"/>
              <w:snapToGrid w:val="0"/>
              <w:spacing w:line="240" w:lineRule="auto"/>
              <w:ind w:firstLine="0" w:firstLineChars="0"/>
              <w:jc w:val="center"/>
              <w:rPr>
                <w:rFonts w:hint="default" w:ascii="Times New Roman" w:hAnsi="Times New Roman" w:eastAsia="宋体" w:cs="Times New Roman"/>
                <w:b w:val="0"/>
                <w:color w:val="000000"/>
                <w:kern w:val="2"/>
                <w:sz w:val="21"/>
                <w:szCs w:val="21"/>
                <w:lang w:val="en-US" w:eastAsia="zh-CN" w:bidi="ar-SA"/>
              </w:rPr>
            </w:pPr>
            <w:r>
              <w:rPr>
                <w:rFonts w:hint="default" w:ascii="Times New Roman" w:hAnsi="Times New Roman" w:eastAsia="宋体" w:cs="Times New Roman"/>
                <w:b w:val="0"/>
                <w:color w:val="000000"/>
                <w:kern w:val="2"/>
                <w:sz w:val="21"/>
                <w:szCs w:val="21"/>
                <w:lang w:val="en-US" w:eastAsia="zh-CN" w:bidi="ar-SA"/>
              </w:rPr>
              <w:t>四级</w:t>
            </w:r>
          </w:p>
        </w:tc>
        <w:tc>
          <w:tcPr>
            <w:tcW w:w="405" w:type="pct"/>
            <w:noWrap/>
            <w:vAlign w:val="center"/>
          </w:tcPr>
          <w:p w14:paraId="52A8CB80">
            <w:pPr>
              <w:widowControl w:val="0"/>
              <w:adjustRightInd w:val="0"/>
              <w:snapToGrid w:val="0"/>
              <w:spacing w:line="240" w:lineRule="auto"/>
              <w:ind w:firstLine="0" w:firstLineChars="0"/>
              <w:jc w:val="center"/>
              <w:rPr>
                <w:rFonts w:hint="default" w:ascii="Times New Roman" w:hAnsi="Times New Roman" w:eastAsia="宋体" w:cs="Times New Roman"/>
                <w:b w:val="0"/>
                <w:color w:val="000000"/>
                <w:kern w:val="2"/>
                <w:sz w:val="21"/>
                <w:szCs w:val="21"/>
                <w:lang w:val="en-US" w:eastAsia="zh-CN" w:bidi="ar-SA"/>
              </w:rPr>
            </w:pPr>
            <w:r>
              <w:rPr>
                <w:rFonts w:hint="default" w:ascii="Times New Roman" w:hAnsi="Times New Roman" w:eastAsia="宋体" w:cs="Times New Roman"/>
                <w:b w:val="0"/>
                <w:color w:val="000000"/>
                <w:kern w:val="2"/>
                <w:sz w:val="21"/>
                <w:szCs w:val="21"/>
                <w:lang w:val="en-US" w:eastAsia="zh-CN" w:bidi="ar-SA"/>
              </w:rPr>
              <w:t>○</w:t>
            </w:r>
          </w:p>
        </w:tc>
        <w:tc>
          <w:tcPr>
            <w:tcW w:w="405" w:type="pct"/>
            <w:noWrap/>
            <w:vAlign w:val="center"/>
          </w:tcPr>
          <w:p w14:paraId="0571E8D3">
            <w:pPr>
              <w:widowControl w:val="0"/>
              <w:adjustRightInd w:val="0"/>
              <w:snapToGrid w:val="0"/>
              <w:spacing w:line="240" w:lineRule="auto"/>
              <w:ind w:firstLine="0" w:firstLineChars="0"/>
              <w:jc w:val="center"/>
              <w:rPr>
                <w:rFonts w:hint="default" w:ascii="Times New Roman" w:hAnsi="Times New Roman" w:eastAsia="宋体" w:cs="Times New Roman"/>
                <w:b w:val="0"/>
                <w:color w:val="000000"/>
                <w:kern w:val="2"/>
                <w:sz w:val="21"/>
                <w:szCs w:val="21"/>
                <w:lang w:val="en-US" w:eastAsia="zh-CN" w:bidi="ar-SA"/>
              </w:rPr>
            </w:pPr>
            <w:r>
              <w:rPr>
                <w:rFonts w:hint="default" w:ascii="Times New Roman" w:hAnsi="Times New Roman" w:eastAsia="宋体" w:cs="Times New Roman"/>
                <w:b w:val="0"/>
                <w:color w:val="000000"/>
                <w:kern w:val="2"/>
                <w:sz w:val="21"/>
                <w:szCs w:val="21"/>
                <w:lang w:val="en-US" w:eastAsia="zh-CN" w:bidi="ar-SA"/>
              </w:rPr>
              <w:t>×</w:t>
            </w:r>
          </w:p>
        </w:tc>
        <w:tc>
          <w:tcPr>
            <w:tcW w:w="499" w:type="pct"/>
            <w:noWrap/>
            <w:vAlign w:val="center"/>
          </w:tcPr>
          <w:p w14:paraId="17DF5295">
            <w:pPr>
              <w:widowControl w:val="0"/>
              <w:adjustRightInd w:val="0"/>
              <w:snapToGrid w:val="0"/>
              <w:spacing w:line="240" w:lineRule="auto"/>
              <w:ind w:firstLine="0" w:firstLineChars="0"/>
              <w:jc w:val="center"/>
              <w:rPr>
                <w:rFonts w:hint="default" w:ascii="Times New Roman" w:hAnsi="Times New Roman" w:eastAsia="宋体" w:cs="Times New Roman"/>
                <w:b w:val="0"/>
                <w:color w:val="000000"/>
                <w:kern w:val="2"/>
                <w:sz w:val="21"/>
                <w:szCs w:val="21"/>
                <w:lang w:val="en-US" w:eastAsia="zh-CN" w:bidi="ar-SA"/>
              </w:rPr>
            </w:pPr>
            <w:r>
              <w:rPr>
                <w:rFonts w:hint="default" w:ascii="Times New Roman" w:hAnsi="Times New Roman" w:eastAsia="宋体" w:cs="Times New Roman"/>
                <w:b w:val="0"/>
                <w:color w:val="000000"/>
                <w:kern w:val="2"/>
                <w:sz w:val="21"/>
                <w:szCs w:val="21"/>
                <w:lang w:val="en-US" w:eastAsia="zh-CN" w:bidi="ar-SA"/>
              </w:rPr>
              <w:t>○</w:t>
            </w:r>
          </w:p>
        </w:tc>
        <w:tc>
          <w:tcPr>
            <w:tcW w:w="673" w:type="pct"/>
            <w:noWrap/>
            <w:vAlign w:val="center"/>
          </w:tcPr>
          <w:p w14:paraId="20F512D7">
            <w:pPr>
              <w:widowControl w:val="0"/>
              <w:adjustRightInd w:val="0"/>
              <w:snapToGrid w:val="0"/>
              <w:spacing w:line="240" w:lineRule="auto"/>
              <w:ind w:firstLine="0" w:firstLineChars="0"/>
              <w:jc w:val="center"/>
              <w:rPr>
                <w:rFonts w:hint="default" w:ascii="Times New Roman" w:hAnsi="Times New Roman" w:eastAsia="宋体" w:cs="Times New Roman"/>
                <w:b w:val="0"/>
                <w:color w:val="000000"/>
                <w:kern w:val="2"/>
                <w:sz w:val="21"/>
                <w:szCs w:val="21"/>
                <w:lang w:val="en-US" w:eastAsia="zh-CN" w:bidi="ar-SA"/>
              </w:rPr>
            </w:pPr>
            <w:r>
              <w:rPr>
                <w:rFonts w:hint="default" w:ascii="Times New Roman" w:hAnsi="Times New Roman" w:eastAsia="宋体" w:cs="Times New Roman"/>
                <w:b w:val="0"/>
                <w:color w:val="000000"/>
                <w:kern w:val="2"/>
                <w:sz w:val="21"/>
                <w:szCs w:val="21"/>
                <w:lang w:val="en-US" w:eastAsia="zh-CN" w:bidi="ar-SA"/>
              </w:rPr>
              <w:t>×</w:t>
            </w:r>
          </w:p>
        </w:tc>
        <w:tc>
          <w:tcPr>
            <w:tcW w:w="405" w:type="pct"/>
            <w:noWrap/>
            <w:vAlign w:val="center"/>
          </w:tcPr>
          <w:p w14:paraId="6C971798">
            <w:pPr>
              <w:widowControl w:val="0"/>
              <w:adjustRightInd w:val="0"/>
              <w:snapToGrid w:val="0"/>
              <w:spacing w:line="240" w:lineRule="auto"/>
              <w:ind w:firstLine="0" w:firstLineChars="0"/>
              <w:jc w:val="center"/>
              <w:rPr>
                <w:rFonts w:hint="default" w:ascii="Times New Roman" w:hAnsi="Times New Roman" w:eastAsia="宋体" w:cs="Times New Roman"/>
                <w:b w:val="0"/>
                <w:color w:val="000000"/>
                <w:kern w:val="2"/>
                <w:sz w:val="21"/>
                <w:szCs w:val="21"/>
                <w:lang w:val="en-US" w:eastAsia="zh-CN" w:bidi="ar-SA"/>
              </w:rPr>
            </w:pPr>
            <w:r>
              <w:rPr>
                <w:rFonts w:hint="default" w:ascii="Times New Roman" w:hAnsi="Times New Roman" w:eastAsia="宋体" w:cs="Times New Roman"/>
                <w:b w:val="0"/>
                <w:color w:val="000000"/>
                <w:kern w:val="2"/>
                <w:sz w:val="21"/>
                <w:szCs w:val="21"/>
                <w:lang w:val="en-US" w:eastAsia="zh-CN" w:bidi="ar-SA"/>
              </w:rPr>
              <w:t>○</w:t>
            </w:r>
          </w:p>
        </w:tc>
        <w:tc>
          <w:tcPr>
            <w:tcW w:w="498" w:type="pct"/>
            <w:noWrap/>
            <w:vAlign w:val="center"/>
          </w:tcPr>
          <w:p w14:paraId="2739C3CE">
            <w:pPr>
              <w:widowControl w:val="0"/>
              <w:adjustRightInd w:val="0"/>
              <w:snapToGrid w:val="0"/>
              <w:spacing w:line="240" w:lineRule="auto"/>
              <w:ind w:firstLine="0" w:firstLineChars="0"/>
              <w:jc w:val="center"/>
              <w:rPr>
                <w:rFonts w:hint="default" w:ascii="Times New Roman" w:hAnsi="Times New Roman" w:eastAsia="宋体" w:cs="Times New Roman"/>
                <w:b w:val="0"/>
                <w:color w:val="000000"/>
                <w:kern w:val="2"/>
                <w:sz w:val="21"/>
                <w:szCs w:val="21"/>
                <w:lang w:val="en-US" w:eastAsia="zh-CN" w:bidi="ar-SA"/>
              </w:rPr>
            </w:pPr>
            <w:r>
              <w:rPr>
                <w:rFonts w:hint="default" w:ascii="Times New Roman" w:hAnsi="Times New Roman" w:eastAsia="宋体" w:cs="Times New Roman"/>
                <w:b w:val="0"/>
                <w:color w:val="000000"/>
                <w:kern w:val="2"/>
                <w:sz w:val="21"/>
                <w:szCs w:val="21"/>
                <w:lang w:val="en-US" w:eastAsia="zh-CN" w:bidi="ar-SA"/>
              </w:rPr>
              <w:t>×</w:t>
            </w:r>
          </w:p>
        </w:tc>
        <w:tc>
          <w:tcPr>
            <w:tcW w:w="498" w:type="pct"/>
            <w:noWrap/>
            <w:vAlign w:val="center"/>
          </w:tcPr>
          <w:p w14:paraId="5E7D0144">
            <w:pPr>
              <w:widowControl w:val="0"/>
              <w:adjustRightInd w:val="0"/>
              <w:snapToGrid w:val="0"/>
              <w:spacing w:line="240" w:lineRule="auto"/>
              <w:ind w:firstLine="0" w:firstLineChars="0"/>
              <w:jc w:val="center"/>
              <w:rPr>
                <w:rFonts w:hint="default" w:ascii="Times New Roman" w:hAnsi="Times New Roman" w:eastAsia="宋体" w:cs="Times New Roman"/>
                <w:b w:val="0"/>
                <w:color w:val="000000"/>
                <w:kern w:val="2"/>
                <w:sz w:val="21"/>
                <w:szCs w:val="21"/>
                <w:lang w:val="en-US" w:eastAsia="zh-CN" w:bidi="ar-SA"/>
              </w:rPr>
            </w:pPr>
            <w:r>
              <w:rPr>
                <w:rFonts w:hint="default" w:ascii="Times New Roman" w:hAnsi="Times New Roman" w:eastAsia="宋体" w:cs="Times New Roman"/>
                <w:b w:val="0"/>
                <w:color w:val="000000"/>
                <w:kern w:val="2"/>
                <w:sz w:val="21"/>
                <w:szCs w:val="21"/>
                <w:lang w:val="en-US" w:eastAsia="zh-CN" w:bidi="ar-SA"/>
              </w:rPr>
              <w:t>×</w:t>
            </w:r>
          </w:p>
        </w:tc>
        <w:tc>
          <w:tcPr>
            <w:tcW w:w="539" w:type="pct"/>
            <w:noWrap/>
            <w:vAlign w:val="center"/>
          </w:tcPr>
          <w:p w14:paraId="783EF72B">
            <w:pPr>
              <w:widowControl w:val="0"/>
              <w:adjustRightInd w:val="0"/>
              <w:snapToGrid w:val="0"/>
              <w:spacing w:line="240" w:lineRule="auto"/>
              <w:ind w:firstLine="0" w:firstLineChars="0"/>
              <w:jc w:val="center"/>
              <w:rPr>
                <w:rFonts w:hint="default" w:ascii="Times New Roman" w:hAnsi="Times New Roman" w:eastAsia="宋体" w:cs="Times New Roman"/>
                <w:b w:val="0"/>
                <w:color w:val="000000"/>
                <w:kern w:val="2"/>
                <w:sz w:val="21"/>
                <w:szCs w:val="21"/>
                <w:lang w:val="en-US" w:eastAsia="zh-CN" w:bidi="ar-SA"/>
              </w:rPr>
            </w:pPr>
            <w:r>
              <w:rPr>
                <w:rFonts w:hint="default" w:ascii="Times New Roman" w:hAnsi="Times New Roman" w:eastAsia="宋体" w:cs="Times New Roman"/>
                <w:b w:val="0"/>
                <w:color w:val="000000"/>
                <w:kern w:val="2"/>
                <w:sz w:val="21"/>
                <w:szCs w:val="21"/>
                <w:lang w:val="en-US" w:eastAsia="zh-CN" w:bidi="ar-SA"/>
              </w:rPr>
              <w:t>○</w:t>
            </w:r>
          </w:p>
        </w:tc>
        <w:tc>
          <w:tcPr>
            <w:tcW w:w="405" w:type="pct"/>
            <w:noWrap/>
            <w:vAlign w:val="center"/>
          </w:tcPr>
          <w:p w14:paraId="607992AF">
            <w:pPr>
              <w:widowControl w:val="0"/>
              <w:adjustRightInd w:val="0"/>
              <w:snapToGrid w:val="0"/>
              <w:spacing w:line="240" w:lineRule="auto"/>
              <w:ind w:firstLine="0" w:firstLineChars="0"/>
              <w:jc w:val="center"/>
              <w:rPr>
                <w:rFonts w:hint="default" w:ascii="Times New Roman" w:hAnsi="Times New Roman" w:eastAsia="宋体" w:cs="Times New Roman"/>
                <w:b w:val="0"/>
                <w:color w:val="000000"/>
                <w:kern w:val="2"/>
                <w:sz w:val="21"/>
                <w:szCs w:val="21"/>
                <w:lang w:val="en-US" w:eastAsia="zh-CN" w:bidi="ar-SA"/>
              </w:rPr>
            </w:pPr>
            <w:r>
              <w:rPr>
                <w:rFonts w:hint="default" w:ascii="Times New Roman" w:hAnsi="Times New Roman" w:eastAsia="宋体" w:cs="Times New Roman"/>
                <w:b w:val="0"/>
                <w:color w:val="000000"/>
                <w:kern w:val="2"/>
                <w:sz w:val="21"/>
                <w:szCs w:val="21"/>
                <w:lang w:val="en-US" w:eastAsia="zh-CN" w:bidi="ar-SA"/>
              </w:rPr>
              <w:t>○</w:t>
            </w:r>
          </w:p>
        </w:tc>
      </w:tr>
      <w:tr w14:paraId="151553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000" w:type="pct"/>
            <w:gridSpan w:val="10"/>
            <w:noWrap/>
            <w:vAlign w:val="center"/>
          </w:tcPr>
          <w:p w14:paraId="608862F1">
            <w:pPr>
              <w:widowControl w:val="0"/>
              <w:adjustRightInd w:val="0"/>
              <w:snapToGrid w:val="0"/>
              <w:spacing w:line="240" w:lineRule="auto"/>
              <w:ind w:firstLine="0" w:firstLineChars="0"/>
              <w:jc w:val="center"/>
              <w:rPr>
                <w:rFonts w:hint="default" w:ascii="Times New Roman" w:hAnsi="Times New Roman" w:eastAsia="宋体" w:cs="Times New Roman"/>
                <w:b w:val="0"/>
                <w:color w:val="000000"/>
                <w:kern w:val="2"/>
                <w:sz w:val="21"/>
                <w:szCs w:val="21"/>
                <w:lang w:val="en-US" w:eastAsia="zh-CN" w:bidi="ar-SA"/>
              </w:rPr>
            </w:pPr>
            <w:r>
              <w:rPr>
                <w:rFonts w:hint="default" w:ascii="Times New Roman" w:hAnsi="Times New Roman" w:eastAsia="宋体" w:cs="Times New Roman"/>
                <w:b w:val="0"/>
                <w:color w:val="000000"/>
                <w:kern w:val="2"/>
                <w:sz w:val="21"/>
                <w:szCs w:val="21"/>
                <w:lang w:val="en-US" w:eastAsia="zh-CN" w:bidi="ar-SA"/>
              </w:rPr>
              <w:t>注：●应测项，○可测项，×不测项。</w:t>
            </w:r>
          </w:p>
        </w:tc>
      </w:tr>
    </w:tbl>
    <w:p w14:paraId="7A7822E7">
      <w:pPr>
        <w:adjustRightInd w:val="0"/>
        <w:snapToGrid w:val="0"/>
        <w:spacing w:line="360" w:lineRule="auto"/>
        <w:ind w:firstLine="560" w:firstLineChars="200"/>
        <w:rPr>
          <w:rFonts w:hint="default" w:ascii="Times New Roman" w:hAnsi="Times New Roman" w:eastAsia="宋体" w:cs="Times New Roman"/>
          <w:color w:val="000000"/>
          <w:sz w:val="28"/>
          <w:szCs w:val="21"/>
        </w:rPr>
      </w:pPr>
      <w:r>
        <w:rPr>
          <w:rFonts w:hint="default" w:ascii="Times New Roman" w:hAnsi="Times New Roman" w:eastAsia="宋体" w:cs="Times New Roman"/>
          <w:color w:val="000000"/>
          <w:sz w:val="28"/>
          <w:szCs w:val="21"/>
        </w:rPr>
        <w:t>1、终了边坡监测点布置</w:t>
      </w:r>
    </w:p>
    <w:p w14:paraId="33B6613A">
      <w:pPr>
        <w:adjustRightInd w:val="0"/>
        <w:snapToGrid w:val="0"/>
        <w:spacing w:line="360" w:lineRule="auto"/>
        <w:ind w:firstLine="560" w:firstLineChars="200"/>
        <w:rPr>
          <w:rFonts w:hint="default" w:ascii="Times New Roman" w:hAnsi="Times New Roman" w:eastAsia="宋体" w:cs="Times New Roman"/>
          <w:color w:val="000000"/>
          <w:sz w:val="28"/>
          <w:szCs w:val="21"/>
        </w:rPr>
      </w:pPr>
      <w:r>
        <w:rPr>
          <w:rFonts w:hint="default" w:ascii="Times New Roman" w:hAnsi="Times New Roman" w:eastAsia="宋体" w:cs="Times New Roman"/>
          <w:color w:val="000000"/>
          <w:sz w:val="28"/>
          <w:szCs w:val="21"/>
        </w:rPr>
        <w:t>终了边坡监测点布置，详见</w:t>
      </w:r>
      <w:r>
        <w:rPr>
          <w:rFonts w:hint="default" w:ascii="Times New Roman" w:hAnsi="Times New Roman" w:eastAsia="宋体" w:cs="Times New Roman"/>
          <w:color w:val="000000"/>
          <w:sz w:val="28"/>
          <w:szCs w:val="21"/>
          <w:lang w:val="en-US" w:eastAsia="zh-CN"/>
        </w:rPr>
        <w:t>下</w:t>
      </w:r>
      <w:r>
        <w:rPr>
          <w:rFonts w:hint="default" w:ascii="Times New Roman" w:hAnsi="Times New Roman" w:eastAsia="宋体" w:cs="Times New Roman"/>
          <w:color w:val="000000"/>
          <w:sz w:val="28"/>
          <w:szCs w:val="21"/>
        </w:rPr>
        <w:t>表。</w:t>
      </w:r>
    </w:p>
    <w:p w14:paraId="4221345A">
      <w:pPr>
        <w:keepNext/>
        <w:keepLines/>
        <w:pageBreakBefore w:val="0"/>
        <w:widowControl w:val="0"/>
        <w:kinsoku/>
        <w:wordWrap/>
        <w:overflowPunct/>
        <w:topLinePunct w:val="0"/>
        <w:autoSpaceDE/>
        <w:autoSpaceDN/>
        <w:bidi w:val="0"/>
        <w:adjustRightInd w:val="0"/>
        <w:snapToGrid w:val="0"/>
        <w:ind w:firstLine="480" w:firstLineChars="200"/>
        <w:jc w:val="center"/>
        <w:textAlignment w:val="auto"/>
        <w:rPr>
          <w:rFonts w:hint="default" w:ascii="Times New Roman" w:hAnsi="Times New Roman" w:cs="Times New Roman"/>
          <w:bCs/>
          <w:sz w:val="24"/>
          <w:lang w:val="en-US" w:eastAsia="zh-CN"/>
        </w:rPr>
      </w:pPr>
      <w:r>
        <w:rPr>
          <w:rFonts w:hint="default" w:ascii="Times New Roman" w:hAnsi="Times New Roman" w:cs="Times New Roman"/>
          <w:bCs/>
          <w:sz w:val="24"/>
        </w:rPr>
        <w:t>表2.4-1</w:t>
      </w:r>
      <w:r>
        <w:rPr>
          <w:rFonts w:hint="default" w:ascii="Times New Roman" w:hAnsi="Times New Roman" w:cs="Times New Roman"/>
          <w:bCs/>
          <w:sz w:val="24"/>
          <w:lang w:val="en-US" w:eastAsia="zh-CN"/>
        </w:rPr>
        <w:t>2</w:t>
      </w:r>
      <w:r>
        <w:rPr>
          <w:rFonts w:hint="default" w:ascii="Times New Roman" w:hAnsi="Times New Roman" w:cs="Times New Roman"/>
          <w:bCs/>
          <w:sz w:val="24"/>
        </w:rPr>
        <w:t xml:space="preserve">  </w:t>
      </w:r>
      <w:r>
        <w:rPr>
          <w:rFonts w:hint="default" w:ascii="Times New Roman" w:hAnsi="Times New Roman" w:cs="Times New Roman"/>
          <w:bCs/>
          <w:sz w:val="24"/>
          <w:lang w:val="en-US" w:eastAsia="zh-CN"/>
        </w:rPr>
        <w:t>终了边坡监测内容及数量统计表</w:t>
      </w:r>
    </w:p>
    <w:tbl>
      <w:tblPr>
        <w:tblStyle w:val="3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19"/>
        <w:gridCol w:w="2426"/>
        <w:gridCol w:w="2426"/>
        <w:gridCol w:w="1106"/>
        <w:gridCol w:w="2422"/>
      </w:tblGrid>
      <w:tr w14:paraId="40A3D9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blHeader/>
          <w:jc w:val="center"/>
        </w:trPr>
        <w:tc>
          <w:tcPr>
            <w:tcW w:w="542" w:type="pct"/>
            <w:vAlign w:val="center"/>
          </w:tcPr>
          <w:p w14:paraId="3F3D12CE">
            <w:pPr>
              <w:keepNext/>
              <w:keepLines/>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bCs/>
                <w:color w:val="000000"/>
                <w:kern w:val="2"/>
                <w:sz w:val="21"/>
                <w:szCs w:val="21"/>
                <w:lang w:val="en-US" w:eastAsia="zh-CN" w:bidi="ar-SA"/>
              </w:rPr>
            </w:pPr>
            <w:r>
              <w:rPr>
                <w:rFonts w:hint="default" w:ascii="Times New Roman" w:hAnsi="Times New Roman" w:eastAsia="宋体" w:cs="Times New Roman"/>
                <w:b/>
                <w:bCs/>
                <w:color w:val="000000"/>
                <w:kern w:val="2"/>
                <w:sz w:val="21"/>
                <w:szCs w:val="21"/>
                <w:lang w:val="en-US" w:eastAsia="zh-CN" w:bidi="ar-SA"/>
              </w:rPr>
              <w:t>序号</w:t>
            </w:r>
          </w:p>
        </w:tc>
        <w:tc>
          <w:tcPr>
            <w:tcW w:w="1290" w:type="pct"/>
            <w:vAlign w:val="center"/>
          </w:tcPr>
          <w:p w14:paraId="41E7B8DD">
            <w:pPr>
              <w:keepNext/>
              <w:keepLines/>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bCs/>
                <w:color w:val="000000"/>
                <w:kern w:val="2"/>
                <w:sz w:val="21"/>
                <w:szCs w:val="21"/>
                <w:lang w:val="en-US" w:eastAsia="zh-CN" w:bidi="ar-SA"/>
              </w:rPr>
            </w:pPr>
            <w:r>
              <w:rPr>
                <w:rFonts w:hint="default" w:ascii="Times New Roman" w:hAnsi="Times New Roman" w:eastAsia="宋体" w:cs="Times New Roman"/>
                <w:b/>
                <w:bCs/>
                <w:color w:val="000000"/>
                <w:kern w:val="2"/>
                <w:sz w:val="21"/>
                <w:szCs w:val="21"/>
                <w:lang w:val="en-US" w:eastAsia="zh-CN" w:bidi="ar-SA"/>
              </w:rPr>
              <w:t>监测内容</w:t>
            </w:r>
          </w:p>
        </w:tc>
        <w:tc>
          <w:tcPr>
            <w:tcW w:w="1290" w:type="pct"/>
            <w:vAlign w:val="center"/>
          </w:tcPr>
          <w:p w14:paraId="00D99A6E">
            <w:pPr>
              <w:keepNext/>
              <w:keepLines/>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bCs/>
                <w:color w:val="000000"/>
                <w:kern w:val="2"/>
                <w:sz w:val="21"/>
                <w:szCs w:val="21"/>
                <w:lang w:val="en-US" w:eastAsia="zh-CN" w:bidi="ar-SA"/>
              </w:rPr>
            </w:pPr>
            <w:r>
              <w:rPr>
                <w:rFonts w:hint="default" w:ascii="Times New Roman" w:hAnsi="Times New Roman" w:eastAsia="宋体" w:cs="Times New Roman"/>
                <w:b/>
                <w:bCs/>
                <w:color w:val="000000"/>
                <w:kern w:val="2"/>
                <w:sz w:val="21"/>
                <w:szCs w:val="21"/>
                <w:lang w:val="en-US" w:eastAsia="zh-CN" w:bidi="ar-SA"/>
              </w:rPr>
              <w:t>编号</w:t>
            </w:r>
          </w:p>
        </w:tc>
        <w:tc>
          <w:tcPr>
            <w:tcW w:w="588" w:type="pct"/>
            <w:vAlign w:val="center"/>
          </w:tcPr>
          <w:p w14:paraId="19AD92E9">
            <w:pPr>
              <w:keepNext/>
              <w:keepLines/>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bCs/>
                <w:color w:val="000000"/>
                <w:kern w:val="2"/>
                <w:sz w:val="21"/>
                <w:szCs w:val="21"/>
                <w:lang w:val="en-US" w:eastAsia="zh-CN" w:bidi="ar-SA"/>
              </w:rPr>
            </w:pPr>
            <w:r>
              <w:rPr>
                <w:rFonts w:hint="default" w:ascii="Times New Roman" w:hAnsi="Times New Roman" w:eastAsia="宋体" w:cs="Times New Roman"/>
                <w:b/>
                <w:bCs/>
                <w:color w:val="000000"/>
                <w:kern w:val="2"/>
                <w:sz w:val="21"/>
                <w:szCs w:val="21"/>
                <w:lang w:val="en-US" w:eastAsia="zh-CN" w:bidi="ar-SA"/>
              </w:rPr>
              <w:t>数量</w:t>
            </w:r>
          </w:p>
        </w:tc>
        <w:tc>
          <w:tcPr>
            <w:tcW w:w="1288" w:type="pct"/>
            <w:vAlign w:val="center"/>
          </w:tcPr>
          <w:p w14:paraId="6B41875A">
            <w:pPr>
              <w:keepNext/>
              <w:keepLines/>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bCs/>
                <w:color w:val="000000"/>
                <w:kern w:val="2"/>
                <w:sz w:val="21"/>
                <w:szCs w:val="21"/>
                <w:lang w:val="en-US" w:eastAsia="zh-CN" w:bidi="ar-SA"/>
              </w:rPr>
            </w:pPr>
            <w:r>
              <w:rPr>
                <w:rFonts w:hint="default" w:ascii="Times New Roman" w:hAnsi="Times New Roman" w:eastAsia="宋体" w:cs="Times New Roman"/>
                <w:b/>
                <w:bCs/>
                <w:color w:val="000000"/>
                <w:kern w:val="2"/>
                <w:sz w:val="21"/>
                <w:szCs w:val="21"/>
                <w:lang w:val="en-US" w:eastAsia="zh-CN" w:bidi="ar-SA"/>
              </w:rPr>
              <w:t>备注</w:t>
            </w:r>
          </w:p>
        </w:tc>
      </w:tr>
      <w:tr w14:paraId="2D65FE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42" w:type="pct"/>
            <w:vAlign w:val="center"/>
          </w:tcPr>
          <w:p w14:paraId="099DC9C4">
            <w:pPr>
              <w:widowControl w:val="0"/>
              <w:adjustRightInd w:val="0"/>
              <w:snapToGrid w:val="0"/>
              <w:spacing w:line="240" w:lineRule="auto"/>
              <w:ind w:firstLine="0" w:firstLineChars="0"/>
              <w:jc w:val="center"/>
              <w:rPr>
                <w:rFonts w:hint="default" w:ascii="Times New Roman" w:hAnsi="Times New Roman" w:eastAsia="宋体" w:cs="Times New Roman"/>
                <w:b w:val="0"/>
                <w:color w:val="000000"/>
                <w:kern w:val="2"/>
                <w:sz w:val="21"/>
                <w:szCs w:val="21"/>
                <w:lang w:val="en-US" w:eastAsia="zh-CN" w:bidi="ar-SA"/>
              </w:rPr>
            </w:pPr>
            <w:r>
              <w:rPr>
                <w:rFonts w:hint="default" w:ascii="Times New Roman" w:hAnsi="Times New Roman" w:eastAsia="宋体" w:cs="Times New Roman"/>
                <w:b w:val="0"/>
                <w:color w:val="000000"/>
                <w:kern w:val="2"/>
                <w:sz w:val="21"/>
                <w:szCs w:val="21"/>
                <w:lang w:val="en-US" w:eastAsia="zh-CN" w:bidi="ar-SA"/>
              </w:rPr>
              <w:t>1</w:t>
            </w:r>
          </w:p>
        </w:tc>
        <w:tc>
          <w:tcPr>
            <w:tcW w:w="2426" w:type="dxa"/>
            <w:vAlign w:val="center"/>
          </w:tcPr>
          <w:p w14:paraId="35D52C7B">
            <w:pPr>
              <w:pStyle w:val="116"/>
              <w:keepNext w:val="0"/>
              <w:keepLines w:val="0"/>
              <w:pageBreakBefore w:val="0"/>
              <w:widowControl w:val="0"/>
              <w:kinsoku/>
              <w:wordWrap/>
              <w:overflowPunct/>
              <w:topLinePunct w:val="0"/>
              <w:autoSpaceDE/>
              <w:autoSpaceDN/>
              <w:bidi w:val="0"/>
              <w:adjustRightInd/>
              <w:snapToGrid/>
              <w:ind w:firstLine="0" w:firstLineChars="0"/>
              <w:textAlignment w:val="auto"/>
              <w:rPr>
                <w:rFonts w:hint="default" w:ascii="Times New Roman" w:hAnsi="Times New Roman" w:eastAsia="宋体" w:cs="Times New Roman"/>
                <w:b w:val="0"/>
                <w:color w:val="000000"/>
                <w:kern w:val="2"/>
                <w:sz w:val="21"/>
                <w:szCs w:val="21"/>
                <w:lang w:val="en-US" w:eastAsia="zh-CN" w:bidi="ar-SA"/>
              </w:rPr>
            </w:pPr>
            <w:r>
              <w:rPr>
                <w:rFonts w:hint="default" w:ascii="Times New Roman" w:hAnsi="Times New Roman" w:eastAsia="宋体" w:cs="Times New Roman"/>
                <w:sz w:val="21"/>
                <w:szCs w:val="21"/>
              </w:rPr>
              <w:t>基准点</w:t>
            </w:r>
          </w:p>
        </w:tc>
        <w:tc>
          <w:tcPr>
            <w:tcW w:w="2426" w:type="dxa"/>
            <w:vAlign w:val="center"/>
          </w:tcPr>
          <w:p w14:paraId="04969287">
            <w:pPr>
              <w:pStyle w:val="116"/>
              <w:keepNext w:val="0"/>
              <w:keepLines w:val="0"/>
              <w:pageBreakBefore w:val="0"/>
              <w:widowControl w:val="0"/>
              <w:kinsoku/>
              <w:wordWrap/>
              <w:overflowPunct/>
              <w:topLinePunct w:val="0"/>
              <w:autoSpaceDE/>
              <w:autoSpaceDN/>
              <w:bidi w:val="0"/>
              <w:adjustRightInd/>
              <w:snapToGrid/>
              <w:ind w:firstLine="0" w:firstLineChars="0"/>
              <w:textAlignment w:val="auto"/>
              <w:rPr>
                <w:rFonts w:hint="default" w:ascii="Times New Roman" w:hAnsi="Times New Roman" w:eastAsia="宋体" w:cs="Times New Roman"/>
                <w:b w:val="0"/>
                <w:color w:val="000000"/>
                <w:kern w:val="2"/>
                <w:sz w:val="21"/>
                <w:szCs w:val="21"/>
                <w:lang w:val="en-US" w:eastAsia="zh-CN" w:bidi="ar-SA"/>
              </w:rPr>
            </w:pPr>
            <w:r>
              <w:rPr>
                <w:rFonts w:hint="default" w:ascii="Times New Roman" w:hAnsi="Times New Roman" w:eastAsia="宋体" w:cs="Times New Roman"/>
                <w:sz w:val="21"/>
                <w:szCs w:val="21"/>
              </w:rPr>
              <w:t>JZ01~JZ03</w:t>
            </w:r>
          </w:p>
        </w:tc>
        <w:tc>
          <w:tcPr>
            <w:tcW w:w="1106" w:type="dxa"/>
            <w:vAlign w:val="center"/>
          </w:tcPr>
          <w:p w14:paraId="6800AF42">
            <w:pPr>
              <w:pStyle w:val="116"/>
              <w:keepNext w:val="0"/>
              <w:keepLines w:val="0"/>
              <w:pageBreakBefore w:val="0"/>
              <w:widowControl w:val="0"/>
              <w:kinsoku/>
              <w:wordWrap/>
              <w:overflowPunct/>
              <w:topLinePunct w:val="0"/>
              <w:autoSpaceDE/>
              <w:autoSpaceDN/>
              <w:bidi w:val="0"/>
              <w:adjustRightInd/>
              <w:snapToGrid/>
              <w:ind w:firstLine="0" w:firstLineChars="0"/>
              <w:textAlignment w:val="auto"/>
              <w:rPr>
                <w:rFonts w:hint="default" w:ascii="Times New Roman" w:hAnsi="Times New Roman" w:eastAsia="宋体" w:cs="Times New Roman"/>
                <w:b w:val="0"/>
                <w:color w:val="000000"/>
                <w:kern w:val="2"/>
                <w:sz w:val="21"/>
                <w:szCs w:val="21"/>
                <w:lang w:val="en-US" w:eastAsia="zh-CN" w:bidi="ar-SA"/>
              </w:rPr>
            </w:pPr>
            <w:r>
              <w:rPr>
                <w:rFonts w:hint="default" w:ascii="Times New Roman" w:hAnsi="Times New Roman" w:eastAsia="宋体" w:cs="Times New Roman"/>
                <w:sz w:val="21"/>
                <w:szCs w:val="21"/>
              </w:rPr>
              <w:t>3个</w:t>
            </w:r>
          </w:p>
        </w:tc>
        <w:tc>
          <w:tcPr>
            <w:tcW w:w="2422" w:type="dxa"/>
            <w:vMerge w:val="restart"/>
            <w:vAlign w:val="center"/>
          </w:tcPr>
          <w:p w14:paraId="76D5847C">
            <w:pPr>
              <w:pStyle w:val="116"/>
              <w:keepNext w:val="0"/>
              <w:keepLines w:val="0"/>
              <w:pageBreakBefore w:val="0"/>
              <w:widowControl w:val="0"/>
              <w:kinsoku/>
              <w:wordWrap/>
              <w:overflowPunct/>
              <w:topLinePunct w:val="0"/>
              <w:autoSpaceDE/>
              <w:autoSpaceDN/>
              <w:bidi w:val="0"/>
              <w:adjustRightInd/>
              <w:snapToGrid/>
              <w:ind w:firstLine="0" w:firstLineChars="0"/>
              <w:textAlignment w:val="auto"/>
              <w:rPr>
                <w:rFonts w:hint="default" w:ascii="Times New Roman" w:hAnsi="Times New Roman" w:eastAsia="宋体" w:cs="Times New Roman"/>
                <w:b w:val="0"/>
                <w:color w:val="000000"/>
                <w:kern w:val="2"/>
                <w:sz w:val="21"/>
                <w:szCs w:val="21"/>
                <w:lang w:val="en-US" w:eastAsia="zh-CN" w:bidi="ar-SA"/>
              </w:rPr>
            </w:pPr>
            <w:r>
              <w:rPr>
                <w:rFonts w:hint="default" w:ascii="Times New Roman" w:hAnsi="Times New Roman" w:eastAsia="宋体" w:cs="Times New Roman"/>
                <w:sz w:val="21"/>
                <w:szCs w:val="21"/>
              </w:rPr>
              <w:t>RTK测量仪人工监测</w:t>
            </w:r>
          </w:p>
        </w:tc>
      </w:tr>
      <w:tr w14:paraId="4F5F11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42" w:type="pct"/>
            <w:vAlign w:val="center"/>
          </w:tcPr>
          <w:p w14:paraId="4A612332">
            <w:pPr>
              <w:widowControl w:val="0"/>
              <w:adjustRightInd w:val="0"/>
              <w:snapToGrid w:val="0"/>
              <w:spacing w:line="240" w:lineRule="auto"/>
              <w:ind w:firstLine="0" w:firstLineChars="0"/>
              <w:jc w:val="center"/>
              <w:rPr>
                <w:rFonts w:hint="default" w:ascii="Times New Roman" w:hAnsi="Times New Roman" w:eastAsia="宋体" w:cs="Times New Roman"/>
                <w:b w:val="0"/>
                <w:color w:val="000000"/>
                <w:kern w:val="2"/>
                <w:sz w:val="21"/>
                <w:szCs w:val="21"/>
                <w:lang w:val="en-US" w:eastAsia="zh-CN" w:bidi="ar-SA"/>
              </w:rPr>
            </w:pPr>
            <w:r>
              <w:rPr>
                <w:rFonts w:hint="default" w:ascii="Times New Roman" w:hAnsi="Times New Roman" w:eastAsia="宋体" w:cs="Times New Roman"/>
                <w:b w:val="0"/>
                <w:color w:val="000000"/>
                <w:kern w:val="2"/>
                <w:sz w:val="21"/>
                <w:szCs w:val="21"/>
                <w:lang w:val="en-US" w:eastAsia="zh-CN" w:bidi="ar-SA"/>
              </w:rPr>
              <w:t>2</w:t>
            </w:r>
          </w:p>
        </w:tc>
        <w:tc>
          <w:tcPr>
            <w:tcW w:w="2426" w:type="dxa"/>
            <w:vAlign w:val="center"/>
          </w:tcPr>
          <w:p w14:paraId="73BD0187">
            <w:pPr>
              <w:pStyle w:val="116"/>
              <w:keepNext w:val="0"/>
              <w:keepLines w:val="0"/>
              <w:pageBreakBefore w:val="0"/>
              <w:widowControl w:val="0"/>
              <w:kinsoku/>
              <w:wordWrap/>
              <w:overflowPunct/>
              <w:topLinePunct w:val="0"/>
              <w:autoSpaceDE/>
              <w:autoSpaceDN/>
              <w:bidi w:val="0"/>
              <w:adjustRightInd/>
              <w:snapToGrid/>
              <w:ind w:firstLine="0" w:firstLineChars="0"/>
              <w:textAlignment w:val="auto"/>
              <w:rPr>
                <w:rFonts w:hint="default" w:ascii="Times New Roman" w:hAnsi="Times New Roman" w:eastAsia="宋体" w:cs="Times New Roman"/>
                <w:b w:val="0"/>
                <w:color w:val="000000"/>
                <w:kern w:val="2"/>
                <w:sz w:val="21"/>
                <w:szCs w:val="21"/>
                <w:lang w:val="en-US" w:eastAsia="zh-CN" w:bidi="ar-SA"/>
              </w:rPr>
            </w:pPr>
            <w:r>
              <w:rPr>
                <w:rFonts w:hint="default" w:ascii="Times New Roman" w:hAnsi="Times New Roman" w:eastAsia="宋体" w:cs="Times New Roman"/>
                <w:sz w:val="21"/>
                <w:szCs w:val="21"/>
              </w:rPr>
              <w:t>人工表面位移监测</w:t>
            </w:r>
          </w:p>
        </w:tc>
        <w:tc>
          <w:tcPr>
            <w:tcW w:w="2426" w:type="dxa"/>
            <w:vAlign w:val="center"/>
          </w:tcPr>
          <w:p w14:paraId="011223A7">
            <w:pPr>
              <w:pStyle w:val="116"/>
              <w:keepNext w:val="0"/>
              <w:keepLines w:val="0"/>
              <w:pageBreakBefore w:val="0"/>
              <w:widowControl w:val="0"/>
              <w:kinsoku/>
              <w:wordWrap/>
              <w:overflowPunct/>
              <w:topLinePunct w:val="0"/>
              <w:autoSpaceDE/>
              <w:autoSpaceDN/>
              <w:bidi w:val="0"/>
              <w:adjustRightInd/>
              <w:snapToGrid/>
              <w:ind w:firstLine="0" w:firstLineChars="0"/>
              <w:textAlignment w:val="auto"/>
              <w:rPr>
                <w:rFonts w:hint="default" w:ascii="Times New Roman" w:hAnsi="Times New Roman" w:eastAsia="宋体" w:cs="Times New Roman"/>
                <w:b w:val="0"/>
                <w:color w:val="000000"/>
                <w:kern w:val="2"/>
                <w:sz w:val="21"/>
                <w:szCs w:val="21"/>
                <w:lang w:val="en-US" w:eastAsia="zh-CN" w:bidi="ar-SA"/>
              </w:rPr>
            </w:pPr>
            <w:r>
              <w:rPr>
                <w:rFonts w:hint="default" w:ascii="Times New Roman" w:hAnsi="Times New Roman" w:eastAsia="宋体" w:cs="Times New Roman"/>
                <w:sz w:val="21"/>
                <w:szCs w:val="21"/>
              </w:rPr>
              <w:t>J001~J006</w:t>
            </w:r>
          </w:p>
        </w:tc>
        <w:tc>
          <w:tcPr>
            <w:tcW w:w="1106" w:type="dxa"/>
            <w:vAlign w:val="center"/>
          </w:tcPr>
          <w:p w14:paraId="7F5AD361">
            <w:pPr>
              <w:pStyle w:val="116"/>
              <w:keepNext w:val="0"/>
              <w:keepLines w:val="0"/>
              <w:pageBreakBefore w:val="0"/>
              <w:widowControl w:val="0"/>
              <w:kinsoku/>
              <w:wordWrap/>
              <w:overflowPunct/>
              <w:topLinePunct w:val="0"/>
              <w:autoSpaceDE/>
              <w:autoSpaceDN/>
              <w:bidi w:val="0"/>
              <w:adjustRightInd/>
              <w:snapToGrid/>
              <w:ind w:firstLine="0" w:firstLineChars="0"/>
              <w:textAlignment w:val="auto"/>
              <w:rPr>
                <w:rFonts w:hint="default" w:ascii="Times New Roman" w:hAnsi="Times New Roman" w:eastAsia="宋体" w:cs="Times New Roman"/>
                <w:b w:val="0"/>
                <w:color w:val="000000"/>
                <w:kern w:val="2"/>
                <w:sz w:val="21"/>
                <w:szCs w:val="21"/>
                <w:lang w:val="en-US" w:eastAsia="zh-CN" w:bidi="ar-SA"/>
              </w:rPr>
            </w:pPr>
            <w:r>
              <w:rPr>
                <w:rFonts w:hint="default" w:ascii="Times New Roman" w:hAnsi="Times New Roman" w:eastAsia="宋体" w:cs="Times New Roman"/>
                <w:sz w:val="21"/>
                <w:szCs w:val="21"/>
              </w:rPr>
              <w:t>6个</w:t>
            </w:r>
          </w:p>
        </w:tc>
        <w:tc>
          <w:tcPr>
            <w:tcW w:w="2422" w:type="dxa"/>
            <w:vMerge w:val="continue"/>
            <w:vAlign w:val="center"/>
          </w:tcPr>
          <w:p w14:paraId="3709B303">
            <w:pPr>
              <w:pStyle w:val="116"/>
              <w:keepNext w:val="0"/>
              <w:keepLines w:val="0"/>
              <w:pageBreakBefore w:val="0"/>
              <w:widowControl w:val="0"/>
              <w:kinsoku/>
              <w:wordWrap/>
              <w:overflowPunct/>
              <w:topLinePunct w:val="0"/>
              <w:autoSpaceDE/>
              <w:autoSpaceDN/>
              <w:bidi w:val="0"/>
              <w:adjustRightInd/>
              <w:snapToGrid/>
              <w:ind w:firstLine="0" w:firstLineChars="0"/>
              <w:textAlignment w:val="auto"/>
              <w:rPr>
                <w:rFonts w:hint="default" w:ascii="Times New Roman" w:hAnsi="Times New Roman" w:eastAsia="宋体" w:cs="Times New Roman"/>
                <w:b w:val="0"/>
                <w:color w:val="000000"/>
                <w:kern w:val="2"/>
                <w:sz w:val="21"/>
                <w:szCs w:val="21"/>
                <w:lang w:val="en-US" w:eastAsia="zh-CN" w:bidi="ar-SA"/>
              </w:rPr>
            </w:pPr>
          </w:p>
        </w:tc>
      </w:tr>
      <w:tr w14:paraId="1F7F1A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42" w:type="pct"/>
            <w:vAlign w:val="center"/>
          </w:tcPr>
          <w:p w14:paraId="3646A744">
            <w:pPr>
              <w:widowControl w:val="0"/>
              <w:adjustRightInd w:val="0"/>
              <w:snapToGrid w:val="0"/>
              <w:spacing w:line="240" w:lineRule="auto"/>
              <w:ind w:firstLine="0" w:firstLineChars="0"/>
              <w:jc w:val="center"/>
              <w:rPr>
                <w:rFonts w:hint="default" w:ascii="Times New Roman" w:hAnsi="Times New Roman" w:eastAsia="宋体" w:cs="Times New Roman"/>
                <w:b w:val="0"/>
                <w:color w:val="000000"/>
                <w:kern w:val="2"/>
                <w:sz w:val="21"/>
                <w:szCs w:val="21"/>
                <w:lang w:val="en-US" w:eastAsia="zh-CN" w:bidi="ar-SA"/>
              </w:rPr>
            </w:pPr>
            <w:r>
              <w:rPr>
                <w:rFonts w:hint="default" w:ascii="Times New Roman" w:hAnsi="Times New Roman" w:eastAsia="宋体" w:cs="Times New Roman"/>
                <w:b w:val="0"/>
                <w:color w:val="000000"/>
                <w:kern w:val="2"/>
                <w:sz w:val="21"/>
                <w:szCs w:val="21"/>
                <w:lang w:val="en-US" w:eastAsia="zh-CN" w:bidi="ar-SA"/>
              </w:rPr>
              <w:t>3</w:t>
            </w:r>
          </w:p>
        </w:tc>
        <w:tc>
          <w:tcPr>
            <w:tcW w:w="2426" w:type="dxa"/>
            <w:vAlign w:val="center"/>
          </w:tcPr>
          <w:p w14:paraId="38FAED3A">
            <w:pPr>
              <w:pStyle w:val="116"/>
              <w:keepNext w:val="0"/>
              <w:keepLines w:val="0"/>
              <w:pageBreakBefore w:val="0"/>
              <w:widowControl w:val="0"/>
              <w:kinsoku/>
              <w:wordWrap/>
              <w:overflowPunct/>
              <w:topLinePunct w:val="0"/>
              <w:autoSpaceDE/>
              <w:autoSpaceDN/>
              <w:bidi w:val="0"/>
              <w:adjustRightInd/>
              <w:snapToGrid/>
              <w:ind w:firstLine="0" w:firstLineChars="0"/>
              <w:textAlignment w:val="auto"/>
              <w:rPr>
                <w:rFonts w:hint="default" w:ascii="Times New Roman" w:hAnsi="Times New Roman" w:eastAsia="宋体" w:cs="Times New Roman"/>
                <w:b w:val="0"/>
                <w:color w:val="000000"/>
                <w:kern w:val="2"/>
                <w:sz w:val="21"/>
                <w:szCs w:val="21"/>
                <w:lang w:val="en-US" w:eastAsia="zh-CN" w:bidi="ar-SA"/>
              </w:rPr>
            </w:pPr>
            <w:r>
              <w:rPr>
                <w:rFonts w:hint="default" w:ascii="Times New Roman" w:hAnsi="Times New Roman" w:eastAsia="宋体" w:cs="Times New Roman"/>
                <w:sz w:val="21"/>
                <w:szCs w:val="21"/>
              </w:rPr>
              <w:t>视频监控</w:t>
            </w:r>
          </w:p>
        </w:tc>
        <w:tc>
          <w:tcPr>
            <w:tcW w:w="2426" w:type="dxa"/>
            <w:vAlign w:val="center"/>
          </w:tcPr>
          <w:p w14:paraId="4F04C6C4">
            <w:pPr>
              <w:pStyle w:val="116"/>
              <w:keepNext w:val="0"/>
              <w:keepLines w:val="0"/>
              <w:pageBreakBefore w:val="0"/>
              <w:widowControl w:val="0"/>
              <w:kinsoku/>
              <w:wordWrap/>
              <w:overflowPunct/>
              <w:topLinePunct w:val="0"/>
              <w:autoSpaceDE/>
              <w:autoSpaceDN/>
              <w:bidi w:val="0"/>
              <w:adjustRightInd/>
              <w:snapToGrid/>
              <w:ind w:firstLine="0" w:firstLineChars="0"/>
              <w:textAlignment w:val="auto"/>
              <w:rPr>
                <w:rFonts w:hint="default" w:ascii="Times New Roman" w:hAnsi="Times New Roman" w:eastAsia="宋体" w:cs="Times New Roman"/>
                <w:b w:val="0"/>
                <w:color w:val="000000"/>
                <w:kern w:val="2"/>
                <w:sz w:val="21"/>
                <w:szCs w:val="21"/>
                <w:lang w:val="en-US" w:eastAsia="zh-CN" w:bidi="ar-SA"/>
              </w:rPr>
            </w:pPr>
            <w:r>
              <w:rPr>
                <w:rFonts w:hint="default" w:ascii="Times New Roman" w:hAnsi="Times New Roman" w:eastAsia="宋体" w:cs="Times New Roman"/>
                <w:sz w:val="21"/>
                <w:szCs w:val="21"/>
              </w:rPr>
              <w:t>SP-01~SP-02</w:t>
            </w:r>
          </w:p>
        </w:tc>
        <w:tc>
          <w:tcPr>
            <w:tcW w:w="1106" w:type="dxa"/>
            <w:vAlign w:val="center"/>
          </w:tcPr>
          <w:p w14:paraId="7D0C2692">
            <w:pPr>
              <w:pStyle w:val="116"/>
              <w:keepNext w:val="0"/>
              <w:keepLines w:val="0"/>
              <w:pageBreakBefore w:val="0"/>
              <w:widowControl w:val="0"/>
              <w:kinsoku/>
              <w:wordWrap/>
              <w:overflowPunct/>
              <w:topLinePunct w:val="0"/>
              <w:autoSpaceDE/>
              <w:autoSpaceDN/>
              <w:bidi w:val="0"/>
              <w:adjustRightInd/>
              <w:snapToGrid/>
              <w:ind w:firstLine="0" w:firstLineChars="0"/>
              <w:textAlignment w:val="auto"/>
              <w:rPr>
                <w:rFonts w:hint="default" w:ascii="Times New Roman" w:hAnsi="Times New Roman" w:eastAsia="宋体" w:cs="Times New Roman"/>
                <w:b w:val="0"/>
                <w:color w:val="000000"/>
                <w:kern w:val="2"/>
                <w:sz w:val="21"/>
                <w:szCs w:val="21"/>
                <w:lang w:val="en-US" w:eastAsia="zh-CN" w:bidi="ar-SA"/>
              </w:rPr>
            </w:pPr>
            <w:r>
              <w:rPr>
                <w:rFonts w:hint="default" w:ascii="Times New Roman" w:hAnsi="Times New Roman" w:eastAsia="宋体" w:cs="Times New Roman"/>
                <w:sz w:val="21"/>
                <w:szCs w:val="21"/>
              </w:rPr>
              <w:t>2个</w:t>
            </w:r>
          </w:p>
        </w:tc>
        <w:tc>
          <w:tcPr>
            <w:tcW w:w="2422" w:type="dxa"/>
            <w:vAlign w:val="center"/>
          </w:tcPr>
          <w:p w14:paraId="6AB64161">
            <w:pPr>
              <w:pStyle w:val="116"/>
              <w:keepNext w:val="0"/>
              <w:keepLines w:val="0"/>
              <w:pageBreakBefore w:val="0"/>
              <w:widowControl w:val="0"/>
              <w:kinsoku/>
              <w:wordWrap/>
              <w:overflowPunct/>
              <w:topLinePunct w:val="0"/>
              <w:autoSpaceDE/>
              <w:autoSpaceDN/>
              <w:bidi w:val="0"/>
              <w:adjustRightInd/>
              <w:snapToGrid/>
              <w:ind w:firstLine="0" w:firstLineChars="0"/>
              <w:textAlignment w:val="auto"/>
              <w:rPr>
                <w:rFonts w:hint="default" w:ascii="Times New Roman" w:hAnsi="Times New Roman" w:eastAsia="宋体" w:cs="Times New Roman"/>
                <w:b w:val="0"/>
                <w:color w:val="000000"/>
                <w:kern w:val="2"/>
                <w:sz w:val="21"/>
                <w:szCs w:val="21"/>
                <w:lang w:val="en-US" w:eastAsia="zh-CN" w:bidi="ar-SA"/>
              </w:rPr>
            </w:pPr>
            <w:r>
              <w:rPr>
                <w:rFonts w:hint="default" w:ascii="Times New Roman" w:hAnsi="Times New Roman" w:eastAsia="宋体" w:cs="Times New Roman"/>
                <w:sz w:val="21"/>
                <w:szCs w:val="21"/>
              </w:rPr>
              <w:t>高清摄像头</w:t>
            </w:r>
          </w:p>
        </w:tc>
      </w:tr>
      <w:tr w14:paraId="0968EB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42" w:type="pct"/>
            <w:vAlign w:val="center"/>
          </w:tcPr>
          <w:p w14:paraId="09206B56">
            <w:pPr>
              <w:widowControl w:val="0"/>
              <w:adjustRightInd w:val="0"/>
              <w:snapToGrid w:val="0"/>
              <w:spacing w:line="240" w:lineRule="auto"/>
              <w:ind w:firstLine="0" w:firstLineChars="0"/>
              <w:jc w:val="center"/>
              <w:rPr>
                <w:rFonts w:hint="default" w:ascii="Times New Roman" w:hAnsi="Times New Roman" w:eastAsia="宋体" w:cs="Times New Roman"/>
                <w:b w:val="0"/>
                <w:color w:val="000000"/>
                <w:kern w:val="2"/>
                <w:sz w:val="21"/>
                <w:szCs w:val="21"/>
                <w:lang w:val="en-US" w:eastAsia="zh-CN" w:bidi="ar-SA"/>
              </w:rPr>
            </w:pPr>
            <w:r>
              <w:rPr>
                <w:rFonts w:hint="default" w:ascii="Times New Roman" w:hAnsi="Times New Roman" w:eastAsia="宋体" w:cs="Times New Roman"/>
                <w:b w:val="0"/>
                <w:color w:val="000000"/>
                <w:kern w:val="2"/>
                <w:sz w:val="21"/>
                <w:szCs w:val="21"/>
                <w:lang w:val="en-US" w:eastAsia="zh-CN" w:bidi="ar-SA"/>
              </w:rPr>
              <w:t>4</w:t>
            </w:r>
          </w:p>
        </w:tc>
        <w:tc>
          <w:tcPr>
            <w:tcW w:w="2426" w:type="dxa"/>
            <w:vAlign w:val="center"/>
          </w:tcPr>
          <w:p w14:paraId="5306A744">
            <w:pPr>
              <w:pStyle w:val="116"/>
              <w:keepNext w:val="0"/>
              <w:keepLines w:val="0"/>
              <w:pageBreakBefore w:val="0"/>
              <w:widowControl w:val="0"/>
              <w:kinsoku/>
              <w:wordWrap/>
              <w:overflowPunct/>
              <w:topLinePunct w:val="0"/>
              <w:autoSpaceDE/>
              <w:autoSpaceDN/>
              <w:bidi w:val="0"/>
              <w:adjustRightInd/>
              <w:snapToGrid/>
              <w:ind w:firstLine="0" w:firstLineChars="0"/>
              <w:textAlignment w:val="auto"/>
              <w:rPr>
                <w:rFonts w:hint="default" w:ascii="Times New Roman" w:hAnsi="Times New Roman" w:eastAsia="宋体" w:cs="Times New Roman"/>
                <w:b w:val="0"/>
                <w:color w:val="000000"/>
                <w:kern w:val="2"/>
                <w:sz w:val="21"/>
                <w:szCs w:val="21"/>
                <w:lang w:val="en-US" w:eastAsia="zh-CN" w:bidi="ar-SA"/>
              </w:rPr>
            </w:pPr>
            <w:r>
              <w:rPr>
                <w:rFonts w:hint="default" w:ascii="Times New Roman" w:hAnsi="Times New Roman" w:eastAsia="宋体" w:cs="Times New Roman"/>
                <w:sz w:val="21"/>
                <w:szCs w:val="21"/>
              </w:rPr>
              <w:t>降雨量监测</w:t>
            </w:r>
          </w:p>
        </w:tc>
        <w:tc>
          <w:tcPr>
            <w:tcW w:w="2426" w:type="dxa"/>
            <w:vAlign w:val="center"/>
          </w:tcPr>
          <w:p w14:paraId="26A2EAF4">
            <w:pPr>
              <w:pStyle w:val="116"/>
              <w:keepNext w:val="0"/>
              <w:keepLines w:val="0"/>
              <w:pageBreakBefore w:val="0"/>
              <w:widowControl w:val="0"/>
              <w:kinsoku/>
              <w:wordWrap/>
              <w:overflowPunct/>
              <w:topLinePunct w:val="0"/>
              <w:autoSpaceDE/>
              <w:autoSpaceDN/>
              <w:bidi w:val="0"/>
              <w:adjustRightInd/>
              <w:snapToGrid/>
              <w:ind w:firstLine="0" w:firstLineChars="0"/>
              <w:textAlignment w:val="auto"/>
              <w:rPr>
                <w:rFonts w:hint="default" w:ascii="Times New Roman" w:hAnsi="Times New Roman" w:eastAsia="宋体" w:cs="Times New Roman"/>
                <w:b w:val="0"/>
                <w:color w:val="000000"/>
                <w:kern w:val="2"/>
                <w:sz w:val="21"/>
                <w:szCs w:val="21"/>
                <w:lang w:val="en-US" w:eastAsia="zh-CN" w:bidi="ar-SA"/>
              </w:rPr>
            </w:pPr>
          </w:p>
        </w:tc>
        <w:tc>
          <w:tcPr>
            <w:tcW w:w="1106" w:type="dxa"/>
            <w:vAlign w:val="center"/>
          </w:tcPr>
          <w:p w14:paraId="0C969951">
            <w:pPr>
              <w:pStyle w:val="116"/>
              <w:keepNext w:val="0"/>
              <w:keepLines w:val="0"/>
              <w:pageBreakBefore w:val="0"/>
              <w:widowControl w:val="0"/>
              <w:kinsoku/>
              <w:wordWrap/>
              <w:overflowPunct/>
              <w:topLinePunct w:val="0"/>
              <w:autoSpaceDE/>
              <w:autoSpaceDN/>
              <w:bidi w:val="0"/>
              <w:adjustRightInd/>
              <w:snapToGrid/>
              <w:ind w:firstLine="0" w:firstLineChars="0"/>
              <w:textAlignment w:val="auto"/>
              <w:rPr>
                <w:rFonts w:hint="default" w:ascii="Times New Roman" w:hAnsi="Times New Roman" w:eastAsia="宋体" w:cs="Times New Roman"/>
                <w:b w:val="0"/>
                <w:color w:val="000000"/>
                <w:kern w:val="2"/>
                <w:sz w:val="21"/>
                <w:szCs w:val="21"/>
                <w:lang w:val="en-US" w:eastAsia="zh-CN" w:bidi="ar-SA"/>
              </w:rPr>
            </w:pPr>
            <w:r>
              <w:rPr>
                <w:rFonts w:hint="default" w:ascii="Times New Roman" w:hAnsi="Times New Roman" w:eastAsia="宋体" w:cs="Times New Roman"/>
                <w:sz w:val="21"/>
                <w:szCs w:val="21"/>
              </w:rPr>
              <w:t>1个</w:t>
            </w:r>
          </w:p>
        </w:tc>
        <w:tc>
          <w:tcPr>
            <w:tcW w:w="2422" w:type="dxa"/>
            <w:vAlign w:val="center"/>
          </w:tcPr>
          <w:p w14:paraId="142086F2">
            <w:pPr>
              <w:pStyle w:val="116"/>
              <w:keepNext w:val="0"/>
              <w:keepLines w:val="0"/>
              <w:pageBreakBefore w:val="0"/>
              <w:widowControl w:val="0"/>
              <w:kinsoku/>
              <w:wordWrap/>
              <w:overflowPunct/>
              <w:topLinePunct w:val="0"/>
              <w:autoSpaceDE/>
              <w:autoSpaceDN/>
              <w:bidi w:val="0"/>
              <w:adjustRightInd/>
              <w:snapToGrid/>
              <w:ind w:firstLine="0" w:firstLineChars="0"/>
              <w:textAlignment w:val="auto"/>
              <w:rPr>
                <w:rFonts w:hint="default" w:ascii="Times New Roman" w:hAnsi="Times New Roman" w:eastAsia="宋体" w:cs="Times New Roman"/>
                <w:b w:val="0"/>
                <w:color w:val="000000"/>
                <w:kern w:val="2"/>
                <w:sz w:val="21"/>
                <w:szCs w:val="21"/>
                <w:lang w:val="en-US" w:eastAsia="zh-CN" w:bidi="ar-SA"/>
              </w:rPr>
            </w:pPr>
            <w:r>
              <w:rPr>
                <w:rFonts w:hint="default" w:ascii="Times New Roman" w:hAnsi="Times New Roman" w:eastAsia="宋体" w:cs="Times New Roman"/>
                <w:sz w:val="21"/>
                <w:szCs w:val="21"/>
              </w:rPr>
              <w:t>降雨量监测仪</w:t>
            </w:r>
          </w:p>
        </w:tc>
      </w:tr>
    </w:tbl>
    <w:p w14:paraId="6C53228A">
      <w:pPr>
        <w:adjustRightInd w:val="0"/>
        <w:snapToGrid w:val="0"/>
        <w:spacing w:line="360" w:lineRule="auto"/>
        <w:ind w:firstLine="537" w:firstLineChars="192"/>
        <w:rPr>
          <w:rFonts w:hint="default" w:ascii="Times New Roman" w:hAnsi="Times New Roman" w:eastAsia="宋体" w:cs="Times New Roman"/>
          <w:bCs/>
          <w:sz w:val="28"/>
          <w:szCs w:val="28"/>
          <w:lang w:eastAsia="zh-CN"/>
        </w:rPr>
      </w:pPr>
      <w:r>
        <w:rPr>
          <w:rFonts w:hint="default" w:ascii="Times New Roman" w:hAnsi="Times New Roman" w:eastAsia="宋体" w:cs="Times New Roman"/>
          <w:bCs/>
          <w:sz w:val="28"/>
          <w:szCs w:val="28"/>
          <w:lang w:eastAsia="zh-CN"/>
        </w:rPr>
        <w:t>2、基建期结束边坡监测点布置</w:t>
      </w:r>
    </w:p>
    <w:p w14:paraId="3A2BEB35">
      <w:pPr>
        <w:adjustRightInd w:val="0"/>
        <w:snapToGrid w:val="0"/>
        <w:spacing w:line="360" w:lineRule="auto"/>
        <w:ind w:firstLine="537" w:firstLineChars="192"/>
        <w:rPr>
          <w:rFonts w:hint="default" w:ascii="Times New Roman" w:hAnsi="Times New Roman" w:eastAsia="宋体" w:cs="Times New Roman"/>
          <w:bCs/>
          <w:sz w:val="28"/>
          <w:szCs w:val="28"/>
          <w:lang w:eastAsia="zh-CN"/>
        </w:rPr>
      </w:pPr>
      <w:r>
        <w:rPr>
          <w:rFonts w:hint="default" w:ascii="Times New Roman" w:hAnsi="Times New Roman" w:eastAsia="宋体" w:cs="Times New Roman"/>
          <w:bCs/>
          <w:sz w:val="28"/>
          <w:szCs w:val="28"/>
          <w:lang w:eastAsia="zh-CN"/>
        </w:rPr>
        <w:t>矿山基建期结束时，设置监测点的台阶未靠帮，设计矿山在生产第三年年末时再开始建设边坡监测设施。</w:t>
      </w:r>
    </w:p>
    <w:p w14:paraId="30CE7133">
      <w:pPr>
        <w:pStyle w:val="5"/>
        <w:keepNext w:val="0"/>
        <w:keepLines w:val="0"/>
        <w:adjustRightInd w:val="0"/>
        <w:snapToGrid w:val="0"/>
        <w:spacing w:before="0" w:after="0" w:line="360" w:lineRule="auto"/>
        <w:ind w:firstLine="562" w:firstLineChars="200"/>
        <w:rPr>
          <w:rFonts w:hint="default" w:ascii="Times New Roman" w:hAnsi="Times New Roman" w:eastAsia="宋体" w:cs="Times New Roman"/>
          <w:b/>
          <w:bCs/>
          <w:lang w:eastAsia="zh-CN"/>
        </w:rPr>
      </w:pPr>
      <w:r>
        <w:rPr>
          <w:rFonts w:hint="default" w:ascii="Times New Roman" w:hAnsi="Times New Roman" w:cs="Times New Roman"/>
          <w:b/>
          <w:bCs/>
        </w:rPr>
        <w:t>2.4.7.</w:t>
      </w:r>
      <w:r>
        <w:rPr>
          <w:rFonts w:hint="default" w:ascii="Times New Roman" w:hAnsi="Times New Roman" w:cs="Times New Roman"/>
          <w:b/>
          <w:bCs/>
          <w:lang w:val="en-US" w:eastAsia="zh-CN"/>
        </w:rPr>
        <w:t>3</w:t>
      </w:r>
      <w:r>
        <w:rPr>
          <w:rFonts w:hint="default" w:ascii="Times New Roman" w:hAnsi="Times New Roman" w:cs="Times New Roman"/>
          <w:b/>
          <w:bCs/>
        </w:rPr>
        <w:t>监测</w:t>
      </w:r>
      <w:r>
        <w:rPr>
          <w:rFonts w:hint="default" w:ascii="Times New Roman" w:hAnsi="Times New Roman" w:cs="Times New Roman"/>
          <w:b/>
          <w:bCs/>
          <w:lang w:val="en-US" w:eastAsia="zh-CN"/>
        </w:rPr>
        <w:t>系统</w:t>
      </w:r>
    </w:p>
    <w:p w14:paraId="45A2F94A">
      <w:pPr>
        <w:adjustRightInd w:val="0"/>
        <w:snapToGrid w:val="0"/>
        <w:spacing w:line="360" w:lineRule="auto"/>
        <w:ind w:firstLine="537" w:firstLineChars="192"/>
        <w:rPr>
          <w:rFonts w:hint="default" w:ascii="Times New Roman" w:hAnsi="Times New Roman" w:eastAsia="宋体" w:cs="Times New Roman"/>
          <w:bCs/>
          <w:sz w:val="28"/>
          <w:szCs w:val="28"/>
          <w:lang w:val="en-US" w:eastAsia="zh-CN"/>
        </w:rPr>
      </w:pPr>
      <w:r>
        <w:rPr>
          <w:rFonts w:hint="default" w:ascii="Times New Roman" w:hAnsi="Times New Roman" w:cs="Times New Roman"/>
          <w:bCs/>
          <w:sz w:val="28"/>
          <w:szCs w:val="28"/>
          <w:lang w:val="en-US" w:eastAsia="zh-CN"/>
        </w:rPr>
        <w:t>一、监测方法</w:t>
      </w:r>
    </w:p>
    <w:p w14:paraId="741CB1AE">
      <w:pPr>
        <w:adjustRightInd w:val="0"/>
        <w:snapToGrid w:val="0"/>
        <w:spacing w:line="360" w:lineRule="auto"/>
        <w:ind w:firstLine="537" w:firstLineChars="192"/>
        <w:rPr>
          <w:rFonts w:hint="default" w:ascii="Times New Roman" w:hAnsi="Times New Roman" w:eastAsia="宋体" w:cs="Times New Roman"/>
          <w:bCs/>
          <w:sz w:val="28"/>
          <w:szCs w:val="28"/>
          <w:lang w:val="en-US" w:eastAsia="zh-CN"/>
        </w:rPr>
      </w:pPr>
      <w:r>
        <w:rPr>
          <w:rFonts w:hint="default" w:ascii="Times New Roman" w:hAnsi="Times New Roman" w:eastAsia="宋体" w:cs="Times New Roman"/>
          <w:bCs/>
          <w:sz w:val="28"/>
          <w:szCs w:val="28"/>
          <w:lang w:val="en-US" w:eastAsia="zh-CN"/>
        </w:rPr>
        <w:t>（1）表面位移：采用RTK测量仪人工监测。</w:t>
      </w:r>
    </w:p>
    <w:p w14:paraId="05F7FE5B">
      <w:pPr>
        <w:adjustRightInd w:val="0"/>
        <w:snapToGrid w:val="0"/>
        <w:spacing w:line="360" w:lineRule="auto"/>
        <w:ind w:firstLine="537" w:firstLineChars="192"/>
        <w:rPr>
          <w:rFonts w:hint="default" w:ascii="Times New Roman" w:hAnsi="Times New Roman" w:eastAsia="宋体" w:cs="Times New Roman"/>
          <w:bCs/>
          <w:sz w:val="28"/>
          <w:szCs w:val="28"/>
          <w:lang w:val="en-US" w:eastAsia="zh-CN"/>
        </w:rPr>
      </w:pPr>
      <w:r>
        <w:rPr>
          <w:rFonts w:hint="default" w:ascii="Times New Roman" w:hAnsi="Times New Roman" w:eastAsia="宋体" w:cs="Times New Roman"/>
          <w:bCs/>
          <w:sz w:val="28"/>
          <w:szCs w:val="28"/>
          <w:lang w:val="en-US" w:eastAsia="zh-CN"/>
        </w:rPr>
        <w:t>（2）降雨量：采用降雨量监测仪。</w:t>
      </w:r>
    </w:p>
    <w:p w14:paraId="49ADD32B">
      <w:pPr>
        <w:adjustRightInd w:val="0"/>
        <w:snapToGrid w:val="0"/>
        <w:spacing w:line="360" w:lineRule="auto"/>
        <w:ind w:firstLine="537" w:firstLineChars="192"/>
        <w:rPr>
          <w:rFonts w:hint="default" w:ascii="Times New Roman" w:hAnsi="Times New Roman" w:eastAsia="宋体" w:cs="Times New Roman"/>
          <w:bCs/>
          <w:sz w:val="28"/>
          <w:szCs w:val="28"/>
          <w:lang w:val="en-US" w:eastAsia="zh-CN"/>
        </w:rPr>
      </w:pPr>
      <w:r>
        <w:rPr>
          <w:rFonts w:hint="default" w:ascii="Times New Roman" w:hAnsi="Times New Roman" w:eastAsia="宋体" w:cs="Times New Roman"/>
          <w:bCs/>
          <w:sz w:val="28"/>
          <w:szCs w:val="28"/>
          <w:lang w:val="en-US" w:eastAsia="zh-CN"/>
        </w:rPr>
        <w:t>（3）视频监控：由前端摄像头、视频监控平台组成。</w:t>
      </w:r>
    </w:p>
    <w:p w14:paraId="7CAE3B94">
      <w:pPr>
        <w:adjustRightInd w:val="0"/>
        <w:snapToGrid w:val="0"/>
        <w:spacing w:line="360" w:lineRule="auto"/>
        <w:ind w:firstLine="537" w:firstLineChars="192"/>
        <w:rPr>
          <w:rFonts w:hint="default" w:ascii="Times New Roman" w:hAnsi="Times New Roman" w:eastAsia="宋体" w:cs="Times New Roman"/>
          <w:bCs/>
          <w:sz w:val="28"/>
          <w:szCs w:val="28"/>
          <w:lang w:val="en-US" w:eastAsia="zh-CN"/>
        </w:rPr>
      </w:pPr>
      <w:r>
        <w:rPr>
          <w:rFonts w:hint="default" w:ascii="Times New Roman" w:hAnsi="Times New Roman" w:eastAsia="宋体" w:cs="Times New Roman"/>
          <w:bCs/>
          <w:sz w:val="28"/>
          <w:szCs w:val="28"/>
          <w:lang w:val="en-US" w:eastAsia="zh-CN"/>
        </w:rPr>
        <w:t>二、表面位移监测系统</w:t>
      </w:r>
    </w:p>
    <w:p w14:paraId="3107689C">
      <w:pPr>
        <w:adjustRightInd w:val="0"/>
        <w:snapToGrid w:val="0"/>
        <w:spacing w:line="360" w:lineRule="auto"/>
        <w:ind w:firstLine="537" w:firstLineChars="192"/>
        <w:rPr>
          <w:rFonts w:hint="default" w:ascii="Times New Roman" w:hAnsi="Times New Roman" w:eastAsia="宋体" w:cs="Times New Roman"/>
          <w:bCs/>
          <w:sz w:val="28"/>
          <w:szCs w:val="28"/>
          <w:lang w:val="en-US" w:eastAsia="zh-CN"/>
        </w:rPr>
      </w:pPr>
      <w:r>
        <w:rPr>
          <w:rFonts w:hint="default" w:ascii="Times New Roman" w:hAnsi="Times New Roman" w:eastAsia="宋体" w:cs="Times New Roman"/>
          <w:bCs/>
          <w:sz w:val="28"/>
          <w:szCs w:val="28"/>
          <w:lang w:val="en-US" w:eastAsia="zh-CN"/>
        </w:rPr>
        <w:t>边坡高度小于150m，设计采用人工监测。</w:t>
      </w:r>
    </w:p>
    <w:p w14:paraId="4D7DE691">
      <w:pPr>
        <w:adjustRightInd w:val="0"/>
        <w:snapToGrid w:val="0"/>
        <w:spacing w:line="360" w:lineRule="auto"/>
        <w:ind w:firstLine="537" w:firstLineChars="192"/>
        <w:rPr>
          <w:rFonts w:hint="default" w:ascii="Times New Roman" w:hAnsi="Times New Roman" w:eastAsia="宋体" w:cs="Times New Roman"/>
          <w:bCs/>
          <w:sz w:val="28"/>
          <w:szCs w:val="28"/>
          <w:lang w:val="en-US" w:eastAsia="zh-CN"/>
        </w:rPr>
      </w:pPr>
      <w:r>
        <w:rPr>
          <w:rFonts w:hint="default" w:ascii="Times New Roman" w:hAnsi="Times New Roman" w:eastAsia="宋体" w:cs="Times New Roman"/>
          <w:bCs/>
          <w:sz w:val="28"/>
          <w:szCs w:val="28"/>
          <w:lang w:val="en-US" w:eastAsia="zh-CN"/>
        </w:rPr>
        <w:t>1、监测点设置</w:t>
      </w:r>
    </w:p>
    <w:p w14:paraId="47250614">
      <w:pPr>
        <w:adjustRightInd w:val="0"/>
        <w:snapToGrid w:val="0"/>
        <w:spacing w:line="360" w:lineRule="auto"/>
        <w:ind w:firstLine="537" w:firstLineChars="192"/>
        <w:rPr>
          <w:rFonts w:hint="default" w:ascii="Times New Roman" w:hAnsi="Times New Roman" w:eastAsia="宋体" w:cs="Times New Roman"/>
          <w:bCs/>
          <w:sz w:val="28"/>
          <w:szCs w:val="28"/>
          <w:lang w:val="en-US" w:eastAsia="zh-CN"/>
        </w:rPr>
      </w:pPr>
      <w:r>
        <w:rPr>
          <w:rFonts w:hint="default" w:ascii="Times New Roman" w:hAnsi="Times New Roman" w:eastAsia="宋体" w:cs="Times New Roman"/>
          <w:bCs/>
          <w:sz w:val="28"/>
          <w:szCs w:val="28"/>
          <w:lang w:val="en-US" w:eastAsia="zh-CN"/>
        </w:rPr>
        <w:t>位移监测点采用混凝土桩固定在边坡岩体上。混凝土桩桩径为30cm，桩深100cm，桩上部长30cm，用直径15mm的钢筋埋于混凝土中，在钢筋顶面锯成“┿”形，红油漆上色，量测时以“┿”形的交点为准。</w:t>
      </w:r>
    </w:p>
    <w:p w14:paraId="058E9DCF">
      <w:pPr>
        <w:adjustRightInd w:val="0"/>
        <w:snapToGrid w:val="0"/>
        <w:spacing w:line="360" w:lineRule="auto"/>
        <w:ind w:firstLine="537" w:firstLineChars="192"/>
        <w:rPr>
          <w:rFonts w:hint="default" w:ascii="Times New Roman" w:hAnsi="Times New Roman" w:eastAsia="宋体" w:cs="Times New Roman"/>
          <w:bCs/>
          <w:sz w:val="28"/>
          <w:szCs w:val="28"/>
          <w:lang w:val="en-US" w:eastAsia="zh-CN"/>
        </w:rPr>
      </w:pPr>
      <w:r>
        <w:rPr>
          <w:rFonts w:hint="default" w:ascii="Times New Roman" w:hAnsi="Times New Roman" w:eastAsia="宋体" w:cs="Times New Roman"/>
          <w:bCs/>
          <w:sz w:val="28"/>
          <w:szCs w:val="28"/>
          <w:lang w:val="en-US" w:eastAsia="zh-CN"/>
        </w:rPr>
        <w:t>2、监测频次</w:t>
      </w:r>
    </w:p>
    <w:p w14:paraId="4A03B068">
      <w:pPr>
        <w:adjustRightInd w:val="0"/>
        <w:snapToGrid w:val="0"/>
        <w:spacing w:line="360" w:lineRule="auto"/>
        <w:ind w:firstLine="537" w:firstLineChars="192"/>
        <w:rPr>
          <w:rFonts w:hint="default" w:ascii="Times New Roman" w:hAnsi="Times New Roman" w:eastAsia="宋体" w:cs="Times New Roman"/>
          <w:bCs/>
          <w:sz w:val="28"/>
          <w:szCs w:val="28"/>
          <w:lang w:val="en-US" w:eastAsia="zh-CN"/>
        </w:rPr>
      </w:pPr>
      <w:r>
        <w:rPr>
          <w:rFonts w:hint="default" w:ascii="Times New Roman" w:hAnsi="Times New Roman" w:eastAsia="宋体" w:cs="Times New Roman"/>
          <w:bCs/>
          <w:sz w:val="28"/>
          <w:szCs w:val="28"/>
          <w:lang w:val="en-US" w:eastAsia="zh-CN"/>
        </w:rPr>
        <w:t>用RTK观测各位移监测点的位移变化，位移变化不明显的监测点每月测1次，位移变化明显的监测点每周测1次，有显著位移变化的监测点每三天测量1次，位移变化剧烈的监测点每天测量，必要时进行昼夜连续观测</w:t>
      </w:r>
    </w:p>
    <w:p w14:paraId="08B0A271">
      <w:pPr>
        <w:adjustRightInd w:val="0"/>
        <w:snapToGrid w:val="0"/>
        <w:spacing w:line="360" w:lineRule="auto"/>
        <w:ind w:firstLine="537" w:firstLineChars="192"/>
        <w:rPr>
          <w:rFonts w:hint="default" w:ascii="Times New Roman" w:hAnsi="Times New Roman" w:eastAsia="宋体" w:cs="Times New Roman"/>
          <w:bCs/>
          <w:sz w:val="28"/>
          <w:szCs w:val="28"/>
          <w:lang w:val="en-US" w:eastAsia="zh-CN"/>
        </w:rPr>
      </w:pPr>
      <w:r>
        <w:rPr>
          <w:rFonts w:hint="default" w:ascii="Times New Roman" w:hAnsi="Times New Roman" w:eastAsia="宋体" w:cs="Times New Roman"/>
          <w:bCs/>
          <w:sz w:val="28"/>
          <w:szCs w:val="28"/>
          <w:lang w:val="en-US" w:eastAsia="zh-CN"/>
        </w:rPr>
        <w:t>三、降雨量监测</w:t>
      </w:r>
    </w:p>
    <w:p w14:paraId="3F75C7ED">
      <w:pPr>
        <w:adjustRightInd w:val="0"/>
        <w:snapToGrid w:val="0"/>
        <w:spacing w:line="360" w:lineRule="auto"/>
        <w:ind w:firstLine="537" w:firstLineChars="192"/>
        <w:rPr>
          <w:rFonts w:hint="default" w:ascii="Times New Roman" w:hAnsi="Times New Roman" w:eastAsia="宋体" w:cs="Times New Roman"/>
          <w:bCs/>
          <w:sz w:val="28"/>
          <w:szCs w:val="28"/>
          <w:lang w:val="en-US" w:eastAsia="zh-CN"/>
        </w:rPr>
      </w:pPr>
      <w:r>
        <w:rPr>
          <w:rFonts w:hint="default" w:ascii="Times New Roman" w:hAnsi="Times New Roman" w:eastAsia="宋体" w:cs="Times New Roman"/>
          <w:bCs/>
          <w:sz w:val="28"/>
          <w:szCs w:val="28"/>
          <w:lang w:val="en-US" w:eastAsia="zh-CN"/>
        </w:rPr>
        <w:t>1、监测原理</w:t>
      </w:r>
    </w:p>
    <w:p w14:paraId="00F987A2">
      <w:pPr>
        <w:adjustRightInd w:val="0"/>
        <w:snapToGrid w:val="0"/>
        <w:spacing w:line="360" w:lineRule="auto"/>
        <w:ind w:firstLine="537" w:firstLineChars="192"/>
        <w:rPr>
          <w:rFonts w:hint="default" w:ascii="Times New Roman" w:hAnsi="Times New Roman" w:eastAsia="宋体" w:cs="Times New Roman"/>
          <w:bCs/>
          <w:sz w:val="28"/>
          <w:szCs w:val="28"/>
          <w:lang w:val="en-US" w:eastAsia="zh-CN"/>
        </w:rPr>
      </w:pPr>
      <w:r>
        <w:rPr>
          <w:rFonts w:hint="default" w:ascii="Times New Roman" w:hAnsi="Times New Roman" w:eastAsia="宋体" w:cs="Times New Roman"/>
          <w:bCs/>
          <w:sz w:val="28"/>
          <w:szCs w:val="28"/>
          <w:lang w:val="en-US" w:eastAsia="zh-CN"/>
        </w:rPr>
        <w:t>降雨量通过标准承雨器进入小漏斗，将雨水导入翻斗，翻斗每翻转一次，翻斗两边的磁性开关同时吸合一次，产生的通断信号被雨量数据终端采集器采集，采集器通过判断、分析、计算后得出降雨量数据并进行现场存储、显示。通过无线发射装置，数据采集器将存储数据和实时数据定时或定量无线发送到互联网上专用服务器，以供互联网上授权用户调用、查看，随时掌握降雨情况。</w:t>
      </w:r>
    </w:p>
    <w:p w14:paraId="33D6A334">
      <w:pPr>
        <w:adjustRightInd w:val="0"/>
        <w:snapToGrid w:val="0"/>
        <w:spacing w:line="360" w:lineRule="auto"/>
        <w:ind w:firstLine="537" w:firstLineChars="192"/>
        <w:rPr>
          <w:rFonts w:hint="default" w:ascii="Times New Roman" w:hAnsi="Times New Roman" w:eastAsia="宋体" w:cs="Times New Roman"/>
          <w:bCs/>
          <w:sz w:val="28"/>
          <w:szCs w:val="28"/>
          <w:lang w:val="en-US" w:eastAsia="zh-CN"/>
        </w:rPr>
      </w:pPr>
      <w:r>
        <w:rPr>
          <w:rFonts w:hint="default" w:ascii="Times New Roman" w:hAnsi="Times New Roman" w:eastAsia="宋体" w:cs="Times New Roman"/>
          <w:bCs/>
          <w:sz w:val="28"/>
          <w:szCs w:val="28"/>
          <w:lang w:val="en-US" w:eastAsia="zh-CN"/>
        </w:rPr>
        <w:t>2、监测设备</w:t>
      </w:r>
    </w:p>
    <w:p w14:paraId="14A3D1FC">
      <w:pPr>
        <w:adjustRightInd w:val="0"/>
        <w:snapToGrid w:val="0"/>
        <w:spacing w:line="360" w:lineRule="auto"/>
        <w:ind w:firstLine="537" w:firstLineChars="192"/>
        <w:rPr>
          <w:rFonts w:hint="default" w:ascii="Times New Roman" w:hAnsi="Times New Roman" w:eastAsia="宋体" w:cs="Times New Roman"/>
          <w:bCs/>
          <w:sz w:val="28"/>
          <w:szCs w:val="28"/>
          <w:lang w:val="en-US" w:eastAsia="zh-CN"/>
        </w:rPr>
      </w:pPr>
      <w:r>
        <w:rPr>
          <w:rFonts w:hint="default" w:ascii="Times New Roman" w:hAnsi="Times New Roman" w:eastAsia="宋体" w:cs="Times New Roman"/>
          <w:bCs/>
          <w:sz w:val="28"/>
          <w:szCs w:val="28"/>
          <w:lang w:val="en-US" w:eastAsia="zh-CN"/>
        </w:rPr>
        <w:t>翻斗式雨量传感器是一种水文、气象观测仪器，用以感知自然界降雨量，同时将其转换为开关信息量输出，以满足信息传输、处理、记录和显示的需要。它是由不锈钢带有刃口角度的承水口的外护筒、过滤网、漏斗、三角形工作平台、永久磁钢、干式舌簧管、轴承螺钉、六角锁紧螺母、翻斗部件、限位螺钉、园锁紧螺母、支架、底座、底脚、水准泡、调平螺钉、电缆护套、接线端子、备份干式舌簧管等主要部分组成。用来测量液体降水量、降水强度、降水起止时间。</w:t>
      </w:r>
    </w:p>
    <w:p w14:paraId="55BE5F4F">
      <w:pPr>
        <w:adjustRightInd w:val="0"/>
        <w:snapToGrid w:val="0"/>
        <w:spacing w:line="360" w:lineRule="auto"/>
        <w:ind w:firstLine="537" w:firstLineChars="192"/>
        <w:rPr>
          <w:rFonts w:hint="default" w:ascii="Times New Roman" w:hAnsi="Times New Roman" w:eastAsia="宋体" w:cs="Times New Roman"/>
          <w:bCs/>
          <w:sz w:val="28"/>
          <w:szCs w:val="28"/>
          <w:lang w:val="en-US" w:eastAsia="zh-CN"/>
        </w:rPr>
      </w:pPr>
      <w:r>
        <w:rPr>
          <w:rFonts w:hint="default" w:ascii="Times New Roman" w:hAnsi="Times New Roman" w:eastAsia="宋体" w:cs="Times New Roman"/>
          <w:bCs/>
          <w:sz w:val="28"/>
          <w:szCs w:val="28"/>
          <w:lang w:val="en-US" w:eastAsia="zh-CN"/>
        </w:rPr>
        <w:t>3、技术要求</w:t>
      </w:r>
    </w:p>
    <w:p w14:paraId="7482FAD6">
      <w:pPr>
        <w:adjustRightInd w:val="0"/>
        <w:snapToGrid w:val="0"/>
        <w:spacing w:line="360" w:lineRule="auto"/>
        <w:ind w:firstLine="537" w:firstLineChars="192"/>
        <w:rPr>
          <w:rFonts w:hint="default" w:ascii="Times New Roman" w:hAnsi="Times New Roman" w:eastAsia="宋体" w:cs="Times New Roman"/>
          <w:bCs/>
          <w:sz w:val="28"/>
          <w:szCs w:val="28"/>
          <w:lang w:val="en-US" w:eastAsia="zh-CN"/>
        </w:rPr>
      </w:pPr>
      <w:r>
        <w:rPr>
          <w:rFonts w:hint="default" w:ascii="Times New Roman" w:hAnsi="Times New Roman" w:eastAsia="宋体" w:cs="Times New Roman"/>
          <w:bCs/>
          <w:sz w:val="28"/>
          <w:szCs w:val="28"/>
          <w:lang w:val="en-US" w:eastAsia="zh-CN"/>
        </w:rPr>
        <w:t>设计在矿山中部JZ02基准点旁的空地上布置1个雨量监测，安装具有自动读数和时钟电路的雨量计，记录24小时内降雨量，统计日降雨量。</w:t>
      </w:r>
    </w:p>
    <w:p w14:paraId="304341D5">
      <w:pPr>
        <w:adjustRightInd w:val="0"/>
        <w:snapToGrid w:val="0"/>
        <w:spacing w:line="360" w:lineRule="auto"/>
        <w:ind w:firstLine="537" w:firstLineChars="192"/>
        <w:rPr>
          <w:rFonts w:hint="default" w:ascii="Times New Roman" w:hAnsi="Times New Roman" w:eastAsia="宋体" w:cs="Times New Roman"/>
          <w:bCs/>
          <w:sz w:val="28"/>
          <w:szCs w:val="28"/>
          <w:lang w:val="en-US" w:eastAsia="zh-CN"/>
        </w:rPr>
      </w:pPr>
      <w:r>
        <w:rPr>
          <w:rFonts w:hint="default" w:ascii="Times New Roman" w:hAnsi="Times New Roman" w:cs="Times New Roman"/>
          <w:bCs/>
          <w:sz w:val="28"/>
          <w:szCs w:val="28"/>
          <w:lang w:val="en-US" w:eastAsia="zh-CN"/>
        </w:rPr>
        <w:t>四、</w:t>
      </w:r>
      <w:r>
        <w:rPr>
          <w:rFonts w:hint="default" w:ascii="Times New Roman" w:hAnsi="Times New Roman" w:eastAsia="宋体" w:cs="Times New Roman"/>
          <w:bCs/>
          <w:sz w:val="28"/>
          <w:szCs w:val="28"/>
          <w:lang w:val="en-US" w:eastAsia="zh-CN"/>
        </w:rPr>
        <w:t>视频监控</w:t>
      </w:r>
    </w:p>
    <w:p w14:paraId="1853A02D">
      <w:pPr>
        <w:adjustRightInd w:val="0"/>
        <w:snapToGrid w:val="0"/>
        <w:spacing w:line="360" w:lineRule="auto"/>
        <w:ind w:firstLine="537" w:firstLineChars="192"/>
        <w:rPr>
          <w:rFonts w:hint="default" w:ascii="Times New Roman" w:hAnsi="Times New Roman" w:eastAsia="宋体" w:cs="Times New Roman"/>
          <w:bCs/>
          <w:sz w:val="28"/>
          <w:szCs w:val="28"/>
          <w:lang w:val="en-US" w:eastAsia="zh-CN"/>
        </w:rPr>
      </w:pPr>
      <w:r>
        <w:rPr>
          <w:rFonts w:hint="default" w:ascii="Times New Roman" w:hAnsi="Times New Roman" w:eastAsia="宋体" w:cs="Times New Roman"/>
          <w:bCs/>
          <w:sz w:val="28"/>
          <w:szCs w:val="28"/>
          <w:lang w:val="en-US" w:eastAsia="zh-CN"/>
        </w:rPr>
        <w:t>1、视频监控点位布设</w:t>
      </w:r>
    </w:p>
    <w:p w14:paraId="110E3F98">
      <w:pPr>
        <w:adjustRightInd w:val="0"/>
        <w:snapToGrid w:val="0"/>
        <w:spacing w:line="360" w:lineRule="auto"/>
        <w:ind w:firstLine="537" w:firstLineChars="192"/>
        <w:rPr>
          <w:rFonts w:hint="default" w:ascii="Times New Roman" w:hAnsi="Times New Roman" w:eastAsia="宋体" w:cs="Times New Roman"/>
          <w:bCs/>
          <w:sz w:val="28"/>
          <w:szCs w:val="28"/>
          <w:lang w:val="en-US" w:eastAsia="zh-CN"/>
        </w:rPr>
      </w:pPr>
      <w:r>
        <w:rPr>
          <w:rFonts w:hint="default" w:ascii="Times New Roman" w:hAnsi="Times New Roman" w:eastAsia="宋体" w:cs="Times New Roman"/>
          <w:bCs/>
          <w:sz w:val="28"/>
          <w:szCs w:val="28"/>
          <w:lang w:val="en-US" w:eastAsia="zh-CN"/>
        </w:rPr>
        <w:t>设计在采场边坡外布置</w:t>
      </w:r>
      <w:r>
        <w:rPr>
          <w:rFonts w:hint="default" w:ascii="Times New Roman" w:hAnsi="Times New Roman" w:cs="Times New Roman"/>
          <w:bCs/>
          <w:sz w:val="28"/>
          <w:szCs w:val="28"/>
          <w:lang w:val="en-US" w:eastAsia="zh-CN"/>
        </w:rPr>
        <w:t>2</w:t>
      </w:r>
      <w:r>
        <w:rPr>
          <w:rFonts w:hint="default" w:ascii="Times New Roman" w:hAnsi="Times New Roman" w:eastAsia="宋体" w:cs="Times New Roman"/>
          <w:bCs/>
          <w:sz w:val="28"/>
          <w:szCs w:val="28"/>
          <w:lang w:val="en-US" w:eastAsia="zh-CN"/>
        </w:rPr>
        <w:t>个视频监测点，监控点用无线网桥技术进行无线视频传输24小时不间断监控。</w:t>
      </w:r>
    </w:p>
    <w:p w14:paraId="016F1244">
      <w:pPr>
        <w:adjustRightInd w:val="0"/>
        <w:snapToGrid w:val="0"/>
        <w:spacing w:line="360" w:lineRule="auto"/>
        <w:ind w:firstLine="537" w:firstLineChars="192"/>
        <w:rPr>
          <w:rFonts w:hint="default" w:ascii="Times New Roman" w:hAnsi="Times New Roman" w:eastAsia="宋体" w:cs="Times New Roman"/>
          <w:bCs/>
          <w:sz w:val="28"/>
          <w:szCs w:val="28"/>
          <w:lang w:val="en-US" w:eastAsia="zh-CN"/>
        </w:rPr>
      </w:pPr>
      <w:r>
        <w:rPr>
          <w:rFonts w:hint="default" w:ascii="Times New Roman" w:hAnsi="Times New Roman" w:eastAsia="宋体" w:cs="Times New Roman"/>
          <w:bCs/>
          <w:sz w:val="28"/>
          <w:szCs w:val="28"/>
          <w:lang w:val="en-US" w:eastAsia="zh-CN"/>
        </w:rPr>
        <w:t>根据所需监控的范围、角度、场景以及现场条件来选择摄像机的安装方法，摄像机的安装固定以立杆为主。杆底端焊接固定法兰盘，预留拉线孔，地基采用钢筋混凝土浇筑。立杆必须安装牢固不得歪斜，制作要美观。立杆必须有较高强度，抗大风、防摄像机抖动、防攀爬、防腐。</w:t>
      </w:r>
    </w:p>
    <w:p w14:paraId="22FBB94C">
      <w:pPr>
        <w:adjustRightInd w:val="0"/>
        <w:snapToGrid w:val="0"/>
        <w:spacing w:line="360" w:lineRule="auto"/>
        <w:ind w:firstLine="537" w:firstLineChars="192"/>
        <w:rPr>
          <w:rFonts w:hint="default" w:ascii="Times New Roman" w:hAnsi="Times New Roman" w:eastAsia="宋体" w:cs="Times New Roman"/>
          <w:bCs/>
          <w:sz w:val="28"/>
          <w:szCs w:val="28"/>
          <w:lang w:val="en-US" w:eastAsia="zh-CN"/>
        </w:rPr>
      </w:pPr>
      <w:r>
        <w:rPr>
          <w:rFonts w:hint="default" w:ascii="Times New Roman" w:hAnsi="Times New Roman" w:eastAsia="宋体" w:cs="Times New Roman"/>
          <w:bCs/>
          <w:sz w:val="28"/>
          <w:szCs w:val="28"/>
          <w:lang w:val="en-US" w:eastAsia="zh-CN"/>
        </w:rPr>
        <w:t>2、视频后端采集存储设备</w:t>
      </w:r>
    </w:p>
    <w:p w14:paraId="59D3708C">
      <w:pPr>
        <w:adjustRightInd w:val="0"/>
        <w:snapToGrid w:val="0"/>
        <w:spacing w:line="360" w:lineRule="auto"/>
        <w:ind w:firstLine="537" w:firstLineChars="192"/>
        <w:rPr>
          <w:rFonts w:hint="default" w:ascii="Times New Roman" w:hAnsi="Times New Roman" w:eastAsia="宋体" w:cs="Times New Roman"/>
          <w:bCs/>
          <w:sz w:val="28"/>
          <w:szCs w:val="28"/>
          <w:lang w:val="en-US" w:eastAsia="zh-CN"/>
        </w:rPr>
      </w:pPr>
      <w:r>
        <w:rPr>
          <w:rFonts w:hint="default" w:ascii="Times New Roman" w:hAnsi="Times New Roman" w:eastAsia="宋体" w:cs="Times New Roman"/>
          <w:bCs/>
          <w:sz w:val="28"/>
          <w:szCs w:val="28"/>
          <w:lang w:val="en-US" w:eastAsia="zh-CN"/>
        </w:rPr>
        <w:t>针对监测要求数据存储时间不得少于30天，设计采用32T硬盘保证存储时间为30天，根据需要还预留有扩展存储接口，可以存储更长时间。视频监测设备应支持基于IE浏览器的配置界面，方便易用；支持设备运行状态的可视化管理；支持SAS扩展柜级联。</w:t>
      </w:r>
    </w:p>
    <w:p w14:paraId="036115E7">
      <w:pPr>
        <w:adjustRightInd w:val="0"/>
        <w:snapToGrid w:val="0"/>
        <w:spacing w:line="360" w:lineRule="auto"/>
        <w:ind w:firstLine="537" w:firstLineChars="192"/>
        <w:rPr>
          <w:rFonts w:hint="default" w:ascii="Times New Roman" w:hAnsi="Times New Roman" w:eastAsia="宋体" w:cs="Times New Roman"/>
          <w:bCs/>
          <w:sz w:val="28"/>
          <w:szCs w:val="28"/>
          <w:lang w:val="en-US" w:eastAsia="zh-CN"/>
        </w:rPr>
      </w:pPr>
      <w:r>
        <w:rPr>
          <w:rFonts w:hint="default" w:ascii="Times New Roman" w:hAnsi="Times New Roman" w:cs="Times New Roman"/>
          <w:bCs/>
          <w:sz w:val="28"/>
          <w:szCs w:val="28"/>
          <w:lang w:val="en-US" w:eastAsia="zh-CN"/>
        </w:rPr>
        <w:t>五、</w:t>
      </w:r>
      <w:r>
        <w:rPr>
          <w:rFonts w:hint="default" w:ascii="Times New Roman" w:hAnsi="Times New Roman" w:eastAsia="宋体" w:cs="Times New Roman"/>
          <w:bCs/>
          <w:sz w:val="28"/>
          <w:szCs w:val="28"/>
          <w:lang w:val="en-US" w:eastAsia="zh-CN"/>
        </w:rPr>
        <w:t>预警及响应</w:t>
      </w:r>
    </w:p>
    <w:p w14:paraId="4A18C93C">
      <w:pPr>
        <w:adjustRightInd w:val="0"/>
        <w:snapToGrid w:val="0"/>
        <w:spacing w:line="360" w:lineRule="auto"/>
        <w:ind w:firstLine="537" w:firstLineChars="192"/>
        <w:rPr>
          <w:rFonts w:hint="default" w:ascii="Times New Roman" w:hAnsi="Times New Roman" w:eastAsia="宋体" w:cs="Times New Roman"/>
          <w:bCs/>
          <w:sz w:val="28"/>
          <w:szCs w:val="28"/>
          <w:lang w:val="en-US" w:eastAsia="zh-CN"/>
        </w:rPr>
      </w:pPr>
      <w:r>
        <w:rPr>
          <w:rFonts w:hint="default" w:ascii="Times New Roman" w:hAnsi="Times New Roman" w:eastAsia="宋体" w:cs="Times New Roman"/>
          <w:bCs/>
          <w:sz w:val="28"/>
          <w:szCs w:val="28"/>
          <w:lang w:val="en-US" w:eastAsia="zh-CN"/>
        </w:rPr>
        <w:t>根据《国家矿山安全监察局关于开展露天矿山边坡监测系统建设及联网工作的通知》（矿安〔2023〕119号），露天矿山安全监测预警应由低级到高级分为蓝色预警、黄色预警、橙色预警、红色预警四个等级。短时间内滑坡可能性非常大，极易造成人员伤亡的应定为一级红色预警；短时间内滑坡可能性大，容易造成人员伤亡的应定为二级橙色预警；滑坡可能性较大，可能造成人员伤亡的应定为三级黄色预警；有滑坡可能性且影响正常生产的应定为四级蓝色预警。</w:t>
      </w:r>
    </w:p>
    <w:p w14:paraId="7C268CA8">
      <w:pPr>
        <w:adjustRightInd w:val="0"/>
        <w:snapToGrid w:val="0"/>
        <w:spacing w:line="360" w:lineRule="auto"/>
        <w:ind w:firstLine="537" w:firstLineChars="192"/>
        <w:rPr>
          <w:rFonts w:hint="default" w:ascii="Times New Roman" w:hAnsi="Times New Roman" w:eastAsia="宋体" w:cs="Times New Roman"/>
          <w:bCs/>
          <w:sz w:val="28"/>
          <w:szCs w:val="28"/>
          <w:lang w:val="en-US" w:eastAsia="zh-CN"/>
        </w:rPr>
      </w:pPr>
      <w:r>
        <w:rPr>
          <w:rFonts w:hint="default" w:ascii="Times New Roman" w:hAnsi="Times New Roman" w:eastAsia="宋体" w:cs="Times New Roman"/>
          <w:bCs/>
          <w:sz w:val="28"/>
          <w:szCs w:val="28"/>
          <w:lang w:val="en-US" w:eastAsia="zh-CN"/>
        </w:rPr>
        <w:t>本项目的安全预警项目包括高清摄像头、表面位移及降雨量。安全监测项目的蓝色预警、黄色预警、橙色预警和红色预警采用监测预警阈值进行判定。</w:t>
      </w:r>
    </w:p>
    <w:p w14:paraId="39D509BE">
      <w:pPr>
        <w:adjustRightInd w:val="0"/>
        <w:snapToGrid w:val="0"/>
        <w:spacing w:line="360" w:lineRule="auto"/>
        <w:ind w:firstLine="537" w:firstLineChars="192"/>
        <w:rPr>
          <w:rFonts w:hint="default" w:ascii="Times New Roman" w:hAnsi="Times New Roman" w:eastAsia="宋体" w:cs="Times New Roman"/>
          <w:bCs/>
          <w:sz w:val="28"/>
          <w:szCs w:val="28"/>
          <w:lang w:val="en-US" w:eastAsia="zh-CN"/>
        </w:rPr>
      </w:pPr>
      <w:r>
        <w:rPr>
          <w:rFonts w:hint="default" w:ascii="Times New Roman" w:hAnsi="Times New Roman" w:cs="Times New Roman"/>
          <w:bCs/>
          <w:sz w:val="28"/>
          <w:szCs w:val="28"/>
          <w:lang w:val="en-US" w:eastAsia="zh-CN"/>
        </w:rPr>
        <w:t>六</w:t>
      </w:r>
      <w:r>
        <w:rPr>
          <w:rFonts w:hint="default" w:ascii="Times New Roman" w:hAnsi="Times New Roman" w:eastAsia="宋体" w:cs="Times New Roman"/>
          <w:bCs/>
          <w:sz w:val="28"/>
          <w:szCs w:val="28"/>
          <w:lang w:val="en-US" w:eastAsia="zh-CN"/>
        </w:rPr>
        <w:t>结论及建议</w:t>
      </w:r>
    </w:p>
    <w:p w14:paraId="2C6B3688">
      <w:pPr>
        <w:adjustRightInd w:val="0"/>
        <w:snapToGrid w:val="0"/>
        <w:spacing w:line="360" w:lineRule="auto"/>
        <w:ind w:firstLine="537" w:firstLineChars="192"/>
        <w:rPr>
          <w:rFonts w:hint="default" w:ascii="Times New Roman" w:hAnsi="Times New Roman" w:eastAsia="宋体" w:cs="Times New Roman"/>
          <w:bCs/>
          <w:sz w:val="28"/>
          <w:szCs w:val="28"/>
          <w:lang w:val="en-US" w:eastAsia="zh-CN"/>
        </w:rPr>
      </w:pPr>
      <w:r>
        <w:rPr>
          <w:rFonts w:hint="default" w:ascii="Times New Roman" w:hAnsi="Times New Roman" w:eastAsia="宋体" w:cs="Times New Roman"/>
          <w:bCs/>
          <w:sz w:val="28"/>
          <w:szCs w:val="28"/>
          <w:lang w:val="en-US" w:eastAsia="zh-CN"/>
        </w:rPr>
        <w:t>1、依据边坡赋存岩性、终了边坡与矿区地层空间关系及边坡高度等因素，选择代表性剖面采用极限平衡法对矿山边坡稳定性进行了计算分析，分析结果表明矿山设计终了边坡安全系数满足规范要求，边坡处于稳定状态。</w:t>
      </w:r>
    </w:p>
    <w:p w14:paraId="652BB064">
      <w:pPr>
        <w:adjustRightInd w:val="0"/>
        <w:snapToGrid w:val="0"/>
        <w:spacing w:line="360" w:lineRule="auto"/>
        <w:ind w:firstLine="537" w:firstLineChars="192"/>
        <w:rPr>
          <w:rFonts w:hint="default" w:ascii="Times New Roman" w:hAnsi="Times New Roman" w:eastAsia="宋体" w:cs="Times New Roman"/>
          <w:bCs/>
          <w:sz w:val="28"/>
          <w:szCs w:val="28"/>
          <w:lang w:val="en-US" w:eastAsia="zh-CN"/>
        </w:rPr>
      </w:pPr>
      <w:r>
        <w:rPr>
          <w:rFonts w:hint="default" w:ascii="Times New Roman" w:hAnsi="Times New Roman" w:eastAsia="宋体" w:cs="Times New Roman"/>
          <w:bCs/>
          <w:sz w:val="28"/>
          <w:szCs w:val="28"/>
          <w:lang w:val="en-US" w:eastAsia="zh-CN"/>
        </w:rPr>
        <w:t>2、健全边坡日常管理制度，对露天矿边坡进行实时动态监测，同时配置专职安全员对边坡安全进行巡视检查</w:t>
      </w:r>
    </w:p>
    <w:p w14:paraId="25BE54C3">
      <w:pPr>
        <w:pStyle w:val="4"/>
        <w:spacing w:before="0" w:after="0" w:line="360" w:lineRule="auto"/>
        <w:rPr>
          <w:rFonts w:hint="default" w:ascii="Times New Roman" w:hAnsi="Times New Roman" w:cs="Times New Roman"/>
          <w:sz w:val="28"/>
          <w:szCs w:val="28"/>
        </w:rPr>
      </w:pPr>
      <w:bookmarkStart w:id="309" w:name="_Toc2701"/>
      <w:bookmarkStart w:id="310" w:name="_Toc27619"/>
      <w:bookmarkStart w:id="311" w:name="_Toc23775"/>
      <w:bookmarkStart w:id="312" w:name="_Toc6582"/>
      <w:r>
        <w:rPr>
          <w:rFonts w:hint="default" w:ascii="Times New Roman" w:hAnsi="Times New Roman" w:cs="Times New Roman"/>
          <w:sz w:val="28"/>
          <w:szCs w:val="28"/>
        </w:rPr>
        <w:t>2.4.8矿山供配电</w:t>
      </w:r>
      <w:bookmarkEnd w:id="309"/>
      <w:r>
        <w:rPr>
          <w:rFonts w:hint="default" w:ascii="Times New Roman" w:hAnsi="Times New Roman" w:cs="Times New Roman"/>
          <w:sz w:val="28"/>
          <w:szCs w:val="28"/>
        </w:rPr>
        <w:t>及通信系统</w:t>
      </w:r>
      <w:bookmarkEnd w:id="310"/>
      <w:bookmarkEnd w:id="311"/>
      <w:bookmarkEnd w:id="312"/>
    </w:p>
    <w:p w14:paraId="6823626A">
      <w:pPr>
        <w:adjustRightInd w:val="0"/>
        <w:snapToGrid w:val="0"/>
        <w:spacing w:line="360" w:lineRule="auto"/>
        <w:ind w:firstLine="560" w:firstLineChars="200"/>
        <w:rPr>
          <w:rFonts w:hint="default" w:ascii="Times New Roman" w:hAnsi="Times New Roman" w:cs="Times New Roman"/>
          <w:sz w:val="28"/>
          <w:szCs w:val="21"/>
        </w:rPr>
      </w:pPr>
      <w:r>
        <w:rPr>
          <w:rFonts w:hint="default" w:ascii="Times New Roman" w:hAnsi="Times New Roman" w:cs="Times New Roman"/>
          <w:sz w:val="28"/>
          <w:szCs w:val="21"/>
        </w:rPr>
        <w:t>1、供配电</w:t>
      </w:r>
    </w:p>
    <w:p w14:paraId="32F2F263">
      <w:pPr>
        <w:adjustRightInd w:val="0"/>
        <w:snapToGrid w:val="0"/>
        <w:spacing w:line="360" w:lineRule="auto"/>
        <w:ind w:firstLine="560" w:firstLineChars="200"/>
        <w:rPr>
          <w:rFonts w:hint="default" w:ascii="Times New Roman" w:hAnsi="Times New Roman" w:cs="Times New Roman"/>
          <w:sz w:val="28"/>
          <w:szCs w:val="21"/>
          <w:lang w:val="zh-CN"/>
        </w:rPr>
      </w:pPr>
      <w:bookmarkStart w:id="313" w:name="_Hlk171676528"/>
      <w:r>
        <w:rPr>
          <w:rFonts w:hint="default" w:ascii="Times New Roman" w:hAnsi="Times New Roman" w:cs="Times New Roman"/>
          <w:sz w:val="28"/>
          <w:szCs w:val="21"/>
          <w:lang w:val="zh-CN"/>
        </w:rPr>
        <w:t>本矿为露天开采，矿区用电负荷不大，主要用电设备为料仓照明用电、办公用电等。目前矿山用电由设计变电室引出的10kV高压线“T”接而来，</w:t>
      </w:r>
      <w:bookmarkStart w:id="314" w:name="_Hlk165071705"/>
      <w:r>
        <w:rPr>
          <w:rFonts w:hint="default" w:ascii="Times New Roman" w:hAnsi="Times New Roman" w:cs="Times New Roman"/>
          <w:sz w:val="28"/>
          <w:szCs w:val="21"/>
          <w:lang w:val="zh-CN"/>
        </w:rPr>
        <w:t>矿山现已架设S11-250/10/0.4型变压器一台</w:t>
      </w:r>
      <w:bookmarkEnd w:id="314"/>
      <w:r>
        <w:rPr>
          <w:rFonts w:hint="default" w:ascii="Times New Roman" w:hAnsi="Times New Roman" w:cs="Times New Roman"/>
          <w:sz w:val="28"/>
          <w:szCs w:val="21"/>
          <w:lang w:val="zh-CN"/>
        </w:rPr>
        <w:t>、S11-100/10/0.4型变压器一台。10kV的高压电经变压器降压后，变为380V的低压电，然后送到低压配电柜的低压母线上，由母线再引入低压配电柜，由低压配电柜把电能分配给各用电设备，供电能力可以满足设计的矿山建设项目用电需求</w:t>
      </w:r>
      <w:bookmarkEnd w:id="313"/>
      <w:r>
        <w:rPr>
          <w:rFonts w:hint="default" w:ascii="Times New Roman" w:hAnsi="Times New Roman" w:cs="Times New Roman"/>
          <w:sz w:val="28"/>
          <w:szCs w:val="21"/>
          <w:lang w:val="zh-CN"/>
        </w:rPr>
        <w:t>。</w:t>
      </w:r>
    </w:p>
    <w:p w14:paraId="63AD9C33">
      <w:pPr>
        <w:adjustRightInd w:val="0"/>
        <w:snapToGrid w:val="0"/>
        <w:spacing w:line="360" w:lineRule="auto"/>
        <w:ind w:firstLine="560" w:firstLineChars="200"/>
        <w:rPr>
          <w:rFonts w:hint="default" w:ascii="Times New Roman" w:hAnsi="Times New Roman" w:cs="Times New Roman"/>
          <w:sz w:val="28"/>
          <w:szCs w:val="21"/>
          <w:lang w:val="zh-CN"/>
        </w:rPr>
      </w:pPr>
      <w:r>
        <w:rPr>
          <w:rFonts w:hint="default" w:ascii="Times New Roman" w:hAnsi="Times New Roman" w:cs="Times New Roman"/>
          <w:sz w:val="28"/>
          <w:szCs w:val="21"/>
          <w:lang w:val="zh-CN"/>
        </w:rPr>
        <w:t>2、电压等级</w:t>
      </w:r>
    </w:p>
    <w:p w14:paraId="533AB9A8">
      <w:pPr>
        <w:adjustRightInd w:val="0"/>
        <w:snapToGrid w:val="0"/>
        <w:spacing w:line="360" w:lineRule="auto"/>
        <w:ind w:firstLine="560" w:firstLineChars="200"/>
        <w:rPr>
          <w:rFonts w:hint="default" w:ascii="Times New Roman" w:hAnsi="Times New Roman" w:cs="Times New Roman"/>
          <w:sz w:val="28"/>
          <w:szCs w:val="28"/>
        </w:rPr>
      </w:pPr>
      <w:r>
        <w:rPr>
          <w:rFonts w:hint="default" w:ascii="Times New Roman" w:hAnsi="Times New Roman" w:cs="Times New Roman"/>
          <w:sz w:val="28"/>
          <w:szCs w:val="28"/>
        </w:rPr>
        <w:t>矿山配电站受电电压：10KV；</w:t>
      </w:r>
    </w:p>
    <w:p w14:paraId="1C6FA5D0">
      <w:pPr>
        <w:adjustRightInd w:val="0"/>
        <w:snapToGrid w:val="0"/>
        <w:spacing w:line="360" w:lineRule="auto"/>
        <w:ind w:firstLine="560" w:firstLineChars="200"/>
        <w:rPr>
          <w:rFonts w:hint="default" w:ascii="Times New Roman" w:hAnsi="Times New Roman" w:cs="Times New Roman"/>
          <w:sz w:val="28"/>
          <w:szCs w:val="28"/>
        </w:rPr>
      </w:pPr>
      <w:r>
        <w:rPr>
          <w:rFonts w:hint="default" w:ascii="Times New Roman" w:hAnsi="Times New Roman" w:cs="Times New Roman"/>
          <w:sz w:val="28"/>
          <w:szCs w:val="28"/>
        </w:rPr>
        <w:t>高压配电电压：10KV；</w:t>
      </w:r>
    </w:p>
    <w:p w14:paraId="29556442">
      <w:pPr>
        <w:adjustRightInd w:val="0"/>
        <w:snapToGrid w:val="0"/>
        <w:spacing w:line="360" w:lineRule="auto"/>
        <w:ind w:firstLine="560" w:firstLineChars="200"/>
        <w:rPr>
          <w:rFonts w:hint="default" w:ascii="Times New Roman" w:hAnsi="Times New Roman" w:cs="Times New Roman"/>
          <w:sz w:val="28"/>
          <w:szCs w:val="28"/>
        </w:rPr>
      </w:pPr>
      <w:r>
        <w:rPr>
          <w:rFonts w:hint="default" w:ascii="Times New Roman" w:hAnsi="Times New Roman" w:cs="Times New Roman"/>
          <w:sz w:val="28"/>
          <w:szCs w:val="28"/>
        </w:rPr>
        <w:t>低压配电电压：380/220V；</w:t>
      </w:r>
    </w:p>
    <w:p w14:paraId="0C916E83">
      <w:pPr>
        <w:adjustRightInd w:val="0"/>
        <w:snapToGrid w:val="0"/>
        <w:spacing w:line="360" w:lineRule="auto"/>
        <w:ind w:firstLine="560" w:firstLineChars="200"/>
        <w:rPr>
          <w:rFonts w:hint="default" w:ascii="Times New Roman" w:hAnsi="Times New Roman" w:cs="Times New Roman"/>
          <w:sz w:val="28"/>
          <w:szCs w:val="28"/>
        </w:rPr>
      </w:pPr>
      <w:r>
        <w:rPr>
          <w:rFonts w:hint="default" w:ascii="Times New Roman" w:hAnsi="Times New Roman" w:cs="Times New Roman"/>
          <w:sz w:val="28"/>
          <w:szCs w:val="28"/>
        </w:rPr>
        <w:t>低压电动机电压：380V；</w:t>
      </w:r>
    </w:p>
    <w:p w14:paraId="1441CA36">
      <w:pPr>
        <w:adjustRightInd w:val="0"/>
        <w:snapToGrid w:val="0"/>
        <w:spacing w:line="360" w:lineRule="auto"/>
        <w:ind w:firstLine="560" w:firstLineChars="200"/>
        <w:rPr>
          <w:rFonts w:hint="default" w:ascii="Times New Roman" w:hAnsi="Times New Roman" w:cs="Times New Roman"/>
          <w:sz w:val="28"/>
          <w:szCs w:val="28"/>
        </w:rPr>
      </w:pPr>
      <w:r>
        <w:rPr>
          <w:rFonts w:hint="default" w:ascii="Times New Roman" w:hAnsi="Times New Roman" w:cs="Times New Roman"/>
          <w:sz w:val="28"/>
          <w:szCs w:val="28"/>
        </w:rPr>
        <w:t>检修、照明电压：220V。</w:t>
      </w:r>
    </w:p>
    <w:p w14:paraId="07430C5C">
      <w:pPr>
        <w:adjustRightInd w:val="0"/>
        <w:snapToGrid w:val="0"/>
        <w:spacing w:line="360" w:lineRule="auto"/>
        <w:ind w:firstLine="560" w:firstLineChars="200"/>
        <w:rPr>
          <w:rFonts w:hint="default" w:ascii="Times New Roman" w:hAnsi="Times New Roman" w:cs="Times New Roman"/>
          <w:sz w:val="28"/>
          <w:szCs w:val="28"/>
        </w:rPr>
      </w:pPr>
      <w:bookmarkStart w:id="315" w:name="_Toc235006942"/>
      <w:bookmarkStart w:id="316" w:name="_Toc241059905"/>
      <w:bookmarkStart w:id="317" w:name="_Toc31899"/>
      <w:bookmarkStart w:id="318" w:name="_Toc289437323"/>
      <w:bookmarkStart w:id="319" w:name="_Toc324367036"/>
      <w:r>
        <w:rPr>
          <w:rFonts w:hint="default" w:ascii="Times New Roman" w:hAnsi="Times New Roman" w:cs="Times New Roman"/>
          <w:sz w:val="28"/>
          <w:szCs w:val="28"/>
        </w:rPr>
        <w:t>3、防雷及接地</w:t>
      </w:r>
      <w:bookmarkEnd w:id="315"/>
      <w:bookmarkEnd w:id="316"/>
      <w:bookmarkEnd w:id="317"/>
      <w:bookmarkEnd w:id="318"/>
      <w:bookmarkEnd w:id="319"/>
    </w:p>
    <w:p w14:paraId="5322F03D">
      <w:pPr>
        <w:adjustRightInd w:val="0"/>
        <w:snapToGrid w:val="0"/>
        <w:spacing w:line="360" w:lineRule="auto"/>
        <w:ind w:firstLine="560" w:firstLineChars="200"/>
        <w:rPr>
          <w:rFonts w:hint="default" w:ascii="Times New Roman" w:hAnsi="Times New Roman" w:cs="Times New Roman"/>
          <w:sz w:val="28"/>
          <w:szCs w:val="28"/>
        </w:rPr>
      </w:pPr>
      <w:r>
        <w:rPr>
          <w:rFonts w:hint="default" w:ascii="Times New Roman" w:hAnsi="Times New Roman" w:cs="Times New Roman"/>
          <w:sz w:val="28"/>
          <w:szCs w:val="28"/>
          <w:lang w:eastAsia="zh-CN"/>
        </w:rPr>
        <w:t>（</w:t>
      </w:r>
      <w:r>
        <w:rPr>
          <w:rFonts w:hint="default" w:ascii="Times New Roman" w:hAnsi="Times New Roman" w:cs="Times New Roman"/>
          <w:sz w:val="28"/>
          <w:szCs w:val="28"/>
          <w:lang w:val="en-US" w:eastAsia="zh-CN"/>
        </w:rPr>
        <w:t>1</w:t>
      </w:r>
      <w:r>
        <w:rPr>
          <w:rFonts w:hint="default" w:ascii="Times New Roman" w:hAnsi="Times New Roman" w:cs="Times New Roman"/>
          <w:sz w:val="28"/>
          <w:szCs w:val="28"/>
          <w:lang w:eastAsia="zh-CN"/>
        </w:rPr>
        <w:t>）</w:t>
      </w:r>
      <w:r>
        <w:rPr>
          <w:rFonts w:hint="default" w:ascii="Times New Roman" w:hAnsi="Times New Roman" w:cs="Times New Roman"/>
          <w:sz w:val="28"/>
          <w:szCs w:val="28"/>
        </w:rPr>
        <w:t>按国家防雷规范设置防雷保护。</w:t>
      </w:r>
    </w:p>
    <w:p w14:paraId="76A23C2D">
      <w:pPr>
        <w:adjustRightInd w:val="0"/>
        <w:snapToGrid w:val="0"/>
        <w:spacing w:line="360" w:lineRule="auto"/>
        <w:ind w:firstLine="560" w:firstLineChars="200"/>
        <w:rPr>
          <w:rFonts w:hint="default" w:ascii="Times New Roman" w:hAnsi="Times New Roman" w:cs="Times New Roman"/>
          <w:sz w:val="28"/>
          <w:szCs w:val="28"/>
        </w:rPr>
      </w:pPr>
      <w:r>
        <w:rPr>
          <w:rFonts w:hint="default" w:ascii="Times New Roman" w:hAnsi="Times New Roman" w:cs="Times New Roman"/>
          <w:sz w:val="28"/>
          <w:szCs w:val="28"/>
        </w:rPr>
        <w:t>10kV配电变压器及电动机应用避雷器保护，采用与旋转电机配套的氧化锌避雷器。</w:t>
      </w:r>
    </w:p>
    <w:p w14:paraId="39295B81">
      <w:pPr>
        <w:adjustRightInd w:val="0"/>
        <w:snapToGrid w:val="0"/>
        <w:spacing w:line="360" w:lineRule="auto"/>
        <w:ind w:firstLine="560" w:firstLineChars="200"/>
        <w:rPr>
          <w:rFonts w:hint="default" w:ascii="Times New Roman" w:hAnsi="Times New Roman" w:cs="Times New Roman"/>
          <w:sz w:val="28"/>
          <w:szCs w:val="28"/>
        </w:rPr>
      </w:pPr>
      <w:r>
        <w:rPr>
          <w:rFonts w:hint="default" w:ascii="Times New Roman" w:hAnsi="Times New Roman" w:cs="Times New Roman"/>
          <w:sz w:val="28"/>
          <w:szCs w:val="28"/>
          <w:lang w:eastAsia="zh-CN"/>
        </w:rPr>
        <w:t>（</w:t>
      </w:r>
      <w:r>
        <w:rPr>
          <w:rFonts w:hint="default" w:ascii="Times New Roman" w:hAnsi="Times New Roman" w:cs="Times New Roman"/>
          <w:sz w:val="28"/>
          <w:szCs w:val="28"/>
          <w:lang w:val="en-US" w:eastAsia="zh-CN"/>
        </w:rPr>
        <w:t>2</w:t>
      </w:r>
      <w:r>
        <w:rPr>
          <w:rFonts w:hint="default" w:ascii="Times New Roman" w:hAnsi="Times New Roman" w:cs="Times New Roman"/>
          <w:sz w:val="28"/>
          <w:szCs w:val="28"/>
          <w:lang w:eastAsia="zh-CN"/>
        </w:rPr>
        <w:t>）</w:t>
      </w:r>
      <w:r>
        <w:rPr>
          <w:rFonts w:hint="default" w:ascii="Times New Roman" w:hAnsi="Times New Roman" w:cs="Times New Roman"/>
          <w:sz w:val="28"/>
          <w:szCs w:val="28"/>
        </w:rPr>
        <w:t>接地系统：</w:t>
      </w:r>
    </w:p>
    <w:p w14:paraId="046779DD">
      <w:pPr>
        <w:adjustRightInd w:val="0"/>
        <w:snapToGrid w:val="0"/>
        <w:spacing w:line="360" w:lineRule="auto"/>
        <w:ind w:firstLine="560" w:firstLineChars="200"/>
        <w:rPr>
          <w:rFonts w:hint="default" w:ascii="Times New Roman" w:hAnsi="Times New Roman" w:cs="Times New Roman"/>
          <w:sz w:val="28"/>
          <w:szCs w:val="28"/>
        </w:rPr>
      </w:pPr>
      <w:r>
        <w:rPr>
          <w:rFonts w:hint="default" w:ascii="Times New Roman" w:hAnsi="Times New Roman" w:cs="Times New Roman"/>
          <w:sz w:val="28"/>
          <w:szCs w:val="28"/>
        </w:rPr>
        <w:t>10kV系统为小电流接地系统。</w:t>
      </w:r>
    </w:p>
    <w:p w14:paraId="4118EFE8">
      <w:pPr>
        <w:adjustRightInd w:val="0"/>
        <w:snapToGrid w:val="0"/>
        <w:spacing w:line="360" w:lineRule="auto"/>
        <w:ind w:firstLine="560" w:firstLineChars="200"/>
        <w:rPr>
          <w:rFonts w:hint="default" w:ascii="Times New Roman" w:hAnsi="Times New Roman" w:cs="Times New Roman"/>
          <w:sz w:val="28"/>
          <w:szCs w:val="28"/>
        </w:rPr>
      </w:pPr>
      <w:r>
        <w:rPr>
          <w:rFonts w:hint="default" w:ascii="Times New Roman" w:hAnsi="Times New Roman" w:cs="Times New Roman"/>
          <w:sz w:val="28"/>
          <w:szCs w:val="28"/>
        </w:rPr>
        <w:t>380/220V低压配电系统：工业场地、办公区等均采用TN-C-S接地系统。</w:t>
      </w:r>
    </w:p>
    <w:p w14:paraId="4DC6A071">
      <w:pPr>
        <w:adjustRightInd w:val="0"/>
        <w:snapToGrid w:val="0"/>
        <w:spacing w:line="360" w:lineRule="auto"/>
        <w:ind w:firstLine="560" w:firstLineChars="200"/>
        <w:rPr>
          <w:rFonts w:hint="default" w:ascii="Times New Roman" w:hAnsi="Times New Roman" w:cs="Times New Roman"/>
          <w:sz w:val="28"/>
          <w:szCs w:val="21"/>
        </w:rPr>
      </w:pPr>
      <w:bookmarkStart w:id="320" w:name="_Hlk145799884"/>
      <w:bookmarkStart w:id="321" w:name="_Hlk145851071"/>
      <w:r>
        <w:rPr>
          <w:rFonts w:hint="default" w:ascii="Times New Roman" w:hAnsi="Times New Roman" w:cs="Times New Roman"/>
          <w:sz w:val="28"/>
          <w:szCs w:val="21"/>
          <w:lang w:val="en-US" w:eastAsia="zh-CN"/>
        </w:rPr>
        <w:t>4</w:t>
      </w:r>
      <w:r>
        <w:rPr>
          <w:rFonts w:hint="default" w:ascii="Times New Roman" w:hAnsi="Times New Roman" w:cs="Times New Roman"/>
          <w:sz w:val="28"/>
          <w:szCs w:val="21"/>
        </w:rPr>
        <w:t>、通信系统</w:t>
      </w:r>
    </w:p>
    <w:p w14:paraId="4BCCFE65">
      <w:pPr>
        <w:adjustRightInd w:val="0"/>
        <w:snapToGrid w:val="0"/>
        <w:spacing w:line="360" w:lineRule="auto"/>
        <w:ind w:firstLine="560" w:firstLineChars="200"/>
        <w:rPr>
          <w:rFonts w:hint="default" w:ascii="Times New Roman" w:hAnsi="Times New Roman" w:cs="Times New Roman"/>
          <w:sz w:val="28"/>
          <w:szCs w:val="21"/>
        </w:rPr>
      </w:pPr>
      <w:r>
        <w:rPr>
          <w:rFonts w:hint="default" w:ascii="Times New Roman" w:hAnsi="Times New Roman" w:cs="Times New Roman"/>
          <w:sz w:val="28"/>
          <w:szCs w:val="21"/>
        </w:rPr>
        <w:t>矿区地面范围内通讯考虑使用对讲机系统及移动手机，主要设采场3部、矿部办公室2部，生产技术科1部，值班室2部、安全员2部。矿山与外部联系采用商业移动通讯网络及电信通信网络。</w:t>
      </w:r>
    </w:p>
    <w:bookmarkEnd w:id="320"/>
    <w:bookmarkEnd w:id="321"/>
    <w:p w14:paraId="3110FA06">
      <w:pPr>
        <w:pStyle w:val="4"/>
        <w:spacing w:before="0" w:after="0" w:line="360" w:lineRule="auto"/>
        <w:rPr>
          <w:rFonts w:hint="default" w:ascii="Times New Roman" w:hAnsi="Times New Roman" w:cs="Times New Roman"/>
          <w:sz w:val="28"/>
          <w:szCs w:val="28"/>
        </w:rPr>
      </w:pPr>
      <w:bookmarkStart w:id="322" w:name="_Toc2564"/>
      <w:bookmarkStart w:id="323" w:name="_Toc6915"/>
      <w:bookmarkStart w:id="324" w:name="_Toc29458"/>
      <w:bookmarkStart w:id="325" w:name="_Toc18622"/>
      <w:r>
        <w:rPr>
          <w:rFonts w:hint="default" w:ascii="Times New Roman" w:hAnsi="Times New Roman" w:cs="Times New Roman"/>
          <w:sz w:val="28"/>
          <w:szCs w:val="28"/>
        </w:rPr>
        <w:t>2.4.9防排水系统</w:t>
      </w:r>
      <w:bookmarkEnd w:id="322"/>
      <w:bookmarkEnd w:id="323"/>
      <w:bookmarkEnd w:id="324"/>
      <w:bookmarkEnd w:id="325"/>
    </w:p>
    <w:p w14:paraId="596C29D8">
      <w:pPr>
        <w:adjustRightInd w:val="0"/>
        <w:snapToGrid w:val="0"/>
        <w:spacing w:line="360" w:lineRule="auto"/>
        <w:ind w:firstLine="560" w:firstLineChars="200"/>
        <w:rPr>
          <w:rFonts w:hint="default" w:ascii="Times New Roman" w:hAnsi="Times New Roman" w:cs="Times New Roman"/>
          <w:sz w:val="28"/>
          <w:szCs w:val="28"/>
        </w:rPr>
      </w:pPr>
      <w:r>
        <w:rPr>
          <w:rFonts w:hint="default" w:ascii="Times New Roman" w:hAnsi="Times New Roman" w:cs="Times New Roman"/>
          <w:sz w:val="28"/>
          <w:szCs w:val="28"/>
        </w:rPr>
        <w:t>1、露天采场排水</w:t>
      </w:r>
    </w:p>
    <w:p w14:paraId="3D41DA33">
      <w:pPr>
        <w:adjustRightInd w:val="0"/>
        <w:snapToGrid w:val="0"/>
        <w:spacing w:line="360" w:lineRule="auto"/>
        <w:ind w:firstLine="560" w:firstLineChars="200"/>
        <w:rPr>
          <w:rFonts w:hint="default" w:ascii="Times New Roman" w:hAnsi="Times New Roman" w:eastAsia="宋体" w:cs="Times New Roman"/>
          <w:sz w:val="28"/>
          <w:szCs w:val="28"/>
          <w:lang w:eastAsia="zh-CN"/>
        </w:rPr>
      </w:pPr>
      <w:r>
        <w:rPr>
          <w:rFonts w:hint="default" w:ascii="Times New Roman" w:hAnsi="Times New Roman" w:cs="Times New Roman"/>
          <w:sz w:val="28"/>
          <w:szCs w:val="28"/>
        </w:rPr>
        <w:t>由于矿山位于山顶区，场外汇水面积很小，</w:t>
      </w:r>
      <w:r>
        <w:rPr>
          <w:rFonts w:hint="default" w:ascii="Times New Roman" w:hAnsi="Times New Roman" w:cs="Times New Roman"/>
          <w:sz w:val="28"/>
          <w:szCs w:val="28"/>
          <w:lang w:val="en-US" w:eastAsia="zh-CN"/>
        </w:rPr>
        <w:t>且</w:t>
      </w:r>
      <w:r>
        <w:rPr>
          <w:rFonts w:hint="default" w:ascii="Times New Roman" w:hAnsi="Times New Roman" w:cs="Times New Roman"/>
          <w:sz w:val="28"/>
          <w:szCs w:val="28"/>
        </w:rPr>
        <w:t>开采活动范围均在当地最低侵蚀基准面以上，采场汇水可经台阶排水沟排出场外</w:t>
      </w:r>
      <w:r>
        <w:rPr>
          <w:rFonts w:hint="default" w:ascii="Times New Roman" w:hAnsi="Times New Roman" w:cs="Times New Roman"/>
          <w:sz w:val="28"/>
          <w:szCs w:val="28"/>
          <w:lang w:eastAsia="zh-CN"/>
        </w:rPr>
        <w:t>，</w:t>
      </w:r>
      <w:r>
        <w:rPr>
          <w:rFonts w:hint="default" w:ascii="Times New Roman" w:hAnsi="Times New Roman" w:cs="Times New Roman"/>
          <w:sz w:val="28"/>
          <w:szCs w:val="28"/>
          <w:lang w:val="en-US" w:eastAsia="zh-CN"/>
        </w:rPr>
        <w:t>设计</w:t>
      </w:r>
      <w:r>
        <w:rPr>
          <w:rFonts w:hint="default" w:ascii="Times New Roman" w:hAnsi="Times New Roman" w:cs="Times New Roman"/>
          <w:sz w:val="28"/>
          <w:szCs w:val="28"/>
        </w:rPr>
        <w:t>不设置场外排水设施</w:t>
      </w:r>
      <w:r>
        <w:rPr>
          <w:rFonts w:hint="default" w:ascii="Times New Roman" w:hAnsi="Times New Roman" w:cs="Times New Roman"/>
          <w:sz w:val="28"/>
          <w:szCs w:val="28"/>
          <w:lang w:eastAsia="zh-CN"/>
        </w:rPr>
        <w:t>。</w:t>
      </w:r>
    </w:p>
    <w:p w14:paraId="168EC064">
      <w:pPr>
        <w:adjustRightInd w:val="0"/>
        <w:snapToGrid w:val="0"/>
        <w:spacing w:line="360" w:lineRule="auto"/>
        <w:ind w:firstLine="560" w:firstLineChars="200"/>
        <w:rPr>
          <w:rFonts w:hint="default" w:ascii="Times New Roman" w:hAnsi="Times New Roman" w:cs="Times New Roman"/>
        </w:rPr>
      </w:pPr>
      <w:r>
        <w:rPr>
          <w:rFonts w:hint="default" w:ascii="Times New Roman" w:hAnsi="Times New Roman" w:cs="Times New Roman"/>
          <w:sz w:val="28"/>
          <w:szCs w:val="28"/>
        </w:rPr>
        <w:t>道路洒水和矿堆洒水均直接蒸发，不外排，露天采场排水主要为大气降雨，露天采场的降水通过台阶排水沟排至沉淀池或排出场外。</w:t>
      </w:r>
    </w:p>
    <w:p w14:paraId="758C4688">
      <w:pPr>
        <w:wordWrap w:val="0"/>
        <w:adjustRightInd w:val="0"/>
        <w:snapToGrid w:val="0"/>
        <w:spacing w:line="360" w:lineRule="auto"/>
        <w:ind w:firstLine="560" w:firstLineChars="200"/>
        <w:rPr>
          <w:rFonts w:hint="default" w:ascii="Times New Roman" w:hAnsi="Times New Roman" w:eastAsia="宋体" w:cs="Times New Roman"/>
          <w:sz w:val="28"/>
          <w:szCs w:val="21"/>
        </w:rPr>
      </w:pPr>
      <w:bookmarkStart w:id="326" w:name="_Hlk194352286"/>
      <w:r>
        <w:rPr>
          <w:rFonts w:hint="default" w:ascii="Times New Roman" w:hAnsi="Times New Roman" w:eastAsia="宋体" w:cs="Times New Roman"/>
          <w:sz w:val="28"/>
          <w:szCs w:val="21"/>
        </w:rPr>
        <w:t>设计采场清扫平台排水沟采用矩形断面</w:t>
      </w:r>
      <w:r>
        <w:rPr>
          <w:rFonts w:hint="default" w:ascii="Times New Roman" w:hAnsi="Times New Roman" w:cs="Times New Roman"/>
          <w:sz w:val="28"/>
          <w:szCs w:val="21"/>
          <w:lang w:eastAsia="zh-CN"/>
        </w:rPr>
        <w:t>，</w:t>
      </w:r>
      <w:r>
        <w:rPr>
          <w:rFonts w:hint="default" w:ascii="Times New Roman" w:hAnsi="Times New Roman" w:eastAsia="宋体" w:cs="Times New Roman"/>
          <w:sz w:val="28"/>
          <w:szCs w:val="21"/>
        </w:rPr>
        <w:t>各段排水沟断面尺寸详见</w:t>
      </w:r>
      <w:r>
        <w:rPr>
          <w:rFonts w:hint="default" w:ascii="Times New Roman" w:hAnsi="Times New Roman" w:eastAsia="宋体" w:cs="Times New Roman"/>
          <w:sz w:val="28"/>
          <w:szCs w:val="21"/>
          <w:lang w:val="en-US" w:eastAsia="zh-CN"/>
        </w:rPr>
        <w:t>下</w:t>
      </w:r>
      <w:r>
        <w:rPr>
          <w:rFonts w:hint="default" w:ascii="Times New Roman" w:hAnsi="Times New Roman" w:eastAsia="宋体" w:cs="Times New Roman"/>
          <w:sz w:val="28"/>
          <w:szCs w:val="21"/>
        </w:rPr>
        <w:t>表。</w:t>
      </w:r>
    </w:p>
    <w:bookmarkEnd w:id="326"/>
    <w:p w14:paraId="3F4828FF">
      <w:pPr>
        <w:keepNext/>
        <w:keepLines/>
        <w:pageBreakBefore w:val="0"/>
        <w:widowControl w:val="0"/>
        <w:kinsoku/>
        <w:wordWrap/>
        <w:overflowPunct/>
        <w:topLinePunct w:val="0"/>
        <w:autoSpaceDE/>
        <w:autoSpaceDN/>
        <w:bidi w:val="0"/>
        <w:ind w:firstLine="480" w:firstLineChars="200"/>
        <w:jc w:val="center"/>
        <w:textAlignment w:val="auto"/>
        <w:rPr>
          <w:rFonts w:hint="default" w:ascii="Times New Roman" w:hAnsi="Times New Roman" w:cs="Times New Roman"/>
          <w:bCs/>
          <w:sz w:val="24"/>
          <w:lang w:val="en-US" w:eastAsia="zh-CN"/>
        </w:rPr>
      </w:pPr>
      <w:r>
        <w:rPr>
          <w:rFonts w:hint="default" w:ascii="Times New Roman" w:hAnsi="Times New Roman" w:cs="Times New Roman"/>
          <w:bCs/>
          <w:sz w:val="24"/>
          <w:lang w:val="en-US" w:eastAsia="zh-CN"/>
        </w:rPr>
        <w:t>表</w:t>
      </w:r>
      <w:bookmarkStart w:id="327" w:name="_Hlk194352355"/>
      <w:r>
        <w:rPr>
          <w:rFonts w:hint="default" w:ascii="Times New Roman" w:hAnsi="Times New Roman" w:cs="Times New Roman"/>
          <w:bCs/>
          <w:sz w:val="24"/>
          <w:lang w:val="en-US" w:eastAsia="zh-CN"/>
        </w:rPr>
        <w:t>2.4-13  设计排水沟断面尺寸汇总表</w:t>
      </w:r>
      <w:bookmarkEnd w:id="327"/>
    </w:p>
    <w:tbl>
      <w:tblPr>
        <w:tblStyle w:val="30"/>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19"/>
        <w:gridCol w:w="1250"/>
        <w:gridCol w:w="893"/>
        <w:gridCol w:w="1073"/>
        <w:gridCol w:w="1611"/>
        <w:gridCol w:w="3149"/>
      </w:tblGrid>
      <w:tr w14:paraId="215E43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blHeader/>
        </w:trPr>
        <w:tc>
          <w:tcPr>
            <w:tcW w:w="755" w:type="pct"/>
            <w:vMerge w:val="restart"/>
            <w:vAlign w:val="center"/>
          </w:tcPr>
          <w:p w14:paraId="197C8754">
            <w:pPr>
              <w:widowControl w:val="0"/>
              <w:wordWrap w:val="0"/>
              <w:adjustRightInd w:val="0"/>
              <w:snapToGrid w:val="0"/>
              <w:spacing w:line="240" w:lineRule="auto"/>
              <w:ind w:firstLine="0" w:firstLineChars="0"/>
              <w:jc w:val="center"/>
              <w:rPr>
                <w:rFonts w:hint="default" w:ascii="Times New Roman" w:hAnsi="Times New Roman" w:eastAsia="宋体" w:cs="Times New Roman"/>
                <w:b/>
                <w:bCs/>
                <w:kern w:val="2"/>
                <w:sz w:val="21"/>
                <w:szCs w:val="21"/>
                <w:lang w:val="en-US" w:eastAsia="zh-CN" w:bidi="ar-SA"/>
              </w:rPr>
            </w:pPr>
            <w:bookmarkStart w:id="328" w:name="_Hlk171676432"/>
            <w:r>
              <w:rPr>
                <w:rFonts w:hint="default" w:ascii="Times New Roman" w:hAnsi="Times New Roman" w:eastAsia="宋体" w:cs="Times New Roman"/>
                <w:b/>
                <w:bCs/>
                <w:kern w:val="2"/>
                <w:sz w:val="21"/>
                <w:szCs w:val="21"/>
                <w:lang w:val="en-US" w:eastAsia="zh-CN" w:bidi="ar-SA"/>
              </w:rPr>
              <w:t>名称</w:t>
            </w:r>
          </w:p>
        </w:tc>
        <w:tc>
          <w:tcPr>
            <w:tcW w:w="665" w:type="pct"/>
            <w:vAlign w:val="center"/>
          </w:tcPr>
          <w:p w14:paraId="72E6B641">
            <w:pPr>
              <w:widowControl w:val="0"/>
              <w:wordWrap w:val="0"/>
              <w:adjustRightInd w:val="0"/>
              <w:snapToGrid w:val="0"/>
              <w:spacing w:line="240" w:lineRule="auto"/>
              <w:ind w:firstLine="0" w:firstLineChars="0"/>
              <w:jc w:val="center"/>
              <w:rPr>
                <w:rFonts w:hint="default" w:ascii="Times New Roman" w:hAnsi="Times New Roman" w:eastAsia="宋体" w:cs="Times New Roman"/>
                <w:b/>
                <w:bCs/>
                <w:kern w:val="2"/>
                <w:sz w:val="21"/>
                <w:szCs w:val="21"/>
                <w:lang w:val="en-US" w:eastAsia="zh-CN" w:bidi="ar-SA"/>
              </w:rPr>
            </w:pPr>
            <w:r>
              <w:rPr>
                <w:rFonts w:hint="default" w:ascii="Times New Roman" w:hAnsi="Times New Roman" w:eastAsia="宋体" w:cs="Times New Roman"/>
                <w:b/>
                <w:bCs/>
                <w:kern w:val="2"/>
                <w:sz w:val="21"/>
                <w:szCs w:val="21"/>
                <w:lang w:val="en-US" w:eastAsia="zh-CN" w:bidi="ar-SA"/>
              </w:rPr>
              <w:t>长度</w:t>
            </w:r>
          </w:p>
        </w:tc>
        <w:tc>
          <w:tcPr>
            <w:tcW w:w="1046" w:type="pct"/>
            <w:gridSpan w:val="2"/>
            <w:vAlign w:val="center"/>
          </w:tcPr>
          <w:p w14:paraId="606B09C7">
            <w:pPr>
              <w:widowControl w:val="0"/>
              <w:wordWrap w:val="0"/>
              <w:adjustRightInd w:val="0"/>
              <w:snapToGrid w:val="0"/>
              <w:spacing w:line="240" w:lineRule="auto"/>
              <w:ind w:firstLine="0" w:firstLineChars="0"/>
              <w:jc w:val="center"/>
              <w:rPr>
                <w:rFonts w:hint="default" w:ascii="Times New Roman" w:hAnsi="Times New Roman" w:eastAsia="宋体" w:cs="Times New Roman"/>
                <w:b/>
                <w:bCs/>
                <w:kern w:val="2"/>
                <w:sz w:val="21"/>
                <w:szCs w:val="21"/>
                <w:lang w:val="en-US" w:eastAsia="zh-CN" w:bidi="ar-SA"/>
              </w:rPr>
            </w:pPr>
            <w:r>
              <w:rPr>
                <w:rFonts w:hint="default" w:ascii="Times New Roman" w:hAnsi="Times New Roman" w:eastAsia="宋体" w:cs="Times New Roman"/>
                <w:b/>
                <w:bCs/>
                <w:kern w:val="2"/>
                <w:sz w:val="21"/>
                <w:szCs w:val="21"/>
                <w:lang w:val="en-US" w:eastAsia="zh-CN" w:bidi="ar-SA"/>
              </w:rPr>
              <w:t>排水沟尺寸（m）</w:t>
            </w:r>
          </w:p>
        </w:tc>
        <w:tc>
          <w:tcPr>
            <w:tcW w:w="857" w:type="pct"/>
            <w:vAlign w:val="center"/>
          </w:tcPr>
          <w:p w14:paraId="75BB1D57">
            <w:pPr>
              <w:widowControl w:val="0"/>
              <w:wordWrap w:val="0"/>
              <w:adjustRightInd w:val="0"/>
              <w:snapToGrid w:val="0"/>
              <w:spacing w:line="240" w:lineRule="auto"/>
              <w:ind w:firstLine="0" w:firstLineChars="0"/>
              <w:jc w:val="center"/>
              <w:rPr>
                <w:rFonts w:hint="default" w:ascii="Times New Roman" w:hAnsi="Times New Roman" w:eastAsia="宋体" w:cs="Times New Roman"/>
                <w:b/>
                <w:bCs/>
                <w:kern w:val="2"/>
                <w:sz w:val="21"/>
                <w:szCs w:val="21"/>
                <w:lang w:val="en-US" w:eastAsia="zh-CN" w:bidi="ar-SA"/>
              </w:rPr>
            </w:pPr>
            <w:r>
              <w:rPr>
                <w:rFonts w:hint="default" w:ascii="Times New Roman" w:hAnsi="Times New Roman" w:eastAsia="宋体" w:cs="Times New Roman"/>
                <w:b/>
                <w:bCs/>
                <w:kern w:val="2"/>
                <w:sz w:val="21"/>
                <w:szCs w:val="21"/>
                <w:lang w:val="en-US" w:eastAsia="zh-CN" w:bidi="ar-SA"/>
              </w:rPr>
              <w:t>净断面积</w:t>
            </w:r>
          </w:p>
        </w:tc>
        <w:tc>
          <w:tcPr>
            <w:tcW w:w="1675" w:type="pct"/>
            <w:vMerge w:val="restart"/>
            <w:vAlign w:val="center"/>
          </w:tcPr>
          <w:p w14:paraId="26BE0D1F">
            <w:pPr>
              <w:widowControl w:val="0"/>
              <w:wordWrap w:val="0"/>
              <w:adjustRightInd w:val="0"/>
              <w:snapToGrid w:val="0"/>
              <w:spacing w:line="240" w:lineRule="auto"/>
              <w:ind w:firstLine="0" w:firstLineChars="0"/>
              <w:jc w:val="center"/>
              <w:rPr>
                <w:rFonts w:hint="default" w:ascii="Times New Roman" w:hAnsi="Times New Roman" w:eastAsia="宋体" w:cs="Times New Roman"/>
                <w:b/>
                <w:bCs/>
                <w:kern w:val="2"/>
                <w:sz w:val="21"/>
                <w:szCs w:val="21"/>
                <w:lang w:val="en-US" w:eastAsia="zh-CN" w:bidi="ar-SA"/>
              </w:rPr>
            </w:pPr>
            <w:r>
              <w:rPr>
                <w:rFonts w:hint="default" w:ascii="Times New Roman" w:hAnsi="Times New Roman" w:eastAsia="宋体" w:cs="Times New Roman"/>
                <w:b/>
                <w:bCs/>
                <w:kern w:val="2"/>
                <w:sz w:val="21"/>
                <w:szCs w:val="21"/>
                <w:lang w:val="en-US" w:eastAsia="zh-CN" w:bidi="ar-SA"/>
              </w:rPr>
              <w:t>备注</w:t>
            </w:r>
          </w:p>
        </w:tc>
      </w:tr>
      <w:tr w14:paraId="7301A9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blHeader/>
        </w:trPr>
        <w:tc>
          <w:tcPr>
            <w:tcW w:w="755" w:type="pct"/>
            <w:vMerge w:val="continue"/>
            <w:vAlign w:val="center"/>
          </w:tcPr>
          <w:p w14:paraId="58DD2F4E">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p>
        </w:tc>
        <w:tc>
          <w:tcPr>
            <w:tcW w:w="665" w:type="pct"/>
            <w:vAlign w:val="center"/>
          </w:tcPr>
          <w:p w14:paraId="24772AAD">
            <w:pPr>
              <w:widowControl w:val="0"/>
              <w:wordWrap w:val="0"/>
              <w:adjustRightInd w:val="0"/>
              <w:snapToGrid w:val="0"/>
              <w:spacing w:line="240" w:lineRule="auto"/>
              <w:ind w:firstLine="0" w:firstLineChars="0"/>
              <w:jc w:val="center"/>
              <w:rPr>
                <w:rFonts w:hint="default" w:ascii="Times New Roman" w:hAnsi="Times New Roman" w:eastAsia="宋体" w:cs="Times New Roman"/>
                <w:b/>
                <w:bCs/>
                <w:kern w:val="2"/>
                <w:sz w:val="21"/>
                <w:szCs w:val="21"/>
                <w:lang w:val="en-US" w:eastAsia="zh-CN" w:bidi="ar-SA"/>
              </w:rPr>
            </w:pPr>
            <w:r>
              <w:rPr>
                <w:rFonts w:hint="default" w:ascii="Times New Roman" w:hAnsi="Times New Roman" w:eastAsia="宋体" w:cs="Times New Roman"/>
                <w:b/>
                <w:bCs/>
                <w:kern w:val="2"/>
                <w:sz w:val="21"/>
                <w:szCs w:val="21"/>
                <w:lang w:val="en-US" w:eastAsia="zh-CN" w:bidi="ar-SA"/>
              </w:rPr>
              <w:t>（m）</w:t>
            </w:r>
          </w:p>
        </w:tc>
        <w:tc>
          <w:tcPr>
            <w:tcW w:w="475" w:type="pct"/>
            <w:vAlign w:val="center"/>
          </w:tcPr>
          <w:p w14:paraId="38ADD30C">
            <w:pPr>
              <w:widowControl w:val="0"/>
              <w:wordWrap w:val="0"/>
              <w:adjustRightInd w:val="0"/>
              <w:snapToGrid w:val="0"/>
              <w:spacing w:line="240" w:lineRule="auto"/>
              <w:ind w:firstLine="0" w:firstLineChars="0"/>
              <w:jc w:val="center"/>
              <w:rPr>
                <w:rFonts w:hint="default" w:ascii="Times New Roman" w:hAnsi="Times New Roman" w:eastAsia="宋体" w:cs="Times New Roman"/>
                <w:b/>
                <w:bCs/>
                <w:kern w:val="2"/>
                <w:sz w:val="21"/>
                <w:szCs w:val="21"/>
                <w:lang w:val="en-US" w:eastAsia="zh-CN" w:bidi="ar-SA"/>
              </w:rPr>
            </w:pPr>
            <w:r>
              <w:rPr>
                <w:rFonts w:hint="default" w:ascii="Times New Roman" w:hAnsi="Times New Roman" w:eastAsia="宋体" w:cs="Times New Roman"/>
                <w:b/>
                <w:bCs/>
                <w:kern w:val="2"/>
                <w:sz w:val="21"/>
                <w:szCs w:val="21"/>
                <w:lang w:val="en-US" w:eastAsia="zh-CN" w:bidi="ar-SA"/>
              </w:rPr>
              <w:t>沟深</w:t>
            </w:r>
          </w:p>
        </w:tc>
        <w:tc>
          <w:tcPr>
            <w:tcW w:w="570" w:type="pct"/>
            <w:vAlign w:val="center"/>
          </w:tcPr>
          <w:p w14:paraId="0A93F9EE">
            <w:pPr>
              <w:widowControl w:val="0"/>
              <w:wordWrap w:val="0"/>
              <w:adjustRightInd w:val="0"/>
              <w:snapToGrid w:val="0"/>
              <w:spacing w:line="240" w:lineRule="auto"/>
              <w:ind w:firstLine="0" w:firstLineChars="0"/>
              <w:jc w:val="center"/>
              <w:rPr>
                <w:rFonts w:hint="default" w:ascii="Times New Roman" w:hAnsi="Times New Roman" w:eastAsia="宋体" w:cs="Times New Roman"/>
                <w:b/>
                <w:bCs/>
                <w:kern w:val="2"/>
                <w:sz w:val="21"/>
                <w:szCs w:val="21"/>
                <w:lang w:val="en-US" w:eastAsia="zh-CN" w:bidi="ar-SA"/>
              </w:rPr>
            </w:pPr>
            <w:r>
              <w:rPr>
                <w:rFonts w:hint="default" w:ascii="Times New Roman" w:hAnsi="Times New Roman" w:eastAsia="宋体" w:cs="Times New Roman"/>
                <w:b/>
                <w:bCs/>
                <w:kern w:val="2"/>
                <w:sz w:val="21"/>
                <w:szCs w:val="21"/>
                <w:lang w:val="en-US" w:eastAsia="zh-CN" w:bidi="ar-SA"/>
              </w:rPr>
              <w:t>宽</w:t>
            </w:r>
          </w:p>
        </w:tc>
        <w:tc>
          <w:tcPr>
            <w:tcW w:w="857" w:type="pct"/>
            <w:vAlign w:val="center"/>
          </w:tcPr>
          <w:p w14:paraId="05CDD09F">
            <w:pPr>
              <w:widowControl w:val="0"/>
              <w:wordWrap w:val="0"/>
              <w:adjustRightInd w:val="0"/>
              <w:snapToGrid w:val="0"/>
              <w:spacing w:line="240" w:lineRule="auto"/>
              <w:ind w:firstLine="0" w:firstLineChars="0"/>
              <w:jc w:val="center"/>
              <w:rPr>
                <w:rFonts w:hint="default" w:ascii="Times New Roman" w:hAnsi="Times New Roman" w:eastAsia="宋体" w:cs="Times New Roman"/>
                <w:b/>
                <w:bCs/>
                <w:kern w:val="2"/>
                <w:sz w:val="21"/>
                <w:szCs w:val="21"/>
                <w:lang w:val="en-US" w:eastAsia="zh-CN" w:bidi="ar-SA"/>
              </w:rPr>
            </w:pPr>
            <w:r>
              <w:rPr>
                <w:rFonts w:hint="default" w:ascii="Times New Roman" w:hAnsi="Times New Roman" w:eastAsia="宋体" w:cs="Times New Roman"/>
                <w:b/>
                <w:bCs/>
                <w:kern w:val="2"/>
                <w:sz w:val="21"/>
                <w:szCs w:val="21"/>
                <w:lang w:val="en-US" w:eastAsia="zh-CN" w:bidi="ar-SA"/>
              </w:rPr>
              <w:t>（m</w:t>
            </w:r>
            <w:r>
              <w:rPr>
                <w:rFonts w:hint="default" w:ascii="Times New Roman" w:hAnsi="Times New Roman" w:eastAsia="宋体" w:cs="Times New Roman"/>
                <w:b/>
                <w:bCs/>
                <w:kern w:val="2"/>
                <w:sz w:val="21"/>
                <w:szCs w:val="21"/>
                <w:vertAlign w:val="superscript"/>
                <w:lang w:val="en-US" w:eastAsia="zh-CN" w:bidi="ar-SA"/>
              </w:rPr>
              <w:t>3</w:t>
            </w:r>
            <w:r>
              <w:rPr>
                <w:rFonts w:hint="default" w:ascii="Times New Roman" w:hAnsi="Times New Roman" w:eastAsia="宋体" w:cs="Times New Roman"/>
                <w:b/>
                <w:bCs/>
                <w:kern w:val="2"/>
                <w:sz w:val="21"/>
                <w:szCs w:val="21"/>
                <w:lang w:val="en-US" w:eastAsia="zh-CN" w:bidi="ar-SA"/>
              </w:rPr>
              <w:t>）</w:t>
            </w:r>
          </w:p>
        </w:tc>
        <w:tc>
          <w:tcPr>
            <w:tcW w:w="1675" w:type="pct"/>
            <w:vMerge w:val="continue"/>
            <w:vAlign w:val="center"/>
          </w:tcPr>
          <w:p w14:paraId="56CFB99C">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p>
        </w:tc>
      </w:tr>
      <w:tr w14:paraId="363E35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55" w:type="pct"/>
            <w:vAlign w:val="center"/>
          </w:tcPr>
          <w:p w14:paraId="2558B42A">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1526m</w:t>
            </w:r>
          </w:p>
        </w:tc>
        <w:tc>
          <w:tcPr>
            <w:tcW w:w="665" w:type="pct"/>
            <w:vAlign w:val="center"/>
          </w:tcPr>
          <w:p w14:paraId="1A8F1A5E">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190</w:t>
            </w:r>
          </w:p>
        </w:tc>
        <w:tc>
          <w:tcPr>
            <w:tcW w:w="475" w:type="pct"/>
            <w:vAlign w:val="center"/>
          </w:tcPr>
          <w:p w14:paraId="1D88644A">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0.5</w:t>
            </w:r>
          </w:p>
        </w:tc>
        <w:tc>
          <w:tcPr>
            <w:tcW w:w="570" w:type="pct"/>
            <w:vAlign w:val="center"/>
          </w:tcPr>
          <w:p w14:paraId="73F4305B">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0.5</w:t>
            </w:r>
          </w:p>
        </w:tc>
        <w:tc>
          <w:tcPr>
            <w:tcW w:w="857" w:type="pct"/>
            <w:vAlign w:val="center"/>
          </w:tcPr>
          <w:p w14:paraId="3910AEE2">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0.25</w:t>
            </w:r>
          </w:p>
        </w:tc>
        <w:tc>
          <w:tcPr>
            <w:tcW w:w="1675" w:type="pct"/>
            <w:vMerge w:val="restart"/>
            <w:vAlign w:val="center"/>
          </w:tcPr>
          <w:p w14:paraId="23A028B2">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排水沟为矩形</w:t>
            </w:r>
          </w:p>
          <w:p w14:paraId="1DB3C28F">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断面，</w:t>
            </w:r>
            <w:bookmarkStart w:id="329" w:name="_Hlk167716412"/>
            <w:r>
              <w:rPr>
                <w:rFonts w:hint="default" w:ascii="Times New Roman" w:hAnsi="Times New Roman" w:eastAsia="宋体" w:cs="Times New Roman"/>
                <w:b w:val="0"/>
                <w:kern w:val="2"/>
                <w:sz w:val="21"/>
                <w:szCs w:val="21"/>
                <w:lang w:val="en-US" w:eastAsia="zh-CN" w:bidi="ar-SA"/>
              </w:rPr>
              <w:t>当沟内壁面遇破碎，岩性软时采用C25砂浆抹面</w:t>
            </w:r>
            <w:bookmarkEnd w:id="329"/>
          </w:p>
        </w:tc>
      </w:tr>
      <w:tr w14:paraId="08DBF1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55" w:type="pct"/>
            <w:vAlign w:val="center"/>
          </w:tcPr>
          <w:p w14:paraId="1A4FF5A2">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1502m</w:t>
            </w:r>
          </w:p>
        </w:tc>
        <w:tc>
          <w:tcPr>
            <w:tcW w:w="665" w:type="pct"/>
            <w:vAlign w:val="center"/>
          </w:tcPr>
          <w:p w14:paraId="61654778">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760</w:t>
            </w:r>
          </w:p>
        </w:tc>
        <w:tc>
          <w:tcPr>
            <w:tcW w:w="475" w:type="pct"/>
            <w:vAlign w:val="center"/>
          </w:tcPr>
          <w:p w14:paraId="0457F360">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0.5</w:t>
            </w:r>
          </w:p>
        </w:tc>
        <w:tc>
          <w:tcPr>
            <w:tcW w:w="570" w:type="pct"/>
            <w:vAlign w:val="center"/>
          </w:tcPr>
          <w:p w14:paraId="63A56F0A">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0.5</w:t>
            </w:r>
          </w:p>
        </w:tc>
        <w:tc>
          <w:tcPr>
            <w:tcW w:w="857" w:type="pct"/>
            <w:vAlign w:val="center"/>
          </w:tcPr>
          <w:p w14:paraId="1F0344E6">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0.25</w:t>
            </w:r>
          </w:p>
        </w:tc>
        <w:tc>
          <w:tcPr>
            <w:tcW w:w="1675" w:type="pct"/>
            <w:vMerge w:val="continue"/>
            <w:vAlign w:val="center"/>
          </w:tcPr>
          <w:p w14:paraId="79DF5BF8">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p>
        </w:tc>
      </w:tr>
      <w:tr w14:paraId="1CB1A5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55" w:type="pct"/>
            <w:vAlign w:val="center"/>
          </w:tcPr>
          <w:p w14:paraId="1F0D1C73">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1470m</w:t>
            </w:r>
          </w:p>
        </w:tc>
        <w:tc>
          <w:tcPr>
            <w:tcW w:w="665" w:type="pct"/>
            <w:vAlign w:val="center"/>
          </w:tcPr>
          <w:p w14:paraId="6FC3A24C">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1560</w:t>
            </w:r>
          </w:p>
        </w:tc>
        <w:tc>
          <w:tcPr>
            <w:tcW w:w="475" w:type="pct"/>
            <w:vAlign w:val="center"/>
          </w:tcPr>
          <w:p w14:paraId="44C76F81">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bookmarkStart w:id="330" w:name="OLE_LINK45"/>
            <w:r>
              <w:rPr>
                <w:rFonts w:hint="default" w:ascii="Times New Roman" w:hAnsi="Times New Roman" w:eastAsia="宋体" w:cs="Times New Roman"/>
                <w:b w:val="0"/>
                <w:kern w:val="2"/>
                <w:sz w:val="21"/>
                <w:szCs w:val="21"/>
                <w:lang w:val="en-US" w:eastAsia="zh-CN" w:bidi="ar-SA"/>
              </w:rPr>
              <w:t>0.</w:t>
            </w:r>
            <w:bookmarkEnd w:id="330"/>
            <w:r>
              <w:rPr>
                <w:rFonts w:hint="default" w:ascii="Times New Roman" w:hAnsi="Times New Roman" w:eastAsia="宋体" w:cs="Times New Roman"/>
                <w:b w:val="0"/>
                <w:kern w:val="2"/>
                <w:sz w:val="21"/>
                <w:szCs w:val="21"/>
                <w:lang w:val="en-US" w:eastAsia="zh-CN" w:bidi="ar-SA"/>
              </w:rPr>
              <w:t>7</w:t>
            </w:r>
          </w:p>
        </w:tc>
        <w:tc>
          <w:tcPr>
            <w:tcW w:w="570" w:type="pct"/>
            <w:vAlign w:val="center"/>
          </w:tcPr>
          <w:p w14:paraId="7128F43B">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1.0</w:t>
            </w:r>
          </w:p>
        </w:tc>
        <w:tc>
          <w:tcPr>
            <w:tcW w:w="857" w:type="pct"/>
            <w:vAlign w:val="center"/>
          </w:tcPr>
          <w:p w14:paraId="4E50C703">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0.70</w:t>
            </w:r>
          </w:p>
        </w:tc>
        <w:tc>
          <w:tcPr>
            <w:tcW w:w="1675" w:type="pct"/>
            <w:vMerge w:val="continue"/>
            <w:vAlign w:val="center"/>
          </w:tcPr>
          <w:p w14:paraId="7AD7AC58">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p>
        </w:tc>
      </w:tr>
      <w:bookmarkEnd w:id="328"/>
    </w:tbl>
    <w:p w14:paraId="46304182">
      <w:pPr>
        <w:adjustRightInd w:val="0"/>
        <w:snapToGrid w:val="0"/>
        <w:spacing w:line="360" w:lineRule="auto"/>
        <w:ind w:firstLine="560" w:firstLineChars="200"/>
        <w:rPr>
          <w:rFonts w:hint="default" w:ascii="Times New Roman" w:hAnsi="Times New Roman" w:cs="Times New Roman"/>
          <w:sz w:val="28"/>
          <w:szCs w:val="28"/>
        </w:rPr>
      </w:pPr>
      <w:r>
        <w:rPr>
          <w:rFonts w:hint="default" w:ascii="Times New Roman" w:hAnsi="Times New Roman" w:cs="Times New Roman"/>
          <w:sz w:val="28"/>
          <w:szCs w:val="28"/>
        </w:rPr>
        <w:t>2、生活区排水</w:t>
      </w:r>
    </w:p>
    <w:p w14:paraId="16367B2A">
      <w:pPr>
        <w:adjustRightInd w:val="0"/>
        <w:snapToGrid w:val="0"/>
        <w:spacing w:line="360" w:lineRule="auto"/>
        <w:ind w:firstLine="560" w:firstLineChars="200"/>
        <w:rPr>
          <w:rFonts w:hint="default" w:ascii="Times New Roman" w:hAnsi="Times New Roman" w:cs="Times New Roman"/>
          <w:sz w:val="28"/>
          <w:szCs w:val="28"/>
        </w:rPr>
      </w:pPr>
      <w:r>
        <w:rPr>
          <w:rFonts w:hint="default" w:ascii="Times New Roman" w:hAnsi="Times New Roman" w:cs="Times New Roman"/>
          <w:sz w:val="28"/>
          <w:szCs w:val="28"/>
        </w:rPr>
        <w:t>生活区的生活污水主要是洗涤、冲洗厕所排水等，有机物含量相对较高，经化粪池及地埋式生物处理装置处理后用于洒水扬尘。</w:t>
      </w:r>
    </w:p>
    <w:p w14:paraId="24C6EC9F">
      <w:pPr>
        <w:adjustRightInd w:val="0"/>
        <w:snapToGrid w:val="0"/>
        <w:spacing w:line="360" w:lineRule="auto"/>
        <w:ind w:firstLine="560" w:firstLineChars="200"/>
        <w:rPr>
          <w:rFonts w:hint="default" w:ascii="Times New Roman" w:hAnsi="Times New Roman" w:cs="Times New Roman"/>
          <w:sz w:val="28"/>
          <w:szCs w:val="28"/>
        </w:rPr>
      </w:pPr>
      <w:r>
        <w:rPr>
          <w:rFonts w:hint="default" w:ascii="Times New Roman" w:hAnsi="Times New Roman" w:cs="Times New Roman"/>
          <w:sz w:val="28"/>
          <w:szCs w:val="28"/>
        </w:rPr>
        <w:t>3、</w:t>
      </w:r>
      <w:r>
        <w:rPr>
          <w:rFonts w:hint="default" w:ascii="Times New Roman" w:hAnsi="Times New Roman" w:cs="Times New Roman"/>
          <w:sz w:val="28"/>
          <w:szCs w:val="28"/>
          <w:lang w:eastAsia="zh-CN"/>
        </w:rPr>
        <w:t>其他</w:t>
      </w:r>
      <w:r>
        <w:rPr>
          <w:rFonts w:hint="default" w:ascii="Times New Roman" w:hAnsi="Times New Roman" w:cs="Times New Roman"/>
          <w:sz w:val="28"/>
          <w:szCs w:val="28"/>
        </w:rPr>
        <w:t>排水</w:t>
      </w:r>
    </w:p>
    <w:p w14:paraId="09384845">
      <w:pPr>
        <w:adjustRightInd w:val="0"/>
        <w:snapToGrid w:val="0"/>
        <w:spacing w:line="360" w:lineRule="auto"/>
        <w:ind w:firstLine="560" w:firstLineChars="200"/>
        <w:rPr>
          <w:rFonts w:hint="default" w:ascii="Times New Roman" w:hAnsi="Times New Roman" w:cs="Times New Roman"/>
          <w:sz w:val="28"/>
          <w:szCs w:val="28"/>
        </w:rPr>
      </w:pPr>
      <w:r>
        <w:rPr>
          <w:rFonts w:hint="default" w:ascii="Times New Roman" w:hAnsi="Times New Roman" w:cs="Times New Roman"/>
          <w:sz w:val="28"/>
          <w:szCs w:val="28"/>
        </w:rPr>
        <w:t>机汽修等排水除少量含油废水经隔油池处理，少量含酸、碱废水经中和处理后用于洒水扬尘。无</w:t>
      </w:r>
      <w:r>
        <w:rPr>
          <w:rFonts w:hint="default" w:ascii="Times New Roman" w:hAnsi="Times New Roman" w:cs="Times New Roman"/>
          <w:sz w:val="28"/>
          <w:szCs w:val="28"/>
          <w:lang w:eastAsia="zh-CN"/>
        </w:rPr>
        <w:t>其他</w:t>
      </w:r>
      <w:r>
        <w:rPr>
          <w:rFonts w:hint="default" w:ascii="Times New Roman" w:hAnsi="Times New Roman" w:cs="Times New Roman"/>
          <w:sz w:val="28"/>
          <w:szCs w:val="28"/>
        </w:rPr>
        <w:t>生产废水外排。</w:t>
      </w:r>
    </w:p>
    <w:p w14:paraId="1DC8DDFA">
      <w:pPr>
        <w:pStyle w:val="4"/>
        <w:spacing w:before="0" w:after="0" w:line="360" w:lineRule="auto"/>
        <w:rPr>
          <w:rFonts w:hint="default" w:ascii="Times New Roman" w:hAnsi="Times New Roman" w:cs="Times New Roman"/>
          <w:sz w:val="28"/>
          <w:szCs w:val="28"/>
        </w:rPr>
      </w:pPr>
      <w:bookmarkStart w:id="331" w:name="_Toc10060"/>
      <w:bookmarkStart w:id="332" w:name="_Toc27608"/>
      <w:bookmarkStart w:id="333" w:name="_Toc31728"/>
      <w:bookmarkStart w:id="334" w:name="_Toc14093"/>
      <w:r>
        <w:rPr>
          <w:rFonts w:hint="default" w:ascii="Times New Roman" w:hAnsi="Times New Roman" w:cs="Times New Roman"/>
          <w:sz w:val="28"/>
          <w:szCs w:val="28"/>
        </w:rPr>
        <w:t>2.4.10</w:t>
      </w:r>
      <w:bookmarkEnd w:id="331"/>
      <w:bookmarkEnd w:id="332"/>
      <w:bookmarkEnd w:id="333"/>
      <w:bookmarkEnd w:id="334"/>
      <w:r>
        <w:rPr>
          <w:rFonts w:hint="default" w:ascii="Times New Roman" w:hAnsi="Times New Roman" w:cs="Times New Roman"/>
          <w:sz w:val="28"/>
          <w:szCs w:val="28"/>
        </w:rPr>
        <w:t>表土堆场</w:t>
      </w:r>
    </w:p>
    <w:p w14:paraId="18A4AA4C">
      <w:pPr>
        <w:adjustRightInd w:val="0"/>
        <w:snapToGrid w:val="0"/>
        <w:spacing w:line="360" w:lineRule="auto"/>
        <w:ind w:firstLine="560" w:firstLineChars="200"/>
        <w:rPr>
          <w:rFonts w:hint="default" w:ascii="Times New Roman" w:hAnsi="Times New Roman" w:eastAsia="宋体" w:cs="Times New Roman"/>
          <w:color w:val="000000"/>
          <w:sz w:val="28"/>
          <w:szCs w:val="21"/>
        </w:rPr>
      </w:pPr>
      <w:bookmarkStart w:id="335" w:name="_Hlk184088482"/>
      <w:bookmarkStart w:id="336" w:name="_Hlk194346706"/>
      <w:bookmarkStart w:id="337" w:name="_Hlk181444952"/>
      <w:r>
        <w:rPr>
          <w:rFonts w:hint="default" w:ascii="Times New Roman" w:hAnsi="Times New Roman" w:eastAsia="宋体" w:cs="Times New Roman"/>
          <w:color w:val="000000"/>
          <w:sz w:val="28"/>
          <w:szCs w:val="21"/>
        </w:rPr>
        <w:t>矿山地表矿体出露，覆土厚度较小，矿山剥离物主要为矿体上部第四系，厚度0.0m～5.5m，露天采区内第四系覆盖层大部分已被剥离，总剥离量约为5.62万m</w:t>
      </w:r>
      <w:r>
        <w:rPr>
          <w:rFonts w:hint="default" w:ascii="Times New Roman" w:hAnsi="Times New Roman" w:eastAsia="宋体" w:cs="Times New Roman"/>
          <w:color w:val="000000"/>
          <w:sz w:val="28"/>
          <w:szCs w:val="21"/>
          <w:vertAlign w:val="superscript"/>
        </w:rPr>
        <w:t>3</w:t>
      </w:r>
      <w:r>
        <w:rPr>
          <w:rFonts w:hint="default" w:ascii="Times New Roman" w:hAnsi="Times New Roman" w:eastAsia="宋体" w:cs="Times New Roman"/>
          <w:color w:val="000000"/>
          <w:sz w:val="28"/>
          <w:szCs w:val="21"/>
        </w:rPr>
        <w:t>，年均剥离量约为4240m</w:t>
      </w:r>
      <w:r>
        <w:rPr>
          <w:rFonts w:hint="default" w:ascii="Times New Roman" w:hAnsi="Times New Roman" w:eastAsia="宋体" w:cs="Times New Roman"/>
          <w:color w:val="000000"/>
          <w:sz w:val="28"/>
          <w:szCs w:val="21"/>
          <w:vertAlign w:val="superscript"/>
        </w:rPr>
        <w:t>3</w:t>
      </w:r>
      <w:r>
        <w:rPr>
          <w:rFonts w:hint="default" w:ascii="Times New Roman" w:hAnsi="Times New Roman" w:eastAsia="宋体" w:cs="Times New Roman"/>
          <w:color w:val="000000"/>
          <w:sz w:val="28"/>
          <w:szCs w:val="21"/>
        </w:rPr>
        <w:t>，每年的剥离量较少，设计剥离表土用于填补道路以及平整场地，</w:t>
      </w:r>
      <w:r>
        <w:rPr>
          <w:rFonts w:hint="default" w:ascii="Times New Roman" w:hAnsi="Times New Roman" w:cs="Times New Roman"/>
          <w:color w:val="000000"/>
          <w:sz w:val="28"/>
          <w:szCs w:val="21"/>
          <w:lang w:eastAsia="zh-CN"/>
        </w:rPr>
        <w:t>设计</w:t>
      </w:r>
      <w:r>
        <w:rPr>
          <w:rFonts w:hint="default" w:ascii="Times New Roman" w:hAnsi="Times New Roman" w:eastAsia="宋体" w:cs="Times New Roman"/>
          <w:color w:val="000000"/>
          <w:sz w:val="28"/>
          <w:szCs w:val="21"/>
        </w:rPr>
        <w:t>不设置表土堆场</w:t>
      </w:r>
      <w:bookmarkEnd w:id="335"/>
      <w:r>
        <w:rPr>
          <w:rFonts w:hint="default" w:ascii="Times New Roman" w:hAnsi="Times New Roman" w:eastAsia="宋体" w:cs="Times New Roman"/>
          <w:color w:val="000000"/>
          <w:sz w:val="28"/>
          <w:szCs w:val="21"/>
        </w:rPr>
        <w:t>，仅设计表土临时存放点，位于工业场地东侧，面积1520m</w:t>
      </w:r>
      <w:r>
        <w:rPr>
          <w:rFonts w:hint="default" w:ascii="Times New Roman" w:hAnsi="Times New Roman" w:eastAsia="宋体" w:cs="Times New Roman"/>
          <w:color w:val="000000"/>
          <w:sz w:val="28"/>
          <w:szCs w:val="21"/>
          <w:vertAlign w:val="superscript"/>
        </w:rPr>
        <w:t>2</w:t>
      </w:r>
      <w:r>
        <w:rPr>
          <w:rFonts w:hint="default" w:ascii="Times New Roman" w:hAnsi="Times New Roman" w:eastAsia="宋体" w:cs="Times New Roman"/>
          <w:color w:val="000000"/>
          <w:sz w:val="28"/>
          <w:szCs w:val="21"/>
        </w:rPr>
        <w:t>，堆置高度5m，存储量5067m</w:t>
      </w:r>
      <w:r>
        <w:rPr>
          <w:rFonts w:hint="default" w:ascii="Times New Roman" w:hAnsi="Times New Roman" w:eastAsia="宋体" w:cs="Times New Roman"/>
          <w:color w:val="000000"/>
          <w:sz w:val="28"/>
          <w:szCs w:val="21"/>
          <w:vertAlign w:val="superscript"/>
        </w:rPr>
        <w:t>3</w:t>
      </w:r>
      <w:bookmarkEnd w:id="336"/>
      <w:r>
        <w:rPr>
          <w:rFonts w:hint="default" w:ascii="Times New Roman" w:hAnsi="Times New Roman" w:eastAsia="宋体" w:cs="Times New Roman"/>
          <w:color w:val="000000"/>
          <w:sz w:val="28"/>
          <w:szCs w:val="21"/>
        </w:rPr>
        <w:t>。</w:t>
      </w:r>
    </w:p>
    <w:bookmarkEnd w:id="337"/>
    <w:p w14:paraId="4EB57560">
      <w:pPr>
        <w:pStyle w:val="4"/>
        <w:spacing w:before="0" w:after="0" w:line="360" w:lineRule="auto"/>
        <w:rPr>
          <w:rFonts w:hint="default" w:ascii="Times New Roman" w:hAnsi="Times New Roman" w:cs="Times New Roman"/>
          <w:sz w:val="28"/>
          <w:szCs w:val="28"/>
        </w:rPr>
      </w:pPr>
      <w:bookmarkStart w:id="338" w:name="_Hlk26305827"/>
      <w:r>
        <w:rPr>
          <w:rFonts w:hint="default" w:ascii="Times New Roman" w:hAnsi="Times New Roman" w:cs="Times New Roman"/>
          <w:sz w:val="28"/>
          <w:szCs w:val="28"/>
        </w:rPr>
        <w:t>2.4.11 破碎站</w:t>
      </w:r>
    </w:p>
    <w:p w14:paraId="454FFAF7">
      <w:pPr>
        <w:keepNext w:val="0"/>
        <w:keepLines w:val="0"/>
        <w:widowControl w:val="0"/>
        <w:adjustRightInd w:val="0"/>
        <w:snapToGrid w:val="0"/>
        <w:spacing w:before="0" w:after="0" w:line="360" w:lineRule="auto"/>
        <w:ind w:firstLine="562" w:firstLineChars="200"/>
        <w:jc w:val="both"/>
        <w:outlineLvl w:val="3"/>
        <w:rPr>
          <w:rFonts w:hint="default" w:ascii="Times New Roman" w:hAnsi="Times New Roman" w:eastAsia="宋体" w:cs="Times New Roman"/>
          <w:b/>
          <w:bCs/>
          <w:kern w:val="2"/>
          <w:sz w:val="28"/>
          <w:szCs w:val="28"/>
          <w:lang w:val="en-US" w:eastAsia="zh-CN" w:bidi="ar-SA"/>
        </w:rPr>
      </w:pPr>
      <w:bookmarkStart w:id="339" w:name="_Hlk197596778"/>
      <w:r>
        <w:rPr>
          <w:rFonts w:hint="default" w:ascii="Times New Roman" w:hAnsi="Times New Roman" w:eastAsia="宋体" w:cs="Times New Roman"/>
          <w:b/>
          <w:bCs/>
          <w:kern w:val="2"/>
          <w:sz w:val="28"/>
          <w:szCs w:val="28"/>
          <w:lang w:val="en-US" w:eastAsia="zh-CN" w:bidi="ar-SA"/>
        </w:rPr>
        <w:t>2.4.</w:t>
      </w:r>
      <w:r>
        <w:rPr>
          <w:rFonts w:hint="eastAsia" w:ascii="Times New Roman" w:hAnsi="Times New Roman" w:eastAsia="宋体" w:cs="Times New Roman"/>
          <w:b/>
          <w:bCs/>
          <w:kern w:val="2"/>
          <w:sz w:val="28"/>
          <w:szCs w:val="28"/>
          <w:lang w:val="en-US" w:eastAsia="zh-CN" w:bidi="ar-SA"/>
        </w:rPr>
        <w:t>11</w:t>
      </w:r>
      <w:r>
        <w:rPr>
          <w:rFonts w:hint="default" w:ascii="Times New Roman" w:hAnsi="Times New Roman" w:eastAsia="宋体" w:cs="Times New Roman"/>
          <w:b/>
          <w:bCs/>
          <w:kern w:val="2"/>
          <w:sz w:val="28"/>
          <w:szCs w:val="28"/>
          <w:lang w:val="en-US" w:eastAsia="zh-CN" w:bidi="ar-SA"/>
        </w:rPr>
        <w:t>.1破碎生产系统简介</w:t>
      </w:r>
    </w:p>
    <w:p w14:paraId="1A81FDB3">
      <w:pPr>
        <w:wordWrap w:val="0"/>
        <w:adjustRightInd w:val="0"/>
        <w:snapToGrid w:val="0"/>
        <w:spacing w:line="360" w:lineRule="auto"/>
        <w:ind w:firstLine="560" w:firstLineChars="200"/>
        <w:rPr>
          <w:rFonts w:hint="default" w:ascii="Times New Roman" w:hAnsi="Times New Roman" w:eastAsia="宋体" w:cs="Times New Roman"/>
          <w:sz w:val="28"/>
          <w:szCs w:val="21"/>
        </w:rPr>
      </w:pPr>
      <w:r>
        <w:rPr>
          <w:rFonts w:hint="default" w:ascii="Times New Roman" w:hAnsi="Times New Roman" w:eastAsia="宋体" w:cs="Times New Roman"/>
          <w:sz w:val="28"/>
          <w:szCs w:val="21"/>
        </w:rPr>
        <w:t>破碎站位于矿区西侧，矿山目前建有的破碎厂房破碎能力为250t/h，矿山采用1班/天生产，能够满足年破碎50万t矿石的需求。</w:t>
      </w:r>
    </w:p>
    <w:p w14:paraId="245F1657">
      <w:pPr>
        <w:wordWrap w:val="0"/>
        <w:adjustRightInd w:val="0"/>
        <w:snapToGrid w:val="0"/>
        <w:spacing w:line="360" w:lineRule="auto"/>
        <w:ind w:firstLine="560" w:firstLineChars="200"/>
        <w:rPr>
          <w:rFonts w:hint="default" w:ascii="Times New Roman" w:hAnsi="Times New Roman" w:eastAsia="宋体" w:cs="Times New Roman"/>
          <w:sz w:val="28"/>
          <w:szCs w:val="21"/>
        </w:rPr>
      </w:pPr>
      <w:r>
        <w:rPr>
          <w:rFonts w:hint="default" w:ascii="Times New Roman" w:hAnsi="Times New Roman" w:eastAsia="宋体" w:cs="Times New Roman"/>
          <w:sz w:val="28"/>
          <w:szCs w:val="21"/>
        </w:rPr>
        <w:t>生产工艺：破碎厂房共设置两条生产线（石料生产线、砂料生产线），破碎工艺采用破碎+筛分+成品筛工艺，具体为通过铲运机将矿石铲运至原矿仓后经振动给矿机给入颚式破碎机（PFC1010）、反击破碎机进行一二次破碎，破碎后的物料进入振动筛进行筛分，破碎后的石料通过胶带运输机输送到成品堆场，破碎后的砂料进入箱式破碎机及筛分机进行砂料破碎、筛分，砂料成品进入砂料仓库堆存。生产线工作制度为每年工作300天，1班/天，8小时/班。</w:t>
      </w:r>
    </w:p>
    <w:bookmarkEnd w:id="339"/>
    <w:p w14:paraId="23C8281E">
      <w:pPr>
        <w:keepNext w:val="0"/>
        <w:keepLines w:val="0"/>
        <w:widowControl w:val="0"/>
        <w:adjustRightInd w:val="0"/>
        <w:snapToGrid w:val="0"/>
        <w:spacing w:before="0" w:after="0" w:line="360" w:lineRule="auto"/>
        <w:ind w:firstLine="562" w:firstLineChars="200"/>
        <w:jc w:val="both"/>
        <w:outlineLvl w:val="3"/>
        <w:rPr>
          <w:rFonts w:hint="default" w:ascii="Times New Roman" w:hAnsi="Times New Roman" w:eastAsia="宋体" w:cs="Times New Roman"/>
          <w:b/>
          <w:bCs/>
          <w:kern w:val="2"/>
          <w:sz w:val="28"/>
          <w:szCs w:val="28"/>
          <w:lang w:val="en-US" w:eastAsia="zh-CN" w:bidi="ar-SA"/>
        </w:rPr>
      </w:pPr>
      <w:r>
        <w:rPr>
          <w:rFonts w:hint="default" w:ascii="Times New Roman" w:hAnsi="Times New Roman" w:eastAsia="宋体" w:cs="Times New Roman"/>
          <w:b/>
          <w:bCs/>
          <w:kern w:val="2"/>
          <w:sz w:val="28"/>
          <w:szCs w:val="28"/>
          <w:lang w:val="en-US" w:eastAsia="zh-CN" w:bidi="ar-SA"/>
        </w:rPr>
        <w:t>2.4.</w:t>
      </w:r>
      <w:r>
        <w:rPr>
          <w:rFonts w:hint="eastAsia" w:ascii="Times New Roman" w:hAnsi="Times New Roman" w:eastAsia="宋体" w:cs="Times New Roman"/>
          <w:b/>
          <w:bCs/>
          <w:kern w:val="2"/>
          <w:sz w:val="28"/>
          <w:szCs w:val="28"/>
          <w:lang w:val="en-US" w:eastAsia="zh-CN" w:bidi="ar-SA"/>
        </w:rPr>
        <w:t>11</w:t>
      </w:r>
      <w:r>
        <w:rPr>
          <w:rFonts w:hint="default" w:ascii="Times New Roman" w:hAnsi="Times New Roman" w:eastAsia="宋体" w:cs="Times New Roman"/>
          <w:b/>
          <w:bCs/>
          <w:kern w:val="2"/>
          <w:sz w:val="28"/>
          <w:szCs w:val="28"/>
          <w:lang w:val="en-US" w:eastAsia="zh-CN" w:bidi="ar-SA"/>
        </w:rPr>
        <w:t>.</w:t>
      </w:r>
      <w:r>
        <w:rPr>
          <w:rFonts w:hint="eastAsia" w:ascii="Times New Roman" w:hAnsi="Times New Roman" w:eastAsia="宋体" w:cs="Times New Roman"/>
          <w:b/>
          <w:bCs/>
          <w:kern w:val="2"/>
          <w:sz w:val="28"/>
          <w:szCs w:val="28"/>
          <w:lang w:val="en-US" w:eastAsia="zh-CN" w:bidi="ar-SA"/>
        </w:rPr>
        <w:t>2</w:t>
      </w:r>
      <w:r>
        <w:rPr>
          <w:rFonts w:hint="default" w:ascii="Times New Roman" w:hAnsi="Times New Roman" w:eastAsia="宋体" w:cs="Times New Roman"/>
          <w:b/>
          <w:bCs/>
          <w:kern w:val="2"/>
          <w:sz w:val="28"/>
          <w:szCs w:val="28"/>
          <w:lang w:val="en-US" w:eastAsia="zh-CN" w:bidi="ar-SA"/>
        </w:rPr>
        <w:t>破碎</w:t>
      </w:r>
      <w:r>
        <w:rPr>
          <w:rFonts w:hint="eastAsia" w:ascii="Times New Roman" w:hAnsi="Times New Roman" w:eastAsia="宋体" w:cs="Times New Roman"/>
          <w:b/>
          <w:bCs/>
          <w:kern w:val="2"/>
          <w:sz w:val="28"/>
          <w:szCs w:val="28"/>
          <w:lang w:val="en-US" w:eastAsia="zh-CN" w:bidi="ar-SA"/>
        </w:rPr>
        <w:t>站建筑</w:t>
      </w:r>
    </w:p>
    <w:p w14:paraId="715EBF11">
      <w:pPr>
        <w:wordWrap w:val="0"/>
        <w:adjustRightInd w:val="0"/>
        <w:snapToGrid w:val="0"/>
        <w:spacing w:line="360" w:lineRule="auto"/>
        <w:ind w:firstLine="560" w:firstLineChars="200"/>
        <w:rPr>
          <w:rFonts w:hint="default" w:ascii="Times New Roman" w:hAnsi="Times New Roman" w:eastAsia="宋体" w:cs="Times New Roman"/>
          <w:sz w:val="28"/>
          <w:szCs w:val="21"/>
          <w:lang w:val="en-US" w:eastAsia="zh-CN"/>
        </w:rPr>
      </w:pPr>
      <w:r>
        <w:rPr>
          <w:rFonts w:hint="eastAsia" w:cs="Times New Roman"/>
          <w:sz w:val="28"/>
          <w:szCs w:val="21"/>
          <w:lang w:val="en-US" w:eastAsia="zh-CN"/>
        </w:rPr>
        <w:t>一、建筑及结构</w:t>
      </w:r>
    </w:p>
    <w:p w14:paraId="48491622">
      <w:pPr>
        <w:adjustRightInd w:val="0"/>
        <w:snapToGrid w:val="0"/>
        <w:spacing w:line="360" w:lineRule="auto"/>
        <w:ind w:firstLine="560" w:firstLineChars="200"/>
        <w:rPr>
          <w:rFonts w:hint="default" w:ascii="Times New Roman" w:hAnsi="Times New Roman" w:cs="Times New Roman"/>
          <w:sz w:val="28"/>
          <w:szCs w:val="28"/>
          <w:lang w:eastAsia="zh-CN"/>
        </w:rPr>
      </w:pPr>
      <w:r>
        <w:rPr>
          <w:rFonts w:hint="default" w:ascii="Times New Roman" w:hAnsi="Times New Roman" w:cs="Times New Roman"/>
          <w:sz w:val="28"/>
          <w:szCs w:val="28"/>
          <w:lang w:eastAsia="zh-CN"/>
        </w:rPr>
        <w:t>项目的破碎厂房、成品仓为钢结构，其防护按照《工业建筑防腐蚀设计标准》（GB 50046-2018）和《钢结构设计标准》（GB 50017-2017）的有关规定进行设计。项目建筑设计符合国家现行各类建筑设计标准规范的要求及相关防火、防水、节能、隔声、抗震及安全防范等标准规范的要求，满足适用、经济、美观的设计原则。同时符合建筑工业化及绿色建筑的要求。</w:t>
      </w:r>
    </w:p>
    <w:p w14:paraId="5B53BFDC">
      <w:pPr>
        <w:adjustRightInd w:val="0"/>
        <w:snapToGrid w:val="0"/>
        <w:spacing w:line="360" w:lineRule="auto"/>
        <w:ind w:firstLine="560" w:firstLineChars="200"/>
        <w:rPr>
          <w:rFonts w:hint="default" w:ascii="Times New Roman" w:hAnsi="Times New Roman" w:cs="Times New Roman"/>
          <w:sz w:val="28"/>
          <w:szCs w:val="28"/>
          <w:lang w:eastAsia="zh-CN"/>
        </w:rPr>
      </w:pPr>
      <w:r>
        <w:rPr>
          <w:rFonts w:hint="default" w:ascii="Times New Roman" w:hAnsi="Times New Roman" w:cs="Times New Roman"/>
          <w:sz w:val="28"/>
          <w:szCs w:val="28"/>
          <w:lang w:eastAsia="zh-CN"/>
        </w:rPr>
        <w:t>项目根据生产性质及建筑结构，为满足建﹑构筑物的整体性，破碎厂房采用钢结构，成品仓采用钢筋混凝土剪力墙+钢结构，变配电室采用砖混结构。</w:t>
      </w:r>
    </w:p>
    <w:p w14:paraId="2D9A04DD">
      <w:pPr>
        <w:keepNext/>
        <w:keepLines/>
        <w:pageBreakBefore w:val="0"/>
        <w:widowControl w:val="0"/>
        <w:kinsoku/>
        <w:wordWrap/>
        <w:overflowPunct/>
        <w:topLinePunct w:val="0"/>
        <w:autoSpaceDE/>
        <w:autoSpaceDN/>
        <w:bidi w:val="0"/>
        <w:ind w:firstLine="480" w:firstLineChars="200"/>
        <w:jc w:val="center"/>
        <w:textAlignment w:val="auto"/>
        <w:rPr>
          <w:rFonts w:hint="default" w:ascii="Times New Roman" w:hAnsi="Times New Roman" w:eastAsia="宋体" w:cs="Times New Roman"/>
          <w:bCs/>
          <w:sz w:val="24"/>
          <w:lang w:val="en-US" w:eastAsia="zh-CN"/>
        </w:rPr>
      </w:pPr>
      <w:r>
        <w:rPr>
          <w:rFonts w:hint="default" w:ascii="Times New Roman" w:hAnsi="Times New Roman" w:eastAsia="宋体" w:cs="Times New Roman"/>
          <w:bCs/>
          <w:sz w:val="24"/>
          <w:lang w:val="en-US" w:eastAsia="zh-CN"/>
        </w:rPr>
        <w:t>表</w:t>
      </w:r>
      <w:r>
        <w:rPr>
          <w:rFonts w:hint="eastAsia" w:ascii="Times New Roman" w:hAnsi="Times New Roman" w:eastAsia="宋体" w:cs="Times New Roman"/>
          <w:bCs/>
          <w:sz w:val="24"/>
          <w:lang w:val="en-US" w:eastAsia="zh-CN"/>
        </w:rPr>
        <w:t>2.4</w:t>
      </w:r>
      <w:r>
        <w:rPr>
          <w:rFonts w:hint="default" w:ascii="Times New Roman" w:hAnsi="Times New Roman" w:eastAsia="宋体" w:cs="Times New Roman"/>
          <w:bCs/>
          <w:sz w:val="24"/>
          <w:lang w:val="en-US" w:eastAsia="zh-CN"/>
        </w:rPr>
        <w:t>-1</w:t>
      </w:r>
      <w:r>
        <w:rPr>
          <w:rFonts w:hint="eastAsia" w:ascii="Times New Roman" w:hAnsi="Times New Roman" w:eastAsia="宋体" w:cs="Times New Roman"/>
          <w:bCs/>
          <w:sz w:val="24"/>
          <w:lang w:val="en-US" w:eastAsia="zh-CN"/>
        </w:rPr>
        <w:t xml:space="preserve">4 </w:t>
      </w:r>
      <w:r>
        <w:rPr>
          <w:rFonts w:hint="default" w:ascii="Times New Roman" w:hAnsi="Times New Roman" w:eastAsia="宋体" w:cs="Times New Roman"/>
          <w:bCs/>
          <w:sz w:val="24"/>
          <w:lang w:val="en-US" w:eastAsia="zh-CN"/>
        </w:rPr>
        <w:t xml:space="preserve"> </w:t>
      </w:r>
      <w:r>
        <w:rPr>
          <w:rFonts w:hint="eastAsia" w:ascii="Times New Roman" w:hAnsi="Times New Roman" w:eastAsia="宋体" w:cs="Times New Roman"/>
          <w:bCs/>
          <w:sz w:val="24"/>
          <w:lang w:val="en-US" w:eastAsia="zh-CN"/>
        </w:rPr>
        <w:t>破碎站</w:t>
      </w:r>
      <w:r>
        <w:rPr>
          <w:rFonts w:hint="default" w:ascii="Times New Roman" w:hAnsi="Times New Roman" w:eastAsia="宋体" w:cs="Times New Roman"/>
          <w:bCs/>
          <w:sz w:val="24"/>
          <w:lang w:val="en-US" w:eastAsia="zh-CN"/>
        </w:rPr>
        <w:t>建（构）筑物一览表</w:t>
      </w:r>
    </w:p>
    <w:tbl>
      <w:tblPr>
        <w:tblStyle w:val="30"/>
        <w:tblW w:w="4998"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669"/>
        <w:gridCol w:w="2512"/>
        <w:gridCol w:w="1865"/>
        <w:gridCol w:w="2019"/>
        <w:gridCol w:w="774"/>
        <w:gridCol w:w="1350"/>
      </w:tblGrid>
      <w:tr w14:paraId="472D48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397" w:hRule="atLeast"/>
          <w:tblHeader/>
        </w:trPr>
        <w:tc>
          <w:tcPr>
            <w:tcW w:w="364" w:type="pct"/>
            <w:noWrap w:val="0"/>
            <w:vAlign w:val="center"/>
          </w:tcPr>
          <w:p w14:paraId="2E06FCC8">
            <w:pPr>
              <w:widowControl w:val="0"/>
              <w:wordWrap w:val="0"/>
              <w:adjustRightInd w:val="0"/>
              <w:snapToGrid w:val="0"/>
              <w:spacing w:line="240" w:lineRule="auto"/>
              <w:ind w:firstLine="0" w:firstLineChars="0"/>
              <w:jc w:val="center"/>
              <w:rPr>
                <w:rFonts w:hint="default" w:ascii="Times New Roman" w:hAnsi="Times New Roman" w:eastAsia="宋体" w:cs="Times New Roman"/>
                <w:b/>
                <w:bCs/>
                <w:kern w:val="2"/>
                <w:sz w:val="21"/>
                <w:szCs w:val="21"/>
                <w:lang w:val="en-US" w:eastAsia="en-US" w:bidi="ar-SA"/>
              </w:rPr>
            </w:pPr>
            <w:r>
              <w:rPr>
                <w:rFonts w:hint="default" w:ascii="Times New Roman" w:hAnsi="Times New Roman" w:eastAsia="宋体" w:cs="Times New Roman"/>
                <w:b/>
                <w:bCs/>
                <w:kern w:val="2"/>
                <w:sz w:val="21"/>
                <w:szCs w:val="21"/>
                <w:lang w:val="en-US" w:eastAsia="en-US" w:bidi="ar-SA"/>
              </w:rPr>
              <w:t>序号</w:t>
            </w:r>
          </w:p>
        </w:tc>
        <w:tc>
          <w:tcPr>
            <w:tcW w:w="1366" w:type="pct"/>
            <w:noWrap w:val="0"/>
            <w:vAlign w:val="center"/>
          </w:tcPr>
          <w:p w14:paraId="2AC798FA">
            <w:pPr>
              <w:widowControl w:val="0"/>
              <w:wordWrap w:val="0"/>
              <w:adjustRightInd w:val="0"/>
              <w:snapToGrid w:val="0"/>
              <w:spacing w:line="240" w:lineRule="auto"/>
              <w:ind w:firstLine="0" w:firstLineChars="0"/>
              <w:jc w:val="center"/>
              <w:rPr>
                <w:rFonts w:hint="default" w:ascii="Times New Roman" w:hAnsi="Times New Roman" w:eastAsia="宋体" w:cs="Times New Roman"/>
                <w:b/>
                <w:bCs/>
                <w:kern w:val="2"/>
                <w:sz w:val="21"/>
                <w:szCs w:val="21"/>
                <w:lang w:val="en-US" w:eastAsia="en-US" w:bidi="ar-SA"/>
              </w:rPr>
            </w:pPr>
            <w:r>
              <w:rPr>
                <w:rFonts w:hint="default" w:ascii="Times New Roman" w:hAnsi="Times New Roman" w:eastAsia="宋体" w:cs="Times New Roman"/>
                <w:b/>
                <w:bCs/>
                <w:kern w:val="2"/>
                <w:sz w:val="21"/>
                <w:szCs w:val="21"/>
                <w:lang w:val="en-US" w:eastAsia="en-US" w:bidi="ar-SA"/>
              </w:rPr>
              <w:t>名称</w:t>
            </w:r>
          </w:p>
        </w:tc>
        <w:tc>
          <w:tcPr>
            <w:tcW w:w="1014" w:type="pct"/>
            <w:noWrap w:val="0"/>
            <w:vAlign w:val="center"/>
          </w:tcPr>
          <w:p w14:paraId="30EE1FA0">
            <w:pPr>
              <w:widowControl w:val="0"/>
              <w:wordWrap w:val="0"/>
              <w:adjustRightInd w:val="0"/>
              <w:snapToGrid w:val="0"/>
              <w:spacing w:line="240" w:lineRule="auto"/>
              <w:ind w:firstLine="0" w:firstLineChars="0"/>
              <w:jc w:val="center"/>
              <w:rPr>
                <w:rFonts w:hint="default" w:ascii="Times New Roman" w:hAnsi="Times New Roman" w:eastAsia="宋体" w:cs="Times New Roman"/>
                <w:b/>
                <w:bCs/>
                <w:kern w:val="2"/>
                <w:sz w:val="21"/>
                <w:szCs w:val="21"/>
                <w:lang w:val="en-US" w:eastAsia="en-US" w:bidi="ar-SA"/>
              </w:rPr>
            </w:pPr>
            <w:r>
              <w:rPr>
                <w:rFonts w:hint="default" w:ascii="Times New Roman" w:hAnsi="Times New Roman" w:eastAsia="宋体" w:cs="Times New Roman"/>
                <w:b/>
                <w:bCs/>
                <w:kern w:val="2"/>
                <w:sz w:val="21"/>
                <w:szCs w:val="21"/>
                <w:lang w:val="en-US" w:eastAsia="en-US" w:bidi="ar-SA"/>
              </w:rPr>
              <w:t>结构形式</w:t>
            </w:r>
          </w:p>
        </w:tc>
        <w:tc>
          <w:tcPr>
            <w:tcW w:w="1098" w:type="pct"/>
            <w:noWrap w:val="0"/>
            <w:vAlign w:val="center"/>
          </w:tcPr>
          <w:p w14:paraId="184B8132">
            <w:pPr>
              <w:widowControl w:val="0"/>
              <w:wordWrap w:val="0"/>
              <w:adjustRightInd w:val="0"/>
              <w:snapToGrid w:val="0"/>
              <w:spacing w:line="240" w:lineRule="auto"/>
              <w:ind w:firstLine="0" w:firstLineChars="0"/>
              <w:jc w:val="center"/>
              <w:rPr>
                <w:rFonts w:hint="default" w:ascii="Times New Roman" w:hAnsi="Times New Roman" w:eastAsia="宋体" w:cs="Times New Roman"/>
                <w:b/>
                <w:bCs/>
                <w:kern w:val="2"/>
                <w:sz w:val="21"/>
                <w:szCs w:val="21"/>
                <w:lang w:val="en-US" w:eastAsia="en-US" w:bidi="ar-SA"/>
              </w:rPr>
            </w:pPr>
            <w:r>
              <w:rPr>
                <w:rFonts w:hint="default" w:ascii="Times New Roman" w:hAnsi="Times New Roman" w:eastAsia="宋体" w:cs="Times New Roman"/>
                <w:b/>
                <w:bCs/>
                <w:kern w:val="2"/>
                <w:sz w:val="21"/>
                <w:szCs w:val="21"/>
                <w:lang w:val="en-US" w:eastAsia="en-US" w:bidi="ar-SA"/>
              </w:rPr>
              <w:t>占地面积（m</w:t>
            </w:r>
            <w:r>
              <w:rPr>
                <w:rFonts w:hint="default" w:ascii="Times New Roman" w:hAnsi="Times New Roman" w:eastAsia="宋体" w:cs="Times New Roman"/>
                <w:b/>
                <w:bCs/>
                <w:kern w:val="2"/>
                <w:sz w:val="21"/>
                <w:szCs w:val="21"/>
                <w:vertAlign w:val="superscript"/>
                <w:lang w:val="en-US" w:eastAsia="en-US" w:bidi="ar-SA"/>
              </w:rPr>
              <w:t>2</w:t>
            </w:r>
            <w:r>
              <w:rPr>
                <w:rFonts w:hint="default" w:ascii="Times New Roman" w:hAnsi="Times New Roman" w:eastAsia="宋体" w:cs="Times New Roman"/>
                <w:b/>
                <w:bCs/>
                <w:kern w:val="2"/>
                <w:sz w:val="21"/>
                <w:szCs w:val="21"/>
                <w:lang w:val="en-US" w:eastAsia="en-US" w:bidi="ar-SA"/>
              </w:rPr>
              <w:t>）</w:t>
            </w:r>
          </w:p>
        </w:tc>
        <w:tc>
          <w:tcPr>
            <w:tcW w:w="421" w:type="pct"/>
            <w:noWrap w:val="0"/>
            <w:vAlign w:val="center"/>
          </w:tcPr>
          <w:p w14:paraId="291C34A1">
            <w:pPr>
              <w:widowControl w:val="0"/>
              <w:wordWrap w:val="0"/>
              <w:adjustRightInd w:val="0"/>
              <w:snapToGrid w:val="0"/>
              <w:spacing w:line="240" w:lineRule="auto"/>
              <w:ind w:firstLine="0" w:firstLineChars="0"/>
              <w:jc w:val="center"/>
              <w:rPr>
                <w:rFonts w:hint="default" w:ascii="Times New Roman" w:hAnsi="Times New Roman" w:eastAsia="宋体" w:cs="Times New Roman"/>
                <w:b/>
                <w:bCs/>
                <w:kern w:val="2"/>
                <w:sz w:val="21"/>
                <w:szCs w:val="21"/>
                <w:lang w:val="en-US" w:eastAsia="en-US" w:bidi="ar-SA"/>
              </w:rPr>
            </w:pPr>
            <w:r>
              <w:rPr>
                <w:rFonts w:hint="default" w:ascii="Times New Roman" w:hAnsi="Times New Roman" w:eastAsia="宋体" w:cs="Times New Roman"/>
                <w:b/>
                <w:bCs/>
                <w:kern w:val="2"/>
                <w:sz w:val="21"/>
                <w:szCs w:val="21"/>
                <w:lang w:val="en-US" w:eastAsia="en-US" w:bidi="ar-SA"/>
              </w:rPr>
              <w:t>层数</w:t>
            </w:r>
          </w:p>
        </w:tc>
        <w:tc>
          <w:tcPr>
            <w:tcW w:w="734" w:type="pct"/>
            <w:noWrap w:val="0"/>
            <w:vAlign w:val="center"/>
          </w:tcPr>
          <w:p w14:paraId="1D597A8F">
            <w:pPr>
              <w:widowControl w:val="0"/>
              <w:wordWrap w:val="0"/>
              <w:adjustRightInd w:val="0"/>
              <w:snapToGrid w:val="0"/>
              <w:spacing w:line="240" w:lineRule="auto"/>
              <w:ind w:firstLine="0" w:firstLineChars="0"/>
              <w:jc w:val="center"/>
              <w:rPr>
                <w:rFonts w:hint="default" w:ascii="Times New Roman" w:hAnsi="Times New Roman" w:eastAsia="宋体" w:cs="Times New Roman"/>
                <w:b/>
                <w:bCs/>
                <w:kern w:val="2"/>
                <w:sz w:val="21"/>
                <w:szCs w:val="21"/>
                <w:lang w:val="en-US" w:eastAsia="en-US" w:bidi="ar-SA"/>
              </w:rPr>
            </w:pPr>
            <w:r>
              <w:rPr>
                <w:rFonts w:hint="default" w:ascii="Times New Roman" w:hAnsi="Times New Roman" w:eastAsia="宋体" w:cs="Times New Roman"/>
                <w:b/>
                <w:bCs/>
                <w:kern w:val="2"/>
                <w:sz w:val="21"/>
                <w:szCs w:val="21"/>
                <w:lang w:val="en-US" w:eastAsia="en-US" w:bidi="ar-SA"/>
              </w:rPr>
              <w:t>备注</w:t>
            </w:r>
          </w:p>
        </w:tc>
      </w:tr>
      <w:tr w14:paraId="7B9E84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397" w:hRule="atLeast"/>
        </w:trPr>
        <w:tc>
          <w:tcPr>
            <w:tcW w:w="364" w:type="pct"/>
            <w:noWrap w:val="0"/>
            <w:vAlign w:val="center"/>
          </w:tcPr>
          <w:p w14:paraId="0885BEB5">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1</w:t>
            </w:r>
          </w:p>
        </w:tc>
        <w:tc>
          <w:tcPr>
            <w:tcW w:w="1366" w:type="pct"/>
            <w:noWrap w:val="0"/>
            <w:vAlign w:val="center"/>
          </w:tcPr>
          <w:p w14:paraId="334FE3FC">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eastAsia" w:ascii="Times New Roman" w:hAnsi="Times New Roman" w:eastAsia="宋体" w:cs="Times New Roman"/>
                <w:b w:val="0"/>
                <w:kern w:val="2"/>
                <w:sz w:val="21"/>
                <w:szCs w:val="21"/>
                <w:lang w:val="en-US" w:eastAsia="zh-CN" w:bidi="ar-SA"/>
              </w:rPr>
              <w:t>成品仓</w:t>
            </w:r>
          </w:p>
        </w:tc>
        <w:tc>
          <w:tcPr>
            <w:tcW w:w="1014" w:type="pct"/>
            <w:noWrap w:val="0"/>
            <w:vAlign w:val="center"/>
          </w:tcPr>
          <w:p w14:paraId="692AB470">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轻钢框架结构</w:t>
            </w:r>
          </w:p>
        </w:tc>
        <w:tc>
          <w:tcPr>
            <w:tcW w:w="1098" w:type="pct"/>
            <w:noWrap w:val="0"/>
            <w:vAlign w:val="center"/>
          </w:tcPr>
          <w:p w14:paraId="39262194">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eastAsia" w:ascii="Times New Roman" w:hAnsi="Times New Roman" w:eastAsia="宋体" w:cs="Times New Roman"/>
                <w:b w:val="0"/>
                <w:kern w:val="2"/>
                <w:sz w:val="21"/>
                <w:szCs w:val="21"/>
                <w:lang w:val="en-US" w:eastAsia="zh-CN" w:bidi="ar-SA"/>
              </w:rPr>
              <w:t>1818</w:t>
            </w:r>
          </w:p>
        </w:tc>
        <w:tc>
          <w:tcPr>
            <w:tcW w:w="421" w:type="pct"/>
            <w:noWrap w:val="0"/>
            <w:vAlign w:val="center"/>
          </w:tcPr>
          <w:p w14:paraId="63A633B7">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1</w:t>
            </w:r>
          </w:p>
        </w:tc>
        <w:tc>
          <w:tcPr>
            <w:tcW w:w="734" w:type="pct"/>
            <w:noWrap w:val="0"/>
            <w:vAlign w:val="center"/>
          </w:tcPr>
          <w:p w14:paraId="15E05E94">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p>
        </w:tc>
      </w:tr>
      <w:tr w14:paraId="27D94F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397" w:hRule="atLeast"/>
        </w:trPr>
        <w:tc>
          <w:tcPr>
            <w:tcW w:w="364" w:type="pct"/>
            <w:noWrap w:val="0"/>
            <w:vAlign w:val="center"/>
          </w:tcPr>
          <w:p w14:paraId="59B6CFC2">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2</w:t>
            </w:r>
          </w:p>
        </w:tc>
        <w:tc>
          <w:tcPr>
            <w:tcW w:w="1366" w:type="pct"/>
            <w:noWrap w:val="0"/>
            <w:vAlign w:val="center"/>
          </w:tcPr>
          <w:p w14:paraId="24402DBD">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配电室</w:t>
            </w:r>
          </w:p>
        </w:tc>
        <w:tc>
          <w:tcPr>
            <w:tcW w:w="1014" w:type="pct"/>
            <w:noWrap w:val="0"/>
            <w:vAlign w:val="center"/>
          </w:tcPr>
          <w:p w14:paraId="2CFBFB42">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砖混</w:t>
            </w:r>
          </w:p>
        </w:tc>
        <w:tc>
          <w:tcPr>
            <w:tcW w:w="1098" w:type="pct"/>
            <w:noWrap w:val="0"/>
            <w:vAlign w:val="center"/>
          </w:tcPr>
          <w:p w14:paraId="33C50725">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eastAsia" w:ascii="Times New Roman" w:hAnsi="Times New Roman" w:eastAsia="宋体" w:cs="Times New Roman"/>
                <w:b w:val="0"/>
                <w:kern w:val="2"/>
                <w:sz w:val="21"/>
                <w:szCs w:val="21"/>
                <w:lang w:val="en-US" w:eastAsia="zh-CN" w:bidi="ar-SA"/>
              </w:rPr>
              <w:t>42</w:t>
            </w:r>
          </w:p>
        </w:tc>
        <w:tc>
          <w:tcPr>
            <w:tcW w:w="421" w:type="pct"/>
            <w:noWrap w:val="0"/>
            <w:vAlign w:val="center"/>
          </w:tcPr>
          <w:p w14:paraId="1B67D5CD">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1</w:t>
            </w:r>
          </w:p>
        </w:tc>
        <w:tc>
          <w:tcPr>
            <w:tcW w:w="734" w:type="pct"/>
            <w:noWrap w:val="0"/>
            <w:vAlign w:val="center"/>
          </w:tcPr>
          <w:p w14:paraId="106F9D10">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en-US" w:bidi="ar-SA"/>
              </w:rPr>
            </w:pPr>
          </w:p>
        </w:tc>
      </w:tr>
      <w:tr w14:paraId="4B5B94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397" w:hRule="atLeast"/>
        </w:trPr>
        <w:tc>
          <w:tcPr>
            <w:tcW w:w="364" w:type="pct"/>
            <w:noWrap w:val="0"/>
            <w:vAlign w:val="center"/>
          </w:tcPr>
          <w:p w14:paraId="6907B5DC">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3</w:t>
            </w:r>
          </w:p>
        </w:tc>
        <w:tc>
          <w:tcPr>
            <w:tcW w:w="1366" w:type="pct"/>
            <w:noWrap w:val="0"/>
            <w:vAlign w:val="center"/>
          </w:tcPr>
          <w:p w14:paraId="07AB19BD">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操作室</w:t>
            </w:r>
          </w:p>
        </w:tc>
        <w:tc>
          <w:tcPr>
            <w:tcW w:w="1014" w:type="pct"/>
            <w:noWrap w:val="0"/>
            <w:vAlign w:val="center"/>
          </w:tcPr>
          <w:p w14:paraId="4D181691">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钢框架结构</w:t>
            </w:r>
          </w:p>
        </w:tc>
        <w:tc>
          <w:tcPr>
            <w:tcW w:w="1098" w:type="pct"/>
            <w:noWrap w:val="0"/>
            <w:vAlign w:val="center"/>
          </w:tcPr>
          <w:p w14:paraId="5D4CBC70">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1</w:t>
            </w:r>
            <w:r>
              <w:rPr>
                <w:rFonts w:hint="eastAsia" w:ascii="Times New Roman" w:hAnsi="Times New Roman" w:eastAsia="宋体" w:cs="Times New Roman"/>
                <w:b w:val="0"/>
                <w:kern w:val="2"/>
                <w:sz w:val="21"/>
                <w:szCs w:val="21"/>
                <w:lang w:val="en-US" w:eastAsia="zh-CN" w:bidi="ar-SA"/>
              </w:rPr>
              <w:t>24</w:t>
            </w:r>
          </w:p>
        </w:tc>
        <w:tc>
          <w:tcPr>
            <w:tcW w:w="421" w:type="pct"/>
            <w:noWrap w:val="0"/>
            <w:vAlign w:val="center"/>
          </w:tcPr>
          <w:p w14:paraId="2C16DEDD">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eastAsia" w:ascii="Times New Roman" w:hAnsi="Times New Roman" w:eastAsia="宋体" w:cs="Times New Roman"/>
                <w:b w:val="0"/>
                <w:kern w:val="2"/>
                <w:sz w:val="21"/>
                <w:szCs w:val="21"/>
                <w:lang w:val="en-US" w:eastAsia="zh-CN" w:bidi="ar-SA"/>
              </w:rPr>
              <w:t>1</w:t>
            </w:r>
          </w:p>
        </w:tc>
        <w:tc>
          <w:tcPr>
            <w:tcW w:w="734" w:type="pct"/>
            <w:noWrap w:val="0"/>
            <w:vAlign w:val="center"/>
          </w:tcPr>
          <w:p w14:paraId="3C855513">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en-US" w:bidi="ar-SA"/>
              </w:rPr>
            </w:pPr>
          </w:p>
        </w:tc>
      </w:tr>
      <w:tr w14:paraId="582860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397" w:hRule="atLeast"/>
        </w:trPr>
        <w:tc>
          <w:tcPr>
            <w:tcW w:w="364" w:type="pct"/>
            <w:noWrap w:val="0"/>
            <w:vAlign w:val="center"/>
          </w:tcPr>
          <w:p w14:paraId="5BE45060">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4</w:t>
            </w:r>
          </w:p>
        </w:tc>
        <w:tc>
          <w:tcPr>
            <w:tcW w:w="1366" w:type="pct"/>
            <w:noWrap w:val="0"/>
            <w:vAlign w:val="center"/>
          </w:tcPr>
          <w:p w14:paraId="1BC0452E">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eastAsia" w:ascii="Times New Roman" w:hAnsi="Times New Roman" w:eastAsia="宋体" w:cs="Times New Roman"/>
                <w:b w:val="0"/>
                <w:kern w:val="2"/>
                <w:sz w:val="21"/>
                <w:szCs w:val="21"/>
                <w:lang w:val="en-US" w:eastAsia="zh-CN" w:bidi="ar-SA"/>
              </w:rPr>
              <w:t>破碎厂房</w:t>
            </w:r>
          </w:p>
        </w:tc>
        <w:tc>
          <w:tcPr>
            <w:tcW w:w="1014" w:type="pct"/>
            <w:noWrap w:val="0"/>
            <w:vAlign w:val="center"/>
          </w:tcPr>
          <w:p w14:paraId="2B234352">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钢框架结构</w:t>
            </w:r>
          </w:p>
        </w:tc>
        <w:tc>
          <w:tcPr>
            <w:tcW w:w="1098" w:type="pct"/>
            <w:noWrap w:val="0"/>
            <w:vAlign w:val="center"/>
          </w:tcPr>
          <w:p w14:paraId="0744775D">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eastAsia" w:ascii="Times New Roman" w:hAnsi="Times New Roman" w:eastAsia="宋体" w:cs="Times New Roman"/>
                <w:b w:val="0"/>
                <w:kern w:val="2"/>
                <w:sz w:val="21"/>
                <w:szCs w:val="21"/>
                <w:lang w:val="en-US" w:eastAsia="zh-CN" w:bidi="ar-SA"/>
              </w:rPr>
              <w:t>760</w:t>
            </w:r>
          </w:p>
        </w:tc>
        <w:tc>
          <w:tcPr>
            <w:tcW w:w="421" w:type="pct"/>
            <w:noWrap w:val="0"/>
            <w:vAlign w:val="center"/>
          </w:tcPr>
          <w:p w14:paraId="67504FE0">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eastAsia" w:ascii="Times New Roman" w:hAnsi="Times New Roman" w:eastAsia="宋体" w:cs="Times New Roman"/>
                <w:b w:val="0"/>
                <w:kern w:val="2"/>
                <w:sz w:val="21"/>
                <w:szCs w:val="21"/>
                <w:lang w:val="en-US" w:eastAsia="zh-CN" w:bidi="ar-SA"/>
              </w:rPr>
              <w:t>1</w:t>
            </w:r>
          </w:p>
        </w:tc>
        <w:tc>
          <w:tcPr>
            <w:tcW w:w="734" w:type="pct"/>
            <w:noWrap w:val="0"/>
            <w:vAlign w:val="center"/>
          </w:tcPr>
          <w:p w14:paraId="722A3C3E">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p>
        </w:tc>
      </w:tr>
    </w:tbl>
    <w:p w14:paraId="4D16D000">
      <w:pPr>
        <w:adjustRightInd w:val="0"/>
        <w:snapToGrid w:val="0"/>
        <w:spacing w:line="360" w:lineRule="auto"/>
        <w:ind w:firstLine="560" w:firstLineChars="200"/>
        <w:rPr>
          <w:rFonts w:hint="default" w:ascii="Times New Roman" w:hAnsi="Times New Roman" w:cs="Times New Roman"/>
          <w:sz w:val="28"/>
          <w:szCs w:val="28"/>
          <w:lang w:eastAsia="zh-CN"/>
        </w:rPr>
      </w:pPr>
      <w:r>
        <w:rPr>
          <w:rFonts w:hint="default" w:ascii="Times New Roman" w:hAnsi="Times New Roman" w:cs="Times New Roman"/>
          <w:sz w:val="28"/>
          <w:szCs w:val="28"/>
          <w:lang w:eastAsia="zh-CN"/>
        </w:rPr>
        <w:t>根据《建筑抗震设计标准》（2024年版）（GB/T50011-2010）附录A.0.22及《中国地震动参数区划图》（GB18306-2015）C.25的有关规定，场地抗震设防烈度7度，设计基本地震动峰值加速度为0.45g，设计地震分组为第三组。本项目所有建构筑物均已按7度抗震烈度防。</w:t>
      </w:r>
    </w:p>
    <w:p w14:paraId="2FC2A963">
      <w:pPr>
        <w:keepNext w:val="0"/>
        <w:keepLines w:val="0"/>
        <w:widowControl w:val="0"/>
        <w:adjustRightInd w:val="0"/>
        <w:snapToGrid w:val="0"/>
        <w:spacing w:before="0" w:after="0" w:line="360" w:lineRule="auto"/>
        <w:ind w:firstLine="562" w:firstLineChars="200"/>
        <w:jc w:val="both"/>
        <w:outlineLvl w:val="3"/>
        <w:rPr>
          <w:rFonts w:hint="default" w:ascii="Times New Roman" w:hAnsi="Times New Roman" w:eastAsia="宋体" w:cs="Times New Roman"/>
          <w:b/>
          <w:bCs/>
          <w:kern w:val="2"/>
          <w:sz w:val="28"/>
          <w:szCs w:val="28"/>
          <w:lang w:val="en-US" w:eastAsia="zh-CN" w:bidi="ar-SA"/>
        </w:rPr>
      </w:pPr>
      <w:r>
        <w:rPr>
          <w:rFonts w:hint="default" w:ascii="Times New Roman" w:hAnsi="Times New Roman" w:eastAsia="宋体" w:cs="Times New Roman"/>
          <w:b/>
          <w:bCs/>
          <w:kern w:val="2"/>
          <w:sz w:val="28"/>
          <w:szCs w:val="28"/>
          <w:lang w:val="en-US" w:eastAsia="zh-CN" w:bidi="ar-SA"/>
        </w:rPr>
        <w:t>2.4.</w:t>
      </w:r>
      <w:r>
        <w:rPr>
          <w:rFonts w:hint="eastAsia" w:ascii="Times New Roman" w:hAnsi="Times New Roman" w:eastAsia="宋体" w:cs="Times New Roman"/>
          <w:b/>
          <w:bCs/>
          <w:kern w:val="2"/>
          <w:sz w:val="28"/>
          <w:szCs w:val="28"/>
          <w:lang w:val="en-US" w:eastAsia="zh-CN" w:bidi="ar-SA"/>
        </w:rPr>
        <w:t>11</w:t>
      </w:r>
      <w:r>
        <w:rPr>
          <w:rFonts w:hint="default" w:ascii="Times New Roman" w:hAnsi="Times New Roman" w:eastAsia="宋体" w:cs="Times New Roman"/>
          <w:b/>
          <w:bCs/>
          <w:kern w:val="2"/>
          <w:sz w:val="28"/>
          <w:szCs w:val="28"/>
          <w:lang w:val="en-US" w:eastAsia="zh-CN" w:bidi="ar-SA"/>
        </w:rPr>
        <w:t>.</w:t>
      </w:r>
      <w:r>
        <w:rPr>
          <w:rFonts w:hint="eastAsia" w:ascii="Times New Roman" w:hAnsi="Times New Roman" w:eastAsia="宋体" w:cs="Times New Roman"/>
          <w:b/>
          <w:bCs/>
          <w:kern w:val="2"/>
          <w:sz w:val="28"/>
          <w:szCs w:val="28"/>
          <w:lang w:val="en-US" w:eastAsia="zh-CN" w:bidi="ar-SA"/>
        </w:rPr>
        <w:t>3</w:t>
      </w:r>
      <w:r>
        <w:rPr>
          <w:rFonts w:hint="default" w:ascii="Times New Roman" w:hAnsi="Times New Roman" w:eastAsia="宋体" w:cs="Times New Roman"/>
          <w:b/>
          <w:bCs/>
          <w:kern w:val="2"/>
          <w:sz w:val="28"/>
          <w:szCs w:val="28"/>
          <w:lang w:val="en-US" w:eastAsia="zh-CN" w:bidi="ar-SA"/>
        </w:rPr>
        <w:t>破碎</w:t>
      </w:r>
      <w:r>
        <w:rPr>
          <w:rFonts w:hint="eastAsia" w:ascii="Times New Roman" w:hAnsi="Times New Roman" w:eastAsia="宋体" w:cs="Times New Roman"/>
          <w:b/>
          <w:bCs/>
          <w:kern w:val="2"/>
          <w:sz w:val="28"/>
          <w:szCs w:val="28"/>
          <w:lang w:val="en-US" w:eastAsia="zh-CN" w:bidi="ar-SA"/>
        </w:rPr>
        <w:t>站</w:t>
      </w:r>
      <w:r>
        <w:rPr>
          <w:rFonts w:hint="default" w:ascii="Times New Roman" w:hAnsi="Times New Roman" w:eastAsia="宋体" w:cs="Times New Roman"/>
          <w:b/>
          <w:bCs/>
          <w:kern w:val="2"/>
          <w:sz w:val="28"/>
          <w:szCs w:val="28"/>
          <w:lang w:val="en-US" w:eastAsia="zh-CN" w:bidi="ar-SA"/>
        </w:rPr>
        <w:t>建筑防火防爆</w:t>
      </w:r>
    </w:p>
    <w:p w14:paraId="31FD803D">
      <w:pPr>
        <w:adjustRightInd w:val="0"/>
        <w:snapToGrid w:val="0"/>
        <w:spacing w:line="360" w:lineRule="auto"/>
        <w:ind w:firstLine="560" w:firstLineChars="200"/>
        <w:rPr>
          <w:rFonts w:hint="default" w:ascii="Times New Roman" w:hAnsi="Times New Roman" w:cs="Times New Roman"/>
          <w:sz w:val="28"/>
          <w:szCs w:val="28"/>
          <w:lang w:eastAsia="zh-CN"/>
        </w:rPr>
      </w:pPr>
      <w:r>
        <w:rPr>
          <w:rFonts w:hint="default" w:ascii="Times New Roman" w:hAnsi="Times New Roman" w:cs="Times New Roman"/>
          <w:sz w:val="28"/>
          <w:szCs w:val="28"/>
          <w:lang w:eastAsia="zh-CN"/>
        </w:rPr>
        <w:t>1.根据《建筑设计防火规范》《建筑设计防火规范（2018年版）》（GB 50016-2014）的要求，耐火等级为二级的1层丁/戊类厂房每个防火分区最大允许建筑面积不限，故成品仓、破碎厂房等分别为一个防火分区考虑。</w:t>
      </w:r>
    </w:p>
    <w:p w14:paraId="1645FA32">
      <w:pPr>
        <w:adjustRightInd w:val="0"/>
        <w:snapToGrid w:val="0"/>
        <w:spacing w:line="360" w:lineRule="auto"/>
        <w:ind w:firstLine="560" w:firstLineChars="200"/>
        <w:rPr>
          <w:rFonts w:hint="default" w:ascii="Times New Roman" w:hAnsi="Times New Roman" w:cs="Times New Roman"/>
          <w:sz w:val="28"/>
          <w:szCs w:val="28"/>
          <w:lang w:eastAsia="zh-CN"/>
        </w:rPr>
      </w:pPr>
      <w:r>
        <w:rPr>
          <w:rFonts w:hint="default" w:ascii="Times New Roman" w:hAnsi="Times New Roman" w:cs="Times New Roman"/>
          <w:sz w:val="28"/>
          <w:szCs w:val="28"/>
          <w:lang w:eastAsia="zh-CN"/>
        </w:rPr>
        <w:t>2.根据《建筑设计防火规范》《建筑设计防火规范（2018年版）》（GB 50016-2014）的要求，耐火等级为二级的多层民用建筑每个防火分区最大允许建筑面积为2500m</w:t>
      </w:r>
      <w:r>
        <w:rPr>
          <w:rFonts w:hint="default" w:ascii="Times New Roman" w:hAnsi="Times New Roman" w:cs="Times New Roman"/>
          <w:sz w:val="28"/>
          <w:szCs w:val="28"/>
          <w:vertAlign w:val="superscript"/>
          <w:lang w:eastAsia="zh-CN"/>
        </w:rPr>
        <w:t>2</w:t>
      </w:r>
      <w:r>
        <w:rPr>
          <w:rFonts w:hint="default" w:ascii="Times New Roman" w:hAnsi="Times New Roman" w:cs="Times New Roman"/>
          <w:sz w:val="28"/>
          <w:szCs w:val="28"/>
          <w:lang w:eastAsia="zh-CN"/>
        </w:rPr>
        <w:t>，故办公楼/辅助用房分别为一个独立的防火分区考虑。</w:t>
      </w:r>
    </w:p>
    <w:p w14:paraId="437C3E85">
      <w:pPr>
        <w:adjustRightInd w:val="0"/>
        <w:snapToGrid w:val="0"/>
        <w:spacing w:line="360" w:lineRule="auto"/>
        <w:ind w:firstLine="560" w:firstLineChars="200"/>
        <w:rPr>
          <w:rFonts w:hint="default" w:ascii="Times New Roman" w:hAnsi="Times New Roman" w:cs="Times New Roman"/>
          <w:sz w:val="28"/>
          <w:szCs w:val="28"/>
          <w:lang w:eastAsia="zh-CN"/>
        </w:rPr>
      </w:pPr>
      <w:r>
        <w:rPr>
          <w:rFonts w:hint="default" w:ascii="Times New Roman" w:hAnsi="Times New Roman" w:cs="Times New Roman"/>
          <w:sz w:val="28"/>
          <w:szCs w:val="28"/>
          <w:lang w:eastAsia="zh-CN"/>
        </w:rPr>
        <w:t>3.项目建筑的钢结构设计要求按照《建筑设计防火规范》的规定达到二级耐火等级的建筑要求。</w:t>
      </w:r>
    </w:p>
    <w:p w14:paraId="1DF0E3DD">
      <w:pPr>
        <w:keepNext w:val="0"/>
        <w:keepLines w:val="0"/>
        <w:widowControl w:val="0"/>
        <w:adjustRightInd w:val="0"/>
        <w:snapToGrid w:val="0"/>
        <w:spacing w:before="0" w:after="0" w:line="360" w:lineRule="auto"/>
        <w:ind w:firstLine="562" w:firstLineChars="200"/>
        <w:jc w:val="both"/>
        <w:outlineLvl w:val="3"/>
        <w:rPr>
          <w:rFonts w:hint="default" w:ascii="Times New Roman" w:hAnsi="Times New Roman" w:eastAsia="宋体" w:cs="Times New Roman"/>
          <w:b/>
          <w:bCs/>
          <w:kern w:val="2"/>
          <w:sz w:val="28"/>
          <w:szCs w:val="28"/>
          <w:lang w:val="en-US" w:eastAsia="zh-CN" w:bidi="ar-SA"/>
        </w:rPr>
      </w:pPr>
      <w:r>
        <w:rPr>
          <w:rFonts w:hint="default" w:ascii="Times New Roman" w:hAnsi="Times New Roman" w:eastAsia="宋体" w:cs="Times New Roman"/>
          <w:b/>
          <w:bCs/>
          <w:kern w:val="2"/>
          <w:sz w:val="28"/>
          <w:szCs w:val="28"/>
          <w:lang w:val="en-US" w:eastAsia="zh-CN" w:bidi="ar-SA"/>
        </w:rPr>
        <w:t>2.4.</w:t>
      </w:r>
      <w:r>
        <w:rPr>
          <w:rFonts w:hint="eastAsia" w:ascii="Times New Roman" w:hAnsi="Times New Roman" w:eastAsia="宋体" w:cs="Times New Roman"/>
          <w:b/>
          <w:bCs/>
          <w:kern w:val="2"/>
          <w:sz w:val="28"/>
          <w:szCs w:val="28"/>
          <w:lang w:val="en-US" w:eastAsia="zh-CN" w:bidi="ar-SA"/>
        </w:rPr>
        <w:t>11</w:t>
      </w:r>
      <w:r>
        <w:rPr>
          <w:rFonts w:hint="default" w:ascii="Times New Roman" w:hAnsi="Times New Roman" w:eastAsia="宋体" w:cs="Times New Roman"/>
          <w:b/>
          <w:bCs/>
          <w:kern w:val="2"/>
          <w:sz w:val="28"/>
          <w:szCs w:val="28"/>
          <w:lang w:val="en-US" w:eastAsia="zh-CN" w:bidi="ar-SA"/>
        </w:rPr>
        <w:t>.</w:t>
      </w:r>
      <w:r>
        <w:rPr>
          <w:rFonts w:hint="eastAsia" w:ascii="Times New Roman" w:hAnsi="Times New Roman" w:eastAsia="宋体" w:cs="Times New Roman"/>
          <w:b/>
          <w:bCs/>
          <w:kern w:val="2"/>
          <w:sz w:val="28"/>
          <w:szCs w:val="28"/>
          <w:lang w:val="en-US" w:eastAsia="zh-CN" w:bidi="ar-SA"/>
        </w:rPr>
        <w:t>4</w:t>
      </w:r>
      <w:r>
        <w:rPr>
          <w:rFonts w:hint="default" w:ascii="Times New Roman" w:hAnsi="Times New Roman" w:eastAsia="宋体" w:cs="Times New Roman"/>
          <w:b/>
          <w:bCs/>
          <w:kern w:val="2"/>
          <w:sz w:val="28"/>
          <w:szCs w:val="28"/>
          <w:lang w:val="en-US" w:eastAsia="zh-CN" w:bidi="ar-SA"/>
        </w:rPr>
        <w:t>破碎</w:t>
      </w:r>
      <w:r>
        <w:rPr>
          <w:rFonts w:hint="eastAsia" w:ascii="Times New Roman" w:hAnsi="Times New Roman" w:eastAsia="宋体" w:cs="Times New Roman"/>
          <w:b/>
          <w:bCs/>
          <w:kern w:val="2"/>
          <w:sz w:val="28"/>
          <w:szCs w:val="28"/>
          <w:lang w:val="en-US" w:eastAsia="zh-CN" w:bidi="ar-SA"/>
        </w:rPr>
        <w:t>站通风</w:t>
      </w:r>
    </w:p>
    <w:p w14:paraId="06E0B60A">
      <w:pPr>
        <w:adjustRightInd w:val="0"/>
        <w:snapToGrid w:val="0"/>
        <w:spacing w:line="360" w:lineRule="auto"/>
        <w:ind w:firstLine="560" w:firstLineChars="200"/>
        <w:rPr>
          <w:rFonts w:hint="default" w:ascii="Times New Roman" w:hAnsi="Times New Roman" w:cs="Times New Roman"/>
          <w:sz w:val="28"/>
          <w:szCs w:val="28"/>
          <w:lang w:eastAsia="zh-CN"/>
        </w:rPr>
      </w:pPr>
      <w:r>
        <w:rPr>
          <w:rFonts w:hint="default" w:ascii="Times New Roman" w:hAnsi="Times New Roman" w:cs="Times New Roman"/>
          <w:sz w:val="28"/>
          <w:szCs w:val="28"/>
          <w:lang w:eastAsia="zh-CN"/>
        </w:rPr>
        <w:t>项目破碎厂房为钢结构，采用操作室内采用空调通风的方式。办公楼为砖混结构建筑，采用自然通风</w:t>
      </w:r>
    </w:p>
    <w:p w14:paraId="5D69EDD7">
      <w:pPr>
        <w:keepNext w:val="0"/>
        <w:keepLines w:val="0"/>
        <w:widowControl w:val="0"/>
        <w:adjustRightInd w:val="0"/>
        <w:snapToGrid w:val="0"/>
        <w:spacing w:before="0" w:after="0" w:line="360" w:lineRule="auto"/>
        <w:ind w:firstLine="562" w:firstLineChars="200"/>
        <w:jc w:val="both"/>
        <w:outlineLvl w:val="3"/>
        <w:rPr>
          <w:rFonts w:hint="default" w:ascii="Times New Roman" w:hAnsi="Times New Roman" w:eastAsia="宋体" w:cs="Times New Roman"/>
          <w:b/>
          <w:bCs/>
          <w:kern w:val="2"/>
          <w:sz w:val="28"/>
          <w:szCs w:val="28"/>
          <w:lang w:val="en-US" w:eastAsia="zh-CN" w:bidi="ar-SA"/>
        </w:rPr>
      </w:pPr>
      <w:r>
        <w:rPr>
          <w:rFonts w:hint="default" w:ascii="Times New Roman" w:hAnsi="Times New Roman" w:eastAsia="宋体" w:cs="Times New Roman"/>
          <w:b/>
          <w:bCs/>
          <w:kern w:val="2"/>
          <w:sz w:val="28"/>
          <w:szCs w:val="28"/>
          <w:lang w:val="en-US" w:eastAsia="zh-CN" w:bidi="ar-SA"/>
        </w:rPr>
        <w:t>2.4.</w:t>
      </w:r>
      <w:r>
        <w:rPr>
          <w:rFonts w:hint="eastAsia" w:ascii="Times New Roman" w:hAnsi="Times New Roman" w:eastAsia="宋体" w:cs="Times New Roman"/>
          <w:b/>
          <w:bCs/>
          <w:kern w:val="2"/>
          <w:sz w:val="28"/>
          <w:szCs w:val="28"/>
          <w:lang w:val="en-US" w:eastAsia="zh-CN" w:bidi="ar-SA"/>
        </w:rPr>
        <w:t>11</w:t>
      </w:r>
      <w:r>
        <w:rPr>
          <w:rFonts w:hint="default" w:ascii="Times New Roman" w:hAnsi="Times New Roman" w:eastAsia="宋体" w:cs="Times New Roman"/>
          <w:b/>
          <w:bCs/>
          <w:kern w:val="2"/>
          <w:sz w:val="28"/>
          <w:szCs w:val="28"/>
          <w:lang w:val="en-US" w:eastAsia="zh-CN" w:bidi="ar-SA"/>
        </w:rPr>
        <w:t>.</w:t>
      </w:r>
      <w:r>
        <w:rPr>
          <w:rFonts w:hint="eastAsia" w:ascii="Times New Roman" w:hAnsi="Times New Roman" w:eastAsia="宋体" w:cs="Times New Roman"/>
          <w:b/>
          <w:bCs/>
          <w:kern w:val="2"/>
          <w:sz w:val="28"/>
          <w:szCs w:val="28"/>
          <w:lang w:val="en-US" w:eastAsia="zh-CN" w:bidi="ar-SA"/>
        </w:rPr>
        <w:t>5</w:t>
      </w:r>
      <w:r>
        <w:rPr>
          <w:rFonts w:hint="default" w:ascii="Times New Roman" w:hAnsi="Times New Roman" w:eastAsia="宋体" w:cs="Times New Roman"/>
          <w:b/>
          <w:bCs/>
          <w:kern w:val="2"/>
          <w:sz w:val="28"/>
          <w:szCs w:val="28"/>
          <w:lang w:val="en-US" w:eastAsia="zh-CN" w:bidi="ar-SA"/>
        </w:rPr>
        <w:t>破碎</w:t>
      </w:r>
      <w:r>
        <w:rPr>
          <w:rFonts w:hint="eastAsia" w:ascii="Times New Roman" w:hAnsi="Times New Roman" w:eastAsia="宋体" w:cs="Times New Roman"/>
          <w:b/>
          <w:bCs/>
          <w:kern w:val="2"/>
          <w:sz w:val="28"/>
          <w:szCs w:val="28"/>
          <w:lang w:val="en-US" w:eastAsia="zh-CN" w:bidi="ar-SA"/>
        </w:rPr>
        <w:t>站</w:t>
      </w:r>
      <w:r>
        <w:rPr>
          <w:rFonts w:hint="default" w:ascii="Times New Roman" w:hAnsi="Times New Roman" w:eastAsia="宋体" w:cs="Times New Roman"/>
          <w:b/>
          <w:bCs/>
          <w:kern w:val="2"/>
          <w:sz w:val="28"/>
          <w:szCs w:val="28"/>
          <w:lang w:val="en-US" w:eastAsia="zh-CN" w:bidi="ar-SA"/>
        </w:rPr>
        <w:t>道路、安全疏散通道设置</w:t>
      </w:r>
    </w:p>
    <w:p w14:paraId="41F39C86">
      <w:pPr>
        <w:adjustRightInd w:val="0"/>
        <w:snapToGrid w:val="0"/>
        <w:spacing w:line="360" w:lineRule="auto"/>
        <w:ind w:firstLine="560" w:firstLineChars="200"/>
        <w:rPr>
          <w:rFonts w:hint="default" w:ascii="Times New Roman" w:hAnsi="Times New Roman" w:cs="Times New Roman"/>
          <w:sz w:val="28"/>
          <w:szCs w:val="28"/>
          <w:lang w:eastAsia="zh-CN"/>
        </w:rPr>
      </w:pPr>
      <w:r>
        <w:rPr>
          <w:rFonts w:hint="default" w:ascii="Times New Roman" w:hAnsi="Times New Roman" w:cs="Times New Roman"/>
          <w:sz w:val="28"/>
          <w:szCs w:val="28"/>
          <w:lang w:eastAsia="zh-CN"/>
        </w:rPr>
        <w:t>1.厂内主要道路与厂外道路连通。厂内道路宽度为4.0m，路面采用水泥混凝土面层，转弯半径为9m。</w:t>
      </w:r>
    </w:p>
    <w:p w14:paraId="7DB9C431">
      <w:pPr>
        <w:adjustRightInd w:val="0"/>
        <w:snapToGrid w:val="0"/>
        <w:spacing w:line="360" w:lineRule="auto"/>
        <w:ind w:firstLine="560" w:firstLineChars="200"/>
        <w:rPr>
          <w:rFonts w:hint="default" w:ascii="Times New Roman" w:hAnsi="Times New Roman" w:cs="Times New Roman"/>
          <w:sz w:val="28"/>
          <w:szCs w:val="28"/>
          <w:lang w:eastAsia="zh-CN"/>
        </w:rPr>
      </w:pPr>
      <w:r>
        <w:rPr>
          <w:rFonts w:hint="default" w:ascii="Times New Roman" w:hAnsi="Times New Roman" w:cs="Times New Roman"/>
          <w:sz w:val="28"/>
          <w:szCs w:val="28"/>
          <w:lang w:eastAsia="zh-CN"/>
        </w:rPr>
        <w:t>2.本项目各车间设置有安全通道通向安全出口，疏散走道最小宽度不小于1.4m，门的最小净宽度不小于0.9m，安全出口与厂内道路互相贯通。厂区南侧设置1个出入口，出入口可作为整个厂区的安全疏散通道。</w:t>
      </w:r>
    </w:p>
    <w:p w14:paraId="175BE412">
      <w:pPr>
        <w:adjustRightInd w:val="0"/>
        <w:snapToGrid w:val="0"/>
        <w:spacing w:line="360" w:lineRule="auto"/>
        <w:ind w:firstLine="560" w:firstLineChars="200"/>
        <w:rPr>
          <w:rFonts w:hint="default" w:ascii="Times New Roman" w:hAnsi="Times New Roman" w:cs="Times New Roman"/>
          <w:sz w:val="28"/>
          <w:szCs w:val="28"/>
          <w:lang w:eastAsia="zh-CN"/>
        </w:rPr>
      </w:pPr>
      <w:r>
        <w:rPr>
          <w:rFonts w:hint="default" w:ascii="Times New Roman" w:hAnsi="Times New Roman" w:cs="Times New Roman"/>
          <w:sz w:val="28"/>
          <w:szCs w:val="28"/>
          <w:lang w:eastAsia="zh-CN"/>
        </w:rPr>
        <w:t>3.项目各建筑物内设置供人员疏散用的应急照明。在安全出口、疏散口和疏散通道按现行国家标准《建筑设计防火规范》（2018年版）（GB50016-2014）的有关规定设置疏散标志，疏散照明地面照度按1lx设计，主要通道为5lx，疏散照明采用自带蓄电池LED灯型。</w:t>
      </w:r>
    </w:p>
    <w:p w14:paraId="5878AC8E">
      <w:pPr>
        <w:adjustRightInd w:val="0"/>
        <w:snapToGrid w:val="0"/>
        <w:spacing w:line="360" w:lineRule="auto"/>
        <w:ind w:firstLine="560" w:firstLineChars="200"/>
        <w:rPr>
          <w:rFonts w:hint="default" w:ascii="Times New Roman" w:hAnsi="Times New Roman" w:cs="Times New Roman"/>
          <w:sz w:val="28"/>
          <w:szCs w:val="28"/>
          <w:lang w:eastAsia="zh-CN"/>
        </w:rPr>
      </w:pPr>
      <w:r>
        <w:rPr>
          <w:rFonts w:hint="default" w:ascii="Times New Roman" w:hAnsi="Times New Roman" w:cs="Times New Roman"/>
          <w:sz w:val="28"/>
          <w:szCs w:val="28"/>
          <w:lang w:eastAsia="zh-CN"/>
        </w:rPr>
        <w:t>全厂道路设计通畅，厂区大门口、危险路段、转变路段设计要求设置限速标牌和警示标牌。在道路旁设置了路灯，厂区照明的照度设计不低于50Lx。</w:t>
      </w:r>
    </w:p>
    <w:bookmarkEnd w:id="338"/>
    <w:p w14:paraId="17224C45">
      <w:pPr>
        <w:pStyle w:val="4"/>
        <w:spacing w:before="0" w:after="0" w:line="360" w:lineRule="auto"/>
        <w:rPr>
          <w:rFonts w:hint="default" w:ascii="Times New Roman" w:hAnsi="Times New Roman" w:cs="Times New Roman"/>
          <w:sz w:val="28"/>
          <w:szCs w:val="28"/>
        </w:rPr>
      </w:pPr>
      <w:bookmarkStart w:id="340" w:name="_Toc5275"/>
      <w:bookmarkStart w:id="341" w:name="_Toc16884"/>
      <w:bookmarkStart w:id="342" w:name="_Toc32585"/>
      <w:bookmarkStart w:id="343" w:name="_Toc12284"/>
      <w:r>
        <w:rPr>
          <w:rFonts w:hint="default" w:ascii="Times New Roman" w:hAnsi="Times New Roman" w:cs="Times New Roman"/>
          <w:sz w:val="28"/>
          <w:szCs w:val="28"/>
        </w:rPr>
        <w:t>2.4.12安全管理及其他</w:t>
      </w:r>
      <w:bookmarkEnd w:id="340"/>
      <w:bookmarkEnd w:id="341"/>
      <w:bookmarkEnd w:id="342"/>
      <w:bookmarkEnd w:id="343"/>
    </w:p>
    <w:p w14:paraId="506F1787">
      <w:pPr>
        <w:pStyle w:val="5"/>
        <w:spacing w:before="0" w:after="0" w:line="360" w:lineRule="auto"/>
        <w:ind w:firstLine="562" w:firstLineChars="200"/>
        <w:rPr>
          <w:rFonts w:hint="default" w:ascii="Times New Roman" w:hAnsi="Times New Roman" w:cs="Times New Roman"/>
        </w:rPr>
      </w:pPr>
      <w:r>
        <w:rPr>
          <w:rFonts w:hint="default" w:ascii="Times New Roman" w:hAnsi="Times New Roman" w:cs="Times New Roman"/>
        </w:rPr>
        <w:t>2.4.12.1组织结构和劳动定员</w:t>
      </w:r>
    </w:p>
    <w:p w14:paraId="7FBF986E">
      <w:pPr>
        <w:spacing w:line="360" w:lineRule="auto"/>
        <w:ind w:firstLine="562" w:firstLineChars="200"/>
        <w:rPr>
          <w:rFonts w:hint="default" w:ascii="Times New Roman" w:hAnsi="Times New Roman" w:cs="Times New Roman"/>
          <w:b/>
          <w:bCs/>
          <w:sz w:val="28"/>
          <w:szCs w:val="28"/>
        </w:rPr>
      </w:pPr>
      <w:r>
        <w:rPr>
          <w:rFonts w:hint="default" w:ascii="Times New Roman" w:hAnsi="Times New Roman" w:cs="Times New Roman"/>
          <w:b/>
          <w:bCs/>
          <w:sz w:val="28"/>
          <w:szCs w:val="28"/>
        </w:rPr>
        <w:t>1、组织结构</w:t>
      </w:r>
    </w:p>
    <w:p w14:paraId="736EACF3">
      <w:pPr>
        <w:spacing w:line="360" w:lineRule="auto"/>
        <w:ind w:firstLine="560" w:firstLineChars="200"/>
        <w:rPr>
          <w:rFonts w:hint="default" w:ascii="Times New Roman" w:hAnsi="Times New Roman" w:cs="Times New Roman"/>
          <w:sz w:val="28"/>
          <w:szCs w:val="28"/>
        </w:rPr>
      </w:pPr>
      <w:r>
        <w:rPr>
          <w:rFonts w:hint="default" w:ascii="Times New Roman" w:hAnsi="Times New Roman" w:cs="Times New Roman"/>
          <w:sz w:val="28"/>
          <w:szCs w:val="28"/>
          <w:lang w:val="en-US" w:eastAsia="zh-CN"/>
        </w:rPr>
        <w:t>该</w:t>
      </w:r>
      <w:r>
        <w:rPr>
          <w:rFonts w:hint="default" w:ascii="Times New Roman" w:hAnsi="Times New Roman" w:cs="Times New Roman"/>
          <w:sz w:val="28"/>
          <w:szCs w:val="28"/>
        </w:rPr>
        <w:t>矿山由企业统一管理，只需设置一个矿山车间。</w:t>
      </w:r>
      <w:bookmarkStart w:id="344" w:name="_Hlk129351654"/>
    </w:p>
    <w:bookmarkEnd w:id="344"/>
    <w:p w14:paraId="31DE929B">
      <w:pPr>
        <w:spacing w:line="360" w:lineRule="auto"/>
        <w:ind w:firstLine="562" w:firstLineChars="200"/>
        <w:rPr>
          <w:rFonts w:hint="default" w:ascii="Times New Roman" w:hAnsi="Times New Roman" w:cs="Times New Roman"/>
          <w:b/>
          <w:bCs/>
          <w:sz w:val="28"/>
          <w:szCs w:val="28"/>
        </w:rPr>
      </w:pPr>
      <w:r>
        <w:rPr>
          <w:rFonts w:hint="default" w:ascii="Times New Roman" w:hAnsi="Times New Roman" w:cs="Times New Roman"/>
          <w:b/>
          <w:bCs/>
          <w:sz w:val="28"/>
          <w:szCs w:val="28"/>
        </w:rPr>
        <w:t>2、劳动定员</w:t>
      </w:r>
    </w:p>
    <w:p w14:paraId="247C6C73">
      <w:pPr>
        <w:spacing w:line="360" w:lineRule="auto"/>
        <w:ind w:firstLine="560" w:firstLineChars="200"/>
        <w:jc w:val="left"/>
        <w:rPr>
          <w:rFonts w:hint="default" w:ascii="Times New Roman" w:hAnsi="Times New Roman" w:cs="Times New Roman"/>
          <w:sz w:val="28"/>
          <w:szCs w:val="28"/>
        </w:rPr>
      </w:pPr>
      <w:r>
        <w:rPr>
          <w:rFonts w:hint="default" w:ascii="Times New Roman" w:hAnsi="Times New Roman" w:cs="Times New Roman"/>
          <w:sz w:val="28"/>
          <w:szCs w:val="28"/>
        </w:rPr>
        <w:t>矿区采剥及运输作业采用间断工作制，年工作300天，每天工作1班，每班工作8小时。本着精简的原则，</w:t>
      </w:r>
      <w:r>
        <w:rPr>
          <w:rFonts w:hint="default" w:ascii="Times New Roman" w:hAnsi="Times New Roman" w:cs="Times New Roman"/>
          <w:sz w:val="28"/>
          <w:szCs w:val="28"/>
          <w:lang w:val="zh-TW"/>
        </w:rPr>
        <w:t>本项目设置定员</w:t>
      </w:r>
      <w:r>
        <w:rPr>
          <w:rFonts w:hint="default" w:ascii="Times New Roman" w:hAnsi="Times New Roman" w:cs="Times New Roman"/>
          <w:sz w:val="28"/>
          <w:szCs w:val="28"/>
        </w:rPr>
        <w:t>18</w:t>
      </w:r>
      <w:r>
        <w:rPr>
          <w:rFonts w:hint="default" w:ascii="Times New Roman" w:hAnsi="Times New Roman" w:cs="Times New Roman"/>
          <w:sz w:val="28"/>
          <w:szCs w:val="28"/>
          <w:lang w:val="zh-TW"/>
        </w:rPr>
        <w:t>人</w:t>
      </w:r>
      <w:r>
        <w:rPr>
          <w:rFonts w:hint="default" w:ascii="Times New Roman" w:hAnsi="Times New Roman" w:cs="Times New Roman"/>
          <w:sz w:val="28"/>
          <w:szCs w:val="28"/>
        </w:rPr>
        <w:t>，岗位定员分布见</w:t>
      </w:r>
      <w:r>
        <w:rPr>
          <w:rFonts w:hint="default" w:ascii="Times New Roman" w:hAnsi="Times New Roman" w:cs="Times New Roman"/>
          <w:sz w:val="28"/>
          <w:szCs w:val="28"/>
          <w:lang w:val="en-US" w:eastAsia="zh-CN"/>
        </w:rPr>
        <w:t>下</w:t>
      </w:r>
      <w:r>
        <w:rPr>
          <w:rFonts w:hint="default" w:ascii="Times New Roman" w:hAnsi="Times New Roman" w:cs="Times New Roman"/>
          <w:sz w:val="28"/>
          <w:szCs w:val="28"/>
        </w:rPr>
        <w:t>表。</w:t>
      </w:r>
    </w:p>
    <w:p w14:paraId="17273BB6">
      <w:pPr>
        <w:keepNext/>
        <w:keepLines/>
        <w:pageBreakBefore w:val="0"/>
        <w:widowControl w:val="0"/>
        <w:kinsoku/>
        <w:wordWrap/>
        <w:overflowPunct/>
        <w:topLinePunct w:val="0"/>
        <w:autoSpaceDE/>
        <w:autoSpaceDN/>
        <w:bidi w:val="0"/>
        <w:ind w:firstLine="480" w:firstLineChars="200"/>
        <w:jc w:val="center"/>
        <w:textAlignment w:val="auto"/>
        <w:rPr>
          <w:rFonts w:hint="default" w:ascii="Times New Roman" w:hAnsi="Times New Roman" w:cs="Times New Roman"/>
          <w:bCs/>
          <w:sz w:val="24"/>
        </w:rPr>
      </w:pPr>
      <w:r>
        <w:rPr>
          <w:rFonts w:hint="default" w:ascii="Times New Roman" w:hAnsi="Times New Roman" w:cs="Times New Roman"/>
          <w:bCs/>
          <w:sz w:val="24"/>
        </w:rPr>
        <w:t>表2.4-</w:t>
      </w:r>
      <w:r>
        <w:rPr>
          <w:rFonts w:hint="default" w:ascii="Times New Roman" w:hAnsi="Times New Roman" w:cs="Times New Roman"/>
          <w:bCs/>
          <w:sz w:val="24"/>
          <w:lang w:val="en-US" w:eastAsia="zh-CN"/>
        </w:rPr>
        <w:t>1</w:t>
      </w:r>
      <w:r>
        <w:rPr>
          <w:rFonts w:hint="eastAsia" w:cs="Times New Roman"/>
          <w:bCs/>
          <w:sz w:val="24"/>
          <w:lang w:val="en-US" w:eastAsia="zh-CN"/>
        </w:rPr>
        <w:t>5</w:t>
      </w:r>
      <w:r>
        <w:rPr>
          <w:rFonts w:hint="default" w:ascii="Times New Roman" w:hAnsi="Times New Roman" w:cs="Times New Roman"/>
          <w:bCs/>
          <w:sz w:val="24"/>
        </w:rPr>
        <w:t xml:space="preserve">  劳动定员表</w:t>
      </w:r>
    </w:p>
    <w:tbl>
      <w:tblPr>
        <w:tblStyle w:val="30"/>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20"/>
        <w:gridCol w:w="5179"/>
        <w:gridCol w:w="1900"/>
      </w:tblGrid>
      <w:tr w14:paraId="2E831C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blHeader/>
        </w:trPr>
        <w:tc>
          <w:tcPr>
            <w:tcW w:w="123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B951332">
            <w:pPr>
              <w:keepNext/>
              <w:keepLines/>
              <w:pageBreakBefore w:val="0"/>
              <w:widowControl w:val="0"/>
              <w:kinsoku/>
              <w:wordWrap w:val="0"/>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bCs/>
                <w:kern w:val="2"/>
                <w:sz w:val="21"/>
                <w:szCs w:val="21"/>
                <w:lang w:val="en-US" w:eastAsia="zh-CN" w:bidi="ar-SA"/>
              </w:rPr>
            </w:pPr>
            <w:bookmarkStart w:id="345" w:name="_Hlk165073162"/>
            <w:r>
              <w:rPr>
                <w:rFonts w:hint="default" w:ascii="Times New Roman" w:hAnsi="Times New Roman" w:eastAsia="宋体" w:cs="Times New Roman"/>
                <w:b/>
                <w:bCs/>
                <w:kern w:val="2"/>
                <w:sz w:val="21"/>
                <w:szCs w:val="21"/>
                <w:lang w:val="en-US" w:eastAsia="zh-CN" w:bidi="ar-SA"/>
              </w:rPr>
              <w:t>序号</w:t>
            </w:r>
          </w:p>
        </w:tc>
        <w:tc>
          <w:tcPr>
            <w:tcW w:w="27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293A85A">
            <w:pPr>
              <w:keepNext/>
              <w:keepLines/>
              <w:pageBreakBefore w:val="0"/>
              <w:widowControl w:val="0"/>
              <w:kinsoku/>
              <w:wordWrap w:val="0"/>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bCs/>
                <w:kern w:val="2"/>
                <w:sz w:val="21"/>
                <w:szCs w:val="21"/>
                <w:lang w:val="en-US" w:eastAsia="zh-CN" w:bidi="ar-SA"/>
              </w:rPr>
            </w:pPr>
            <w:r>
              <w:rPr>
                <w:rFonts w:hint="default" w:ascii="Times New Roman" w:hAnsi="Times New Roman" w:eastAsia="宋体" w:cs="Times New Roman"/>
                <w:b/>
                <w:bCs/>
                <w:kern w:val="2"/>
                <w:sz w:val="21"/>
                <w:szCs w:val="21"/>
                <w:lang w:val="en-US" w:eastAsia="zh-CN" w:bidi="ar-SA"/>
              </w:rPr>
              <w:t>工种</w:t>
            </w:r>
          </w:p>
        </w:tc>
        <w:tc>
          <w:tcPr>
            <w:tcW w:w="101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3A97618">
            <w:pPr>
              <w:keepNext/>
              <w:keepLines/>
              <w:pageBreakBefore w:val="0"/>
              <w:widowControl w:val="0"/>
              <w:kinsoku/>
              <w:wordWrap w:val="0"/>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bCs/>
                <w:kern w:val="2"/>
                <w:sz w:val="21"/>
                <w:szCs w:val="21"/>
                <w:lang w:val="en-US" w:eastAsia="zh-CN" w:bidi="ar-SA"/>
              </w:rPr>
            </w:pPr>
            <w:r>
              <w:rPr>
                <w:rFonts w:hint="default" w:ascii="Times New Roman" w:hAnsi="Times New Roman" w:eastAsia="宋体" w:cs="Times New Roman"/>
                <w:b/>
                <w:bCs/>
                <w:kern w:val="2"/>
                <w:sz w:val="21"/>
                <w:szCs w:val="21"/>
                <w:lang w:val="en-US" w:eastAsia="zh-CN" w:bidi="ar-SA"/>
              </w:rPr>
              <w:t>人数</w:t>
            </w:r>
          </w:p>
        </w:tc>
      </w:tr>
      <w:tr w14:paraId="379B0A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23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498D9AE">
            <w:pPr>
              <w:keepNext/>
              <w:keepLines/>
              <w:pageBreakBefore w:val="0"/>
              <w:widowControl w:val="0"/>
              <w:kinsoku/>
              <w:wordWrap w:val="0"/>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1</w:t>
            </w:r>
          </w:p>
        </w:tc>
        <w:tc>
          <w:tcPr>
            <w:tcW w:w="27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DDEA061">
            <w:pPr>
              <w:keepNext/>
              <w:keepLines/>
              <w:pageBreakBefore w:val="0"/>
              <w:widowControl w:val="0"/>
              <w:kinsoku/>
              <w:wordWrap w:val="0"/>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挖掘机司机</w:t>
            </w:r>
          </w:p>
        </w:tc>
        <w:tc>
          <w:tcPr>
            <w:tcW w:w="101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BEF58B8">
            <w:pPr>
              <w:keepNext/>
              <w:keepLines/>
              <w:pageBreakBefore w:val="0"/>
              <w:widowControl w:val="0"/>
              <w:kinsoku/>
              <w:wordWrap w:val="0"/>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3</w:t>
            </w:r>
          </w:p>
        </w:tc>
      </w:tr>
      <w:tr w14:paraId="5870D1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23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EB199B5">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2</w:t>
            </w:r>
          </w:p>
        </w:tc>
        <w:tc>
          <w:tcPr>
            <w:tcW w:w="27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C40EAAE">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装载机司机</w:t>
            </w:r>
          </w:p>
        </w:tc>
        <w:tc>
          <w:tcPr>
            <w:tcW w:w="101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123854B">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2</w:t>
            </w:r>
          </w:p>
        </w:tc>
      </w:tr>
      <w:tr w14:paraId="5DCD98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23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DB47997">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3</w:t>
            </w:r>
          </w:p>
        </w:tc>
        <w:tc>
          <w:tcPr>
            <w:tcW w:w="27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132DED3">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洒水车司机</w:t>
            </w:r>
          </w:p>
        </w:tc>
        <w:tc>
          <w:tcPr>
            <w:tcW w:w="101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08F14F5">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1</w:t>
            </w:r>
          </w:p>
        </w:tc>
      </w:tr>
      <w:tr w14:paraId="527390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23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DD0983B">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4</w:t>
            </w:r>
          </w:p>
        </w:tc>
        <w:tc>
          <w:tcPr>
            <w:tcW w:w="27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257B3D6">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自卸车司机</w:t>
            </w:r>
          </w:p>
        </w:tc>
        <w:tc>
          <w:tcPr>
            <w:tcW w:w="101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A8F004B">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4</w:t>
            </w:r>
          </w:p>
        </w:tc>
      </w:tr>
      <w:tr w14:paraId="4447B9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23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199D3DC">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5</w:t>
            </w:r>
          </w:p>
        </w:tc>
        <w:tc>
          <w:tcPr>
            <w:tcW w:w="27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FD804E1">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采场电工</w:t>
            </w:r>
          </w:p>
        </w:tc>
        <w:tc>
          <w:tcPr>
            <w:tcW w:w="101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84DD610">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1</w:t>
            </w:r>
          </w:p>
        </w:tc>
      </w:tr>
      <w:tr w14:paraId="62C300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23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E1DEDDA">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6</w:t>
            </w:r>
          </w:p>
        </w:tc>
        <w:tc>
          <w:tcPr>
            <w:tcW w:w="27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EE701B5">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边坡监护及安全员</w:t>
            </w:r>
          </w:p>
        </w:tc>
        <w:tc>
          <w:tcPr>
            <w:tcW w:w="101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6B882FA">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2</w:t>
            </w:r>
          </w:p>
        </w:tc>
      </w:tr>
      <w:tr w14:paraId="7B1BE9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23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FB25CA0">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7</w:t>
            </w:r>
          </w:p>
        </w:tc>
        <w:tc>
          <w:tcPr>
            <w:tcW w:w="27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5FFC949">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管理人员</w:t>
            </w:r>
          </w:p>
        </w:tc>
        <w:tc>
          <w:tcPr>
            <w:tcW w:w="101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763878D">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3</w:t>
            </w:r>
          </w:p>
        </w:tc>
      </w:tr>
      <w:tr w14:paraId="549E36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23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984F205">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8</w:t>
            </w:r>
          </w:p>
        </w:tc>
        <w:tc>
          <w:tcPr>
            <w:tcW w:w="27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5DE62ED">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其他</w:t>
            </w:r>
          </w:p>
        </w:tc>
        <w:tc>
          <w:tcPr>
            <w:tcW w:w="101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59E84AB">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2</w:t>
            </w:r>
          </w:p>
        </w:tc>
      </w:tr>
      <w:tr w14:paraId="5971E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23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0CEB46A">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合  计</w:t>
            </w:r>
          </w:p>
        </w:tc>
        <w:tc>
          <w:tcPr>
            <w:tcW w:w="27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2297529">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p>
        </w:tc>
        <w:tc>
          <w:tcPr>
            <w:tcW w:w="101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1F21AC5">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18</w:t>
            </w:r>
          </w:p>
        </w:tc>
      </w:tr>
      <w:bookmarkEnd w:id="345"/>
    </w:tbl>
    <w:p w14:paraId="098BCED5">
      <w:pPr>
        <w:pStyle w:val="5"/>
        <w:spacing w:before="0" w:after="0" w:line="360" w:lineRule="auto"/>
        <w:ind w:firstLine="562" w:firstLineChars="200"/>
        <w:rPr>
          <w:rFonts w:hint="default" w:ascii="Times New Roman" w:hAnsi="Times New Roman" w:cs="Times New Roman"/>
        </w:rPr>
      </w:pPr>
      <w:r>
        <w:rPr>
          <w:rFonts w:hint="default" w:ascii="Times New Roman" w:hAnsi="Times New Roman" w:cs="Times New Roman"/>
        </w:rPr>
        <w:t>2.4.12.2安全教育、培训机构及人员配备</w:t>
      </w:r>
    </w:p>
    <w:p w14:paraId="15904E3D">
      <w:pPr>
        <w:spacing w:line="360" w:lineRule="auto"/>
        <w:ind w:firstLine="560" w:firstLineChars="200"/>
        <w:rPr>
          <w:rFonts w:hint="default" w:ascii="Times New Roman" w:hAnsi="Times New Roman" w:cs="Times New Roman"/>
          <w:sz w:val="28"/>
          <w:szCs w:val="28"/>
        </w:rPr>
      </w:pPr>
      <w:r>
        <w:rPr>
          <w:rFonts w:hint="default" w:ascii="Times New Roman" w:hAnsi="Times New Roman" w:cs="Times New Roman"/>
          <w:sz w:val="28"/>
          <w:szCs w:val="28"/>
        </w:rPr>
        <w:t>矿山安全管理机构，全面负责矿山安全工作，每月对全矿进行一次安全检查。矿山要建立安全教育培训制度，对矿山各生产岗位人员进行安全培训。经考试合格并取得合格证以后方可持证上岗作业。</w:t>
      </w:r>
    </w:p>
    <w:p w14:paraId="09AB3490">
      <w:pPr>
        <w:spacing w:line="360" w:lineRule="auto"/>
        <w:ind w:firstLine="560" w:firstLineChars="200"/>
        <w:rPr>
          <w:rFonts w:hint="default" w:ascii="Times New Roman" w:hAnsi="Times New Roman" w:cs="Times New Roman"/>
          <w:sz w:val="28"/>
          <w:szCs w:val="28"/>
        </w:rPr>
      </w:pPr>
      <w:r>
        <w:rPr>
          <w:rFonts w:hint="default" w:ascii="Times New Roman" w:hAnsi="Times New Roman" w:cs="Times New Roman"/>
          <w:sz w:val="28"/>
          <w:szCs w:val="28"/>
        </w:rPr>
        <w:t>矿山应制定安全检查制度、生产安全事故管理制度、重大隐患整改制度、设备安全管理制度、安全生产档案管理制度、安全生产奖惩制度等有关安全的规章制度。</w:t>
      </w:r>
    </w:p>
    <w:p w14:paraId="35117846">
      <w:pPr>
        <w:spacing w:line="360" w:lineRule="auto"/>
        <w:ind w:firstLine="560" w:firstLineChars="200"/>
        <w:rPr>
          <w:rFonts w:hint="default" w:ascii="Times New Roman" w:hAnsi="Times New Roman" w:cs="Times New Roman"/>
          <w:sz w:val="28"/>
          <w:szCs w:val="28"/>
        </w:rPr>
      </w:pPr>
      <w:r>
        <w:rPr>
          <w:rFonts w:hint="default" w:ascii="Times New Roman" w:hAnsi="Times New Roman" w:cs="Times New Roman"/>
          <w:sz w:val="28"/>
          <w:szCs w:val="28"/>
        </w:rPr>
        <w:t>矿山应制定各项作业安全规程和各工种操作规程，各项作业做到有章可循，按规操作，确保生产安全和人身安全。</w:t>
      </w:r>
    </w:p>
    <w:p w14:paraId="375DE63B">
      <w:pPr>
        <w:spacing w:line="360" w:lineRule="auto"/>
        <w:ind w:firstLine="560" w:firstLineChars="200"/>
        <w:rPr>
          <w:rFonts w:hint="default" w:ascii="Times New Roman" w:hAnsi="Times New Roman" w:cs="Times New Roman"/>
          <w:sz w:val="28"/>
          <w:szCs w:val="28"/>
        </w:rPr>
      </w:pPr>
      <w:r>
        <w:rPr>
          <w:rFonts w:hint="default" w:ascii="Times New Roman" w:hAnsi="Times New Roman" w:cs="Times New Roman"/>
          <w:sz w:val="28"/>
          <w:szCs w:val="28"/>
        </w:rPr>
        <w:t>对电工作业工人应实行强制性安全技术培训，经考试合格并取得合格证后方可上岗作业。</w:t>
      </w:r>
    </w:p>
    <w:p w14:paraId="4034F998">
      <w:pPr>
        <w:spacing w:line="360" w:lineRule="auto"/>
        <w:ind w:firstLine="560" w:firstLineChars="200"/>
        <w:rPr>
          <w:rFonts w:hint="default" w:ascii="Times New Roman" w:hAnsi="Times New Roman" w:cs="Times New Roman"/>
          <w:sz w:val="28"/>
          <w:szCs w:val="28"/>
        </w:rPr>
      </w:pPr>
      <w:r>
        <w:rPr>
          <w:rFonts w:hint="default" w:ascii="Times New Roman" w:hAnsi="Times New Roman" w:cs="Times New Roman"/>
          <w:sz w:val="28"/>
          <w:szCs w:val="28"/>
        </w:rPr>
        <w:t>矿山应挑选有经验的生产工人组建救护队，矿山应备有常用药品和急救器械，就近处理一般工伤事故，矿山要与附近医院或市区医院签订救护协议，严重工伤事故及时送往医院及时抢救。依法参加工伤社会保险，为从业人员缴纳保险费。</w:t>
      </w:r>
    </w:p>
    <w:p w14:paraId="31A46B20">
      <w:pPr>
        <w:pStyle w:val="5"/>
        <w:spacing w:before="0" w:after="0" w:line="360" w:lineRule="auto"/>
        <w:ind w:firstLine="562" w:firstLineChars="200"/>
        <w:rPr>
          <w:rFonts w:hint="default" w:ascii="Times New Roman" w:hAnsi="Times New Roman" w:eastAsia="宋体" w:cs="Times New Roman"/>
        </w:rPr>
      </w:pPr>
      <w:r>
        <w:rPr>
          <w:rFonts w:hint="default" w:ascii="Times New Roman" w:hAnsi="Times New Roman" w:cs="Times New Roman"/>
        </w:rPr>
        <w:t>2.4.12.</w:t>
      </w:r>
      <w:r>
        <w:rPr>
          <w:rFonts w:hint="default" w:ascii="Times New Roman" w:hAnsi="Times New Roman" w:cs="Times New Roman"/>
          <w:lang w:val="en-US" w:eastAsia="zh-CN"/>
        </w:rPr>
        <w:t>3</w:t>
      </w:r>
      <w:r>
        <w:rPr>
          <w:rFonts w:hint="default" w:ascii="Times New Roman" w:hAnsi="Times New Roman" w:eastAsia="宋体" w:cs="Times New Roman"/>
        </w:rPr>
        <w:t>职工培训</w:t>
      </w:r>
    </w:p>
    <w:p w14:paraId="438445AA">
      <w:pPr>
        <w:spacing w:line="360" w:lineRule="auto"/>
        <w:ind w:firstLine="560" w:firstLineChars="200"/>
        <w:rPr>
          <w:rFonts w:hint="default" w:ascii="Times New Roman" w:hAnsi="Times New Roman" w:eastAsia="宋体" w:cs="Times New Roman"/>
          <w:sz w:val="28"/>
          <w:szCs w:val="28"/>
          <w:lang w:val="en-US" w:eastAsia="zh-CN"/>
        </w:rPr>
      </w:pPr>
      <w:r>
        <w:rPr>
          <w:rFonts w:hint="default" w:ascii="Times New Roman" w:hAnsi="Times New Roman" w:cs="Times New Roman"/>
          <w:sz w:val="28"/>
          <w:szCs w:val="28"/>
          <w:lang w:eastAsia="zh-CN"/>
        </w:rPr>
        <w:t>本次项目设备的机械化、自动化程度较高，要求主要岗位生产人员对生产工艺有一定的专业知识和实际操作水平，为保证项目建成后顺利的达标、达产，在投产前需要组织主要岗位人员进行一定的专业知识学习，并到国内同类型岗位进行适当培训，对职工进行严格的技术管理、劳动安全职业卫生、环境保护等培训，考核上岗。</w:t>
      </w:r>
    </w:p>
    <w:p w14:paraId="50AB2D19">
      <w:pPr>
        <w:pStyle w:val="5"/>
        <w:spacing w:before="0" w:after="0" w:line="360" w:lineRule="auto"/>
        <w:ind w:firstLine="562" w:firstLineChars="200"/>
        <w:rPr>
          <w:rFonts w:hint="default" w:ascii="Times New Roman" w:hAnsi="Times New Roman" w:cs="Times New Roman"/>
        </w:rPr>
      </w:pPr>
      <w:bookmarkStart w:id="346" w:name="_Toc115120651"/>
      <w:bookmarkStart w:id="347" w:name="_Toc242849773"/>
      <w:bookmarkStart w:id="348" w:name="_Toc226963161"/>
      <w:bookmarkStart w:id="349" w:name="_Toc115120257"/>
      <w:r>
        <w:rPr>
          <w:rFonts w:hint="default" w:ascii="Times New Roman" w:hAnsi="Times New Roman" w:cs="Times New Roman"/>
        </w:rPr>
        <w:t>2.4.12.</w:t>
      </w:r>
      <w:r>
        <w:rPr>
          <w:rFonts w:hint="default" w:ascii="Times New Roman" w:hAnsi="Times New Roman" w:cs="Times New Roman"/>
          <w:lang w:val="en-US" w:eastAsia="zh-CN"/>
        </w:rPr>
        <w:t>4</w:t>
      </w:r>
      <w:r>
        <w:rPr>
          <w:rFonts w:hint="default" w:ascii="Times New Roman" w:hAnsi="Times New Roman" w:cs="Times New Roman"/>
        </w:rPr>
        <w:t>投资概算及经济效益分析</w:t>
      </w:r>
    </w:p>
    <w:p w14:paraId="1937B2D6">
      <w:pPr>
        <w:spacing w:line="360" w:lineRule="auto"/>
        <w:ind w:firstLine="562" w:firstLineChars="200"/>
        <w:rPr>
          <w:rFonts w:hint="default" w:ascii="Times New Roman" w:hAnsi="Times New Roman" w:cs="Times New Roman"/>
          <w:b/>
          <w:bCs/>
          <w:sz w:val="28"/>
          <w:szCs w:val="28"/>
        </w:rPr>
      </w:pPr>
      <w:r>
        <w:rPr>
          <w:rFonts w:hint="default" w:ascii="Times New Roman" w:hAnsi="Times New Roman" w:cs="Times New Roman"/>
          <w:b/>
          <w:bCs/>
          <w:sz w:val="28"/>
          <w:szCs w:val="28"/>
        </w:rPr>
        <w:t>1、投资情况</w:t>
      </w:r>
    </w:p>
    <w:p w14:paraId="62CFD911">
      <w:pPr>
        <w:spacing w:line="360" w:lineRule="auto"/>
        <w:ind w:firstLine="560" w:firstLineChars="200"/>
        <w:rPr>
          <w:rFonts w:hint="default" w:ascii="Times New Roman" w:hAnsi="Times New Roman" w:cs="Times New Roman"/>
          <w:sz w:val="28"/>
          <w:szCs w:val="28"/>
        </w:rPr>
      </w:pPr>
      <w:r>
        <w:rPr>
          <w:rFonts w:hint="default" w:ascii="Times New Roman" w:hAnsi="Times New Roman" w:cs="Times New Roman"/>
          <w:sz w:val="28"/>
          <w:szCs w:val="28"/>
        </w:rPr>
        <w:t>本项目总投资为757.33万元，建设投资总额687.62万元，流动资金69.71万元。投资内容为项目从筹建开工建设到竣工验收投产过程中的全部费用。</w:t>
      </w:r>
    </w:p>
    <w:p w14:paraId="37459E43">
      <w:pPr>
        <w:spacing w:line="360" w:lineRule="auto"/>
        <w:ind w:firstLine="562" w:firstLineChars="200"/>
        <w:rPr>
          <w:rFonts w:hint="default" w:ascii="Times New Roman" w:hAnsi="Times New Roman" w:cs="Times New Roman"/>
          <w:b/>
          <w:bCs/>
          <w:sz w:val="28"/>
          <w:szCs w:val="28"/>
        </w:rPr>
      </w:pPr>
      <w:bookmarkStart w:id="350" w:name="_Toc29978"/>
      <w:bookmarkStart w:id="351" w:name="_Toc447067665"/>
      <w:bookmarkStart w:id="352" w:name="_Toc498988812"/>
      <w:bookmarkStart w:id="353" w:name="_Toc375840559"/>
      <w:bookmarkStart w:id="354" w:name="_Toc466155678"/>
      <w:bookmarkStart w:id="355" w:name="_Toc426890883"/>
      <w:bookmarkStart w:id="356" w:name="_Toc322649881"/>
      <w:bookmarkStart w:id="357" w:name="_Toc505443764"/>
      <w:bookmarkStart w:id="358" w:name="_Toc534486253"/>
      <w:r>
        <w:rPr>
          <w:rFonts w:hint="default" w:ascii="Times New Roman" w:hAnsi="Times New Roman" w:cs="Times New Roman"/>
          <w:b/>
          <w:bCs/>
          <w:sz w:val="28"/>
          <w:szCs w:val="28"/>
        </w:rPr>
        <w:t>2、经济效益分析</w:t>
      </w:r>
      <w:bookmarkEnd w:id="350"/>
      <w:bookmarkEnd w:id="351"/>
      <w:bookmarkEnd w:id="352"/>
      <w:bookmarkEnd w:id="353"/>
      <w:bookmarkEnd w:id="354"/>
      <w:bookmarkEnd w:id="355"/>
      <w:bookmarkEnd w:id="356"/>
      <w:bookmarkEnd w:id="357"/>
    </w:p>
    <w:bookmarkEnd w:id="358"/>
    <w:p w14:paraId="3A3BCC13">
      <w:pPr>
        <w:spacing w:line="360" w:lineRule="auto"/>
        <w:ind w:firstLine="560" w:firstLineChars="200"/>
        <w:rPr>
          <w:rFonts w:hint="default" w:ascii="Times New Roman" w:hAnsi="Times New Roman" w:cs="Times New Roman"/>
          <w:sz w:val="28"/>
          <w:szCs w:val="28"/>
          <w:lang w:eastAsia="zh-CN"/>
        </w:rPr>
      </w:pPr>
      <w:bookmarkStart w:id="359" w:name="_Toc375840560"/>
      <w:bookmarkStart w:id="360" w:name="_Toc2801"/>
      <w:bookmarkStart w:id="361" w:name="_Toc505443765"/>
      <w:bookmarkStart w:id="362" w:name="_Toc426890884"/>
      <w:bookmarkStart w:id="363" w:name="_Toc447067666"/>
      <w:bookmarkStart w:id="364" w:name="_Toc322649882"/>
      <w:bookmarkStart w:id="365" w:name="_Toc466155679"/>
      <w:bookmarkStart w:id="366" w:name="_Toc498988813"/>
      <w:bookmarkStart w:id="367" w:name="_Toc242972163"/>
      <w:bookmarkStart w:id="368" w:name="_Toc242972404"/>
      <w:bookmarkStart w:id="369" w:name="_Toc534486258"/>
      <w:bookmarkStart w:id="370" w:name="_Toc242972093"/>
      <w:r>
        <w:rPr>
          <w:rFonts w:hint="default" w:ascii="Times New Roman" w:hAnsi="Times New Roman" w:cs="Times New Roman"/>
          <w:sz w:val="28"/>
          <w:szCs w:val="28"/>
          <w:lang w:eastAsia="zh-CN"/>
        </w:rPr>
        <w:t>本项目产品销售价格：原矿（含税）15.00元/t；增值税率：17%，城乡建设维护费1%、教育费附加5%，资源税9%，</w:t>
      </w:r>
      <w:r>
        <w:rPr>
          <w:rFonts w:hint="default" w:ascii="Times New Roman" w:hAnsi="Times New Roman" w:cs="Times New Roman"/>
          <w:sz w:val="28"/>
          <w:szCs w:val="28"/>
        </w:rPr>
        <w:t>利润分配见</w:t>
      </w:r>
      <w:r>
        <w:rPr>
          <w:rFonts w:hint="default" w:ascii="Times New Roman" w:hAnsi="Times New Roman" w:cs="Times New Roman"/>
          <w:sz w:val="28"/>
          <w:szCs w:val="28"/>
          <w:lang w:val="en-US" w:eastAsia="zh-CN"/>
        </w:rPr>
        <w:t>下</w:t>
      </w:r>
      <w:r>
        <w:rPr>
          <w:rFonts w:hint="default" w:ascii="Times New Roman" w:hAnsi="Times New Roman" w:cs="Times New Roman"/>
          <w:sz w:val="28"/>
          <w:szCs w:val="28"/>
        </w:rPr>
        <w:t>表</w:t>
      </w:r>
      <w:r>
        <w:rPr>
          <w:rFonts w:hint="default" w:ascii="Times New Roman" w:hAnsi="Times New Roman" w:cs="Times New Roman"/>
          <w:sz w:val="28"/>
          <w:szCs w:val="28"/>
          <w:lang w:eastAsia="zh-CN"/>
        </w:rPr>
        <w:t>。</w:t>
      </w:r>
    </w:p>
    <w:p w14:paraId="59385B7B">
      <w:pPr>
        <w:keepNext/>
        <w:keepLines/>
        <w:pageBreakBefore w:val="0"/>
        <w:widowControl w:val="0"/>
        <w:kinsoku/>
        <w:wordWrap/>
        <w:overflowPunct/>
        <w:topLinePunct w:val="0"/>
        <w:autoSpaceDE/>
        <w:autoSpaceDN/>
        <w:bidi w:val="0"/>
        <w:ind w:firstLine="480" w:firstLineChars="200"/>
        <w:jc w:val="center"/>
        <w:textAlignment w:val="auto"/>
        <w:rPr>
          <w:rFonts w:hint="default" w:ascii="Times New Roman" w:hAnsi="Times New Roman" w:eastAsia="宋体" w:cs="Times New Roman"/>
          <w:b/>
          <w:color w:val="000000"/>
          <w:kern w:val="0"/>
          <w:sz w:val="28"/>
          <w:szCs w:val="20"/>
          <w:lang w:val="en-US" w:eastAsia="zh-CN" w:bidi="ar-SA"/>
        </w:rPr>
      </w:pPr>
      <w:r>
        <w:rPr>
          <w:rFonts w:hint="default" w:ascii="Times New Roman" w:hAnsi="Times New Roman" w:cs="Times New Roman"/>
          <w:bCs/>
          <w:sz w:val="24"/>
        </w:rPr>
        <w:t>表2.4-1</w:t>
      </w:r>
      <w:r>
        <w:rPr>
          <w:rFonts w:hint="eastAsia" w:cs="Times New Roman"/>
          <w:bCs/>
          <w:sz w:val="24"/>
          <w:lang w:val="en-US" w:eastAsia="zh-CN"/>
        </w:rPr>
        <w:t>6</w:t>
      </w:r>
      <w:r>
        <w:rPr>
          <w:rFonts w:hint="default" w:ascii="Times New Roman" w:hAnsi="Times New Roman" w:cs="Times New Roman"/>
          <w:bCs/>
          <w:sz w:val="24"/>
        </w:rPr>
        <w:t xml:space="preserve"> </w:t>
      </w:r>
      <w:r>
        <w:rPr>
          <w:rFonts w:hint="default" w:ascii="Times New Roman" w:hAnsi="Times New Roman" w:cs="Times New Roman"/>
          <w:bCs/>
          <w:sz w:val="24"/>
          <w:lang w:val="en-US" w:eastAsia="zh-CN"/>
        </w:rPr>
        <w:t xml:space="preserve"> 利润与利润分配表（万元）</w:t>
      </w:r>
    </w:p>
    <w:tbl>
      <w:tblPr>
        <w:tblStyle w:val="30"/>
        <w:tblW w:w="5000" w:type="pct"/>
        <w:tblInd w:w="0" w:type="dxa"/>
        <w:tblLayout w:type="fixed"/>
        <w:tblCellMar>
          <w:top w:w="0" w:type="dxa"/>
          <w:left w:w="108" w:type="dxa"/>
          <w:bottom w:w="0" w:type="dxa"/>
          <w:right w:w="108" w:type="dxa"/>
        </w:tblCellMar>
      </w:tblPr>
      <w:tblGrid>
        <w:gridCol w:w="692"/>
        <w:gridCol w:w="2203"/>
        <w:gridCol w:w="1091"/>
        <w:gridCol w:w="1490"/>
        <w:gridCol w:w="865"/>
        <w:gridCol w:w="978"/>
        <w:gridCol w:w="980"/>
        <w:gridCol w:w="1100"/>
      </w:tblGrid>
      <w:tr w14:paraId="7D894B2B">
        <w:tblPrEx>
          <w:tblCellMar>
            <w:top w:w="0" w:type="dxa"/>
            <w:left w:w="108" w:type="dxa"/>
            <w:bottom w:w="0" w:type="dxa"/>
            <w:right w:w="108" w:type="dxa"/>
          </w:tblCellMar>
        </w:tblPrEx>
        <w:trPr>
          <w:trHeight w:val="397" w:hRule="atLeast"/>
          <w:tblHeader/>
        </w:trPr>
        <w:tc>
          <w:tcPr>
            <w:tcW w:w="368" w:type="pct"/>
            <w:vMerge w:val="restart"/>
            <w:tcBorders>
              <w:top w:val="single" w:color="auto" w:sz="4" w:space="0"/>
              <w:left w:val="single" w:color="auto" w:sz="4" w:space="0"/>
              <w:right w:val="single" w:color="auto" w:sz="4" w:space="0"/>
            </w:tcBorders>
            <w:noWrap/>
            <w:vAlign w:val="center"/>
          </w:tcPr>
          <w:p w14:paraId="092A2047">
            <w:pPr>
              <w:widowControl w:val="0"/>
              <w:wordWrap w:val="0"/>
              <w:adjustRightInd w:val="0"/>
              <w:snapToGrid w:val="0"/>
              <w:spacing w:line="240" w:lineRule="auto"/>
              <w:ind w:firstLine="0" w:firstLineChars="0"/>
              <w:jc w:val="center"/>
              <w:rPr>
                <w:rFonts w:hint="default" w:ascii="Times New Roman" w:hAnsi="Times New Roman" w:eastAsia="宋体" w:cs="Times New Roman"/>
                <w:b/>
                <w:bCs/>
                <w:kern w:val="2"/>
                <w:sz w:val="21"/>
                <w:szCs w:val="21"/>
                <w:lang w:val="en-US" w:eastAsia="zh-CN" w:bidi="ar-SA"/>
              </w:rPr>
            </w:pPr>
            <w:r>
              <w:rPr>
                <w:rFonts w:hint="default" w:ascii="Times New Roman" w:hAnsi="Times New Roman" w:cs="Times New Roman"/>
                <w:b/>
                <w:bCs/>
                <w:kern w:val="2"/>
                <w:sz w:val="21"/>
                <w:szCs w:val="21"/>
                <w:lang w:val="en-US" w:eastAsia="zh-CN" w:bidi="ar-SA"/>
              </w:rPr>
              <w:t>序号</w:t>
            </w:r>
          </w:p>
        </w:tc>
        <w:tc>
          <w:tcPr>
            <w:tcW w:w="1171" w:type="pct"/>
            <w:vMerge w:val="restart"/>
            <w:tcBorders>
              <w:top w:val="single" w:color="auto" w:sz="4" w:space="0"/>
              <w:left w:val="nil"/>
              <w:right w:val="single" w:color="auto" w:sz="4" w:space="0"/>
            </w:tcBorders>
            <w:noWrap/>
            <w:vAlign w:val="center"/>
          </w:tcPr>
          <w:p w14:paraId="1E22D4F1">
            <w:pPr>
              <w:widowControl w:val="0"/>
              <w:wordWrap w:val="0"/>
              <w:adjustRightInd w:val="0"/>
              <w:snapToGrid w:val="0"/>
              <w:spacing w:line="240" w:lineRule="auto"/>
              <w:ind w:firstLine="0" w:firstLineChars="0"/>
              <w:jc w:val="center"/>
              <w:rPr>
                <w:rFonts w:hint="default" w:ascii="Times New Roman" w:hAnsi="Times New Roman" w:eastAsia="宋体" w:cs="Times New Roman"/>
                <w:b/>
                <w:bCs/>
                <w:kern w:val="2"/>
                <w:sz w:val="21"/>
                <w:szCs w:val="21"/>
                <w:lang w:val="en-US" w:eastAsia="zh-CN" w:bidi="ar-SA"/>
              </w:rPr>
            </w:pPr>
            <w:r>
              <w:rPr>
                <w:rFonts w:hint="default" w:ascii="Times New Roman" w:hAnsi="Times New Roman" w:eastAsia="宋体" w:cs="Times New Roman"/>
                <w:b/>
                <w:bCs/>
                <w:kern w:val="2"/>
                <w:sz w:val="21"/>
                <w:szCs w:val="21"/>
                <w:lang w:val="en-US" w:eastAsia="zh-CN" w:bidi="ar-SA"/>
              </w:rPr>
              <w:t>项目名称</w:t>
            </w:r>
          </w:p>
        </w:tc>
        <w:tc>
          <w:tcPr>
            <w:tcW w:w="580" w:type="pct"/>
            <w:vMerge w:val="restart"/>
            <w:tcBorders>
              <w:top w:val="single" w:color="auto" w:sz="4" w:space="0"/>
              <w:left w:val="nil"/>
              <w:right w:val="single" w:color="auto" w:sz="4" w:space="0"/>
            </w:tcBorders>
            <w:noWrap/>
            <w:vAlign w:val="center"/>
          </w:tcPr>
          <w:p w14:paraId="12222563">
            <w:pPr>
              <w:widowControl w:val="0"/>
              <w:wordWrap w:val="0"/>
              <w:adjustRightInd w:val="0"/>
              <w:snapToGrid w:val="0"/>
              <w:spacing w:line="240" w:lineRule="auto"/>
              <w:ind w:firstLine="0" w:firstLineChars="0"/>
              <w:jc w:val="center"/>
              <w:rPr>
                <w:rFonts w:hint="default" w:ascii="Times New Roman" w:hAnsi="Times New Roman" w:eastAsia="宋体" w:cs="Times New Roman"/>
                <w:b/>
                <w:bCs/>
                <w:kern w:val="2"/>
                <w:sz w:val="21"/>
                <w:szCs w:val="21"/>
                <w:lang w:val="en-US" w:eastAsia="zh-CN" w:bidi="ar-SA"/>
              </w:rPr>
            </w:pPr>
            <w:r>
              <w:rPr>
                <w:rFonts w:hint="default" w:ascii="Times New Roman" w:hAnsi="Times New Roman" w:eastAsia="宋体" w:cs="Times New Roman"/>
                <w:b/>
                <w:bCs/>
                <w:kern w:val="2"/>
                <w:sz w:val="21"/>
                <w:szCs w:val="21"/>
                <w:lang w:val="en-US" w:eastAsia="zh-CN" w:bidi="ar-SA"/>
              </w:rPr>
              <w:t>合计</w:t>
            </w:r>
          </w:p>
        </w:tc>
        <w:tc>
          <w:tcPr>
            <w:tcW w:w="792" w:type="pct"/>
            <w:vMerge w:val="restart"/>
            <w:tcBorders>
              <w:top w:val="single" w:color="auto" w:sz="4" w:space="0"/>
              <w:left w:val="nil"/>
              <w:right w:val="single" w:color="auto" w:sz="4" w:space="0"/>
            </w:tcBorders>
            <w:noWrap/>
            <w:vAlign w:val="center"/>
          </w:tcPr>
          <w:p w14:paraId="7E938589">
            <w:pPr>
              <w:widowControl w:val="0"/>
              <w:wordWrap w:val="0"/>
              <w:adjustRightInd w:val="0"/>
              <w:snapToGrid w:val="0"/>
              <w:spacing w:line="240" w:lineRule="auto"/>
              <w:ind w:firstLine="0" w:firstLineChars="0"/>
              <w:jc w:val="center"/>
              <w:rPr>
                <w:rFonts w:hint="default" w:ascii="Times New Roman" w:hAnsi="Times New Roman" w:eastAsia="宋体" w:cs="Times New Roman"/>
                <w:b/>
                <w:bCs/>
                <w:kern w:val="2"/>
                <w:sz w:val="21"/>
                <w:szCs w:val="21"/>
                <w:lang w:val="en-US" w:eastAsia="zh-CN" w:bidi="ar-SA"/>
              </w:rPr>
            </w:pPr>
            <w:r>
              <w:rPr>
                <w:rFonts w:hint="default" w:ascii="Times New Roman" w:hAnsi="Times New Roman" w:eastAsia="宋体" w:cs="Times New Roman"/>
                <w:b/>
                <w:bCs/>
                <w:kern w:val="2"/>
                <w:sz w:val="21"/>
                <w:szCs w:val="21"/>
                <w:lang w:val="en-US" w:eastAsia="zh-CN" w:bidi="ar-SA"/>
              </w:rPr>
              <w:t>平均</w:t>
            </w:r>
          </w:p>
        </w:tc>
        <w:tc>
          <w:tcPr>
            <w:tcW w:w="460" w:type="pct"/>
            <w:tcBorders>
              <w:top w:val="single" w:color="auto" w:sz="4" w:space="0"/>
              <w:left w:val="nil"/>
              <w:bottom w:val="single" w:color="auto" w:sz="4" w:space="0"/>
              <w:right w:val="single" w:color="auto" w:sz="4" w:space="0"/>
            </w:tcBorders>
            <w:noWrap/>
            <w:vAlign w:val="center"/>
          </w:tcPr>
          <w:p w14:paraId="36B07561">
            <w:pPr>
              <w:widowControl w:val="0"/>
              <w:wordWrap w:val="0"/>
              <w:adjustRightInd w:val="0"/>
              <w:snapToGrid w:val="0"/>
              <w:spacing w:line="240" w:lineRule="auto"/>
              <w:ind w:firstLine="0" w:firstLineChars="0"/>
              <w:jc w:val="center"/>
              <w:rPr>
                <w:rFonts w:hint="default" w:ascii="Times New Roman" w:hAnsi="Times New Roman" w:eastAsia="宋体" w:cs="Times New Roman"/>
                <w:b/>
                <w:bCs/>
                <w:kern w:val="2"/>
                <w:sz w:val="21"/>
                <w:szCs w:val="21"/>
                <w:lang w:val="en-US" w:eastAsia="zh-CN" w:bidi="ar-SA"/>
              </w:rPr>
            </w:pPr>
            <w:r>
              <w:rPr>
                <w:rFonts w:hint="default" w:ascii="Times New Roman" w:hAnsi="Times New Roman" w:eastAsia="宋体" w:cs="Times New Roman"/>
                <w:b/>
                <w:bCs/>
                <w:kern w:val="2"/>
                <w:sz w:val="21"/>
                <w:szCs w:val="21"/>
                <w:lang w:val="en-US" w:eastAsia="zh-CN" w:bidi="ar-SA"/>
              </w:rPr>
              <w:t>建设期</w:t>
            </w:r>
          </w:p>
        </w:tc>
        <w:tc>
          <w:tcPr>
            <w:tcW w:w="1626" w:type="pct"/>
            <w:gridSpan w:val="3"/>
            <w:tcBorders>
              <w:top w:val="single" w:color="auto" w:sz="4" w:space="0"/>
              <w:left w:val="nil"/>
              <w:bottom w:val="single" w:color="auto" w:sz="4" w:space="0"/>
              <w:right w:val="single" w:color="auto" w:sz="4" w:space="0"/>
            </w:tcBorders>
            <w:noWrap/>
            <w:vAlign w:val="center"/>
          </w:tcPr>
          <w:p w14:paraId="2DF414EA">
            <w:pPr>
              <w:widowControl w:val="0"/>
              <w:wordWrap w:val="0"/>
              <w:adjustRightInd w:val="0"/>
              <w:snapToGrid w:val="0"/>
              <w:spacing w:line="240" w:lineRule="auto"/>
              <w:ind w:firstLine="0" w:firstLineChars="0"/>
              <w:jc w:val="center"/>
              <w:rPr>
                <w:rFonts w:hint="default" w:ascii="Times New Roman" w:hAnsi="Times New Roman" w:eastAsia="宋体" w:cs="Times New Roman"/>
                <w:b/>
                <w:bCs/>
                <w:kern w:val="2"/>
                <w:sz w:val="21"/>
                <w:szCs w:val="21"/>
                <w:lang w:val="en-US" w:eastAsia="zh-CN" w:bidi="ar-SA"/>
              </w:rPr>
            </w:pPr>
            <w:r>
              <w:rPr>
                <w:rFonts w:hint="default" w:ascii="Times New Roman" w:hAnsi="Times New Roman" w:eastAsia="宋体" w:cs="Times New Roman"/>
                <w:b/>
                <w:bCs/>
                <w:kern w:val="2"/>
                <w:sz w:val="21"/>
                <w:szCs w:val="21"/>
                <w:lang w:val="en-US" w:eastAsia="zh-CN" w:bidi="ar-SA"/>
              </w:rPr>
              <w:t>生产期（a）</w:t>
            </w:r>
          </w:p>
        </w:tc>
      </w:tr>
      <w:tr w14:paraId="77F08EA8">
        <w:tblPrEx>
          <w:tblCellMar>
            <w:top w:w="0" w:type="dxa"/>
            <w:left w:w="108" w:type="dxa"/>
            <w:bottom w:w="0" w:type="dxa"/>
            <w:right w:w="108" w:type="dxa"/>
          </w:tblCellMar>
        </w:tblPrEx>
        <w:trPr>
          <w:trHeight w:val="397" w:hRule="atLeast"/>
          <w:tblHeader/>
        </w:trPr>
        <w:tc>
          <w:tcPr>
            <w:tcW w:w="368" w:type="pct"/>
            <w:vMerge w:val="continue"/>
            <w:tcBorders>
              <w:left w:val="single" w:color="auto" w:sz="4" w:space="0"/>
              <w:bottom w:val="single" w:color="auto" w:sz="4" w:space="0"/>
              <w:right w:val="single" w:color="auto" w:sz="4" w:space="0"/>
            </w:tcBorders>
            <w:noWrap/>
            <w:vAlign w:val="center"/>
          </w:tcPr>
          <w:p w14:paraId="0AF1837F">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p>
        </w:tc>
        <w:tc>
          <w:tcPr>
            <w:tcW w:w="1171" w:type="pct"/>
            <w:vMerge w:val="continue"/>
            <w:tcBorders>
              <w:left w:val="nil"/>
              <w:bottom w:val="single" w:color="auto" w:sz="4" w:space="0"/>
              <w:right w:val="single" w:color="auto" w:sz="4" w:space="0"/>
            </w:tcBorders>
            <w:noWrap/>
            <w:vAlign w:val="center"/>
          </w:tcPr>
          <w:p w14:paraId="1118E905">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p>
        </w:tc>
        <w:tc>
          <w:tcPr>
            <w:tcW w:w="580" w:type="pct"/>
            <w:vMerge w:val="continue"/>
            <w:tcBorders>
              <w:left w:val="nil"/>
              <w:bottom w:val="single" w:color="auto" w:sz="4" w:space="0"/>
              <w:right w:val="single" w:color="auto" w:sz="4" w:space="0"/>
            </w:tcBorders>
            <w:noWrap/>
            <w:vAlign w:val="center"/>
          </w:tcPr>
          <w:p w14:paraId="6335DD71">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p>
        </w:tc>
        <w:tc>
          <w:tcPr>
            <w:tcW w:w="792" w:type="pct"/>
            <w:vMerge w:val="continue"/>
            <w:tcBorders>
              <w:left w:val="nil"/>
              <w:bottom w:val="single" w:color="auto" w:sz="4" w:space="0"/>
              <w:right w:val="single" w:color="auto" w:sz="4" w:space="0"/>
            </w:tcBorders>
            <w:noWrap/>
            <w:vAlign w:val="center"/>
          </w:tcPr>
          <w:p w14:paraId="2AA0BEC4">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p>
        </w:tc>
        <w:tc>
          <w:tcPr>
            <w:tcW w:w="460" w:type="pct"/>
            <w:tcBorders>
              <w:top w:val="nil"/>
              <w:left w:val="nil"/>
              <w:bottom w:val="single" w:color="auto" w:sz="4" w:space="0"/>
              <w:right w:val="single" w:color="auto" w:sz="4" w:space="0"/>
            </w:tcBorders>
            <w:noWrap/>
            <w:vAlign w:val="center"/>
          </w:tcPr>
          <w:p w14:paraId="279FF676">
            <w:pPr>
              <w:widowControl w:val="0"/>
              <w:wordWrap w:val="0"/>
              <w:adjustRightInd w:val="0"/>
              <w:snapToGrid w:val="0"/>
              <w:spacing w:line="240" w:lineRule="auto"/>
              <w:ind w:firstLine="0" w:firstLineChars="0"/>
              <w:jc w:val="center"/>
              <w:rPr>
                <w:rFonts w:hint="default" w:ascii="Times New Roman" w:hAnsi="Times New Roman" w:eastAsia="宋体" w:cs="Times New Roman"/>
                <w:b/>
                <w:bCs/>
                <w:kern w:val="2"/>
                <w:sz w:val="21"/>
                <w:szCs w:val="21"/>
                <w:lang w:val="en-US" w:eastAsia="zh-CN" w:bidi="ar-SA"/>
              </w:rPr>
            </w:pPr>
            <w:r>
              <w:rPr>
                <w:rFonts w:hint="default" w:ascii="Times New Roman" w:hAnsi="Times New Roman" w:eastAsia="宋体" w:cs="Times New Roman"/>
                <w:b/>
                <w:bCs/>
                <w:kern w:val="2"/>
                <w:sz w:val="21"/>
                <w:szCs w:val="21"/>
                <w:lang w:val="en-US" w:eastAsia="zh-CN" w:bidi="ar-SA"/>
              </w:rPr>
              <w:t>6个月</w:t>
            </w:r>
          </w:p>
        </w:tc>
        <w:tc>
          <w:tcPr>
            <w:tcW w:w="520" w:type="pct"/>
            <w:tcBorders>
              <w:top w:val="nil"/>
              <w:left w:val="nil"/>
              <w:bottom w:val="single" w:color="auto" w:sz="4" w:space="0"/>
              <w:right w:val="single" w:color="auto" w:sz="4" w:space="0"/>
            </w:tcBorders>
            <w:noWrap/>
            <w:vAlign w:val="center"/>
          </w:tcPr>
          <w:p w14:paraId="0B843F11">
            <w:pPr>
              <w:widowControl w:val="0"/>
              <w:wordWrap w:val="0"/>
              <w:adjustRightInd w:val="0"/>
              <w:snapToGrid w:val="0"/>
              <w:spacing w:line="240" w:lineRule="auto"/>
              <w:ind w:firstLine="0" w:firstLineChars="0"/>
              <w:jc w:val="center"/>
              <w:rPr>
                <w:rFonts w:hint="default" w:ascii="Times New Roman" w:hAnsi="Times New Roman" w:eastAsia="宋体" w:cs="Times New Roman"/>
                <w:b/>
                <w:bCs/>
                <w:kern w:val="2"/>
                <w:sz w:val="21"/>
                <w:szCs w:val="21"/>
                <w:lang w:val="en-US" w:eastAsia="zh-CN" w:bidi="ar-SA"/>
              </w:rPr>
            </w:pPr>
            <w:r>
              <w:rPr>
                <w:rFonts w:hint="default" w:ascii="Times New Roman" w:hAnsi="Times New Roman" w:eastAsia="宋体" w:cs="Times New Roman"/>
                <w:b/>
                <w:bCs/>
                <w:kern w:val="2"/>
                <w:sz w:val="21"/>
                <w:szCs w:val="21"/>
                <w:lang w:val="en-US" w:eastAsia="zh-CN" w:bidi="ar-SA"/>
              </w:rPr>
              <w:t>1</w:t>
            </w:r>
          </w:p>
        </w:tc>
        <w:tc>
          <w:tcPr>
            <w:tcW w:w="521" w:type="pct"/>
            <w:tcBorders>
              <w:top w:val="nil"/>
              <w:left w:val="nil"/>
              <w:bottom w:val="single" w:color="auto" w:sz="4" w:space="0"/>
              <w:right w:val="single" w:color="auto" w:sz="4" w:space="0"/>
            </w:tcBorders>
            <w:noWrap/>
            <w:vAlign w:val="center"/>
          </w:tcPr>
          <w:p w14:paraId="54423D2B">
            <w:pPr>
              <w:widowControl w:val="0"/>
              <w:wordWrap w:val="0"/>
              <w:adjustRightInd w:val="0"/>
              <w:snapToGrid w:val="0"/>
              <w:spacing w:line="240" w:lineRule="auto"/>
              <w:ind w:firstLine="0" w:firstLineChars="0"/>
              <w:jc w:val="center"/>
              <w:rPr>
                <w:rFonts w:hint="default" w:ascii="Times New Roman" w:hAnsi="Times New Roman" w:eastAsia="宋体" w:cs="Times New Roman"/>
                <w:b/>
                <w:bCs/>
                <w:kern w:val="2"/>
                <w:sz w:val="21"/>
                <w:szCs w:val="21"/>
                <w:lang w:val="en-US" w:eastAsia="zh-CN" w:bidi="ar-SA"/>
              </w:rPr>
            </w:pPr>
            <w:r>
              <w:rPr>
                <w:rFonts w:hint="default" w:ascii="Times New Roman" w:hAnsi="Times New Roman" w:eastAsia="宋体" w:cs="Times New Roman"/>
                <w:b/>
                <w:bCs/>
                <w:kern w:val="2"/>
                <w:sz w:val="21"/>
                <w:szCs w:val="21"/>
                <w:lang w:val="en-US" w:eastAsia="zh-CN" w:bidi="ar-SA"/>
              </w:rPr>
              <w:t>2-23</w:t>
            </w:r>
          </w:p>
        </w:tc>
        <w:tc>
          <w:tcPr>
            <w:tcW w:w="585" w:type="pct"/>
            <w:tcBorders>
              <w:top w:val="nil"/>
              <w:left w:val="nil"/>
              <w:bottom w:val="single" w:color="auto" w:sz="4" w:space="0"/>
              <w:right w:val="single" w:color="auto" w:sz="4" w:space="0"/>
            </w:tcBorders>
            <w:noWrap/>
            <w:vAlign w:val="center"/>
          </w:tcPr>
          <w:p w14:paraId="772294EE">
            <w:pPr>
              <w:widowControl w:val="0"/>
              <w:wordWrap w:val="0"/>
              <w:adjustRightInd w:val="0"/>
              <w:snapToGrid w:val="0"/>
              <w:spacing w:line="240" w:lineRule="auto"/>
              <w:ind w:firstLine="0" w:firstLineChars="0"/>
              <w:jc w:val="center"/>
              <w:rPr>
                <w:rFonts w:hint="default" w:ascii="Times New Roman" w:hAnsi="Times New Roman" w:eastAsia="宋体" w:cs="Times New Roman"/>
                <w:b/>
                <w:bCs/>
                <w:kern w:val="2"/>
                <w:sz w:val="21"/>
                <w:szCs w:val="21"/>
                <w:lang w:val="en-US" w:eastAsia="zh-CN" w:bidi="ar-SA"/>
              </w:rPr>
            </w:pPr>
            <w:r>
              <w:rPr>
                <w:rFonts w:hint="default" w:ascii="Times New Roman" w:hAnsi="Times New Roman" w:eastAsia="宋体" w:cs="Times New Roman"/>
                <w:b/>
                <w:bCs/>
                <w:kern w:val="2"/>
                <w:sz w:val="21"/>
                <w:szCs w:val="21"/>
                <w:lang w:val="en-US" w:eastAsia="zh-CN" w:bidi="ar-SA"/>
              </w:rPr>
              <w:t>24</w:t>
            </w:r>
          </w:p>
        </w:tc>
      </w:tr>
      <w:tr w14:paraId="3B10F56C">
        <w:tblPrEx>
          <w:tblCellMar>
            <w:top w:w="0" w:type="dxa"/>
            <w:left w:w="108" w:type="dxa"/>
            <w:bottom w:w="0" w:type="dxa"/>
            <w:right w:w="108" w:type="dxa"/>
          </w:tblCellMar>
        </w:tblPrEx>
        <w:trPr>
          <w:trHeight w:val="397" w:hRule="atLeast"/>
        </w:trPr>
        <w:tc>
          <w:tcPr>
            <w:tcW w:w="368" w:type="pct"/>
            <w:tcBorders>
              <w:top w:val="nil"/>
              <w:left w:val="single" w:color="auto" w:sz="4" w:space="0"/>
              <w:bottom w:val="single" w:color="auto" w:sz="4" w:space="0"/>
              <w:right w:val="single" w:color="auto" w:sz="4" w:space="0"/>
            </w:tcBorders>
            <w:noWrap/>
            <w:vAlign w:val="center"/>
          </w:tcPr>
          <w:p w14:paraId="30190E44">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p>
        </w:tc>
        <w:tc>
          <w:tcPr>
            <w:tcW w:w="1171" w:type="pct"/>
            <w:tcBorders>
              <w:top w:val="nil"/>
              <w:left w:val="nil"/>
              <w:bottom w:val="single" w:color="auto" w:sz="4" w:space="0"/>
              <w:right w:val="single" w:color="auto" w:sz="4" w:space="0"/>
            </w:tcBorders>
            <w:noWrap/>
            <w:vAlign w:val="center"/>
          </w:tcPr>
          <w:p w14:paraId="6521F0CC">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生产负荷</w:t>
            </w:r>
          </w:p>
        </w:tc>
        <w:tc>
          <w:tcPr>
            <w:tcW w:w="580" w:type="pct"/>
            <w:tcBorders>
              <w:top w:val="nil"/>
              <w:left w:val="nil"/>
              <w:bottom w:val="single" w:color="auto" w:sz="4" w:space="0"/>
              <w:right w:val="single" w:color="auto" w:sz="4" w:space="0"/>
            </w:tcBorders>
            <w:noWrap/>
            <w:vAlign w:val="center"/>
          </w:tcPr>
          <w:p w14:paraId="418524C3">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p>
        </w:tc>
        <w:tc>
          <w:tcPr>
            <w:tcW w:w="792" w:type="pct"/>
            <w:tcBorders>
              <w:top w:val="nil"/>
              <w:left w:val="nil"/>
              <w:bottom w:val="single" w:color="auto" w:sz="4" w:space="0"/>
              <w:right w:val="single" w:color="auto" w:sz="4" w:space="0"/>
            </w:tcBorders>
            <w:noWrap/>
            <w:vAlign w:val="center"/>
          </w:tcPr>
          <w:p w14:paraId="1E6D7844">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p>
        </w:tc>
        <w:tc>
          <w:tcPr>
            <w:tcW w:w="460" w:type="pct"/>
            <w:tcBorders>
              <w:top w:val="nil"/>
              <w:left w:val="nil"/>
              <w:bottom w:val="single" w:color="auto" w:sz="4" w:space="0"/>
              <w:right w:val="single" w:color="auto" w:sz="4" w:space="0"/>
            </w:tcBorders>
            <w:noWrap/>
            <w:vAlign w:val="center"/>
          </w:tcPr>
          <w:p w14:paraId="13F1FBAA">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color w:val="000000"/>
                <w:kern w:val="2"/>
                <w:sz w:val="21"/>
                <w:szCs w:val="21"/>
                <w:lang w:val="en-US" w:eastAsia="zh-CN" w:bidi="ar-SA"/>
              </w:rPr>
              <w:t>27%</w:t>
            </w:r>
          </w:p>
        </w:tc>
        <w:tc>
          <w:tcPr>
            <w:tcW w:w="520" w:type="pct"/>
            <w:tcBorders>
              <w:top w:val="nil"/>
              <w:left w:val="nil"/>
              <w:bottom w:val="single" w:color="auto" w:sz="4" w:space="0"/>
              <w:right w:val="single" w:color="auto" w:sz="4" w:space="0"/>
            </w:tcBorders>
            <w:noWrap/>
            <w:vAlign w:val="center"/>
          </w:tcPr>
          <w:p w14:paraId="0DFCE585">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color w:val="000000"/>
                <w:kern w:val="2"/>
                <w:sz w:val="21"/>
                <w:szCs w:val="21"/>
                <w:lang w:val="en-US" w:eastAsia="zh-CN" w:bidi="ar-SA"/>
              </w:rPr>
              <w:t>100%</w:t>
            </w:r>
          </w:p>
        </w:tc>
        <w:tc>
          <w:tcPr>
            <w:tcW w:w="521" w:type="pct"/>
            <w:tcBorders>
              <w:top w:val="nil"/>
              <w:left w:val="nil"/>
              <w:bottom w:val="single" w:color="auto" w:sz="4" w:space="0"/>
              <w:right w:val="single" w:color="auto" w:sz="4" w:space="0"/>
            </w:tcBorders>
            <w:noWrap/>
            <w:vAlign w:val="center"/>
          </w:tcPr>
          <w:p w14:paraId="12FAF897">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color w:val="000000"/>
                <w:kern w:val="2"/>
                <w:sz w:val="21"/>
                <w:szCs w:val="21"/>
                <w:lang w:val="en-US" w:eastAsia="zh-CN" w:bidi="ar-SA"/>
              </w:rPr>
              <w:t>100%</w:t>
            </w:r>
          </w:p>
        </w:tc>
        <w:tc>
          <w:tcPr>
            <w:tcW w:w="585" w:type="pct"/>
            <w:tcBorders>
              <w:top w:val="nil"/>
              <w:left w:val="nil"/>
              <w:bottom w:val="single" w:color="auto" w:sz="4" w:space="0"/>
              <w:right w:val="single" w:color="auto" w:sz="4" w:space="0"/>
            </w:tcBorders>
            <w:noWrap/>
            <w:vAlign w:val="center"/>
          </w:tcPr>
          <w:p w14:paraId="01A29A02">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color w:val="000000"/>
                <w:kern w:val="2"/>
                <w:sz w:val="21"/>
                <w:szCs w:val="21"/>
                <w:lang w:val="en-US" w:eastAsia="zh-CN" w:bidi="ar-SA"/>
              </w:rPr>
              <w:t>71%</w:t>
            </w:r>
          </w:p>
        </w:tc>
      </w:tr>
      <w:tr w14:paraId="07179C76">
        <w:tblPrEx>
          <w:tblCellMar>
            <w:top w:w="0" w:type="dxa"/>
            <w:left w:w="108" w:type="dxa"/>
            <w:bottom w:w="0" w:type="dxa"/>
            <w:right w:w="108" w:type="dxa"/>
          </w:tblCellMar>
        </w:tblPrEx>
        <w:trPr>
          <w:trHeight w:val="397" w:hRule="atLeast"/>
        </w:trPr>
        <w:tc>
          <w:tcPr>
            <w:tcW w:w="368" w:type="pct"/>
            <w:tcBorders>
              <w:top w:val="nil"/>
              <w:left w:val="single" w:color="auto" w:sz="4" w:space="0"/>
              <w:bottom w:val="single" w:color="auto" w:sz="4" w:space="0"/>
              <w:right w:val="single" w:color="auto" w:sz="4" w:space="0"/>
            </w:tcBorders>
            <w:noWrap/>
            <w:vAlign w:val="center"/>
          </w:tcPr>
          <w:p w14:paraId="6F190629">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1</w:t>
            </w:r>
          </w:p>
        </w:tc>
        <w:tc>
          <w:tcPr>
            <w:tcW w:w="1171" w:type="pct"/>
            <w:tcBorders>
              <w:top w:val="nil"/>
              <w:left w:val="nil"/>
              <w:bottom w:val="single" w:color="auto" w:sz="4" w:space="0"/>
              <w:right w:val="single" w:color="auto" w:sz="4" w:space="0"/>
            </w:tcBorders>
            <w:noWrap/>
            <w:vAlign w:val="center"/>
          </w:tcPr>
          <w:p w14:paraId="18804450">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销售收入</w:t>
            </w:r>
          </w:p>
        </w:tc>
        <w:tc>
          <w:tcPr>
            <w:tcW w:w="580" w:type="pct"/>
            <w:tcBorders>
              <w:top w:val="nil"/>
              <w:left w:val="nil"/>
              <w:bottom w:val="single" w:color="auto" w:sz="4" w:space="0"/>
              <w:right w:val="single" w:color="auto" w:sz="4" w:space="0"/>
            </w:tcBorders>
            <w:noWrap/>
            <w:vAlign w:val="center"/>
          </w:tcPr>
          <w:p w14:paraId="03DF6FDD">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15378.09</w:t>
            </w:r>
          </w:p>
        </w:tc>
        <w:tc>
          <w:tcPr>
            <w:tcW w:w="792" w:type="pct"/>
            <w:tcBorders>
              <w:top w:val="nil"/>
              <w:left w:val="nil"/>
              <w:bottom w:val="single" w:color="auto" w:sz="4" w:space="0"/>
              <w:right w:val="single" w:color="auto" w:sz="4" w:space="0"/>
            </w:tcBorders>
            <w:noWrap/>
            <w:vAlign w:val="center"/>
          </w:tcPr>
          <w:p w14:paraId="3DB32A02">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641.03</w:t>
            </w:r>
          </w:p>
        </w:tc>
        <w:tc>
          <w:tcPr>
            <w:tcW w:w="460" w:type="pct"/>
            <w:tcBorders>
              <w:top w:val="nil"/>
              <w:left w:val="nil"/>
              <w:bottom w:val="single" w:color="auto" w:sz="4" w:space="0"/>
              <w:right w:val="single" w:color="auto" w:sz="4" w:space="0"/>
            </w:tcBorders>
            <w:noWrap/>
            <w:vAlign w:val="center"/>
          </w:tcPr>
          <w:p w14:paraId="39E8F8F9">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176.22</w:t>
            </w:r>
          </w:p>
        </w:tc>
        <w:tc>
          <w:tcPr>
            <w:tcW w:w="520" w:type="pct"/>
            <w:tcBorders>
              <w:top w:val="nil"/>
              <w:left w:val="nil"/>
              <w:bottom w:val="single" w:color="auto" w:sz="4" w:space="0"/>
              <w:right w:val="single" w:color="auto" w:sz="4" w:space="0"/>
            </w:tcBorders>
            <w:noWrap/>
            <w:vAlign w:val="center"/>
          </w:tcPr>
          <w:p w14:paraId="3660C042">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641.03</w:t>
            </w:r>
          </w:p>
        </w:tc>
        <w:tc>
          <w:tcPr>
            <w:tcW w:w="521" w:type="pct"/>
            <w:tcBorders>
              <w:top w:val="nil"/>
              <w:left w:val="nil"/>
              <w:bottom w:val="single" w:color="auto" w:sz="4" w:space="0"/>
              <w:right w:val="single" w:color="auto" w:sz="4" w:space="0"/>
            </w:tcBorders>
            <w:noWrap/>
            <w:vAlign w:val="center"/>
          </w:tcPr>
          <w:p w14:paraId="5AA1A28A">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641.03</w:t>
            </w:r>
          </w:p>
        </w:tc>
        <w:tc>
          <w:tcPr>
            <w:tcW w:w="585" w:type="pct"/>
            <w:tcBorders>
              <w:top w:val="nil"/>
              <w:left w:val="nil"/>
              <w:bottom w:val="single" w:color="auto" w:sz="4" w:space="0"/>
              <w:right w:val="single" w:color="auto" w:sz="4" w:space="0"/>
            </w:tcBorders>
            <w:noWrap/>
            <w:vAlign w:val="center"/>
          </w:tcPr>
          <w:p w14:paraId="0258B582">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458.27</w:t>
            </w:r>
          </w:p>
        </w:tc>
      </w:tr>
      <w:tr w14:paraId="13A27EE0">
        <w:tblPrEx>
          <w:tblCellMar>
            <w:top w:w="0" w:type="dxa"/>
            <w:left w:w="108" w:type="dxa"/>
            <w:bottom w:w="0" w:type="dxa"/>
            <w:right w:w="108" w:type="dxa"/>
          </w:tblCellMar>
        </w:tblPrEx>
        <w:trPr>
          <w:trHeight w:val="397" w:hRule="atLeast"/>
        </w:trPr>
        <w:tc>
          <w:tcPr>
            <w:tcW w:w="368" w:type="pct"/>
            <w:tcBorders>
              <w:top w:val="nil"/>
              <w:left w:val="single" w:color="auto" w:sz="4" w:space="0"/>
              <w:bottom w:val="single" w:color="auto" w:sz="4" w:space="0"/>
              <w:right w:val="single" w:color="auto" w:sz="4" w:space="0"/>
            </w:tcBorders>
            <w:noWrap/>
            <w:vAlign w:val="center"/>
          </w:tcPr>
          <w:p w14:paraId="1DFB3BE4">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2</w:t>
            </w:r>
          </w:p>
        </w:tc>
        <w:tc>
          <w:tcPr>
            <w:tcW w:w="1171" w:type="pct"/>
            <w:tcBorders>
              <w:top w:val="nil"/>
              <w:left w:val="nil"/>
              <w:bottom w:val="single" w:color="auto" w:sz="4" w:space="0"/>
              <w:right w:val="single" w:color="auto" w:sz="4" w:space="0"/>
            </w:tcBorders>
            <w:noWrap/>
            <w:vAlign w:val="center"/>
          </w:tcPr>
          <w:p w14:paraId="62FA0021">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资源税</w:t>
            </w:r>
          </w:p>
        </w:tc>
        <w:tc>
          <w:tcPr>
            <w:tcW w:w="580" w:type="pct"/>
            <w:tcBorders>
              <w:top w:val="nil"/>
              <w:left w:val="nil"/>
              <w:bottom w:val="single" w:color="auto" w:sz="4" w:space="0"/>
              <w:right w:val="single" w:color="auto" w:sz="4" w:space="0"/>
            </w:tcBorders>
            <w:noWrap/>
            <w:vAlign w:val="center"/>
          </w:tcPr>
          <w:p w14:paraId="036BFDFF">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491.06</w:t>
            </w:r>
          </w:p>
        </w:tc>
        <w:tc>
          <w:tcPr>
            <w:tcW w:w="792" w:type="pct"/>
            <w:tcBorders>
              <w:top w:val="nil"/>
              <w:left w:val="nil"/>
              <w:bottom w:val="single" w:color="auto" w:sz="4" w:space="0"/>
              <w:right w:val="single" w:color="auto" w:sz="4" w:space="0"/>
            </w:tcBorders>
            <w:noWrap/>
            <w:vAlign w:val="center"/>
          </w:tcPr>
          <w:p w14:paraId="2805BFE8">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67.50</w:t>
            </w:r>
          </w:p>
        </w:tc>
        <w:tc>
          <w:tcPr>
            <w:tcW w:w="460" w:type="pct"/>
            <w:tcBorders>
              <w:top w:val="nil"/>
              <w:left w:val="nil"/>
              <w:bottom w:val="single" w:color="auto" w:sz="4" w:space="0"/>
              <w:right w:val="single" w:color="auto" w:sz="4" w:space="0"/>
            </w:tcBorders>
            <w:noWrap/>
            <w:vAlign w:val="center"/>
          </w:tcPr>
          <w:p w14:paraId="7CA0238D">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18.56</w:t>
            </w:r>
          </w:p>
        </w:tc>
        <w:tc>
          <w:tcPr>
            <w:tcW w:w="520" w:type="pct"/>
            <w:tcBorders>
              <w:top w:val="nil"/>
              <w:left w:val="nil"/>
              <w:bottom w:val="single" w:color="auto" w:sz="4" w:space="0"/>
              <w:right w:val="single" w:color="auto" w:sz="4" w:space="0"/>
            </w:tcBorders>
            <w:noWrap/>
            <w:vAlign w:val="center"/>
          </w:tcPr>
          <w:p w14:paraId="371EE725">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67.50</w:t>
            </w:r>
          </w:p>
        </w:tc>
        <w:tc>
          <w:tcPr>
            <w:tcW w:w="521" w:type="pct"/>
            <w:tcBorders>
              <w:top w:val="nil"/>
              <w:left w:val="nil"/>
              <w:bottom w:val="single" w:color="auto" w:sz="4" w:space="0"/>
              <w:right w:val="single" w:color="auto" w:sz="4" w:space="0"/>
            </w:tcBorders>
            <w:noWrap/>
            <w:vAlign w:val="center"/>
          </w:tcPr>
          <w:p w14:paraId="1891337F">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67.50</w:t>
            </w:r>
          </w:p>
        </w:tc>
        <w:tc>
          <w:tcPr>
            <w:tcW w:w="585" w:type="pct"/>
            <w:tcBorders>
              <w:top w:val="nil"/>
              <w:left w:val="nil"/>
              <w:bottom w:val="single" w:color="auto" w:sz="4" w:space="0"/>
              <w:right w:val="single" w:color="auto" w:sz="4" w:space="0"/>
            </w:tcBorders>
            <w:noWrap/>
            <w:vAlign w:val="center"/>
          </w:tcPr>
          <w:p w14:paraId="309E1F51">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48.26</w:t>
            </w:r>
          </w:p>
        </w:tc>
      </w:tr>
      <w:tr w14:paraId="5FEE8D70">
        <w:tblPrEx>
          <w:tblCellMar>
            <w:top w:w="0" w:type="dxa"/>
            <w:left w:w="108" w:type="dxa"/>
            <w:bottom w:w="0" w:type="dxa"/>
            <w:right w:w="108" w:type="dxa"/>
          </w:tblCellMar>
        </w:tblPrEx>
        <w:trPr>
          <w:trHeight w:val="397" w:hRule="atLeast"/>
        </w:trPr>
        <w:tc>
          <w:tcPr>
            <w:tcW w:w="368" w:type="pct"/>
            <w:tcBorders>
              <w:top w:val="nil"/>
              <w:left w:val="single" w:color="auto" w:sz="4" w:space="0"/>
              <w:bottom w:val="single" w:color="auto" w:sz="4" w:space="0"/>
              <w:right w:val="single" w:color="auto" w:sz="4" w:space="0"/>
            </w:tcBorders>
            <w:noWrap/>
            <w:vAlign w:val="center"/>
          </w:tcPr>
          <w:p w14:paraId="1843DDB3">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3</w:t>
            </w:r>
          </w:p>
        </w:tc>
        <w:tc>
          <w:tcPr>
            <w:tcW w:w="1171" w:type="pct"/>
            <w:tcBorders>
              <w:top w:val="nil"/>
              <w:left w:val="nil"/>
              <w:bottom w:val="single" w:color="auto" w:sz="4" w:space="0"/>
              <w:right w:val="single" w:color="auto" w:sz="4" w:space="0"/>
            </w:tcBorders>
            <w:noWrap/>
            <w:vAlign w:val="center"/>
          </w:tcPr>
          <w:p w14:paraId="445EF437">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销售税金及附加</w:t>
            </w:r>
          </w:p>
        </w:tc>
        <w:tc>
          <w:tcPr>
            <w:tcW w:w="580" w:type="pct"/>
            <w:tcBorders>
              <w:top w:val="nil"/>
              <w:left w:val="nil"/>
              <w:bottom w:val="single" w:color="auto" w:sz="4" w:space="0"/>
              <w:right w:val="single" w:color="auto" w:sz="4" w:space="0"/>
            </w:tcBorders>
            <w:noWrap/>
            <w:vAlign w:val="center"/>
          </w:tcPr>
          <w:p w14:paraId="11A952D3">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42.02</w:t>
            </w:r>
          </w:p>
        </w:tc>
        <w:tc>
          <w:tcPr>
            <w:tcW w:w="792" w:type="pct"/>
            <w:tcBorders>
              <w:top w:val="nil"/>
              <w:left w:val="nil"/>
              <w:bottom w:val="single" w:color="auto" w:sz="4" w:space="0"/>
              <w:right w:val="single" w:color="auto" w:sz="4" w:space="0"/>
            </w:tcBorders>
            <w:noWrap/>
            <w:vAlign w:val="center"/>
          </w:tcPr>
          <w:p w14:paraId="006748D5">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5.78</w:t>
            </w:r>
          </w:p>
        </w:tc>
        <w:tc>
          <w:tcPr>
            <w:tcW w:w="460" w:type="pct"/>
            <w:tcBorders>
              <w:top w:val="nil"/>
              <w:left w:val="nil"/>
              <w:bottom w:val="single" w:color="auto" w:sz="4" w:space="0"/>
              <w:right w:val="single" w:color="auto" w:sz="4" w:space="0"/>
            </w:tcBorders>
            <w:noWrap/>
            <w:vAlign w:val="center"/>
          </w:tcPr>
          <w:p w14:paraId="1301775F">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1.55</w:t>
            </w:r>
          </w:p>
        </w:tc>
        <w:tc>
          <w:tcPr>
            <w:tcW w:w="520" w:type="pct"/>
            <w:tcBorders>
              <w:top w:val="nil"/>
              <w:left w:val="nil"/>
              <w:bottom w:val="single" w:color="auto" w:sz="4" w:space="0"/>
              <w:right w:val="single" w:color="auto" w:sz="4" w:space="0"/>
            </w:tcBorders>
            <w:noWrap/>
            <w:vAlign w:val="center"/>
          </w:tcPr>
          <w:p w14:paraId="172E21AD">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5.78</w:t>
            </w:r>
          </w:p>
        </w:tc>
        <w:tc>
          <w:tcPr>
            <w:tcW w:w="521" w:type="pct"/>
            <w:tcBorders>
              <w:top w:val="nil"/>
              <w:left w:val="nil"/>
              <w:bottom w:val="single" w:color="auto" w:sz="4" w:space="0"/>
              <w:right w:val="single" w:color="auto" w:sz="4" w:space="0"/>
            </w:tcBorders>
            <w:noWrap/>
            <w:vAlign w:val="center"/>
          </w:tcPr>
          <w:p w14:paraId="17E6A9B4">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5.78</w:t>
            </w:r>
          </w:p>
        </w:tc>
        <w:tc>
          <w:tcPr>
            <w:tcW w:w="585" w:type="pct"/>
            <w:tcBorders>
              <w:top w:val="nil"/>
              <w:left w:val="nil"/>
              <w:bottom w:val="single" w:color="auto" w:sz="4" w:space="0"/>
              <w:right w:val="single" w:color="auto" w:sz="4" w:space="0"/>
            </w:tcBorders>
            <w:noWrap/>
            <w:vAlign w:val="center"/>
          </w:tcPr>
          <w:p w14:paraId="0612AC88">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4.13</w:t>
            </w:r>
          </w:p>
        </w:tc>
      </w:tr>
      <w:tr w14:paraId="57B17FBC">
        <w:tblPrEx>
          <w:tblCellMar>
            <w:top w:w="0" w:type="dxa"/>
            <w:left w:w="108" w:type="dxa"/>
            <w:bottom w:w="0" w:type="dxa"/>
            <w:right w:w="108" w:type="dxa"/>
          </w:tblCellMar>
        </w:tblPrEx>
        <w:trPr>
          <w:trHeight w:val="397" w:hRule="atLeast"/>
        </w:trPr>
        <w:tc>
          <w:tcPr>
            <w:tcW w:w="368" w:type="pct"/>
            <w:tcBorders>
              <w:top w:val="nil"/>
              <w:left w:val="single" w:color="auto" w:sz="4" w:space="0"/>
              <w:bottom w:val="single" w:color="auto" w:sz="4" w:space="0"/>
              <w:right w:val="single" w:color="auto" w:sz="4" w:space="0"/>
            </w:tcBorders>
            <w:noWrap/>
            <w:vAlign w:val="center"/>
          </w:tcPr>
          <w:p w14:paraId="4241070B">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3.1</w:t>
            </w:r>
          </w:p>
        </w:tc>
        <w:tc>
          <w:tcPr>
            <w:tcW w:w="1171" w:type="pct"/>
            <w:tcBorders>
              <w:top w:val="nil"/>
              <w:left w:val="nil"/>
              <w:bottom w:val="single" w:color="auto" w:sz="4" w:space="0"/>
              <w:right w:val="single" w:color="auto" w:sz="4" w:space="0"/>
            </w:tcBorders>
            <w:noWrap/>
            <w:vAlign w:val="center"/>
          </w:tcPr>
          <w:p w14:paraId="3CB405A0">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城建税</w:t>
            </w:r>
          </w:p>
        </w:tc>
        <w:tc>
          <w:tcPr>
            <w:tcW w:w="580" w:type="pct"/>
            <w:tcBorders>
              <w:top w:val="nil"/>
              <w:left w:val="nil"/>
              <w:bottom w:val="single" w:color="auto" w:sz="4" w:space="0"/>
              <w:right w:val="single" w:color="auto" w:sz="4" w:space="0"/>
            </w:tcBorders>
            <w:noWrap/>
            <w:vAlign w:val="center"/>
          </w:tcPr>
          <w:p w14:paraId="360FD2D8">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7.00</w:t>
            </w:r>
          </w:p>
        </w:tc>
        <w:tc>
          <w:tcPr>
            <w:tcW w:w="792" w:type="pct"/>
            <w:tcBorders>
              <w:top w:val="nil"/>
              <w:left w:val="nil"/>
              <w:bottom w:val="single" w:color="auto" w:sz="4" w:space="0"/>
              <w:right w:val="single" w:color="auto" w:sz="4" w:space="0"/>
            </w:tcBorders>
            <w:noWrap/>
            <w:vAlign w:val="center"/>
          </w:tcPr>
          <w:p w14:paraId="07766C3F">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0.96</w:t>
            </w:r>
          </w:p>
        </w:tc>
        <w:tc>
          <w:tcPr>
            <w:tcW w:w="460" w:type="pct"/>
            <w:tcBorders>
              <w:top w:val="nil"/>
              <w:left w:val="nil"/>
              <w:bottom w:val="single" w:color="auto" w:sz="4" w:space="0"/>
              <w:right w:val="single" w:color="auto" w:sz="4" w:space="0"/>
            </w:tcBorders>
            <w:noWrap/>
            <w:vAlign w:val="center"/>
          </w:tcPr>
          <w:p w14:paraId="5647F16B">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0.26</w:t>
            </w:r>
          </w:p>
        </w:tc>
        <w:tc>
          <w:tcPr>
            <w:tcW w:w="520" w:type="pct"/>
            <w:tcBorders>
              <w:top w:val="nil"/>
              <w:left w:val="nil"/>
              <w:bottom w:val="single" w:color="auto" w:sz="4" w:space="0"/>
              <w:right w:val="single" w:color="auto" w:sz="4" w:space="0"/>
            </w:tcBorders>
            <w:noWrap/>
            <w:vAlign w:val="center"/>
          </w:tcPr>
          <w:p w14:paraId="59A11DF1">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0.96</w:t>
            </w:r>
          </w:p>
        </w:tc>
        <w:tc>
          <w:tcPr>
            <w:tcW w:w="521" w:type="pct"/>
            <w:tcBorders>
              <w:top w:val="nil"/>
              <w:left w:val="nil"/>
              <w:bottom w:val="single" w:color="auto" w:sz="4" w:space="0"/>
              <w:right w:val="single" w:color="auto" w:sz="4" w:space="0"/>
            </w:tcBorders>
            <w:noWrap/>
            <w:vAlign w:val="center"/>
          </w:tcPr>
          <w:p w14:paraId="3176E648">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0.96</w:t>
            </w:r>
          </w:p>
        </w:tc>
        <w:tc>
          <w:tcPr>
            <w:tcW w:w="585" w:type="pct"/>
            <w:tcBorders>
              <w:top w:val="nil"/>
              <w:left w:val="nil"/>
              <w:bottom w:val="single" w:color="auto" w:sz="4" w:space="0"/>
              <w:right w:val="single" w:color="auto" w:sz="4" w:space="0"/>
            </w:tcBorders>
            <w:noWrap/>
            <w:vAlign w:val="center"/>
          </w:tcPr>
          <w:p w14:paraId="464DA9FD">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0.69</w:t>
            </w:r>
          </w:p>
        </w:tc>
      </w:tr>
      <w:tr w14:paraId="2A198A68">
        <w:tblPrEx>
          <w:tblCellMar>
            <w:top w:w="0" w:type="dxa"/>
            <w:left w:w="108" w:type="dxa"/>
            <w:bottom w:w="0" w:type="dxa"/>
            <w:right w:w="108" w:type="dxa"/>
          </w:tblCellMar>
        </w:tblPrEx>
        <w:trPr>
          <w:trHeight w:val="397" w:hRule="atLeast"/>
        </w:trPr>
        <w:tc>
          <w:tcPr>
            <w:tcW w:w="368" w:type="pct"/>
            <w:tcBorders>
              <w:top w:val="nil"/>
              <w:left w:val="single" w:color="auto" w:sz="4" w:space="0"/>
              <w:bottom w:val="single" w:color="auto" w:sz="4" w:space="0"/>
              <w:right w:val="single" w:color="auto" w:sz="4" w:space="0"/>
            </w:tcBorders>
            <w:noWrap/>
            <w:vAlign w:val="center"/>
          </w:tcPr>
          <w:p w14:paraId="4D959A88">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3.2</w:t>
            </w:r>
          </w:p>
        </w:tc>
        <w:tc>
          <w:tcPr>
            <w:tcW w:w="1171" w:type="pct"/>
            <w:tcBorders>
              <w:top w:val="nil"/>
              <w:left w:val="nil"/>
              <w:bottom w:val="single" w:color="auto" w:sz="4" w:space="0"/>
              <w:right w:val="single" w:color="auto" w:sz="4" w:space="0"/>
            </w:tcBorders>
            <w:noWrap/>
            <w:vAlign w:val="center"/>
          </w:tcPr>
          <w:p w14:paraId="3E18DE02">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教育费附加</w:t>
            </w:r>
          </w:p>
        </w:tc>
        <w:tc>
          <w:tcPr>
            <w:tcW w:w="580" w:type="pct"/>
            <w:tcBorders>
              <w:top w:val="nil"/>
              <w:left w:val="nil"/>
              <w:bottom w:val="single" w:color="auto" w:sz="4" w:space="0"/>
              <w:right w:val="single" w:color="auto" w:sz="4" w:space="0"/>
            </w:tcBorders>
            <w:noWrap/>
            <w:vAlign w:val="center"/>
          </w:tcPr>
          <w:p w14:paraId="0C00DC74">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35.01</w:t>
            </w:r>
          </w:p>
        </w:tc>
        <w:tc>
          <w:tcPr>
            <w:tcW w:w="792" w:type="pct"/>
            <w:tcBorders>
              <w:top w:val="nil"/>
              <w:left w:val="nil"/>
              <w:bottom w:val="single" w:color="auto" w:sz="4" w:space="0"/>
              <w:right w:val="single" w:color="auto" w:sz="4" w:space="0"/>
            </w:tcBorders>
            <w:noWrap/>
            <w:vAlign w:val="center"/>
          </w:tcPr>
          <w:p w14:paraId="5DC24DEF">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4.82</w:t>
            </w:r>
          </w:p>
        </w:tc>
        <w:tc>
          <w:tcPr>
            <w:tcW w:w="460" w:type="pct"/>
            <w:tcBorders>
              <w:top w:val="nil"/>
              <w:left w:val="nil"/>
              <w:bottom w:val="single" w:color="auto" w:sz="4" w:space="0"/>
              <w:right w:val="single" w:color="auto" w:sz="4" w:space="0"/>
            </w:tcBorders>
            <w:noWrap/>
            <w:vAlign w:val="center"/>
          </w:tcPr>
          <w:p w14:paraId="40F832D5">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1.29</w:t>
            </w:r>
          </w:p>
        </w:tc>
        <w:tc>
          <w:tcPr>
            <w:tcW w:w="520" w:type="pct"/>
            <w:tcBorders>
              <w:top w:val="nil"/>
              <w:left w:val="nil"/>
              <w:bottom w:val="single" w:color="auto" w:sz="4" w:space="0"/>
              <w:right w:val="single" w:color="auto" w:sz="4" w:space="0"/>
            </w:tcBorders>
            <w:noWrap/>
            <w:vAlign w:val="center"/>
          </w:tcPr>
          <w:p w14:paraId="2B5F714B">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4.82</w:t>
            </w:r>
          </w:p>
        </w:tc>
        <w:tc>
          <w:tcPr>
            <w:tcW w:w="521" w:type="pct"/>
            <w:tcBorders>
              <w:top w:val="nil"/>
              <w:left w:val="nil"/>
              <w:bottom w:val="single" w:color="auto" w:sz="4" w:space="0"/>
              <w:right w:val="single" w:color="auto" w:sz="4" w:space="0"/>
            </w:tcBorders>
            <w:noWrap/>
            <w:vAlign w:val="center"/>
          </w:tcPr>
          <w:p w14:paraId="167F0100">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4.82</w:t>
            </w:r>
          </w:p>
        </w:tc>
        <w:tc>
          <w:tcPr>
            <w:tcW w:w="585" w:type="pct"/>
            <w:tcBorders>
              <w:top w:val="nil"/>
              <w:left w:val="nil"/>
              <w:bottom w:val="single" w:color="auto" w:sz="4" w:space="0"/>
              <w:right w:val="single" w:color="auto" w:sz="4" w:space="0"/>
            </w:tcBorders>
            <w:noWrap/>
            <w:vAlign w:val="center"/>
          </w:tcPr>
          <w:p w14:paraId="461ACE72">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3.44</w:t>
            </w:r>
          </w:p>
        </w:tc>
      </w:tr>
      <w:tr w14:paraId="3A9D1178">
        <w:tblPrEx>
          <w:tblCellMar>
            <w:top w:w="0" w:type="dxa"/>
            <w:left w:w="108" w:type="dxa"/>
            <w:bottom w:w="0" w:type="dxa"/>
            <w:right w:w="108" w:type="dxa"/>
          </w:tblCellMar>
        </w:tblPrEx>
        <w:trPr>
          <w:trHeight w:val="397" w:hRule="atLeast"/>
        </w:trPr>
        <w:tc>
          <w:tcPr>
            <w:tcW w:w="368" w:type="pct"/>
            <w:tcBorders>
              <w:top w:val="nil"/>
              <w:left w:val="single" w:color="auto" w:sz="4" w:space="0"/>
              <w:bottom w:val="single" w:color="auto" w:sz="4" w:space="0"/>
              <w:right w:val="single" w:color="auto" w:sz="4" w:space="0"/>
            </w:tcBorders>
            <w:noWrap/>
            <w:vAlign w:val="center"/>
          </w:tcPr>
          <w:p w14:paraId="73378A97">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4</w:t>
            </w:r>
          </w:p>
        </w:tc>
        <w:tc>
          <w:tcPr>
            <w:tcW w:w="1171" w:type="pct"/>
            <w:tcBorders>
              <w:top w:val="nil"/>
              <w:left w:val="nil"/>
              <w:bottom w:val="single" w:color="auto" w:sz="4" w:space="0"/>
              <w:right w:val="single" w:color="auto" w:sz="4" w:space="0"/>
            </w:tcBorders>
            <w:noWrap/>
            <w:vAlign w:val="center"/>
          </w:tcPr>
          <w:p w14:paraId="77D44F08">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总成本费用（不含税）</w:t>
            </w:r>
          </w:p>
        </w:tc>
        <w:tc>
          <w:tcPr>
            <w:tcW w:w="580" w:type="pct"/>
            <w:tcBorders>
              <w:top w:val="nil"/>
              <w:left w:val="nil"/>
              <w:bottom w:val="single" w:color="auto" w:sz="4" w:space="0"/>
              <w:right w:val="single" w:color="auto" w:sz="4" w:space="0"/>
            </w:tcBorders>
            <w:noWrap/>
            <w:vAlign w:val="center"/>
          </w:tcPr>
          <w:p w14:paraId="0D012C7D">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9555.70</w:t>
            </w:r>
          </w:p>
        </w:tc>
        <w:tc>
          <w:tcPr>
            <w:tcW w:w="792" w:type="pct"/>
            <w:tcBorders>
              <w:top w:val="nil"/>
              <w:left w:val="nil"/>
              <w:bottom w:val="single" w:color="auto" w:sz="4" w:space="0"/>
              <w:right w:val="single" w:color="auto" w:sz="4" w:space="0"/>
            </w:tcBorders>
            <w:noWrap/>
            <w:vAlign w:val="center"/>
          </w:tcPr>
          <w:p w14:paraId="4BBE48BE">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399.47</w:t>
            </w:r>
          </w:p>
        </w:tc>
        <w:tc>
          <w:tcPr>
            <w:tcW w:w="460" w:type="pct"/>
            <w:tcBorders>
              <w:top w:val="nil"/>
              <w:left w:val="nil"/>
              <w:bottom w:val="single" w:color="auto" w:sz="4" w:space="0"/>
              <w:right w:val="single" w:color="auto" w:sz="4" w:space="0"/>
            </w:tcBorders>
            <w:noWrap/>
            <w:vAlign w:val="center"/>
          </w:tcPr>
          <w:p w14:paraId="23BB9CE6">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81.81</w:t>
            </w:r>
          </w:p>
        </w:tc>
        <w:tc>
          <w:tcPr>
            <w:tcW w:w="520" w:type="pct"/>
            <w:tcBorders>
              <w:top w:val="nil"/>
              <w:left w:val="nil"/>
              <w:bottom w:val="single" w:color="auto" w:sz="4" w:space="0"/>
              <w:right w:val="single" w:color="auto" w:sz="4" w:space="0"/>
            </w:tcBorders>
            <w:noWrap/>
            <w:vAlign w:val="center"/>
          </w:tcPr>
          <w:p w14:paraId="00FE8D71">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399.47</w:t>
            </w:r>
          </w:p>
        </w:tc>
        <w:tc>
          <w:tcPr>
            <w:tcW w:w="521" w:type="pct"/>
            <w:tcBorders>
              <w:top w:val="nil"/>
              <w:left w:val="nil"/>
              <w:bottom w:val="single" w:color="auto" w:sz="4" w:space="0"/>
              <w:right w:val="single" w:color="auto" w:sz="4" w:space="0"/>
            </w:tcBorders>
            <w:noWrap/>
            <w:vAlign w:val="center"/>
          </w:tcPr>
          <w:p w14:paraId="383D6F4F">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399.47</w:t>
            </w:r>
          </w:p>
        </w:tc>
        <w:tc>
          <w:tcPr>
            <w:tcW w:w="585" w:type="pct"/>
            <w:tcBorders>
              <w:top w:val="nil"/>
              <w:left w:val="nil"/>
              <w:bottom w:val="single" w:color="auto" w:sz="4" w:space="0"/>
              <w:right w:val="single" w:color="auto" w:sz="4" w:space="0"/>
            </w:tcBorders>
            <w:noWrap/>
            <w:vAlign w:val="center"/>
          </w:tcPr>
          <w:p w14:paraId="3E1BF162">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286.17</w:t>
            </w:r>
          </w:p>
        </w:tc>
      </w:tr>
      <w:tr w14:paraId="021C5AF9">
        <w:tblPrEx>
          <w:tblCellMar>
            <w:top w:w="0" w:type="dxa"/>
            <w:left w:w="108" w:type="dxa"/>
            <w:bottom w:w="0" w:type="dxa"/>
            <w:right w:w="108" w:type="dxa"/>
          </w:tblCellMar>
        </w:tblPrEx>
        <w:trPr>
          <w:trHeight w:val="397" w:hRule="atLeast"/>
        </w:trPr>
        <w:tc>
          <w:tcPr>
            <w:tcW w:w="368" w:type="pct"/>
            <w:tcBorders>
              <w:top w:val="nil"/>
              <w:left w:val="single" w:color="auto" w:sz="4" w:space="0"/>
              <w:bottom w:val="single" w:color="auto" w:sz="4" w:space="0"/>
              <w:right w:val="single" w:color="auto" w:sz="4" w:space="0"/>
            </w:tcBorders>
            <w:noWrap/>
            <w:vAlign w:val="center"/>
          </w:tcPr>
          <w:p w14:paraId="647B2FBD">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5</w:t>
            </w:r>
          </w:p>
        </w:tc>
        <w:tc>
          <w:tcPr>
            <w:tcW w:w="1171" w:type="pct"/>
            <w:tcBorders>
              <w:top w:val="nil"/>
              <w:left w:val="nil"/>
              <w:bottom w:val="single" w:color="auto" w:sz="4" w:space="0"/>
              <w:right w:val="single" w:color="auto" w:sz="4" w:space="0"/>
            </w:tcBorders>
            <w:noWrap/>
            <w:vAlign w:val="center"/>
          </w:tcPr>
          <w:p w14:paraId="3842F64D">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利润总额</w:t>
            </w:r>
          </w:p>
        </w:tc>
        <w:tc>
          <w:tcPr>
            <w:tcW w:w="580" w:type="pct"/>
            <w:tcBorders>
              <w:top w:val="nil"/>
              <w:left w:val="nil"/>
              <w:bottom w:val="single" w:color="auto" w:sz="4" w:space="0"/>
              <w:right w:val="single" w:color="auto" w:sz="4" w:space="0"/>
            </w:tcBorders>
            <w:noWrap/>
            <w:vAlign w:val="center"/>
          </w:tcPr>
          <w:p w14:paraId="3FE3CF07">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5289.31</w:t>
            </w:r>
          </w:p>
        </w:tc>
        <w:tc>
          <w:tcPr>
            <w:tcW w:w="792" w:type="pct"/>
            <w:tcBorders>
              <w:top w:val="nil"/>
              <w:left w:val="nil"/>
              <w:bottom w:val="single" w:color="auto" w:sz="4" w:space="0"/>
              <w:right w:val="single" w:color="auto" w:sz="4" w:space="0"/>
            </w:tcBorders>
            <w:noWrap/>
            <w:vAlign w:val="center"/>
          </w:tcPr>
          <w:p w14:paraId="221F605B">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168.28</w:t>
            </w:r>
          </w:p>
        </w:tc>
        <w:tc>
          <w:tcPr>
            <w:tcW w:w="460" w:type="pct"/>
            <w:tcBorders>
              <w:top w:val="nil"/>
              <w:left w:val="nil"/>
              <w:bottom w:val="single" w:color="auto" w:sz="4" w:space="0"/>
              <w:right w:val="single" w:color="auto" w:sz="4" w:space="0"/>
            </w:tcBorders>
            <w:noWrap/>
            <w:vAlign w:val="center"/>
          </w:tcPr>
          <w:p w14:paraId="654E4931">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74.31</w:t>
            </w:r>
          </w:p>
        </w:tc>
        <w:tc>
          <w:tcPr>
            <w:tcW w:w="520" w:type="pct"/>
            <w:tcBorders>
              <w:top w:val="nil"/>
              <w:left w:val="nil"/>
              <w:bottom w:val="single" w:color="auto" w:sz="4" w:space="0"/>
              <w:right w:val="single" w:color="auto" w:sz="4" w:space="0"/>
            </w:tcBorders>
            <w:noWrap/>
            <w:vAlign w:val="center"/>
          </w:tcPr>
          <w:p w14:paraId="415D0944">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168.28</w:t>
            </w:r>
          </w:p>
        </w:tc>
        <w:tc>
          <w:tcPr>
            <w:tcW w:w="521" w:type="pct"/>
            <w:tcBorders>
              <w:top w:val="nil"/>
              <w:left w:val="nil"/>
              <w:bottom w:val="single" w:color="auto" w:sz="4" w:space="0"/>
              <w:right w:val="single" w:color="auto" w:sz="4" w:space="0"/>
            </w:tcBorders>
            <w:noWrap/>
            <w:vAlign w:val="center"/>
          </w:tcPr>
          <w:p w14:paraId="1D8BA014">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168.28</w:t>
            </w:r>
          </w:p>
        </w:tc>
        <w:tc>
          <w:tcPr>
            <w:tcW w:w="585" w:type="pct"/>
            <w:tcBorders>
              <w:top w:val="nil"/>
              <w:left w:val="nil"/>
              <w:bottom w:val="single" w:color="auto" w:sz="4" w:space="0"/>
              <w:right w:val="single" w:color="auto" w:sz="4" w:space="0"/>
            </w:tcBorders>
            <w:noWrap/>
            <w:vAlign w:val="center"/>
          </w:tcPr>
          <w:p w14:paraId="19F2ED18">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119.71</w:t>
            </w:r>
          </w:p>
        </w:tc>
      </w:tr>
      <w:tr w14:paraId="7397ADB2">
        <w:tblPrEx>
          <w:tblCellMar>
            <w:top w:w="0" w:type="dxa"/>
            <w:left w:w="108" w:type="dxa"/>
            <w:bottom w:w="0" w:type="dxa"/>
            <w:right w:w="108" w:type="dxa"/>
          </w:tblCellMar>
        </w:tblPrEx>
        <w:trPr>
          <w:trHeight w:val="397" w:hRule="atLeast"/>
        </w:trPr>
        <w:tc>
          <w:tcPr>
            <w:tcW w:w="368" w:type="pct"/>
            <w:tcBorders>
              <w:top w:val="nil"/>
              <w:left w:val="single" w:color="auto" w:sz="4" w:space="0"/>
              <w:bottom w:val="single" w:color="auto" w:sz="4" w:space="0"/>
              <w:right w:val="single" w:color="auto" w:sz="4" w:space="0"/>
            </w:tcBorders>
            <w:noWrap/>
            <w:vAlign w:val="center"/>
          </w:tcPr>
          <w:p w14:paraId="5F41D981">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6</w:t>
            </w:r>
          </w:p>
        </w:tc>
        <w:tc>
          <w:tcPr>
            <w:tcW w:w="1171" w:type="pct"/>
            <w:tcBorders>
              <w:top w:val="nil"/>
              <w:left w:val="nil"/>
              <w:bottom w:val="single" w:color="auto" w:sz="4" w:space="0"/>
              <w:right w:val="single" w:color="auto" w:sz="4" w:space="0"/>
            </w:tcBorders>
            <w:noWrap/>
            <w:vAlign w:val="center"/>
          </w:tcPr>
          <w:p w14:paraId="5AF593D5">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弥补以前年度亏损</w:t>
            </w:r>
          </w:p>
        </w:tc>
        <w:tc>
          <w:tcPr>
            <w:tcW w:w="580" w:type="pct"/>
            <w:tcBorders>
              <w:top w:val="nil"/>
              <w:left w:val="nil"/>
              <w:bottom w:val="single" w:color="auto" w:sz="4" w:space="0"/>
              <w:right w:val="single" w:color="auto" w:sz="4" w:space="0"/>
            </w:tcBorders>
            <w:noWrap/>
            <w:vAlign w:val="center"/>
          </w:tcPr>
          <w:p w14:paraId="78EF329A">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0</w:t>
            </w:r>
          </w:p>
        </w:tc>
        <w:tc>
          <w:tcPr>
            <w:tcW w:w="792" w:type="pct"/>
            <w:tcBorders>
              <w:top w:val="nil"/>
              <w:left w:val="nil"/>
              <w:bottom w:val="single" w:color="auto" w:sz="4" w:space="0"/>
              <w:right w:val="single" w:color="auto" w:sz="4" w:space="0"/>
            </w:tcBorders>
            <w:noWrap/>
            <w:vAlign w:val="center"/>
          </w:tcPr>
          <w:p w14:paraId="63B186D1">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0</w:t>
            </w:r>
          </w:p>
        </w:tc>
        <w:tc>
          <w:tcPr>
            <w:tcW w:w="460" w:type="pct"/>
            <w:tcBorders>
              <w:top w:val="nil"/>
              <w:left w:val="nil"/>
              <w:bottom w:val="single" w:color="auto" w:sz="4" w:space="0"/>
              <w:right w:val="single" w:color="auto" w:sz="4" w:space="0"/>
            </w:tcBorders>
            <w:noWrap/>
            <w:vAlign w:val="center"/>
          </w:tcPr>
          <w:p w14:paraId="449E0C43">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0</w:t>
            </w:r>
          </w:p>
        </w:tc>
        <w:tc>
          <w:tcPr>
            <w:tcW w:w="520" w:type="pct"/>
            <w:tcBorders>
              <w:top w:val="nil"/>
              <w:left w:val="nil"/>
              <w:bottom w:val="single" w:color="auto" w:sz="4" w:space="0"/>
              <w:right w:val="single" w:color="auto" w:sz="4" w:space="0"/>
            </w:tcBorders>
            <w:noWrap/>
            <w:vAlign w:val="center"/>
          </w:tcPr>
          <w:p w14:paraId="7B3C1B54">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0</w:t>
            </w:r>
          </w:p>
        </w:tc>
        <w:tc>
          <w:tcPr>
            <w:tcW w:w="521" w:type="pct"/>
            <w:tcBorders>
              <w:top w:val="nil"/>
              <w:left w:val="nil"/>
              <w:bottom w:val="single" w:color="auto" w:sz="4" w:space="0"/>
              <w:right w:val="single" w:color="auto" w:sz="4" w:space="0"/>
            </w:tcBorders>
            <w:noWrap/>
            <w:vAlign w:val="center"/>
          </w:tcPr>
          <w:p w14:paraId="658B1D16">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0</w:t>
            </w:r>
          </w:p>
        </w:tc>
        <w:tc>
          <w:tcPr>
            <w:tcW w:w="585" w:type="pct"/>
            <w:tcBorders>
              <w:top w:val="nil"/>
              <w:left w:val="nil"/>
              <w:bottom w:val="single" w:color="auto" w:sz="4" w:space="0"/>
              <w:right w:val="single" w:color="auto" w:sz="4" w:space="0"/>
            </w:tcBorders>
            <w:noWrap/>
            <w:vAlign w:val="center"/>
          </w:tcPr>
          <w:p w14:paraId="45894915">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21</w:t>
            </w:r>
          </w:p>
        </w:tc>
      </w:tr>
      <w:tr w14:paraId="16DBA4CC">
        <w:tblPrEx>
          <w:tblCellMar>
            <w:top w:w="0" w:type="dxa"/>
            <w:left w:w="108" w:type="dxa"/>
            <w:bottom w:w="0" w:type="dxa"/>
            <w:right w:w="108" w:type="dxa"/>
          </w:tblCellMar>
        </w:tblPrEx>
        <w:trPr>
          <w:trHeight w:val="397" w:hRule="atLeast"/>
        </w:trPr>
        <w:tc>
          <w:tcPr>
            <w:tcW w:w="368" w:type="pct"/>
            <w:tcBorders>
              <w:top w:val="nil"/>
              <w:left w:val="single" w:color="auto" w:sz="4" w:space="0"/>
              <w:bottom w:val="single" w:color="auto" w:sz="4" w:space="0"/>
              <w:right w:val="single" w:color="auto" w:sz="4" w:space="0"/>
            </w:tcBorders>
            <w:noWrap/>
            <w:vAlign w:val="center"/>
          </w:tcPr>
          <w:p w14:paraId="5A39672F">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7</w:t>
            </w:r>
          </w:p>
        </w:tc>
        <w:tc>
          <w:tcPr>
            <w:tcW w:w="1171" w:type="pct"/>
            <w:tcBorders>
              <w:top w:val="nil"/>
              <w:left w:val="nil"/>
              <w:bottom w:val="single" w:color="auto" w:sz="4" w:space="0"/>
              <w:right w:val="single" w:color="auto" w:sz="4" w:space="0"/>
            </w:tcBorders>
            <w:noWrap/>
            <w:vAlign w:val="center"/>
          </w:tcPr>
          <w:p w14:paraId="20982600">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应纳所得额</w:t>
            </w:r>
          </w:p>
        </w:tc>
        <w:tc>
          <w:tcPr>
            <w:tcW w:w="580" w:type="pct"/>
            <w:tcBorders>
              <w:top w:val="nil"/>
              <w:left w:val="nil"/>
              <w:bottom w:val="single" w:color="auto" w:sz="4" w:space="0"/>
              <w:right w:val="single" w:color="auto" w:sz="4" w:space="0"/>
            </w:tcBorders>
            <w:noWrap/>
            <w:vAlign w:val="center"/>
          </w:tcPr>
          <w:p w14:paraId="71988A1D">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5289.31</w:t>
            </w:r>
          </w:p>
        </w:tc>
        <w:tc>
          <w:tcPr>
            <w:tcW w:w="792" w:type="pct"/>
            <w:tcBorders>
              <w:top w:val="nil"/>
              <w:left w:val="nil"/>
              <w:bottom w:val="single" w:color="auto" w:sz="4" w:space="0"/>
              <w:right w:val="single" w:color="auto" w:sz="4" w:space="0"/>
            </w:tcBorders>
            <w:noWrap/>
            <w:vAlign w:val="center"/>
          </w:tcPr>
          <w:p w14:paraId="28890EE4">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168.28</w:t>
            </w:r>
          </w:p>
        </w:tc>
        <w:tc>
          <w:tcPr>
            <w:tcW w:w="460" w:type="pct"/>
            <w:tcBorders>
              <w:top w:val="nil"/>
              <w:left w:val="nil"/>
              <w:bottom w:val="single" w:color="auto" w:sz="4" w:space="0"/>
              <w:right w:val="single" w:color="auto" w:sz="4" w:space="0"/>
            </w:tcBorders>
            <w:noWrap/>
            <w:vAlign w:val="center"/>
          </w:tcPr>
          <w:p w14:paraId="3F26652C">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74.31</w:t>
            </w:r>
          </w:p>
        </w:tc>
        <w:tc>
          <w:tcPr>
            <w:tcW w:w="520" w:type="pct"/>
            <w:tcBorders>
              <w:top w:val="nil"/>
              <w:left w:val="nil"/>
              <w:bottom w:val="single" w:color="auto" w:sz="4" w:space="0"/>
              <w:right w:val="single" w:color="auto" w:sz="4" w:space="0"/>
            </w:tcBorders>
            <w:noWrap/>
            <w:vAlign w:val="center"/>
          </w:tcPr>
          <w:p w14:paraId="4ABE4035">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168.28</w:t>
            </w:r>
          </w:p>
        </w:tc>
        <w:tc>
          <w:tcPr>
            <w:tcW w:w="521" w:type="pct"/>
            <w:tcBorders>
              <w:top w:val="nil"/>
              <w:left w:val="nil"/>
              <w:bottom w:val="single" w:color="auto" w:sz="4" w:space="0"/>
              <w:right w:val="single" w:color="auto" w:sz="4" w:space="0"/>
            </w:tcBorders>
            <w:noWrap/>
            <w:vAlign w:val="center"/>
          </w:tcPr>
          <w:p w14:paraId="6FCED856">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168.28</w:t>
            </w:r>
          </w:p>
        </w:tc>
        <w:tc>
          <w:tcPr>
            <w:tcW w:w="585" w:type="pct"/>
            <w:tcBorders>
              <w:top w:val="nil"/>
              <w:left w:val="nil"/>
              <w:bottom w:val="single" w:color="auto" w:sz="4" w:space="0"/>
              <w:right w:val="single" w:color="auto" w:sz="4" w:space="0"/>
            </w:tcBorders>
            <w:noWrap/>
            <w:vAlign w:val="center"/>
          </w:tcPr>
          <w:p w14:paraId="2F276E07">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119.71</w:t>
            </w:r>
          </w:p>
        </w:tc>
      </w:tr>
      <w:tr w14:paraId="73C915E0">
        <w:tblPrEx>
          <w:tblCellMar>
            <w:top w:w="0" w:type="dxa"/>
            <w:left w:w="108" w:type="dxa"/>
            <w:bottom w:w="0" w:type="dxa"/>
            <w:right w:w="108" w:type="dxa"/>
          </w:tblCellMar>
        </w:tblPrEx>
        <w:trPr>
          <w:trHeight w:val="397" w:hRule="atLeast"/>
        </w:trPr>
        <w:tc>
          <w:tcPr>
            <w:tcW w:w="368" w:type="pct"/>
            <w:tcBorders>
              <w:top w:val="nil"/>
              <w:left w:val="single" w:color="auto" w:sz="4" w:space="0"/>
              <w:bottom w:val="single" w:color="auto" w:sz="4" w:space="0"/>
              <w:right w:val="single" w:color="auto" w:sz="4" w:space="0"/>
            </w:tcBorders>
            <w:noWrap/>
            <w:vAlign w:val="center"/>
          </w:tcPr>
          <w:p w14:paraId="6E4567D9">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8</w:t>
            </w:r>
          </w:p>
        </w:tc>
        <w:tc>
          <w:tcPr>
            <w:tcW w:w="1171" w:type="pct"/>
            <w:tcBorders>
              <w:top w:val="nil"/>
              <w:left w:val="nil"/>
              <w:bottom w:val="single" w:color="auto" w:sz="4" w:space="0"/>
              <w:right w:val="single" w:color="auto" w:sz="4" w:space="0"/>
            </w:tcBorders>
            <w:noWrap/>
            <w:vAlign w:val="center"/>
          </w:tcPr>
          <w:p w14:paraId="24F1D64B">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所得税</w:t>
            </w:r>
          </w:p>
        </w:tc>
        <w:tc>
          <w:tcPr>
            <w:tcW w:w="580" w:type="pct"/>
            <w:tcBorders>
              <w:top w:val="nil"/>
              <w:left w:val="nil"/>
              <w:bottom w:val="single" w:color="auto" w:sz="4" w:space="0"/>
              <w:right w:val="single" w:color="auto" w:sz="4" w:space="0"/>
            </w:tcBorders>
            <w:noWrap/>
            <w:vAlign w:val="center"/>
          </w:tcPr>
          <w:p w14:paraId="2C3E2C38">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1322.33</w:t>
            </w:r>
          </w:p>
        </w:tc>
        <w:tc>
          <w:tcPr>
            <w:tcW w:w="792" w:type="pct"/>
            <w:tcBorders>
              <w:top w:val="nil"/>
              <w:left w:val="nil"/>
              <w:bottom w:val="single" w:color="auto" w:sz="4" w:space="0"/>
              <w:right w:val="single" w:color="auto" w:sz="4" w:space="0"/>
            </w:tcBorders>
            <w:noWrap/>
            <w:vAlign w:val="center"/>
          </w:tcPr>
          <w:p w14:paraId="0774464C">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42.07</w:t>
            </w:r>
          </w:p>
        </w:tc>
        <w:tc>
          <w:tcPr>
            <w:tcW w:w="460" w:type="pct"/>
            <w:tcBorders>
              <w:top w:val="nil"/>
              <w:left w:val="nil"/>
              <w:bottom w:val="single" w:color="auto" w:sz="4" w:space="0"/>
              <w:right w:val="single" w:color="auto" w:sz="4" w:space="0"/>
            </w:tcBorders>
            <w:noWrap/>
            <w:vAlign w:val="center"/>
          </w:tcPr>
          <w:p w14:paraId="20442701">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18.58</w:t>
            </w:r>
          </w:p>
        </w:tc>
        <w:tc>
          <w:tcPr>
            <w:tcW w:w="520" w:type="pct"/>
            <w:tcBorders>
              <w:top w:val="nil"/>
              <w:left w:val="nil"/>
              <w:bottom w:val="single" w:color="auto" w:sz="4" w:space="0"/>
              <w:right w:val="single" w:color="auto" w:sz="4" w:space="0"/>
            </w:tcBorders>
            <w:noWrap/>
            <w:vAlign w:val="center"/>
          </w:tcPr>
          <w:p w14:paraId="5629CF89">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42.07</w:t>
            </w:r>
          </w:p>
        </w:tc>
        <w:tc>
          <w:tcPr>
            <w:tcW w:w="521" w:type="pct"/>
            <w:tcBorders>
              <w:top w:val="nil"/>
              <w:left w:val="nil"/>
              <w:bottom w:val="single" w:color="auto" w:sz="4" w:space="0"/>
              <w:right w:val="single" w:color="auto" w:sz="4" w:space="0"/>
            </w:tcBorders>
            <w:noWrap/>
            <w:vAlign w:val="center"/>
          </w:tcPr>
          <w:p w14:paraId="61D732CD">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42.07</w:t>
            </w:r>
          </w:p>
        </w:tc>
        <w:tc>
          <w:tcPr>
            <w:tcW w:w="585" w:type="pct"/>
            <w:tcBorders>
              <w:top w:val="nil"/>
              <w:left w:val="nil"/>
              <w:bottom w:val="single" w:color="auto" w:sz="4" w:space="0"/>
              <w:right w:val="single" w:color="auto" w:sz="4" w:space="0"/>
            </w:tcBorders>
            <w:noWrap/>
            <w:vAlign w:val="center"/>
          </w:tcPr>
          <w:p w14:paraId="32FED0FB">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29.93</w:t>
            </w:r>
          </w:p>
        </w:tc>
      </w:tr>
      <w:tr w14:paraId="0F7AE55D">
        <w:tblPrEx>
          <w:tblCellMar>
            <w:top w:w="0" w:type="dxa"/>
            <w:left w:w="108" w:type="dxa"/>
            <w:bottom w:w="0" w:type="dxa"/>
            <w:right w:w="108" w:type="dxa"/>
          </w:tblCellMar>
        </w:tblPrEx>
        <w:trPr>
          <w:trHeight w:val="397" w:hRule="atLeast"/>
        </w:trPr>
        <w:tc>
          <w:tcPr>
            <w:tcW w:w="368" w:type="pct"/>
            <w:tcBorders>
              <w:top w:val="nil"/>
              <w:left w:val="single" w:color="auto" w:sz="4" w:space="0"/>
              <w:bottom w:val="single" w:color="auto" w:sz="4" w:space="0"/>
              <w:right w:val="single" w:color="auto" w:sz="4" w:space="0"/>
            </w:tcBorders>
            <w:noWrap/>
            <w:vAlign w:val="center"/>
          </w:tcPr>
          <w:p w14:paraId="5739602C">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9</w:t>
            </w:r>
          </w:p>
        </w:tc>
        <w:tc>
          <w:tcPr>
            <w:tcW w:w="1171" w:type="pct"/>
            <w:tcBorders>
              <w:top w:val="nil"/>
              <w:left w:val="nil"/>
              <w:bottom w:val="single" w:color="auto" w:sz="4" w:space="0"/>
              <w:right w:val="single" w:color="auto" w:sz="4" w:space="0"/>
            </w:tcBorders>
            <w:noWrap/>
            <w:vAlign w:val="center"/>
          </w:tcPr>
          <w:p w14:paraId="6127679B">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净利润</w:t>
            </w:r>
          </w:p>
        </w:tc>
        <w:tc>
          <w:tcPr>
            <w:tcW w:w="580" w:type="pct"/>
            <w:tcBorders>
              <w:top w:val="nil"/>
              <w:left w:val="nil"/>
              <w:bottom w:val="single" w:color="auto" w:sz="4" w:space="0"/>
              <w:right w:val="single" w:color="auto" w:sz="4" w:space="0"/>
            </w:tcBorders>
            <w:noWrap/>
            <w:vAlign w:val="center"/>
          </w:tcPr>
          <w:p w14:paraId="740505A8">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 xml:space="preserve">3966.98 </w:t>
            </w:r>
          </w:p>
        </w:tc>
        <w:tc>
          <w:tcPr>
            <w:tcW w:w="792" w:type="pct"/>
            <w:tcBorders>
              <w:top w:val="nil"/>
              <w:left w:val="nil"/>
              <w:bottom w:val="single" w:color="auto" w:sz="4" w:space="0"/>
              <w:right w:val="single" w:color="auto" w:sz="4" w:space="0"/>
            </w:tcBorders>
            <w:noWrap/>
            <w:vAlign w:val="center"/>
          </w:tcPr>
          <w:p w14:paraId="69351F74">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 xml:space="preserve">126.21 </w:t>
            </w:r>
          </w:p>
        </w:tc>
        <w:tc>
          <w:tcPr>
            <w:tcW w:w="460" w:type="pct"/>
            <w:tcBorders>
              <w:top w:val="nil"/>
              <w:left w:val="nil"/>
              <w:bottom w:val="single" w:color="auto" w:sz="4" w:space="0"/>
              <w:right w:val="single" w:color="auto" w:sz="4" w:space="0"/>
            </w:tcBorders>
            <w:noWrap/>
            <w:vAlign w:val="center"/>
          </w:tcPr>
          <w:p w14:paraId="7E7F34F4">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55.73</w:t>
            </w:r>
          </w:p>
        </w:tc>
        <w:tc>
          <w:tcPr>
            <w:tcW w:w="520" w:type="pct"/>
            <w:tcBorders>
              <w:top w:val="nil"/>
              <w:left w:val="nil"/>
              <w:bottom w:val="single" w:color="auto" w:sz="4" w:space="0"/>
              <w:right w:val="single" w:color="auto" w:sz="4" w:space="0"/>
            </w:tcBorders>
            <w:noWrap/>
            <w:vAlign w:val="center"/>
          </w:tcPr>
          <w:p w14:paraId="1BE1D75F">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 xml:space="preserve">126.21 </w:t>
            </w:r>
          </w:p>
        </w:tc>
        <w:tc>
          <w:tcPr>
            <w:tcW w:w="521" w:type="pct"/>
            <w:tcBorders>
              <w:top w:val="nil"/>
              <w:left w:val="nil"/>
              <w:bottom w:val="single" w:color="auto" w:sz="4" w:space="0"/>
              <w:right w:val="single" w:color="auto" w:sz="4" w:space="0"/>
            </w:tcBorders>
            <w:noWrap/>
            <w:vAlign w:val="center"/>
          </w:tcPr>
          <w:p w14:paraId="639A4994">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 xml:space="preserve">126.21 </w:t>
            </w:r>
          </w:p>
        </w:tc>
        <w:tc>
          <w:tcPr>
            <w:tcW w:w="585" w:type="pct"/>
            <w:tcBorders>
              <w:top w:val="nil"/>
              <w:left w:val="nil"/>
              <w:bottom w:val="single" w:color="auto" w:sz="4" w:space="0"/>
              <w:right w:val="single" w:color="auto" w:sz="4" w:space="0"/>
            </w:tcBorders>
            <w:noWrap/>
            <w:vAlign w:val="center"/>
          </w:tcPr>
          <w:p w14:paraId="1202EB62">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89.78</w:t>
            </w:r>
          </w:p>
        </w:tc>
      </w:tr>
      <w:tr w14:paraId="03DBF87A">
        <w:tblPrEx>
          <w:tblCellMar>
            <w:top w:w="0" w:type="dxa"/>
            <w:left w:w="108" w:type="dxa"/>
            <w:bottom w:w="0" w:type="dxa"/>
            <w:right w:w="108" w:type="dxa"/>
          </w:tblCellMar>
        </w:tblPrEx>
        <w:trPr>
          <w:trHeight w:val="397" w:hRule="atLeast"/>
        </w:trPr>
        <w:tc>
          <w:tcPr>
            <w:tcW w:w="368" w:type="pct"/>
            <w:tcBorders>
              <w:top w:val="nil"/>
              <w:left w:val="single" w:color="auto" w:sz="4" w:space="0"/>
              <w:bottom w:val="single" w:color="auto" w:sz="4" w:space="0"/>
              <w:right w:val="single" w:color="auto" w:sz="4" w:space="0"/>
            </w:tcBorders>
            <w:noWrap/>
            <w:vAlign w:val="center"/>
          </w:tcPr>
          <w:p w14:paraId="0D2BF431">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10</w:t>
            </w:r>
          </w:p>
        </w:tc>
        <w:tc>
          <w:tcPr>
            <w:tcW w:w="1171" w:type="pct"/>
            <w:tcBorders>
              <w:top w:val="nil"/>
              <w:left w:val="nil"/>
              <w:bottom w:val="single" w:color="auto" w:sz="4" w:space="0"/>
              <w:right w:val="single" w:color="auto" w:sz="4" w:space="0"/>
            </w:tcBorders>
            <w:noWrap/>
            <w:vAlign w:val="center"/>
          </w:tcPr>
          <w:p w14:paraId="4F2AF3FC">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期初未分配利润</w:t>
            </w:r>
          </w:p>
        </w:tc>
        <w:tc>
          <w:tcPr>
            <w:tcW w:w="580" w:type="pct"/>
            <w:tcBorders>
              <w:top w:val="nil"/>
              <w:left w:val="nil"/>
              <w:bottom w:val="single" w:color="auto" w:sz="4" w:space="0"/>
              <w:right w:val="single" w:color="auto" w:sz="4" w:space="0"/>
            </w:tcBorders>
            <w:noWrap/>
            <w:vAlign w:val="center"/>
          </w:tcPr>
          <w:p w14:paraId="7A9835C9">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0</w:t>
            </w:r>
          </w:p>
        </w:tc>
        <w:tc>
          <w:tcPr>
            <w:tcW w:w="792" w:type="pct"/>
            <w:tcBorders>
              <w:top w:val="nil"/>
              <w:left w:val="nil"/>
              <w:bottom w:val="single" w:color="auto" w:sz="4" w:space="0"/>
              <w:right w:val="single" w:color="auto" w:sz="4" w:space="0"/>
            </w:tcBorders>
            <w:noWrap/>
            <w:vAlign w:val="center"/>
          </w:tcPr>
          <w:p w14:paraId="0A03EB3C">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0</w:t>
            </w:r>
          </w:p>
        </w:tc>
        <w:tc>
          <w:tcPr>
            <w:tcW w:w="460" w:type="pct"/>
            <w:tcBorders>
              <w:top w:val="nil"/>
              <w:left w:val="nil"/>
              <w:bottom w:val="single" w:color="auto" w:sz="4" w:space="0"/>
              <w:right w:val="single" w:color="auto" w:sz="4" w:space="0"/>
            </w:tcBorders>
            <w:noWrap/>
            <w:vAlign w:val="center"/>
          </w:tcPr>
          <w:p w14:paraId="43F05606">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0</w:t>
            </w:r>
          </w:p>
        </w:tc>
        <w:tc>
          <w:tcPr>
            <w:tcW w:w="520" w:type="pct"/>
            <w:tcBorders>
              <w:top w:val="nil"/>
              <w:left w:val="nil"/>
              <w:bottom w:val="single" w:color="auto" w:sz="4" w:space="0"/>
              <w:right w:val="single" w:color="auto" w:sz="4" w:space="0"/>
            </w:tcBorders>
            <w:noWrap/>
            <w:vAlign w:val="center"/>
          </w:tcPr>
          <w:p w14:paraId="4ED7CD12">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0</w:t>
            </w:r>
          </w:p>
        </w:tc>
        <w:tc>
          <w:tcPr>
            <w:tcW w:w="521" w:type="pct"/>
            <w:tcBorders>
              <w:top w:val="nil"/>
              <w:left w:val="nil"/>
              <w:bottom w:val="single" w:color="auto" w:sz="4" w:space="0"/>
              <w:right w:val="single" w:color="auto" w:sz="4" w:space="0"/>
            </w:tcBorders>
            <w:noWrap/>
            <w:vAlign w:val="center"/>
          </w:tcPr>
          <w:p w14:paraId="7B4D26D5">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0</w:t>
            </w:r>
          </w:p>
        </w:tc>
        <w:tc>
          <w:tcPr>
            <w:tcW w:w="585" w:type="pct"/>
            <w:tcBorders>
              <w:top w:val="nil"/>
              <w:left w:val="nil"/>
              <w:bottom w:val="single" w:color="auto" w:sz="4" w:space="0"/>
              <w:right w:val="single" w:color="auto" w:sz="4" w:space="0"/>
            </w:tcBorders>
            <w:noWrap/>
            <w:vAlign w:val="center"/>
          </w:tcPr>
          <w:p w14:paraId="73A2A2DF">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21</w:t>
            </w:r>
          </w:p>
        </w:tc>
      </w:tr>
      <w:tr w14:paraId="491897D9">
        <w:tblPrEx>
          <w:tblCellMar>
            <w:top w:w="0" w:type="dxa"/>
            <w:left w:w="108" w:type="dxa"/>
            <w:bottom w:w="0" w:type="dxa"/>
            <w:right w:w="108" w:type="dxa"/>
          </w:tblCellMar>
        </w:tblPrEx>
        <w:trPr>
          <w:trHeight w:val="397" w:hRule="atLeast"/>
        </w:trPr>
        <w:tc>
          <w:tcPr>
            <w:tcW w:w="368" w:type="pct"/>
            <w:tcBorders>
              <w:top w:val="nil"/>
              <w:left w:val="single" w:color="auto" w:sz="4" w:space="0"/>
              <w:bottom w:val="single" w:color="auto" w:sz="4" w:space="0"/>
              <w:right w:val="single" w:color="auto" w:sz="4" w:space="0"/>
            </w:tcBorders>
            <w:noWrap/>
            <w:vAlign w:val="center"/>
          </w:tcPr>
          <w:p w14:paraId="1A38D5BF">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11</w:t>
            </w:r>
          </w:p>
        </w:tc>
        <w:tc>
          <w:tcPr>
            <w:tcW w:w="1171" w:type="pct"/>
            <w:tcBorders>
              <w:top w:val="nil"/>
              <w:left w:val="nil"/>
              <w:bottom w:val="single" w:color="auto" w:sz="4" w:space="0"/>
              <w:right w:val="single" w:color="auto" w:sz="4" w:space="0"/>
            </w:tcBorders>
            <w:noWrap/>
            <w:vAlign w:val="center"/>
          </w:tcPr>
          <w:p w14:paraId="37F85B1C">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可供分配利润</w:t>
            </w:r>
          </w:p>
        </w:tc>
        <w:tc>
          <w:tcPr>
            <w:tcW w:w="580" w:type="pct"/>
            <w:tcBorders>
              <w:top w:val="nil"/>
              <w:left w:val="nil"/>
              <w:bottom w:val="single" w:color="auto" w:sz="4" w:space="0"/>
              <w:right w:val="single" w:color="auto" w:sz="4" w:space="0"/>
            </w:tcBorders>
            <w:noWrap/>
            <w:vAlign w:val="center"/>
          </w:tcPr>
          <w:p w14:paraId="63DC9349">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 xml:space="preserve">3966.98 </w:t>
            </w:r>
          </w:p>
        </w:tc>
        <w:tc>
          <w:tcPr>
            <w:tcW w:w="792" w:type="pct"/>
            <w:tcBorders>
              <w:top w:val="nil"/>
              <w:left w:val="nil"/>
              <w:bottom w:val="single" w:color="auto" w:sz="4" w:space="0"/>
              <w:right w:val="single" w:color="auto" w:sz="4" w:space="0"/>
            </w:tcBorders>
            <w:noWrap/>
            <w:vAlign w:val="center"/>
          </w:tcPr>
          <w:p w14:paraId="7ABEC0FD">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126.21</w:t>
            </w:r>
          </w:p>
        </w:tc>
        <w:tc>
          <w:tcPr>
            <w:tcW w:w="460" w:type="pct"/>
            <w:tcBorders>
              <w:top w:val="nil"/>
              <w:left w:val="nil"/>
              <w:bottom w:val="single" w:color="auto" w:sz="4" w:space="0"/>
              <w:right w:val="single" w:color="auto" w:sz="4" w:space="0"/>
            </w:tcBorders>
            <w:noWrap/>
            <w:vAlign w:val="center"/>
          </w:tcPr>
          <w:p w14:paraId="06D0A635">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55.73</w:t>
            </w:r>
          </w:p>
        </w:tc>
        <w:tc>
          <w:tcPr>
            <w:tcW w:w="520" w:type="pct"/>
            <w:tcBorders>
              <w:top w:val="nil"/>
              <w:left w:val="nil"/>
              <w:bottom w:val="single" w:color="auto" w:sz="4" w:space="0"/>
              <w:right w:val="single" w:color="auto" w:sz="4" w:space="0"/>
            </w:tcBorders>
            <w:noWrap/>
            <w:vAlign w:val="center"/>
          </w:tcPr>
          <w:p w14:paraId="6F2ABFF7">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126.21</w:t>
            </w:r>
          </w:p>
        </w:tc>
        <w:tc>
          <w:tcPr>
            <w:tcW w:w="521" w:type="pct"/>
            <w:tcBorders>
              <w:top w:val="nil"/>
              <w:left w:val="nil"/>
              <w:bottom w:val="single" w:color="auto" w:sz="4" w:space="0"/>
              <w:right w:val="single" w:color="auto" w:sz="4" w:space="0"/>
            </w:tcBorders>
            <w:noWrap/>
            <w:vAlign w:val="center"/>
          </w:tcPr>
          <w:p w14:paraId="7A8B9535">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 xml:space="preserve">126.21 </w:t>
            </w:r>
          </w:p>
        </w:tc>
        <w:tc>
          <w:tcPr>
            <w:tcW w:w="585" w:type="pct"/>
            <w:tcBorders>
              <w:top w:val="nil"/>
              <w:left w:val="nil"/>
              <w:bottom w:val="single" w:color="auto" w:sz="4" w:space="0"/>
              <w:right w:val="single" w:color="auto" w:sz="4" w:space="0"/>
            </w:tcBorders>
            <w:noWrap/>
            <w:vAlign w:val="center"/>
          </w:tcPr>
          <w:p w14:paraId="5C04EAA5">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 xml:space="preserve">68.78 </w:t>
            </w:r>
          </w:p>
        </w:tc>
      </w:tr>
      <w:tr w14:paraId="7B37BC2D">
        <w:tblPrEx>
          <w:tblCellMar>
            <w:top w:w="0" w:type="dxa"/>
            <w:left w:w="108" w:type="dxa"/>
            <w:bottom w:w="0" w:type="dxa"/>
            <w:right w:w="108" w:type="dxa"/>
          </w:tblCellMar>
        </w:tblPrEx>
        <w:trPr>
          <w:trHeight w:val="397" w:hRule="atLeast"/>
        </w:trPr>
        <w:tc>
          <w:tcPr>
            <w:tcW w:w="368" w:type="pct"/>
            <w:tcBorders>
              <w:top w:val="nil"/>
              <w:left w:val="single" w:color="auto" w:sz="4" w:space="0"/>
              <w:bottom w:val="single" w:color="auto" w:sz="4" w:space="0"/>
              <w:right w:val="single" w:color="auto" w:sz="4" w:space="0"/>
            </w:tcBorders>
            <w:noWrap/>
            <w:vAlign w:val="center"/>
          </w:tcPr>
          <w:p w14:paraId="1AA61A8F">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12</w:t>
            </w:r>
          </w:p>
        </w:tc>
        <w:tc>
          <w:tcPr>
            <w:tcW w:w="1171" w:type="pct"/>
            <w:tcBorders>
              <w:top w:val="nil"/>
              <w:left w:val="nil"/>
              <w:bottom w:val="single" w:color="auto" w:sz="4" w:space="0"/>
              <w:right w:val="single" w:color="auto" w:sz="4" w:space="0"/>
            </w:tcBorders>
            <w:noWrap/>
            <w:vAlign w:val="center"/>
          </w:tcPr>
          <w:p w14:paraId="7FC01182">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法定盈余公积金</w:t>
            </w:r>
          </w:p>
        </w:tc>
        <w:tc>
          <w:tcPr>
            <w:tcW w:w="580" w:type="pct"/>
            <w:tcBorders>
              <w:top w:val="nil"/>
              <w:left w:val="nil"/>
              <w:bottom w:val="single" w:color="auto" w:sz="4" w:space="0"/>
              <w:right w:val="single" w:color="auto" w:sz="4" w:space="0"/>
            </w:tcBorders>
            <w:noWrap/>
            <w:vAlign w:val="center"/>
          </w:tcPr>
          <w:p w14:paraId="50D00725">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396.70</w:t>
            </w:r>
          </w:p>
        </w:tc>
        <w:tc>
          <w:tcPr>
            <w:tcW w:w="792" w:type="pct"/>
            <w:tcBorders>
              <w:top w:val="nil"/>
              <w:left w:val="nil"/>
              <w:bottom w:val="single" w:color="auto" w:sz="4" w:space="0"/>
              <w:right w:val="single" w:color="auto" w:sz="4" w:space="0"/>
            </w:tcBorders>
            <w:noWrap/>
            <w:vAlign w:val="center"/>
          </w:tcPr>
          <w:p w14:paraId="435365A7">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12.62</w:t>
            </w:r>
          </w:p>
        </w:tc>
        <w:tc>
          <w:tcPr>
            <w:tcW w:w="460" w:type="pct"/>
            <w:tcBorders>
              <w:top w:val="nil"/>
              <w:left w:val="nil"/>
              <w:bottom w:val="single" w:color="auto" w:sz="4" w:space="0"/>
              <w:right w:val="single" w:color="auto" w:sz="4" w:space="0"/>
            </w:tcBorders>
            <w:noWrap/>
            <w:vAlign w:val="center"/>
          </w:tcPr>
          <w:p w14:paraId="6A92E2CB">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5.57</w:t>
            </w:r>
          </w:p>
        </w:tc>
        <w:tc>
          <w:tcPr>
            <w:tcW w:w="520" w:type="pct"/>
            <w:tcBorders>
              <w:top w:val="nil"/>
              <w:left w:val="nil"/>
              <w:bottom w:val="single" w:color="auto" w:sz="4" w:space="0"/>
              <w:right w:val="single" w:color="auto" w:sz="4" w:space="0"/>
            </w:tcBorders>
            <w:noWrap/>
            <w:vAlign w:val="center"/>
          </w:tcPr>
          <w:p w14:paraId="1EB19E9F">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12.62</w:t>
            </w:r>
          </w:p>
        </w:tc>
        <w:tc>
          <w:tcPr>
            <w:tcW w:w="521" w:type="pct"/>
            <w:tcBorders>
              <w:top w:val="nil"/>
              <w:left w:val="nil"/>
              <w:bottom w:val="single" w:color="auto" w:sz="4" w:space="0"/>
              <w:right w:val="single" w:color="auto" w:sz="4" w:space="0"/>
            </w:tcBorders>
            <w:noWrap/>
            <w:vAlign w:val="center"/>
          </w:tcPr>
          <w:p w14:paraId="76B03872">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12.62</w:t>
            </w:r>
          </w:p>
        </w:tc>
        <w:tc>
          <w:tcPr>
            <w:tcW w:w="585" w:type="pct"/>
            <w:tcBorders>
              <w:top w:val="nil"/>
              <w:left w:val="nil"/>
              <w:bottom w:val="single" w:color="auto" w:sz="4" w:space="0"/>
              <w:right w:val="single" w:color="auto" w:sz="4" w:space="0"/>
            </w:tcBorders>
            <w:noWrap/>
            <w:vAlign w:val="center"/>
          </w:tcPr>
          <w:p w14:paraId="2F97323F">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6.88</w:t>
            </w:r>
          </w:p>
        </w:tc>
      </w:tr>
      <w:tr w14:paraId="4C66FDA1">
        <w:tblPrEx>
          <w:tblCellMar>
            <w:top w:w="0" w:type="dxa"/>
            <w:left w:w="108" w:type="dxa"/>
            <w:bottom w:w="0" w:type="dxa"/>
            <w:right w:w="108" w:type="dxa"/>
          </w:tblCellMar>
        </w:tblPrEx>
        <w:trPr>
          <w:trHeight w:val="397" w:hRule="atLeast"/>
        </w:trPr>
        <w:tc>
          <w:tcPr>
            <w:tcW w:w="368" w:type="pct"/>
            <w:tcBorders>
              <w:top w:val="nil"/>
              <w:left w:val="single" w:color="auto" w:sz="4" w:space="0"/>
              <w:bottom w:val="single" w:color="auto" w:sz="4" w:space="0"/>
              <w:right w:val="single" w:color="auto" w:sz="4" w:space="0"/>
            </w:tcBorders>
            <w:noWrap/>
            <w:vAlign w:val="center"/>
          </w:tcPr>
          <w:p w14:paraId="5408249D">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13</w:t>
            </w:r>
          </w:p>
        </w:tc>
        <w:tc>
          <w:tcPr>
            <w:tcW w:w="1171" w:type="pct"/>
            <w:tcBorders>
              <w:top w:val="nil"/>
              <w:left w:val="nil"/>
              <w:bottom w:val="single" w:color="auto" w:sz="4" w:space="0"/>
              <w:right w:val="single" w:color="auto" w:sz="4" w:space="0"/>
            </w:tcBorders>
            <w:noWrap/>
            <w:vAlign w:val="center"/>
          </w:tcPr>
          <w:p w14:paraId="46116791">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可供投资者分配的利润</w:t>
            </w:r>
          </w:p>
        </w:tc>
        <w:tc>
          <w:tcPr>
            <w:tcW w:w="580" w:type="pct"/>
            <w:tcBorders>
              <w:top w:val="nil"/>
              <w:left w:val="nil"/>
              <w:bottom w:val="single" w:color="auto" w:sz="4" w:space="0"/>
              <w:right w:val="single" w:color="auto" w:sz="4" w:space="0"/>
            </w:tcBorders>
            <w:noWrap/>
            <w:vAlign w:val="center"/>
          </w:tcPr>
          <w:p w14:paraId="0FFC057C">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3570.28</w:t>
            </w:r>
          </w:p>
        </w:tc>
        <w:tc>
          <w:tcPr>
            <w:tcW w:w="792" w:type="pct"/>
            <w:tcBorders>
              <w:top w:val="nil"/>
              <w:left w:val="nil"/>
              <w:bottom w:val="single" w:color="auto" w:sz="4" w:space="0"/>
              <w:right w:val="single" w:color="auto" w:sz="4" w:space="0"/>
            </w:tcBorders>
            <w:noWrap/>
            <w:vAlign w:val="center"/>
          </w:tcPr>
          <w:p w14:paraId="0F6B161F">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113.59</w:t>
            </w:r>
          </w:p>
        </w:tc>
        <w:tc>
          <w:tcPr>
            <w:tcW w:w="460" w:type="pct"/>
            <w:tcBorders>
              <w:top w:val="nil"/>
              <w:left w:val="nil"/>
              <w:bottom w:val="single" w:color="auto" w:sz="4" w:space="0"/>
              <w:right w:val="single" w:color="auto" w:sz="4" w:space="0"/>
            </w:tcBorders>
            <w:noWrap/>
            <w:vAlign w:val="center"/>
          </w:tcPr>
          <w:p w14:paraId="08E8E06D">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50.16</w:t>
            </w:r>
          </w:p>
        </w:tc>
        <w:tc>
          <w:tcPr>
            <w:tcW w:w="520" w:type="pct"/>
            <w:tcBorders>
              <w:top w:val="nil"/>
              <w:left w:val="nil"/>
              <w:bottom w:val="single" w:color="auto" w:sz="4" w:space="0"/>
              <w:right w:val="single" w:color="auto" w:sz="4" w:space="0"/>
            </w:tcBorders>
            <w:noWrap/>
            <w:vAlign w:val="center"/>
          </w:tcPr>
          <w:p w14:paraId="65C5A83B">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113.59</w:t>
            </w:r>
          </w:p>
        </w:tc>
        <w:tc>
          <w:tcPr>
            <w:tcW w:w="521" w:type="pct"/>
            <w:tcBorders>
              <w:top w:val="nil"/>
              <w:left w:val="nil"/>
              <w:bottom w:val="single" w:color="auto" w:sz="4" w:space="0"/>
              <w:right w:val="single" w:color="auto" w:sz="4" w:space="0"/>
            </w:tcBorders>
            <w:noWrap/>
            <w:vAlign w:val="center"/>
          </w:tcPr>
          <w:p w14:paraId="2134D356">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 xml:space="preserve">113.59 </w:t>
            </w:r>
          </w:p>
        </w:tc>
        <w:tc>
          <w:tcPr>
            <w:tcW w:w="585" w:type="pct"/>
            <w:tcBorders>
              <w:top w:val="nil"/>
              <w:left w:val="nil"/>
              <w:bottom w:val="single" w:color="auto" w:sz="4" w:space="0"/>
              <w:right w:val="single" w:color="auto" w:sz="4" w:space="0"/>
            </w:tcBorders>
            <w:noWrap/>
            <w:vAlign w:val="center"/>
          </w:tcPr>
          <w:p w14:paraId="64A731E0">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 xml:space="preserve">61.91 </w:t>
            </w:r>
          </w:p>
        </w:tc>
      </w:tr>
      <w:tr w14:paraId="7036D976">
        <w:tblPrEx>
          <w:tblCellMar>
            <w:top w:w="0" w:type="dxa"/>
            <w:left w:w="108" w:type="dxa"/>
            <w:bottom w:w="0" w:type="dxa"/>
            <w:right w:w="108" w:type="dxa"/>
          </w:tblCellMar>
        </w:tblPrEx>
        <w:trPr>
          <w:trHeight w:val="397" w:hRule="atLeast"/>
        </w:trPr>
        <w:tc>
          <w:tcPr>
            <w:tcW w:w="368" w:type="pct"/>
            <w:tcBorders>
              <w:top w:val="nil"/>
              <w:left w:val="single" w:color="auto" w:sz="4" w:space="0"/>
              <w:bottom w:val="single" w:color="auto" w:sz="4" w:space="0"/>
              <w:right w:val="single" w:color="auto" w:sz="4" w:space="0"/>
            </w:tcBorders>
            <w:noWrap/>
            <w:vAlign w:val="center"/>
          </w:tcPr>
          <w:p w14:paraId="664D994F">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14</w:t>
            </w:r>
          </w:p>
        </w:tc>
        <w:tc>
          <w:tcPr>
            <w:tcW w:w="1171" w:type="pct"/>
            <w:tcBorders>
              <w:top w:val="nil"/>
              <w:left w:val="nil"/>
              <w:bottom w:val="single" w:color="auto" w:sz="4" w:space="0"/>
              <w:right w:val="single" w:color="auto" w:sz="4" w:space="0"/>
            </w:tcBorders>
            <w:noWrap/>
            <w:vAlign w:val="center"/>
          </w:tcPr>
          <w:p w14:paraId="3AAEFCAA">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应付优先股利</w:t>
            </w:r>
          </w:p>
        </w:tc>
        <w:tc>
          <w:tcPr>
            <w:tcW w:w="580" w:type="pct"/>
            <w:tcBorders>
              <w:top w:val="nil"/>
              <w:left w:val="nil"/>
              <w:bottom w:val="single" w:color="auto" w:sz="4" w:space="0"/>
              <w:right w:val="single" w:color="auto" w:sz="4" w:space="0"/>
            </w:tcBorders>
            <w:noWrap/>
            <w:vAlign w:val="center"/>
          </w:tcPr>
          <w:p w14:paraId="02F5D326">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0</w:t>
            </w:r>
          </w:p>
        </w:tc>
        <w:tc>
          <w:tcPr>
            <w:tcW w:w="792" w:type="pct"/>
            <w:tcBorders>
              <w:top w:val="nil"/>
              <w:left w:val="nil"/>
              <w:bottom w:val="single" w:color="auto" w:sz="4" w:space="0"/>
              <w:right w:val="single" w:color="auto" w:sz="4" w:space="0"/>
            </w:tcBorders>
            <w:noWrap/>
            <w:vAlign w:val="center"/>
          </w:tcPr>
          <w:p w14:paraId="00B06A3B">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0</w:t>
            </w:r>
          </w:p>
        </w:tc>
        <w:tc>
          <w:tcPr>
            <w:tcW w:w="460" w:type="pct"/>
            <w:tcBorders>
              <w:top w:val="nil"/>
              <w:left w:val="nil"/>
              <w:bottom w:val="single" w:color="auto" w:sz="4" w:space="0"/>
              <w:right w:val="single" w:color="auto" w:sz="4" w:space="0"/>
            </w:tcBorders>
            <w:noWrap/>
            <w:vAlign w:val="center"/>
          </w:tcPr>
          <w:p w14:paraId="17EE2848">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0</w:t>
            </w:r>
          </w:p>
        </w:tc>
        <w:tc>
          <w:tcPr>
            <w:tcW w:w="520" w:type="pct"/>
            <w:tcBorders>
              <w:top w:val="nil"/>
              <w:left w:val="nil"/>
              <w:bottom w:val="single" w:color="auto" w:sz="4" w:space="0"/>
              <w:right w:val="single" w:color="auto" w:sz="4" w:space="0"/>
            </w:tcBorders>
            <w:noWrap/>
            <w:vAlign w:val="center"/>
          </w:tcPr>
          <w:p w14:paraId="5CDDC41B">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0</w:t>
            </w:r>
          </w:p>
        </w:tc>
        <w:tc>
          <w:tcPr>
            <w:tcW w:w="521" w:type="pct"/>
            <w:tcBorders>
              <w:top w:val="nil"/>
              <w:left w:val="nil"/>
              <w:bottom w:val="single" w:color="auto" w:sz="4" w:space="0"/>
              <w:right w:val="single" w:color="auto" w:sz="4" w:space="0"/>
            </w:tcBorders>
            <w:noWrap/>
            <w:vAlign w:val="center"/>
          </w:tcPr>
          <w:p w14:paraId="5301BF48">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0</w:t>
            </w:r>
          </w:p>
        </w:tc>
        <w:tc>
          <w:tcPr>
            <w:tcW w:w="585" w:type="pct"/>
            <w:tcBorders>
              <w:top w:val="nil"/>
              <w:left w:val="nil"/>
              <w:bottom w:val="single" w:color="auto" w:sz="4" w:space="0"/>
              <w:right w:val="single" w:color="auto" w:sz="4" w:space="0"/>
            </w:tcBorders>
            <w:noWrap/>
            <w:vAlign w:val="center"/>
          </w:tcPr>
          <w:p w14:paraId="5420EE07">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0</w:t>
            </w:r>
          </w:p>
        </w:tc>
      </w:tr>
      <w:tr w14:paraId="556C9124">
        <w:tblPrEx>
          <w:tblCellMar>
            <w:top w:w="0" w:type="dxa"/>
            <w:left w:w="108" w:type="dxa"/>
            <w:bottom w:w="0" w:type="dxa"/>
            <w:right w:w="108" w:type="dxa"/>
          </w:tblCellMar>
        </w:tblPrEx>
        <w:trPr>
          <w:trHeight w:val="397" w:hRule="atLeast"/>
        </w:trPr>
        <w:tc>
          <w:tcPr>
            <w:tcW w:w="368" w:type="pct"/>
            <w:tcBorders>
              <w:top w:val="nil"/>
              <w:left w:val="single" w:color="auto" w:sz="4" w:space="0"/>
              <w:bottom w:val="single" w:color="auto" w:sz="4" w:space="0"/>
              <w:right w:val="single" w:color="auto" w:sz="4" w:space="0"/>
            </w:tcBorders>
            <w:noWrap/>
            <w:vAlign w:val="center"/>
          </w:tcPr>
          <w:p w14:paraId="2F200896">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16</w:t>
            </w:r>
          </w:p>
        </w:tc>
        <w:tc>
          <w:tcPr>
            <w:tcW w:w="1171" w:type="pct"/>
            <w:tcBorders>
              <w:top w:val="nil"/>
              <w:left w:val="nil"/>
              <w:bottom w:val="single" w:color="auto" w:sz="4" w:space="0"/>
              <w:right w:val="single" w:color="auto" w:sz="4" w:space="0"/>
            </w:tcBorders>
            <w:noWrap/>
            <w:vAlign w:val="center"/>
          </w:tcPr>
          <w:p w14:paraId="5264AEFE">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投资各方利润分配</w:t>
            </w:r>
          </w:p>
        </w:tc>
        <w:tc>
          <w:tcPr>
            <w:tcW w:w="580" w:type="pct"/>
            <w:tcBorders>
              <w:top w:val="nil"/>
              <w:left w:val="nil"/>
              <w:bottom w:val="single" w:color="auto" w:sz="4" w:space="0"/>
              <w:right w:val="single" w:color="auto" w:sz="4" w:space="0"/>
            </w:tcBorders>
            <w:noWrap/>
            <w:vAlign w:val="center"/>
          </w:tcPr>
          <w:p w14:paraId="697F0EC4">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3570.28</w:t>
            </w:r>
          </w:p>
        </w:tc>
        <w:tc>
          <w:tcPr>
            <w:tcW w:w="792" w:type="pct"/>
            <w:tcBorders>
              <w:top w:val="nil"/>
              <w:left w:val="nil"/>
              <w:bottom w:val="single" w:color="auto" w:sz="4" w:space="0"/>
              <w:right w:val="single" w:color="auto" w:sz="4" w:space="0"/>
            </w:tcBorders>
            <w:noWrap/>
            <w:vAlign w:val="center"/>
          </w:tcPr>
          <w:p w14:paraId="3C35DD0A">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113.59</w:t>
            </w:r>
          </w:p>
        </w:tc>
        <w:tc>
          <w:tcPr>
            <w:tcW w:w="460" w:type="pct"/>
            <w:tcBorders>
              <w:top w:val="nil"/>
              <w:left w:val="nil"/>
              <w:bottom w:val="single" w:color="auto" w:sz="4" w:space="0"/>
              <w:right w:val="single" w:color="auto" w:sz="4" w:space="0"/>
            </w:tcBorders>
            <w:noWrap/>
            <w:vAlign w:val="center"/>
          </w:tcPr>
          <w:p w14:paraId="232ABD57">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50.16</w:t>
            </w:r>
          </w:p>
        </w:tc>
        <w:tc>
          <w:tcPr>
            <w:tcW w:w="520" w:type="pct"/>
            <w:tcBorders>
              <w:top w:val="nil"/>
              <w:left w:val="nil"/>
              <w:bottom w:val="single" w:color="auto" w:sz="4" w:space="0"/>
              <w:right w:val="single" w:color="auto" w:sz="4" w:space="0"/>
            </w:tcBorders>
            <w:noWrap/>
            <w:vAlign w:val="center"/>
          </w:tcPr>
          <w:p w14:paraId="21DF3E35">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113.59</w:t>
            </w:r>
          </w:p>
        </w:tc>
        <w:tc>
          <w:tcPr>
            <w:tcW w:w="521" w:type="pct"/>
            <w:tcBorders>
              <w:top w:val="nil"/>
              <w:left w:val="nil"/>
              <w:bottom w:val="single" w:color="auto" w:sz="4" w:space="0"/>
              <w:right w:val="single" w:color="auto" w:sz="4" w:space="0"/>
            </w:tcBorders>
            <w:noWrap/>
            <w:vAlign w:val="center"/>
          </w:tcPr>
          <w:p w14:paraId="3963342B">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113.59</w:t>
            </w:r>
          </w:p>
        </w:tc>
        <w:tc>
          <w:tcPr>
            <w:tcW w:w="585" w:type="pct"/>
            <w:tcBorders>
              <w:top w:val="nil"/>
              <w:left w:val="nil"/>
              <w:bottom w:val="single" w:color="auto" w:sz="4" w:space="0"/>
              <w:right w:val="single" w:color="auto" w:sz="4" w:space="0"/>
            </w:tcBorders>
            <w:noWrap/>
            <w:vAlign w:val="center"/>
          </w:tcPr>
          <w:p w14:paraId="4BCDF176">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 xml:space="preserve">61.91 </w:t>
            </w:r>
          </w:p>
        </w:tc>
      </w:tr>
      <w:tr w14:paraId="3BA541F5">
        <w:tblPrEx>
          <w:tblCellMar>
            <w:top w:w="0" w:type="dxa"/>
            <w:left w:w="108" w:type="dxa"/>
            <w:bottom w:w="0" w:type="dxa"/>
            <w:right w:w="108" w:type="dxa"/>
          </w:tblCellMar>
        </w:tblPrEx>
        <w:trPr>
          <w:trHeight w:val="397" w:hRule="atLeast"/>
        </w:trPr>
        <w:tc>
          <w:tcPr>
            <w:tcW w:w="368" w:type="pct"/>
            <w:tcBorders>
              <w:top w:val="nil"/>
              <w:left w:val="single" w:color="auto" w:sz="4" w:space="0"/>
              <w:bottom w:val="single" w:color="auto" w:sz="4" w:space="0"/>
              <w:right w:val="single" w:color="auto" w:sz="4" w:space="0"/>
            </w:tcBorders>
            <w:noWrap/>
            <w:vAlign w:val="center"/>
          </w:tcPr>
          <w:p w14:paraId="0F895CA1">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17</w:t>
            </w:r>
          </w:p>
        </w:tc>
        <w:tc>
          <w:tcPr>
            <w:tcW w:w="1171" w:type="pct"/>
            <w:tcBorders>
              <w:top w:val="nil"/>
              <w:left w:val="nil"/>
              <w:bottom w:val="single" w:color="auto" w:sz="4" w:space="0"/>
              <w:right w:val="single" w:color="auto" w:sz="4" w:space="0"/>
            </w:tcBorders>
            <w:noWrap/>
            <w:vAlign w:val="center"/>
          </w:tcPr>
          <w:p w14:paraId="02BE7FC2">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未分配利润</w:t>
            </w:r>
          </w:p>
        </w:tc>
        <w:tc>
          <w:tcPr>
            <w:tcW w:w="580" w:type="pct"/>
            <w:tcBorders>
              <w:top w:val="nil"/>
              <w:left w:val="nil"/>
              <w:bottom w:val="single" w:color="auto" w:sz="4" w:space="0"/>
              <w:right w:val="single" w:color="auto" w:sz="4" w:space="0"/>
            </w:tcBorders>
            <w:noWrap/>
            <w:vAlign w:val="center"/>
          </w:tcPr>
          <w:p w14:paraId="6666399C">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0</w:t>
            </w:r>
          </w:p>
        </w:tc>
        <w:tc>
          <w:tcPr>
            <w:tcW w:w="792" w:type="pct"/>
            <w:tcBorders>
              <w:top w:val="nil"/>
              <w:left w:val="nil"/>
              <w:bottom w:val="single" w:color="auto" w:sz="4" w:space="0"/>
              <w:right w:val="single" w:color="auto" w:sz="4" w:space="0"/>
            </w:tcBorders>
            <w:noWrap/>
            <w:vAlign w:val="center"/>
          </w:tcPr>
          <w:p w14:paraId="4FEC6B31">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0</w:t>
            </w:r>
          </w:p>
        </w:tc>
        <w:tc>
          <w:tcPr>
            <w:tcW w:w="460" w:type="pct"/>
            <w:tcBorders>
              <w:top w:val="nil"/>
              <w:left w:val="nil"/>
              <w:bottom w:val="single" w:color="auto" w:sz="4" w:space="0"/>
              <w:right w:val="single" w:color="auto" w:sz="4" w:space="0"/>
            </w:tcBorders>
            <w:noWrap/>
            <w:vAlign w:val="center"/>
          </w:tcPr>
          <w:p w14:paraId="42A72C13">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0</w:t>
            </w:r>
          </w:p>
        </w:tc>
        <w:tc>
          <w:tcPr>
            <w:tcW w:w="520" w:type="pct"/>
            <w:tcBorders>
              <w:top w:val="nil"/>
              <w:left w:val="nil"/>
              <w:bottom w:val="single" w:color="auto" w:sz="4" w:space="0"/>
              <w:right w:val="single" w:color="auto" w:sz="4" w:space="0"/>
            </w:tcBorders>
            <w:noWrap/>
            <w:vAlign w:val="center"/>
          </w:tcPr>
          <w:p w14:paraId="6F26A6F0">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0</w:t>
            </w:r>
          </w:p>
        </w:tc>
        <w:tc>
          <w:tcPr>
            <w:tcW w:w="521" w:type="pct"/>
            <w:tcBorders>
              <w:top w:val="nil"/>
              <w:left w:val="nil"/>
              <w:bottom w:val="single" w:color="auto" w:sz="4" w:space="0"/>
              <w:right w:val="single" w:color="auto" w:sz="4" w:space="0"/>
            </w:tcBorders>
            <w:noWrap/>
            <w:vAlign w:val="center"/>
          </w:tcPr>
          <w:p w14:paraId="06BD5589">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0</w:t>
            </w:r>
          </w:p>
        </w:tc>
        <w:tc>
          <w:tcPr>
            <w:tcW w:w="585" w:type="pct"/>
            <w:tcBorders>
              <w:top w:val="nil"/>
              <w:left w:val="nil"/>
              <w:bottom w:val="single" w:color="auto" w:sz="4" w:space="0"/>
              <w:right w:val="single" w:color="auto" w:sz="4" w:space="0"/>
            </w:tcBorders>
            <w:noWrap/>
            <w:vAlign w:val="center"/>
          </w:tcPr>
          <w:p w14:paraId="676F8336">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21</w:t>
            </w:r>
          </w:p>
        </w:tc>
      </w:tr>
      <w:tr w14:paraId="3A682981">
        <w:tblPrEx>
          <w:tblCellMar>
            <w:top w:w="0" w:type="dxa"/>
            <w:left w:w="108" w:type="dxa"/>
            <w:bottom w:w="0" w:type="dxa"/>
            <w:right w:w="108" w:type="dxa"/>
          </w:tblCellMar>
        </w:tblPrEx>
        <w:trPr>
          <w:trHeight w:val="397" w:hRule="atLeast"/>
        </w:trPr>
        <w:tc>
          <w:tcPr>
            <w:tcW w:w="368" w:type="pct"/>
            <w:tcBorders>
              <w:top w:val="nil"/>
              <w:left w:val="single" w:color="auto" w:sz="4" w:space="0"/>
              <w:bottom w:val="single" w:color="auto" w:sz="4" w:space="0"/>
              <w:right w:val="single" w:color="auto" w:sz="4" w:space="0"/>
            </w:tcBorders>
            <w:noWrap/>
            <w:vAlign w:val="center"/>
          </w:tcPr>
          <w:p w14:paraId="62AADF2E">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18</w:t>
            </w:r>
          </w:p>
        </w:tc>
        <w:tc>
          <w:tcPr>
            <w:tcW w:w="1171" w:type="pct"/>
            <w:tcBorders>
              <w:top w:val="nil"/>
              <w:left w:val="nil"/>
              <w:bottom w:val="single" w:color="auto" w:sz="4" w:space="0"/>
              <w:right w:val="single" w:color="auto" w:sz="4" w:space="0"/>
            </w:tcBorders>
            <w:noWrap/>
            <w:vAlign w:val="center"/>
          </w:tcPr>
          <w:p w14:paraId="0C952588">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息税前利润</w:t>
            </w:r>
          </w:p>
        </w:tc>
        <w:tc>
          <w:tcPr>
            <w:tcW w:w="580" w:type="pct"/>
            <w:tcBorders>
              <w:top w:val="nil"/>
              <w:left w:val="nil"/>
              <w:bottom w:val="single" w:color="auto" w:sz="4" w:space="0"/>
              <w:right w:val="single" w:color="auto" w:sz="4" w:space="0"/>
            </w:tcBorders>
            <w:noWrap/>
            <w:vAlign w:val="center"/>
          </w:tcPr>
          <w:p w14:paraId="73ABE916">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5341.77</w:t>
            </w:r>
          </w:p>
        </w:tc>
        <w:tc>
          <w:tcPr>
            <w:tcW w:w="792" w:type="pct"/>
            <w:tcBorders>
              <w:top w:val="nil"/>
              <w:left w:val="nil"/>
              <w:bottom w:val="single" w:color="auto" w:sz="4" w:space="0"/>
              <w:right w:val="single" w:color="auto" w:sz="4" w:space="0"/>
            </w:tcBorders>
            <w:noWrap/>
            <w:vAlign w:val="center"/>
          </w:tcPr>
          <w:p w14:paraId="6FCB0CA4">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170.40</w:t>
            </w:r>
          </w:p>
        </w:tc>
        <w:tc>
          <w:tcPr>
            <w:tcW w:w="460" w:type="pct"/>
            <w:tcBorders>
              <w:top w:val="nil"/>
              <w:left w:val="nil"/>
              <w:bottom w:val="single" w:color="auto" w:sz="4" w:space="0"/>
              <w:right w:val="single" w:color="auto" w:sz="4" w:space="0"/>
            </w:tcBorders>
            <w:noWrap/>
            <w:vAlign w:val="center"/>
          </w:tcPr>
          <w:p w14:paraId="2F082EC2">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76.43</w:t>
            </w:r>
          </w:p>
        </w:tc>
        <w:tc>
          <w:tcPr>
            <w:tcW w:w="520" w:type="pct"/>
            <w:tcBorders>
              <w:top w:val="nil"/>
              <w:left w:val="nil"/>
              <w:bottom w:val="single" w:color="auto" w:sz="4" w:space="0"/>
              <w:right w:val="single" w:color="auto" w:sz="4" w:space="0"/>
            </w:tcBorders>
            <w:noWrap/>
            <w:vAlign w:val="center"/>
          </w:tcPr>
          <w:p w14:paraId="48E0AC39">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170.40</w:t>
            </w:r>
          </w:p>
        </w:tc>
        <w:tc>
          <w:tcPr>
            <w:tcW w:w="521" w:type="pct"/>
            <w:tcBorders>
              <w:top w:val="nil"/>
              <w:left w:val="nil"/>
              <w:bottom w:val="single" w:color="auto" w:sz="4" w:space="0"/>
              <w:right w:val="single" w:color="auto" w:sz="4" w:space="0"/>
            </w:tcBorders>
            <w:noWrap/>
            <w:vAlign w:val="center"/>
          </w:tcPr>
          <w:p w14:paraId="5DC4DDF7">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170.40</w:t>
            </w:r>
          </w:p>
        </w:tc>
        <w:tc>
          <w:tcPr>
            <w:tcW w:w="585" w:type="pct"/>
            <w:tcBorders>
              <w:top w:val="nil"/>
              <w:left w:val="nil"/>
              <w:bottom w:val="single" w:color="auto" w:sz="4" w:space="0"/>
              <w:right w:val="single" w:color="auto" w:sz="4" w:space="0"/>
            </w:tcBorders>
            <w:noWrap/>
            <w:vAlign w:val="center"/>
          </w:tcPr>
          <w:p w14:paraId="2AC66277">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121.23</w:t>
            </w:r>
          </w:p>
        </w:tc>
      </w:tr>
      <w:tr w14:paraId="52F84611">
        <w:tblPrEx>
          <w:tblCellMar>
            <w:top w:w="0" w:type="dxa"/>
            <w:left w:w="108" w:type="dxa"/>
            <w:bottom w:w="0" w:type="dxa"/>
            <w:right w:w="108" w:type="dxa"/>
          </w:tblCellMar>
        </w:tblPrEx>
        <w:trPr>
          <w:trHeight w:val="397" w:hRule="atLeast"/>
        </w:trPr>
        <w:tc>
          <w:tcPr>
            <w:tcW w:w="368" w:type="pct"/>
            <w:tcBorders>
              <w:top w:val="nil"/>
              <w:left w:val="single" w:color="auto" w:sz="4" w:space="0"/>
              <w:bottom w:val="single" w:color="auto" w:sz="4" w:space="0"/>
              <w:right w:val="single" w:color="auto" w:sz="4" w:space="0"/>
            </w:tcBorders>
            <w:noWrap/>
            <w:vAlign w:val="center"/>
          </w:tcPr>
          <w:p w14:paraId="28E8E623">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19</w:t>
            </w:r>
          </w:p>
        </w:tc>
        <w:tc>
          <w:tcPr>
            <w:tcW w:w="1171" w:type="pct"/>
            <w:tcBorders>
              <w:top w:val="nil"/>
              <w:left w:val="nil"/>
              <w:bottom w:val="single" w:color="auto" w:sz="4" w:space="0"/>
              <w:right w:val="single" w:color="auto" w:sz="4" w:space="0"/>
            </w:tcBorders>
            <w:noWrap/>
            <w:vAlign w:val="center"/>
          </w:tcPr>
          <w:p w14:paraId="29633353">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息税折旧摊销前利润</w:t>
            </w:r>
          </w:p>
        </w:tc>
        <w:tc>
          <w:tcPr>
            <w:tcW w:w="580" w:type="pct"/>
            <w:tcBorders>
              <w:top w:val="nil"/>
              <w:left w:val="nil"/>
              <w:bottom w:val="single" w:color="auto" w:sz="4" w:space="0"/>
              <w:right w:val="single" w:color="auto" w:sz="4" w:space="0"/>
            </w:tcBorders>
            <w:noWrap/>
            <w:vAlign w:val="center"/>
          </w:tcPr>
          <w:p w14:paraId="026A686E">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5618.61</w:t>
            </w:r>
          </w:p>
        </w:tc>
        <w:tc>
          <w:tcPr>
            <w:tcW w:w="792" w:type="pct"/>
            <w:tcBorders>
              <w:top w:val="nil"/>
              <w:left w:val="nil"/>
              <w:bottom w:val="single" w:color="auto" w:sz="4" w:space="0"/>
              <w:right w:val="single" w:color="auto" w:sz="4" w:space="0"/>
            </w:tcBorders>
            <w:noWrap/>
            <w:vAlign w:val="center"/>
          </w:tcPr>
          <w:p w14:paraId="262D7E08">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182.05</w:t>
            </w:r>
          </w:p>
        </w:tc>
        <w:tc>
          <w:tcPr>
            <w:tcW w:w="460" w:type="pct"/>
            <w:tcBorders>
              <w:top w:val="nil"/>
              <w:left w:val="nil"/>
              <w:bottom w:val="single" w:color="auto" w:sz="4" w:space="0"/>
              <w:right w:val="single" w:color="auto" w:sz="4" w:space="0"/>
            </w:tcBorders>
            <w:noWrap/>
            <w:vAlign w:val="center"/>
          </w:tcPr>
          <w:p w14:paraId="756AB38F">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76.43</w:t>
            </w:r>
          </w:p>
        </w:tc>
        <w:tc>
          <w:tcPr>
            <w:tcW w:w="520" w:type="pct"/>
            <w:tcBorders>
              <w:top w:val="nil"/>
              <w:left w:val="nil"/>
              <w:bottom w:val="single" w:color="auto" w:sz="4" w:space="0"/>
              <w:right w:val="single" w:color="auto" w:sz="4" w:space="0"/>
            </w:tcBorders>
            <w:noWrap/>
            <w:vAlign w:val="center"/>
          </w:tcPr>
          <w:p w14:paraId="0A00E857">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182.05</w:t>
            </w:r>
          </w:p>
        </w:tc>
        <w:tc>
          <w:tcPr>
            <w:tcW w:w="521" w:type="pct"/>
            <w:tcBorders>
              <w:top w:val="nil"/>
              <w:left w:val="nil"/>
              <w:bottom w:val="single" w:color="auto" w:sz="4" w:space="0"/>
              <w:right w:val="single" w:color="auto" w:sz="4" w:space="0"/>
            </w:tcBorders>
            <w:noWrap/>
            <w:vAlign w:val="center"/>
          </w:tcPr>
          <w:p w14:paraId="2F0512F3">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182.05</w:t>
            </w:r>
          </w:p>
        </w:tc>
        <w:tc>
          <w:tcPr>
            <w:tcW w:w="585" w:type="pct"/>
            <w:tcBorders>
              <w:top w:val="nil"/>
              <w:left w:val="nil"/>
              <w:bottom w:val="single" w:color="auto" w:sz="4" w:space="0"/>
              <w:right w:val="single" w:color="auto" w:sz="4" w:space="0"/>
            </w:tcBorders>
            <w:noWrap/>
            <w:vAlign w:val="center"/>
          </w:tcPr>
          <w:p w14:paraId="5004997F">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130.15</w:t>
            </w:r>
          </w:p>
        </w:tc>
      </w:tr>
      <w:tr w14:paraId="04B7B2C0">
        <w:tblPrEx>
          <w:tblCellMar>
            <w:top w:w="0" w:type="dxa"/>
            <w:left w:w="108" w:type="dxa"/>
            <w:bottom w:w="0" w:type="dxa"/>
            <w:right w:w="108" w:type="dxa"/>
          </w:tblCellMar>
        </w:tblPrEx>
        <w:trPr>
          <w:trHeight w:val="397" w:hRule="atLeast"/>
        </w:trPr>
        <w:tc>
          <w:tcPr>
            <w:tcW w:w="368" w:type="pct"/>
            <w:tcBorders>
              <w:top w:val="nil"/>
              <w:left w:val="single" w:color="auto" w:sz="4" w:space="0"/>
              <w:bottom w:val="single" w:color="auto" w:sz="4" w:space="0"/>
              <w:right w:val="single" w:color="auto" w:sz="4" w:space="0"/>
            </w:tcBorders>
            <w:noWrap/>
            <w:vAlign w:val="center"/>
          </w:tcPr>
          <w:p w14:paraId="366F7FD9">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20</w:t>
            </w:r>
          </w:p>
        </w:tc>
        <w:tc>
          <w:tcPr>
            <w:tcW w:w="1171" w:type="pct"/>
            <w:tcBorders>
              <w:top w:val="nil"/>
              <w:left w:val="nil"/>
              <w:bottom w:val="single" w:color="auto" w:sz="4" w:space="0"/>
              <w:right w:val="single" w:color="auto" w:sz="4" w:space="0"/>
            </w:tcBorders>
            <w:noWrap/>
            <w:vAlign w:val="center"/>
          </w:tcPr>
          <w:p w14:paraId="579F857D">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累积未分配利润</w:t>
            </w:r>
          </w:p>
        </w:tc>
        <w:tc>
          <w:tcPr>
            <w:tcW w:w="580" w:type="pct"/>
            <w:tcBorders>
              <w:top w:val="nil"/>
              <w:left w:val="nil"/>
              <w:bottom w:val="single" w:color="auto" w:sz="4" w:space="0"/>
              <w:right w:val="single" w:color="auto" w:sz="4" w:space="0"/>
            </w:tcBorders>
            <w:noWrap/>
            <w:vAlign w:val="center"/>
          </w:tcPr>
          <w:p w14:paraId="25F86354">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p>
        </w:tc>
        <w:tc>
          <w:tcPr>
            <w:tcW w:w="792" w:type="pct"/>
            <w:tcBorders>
              <w:top w:val="nil"/>
              <w:left w:val="nil"/>
              <w:bottom w:val="single" w:color="auto" w:sz="4" w:space="0"/>
              <w:right w:val="single" w:color="auto" w:sz="4" w:space="0"/>
            </w:tcBorders>
            <w:noWrap/>
            <w:vAlign w:val="center"/>
          </w:tcPr>
          <w:p w14:paraId="197BB66B">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p>
        </w:tc>
        <w:tc>
          <w:tcPr>
            <w:tcW w:w="460" w:type="pct"/>
            <w:tcBorders>
              <w:top w:val="nil"/>
              <w:left w:val="nil"/>
              <w:bottom w:val="single" w:color="auto" w:sz="4" w:space="0"/>
              <w:right w:val="single" w:color="auto" w:sz="4" w:space="0"/>
            </w:tcBorders>
            <w:noWrap/>
            <w:vAlign w:val="center"/>
          </w:tcPr>
          <w:p w14:paraId="79F3C9C2">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p>
        </w:tc>
        <w:tc>
          <w:tcPr>
            <w:tcW w:w="520" w:type="pct"/>
            <w:tcBorders>
              <w:top w:val="nil"/>
              <w:left w:val="nil"/>
              <w:bottom w:val="single" w:color="auto" w:sz="4" w:space="0"/>
              <w:right w:val="single" w:color="auto" w:sz="4" w:space="0"/>
            </w:tcBorders>
            <w:noWrap/>
            <w:vAlign w:val="center"/>
          </w:tcPr>
          <w:p w14:paraId="09AA13F9">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p>
        </w:tc>
        <w:tc>
          <w:tcPr>
            <w:tcW w:w="521" w:type="pct"/>
            <w:tcBorders>
              <w:top w:val="nil"/>
              <w:left w:val="nil"/>
              <w:bottom w:val="single" w:color="auto" w:sz="4" w:space="0"/>
              <w:right w:val="single" w:color="auto" w:sz="4" w:space="0"/>
            </w:tcBorders>
            <w:noWrap/>
            <w:vAlign w:val="center"/>
          </w:tcPr>
          <w:p w14:paraId="0F2A2564">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p>
        </w:tc>
        <w:tc>
          <w:tcPr>
            <w:tcW w:w="585" w:type="pct"/>
            <w:tcBorders>
              <w:top w:val="nil"/>
              <w:left w:val="nil"/>
              <w:bottom w:val="single" w:color="auto" w:sz="4" w:space="0"/>
              <w:right w:val="single" w:color="auto" w:sz="4" w:space="0"/>
            </w:tcBorders>
            <w:noWrap/>
            <w:vAlign w:val="center"/>
          </w:tcPr>
          <w:p w14:paraId="2807D1F8">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p>
        </w:tc>
      </w:tr>
      <w:tr w14:paraId="063DB4C9">
        <w:tblPrEx>
          <w:tblCellMar>
            <w:top w:w="0" w:type="dxa"/>
            <w:left w:w="108" w:type="dxa"/>
            <w:bottom w:w="0" w:type="dxa"/>
            <w:right w:w="108" w:type="dxa"/>
          </w:tblCellMar>
        </w:tblPrEx>
        <w:trPr>
          <w:trHeight w:val="397" w:hRule="atLeast"/>
        </w:trPr>
        <w:tc>
          <w:tcPr>
            <w:tcW w:w="1540" w:type="pct"/>
            <w:gridSpan w:val="2"/>
            <w:tcBorders>
              <w:top w:val="single" w:color="auto" w:sz="4" w:space="0"/>
              <w:left w:val="single" w:color="auto" w:sz="4" w:space="0"/>
              <w:bottom w:val="single" w:color="auto" w:sz="4" w:space="0"/>
              <w:right w:val="single" w:color="000000" w:sz="4" w:space="0"/>
            </w:tcBorders>
            <w:noWrap/>
            <w:vAlign w:val="center"/>
          </w:tcPr>
          <w:p w14:paraId="106A4658">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计算指标</w:t>
            </w:r>
          </w:p>
        </w:tc>
        <w:tc>
          <w:tcPr>
            <w:tcW w:w="580" w:type="pct"/>
            <w:tcBorders>
              <w:top w:val="nil"/>
              <w:left w:val="nil"/>
              <w:bottom w:val="single" w:color="auto" w:sz="4" w:space="0"/>
              <w:right w:val="single" w:color="auto" w:sz="4" w:space="0"/>
            </w:tcBorders>
            <w:noWrap/>
            <w:vAlign w:val="center"/>
          </w:tcPr>
          <w:p w14:paraId="1BECFE37">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p>
        </w:tc>
        <w:tc>
          <w:tcPr>
            <w:tcW w:w="792" w:type="pct"/>
            <w:tcBorders>
              <w:top w:val="nil"/>
              <w:left w:val="nil"/>
              <w:bottom w:val="single" w:color="auto" w:sz="4" w:space="0"/>
              <w:right w:val="single" w:color="auto" w:sz="4" w:space="0"/>
            </w:tcBorders>
            <w:noWrap/>
            <w:vAlign w:val="center"/>
          </w:tcPr>
          <w:p w14:paraId="3BA8AB25">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p>
        </w:tc>
        <w:tc>
          <w:tcPr>
            <w:tcW w:w="460" w:type="pct"/>
            <w:tcBorders>
              <w:top w:val="nil"/>
              <w:left w:val="nil"/>
              <w:bottom w:val="single" w:color="auto" w:sz="4" w:space="0"/>
              <w:right w:val="single" w:color="auto" w:sz="4" w:space="0"/>
            </w:tcBorders>
            <w:noWrap/>
            <w:vAlign w:val="center"/>
          </w:tcPr>
          <w:p w14:paraId="0ACD55CD">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p>
        </w:tc>
        <w:tc>
          <w:tcPr>
            <w:tcW w:w="520" w:type="pct"/>
            <w:tcBorders>
              <w:top w:val="nil"/>
              <w:left w:val="nil"/>
              <w:bottom w:val="single" w:color="auto" w:sz="4" w:space="0"/>
              <w:right w:val="single" w:color="auto" w:sz="4" w:space="0"/>
            </w:tcBorders>
            <w:noWrap/>
            <w:vAlign w:val="center"/>
          </w:tcPr>
          <w:p w14:paraId="686D3A15">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p>
        </w:tc>
        <w:tc>
          <w:tcPr>
            <w:tcW w:w="521" w:type="pct"/>
            <w:tcBorders>
              <w:top w:val="nil"/>
              <w:left w:val="nil"/>
              <w:bottom w:val="single" w:color="auto" w:sz="4" w:space="0"/>
              <w:right w:val="single" w:color="auto" w:sz="4" w:space="0"/>
            </w:tcBorders>
            <w:noWrap/>
            <w:vAlign w:val="center"/>
          </w:tcPr>
          <w:p w14:paraId="161CA4AD">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p>
        </w:tc>
        <w:tc>
          <w:tcPr>
            <w:tcW w:w="585" w:type="pct"/>
            <w:tcBorders>
              <w:top w:val="nil"/>
              <w:left w:val="nil"/>
              <w:bottom w:val="single" w:color="auto" w:sz="4" w:space="0"/>
              <w:right w:val="single" w:color="auto" w:sz="4" w:space="0"/>
            </w:tcBorders>
            <w:noWrap/>
            <w:vAlign w:val="center"/>
          </w:tcPr>
          <w:p w14:paraId="4F6E3D61">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p>
        </w:tc>
      </w:tr>
      <w:tr w14:paraId="4A3184EE">
        <w:tblPrEx>
          <w:tblCellMar>
            <w:top w:w="0" w:type="dxa"/>
            <w:left w:w="108" w:type="dxa"/>
            <w:bottom w:w="0" w:type="dxa"/>
            <w:right w:w="108" w:type="dxa"/>
          </w:tblCellMar>
        </w:tblPrEx>
        <w:trPr>
          <w:trHeight w:val="397" w:hRule="atLeast"/>
        </w:trPr>
        <w:tc>
          <w:tcPr>
            <w:tcW w:w="1540" w:type="pct"/>
            <w:gridSpan w:val="2"/>
            <w:tcBorders>
              <w:top w:val="single" w:color="auto" w:sz="4" w:space="0"/>
              <w:left w:val="single" w:color="auto" w:sz="4" w:space="0"/>
              <w:bottom w:val="single" w:color="auto" w:sz="4" w:space="0"/>
              <w:right w:val="single" w:color="000000" w:sz="4" w:space="0"/>
            </w:tcBorders>
            <w:noWrap/>
            <w:vAlign w:val="center"/>
          </w:tcPr>
          <w:p w14:paraId="3FB36951">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总投资收益率</w:t>
            </w:r>
          </w:p>
        </w:tc>
        <w:tc>
          <w:tcPr>
            <w:tcW w:w="580" w:type="pct"/>
            <w:tcBorders>
              <w:top w:val="nil"/>
              <w:left w:val="nil"/>
              <w:bottom w:val="single" w:color="auto" w:sz="4" w:space="0"/>
              <w:right w:val="single" w:color="auto" w:sz="4" w:space="0"/>
            </w:tcBorders>
            <w:noWrap/>
            <w:vAlign w:val="center"/>
          </w:tcPr>
          <w:p w14:paraId="39320F51">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22.22</w:t>
            </w:r>
          </w:p>
        </w:tc>
        <w:tc>
          <w:tcPr>
            <w:tcW w:w="792" w:type="pct"/>
            <w:tcBorders>
              <w:top w:val="nil"/>
              <w:left w:val="nil"/>
              <w:bottom w:val="single" w:color="auto" w:sz="4" w:space="0"/>
              <w:right w:val="single" w:color="auto" w:sz="4" w:space="0"/>
            </w:tcBorders>
            <w:noWrap/>
            <w:vAlign w:val="center"/>
          </w:tcPr>
          <w:p w14:paraId="75C5195D">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%（年平均）</w:t>
            </w:r>
          </w:p>
        </w:tc>
        <w:tc>
          <w:tcPr>
            <w:tcW w:w="460" w:type="pct"/>
            <w:tcBorders>
              <w:top w:val="nil"/>
              <w:left w:val="nil"/>
              <w:bottom w:val="single" w:color="auto" w:sz="4" w:space="0"/>
              <w:right w:val="single" w:color="auto" w:sz="4" w:space="0"/>
            </w:tcBorders>
            <w:noWrap/>
            <w:vAlign w:val="center"/>
          </w:tcPr>
          <w:p w14:paraId="2676012D">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p>
        </w:tc>
        <w:tc>
          <w:tcPr>
            <w:tcW w:w="520" w:type="pct"/>
            <w:tcBorders>
              <w:top w:val="nil"/>
              <w:left w:val="nil"/>
              <w:bottom w:val="single" w:color="auto" w:sz="4" w:space="0"/>
              <w:right w:val="single" w:color="auto" w:sz="4" w:space="0"/>
            </w:tcBorders>
            <w:noWrap/>
            <w:vAlign w:val="center"/>
          </w:tcPr>
          <w:p w14:paraId="3DAC6238">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p>
        </w:tc>
        <w:tc>
          <w:tcPr>
            <w:tcW w:w="521" w:type="pct"/>
            <w:tcBorders>
              <w:top w:val="nil"/>
              <w:left w:val="nil"/>
              <w:bottom w:val="single" w:color="auto" w:sz="4" w:space="0"/>
              <w:right w:val="single" w:color="auto" w:sz="4" w:space="0"/>
            </w:tcBorders>
            <w:noWrap/>
            <w:vAlign w:val="center"/>
          </w:tcPr>
          <w:p w14:paraId="3D9CE6C4">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p>
        </w:tc>
        <w:tc>
          <w:tcPr>
            <w:tcW w:w="585" w:type="pct"/>
            <w:tcBorders>
              <w:top w:val="nil"/>
              <w:left w:val="nil"/>
              <w:bottom w:val="single" w:color="auto" w:sz="4" w:space="0"/>
              <w:right w:val="single" w:color="auto" w:sz="4" w:space="0"/>
            </w:tcBorders>
            <w:noWrap/>
            <w:vAlign w:val="center"/>
          </w:tcPr>
          <w:p w14:paraId="52533283">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p>
        </w:tc>
      </w:tr>
      <w:tr w14:paraId="77B2259E">
        <w:tblPrEx>
          <w:tblCellMar>
            <w:top w:w="0" w:type="dxa"/>
            <w:left w:w="108" w:type="dxa"/>
            <w:bottom w:w="0" w:type="dxa"/>
            <w:right w:w="108" w:type="dxa"/>
          </w:tblCellMar>
        </w:tblPrEx>
        <w:trPr>
          <w:trHeight w:val="397" w:hRule="atLeast"/>
        </w:trPr>
        <w:tc>
          <w:tcPr>
            <w:tcW w:w="1540" w:type="pct"/>
            <w:gridSpan w:val="2"/>
            <w:tcBorders>
              <w:top w:val="single" w:color="auto" w:sz="4" w:space="0"/>
              <w:left w:val="single" w:color="auto" w:sz="4" w:space="0"/>
              <w:bottom w:val="single" w:color="auto" w:sz="4" w:space="0"/>
              <w:right w:val="single" w:color="000000" w:sz="4" w:space="0"/>
            </w:tcBorders>
            <w:noWrap/>
            <w:vAlign w:val="center"/>
          </w:tcPr>
          <w:p w14:paraId="3EE8229F">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资本金净利润率</w:t>
            </w:r>
          </w:p>
        </w:tc>
        <w:tc>
          <w:tcPr>
            <w:tcW w:w="580" w:type="pct"/>
            <w:tcBorders>
              <w:top w:val="nil"/>
              <w:left w:val="nil"/>
              <w:bottom w:val="single" w:color="auto" w:sz="4" w:space="0"/>
              <w:right w:val="single" w:color="auto" w:sz="4" w:space="0"/>
            </w:tcBorders>
            <w:noWrap/>
            <w:vAlign w:val="center"/>
          </w:tcPr>
          <w:p w14:paraId="2D87A13E">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17.81</w:t>
            </w:r>
          </w:p>
        </w:tc>
        <w:tc>
          <w:tcPr>
            <w:tcW w:w="792" w:type="pct"/>
            <w:tcBorders>
              <w:top w:val="nil"/>
              <w:left w:val="nil"/>
              <w:bottom w:val="single" w:color="auto" w:sz="4" w:space="0"/>
              <w:right w:val="single" w:color="auto" w:sz="4" w:space="0"/>
            </w:tcBorders>
            <w:noWrap/>
            <w:vAlign w:val="center"/>
          </w:tcPr>
          <w:p w14:paraId="52238611">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%（年平均）</w:t>
            </w:r>
          </w:p>
        </w:tc>
        <w:tc>
          <w:tcPr>
            <w:tcW w:w="460" w:type="pct"/>
            <w:tcBorders>
              <w:top w:val="nil"/>
              <w:left w:val="nil"/>
              <w:bottom w:val="single" w:color="auto" w:sz="4" w:space="0"/>
              <w:right w:val="single" w:color="auto" w:sz="4" w:space="0"/>
            </w:tcBorders>
            <w:noWrap/>
            <w:vAlign w:val="center"/>
          </w:tcPr>
          <w:p w14:paraId="5196A3C7">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p>
        </w:tc>
        <w:tc>
          <w:tcPr>
            <w:tcW w:w="520" w:type="pct"/>
            <w:tcBorders>
              <w:top w:val="nil"/>
              <w:left w:val="nil"/>
              <w:bottom w:val="single" w:color="auto" w:sz="4" w:space="0"/>
              <w:right w:val="single" w:color="auto" w:sz="4" w:space="0"/>
            </w:tcBorders>
            <w:noWrap/>
            <w:vAlign w:val="center"/>
          </w:tcPr>
          <w:p w14:paraId="6B2F6EB9">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p>
        </w:tc>
        <w:tc>
          <w:tcPr>
            <w:tcW w:w="521" w:type="pct"/>
            <w:tcBorders>
              <w:top w:val="nil"/>
              <w:left w:val="nil"/>
              <w:bottom w:val="single" w:color="auto" w:sz="4" w:space="0"/>
              <w:right w:val="single" w:color="auto" w:sz="4" w:space="0"/>
            </w:tcBorders>
            <w:noWrap/>
            <w:vAlign w:val="center"/>
          </w:tcPr>
          <w:p w14:paraId="45B26DCF">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p>
        </w:tc>
        <w:tc>
          <w:tcPr>
            <w:tcW w:w="585" w:type="pct"/>
            <w:tcBorders>
              <w:top w:val="nil"/>
              <w:left w:val="nil"/>
              <w:bottom w:val="single" w:color="auto" w:sz="4" w:space="0"/>
              <w:right w:val="single" w:color="auto" w:sz="4" w:space="0"/>
            </w:tcBorders>
            <w:noWrap/>
            <w:vAlign w:val="center"/>
          </w:tcPr>
          <w:p w14:paraId="672DF563">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p>
        </w:tc>
      </w:tr>
    </w:tbl>
    <w:p w14:paraId="6021C86A">
      <w:pPr>
        <w:spacing w:line="360" w:lineRule="auto"/>
        <w:ind w:firstLine="562" w:firstLineChars="200"/>
        <w:rPr>
          <w:rFonts w:hint="default"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3、</w:t>
      </w:r>
      <w:bookmarkEnd w:id="359"/>
      <w:bookmarkEnd w:id="360"/>
      <w:bookmarkEnd w:id="361"/>
      <w:bookmarkEnd w:id="362"/>
      <w:bookmarkEnd w:id="363"/>
      <w:bookmarkEnd w:id="364"/>
      <w:bookmarkEnd w:id="365"/>
      <w:bookmarkEnd w:id="366"/>
      <w:r>
        <w:rPr>
          <w:rFonts w:hint="default" w:ascii="Times New Roman" w:hAnsi="Times New Roman" w:cs="Times New Roman"/>
          <w:b/>
          <w:bCs/>
          <w:sz w:val="28"/>
          <w:szCs w:val="28"/>
          <w:lang w:val="en-US" w:eastAsia="zh-CN"/>
        </w:rPr>
        <w:t>盈利能力分析</w:t>
      </w:r>
    </w:p>
    <w:bookmarkEnd w:id="367"/>
    <w:bookmarkEnd w:id="368"/>
    <w:bookmarkEnd w:id="369"/>
    <w:bookmarkEnd w:id="370"/>
    <w:p w14:paraId="2D647C04">
      <w:pPr>
        <w:adjustRightInd w:val="0"/>
        <w:snapToGrid w:val="0"/>
        <w:spacing w:line="360" w:lineRule="auto"/>
        <w:ind w:firstLine="560" w:firstLineChars="200"/>
        <w:rPr>
          <w:rFonts w:hint="default" w:ascii="Times New Roman" w:hAnsi="Times New Roman" w:cs="Times New Roman"/>
          <w:sz w:val="28"/>
          <w:szCs w:val="28"/>
        </w:rPr>
      </w:pPr>
      <w:r>
        <w:rPr>
          <w:rFonts w:hint="default" w:ascii="Times New Roman" w:hAnsi="Times New Roman" w:cs="Times New Roman"/>
          <w:sz w:val="28"/>
          <w:szCs w:val="28"/>
        </w:rPr>
        <w:t>以项目每年的现金流量分析计算本项目的财务内部收益率，反映项目所占用资金的盈利能力。进行盈利能力分析的指标有财务内部收益率、财务净现值、投资回收期、投资利润率、投资利税率、资本金净利润率等。经计算，本项目主要财务盈利能力指标如下：</w:t>
      </w:r>
    </w:p>
    <w:p w14:paraId="32B54805">
      <w:pPr>
        <w:adjustRightInd w:val="0"/>
        <w:snapToGrid w:val="0"/>
        <w:spacing w:line="360" w:lineRule="auto"/>
        <w:ind w:firstLine="560" w:firstLineChars="200"/>
        <w:rPr>
          <w:rFonts w:hint="default" w:ascii="Times New Roman" w:hAnsi="Times New Roman" w:cs="Times New Roman"/>
          <w:sz w:val="28"/>
          <w:szCs w:val="28"/>
        </w:rPr>
      </w:pPr>
      <w:bookmarkStart w:id="371" w:name="_Hlk169827111"/>
      <w:r>
        <w:rPr>
          <w:rFonts w:hint="default" w:ascii="Times New Roman" w:hAnsi="Times New Roman" w:cs="Times New Roman"/>
          <w:sz w:val="28"/>
          <w:szCs w:val="28"/>
        </w:rPr>
        <w:t>1、全部投资财务内部收益率：</w:t>
      </w:r>
    </w:p>
    <w:p w14:paraId="6BAC80E5">
      <w:pPr>
        <w:adjustRightInd w:val="0"/>
        <w:snapToGrid w:val="0"/>
        <w:spacing w:line="360" w:lineRule="auto"/>
        <w:ind w:firstLine="560" w:firstLineChars="200"/>
        <w:rPr>
          <w:rFonts w:hint="default" w:ascii="Times New Roman" w:hAnsi="Times New Roman" w:cs="Times New Roman"/>
          <w:sz w:val="28"/>
          <w:szCs w:val="28"/>
        </w:rPr>
      </w:pPr>
      <w:r>
        <w:rPr>
          <w:rFonts w:hint="default" w:ascii="Times New Roman" w:hAnsi="Times New Roman" w:cs="Times New Roman"/>
          <w:sz w:val="28"/>
          <w:szCs w:val="28"/>
        </w:rPr>
        <w:t>所得税前：29.51%</w:t>
      </w:r>
    </w:p>
    <w:p w14:paraId="7373BD0D">
      <w:pPr>
        <w:adjustRightInd w:val="0"/>
        <w:snapToGrid w:val="0"/>
        <w:spacing w:line="360" w:lineRule="auto"/>
        <w:ind w:firstLine="560" w:firstLineChars="200"/>
        <w:rPr>
          <w:rFonts w:hint="default" w:ascii="Times New Roman" w:hAnsi="Times New Roman" w:cs="Times New Roman"/>
          <w:sz w:val="28"/>
          <w:szCs w:val="28"/>
        </w:rPr>
      </w:pPr>
      <w:r>
        <w:rPr>
          <w:rFonts w:hint="default" w:ascii="Times New Roman" w:hAnsi="Times New Roman" w:cs="Times New Roman"/>
          <w:sz w:val="28"/>
          <w:szCs w:val="28"/>
        </w:rPr>
        <w:t>所得税后：40.03%</w:t>
      </w:r>
    </w:p>
    <w:p w14:paraId="6D4656EC">
      <w:pPr>
        <w:adjustRightInd w:val="0"/>
        <w:snapToGrid w:val="0"/>
        <w:spacing w:line="360" w:lineRule="auto"/>
        <w:ind w:firstLine="560" w:firstLineChars="200"/>
        <w:rPr>
          <w:rFonts w:hint="default" w:ascii="Times New Roman" w:hAnsi="Times New Roman" w:cs="Times New Roman"/>
          <w:sz w:val="28"/>
          <w:szCs w:val="28"/>
        </w:rPr>
      </w:pPr>
      <w:r>
        <w:rPr>
          <w:rFonts w:hint="default" w:ascii="Times New Roman" w:hAnsi="Times New Roman" w:cs="Times New Roman"/>
          <w:sz w:val="28"/>
          <w:szCs w:val="28"/>
        </w:rPr>
        <w:t>2、全部投资财务净现值（I=8%）：</w:t>
      </w:r>
    </w:p>
    <w:p w14:paraId="145B6398">
      <w:pPr>
        <w:adjustRightInd w:val="0"/>
        <w:snapToGrid w:val="0"/>
        <w:spacing w:line="360" w:lineRule="auto"/>
        <w:ind w:firstLine="560" w:firstLineChars="200"/>
        <w:rPr>
          <w:rFonts w:hint="default" w:ascii="Times New Roman" w:hAnsi="Times New Roman" w:cs="Times New Roman"/>
          <w:sz w:val="28"/>
          <w:szCs w:val="28"/>
        </w:rPr>
      </w:pPr>
      <w:r>
        <w:rPr>
          <w:rFonts w:hint="default" w:ascii="Times New Roman" w:hAnsi="Times New Roman" w:cs="Times New Roman"/>
          <w:sz w:val="28"/>
          <w:szCs w:val="28"/>
        </w:rPr>
        <w:t>所得税前：5287.88万元</w:t>
      </w:r>
    </w:p>
    <w:p w14:paraId="104941BB">
      <w:pPr>
        <w:adjustRightInd w:val="0"/>
        <w:snapToGrid w:val="0"/>
        <w:spacing w:line="360" w:lineRule="auto"/>
        <w:ind w:firstLine="560" w:firstLineChars="200"/>
        <w:rPr>
          <w:rFonts w:hint="default" w:ascii="Times New Roman" w:hAnsi="Times New Roman" w:cs="Times New Roman"/>
          <w:sz w:val="28"/>
          <w:szCs w:val="28"/>
        </w:rPr>
      </w:pPr>
      <w:r>
        <w:rPr>
          <w:rFonts w:hint="default" w:ascii="Times New Roman" w:hAnsi="Times New Roman" w:cs="Times New Roman"/>
          <w:sz w:val="28"/>
          <w:szCs w:val="28"/>
        </w:rPr>
        <w:t>所得税后：7491.93万元</w:t>
      </w:r>
    </w:p>
    <w:p w14:paraId="02B2B05F">
      <w:pPr>
        <w:adjustRightInd w:val="0"/>
        <w:snapToGrid w:val="0"/>
        <w:spacing w:line="360" w:lineRule="auto"/>
        <w:ind w:firstLine="560" w:firstLineChars="200"/>
        <w:rPr>
          <w:rFonts w:hint="default" w:ascii="Times New Roman" w:hAnsi="Times New Roman" w:cs="Times New Roman"/>
          <w:sz w:val="28"/>
          <w:szCs w:val="28"/>
        </w:rPr>
      </w:pPr>
      <w:r>
        <w:rPr>
          <w:rFonts w:hint="default" w:ascii="Times New Roman" w:hAnsi="Times New Roman" w:cs="Times New Roman"/>
          <w:sz w:val="28"/>
          <w:szCs w:val="28"/>
        </w:rPr>
        <w:t>3、投资回收期：</w:t>
      </w:r>
    </w:p>
    <w:p w14:paraId="45C8B7FF">
      <w:pPr>
        <w:adjustRightInd w:val="0"/>
        <w:snapToGrid w:val="0"/>
        <w:spacing w:line="360" w:lineRule="auto"/>
        <w:ind w:firstLine="560" w:firstLineChars="200"/>
        <w:rPr>
          <w:rFonts w:hint="default" w:ascii="Times New Roman" w:hAnsi="Times New Roman" w:cs="Times New Roman"/>
          <w:sz w:val="28"/>
          <w:szCs w:val="28"/>
        </w:rPr>
      </w:pPr>
      <w:r>
        <w:rPr>
          <w:rFonts w:hint="default" w:ascii="Times New Roman" w:hAnsi="Times New Roman" w:cs="Times New Roman"/>
          <w:sz w:val="28"/>
          <w:szCs w:val="28"/>
        </w:rPr>
        <w:t>所得税前：3.4年</w:t>
      </w:r>
    </w:p>
    <w:p w14:paraId="775600DB">
      <w:pPr>
        <w:adjustRightInd w:val="0"/>
        <w:snapToGrid w:val="0"/>
        <w:spacing w:line="360" w:lineRule="auto"/>
        <w:ind w:firstLine="560" w:firstLineChars="200"/>
        <w:rPr>
          <w:rFonts w:hint="default" w:ascii="Times New Roman" w:hAnsi="Times New Roman" w:cs="Times New Roman"/>
          <w:sz w:val="28"/>
          <w:szCs w:val="28"/>
        </w:rPr>
      </w:pPr>
      <w:r>
        <w:rPr>
          <w:rFonts w:hint="default" w:ascii="Times New Roman" w:hAnsi="Times New Roman" w:cs="Times New Roman"/>
          <w:sz w:val="28"/>
          <w:szCs w:val="28"/>
        </w:rPr>
        <w:t>所得税后：2.9年</w:t>
      </w:r>
    </w:p>
    <w:p w14:paraId="05E88437">
      <w:pPr>
        <w:adjustRightInd w:val="0"/>
        <w:snapToGrid w:val="0"/>
        <w:spacing w:line="360" w:lineRule="auto"/>
        <w:ind w:firstLine="560" w:firstLineChars="200"/>
        <w:rPr>
          <w:rFonts w:hint="default" w:ascii="Times New Roman" w:hAnsi="Times New Roman" w:cs="Times New Roman"/>
          <w:sz w:val="28"/>
          <w:szCs w:val="28"/>
        </w:rPr>
      </w:pPr>
      <w:r>
        <w:rPr>
          <w:rFonts w:hint="default" w:ascii="Times New Roman" w:hAnsi="Times New Roman" w:cs="Times New Roman"/>
          <w:sz w:val="28"/>
          <w:szCs w:val="28"/>
        </w:rPr>
        <w:t>4、总投资收益率：22.22%</w:t>
      </w:r>
    </w:p>
    <w:p w14:paraId="1B42067A">
      <w:pPr>
        <w:adjustRightInd w:val="0"/>
        <w:snapToGrid w:val="0"/>
        <w:spacing w:line="360" w:lineRule="auto"/>
        <w:ind w:firstLine="560" w:firstLineChars="200"/>
        <w:rPr>
          <w:rFonts w:hint="default" w:ascii="Times New Roman" w:hAnsi="Times New Roman" w:cs="Times New Roman"/>
          <w:sz w:val="28"/>
          <w:szCs w:val="28"/>
        </w:rPr>
      </w:pPr>
      <w:r>
        <w:rPr>
          <w:rFonts w:hint="default" w:ascii="Times New Roman" w:hAnsi="Times New Roman" w:cs="Times New Roman"/>
          <w:sz w:val="28"/>
          <w:szCs w:val="28"/>
        </w:rPr>
        <w:t>5、资本金净利润率：17.81%</w:t>
      </w:r>
    </w:p>
    <w:bookmarkEnd w:id="371"/>
    <w:p w14:paraId="054C18F6">
      <w:pPr>
        <w:adjustRightInd w:val="0"/>
        <w:snapToGrid w:val="0"/>
        <w:spacing w:line="360" w:lineRule="auto"/>
        <w:ind w:firstLine="560" w:firstLineChars="200"/>
        <w:rPr>
          <w:rFonts w:hint="default" w:ascii="Times New Roman" w:hAnsi="Times New Roman" w:cs="Times New Roman"/>
          <w:sz w:val="28"/>
          <w:szCs w:val="28"/>
        </w:rPr>
      </w:pPr>
      <w:r>
        <w:rPr>
          <w:rFonts w:hint="default" w:ascii="Times New Roman" w:hAnsi="Times New Roman" w:cs="Times New Roman"/>
          <w:sz w:val="28"/>
          <w:szCs w:val="28"/>
        </w:rPr>
        <w:t>从以上指标来看，本项目有一定的财务效益，在同行业中属较好水平。</w:t>
      </w:r>
    </w:p>
    <w:p w14:paraId="655089FC">
      <w:pPr>
        <w:pStyle w:val="5"/>
        <w:keepNext/>
        <w:keepLines/>
        <w:pageBreakBefore w:val="0"/>
        <w:widowControl w:val="0"/>
        <w:kinsoku/>
        <w:overflowPunct/>
        <w:topLinePunct w:val="0"/>
        <w:autoSpaceDE/>
        <w:autoSpaceDN/>
        <w:bidi w:val="0"/>
        <w:spacing w:before="0" w:after="0" w:line="360" w:lineRule="auto"/>
        <w:ind w:firstLine="562" w:firstLineChars="200"/>
        <w:textAlignment w:val="auto"/>
        <w:rPr>
          <w:rFonts w:hint="default" w:ascii="Times New Roman" w:hAnsi="Times New Roman" w:cs="Times New Roman"/>
        </w:rPr>
      </w:pPr>
      <w:r>
        <w:rPr>
          <w:rFonts w:hint="default" w:ascii="Times New Roman" w:hAnsi="Times New Roman" w:cs="Times New Roman"/>
        </w:rPr>
        <w:t>2.4.12.4主要技术经济指标</w:t>
      </w:r>
    </w:p>
    <w:p w14:paraId="27723638">
      <w:pPr>
        <w:keepNext/>
        <w:keepLines/>
        <w:pageBreakBefore w:val="0"/>
        <w:widowControl w:val="0"/>
        <w:kinsoku/>
        <w:wordWrap/>
        <w:overflowPunct/>
        <w:topLinePunct w:val="0"/>
        <w:autoSpaceDE/>
        <w:autoSpaceDN/>
        <w:bidi w:val="0"/>
        <w:adjustRightInd/>
        <w:snapToGrid/>
        <w:jc w:val="center"/>
        <w:textAlignment w:val="auto"/>
        <w:rPr>
          <w:rFonts w:hint="default" w:ascii="Times New Roman" w:hAnsi="Times New Roman" w:cs="Times New Roman"/>
          <w:bCs/>
          <w:sz w:val="24"/>
          <w:szCs w:val="32"/>
        </w:rPr>
      </w:pPr>
      <w:r>
        <w:rPr>
          <w:rFonts w:hint="default" w:ascii="Times New Roman" w:hAnsi="Times New Roman" w:cs="Times New Roman"/>
          <w:bCs/>
          <w:sz w:val="24"/>
          <w:szCs w:val="32"/>
        </w:rPr>
        <w:t>表2.4-</w:t>
      </w:r>
      <w:r>
        <w:rPr>
          <w:rFonts w:hint="default" w:ascii="Times New Roman" w:hAnsi="Times New Roman" w:cs="Times New Roman"/>
          <w:bCs/>
          <w:sz w:val="24"/>
          <w:szCs w:val="32"/>
          <w:lang w:val="en-US" w:eastAsia="zh-CN"/>
        </w:rPr>
        <w:t>1</w:t>
      </w:r>
      <w:r>
        <w:rPr>
          <w:rFonts w:hint="eastAsia" w:cs="Times New Roman"/>
          <w:bCs/>
          <w:sz w:val="24"/>
          <w:szCs w:val="32"/>
          <w:lang w:val="en-US" w:eastAsia="zh-CN"/>
        </w:rPr>
        <w:t>7</w:t>
      </w:r>
      <w:r>
        <w:rPr>
          <w:rFonts w:hint="default" w:ascii="Times New Roman" w:hAnsi="Times New Roman" w:cs="Times New Roman"/>
          <w:bCs/>
          <w:sz w:val="24"/>
          <w:szCs w:val="32"/>
        </w:rPr>
        <w:t xml:space="preserve">  主要技术经济指标表</w:t>
      </w:r>
    </w:p>
    <w:tbl>
      <w:tblPr>
        <w:tblStyle w:val="30"/>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28" w:type="dxa"/>
          <w:bottom w:w="0" w:type="dxa"/>
          <w:right w:w="28" w:type="dxa"/>
        </w:tblCellMar>
      </w:tblPr>
      <w:tblGrid>
        <w:gridCol w:w="601"/>
        <w:gridCol w:w="3633"/>
        <w:gridCol w:w="1116"/>
        <w:gridCol w:w="2483"/>
        <w:gridCol w:w="1406"/>
      </w:tblGrid>
      <w:tr w14:paraId="6468BC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tblHeader/>
        </w:trPr>
        <w:tc>
          <w:tcPr>
            <w:tcW w:w="325" w:type="pct"/>
            <w:vAlign w:val="center"/>
          </w:tcPr>
          <w:p w14:paraId="24F542C3">
            <w:pPr>
              <w:keepNext/>
              <w:keepLines/>
              <w:pageBreakBefore w:val="0"/>
              <w:widowControl w:val="0"/>
              <w:kinsoku/>
              <w:wordWrap w:val="0"/>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bCs/>
                <w:kern w:val="2"/>
                <w:sz w:val="21"/>
                <w:szCs w:val="21"/>
                <w:lang w:val="en-US" w:eastAsia="zh-CN" w:bidi="ar-SA"/>
              </w:rPr>
            </w:pPr>
            <w:bookmarkStart w:id="372" w:name="_Hlk99653992"/>
            <w:r>
              <w:rPr>
                <w:rFonts w:hint="default" w:ascii="Times New Roman" w:hAnsi="Times New Roman" w:eastAsia="宋体" w:cs="Times New Roman"/>
                <w:b/>
                <w:bCs/>
                <w:kern w:val="2"/>
                <w:sz w:val="21"/>
                <w:szCs w:val="21"/>
                <w:lang w:val="en-US" w:eastAsia="zh-CN" w:bidi="ar-SA"/>
              </w:rPr>
              <w:t>序号</w:t>
            </w:r>
          </w:p>
        </w:tc>
        <w:tc>
          <w:tcPr>
            <w:tcW w:w="1966" w:type="pct"/>
            <w:vAlign w:val="center"/>
          </w:tcPr>
          <w:p w14:paraId="3E776572">
            <w:pPr>
              <w:keepNext/>
              <w:keepLines/>
              <w:pageBreakBefore w:val="0"/>
              <w:widowControl w:val="0"/>
              <w:kinsoku/>
              <w:wordWrap w:val="0"/>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bCs/>
                <w:kern w:val="2"/>
                <w:sz w:val="21"/>
                <w:szCs w:val="21"/>
                <w:lang w:val="en-US" w:eastAsia="zh-CN" w:bidi="ar-SA"/>
              </w:rPr>
            </w:pPr>
            <w:r>
              <w:rPr>
                <w:rFonts w:hint="default" w:ascii="Times New Roman" w:hAnsi="Times New Roman" w:eastAsia="宋体" w:cs="Times New Roman"/>
                <w:b/>
                <w:bCs/>
                <w:kern w:val="2"/>
                <w:sz w:val="21"/>
                <w:szCs w:val="21"/>
                <w:lang w:val="en-US" w:eastAsia="zh-CN" w:bidi="ar-SA"/>
              </w:rPr>
              <w:t>指标名称</w:t>
            </w:r>
          </w:p>
        </w:tc>
        <w:tc>
          <w:tcPr>
            <w:tcW w:w="604" w:type="pct"/>
            <w:vAlign w:val="center"/>
          </w:tcPr>
          <w:p w14:paraId="43CBDA5B">
            <w:pPr>
              <w:keepNext/>
              <w:keepLines/>
              <w:pageBreakBefore w:val="0"/>
              <w:widowControl w:val="0"/>
              <w:kinsoku/>
              <w:wordWrap w:val="0"/>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bCs/>
                <w:kern w:val="2"/>
                <w:sz w:val="21"/>
                <w:szCs w:val="21"/>
                <w:lang w:val="en-US" w:eastAsia="zh-CN" w:bidi="ar-SA"/>
              </w:rPr>
            </w:pPr>
            <w:r>
              <w:rPr>
                <w:rFonts w:hint="default" w:ascii="Times New Roman" w:hAnsi="Times New Roman" w:eastAsia="宋体" w:cs="Times New Roman"/>
                <w:b/>
                <w:bCs/>
                <w:kern w:val="2"/>
                <w:sz w:val="21"/>
                <w:szCs w:val="21"/>
                <w:lang w:val="en-US" w:eastAsia="zh-CN" w:bidi="ar-SA"/>
              </w:rPr>
              <w:t>单位</w:t>
            </w:r>
          </w:p>
        </w:tc>
        <w:tc>
          <w:tcPr>
            <w:tcW w:w="1344" w:type="pct"/>
            <w:vAlign w:val="center"/>
          </w:tcPr>
          <w:p w14:paraId="0448AFDF">
            <w:pPr>
              <w:keepNext/>
              <w:keepLines/>
              <w:pageBreakBefore w:val="0"/>
              <w:widowControl w:val="0"/>
              <w:kinsoku/>
              <w:wordWrap w:val="0"/>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bCs/>
                <w:kern w:val="2"/>
                <w:sz w:val="21"/>
                <w:szCs w:val="21"/>
                <w:lang w:val="en-US" w:eastAsia="zh-CN" w:bidi="ar-SA"/>
              </w:rPr>
            </w:pPr>
            <w:r>
              <w:rPr>
                <w:rFonts w:hint="default" w:ascii="Times New Roman" w:hAnsi="Times New Roman" w:eastAsia="宋体" w:cs="Times New Roman"/>
                <w:b/>
                <w:bCs/>
                <w:kern w:val="2"/>
                <w:sz w:val="21"/>
                <w:szCs w:val="21"/>
                <w:lang w:val="en-US" w:eastAsia="zh-CN" w:bidi="ar-SA"/>
              </w:rPr>
              <w:t>数量</w:t>
            </w:r>
          </w:p>
        </w:tc>
        <w:tc>
          <w:tcPr>
            <w:tcW w:w="761" w:type="pct"/>
            <w:vAlign w:val="center"/>
          </w:tcPr>
          <w:p w14:paraId="4785FC25">
            <w:pPr>
              <w:keepNext/>
              <w:keepLines/>
              <w:pageBreakBefore w:val="0"/>
              <w:widowControl w:val="0"/>
              <w:kinsoku/>
              <w:wordWrap w:val="0"/>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bCs/>
                <w:kern w:val="2"/>
                <w:sz w:val="21"/>
                <w:szCs w:val="21"/>
                <w:lang w:val="en-US" w:eastAsia="zh-CN" w:bidi="ar-SA"/>
              </w:rPr>
            </w:pPr>
            <w:r>
              <w:rPr>
                <w:rFonts w:hint="default" w:ascii="Times New Roman" w:hAnsi="Times New Roman" w:eastAsia="宋体" w:cs="Times New Roman"/>
                <w:b/>
                <w:bCs/>
                <w:kern w:val="2"/>
                <w:sz w:val="21"/>
                <w:szCs w:val="21"/>
                <w:lang w:val="en-US" w:eastAsia="zh-CN" w:bidi="ar-SA"/>
              </w:rPr>
              <w:t>备注</w:t>
            </w:r>
          </w:p>
        </w:tc>
      </w:tr>
      <w:tr w14:paraId="7F93A6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trPr>
        <w:tc>
          <w:tcPr>
            <w:tcW w:w="325" w:type="pct"/>
            <w:vAlign w:val="center"/>
          </w:tcPr>
          <w:p w14:paraId="625BB167">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1</w:t>
            </w:r>
          </w:p>
        </w:tc>
        <w:tc>
          <w:tcPr>
            <w:tcW w:w="4675" w:type="pct"/>
            <w:gridSpan w:val="4"/>
            <w:vAlign w:val="center"/>
          </w:tcPr>
          <w:p w14:paraId="1D159AE9">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地质</w:t>
            </w:r>
          </w:p>
        </w:tc>
      </w:tr>
      <w:tr w14:paraId="72AD3E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trPr>
        <w:tc>
          <w:tcPr>
            <w:tcW w:w="325" w:type="pct"/>
            <w:vMerge w:val="restart"/>
            <w:vAlign w:val="center"/>
          </w:tcPr>
          <w:p w14:paraId="5F5A03AC">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1.1</w:t>
            </w:r>
          </w:p>
        </w:tc>
        <w:tc>
          <w:tcPr>
            <w:tcW w:w="1966" w:type="pct"/>
            <w:vAlign w:val="center"/>
          </w:tcPr>
          <w:p w14:paraId="4AAAC2B6">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全矿地质资源量/储量</w:t>
            </w:r>
          </w:p>
        </w:tc>
        <w:tc>
          <w:tcPr>
            <w:tcW w:w="604" w:type="pct"/>
            <w:vAlign w:val="center"/>
          </w:tcPr>
          <w:p w14:paraId="675A1E2A">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p>
        </w:tc>
        <w:tc>
          <w:tcPr>
            <w:tcW w:w="1344" w:type="pct"/>
            <w:vAlign w:val="center"/>
          </w:tcPr>
          <w:p w14:paraId="0EE4FDA1">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p>
        </w:tc>
        <w:tc>
          <w:tcPr>
            <w:tcW w:w="761" w:type="pct"/>
            <w:vAlign w:val="center"/>
          </w:tcPr>
          <w:p w14:paraId="29D091FD">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p>
        </w:tc>
      </w:tr>
      <w:tr w14:paraId="2E3941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trPr>
        <w:tc>
          <w:tcPr>
            <w:tcW w:w="325" w:type="pct"/>
            <w:vMerge w:val="continue"/>
            <w:vAlign w:val="center"/>
          </w:tcPr>
          <w:p w14:paraId="60C9A09D">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p>
        </w:tc>
        <w:tc>
          <w:tcPr>
            <w:tcW w:w="1966" w:type="pct"/>
            <w:vAlign w:val="center"/>
          </w:tcPr>
          <w:p w14:paraId="3B89CBEE">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保有矿石量</w:t>
            </w:r>
          </w:p>
        </w:tc>
        <w:tc>
          <w:tcPr>
            <w:tcW w:w="604" w:type="pct"/>
            <w:vAlign w:val="center"/>
          </w:tcPr>
          <w:p w14:paraId="7DE5724B">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万t</w:t>
            </w:r>
          </w:p>
        </w:tc>
        <w:tc>
          <w:tcPr>
            <w:tcW w:w="1344" w:type="pct"/>
            <w:vAlign w:val="center"/>
          </w:tcPr>
          <w:p w14:paraId="3813E35A">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1805.0</w:t>
            </w:r>
          </w:p>
        </w:tc>
        <w:tc>
          <w:tcPr>
            <w:tcW w:w="761" w:type="pct"/>
            <w:vAlign w:val="center"/>
          </w:tcPr>
          <w:p w14:paraId="70A3152C">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p>
        </w:tc>
      </w:tr>
      <w:tr w14:paraId="336B3A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trPr>
        <w:tc>
          <w:tcPr>
            <w:tcW w:w="325" w:type="pct"/>
            <w:vAlign w:val="center"/>
          </w:tcPr>
          <w:p w14:paraId="1B53B20D">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1.2</w:t>
            </w:r>
          </w:p>
        </w:tc>
        <w:tc>
          <w:tcPr>
            <w:tcW w:w="1966" w:type="pct"/>
            <w:vAlign w:val="center"/>
          </w:tcPr>
          <w:p w14:paraId="3112B547">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可采矿石量</w:t>
            </w:r>
          </w:p>
        </w:tc>
        <w:tc>
          <w:tcPr>
            <w:tcW w:w="604" w:type="pct"/>
            <w:vAlign w:val="center"/>
          </w:tcPr>
          <w:p w14:paraId="72D2A5DD">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万t</w:t>
            </w:r>
          </w:p>
        </w:tc>
        <w:tc>
          <w:tcPr>
            <w:tcW w:w="1344" w:type="pct"/>
            <w:vAlign w:val="center"/>
          </w:tcPr>
          <w:p w14:paraId="43C746D9">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1244.56</w:t>
            </w:r>
          </w:p>
        </w:tc>
        <w:tc>
          <w:tcPr>
            <w:tcW w:w="761" w:type="pct"/>
            <w:vAlign w:val="center"/>
          </w:tcPr>
          <w:p w14:paraId="16E87A1F">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p>
        </w:tc>
      </w:tr>
      <w:tr w14:paraId="52DF8B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trPr>
        <w:tc>
          <w:tcPr>
            <w:tcW w:w="325" w:type="pct"/>
            <w:vAlign w:val="center"/>
          </w:tcPr>
          <w:p w14:paraId="1C0EA9B2">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1.3</w:t>
            </w:r>
          </w:p>
        </w:tc>
        <w:tc>
          <w:tcPr>
            <w:tcW w:w="1966" w:type="pct"/>
            <w:vAlign w:val="center"/>
          </w:tcPr>
          <w:p w14:paraId="0FECA177">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采出矿石量</w:t>
            </w:r>
          </w:p>
        </w:tc>
        <w:tc>
          <w:tcPr>
            <w:tcW w:w="604" w:type="pct"/>
            <w:vAlign w:val="center"/>
          </w:tcPr>
          <w:p w14:paraId="4B3E301A">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万t</w:t>
            </w:r>
          </w:p>
        </w:tc>
        <w:tc>
          <w:tcPr>
            <w:tcW w:w="1344" w:type="pct"/>
            <w:vAlign w:val="center"/>
          </w:tcPr>
          <w:p w14:paraId="37532E59">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1199.49</w:t>
            </w:r>
          </w:p>
        </w:tc>
        <w:tc>
          <w:tcPr>
            <w:tcW w:w="761" w:type="pct"/>
            <w:vAlign w:val="center"/>
          </w:tcPr>
          <w:p w14:paraId="1E3AAD33">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p>
        </w:tc>
      </w:tr>
      <w:tr w14:paraId="480749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trPr>
        <w:tc>
          <w:tcPr>
            <w:tcW w:w="325" w:type="pct"/>
            <w:vMerge w:val="restart"/>
            <w:vAlign w:val="center"/>
          </w:tcPr>
          <w:p w14:paraId="3EBBB24B">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1.4</w:t>
            </w:r>
          </w:p>
        </w:tc>
        <w:tc>
          <w:tcPr>
            <w:tcW w:w="1966" w:type="pct"/>
            <w:vAlign w:val="center"/>
          </w:tcPr>
          <w:p w14:paraId="6B084090">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矿岩物理力学性质</w:t>
            </w:r>
          </w:p>
        </w:tc>
        <w:tc>
          <w:tcPr>
            <w:tcW w:w="604" w:type="pct"/>
            <w:vAlign w:val="center"/>
          </w:tcPr>
          <w:p w14:paraId="2B16019F">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p>
        </w:tc>
        <w:tc>
          <w:tcPr>
            <w:tcW w:w="1344" w:type="pct"/>
            <w:vAlign w:val="center"/>
          </w:tcPr>
          <w:p w14:paraId="0FAA3915">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p>
        </w:tc>
        <w:tc>
          <w:tcPr>
            <w:tcW w:w="761" w:type="pct"/>
            <w:vAlign w:val="center"/>
          </w:tcPr>
          <w:p w14:paraId="040FED01">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p>
        </w:tc>
      </w:tr>
      <w:tr w14:paraId="6E5E9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trPr>
        <w:tc>
          <w:tcPr>
            <w:tcW w:w="325" w:type="pct"/>
            <w:vMerge w:val="continue"/>
            <w:vAlign w:val="center"/>
          </w:tcPr>
          <w:p w14:paraId="6C16C30F">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p>
        </w:tc>
        <w:tc>
          <w:tcPr>
            <w:tcW w:w="1966" w:type="pct"/>
            <w:vAlign w:val="center"/>
          </w:tcPr>
          <w:p w14:paraId="13BAC744">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矿石体重</w:t>
            </w:r>
          </w:p>
        </w:tc>
        <w:tc>
          <w:tcPr>
            <w:tcW w:w="604" w:type="pct"/>
            <w:vAlign w:val="center"/>
          </w:tcPr>
          <w:p w14:paraId="2A5D9709">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t/m</w:t>
            </w:r>
            <w:r>
              <w:rPr>
                <w:rFonts w:hint="default" w:ascii="Times New Roman" w:hAnsi="Times New Roman" w:eastAsia="宋体" w:cs="Times New Roman"/>
                <w:b w:val="0"/>
                <w:kern w:val="2"/>
                <w:sz w:val="21"/>
                <w:szCs w:val="21"/>
                <w:vertAlign w:val="superscript"/>
                <w:lang w:val="en-US" w:eastAsia="zh-CN" w:bidi="ar-SA"/>
              </w:rPr>
              <w:t>3</w:t>
            </w:r>
          </w:p>
        </w:tc>
        <w:tc>
          <w:tcPr>
            <w:tcW w:w="1344" w:type="pct"/>
            <w:vAlign w:val="center"/>
          </w:tcPr>
          <w:p w14:paraId="187CAA72">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2.25</w:t>
            </w:r>
          </w:p>
        </w:tc>
        <w:tc>
          <w:tcPr>
            <w:tcW w:w="761" w:type="pct"/>
            <w:vAlign w:val="center"/>
          </w:tcPr>
          <w:p w14:paraId="5E18F82D">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p>
        </w:tc>
      </w:tr>
      <w:tr w14:paraId="05686E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trPr>
        <w:tc>
          <w:tcPr>
            <w:tcW w:w="325" w:type="pct"/>
            <w:vMerge w:val="continue"/>
            <w:vAlign w:val="center"/>
          </w:tcPr>
          <w:p w14:paraId="69B4792C">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p>
        </w:tc>
        <w:tc>
          <w:tcPr>
            <w:tcW w:w="1966" w:type="pct"/>
            <w:vAlign w:val="center"/>
          </w:tcPr>
          <w:p w14:paraId="7E22DAEF">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矿岩松散系数</w:t>
            </w:r>
          </w:p>
        </w:tc>
        <w:tc>
          <w:tcPr>
            <w:tcW w:w="604" w:type="pct"/>
            <w:vAlign w:val="center"/>
          </w:tcPr>
          <w:p w14:paraId="3FDF6D3D">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p>
        </w:tc>
        <w:tc>
          <w:tcPr>
            <w:tcW w:w="1344" w:type="pct"/>
            <w:vAlign w:val="center"/>
          </w:tcPr>
          <w:p w14:paraId="02B67933">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1.50</w:t>
            </w:r>
          </w:p>
        </w:tc>
        <w:tc>
          <w:tcPr>
            <w:tcW w:w="761" w:type="pct"/>
            <w:vAlign w:val="center"/>
          </w:tcPr>
          <w:p w14:paraId="199D1EAD">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p>
        </w:tc>
      </w:tr>
      <w:tr w14:paraId="128794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trPr>
        <w:tc>
          <w:tcPr>
            <w:tcW w:w="325" w:type="pct"/>
            <w:vMerge w:val="continue"/>
            <w:vAlign w:val="center"/>
          </w:tcPr>
          <w:p w14:paraId="21C7D2AD">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p>
        </w:tc>
        <w:tc>
          <w:tcPr>
            <w:tcW w:w="1966" w:type="pct"/>
            <w:vAlign w:val="center"/>
          </w:tcPr>
          <w:p w14:paraId="4D5765C1">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矿石</w:t>
            </w:r>
            <w:bookmarkStart w:id="373" w:name="OLE_LINK69"/>
            <w:r>
              <w:rPr>
                <w:rFonts w:hint="default" w:ascii="Times New Roman" w:hAnsi="Times New Roman" w:eastAsia="宋体" w:cs="Times New Roman"/>
                <w:b w:val="0"/>
                <w:kern w:val="2"/>
                <w:sz w:val="21"/>
                <w:szCs w:val="21"/>
                <w:lang w:val="en-US" w:eastAsia="zh-CN" w:bidi="ar-SA"/>
              </w:rPr>
              <w:t>抗压强度</w:t>
            </w:r>
            <w:bookmarkEnd w:id="373"/>
          </w:p>
        </w:tc>
        <w:tc>
          <w:tcPr>
            <w:tcW w:w="604" w:type="pct"/>
            <w:vAlign w:val="center"/>
          </w:tcPr>
          <w:p w14:paraId="00F38A9D">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MPa</w:t>
            </w:r>
          </w:p>
        </w:tc>
        <w:tc>
          <w:tcPr>
            <w:tcW w:w="1344" w:type="pct"/>
            <w:vAlign w:val="center"/>
          </w:tcPr>
          <w:p w14:paraId="4570FB77">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33.4</w:t>
            </w:r>
          </w:p>
        </w:tc>
        <w:tc>
          <w:tcPr>
            <w:tcW w:w="761" w:type="pct"/>
            <w:vAlign w:val="center"/>
          </w:tcPr>
          <w:p w14:paraId="7B9E7296">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p>
        </w:tc>
      </w:tr>
      <w:tr w14:paraId="491B7F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trPr>
        <w:tc>
          <w:tcPr>
            <w:tcW w:w="325" w:type="pct"/>
            <w:vMerge w:val="restart"/>
            <w:vAlign w:val="center"/>
          </w:tcPr>
          <w:p w14:paraId="455BCA3F">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1.5</w:t>
            </w:r>
          </w:p>
        </w:tc>
        <w:tc>
          <w:tcPr>
            <w:tcW w:w="1966" w:type="pct"/>
            <w:vAlign w:val="center"/>
          </w:tcPr>
          <w:p w14:paraId="1FF55BCB">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地质资料勘探程度</w:t>
            </w:r>
          </w:p>
        </w:tc>
        <w:tc>
          <w:tcPr>
            <w:tcW w:w="604" w:type="pct"/>
            <w:vAlign w:val="center"/>
          </w:tcPr>
          <w:p w14:paraId="626C0298">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p>
        </w:tc>
        <w:tc>
          <w:tcPr>
            <w:tcW w:w="1344" w:type="pct"/>
            <w:vAlign w:val="center"/>
          </w:tcPr>
          <w:p w14:paraId="0920BDFC">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勘探</w:t>
            </w:r>
          </w:p>
        </w:tc>
        <w:tc>
          <w:tcPr>
            <w:tcW w:w="761" w:type="pct"/>
            <w:vAlign w:val="center"/>
          </w:tcPr>
          <w:p w14:paraId="1485D80A">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p>
        </w:tc>
      </w:tr>
      <w:tr w14:paraId="576E65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trPr>
        <w:tc>
          <w:tcPr>
            <w:tcW w:w="325" w:type="pct"/>
            <w:vMerge w:val="continue"/>
            <w:vAlign w:val="center"/>
          </w:tcPr>
          <w:p w14:paraId="56B56542">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p>
        </w:tc>
        <w:tc>
          <w:tcPr>
            <w:tcW w:w="1966" w:type="pct"/>
            <w:vAlign w:val="center"/>
          </w:tcPr>
          <w:p w14:paraId="7429DBAD">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水文地质条件类型</w:t>
            </w:r>
          </w:p>
        </w:tc>
        <w:tc>
          <w:tcPr>
            <w:tcW w:w="604" w:type="pct"/>
            <w:vAlign w:val="center"/>
          </w:tcPr>
          <w:p w14:paraId="388FF93D">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p>
        </w:tc>
        <w:tc>
          <w:tcPr>
            <w:tcW w:w="1344" w:type="pct"/>
            <w:vAlign w:val="center"/>
          </w:tcPr>
          <w:p w14:paraId="293BC448">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简单</w:t>
            </w:r>
          </w:p>
        </w:tc>
        <w:tc>
          <w:tcPr>
            <w:tcW w:w="761" w:type="pct"/>
            <w:vAlign w:val="center"/>
          </w:tcPr>
          <w:p w14:paraId="0A48072E">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p>
        </w:tc>
      </w:tr>
      <w:tr w14:paraId="74C483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trPr>
        <w:tc>
          <w:tcPr>
            <w:tcW w:w="325" w:type="pct"/>
            <w:vMerge w:val="continue"/>
            <w:vAlign w:val="center"/>
          </w:tcPr>
          <w:p w14:paraId="4625C906">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p>
        </w:tc>
        <w:tc>
          <w:tcPr>
            <w:tcW w:w="1966" w:type="pct"/>
            <w:vAlign w:val="center"/>
          </w:tcPr>
          <w:p w14:paraId="658C89C0">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工程地质条件类型</w:t>
            </w:r>
          </w:p>
        </w:tc>
        <w:tc>
          <w:tcPr>
            <w:tcW w:w="604" w:type="pct"/>
            <w:vAlign w:val="center"/>
          </w:tcPr>
          <w:p w14:paraId="1FF237A3">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p>
        </w:tc>
        <w:tc>
          <w:tcPr>
            <w:tcW w:w="1344" w:type="pct"/>
            <w:vAlign w:val="center"/>
          </w:tcPr>
          <w:p w14:paraId="7F963717">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中等</w:t>
            </w:r>
          </w:p>
        </w:tc>
        <w:tc>
          <w:tcPr>
            <w:tcW w:w="761" w:type="pct"/>
            <w:vAlign w:val="center"/>
          </w:tcPr>
          <w:p w14:paraId="7BF0D38A">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p>
        </w:tc>
      </w:tr>
      <w:tr w14:paraId="565B66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trPr>
        <w:tc>
          <w:tcPr>
            <w:tcW w:w="325" w:type="pct"/>
            <w:vMerge w:val="continue"/>
            <w:vAlign w:val="center"/>
          </w:tcPr>
          <w:p w14:paraId="6D1BA656">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p>
        </w:tc>
        <w:tc>
          <w:tcPr>
            <w:tcW w:w="1966" w:type="pct"/>
            <w:vAlign w:val="center"/>
          </w:tcPr>
          <w:p w14:paraId="254F4B35">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环境地质条件类型</w:t>
            </w:r>
          </w:p>
        </w:tc>
        <w:tc>
          <w:tcPr>
            <w:tcW w:w="604" w:type="pct"/>
            <w:vAlign w:val="center"/>
          </w:tcPr>
          <w:p w14:paraId="44D15428">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p>
        </w:tc>
        <w:tc>
          <w:tcPr>
            <w:tcW w:w="1344" w:type="pct"/>
            <w:vAlign w:val="center"/>
          </w:tcPr>
          <w:p w14:paraId="4EFE4EA2">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中等</w:t>
            </w:r>
          </w:p>
        </w:tc>
        <w:tc>
          <w:tcPr>
            <w:tcW w:w="761" w:type="pct"/>
            <w:vAlign w:val="center"/>
          </w:tcPr>
          <w:p w14:paraId="0D6537EC">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p>
        </w:tc>
      </w:tr>
      <w:tr w14:paraId="09E3F1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trPr>
        <w:tc>
          <w:tcPr>
            <w:tcW w:w="325" w:type="pct"/>
            <w:vAlign w:val="center"/>
          </w:tcPr>
          <w:p w14:paraId="3AF8FAF5">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2</w:t>
            </w:r>
          </w:p>
        </w:tc>
        <w:tc>
          <w:tcPr>
            <w:tcW w:w="4675" w:type="pct"/>
            <w:gridSpan w:val="4"/>
            <w:vAlign w:val="center"/>
          </w:tcPr>
          <w:p w14:paraId="176DBC82">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采矿</w:t>
            </w:r>
          </w:p>
        </w:tc>
      </w:tr>
      <w:tr w14:paraId="071A25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trPr>
        <w:tc>
          <w:tcPr>
            <w:tcW w:w="325" w:type="pct"/>
            <w:vMerge w:val="restart"/>
            <w:vAlign w:val="center"/>
          </w:tcPr>
          <w:p w14:paraId="1A6D048E">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2.1</w:t>
            </w:r>
          </w:p>
        </w:tc>
        <w:tc>
          <w:tcPr>
            <w:tcW w:w="1966" w:type="pct"/>
            <w:vAlign w:val="center"/>
          </w:tcPr>
          <w:p w14:paraId="26CFD62E">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矿山规模</w:t>
            </w:r>
          </w:p>
        </w:tc>
        <w:tc>
          <w:tcPr>
            <w:tcW w:w="604" w:type="pct"/>
            <w:vAlign w:val="center"/>
          </w:tcPr>
          <w:p w14:paraId="7BF6AB7E">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p>
        </w:tc>
        <w:tc>
          <w:tcPr>
            <w:tcW w:w="1344" w:type="pct"/>
            <w:vAlign w:val="center"/>
          </w:tcPr>
          <w:p w14:paraId="59344D66">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p>
        </w:tc>
        <w:tc>
          <w:tcPr>
            <w:tcW w:w="761" w:type="pct"/>
            <w:vAlign w:val="center"/>
          </w:tcPr>
          <w:p w14:paraId="36B29517">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p>
        </w:tc>
      </w:tr>
      <w:tr w14:paraId="2731AF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trPr>
        <w:tc>
          <w:tcPr>
            <w:tcW w:w="325" w:type="pct"/>
            <w:vMerge w:val="continue"/>
            <w:vAlign w:val="center"/>
          </w:tcPr>
          <w:p w14:paraId="47B133B2">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p>
        </w:tc>
        <w:tc>
          <w:tcPr>
            <w:tcW w:w="1966" w:type="pct"/>
            <w:vAlign w:val="center"/>
          </w:tcPr>
          <w:p w14:paraId="3392343C">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矿石量</w:t>
            </w:r>
          </w:p>
        </w:tc>
        <w:tc>
          <w:tcPr>
            <w:tcW w:w="604" w:type="pct"/>
            <w:vAlign w:val="center"/>
          </w:tcPr>
          <w:p w14:paraId="67831D6B">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万t/年</w:t>
            </w:r>
          </w:p>
        </w:tc>
        <w:tc>
          <w:tcPr>
            <w:tcW w:w="1344" w:type="pct"/>
            <w:vAlign w:val="center"/>
          </w:tcPr>
          <w:p w14:paraId="1CAC8067">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50</w:t>
            </w:r>
          </w:p>
        </w:tc>
        <w:tc>
          <w:tcPr>
            <w:tcW w:w="761" w:type="pct"/>
            <w:vAlign w:val="center"/>
          </w:tcPr>
          <w:p w14:paraId="6A1CDEF8">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p>
        </w:tc>
      </w:tr>
      <w:tr w14:paraId="2B2194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trPr>
        <w:tc>
          <w:tcPr>
            <w:tcW w:w="325" w:type="pct"/>
            <w:vAlign w:val="center"/>
          </w:tcPr>
          <w:p w14:paraId="4F19E11F">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p>
        </w:tc>
        <w:tc>
          <w:tcPr>
            <w:tcW w:w="1966" w:type="pct"/>
            <w:vAlign w:val="center"/>
          </w:tcPr>
          <w:p w14:paraId="61E5FD3C">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剥离量</w:t>
            </w:r>
          </w:p>
        </w:tc>
        <w:tc>
          <w:tcPr>
            <w:tcW w:w="604" w:type="pct"/>
            <w:vAlign w:val="center"/>
          </w:tcPr>
          <w:p w14:paraId="397FC3E6">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万m</w:t>
            </w:r>
            <w:r>
              <w:rPr>
                <w:rFonts w:hint="default" w:ascii="Times New Roman" w:hAnsi="Times New Roman" w:eastAsia="宋体" w:cs="Times New Roman"/>
                <w:b w:val="0"/>
                <w:kern w:val="2"/>
                <w:sz w:val="21"/>
                <w:szCs w:val="21"/>
                <w:vertAlign w:val="superscript"/>
                <w:lang w:val="en-US" w:eastAsia="zh-CN" w:bidi="ar-SA"/>
              </w:rPr>
              <w:t>3</w:t>
            </w:r>
            <w:r>
              <w:rPr>
                <w:rFonts w:hint="default" w:ascii="Times New Roman" w:hAnsi="Times New Roman" w:eastAsia="宋体" w:cs="Times New Roman"/>
                <w:b w:val="0"/>
                <w:kern w:val="2"/>
                <w:sz w:val="21"/>
                <w:szCs w:val="21"/>
                <w:lang w:val="en-US" w:eastAsia="zh-CN" w:bidi="ar-SA"/>
              </w:rPr>
              <w:t>/年</w:t>
            </w:r>
          </w:p>
        </w:tc>
        <w:tc>
          <w:tcPr>
            <w:tcW w:w="1344" w:type="pct"/>
            <w:vAlign w:val="center"/>
          </w:tcPr>
          <w:p w14:paraId="1EDA5ECF">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0.42</w:t>
            </w:r>
          </w:p>
        </w:tc>
        <w:tc>
          <w:tcPr>
            <w:tcW w:w="761" w:type="pct"/>
            <w:vAlign w:val="center"/>
          </w:tcPr>
          <w:p w14:paraId="490EFE08">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p>
        </w:tc>
      </w:tr>
      <w:tr w14:paraId="5258D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trPr>
        <w:tc>
          <w:tcPr>
            <w:tcW w:w="325" w:type="pct"/>
            <w:vAlign w:val="center"/>
          </w:tcPr>
          <w:p w14:paraId="38664AFD">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p>
        </w:tc>
        <w:tc>
          <w:tcPr>
            <w:tcW w:w="1966" w:type="pct"/>
            <w:vAlign w:val="center"/>
          </w:tcPr>
          <w:p w14:paraId="0ADA50EF">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采剥总量</w:t>
            </w:r>
          </w:p>
        </w:tc>
        <w:tc>
          <w:tcPr>
            <w:tcW w:w="604" w:type="pct"/>
            <w:vAlign w:val="center"/>
          </w:tcPr>
          <w:p w14:paraId="5907D302">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万m</w:t>
            </w:r>
            <w:r>
              <w:rPr>
                <w:rFonts w:hint="default" w:ascii="Times New Roman" w:hAnsi="Times New Roman" w:eastAsia="宋体" w:cs="Times New Roman"/>
                <w:b w:val="0"/>
                <w:kern w:val="2"/>
                <w:sz w:val="21"/>
                <w:szCs w:val="21"/>
                <w:vertAlign w:val="superscript"/>
                <w:lang w:val="en-US" w:eastAsia="zh-CN" w:bidi="ar-SA"/>
              </w:rPr>
              <w:t>3</w:t>
            </w:r>
            <w:r>
              <w:rPr>
                <w:rFonts w:hint="default" w:ascii="Times New Roman" w:hAnsi="Times New Roman" w:eastAsia="宋体" w:cs="Times New Roman"/>
                <w:b w:val="0"/>
                <w:kern w:val="2"/>
                <w:sz w:val="21"/>
                <w:szCs w:val="21"/>
                <w:lang w:val="en-US" w:eastAsia="zh-CN" w:bidi="ar-SA"/>
              </w:rPr>
              <w:t>/年</w:t>
            </w:r>
          </w:p>
        </w:tc>
        <w:tc>
          <w:tcPr>
            <w:tcW w:w="1344" w:type="pct"/>
            <w:vAlign w:val="center"/>
          </w:tcPr>
          <w:p w14:paraId="626949D3">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22.64</w:t>
            </w:r>
          </w:p>
        </w:tc>
        <w:tc>
          <w:tcPr>
            <w:tcW w:w="761" w:type="pct"/>
            <w:vAlign w:val="center"/>
          </w:tcPr>
          <w:p w14:paraId="028A3BD2">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p>
        </w:tc>
      </w:tr>
      <w:tr w14:paraId="414250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trPr>
        <w:tc>
          <w:tcPr>
            <w:tcW w:w="325" w:type="pct"/>
            <w:vAlign w:val="center"/>
          </w:tcPr>
          <w:p w14:paraId="7116CCF4">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2.2</w:t>
            </w:r>
          </w:p>
        </w:tc>
        <w:tc>
          <w:tcPr>
            <w:tcW w:w="1966" w:type="pct"/>
            <w:vAlign w:val="center"/>
          </w:tcPr>
          <w:p w14:paraId="613FFAA1">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剥采比</w:t>
            </w:r>
          </w:p>
        </w:tc>
        <w:tc>
          <w:tcPr>
            <w:tcW w:w="604" w:type="pct"/>
            <w:vAlign w:val="center"/>
          </w:tcPr>
          <w:p w14:paraId="4AA0BD93">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p>
        </w:tc>
        <w:tc>
          <w:tcPr>
            <w:tcW w:w="1344" w:type="pct"/>
            <w:vAlign w:val="center"/>
          </w:tcPr>
          <w:p w14:paraId="153998C3">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p>
        </w:tc>
        <w:tc>
          <w:tcPr>
            <w:tcW w:w="761" w:type="pct"/>
            <w:vAlign w:val="center"/>
          </w:tcPr>
          <w:p w14:paraId="774A39C0">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p>
        </w:tc>
      </w:tr>
      <w:tr w14:paraId="2CD601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trPr>
        <w:tc>
          <w:tcPr>
            <w:tcW w:w="325" w:type="pct"/>
            <w:vAlign w:val="center"/>
          </w:tcPr>
          <w:p w14:paraId="7782C802">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p>
        </w:tc>
        <w:tc>
          <w:tcPr>
            <w:tcW w:w="1966" w:type="pct"/>
            <w:vAlign w:val="center"/>
          </w:tcPr>
          <w:p w14:paraId="0D7FA913">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平均剥采比</w:t>
            </w:r>
          </w:p>
        </w:tc>
        <w:tc>
          <w:tcPr>
            <w:tcW w:w="604" w:type="pct"/>
            <w:vAlign w:val="center"/>
          </w:tcPr>
          <w:p w14:paraId="53340903">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m</w:t>
            </w:r>
            <w:r>
              <w:rPr>
                <w:rFonts w:hint="default" w:ascii="Times New Roman" w:hAnsi="Times New Roman" w:eastAsia="宋体" w:cs="Times New Roman"/>
                <w:b w:val="0"/>
                <w:kern w:val="2"/>
                <w:sz w:val="21"/>
                <w:szCs w:val="21"/>
                <w:vertAlign w:val="superscript"/>
                <w:lang w:val="en-US" w:eastAsia="zh-CN" w:bidi="ar-SA"/>
              </w:rPr>
              <w:t>3</w:t>
            </w:r>
            <w:r>
              <w:rPr>
                <w:rFonts w:hint="default" w:ascii="Times New Roman" w:hAnsi="Times New Roman" w:eastAsia="宋体" w:cs="Times New Roman"/>
                <w:b w:val="0"/>
                <w:kern w:val="2"/>
                <w:sz w:val="21"/>
                <w:szCs w:val="21"/>
                <w:lang w:val="en-US" w:eastAsia="zh-CN" w:bidi="ar-SA"/>
              </w:rPr>
              <w:t>/m</w:t>
            </w:r>
            <w:r>
              <w:rPr>
                <w:rFonts w:hint="default" w:ascii="Times New Roman" w:hAnsi="Times New Roman" w:eastAsia="宋体" w:cs="Times New Roman"/>
                <w:b w:val="0"/>
                <w:kern w:val="2"/>
                <w:sz w:val="21"/>
                <w:szCs w:val="21"/>
                <w:vertAlign w:val="superscript"/>
                <w:lang w:val="en-US" w:eastAsia="zh-CN" w:bidi="ar-SA"/>
              </w:rPr>
              <w:t>3</w:t>
            </w:r>
          </w:p>
        </w:tc>
        <w:tc>
          <w:tcPr>
            <w:tcW w:w="1344" w:type="pct"/>
            <w:vAlign w:val="center"/>
          </w:tcPr>
          <w:p w14:paraId="29B9F149">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0.02</w:t>
            </w:r>
          </w:p>
        </w:tc>
        <w:tc>
          <w:tcPr>
            <w:tcW w:w="761" w:type="pct"/>
            <w:vAlign w:val="center"/>
          </w:tcPr>
          <w:p w14:paraId="00617D47">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p>
        </w:tc>
      </w:tr>
      <w:tr w14:paraId="500E08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trPr>
        <w:tc>
          <w:tcPr>
            <w:tcW w:w="325" w:type="pct"/>
            <w:vAlign w:val="center"/>
          </w:tcPr>
          <w:p w14:paraId="3487B49F">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p>
        </w:tc>
        <w:tc>
          <w:tcPr>
            <w:tcW w:w="1966" w:type="pct"/>
            <w:vAlign w:val="center"/>
          </w:tcPr>
          <w:p w14:paraId="14CEDA34">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生产平均剥采比</w:t>
            </w:r>
          </w:p>
        </w:tc>
        <w:tc>
          <w:tcPr>
            <w:tcW w:w="604" w:type="pct"/>
            <w:vAlign w:val="center"/>
          </w:tcPr>
          <w:p w14:paraId="7EDFFA3A">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m</w:t>
            </w:r>
            <w:r>
              <w:rPr>
                <w:rFonts w:hint="default" w:ascii="Times New Roman" w:hAnsi="Times New Roman" w:eastAsia="宋体" w:cs="Times New Roman"/>
                <w:b w:val="0"/>
                <w:kern w:val="2"/>
                <w:sz w:val="21"/>
                <w:szCs w:val="21"/>
                <w:vertAlign w:val="superscript"/>
                <w:lang w:val="en-US" w:eastAsia="zh-CN" w:bidi="ar-SA"/>
              </w:rPr>
              <w:t>3</w:t>
            </w:r>
            <w:r>
              <w:rPr>
                <w:rFonts w:hint="default" w:ascii="Times New Roman" w:hAnsi="Times New Roman" w:eastAsia="宋体" w:cs="Times New Roman"/>
                <w:b w:val="0"/>
                <w:kern w:val="2"/>
                <w:sz w:val="21"/>
                <w:szCs w:val="21"/>
                <w:lang w:val="en-US" w:eastAsia="zh-CN" w:bidi="ar-SA"/>
              </w:rPr>
              <w:t>/m</w:t>
            </w:r>
            <w:r>
              <w:rPr>
                <w:rFonts w:hint="default" w:ascii="Times New Roman" w:hAnsi="Times New Roman" w:eastAsia="宋体" w:cs="Times New Roman"/>
                <w:b w:val="0"/>
                <w:kern w:val="2"/>
                <w:sz w:val="21"/>
                <w:szCs w:val="21"/>
                <w:vertAlign w:val="superscript"/>
                <w:lang w:val="en-US" w:eastAsia="zh-CN" w:bidi="ar-SA"/>
              </w:rPr>
              <w:t>3</w:t>
            </w:r>
          </w:p>
        </w:tc>
        <w:tc>
          <w:tcPr>
            <w:tcW w:w="1344" w:type="pct"/>
            <w:vAlign w:val="center"/>
          </w:tcPr>
          <w:p w14:paraId="74115A67">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0.02</w:t>
            </w:r>
          </w:p>
        </w:tc>
        <w:tc>
          <w:tcPr>
            <w:tcW w:w="761" w:type="pct"/>
            <w:vAlign w:val="center"/>
          </w:tcPr>
          <w:p w14:paraId="34F8AA30">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p>
        </w:tc>
      </w:tr>
      <w:tr w14:paraId="31494A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trPr>
        <w:tc>
          <w:tcPr>
            <w:tcW w:w="325" w:type="pct"/>
            <w:vAlign w:val="center"/>
          </w:tcPr>
          <w:p w14:paraId="40E12AC6">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2.3</w:t>
            </w:r>
          </w:p>
        </w:tc>
        <w:tc>
          <w:tcPr>
            <w:tcW w:w="1966" w:type="pct"/>
            <w:vAlign w:val="center"/>
          </w:tcPr>
          <w:p w14:paraId="242F2CCB">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矿山服务年限</w:t>
            </w:r>
          </w:p>
        </w:tc>
        <w:tc>
          <w:tcPr>
            <w:tcW w:w="604" w:type="pct"/>
            <w:vAlign w:val="center"/>
          </w:tcPr>
          <w:p w14:paraId="6DE6B4D7">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年</w:t>
            </w:r>
          </w:p>
        </w:tc>
        <w:tc>
          <w:tcPr>
            <w:tcW w:w="1344" w:type="pct"/>
            <w:vAlign w:val="center"/>
          </w:tcPr>
          <w:p w14:paraId="7BAF5724">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24</w:t>
            </w:r>
          </w:p>
        </w:tc>
        <w:tc>
          <w:tcPr>
            <w:tcW w:w="761" w:type="pct"/>
            <w:vAlign w:val="center"/>
          </w:tcPr>
          <w:p w14:paraId="4575A267">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p>
        </w:tc>
      </w:tr>
      <w:tr w14:paraId="46E588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trPr>
        <w:tc>
          <w:tcPr>
            <w:tcW w:w="325" w:type="pct"/>
            <w:vMerge w:val="restart"/>
            <w:vAlign w:val="center"/>
          </w:tcPr>
          <w:p w14:paraId="6E363DCD">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2.4</w:t>
            </w:r>
          </w:p>
        </w:tc>
        <w:tc>
          <w:tcPr>
            <w:tcW w:w="1966" w:type="pct"/>
            <w:vAlign w:val="center"/>
          </w:tcPr>
          <w:p w14:paraId="023B44F7">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矿山基建时间</w:t>
            </w:r>
          </w:p>
        </w:tc>
        <w:tc>
          <w:tcPr>
            <w:tcW w:w="604" w:type="pct"/>
            <w:vAlign w:val="center"/>
          </w:tcPr>
          <w:p w14:paraId="46EFD0FD">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月</w:t>
            </w:r>
          </w:p>
        </w:tc>
        <w:tc>
          <w:tcPr>
            <w:tcW w:w="1344" w:type="pct"/>
            <w:vAlign w:val="center"/>
          </w:tcPr>
          <w:p w14:paraId="70793300">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6</w:t>
            </w:r>
          </w:p>
        </w:tc>
        <w:tc>
          <w:tcPr>
            <w:tcW w:w="761" w:type="pct"/>
            <w:vAlign w:val="center"/>
          </w:tcPr>
          <w:p w14:paraId="3FA164B7">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p>
        </w:tc>
      </w:tr>
      <w:tr w14:paraId="61F33C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trPr>
        <w:tc>
          <w:tcPr>
            <w:tcW w:w="325" w:type="pct"/>
            <w:vMerge w:val="continue"/>
            <w:vAlign w:val="center"/>
          </w:tcPr>
          <w:p w14:paraId="2B7970B8">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p>
        </w:tc>
        <w:tc>
          <w:tcPr>
            <w:tcW w:w="1966" w:type="pct"/>
            <w:vAlign w:val="center"/>
          </w:tcPr>
          <w:p w14:paraId="7BF6E1A9">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基建工程量</w:t>
            </w:r>
          </w:p>
        </w:tc>
        <w:tc>
          <w:tcPr>
            <w:tcW w:w="604" w:type="pct"/>
            <w:vAlign w:val="center"/>
          </w:tcPr>
          <w:p w14:paraId="256D85AE">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万m3</w:t>
            </w:r>
          </w:p>
        </w:tc>
        <w:tc>
          <w:tcPr>
            <w:tcW w:w="1344" w:type="pct"/>
            <w:vAlign w:val="center"/>
          </w:tcPr>
          <w:p w14:paraId="541A2034">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6.91</w:t>
            </w:r>
          </w:p>
        </w:tc>
        <w:tc>
          <w:tcPr>
            <w:tcW w:w="761" w:type="pct"/>
            <w:vAlign w:val="center"/>
          </w:tcPr>
          <w:p w14:paraId="6BCE04D5">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p>
        </w:tc>
      </w:tr>
      <w:tr w14:paraId="31E7A2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trPr>
        <w:tc>
          <w:tcPr>
            <w:tcW w:w="325" w:type="pct"/>
            <w:vMerge w:val="continue"/>
            <w:vAlign w:val="center"/>
          </w:tcPr>
          <w:p w14:paraId="15F827F9">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p>
        </w:tc>
        <w:tc>
          <w:tcPr>
            <w:tcW w:w="1966" w:type="pct"/>
            <w:vAlign w:val="center"/>
          </w:tcPr>
          <w:p w14:paraId="494A0857">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其中：副产矿石量</w:t>
            </w:r>
          </w:p>
        </w:tc>
        <w:tc>
          <w:tcPr>
            <w:tcW w:w="604" w:type="pct"/>
            <w:vAlign w:val="center"/>
          </w:tcPr>
          <w:p w14:paraId="73DFC04F">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万t</w:t>
            </w:r>
          </w:p>
        </w:tc>
        <w:tc>
          <w:tcPr>
            <w:tcW w:w="1344" w:type="pct"/>
            <w:vAlign w:val="center"/>
          </w:tcPr>
          <w:p w14:paraId="6B8744E3">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13.75</w:t>
            </w:r>
          </w:p>
        </w:tc>
        <w:tc>
          <w:tcPr>
            <w:tcW w:w="761" w:type="pct"/>
            <w:vAlign w:val="center"/>
          </w:tcPr>
          <w:p w14:paraId="73A1E040">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6.11万m3</w:t>
            </w:r>
          </w:p>
        </w:tc>
      </w:tr>
      <w:tr w14:paraId="0090E9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trPr>
        <w:tc>
          <w:tcPr>
            <w:tcW w:w="325" w:type="pct"/>
            <w:vMerge w:val="restart"/>
            <w:vAlign w:val="center"/>
          </w:tcPr>
          <w:p w14:paraId="1CF3F7A1">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2.5</w:t>
            </w:r>
          </w:p>
        </w:tc>
        <w:tc>
          <w:tcPr>
            <w:tcW w:w="1966" w:type="pct"/>
            <w:vAlign w:val="center"/>
          </w:tcPr>
          <w:p w14:paraId="321D1D10">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开拓运输方式</w:t>
            </w:r>
          </w:p>
        </w:tc>
        <w:tc>
          <w:tcPr>
            <w:tcW w:w="604" w:type="pct"/>
            <w:vAlign w:val="center"/>
          </w:tcPr>
          <w:p w14:paraId="35959AB9">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p>
        </w:tc>
        <w:tc>
          <w:tcPr>
            <w:tcW w:w="1344" w:type="pct"/>
            <w:vAlign w:val="center"/>
          </w:tcPr>
          <w:p w14:paraId="4EAB8E4C">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公路开拓，汽车运输</w:t>
            </w:r>
          </w:p>
        </w:tc>
        <w:tc>
          <w:tcPr>
            <w:tcW w:w="761" w:type="pct"/>
            <w:vAlign w:val="center"/>
          </w:tcPr>
          <w:p w14:paraId="591EB6FA">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p>
        </w:tc>
      </w:tr>
      <w:tr w14:paraId="58FF71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trPr>
        <w:tc>
          <w:tcPr>
            <w:tcW w:w="325" w:type="pct"/>
            <w:vMerge w:val="continue"/>
            <w:vAlign w:val="center"/>
          </w:tcPr>
          <w:p w14:paraId="7122DF35">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p>
        </w:tc>
        <w:tc>
          <w:tcPr>
            <w:tcW w:w="1966" w:type="pct"/>
            <w:vAlign w:val="center"/>
          </w:tcPr>
          <w:p w14:paraId="447A34BC">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汽车型号</w:t>
            </w:r>
          </w:p>
        </w:tc>
        <w:tc>
          <w:tcPr>
            <w:tcW w:w="604" w:type="pct"/>
            <w:vAlign w:val="center"/>
          </w:tcPr>
          <w:p w14:paraId="5632CEAF">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p>
        </w:tc>
        <w:tc>
          <w:tcPr>
            <w:tcW w:w="1344" w:type="pct"/>
            <w:vAlign w:val="center"/>
          </w:tcPr>
          <w:p w14:paraId="1583295B">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20t自卸汽车</w:t>
            </w:r>
          </w:p>
        </w:tc>
        <w:tc>
          <w:tcPr>
            <w:tcW w:w="761" w:type="pct"/>
            <w:vAlign w:val="center"/>
          </w:tcPr>
          <w:p w14:paraId="0DCE41E4">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p>
        </w:tc>
      </w:tr>
      <w:tr w14:paraId="6C36B6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trPr>
        <w:tc>
          <w:tcPr>
            <w:tcW w:w="325" w:type="pct"/>
            <w:vMerge w:val="continue"/>
            <w:vAlign w:val="center"/>
          </w:tcPr>
          <w:p w14:paraId="3BA5E868">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p>
        </w:tc>
        <w:tc>
          <w:tcPr>
            <w:tcW w:w="1966" w:type="pct"/>
            <w:vAlign w:val="center"/>
          </w:tcPr>
          <w:p w14:paraId="5E3700BB">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数量</w:t>
            </w:r>
          </w:p>
        </w:tc>
        <w:tc>
          <w:tcPr>
            <w:tcW w:w="604" w:type="pct"/>
            <w:vAlign w:val="center"/>
          </w:tcPr>
          <w:p w14:paraId="4EA3FF8B">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辆</w:t>
            </w:r>
          </w:p>
        </w:tc>
        <w:tc>
          <w:tcPr>
            <w:tcW w:w="1344" w:type="pct"/>
            <w:vAlign w:val="center"/>
          </w:tcPr>
          <w:p w14:paraId="16751F4C">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4</w:t>
            </w:r>
          </w:p>
        </w:tc>
        <w:tc>
          <w:tcPr>
            <w:tcW w:w="761" w:type="pct"/>
            <w:vAlign w:val="center"/>
          </w:tcPr>
          <w:p w14:paraId="776702E4">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p>
        </w:tc>
      </w:tr>
      <w:tr w14:paraId="63AFDD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trPr>
        <w:tc>
          <w:tcPr>
            <w:tcW w:w="325" w:type="pct"/>
            <w:vMerge w:val="restart"/>
            <w:vAlign w:val="center"/>
          </w:tcPr>
          <w:p w14:paraId="6BF858A7">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2.6</w:t>
            </w:r>
          </w:p>
        </w:tc>
        <w:tc>
          <w:tcPr>
            <w:tcW w:w="1966" w:type="pct"/>
            <w:vAlign w:val="center"/>
          </w:tcPr>
          <w:p w14:paraId="5E5D678E">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破碎站</w:t>
            </w:r>
          </w:p>
        </w:tc>
        <w:tc>
          <w:tcPr>
            <w:tcW w:w="604" w:type="pct"/>
            <w:vAlign w:val="center"/>
          </w:tcPr>
          <w:p w14:paraId="47B3FE53">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t/h</w:t>
            </w:r>
          </w:p>
        </w:tc>
        <w:tc>
          <w:tcPr>
            <w:tcW w:w="1344" w:type="pct"/>
            <w:vAlign w:val="center"/>
          </w:tcPr>
          <w:p w14:paraId="4BA0A895">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250</w:t>
            </w:r>
          </w:p>
        </w:tc>
        <w:tc>
          <w:tcPr>
            <w:tcW w:w="761" w:type="pct"/>
            <w:vAlign w:val="center"/>
          </w:tcPr>
          <w:p w14:paraId="2BB41107">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p>
        </w:tc>
      </w:tr>
      <w:tr w14:paraId="0C11DA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trPr>
        <w:tc>
          <w:tcPr>
            <w:tcW w:w="325" w:type="pct"/>
            <w:vMerge w:val="continue"/>
            <w:vAlign w:val="center"/>
          </w:tcPr>
          <w:p w14:paraId="2A21485E">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p>
        </w:tc>
        <w:tc>
          <w:tcPr>
            <w:tcW w:w="1966" w:type="pct"/>
            <w:vAlign w:val="center"/>
          </w:tcPr>
          <w:p w14:paraId="6BE3DD51">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bookmarkStart w:id="374" w:name="_Hlk197596976"/>
            <w:r>
              <w:rPr>
                <w:rFonts w:hint="default" w:ascii="Times New Roman" w:hAnsi="Times New Roman" w:eastAsia="宋体" w:cs="Times New Roman"/>
                <w:b w:val="0"/>
                <w:kern w:val="2"/>
                <w:sz w:val="21"/>
                <w:szCs w:val="21"/>
                <w:lang w:val="en-US" w:eastAsia="zh-CN" w:bidi="ar-SA"/>
              </w:rPr>
              <w:t>破碎机规格</w:t>
            </w:r>
            <w:bookmarkEnd w:id="374"/>
          </w:p>
        </w:tc>
        <w:tc>
          <w:tcPr>
            <w:tcW w:w="604" w:type="pct"/>
            <w:vAlign w:val="center"/>
          </w:tcPr>
          <w:p w14:paraId="3383E60D">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p>
        </w:tc>
        <w:tc>
          <w:tcPr>
            <w:tcW w:w="1344" w:type="pct"/>
            <w:vAlign w:val="center"/>
          </w:tcPr>
          <w:p w14:paraId="4AD8DCCF">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p>
        </w:tc>
        <w:tc>
          <w:tcPr>
            <w:tcW w:w="761" w:type="pct"/>
            <w:vAlign w:val="center"/>
          </w:tcPr>
          <w:p w14:paraId="72A51A8D">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p>
        </w:tc>
      </w:tr>
      <w:tr w14:paraId="7F54E3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trPr>
        <w:tc>
          <w:tcPr>
            <w:tcW w:w="325" w:type="pct"/>
            <w:vMerge w:val="continue"/>
            <w:vAlign w:val="center"/>
          </w:tcPr>
          <w:p w14:paraId="66FF32A4">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p>
        </w:tc>
        <w:tc>
          <w:tcPr>
            <w:tcW w:w="1966" w:type="pct"/>
            <w:vAlign w:val="center"/>
          </w:tcPr>
          <w:p w14:paraId="6CF34650">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中天节能四号制砂机</w:t>
            </w:r>
          </w:p>
        </w:tc>
        <w:tc>
          <w:tcPr>
            <w:tcW w:w="604" w:type="pct"/>
            <w:vAlign w:val="center"/>
          </w:tcPr>
          <w:p w14:paraId="15B26FBA">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台</w:t>
            </w:r>
          </w:p>
        </w:tc>
        <w:tc>
          <w:tcPr>
            <w:tcW w:w="1344" w:type="pct"/>
            <w:vAlign w:val="center"/>
          </w:tcPr>
          <w:p w14:paraId="71B3D7F3">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1</w:t>
            </w:r>
          </w:p>
        </w:tc>
        <w:tc>
          <w:tcPr>
            <w:tcW w:w="761" w:type="pct"/>
            <w:vAlign w:val="center"/>
          </w:tcPr>
          <w:p w14:paraId="60FCD1B1">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p>
        </w:tc>
      </w:tr>
      <w:tr w14:paraId="17CFB6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trPr>
        <w:tc>
          <w:tcPr>
            <w:tcW w:w="325" w:type="pct"/>
            <w:vMerge w:val="continue"/>
            <w:vAlign w:val="center"/>
          </w:tcPr>
          <w:p w14:paraId="0C8124D2">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p>
        </w:tc>
        <w:tc>
          <w:tcPr>
            <w:tcW w:w="1966" w:type="pct"/>
            <w:vAlign w:val="center"/>
          </w:tcPr>
          <w:p w14:paraId="422F8D54">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中天节能四号制砂机</w:t>
            </w:r>
          </w:p>
        </w:tc>
        <w:tc>
          <w:tcPr>
            <w:tcW w:w="604" w:type="pct"/>
            <w:vAlign w:val="center"/>
          </w:tcPr>
          <w:p w14:paraId="78C2CAA8">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台</w:t>
            </w:r>
          </w:p>
        </w:tc>
        <w:tc>
          <w:tcPr>
            <w:tcW w:w="1344" w:type="pct"/>
            <w:vAlign w:val="center"/>
          </w:tcPr>
          <w:p w14:paraId="087554E8">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1</w:t>
            </w:r>
          </w:p>
        </w:tc>
        <w:tc>
          <w:tcPr>
            <w:tcW w:w="761" w:type="pct"/>
            <w:vAlign w:val="center"/>
          </w:tcPr>
          <w:p w14:paraId="7229D69F">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p>
        </w:tc>
      </w:tr>
      <w:tr w14:paraId="77CB68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trPr>
        <w:tc>
          <w:tcPr>
            <w:tcW w:w="325" w:type="pct"/>
            <w:vMerge w:val="restart"/>
            <w:vAlign w:val="center"/>
          </w:tcPr>
          <w:p w14:paraId="0974F576">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2.7</w:t>
            </w:r>
          </w:p>
        </w:tc>
        <w:tc>
          <w:tcPr>
            <w:tcW w:w="1966" w:type="pct"/>
            <w:vAlign w:val="center"/>
          </w:tcPr>
          <w:p w14:paraId="1D90C04D">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二级矿量保有量</w:t>
            </w:r>
          </w:p>
        </w:tc>
        <w:tc>
          <w:tcPr>
            <w:tcW w:w="604" w:type="pct"/>
            <w:vAlign w:val="center"/>
          </w:tcPr>
          <w:p w14:paraId="700ED7C0">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p>
        </w:tc>
        <w:tc>
          <w:tcPr>
            <w:tcW w:w="1344" w:type="pct"/>
            <w:vAlign w:val="center"/>
          </w:tcPr>
          <w:p w14:paraId="49C53750">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p>
        </w:tc>
        <w:tc>
          <w:tcPr>
            <w:tcW w:w="761" w:type="pct"/>
            <w:vAlign w:val="center"/>
          </w:tcPr>
          <w:p w14:paraId="3443A34C">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p>
        </w:tc>
      </w:tr>
      <w:tr w14:paraId="79A469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trPr>
        <w:tc>
          <w:tcPr>
            <w:tcW w:w="325" w:type="pct"/>
            <w:vMerge w:val="continue"/>
            <w:vAlign w:val="center"/>
          </w:tcPr>
          <w:p w14:paraId="64328BDD">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p>
        </w:tc>
        <w:tc>
          <w:tcPr>
            <w:tcW w:w="1966" w:type="pct"/>
            <w:vAlign w:val="center"/>
          </w:tcPr>
          <w:p w14:paraId="19130CC7">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开拓矿量</w:t>
            </w:r>
          </w:p>
        </w:tc>
        <w:tc>
          <w:tcPr>
            <w:tcW w:w="604" w:type="pct"/>
            <w:vAlign w:val="center"/>
          </w:tcPr>
          <w:p w14:paraId="3211C66A">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万t</w:t>
            </w:r>
          </w:p>
        </w:tc>
        <w:tc>
          <w:tcPr>
            <w:tcW w:w="1344" w:type="pct"/>
            <w:vAlign w:val="center"/>
          </w:tcPr>
          <w:p w14:paraId="6275A3AC">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65.95</w:t>
            </w:r>
          </w:p>
        </w:tc>
        <w:tc>
          <w:tcPr>
            <w:tcW w:w="761" w:type="pct"/>
            <w:vAlign w:val="center"/>
          </w:tcPr>
          <w:p w14:paraId="7873D01A">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p>
        </w:tc>
      </w:tr>
      <w:tr w14:paraId="068B66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trPr>
        <w:tc>
          <w:tcPr>
            <w:tcW w:w="325" w:type="pct"/>
            <w:vMerge w:val="continue"/>
            <w:vAlign w:val="center"/>
          </w:tcPr>
          <w:p w14:paraId="6FE347AA">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p>
        </w:tc>
        <w:tc>
          <w:tcPr>
            <w:tcW w:w="1966" w:type="pct"/>
            <w:vAlign w:val="center"/>
          </w:tcPr>
          <w:p w14:paraId="7E556C02">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备采矿量</w:t>
            </w:r>
          </w:p>
        </w:tc>
        <w:tc>
          <w:tcPr>
            <w:tcW w:w="604" w:type="pct"/>
            <w:vAlign w:val="center"/>
          </w:tcPr>
          <w:p w14:paraId="38B3AC6B">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万t</w:t>
            </w:r>
          </w:p>
        </w:tc>
        <w:tc>
          <w:tcPr>
            <w:tcW w:w="1344" w:type="pct"/>
            <w:vAlign w:val="center"/>
          </w:tcPr>
          <w:p w14:paraId="5C35CA18">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16</w:t>
            </w:r>
          </w:p>
        </w:tc>
        <w:tc>
          <w:tcPr>
            <w:tcW w:w="761" w:type="pct"/>
            <w:vAlign w:val="center"/>
          </w:tcPr>
          <w:p w14:paraId="37FC1789">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p>
        </w:tc>
      </w:tr>
      <w:tr w14:paraId="4735F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trPr>
        <w:tc>
          <w:tcPr>
            <w:tcW w:w="325" w:type="pct"/>
            <w:vAlign w:val="center"/>
          </w:tcPr>
          <w:p w14:paraId="303E87C1">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2.8</w:t>
            </w:r>
          </w:p>
        </w:tc>
        <w:tc>
          <w:tcPr>
            <w:tcW w:w="1966" w:type="pct"/>
            <w:vAlign w:val="center"/>
          </w:tcPr>
          <w:p w14:paraId="44599E26">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矿石贫化率</w:t>
            </w:r>
          </w:p>
        </w:tc>
        <w:tc>
          <w:tcPr>
            <w:tcW w:w="604" w:type="pct"/>
            <w:vAlign w:val="center"/>
          </w:tcPr>
          <w:p w14:paraId="67C6A08A">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w:t>
            </w:r>
          </w:p>
        </w:tc>
        <w:tc>
          <w:tcPr>
            <w:tcW w:w="1344" w:type="pct"/>
            <w:vAlign w:val="center"/>
          </w:tcPr>
          <w:p w14:paraId="413223E2">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0</w:t>
            </w:r>
          </w:p>
        </w:tc>
        <w:tc>
          <w:tcPr>
            <w:tcW w:w="761" w:type="pct"/>
            <w:vAlign w:val="center"/>
          </w:tcPr>
          <w:p w14:paraId="6A4F73CE">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p>
        </w:tc>
      </w:tr>
      <w:tr w14:paraId="55B9DE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trPr>
        <w:tc>
          <w:tcPr>
            <w:tcW w:w="325" w:type="pct"/>
            <w:vAlign w:val="center"/>
          </w:tcPr>
          <w:p w14:paraId="3F6FBF43">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2.9</w:t>
            </w:r>
          </w:p>
        </w:tc>
        <w:tc>
          <w:tcPr>
            <w:tcW w:w="1966" w:type="pct"/>
            <w:vAlign w:val="center"/>
          </w:tcPr>
          <w:p w14:paraId="6EEC06DC">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矿石损失率</w:t>
            </w:r>
          </w:p>
        </w:tc>
        <w:tc>
          <w:tcPr>
            <w:tcW w:w="604" w:type="pct"/>
            <w:vAlign w:val="center"/>
          </w:tcPr>
          <w:p w14:paraId="0EEBEAE1">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w:t>
            </w:r>
          </w:p>
        </w:tc>
        <w:tc>
          <w:tcPr>
            <w:tcW w:w="1344" w:type="pct"/>
            <w:vAlign w:val="center"/>
          </w:tcPr>
          <w:p w14:paraId="142DD79D">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5</w:t>
            </w:r>
          </w:p>
        </w:tc>
        <w:tc>
          <w:tcPr>
            <w:tcW w:w="761" w:type="pct"/>
            <w:vAlign w:val="center"/>
          </w:tcPr>
          <w:p w14:paraId="6F4B4A6A">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p>
        </w:tc>
      </w:tr>
      <w:tr w14:paraId="5CEB97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trPr>
        <w:tc>
          <w:tcPr>
            <w:tcW w:w="325" w:type="pct"/>
            <w:vMerge w:val="restart"/>
            <w:vAlign w:val="center"/>
          </w:tcPr>
          <w:p w14:paraId="5C21BA75">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2.10</w:t>
            </w:r>
          </w:p>
        </w:tc>
        <w:tc>
          <w:tcPr>
            <w:tcW w:w="1966" w:type="pct"/>
            <w:vMerge w:val="restart"/>
            <w:vAlign w:val="center"/>
          </w:tcPr>
          <w:p w14:paraId="48E7B665">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工作制度</w:t>
            </w:r>
          </w:p>
        </w:tc>
        <w:tc>
          <w:tcPr>
            <w:tcW w:w="604" w:type="pct"/>
            <w:vAlign w:val="center"/>
          </w:tcPr>
          <w:p w14:paraId="4DBE1725">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d/a</w:t>
            </w:r>
          </w:p>
        </w:tc>
        <w:tc>
          <w:tcPr>
            <w:tcW w:w="1344" w:type="pct"/>
            <w:vAlign w:val="center"/>
          </w:tcPr>
          <w:p w14:paraId="5AFFBAC5">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300</w:t>
            </w:r>
          </w:p>
        </w:tc>
        <w:tc>
          <w:tcPr>
            <w:tcW w:w="761" w:type="pct"/>
            <w:vAlign w:val="center"/>
          </w:tcPr>
          <w:p w14:paraId="5730EA79">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p>
        </w:tc>
      </w:tr>
      <w:tr w14:paraId="1EF566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trPr>
        <w:tc>
          <w:tcPr>
            <w:tcW w:w="325" w:type="pct"/>
            <w:vMerge w:val="continue"/>
            <w:vAlign w:val="center"/>
          </w:tcPr>
          <w:p w14:paraId="780C055B">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p>
        </w:tc>
        <w:tc>
          <w:tcPr>
            <w:tcW w:w="1966" w:type="pct"/>
            <w:vMerge w:val="continue"/>
            <w:vAlign w:val="center"/>
          </w:tcPr>
          <w:p w14:paraId="3045418B">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p>
        </w:tc>
        <w:tc>
          <w:tcPr>
            <w:tcW w:w="604" w:type="pct"/>
            <w:vAlign w:val="center"/>
          </w:tcPr>
          <w:p w14:paraId="0E96CC8C">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班/d</w:t>
            </w:r>
          </w:p>
        </w:tc>
        <w:tc>
          <w:tcPr>
            <w:tcW w:w="1344" w:type="pct"/>
            <w:vAlign w:val="center"/>
          </w:tcPr>
          <w:p w14:paraId="28B2E591">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1</w:t>
            </w:r>
          </w:p>
        </w:tc>
        <w:tc>
          <w:tcPr>
            <w:tcW w:w="761" w:type="pct"/>
            <w:vAlign w:val="center"/>
          </w:tcPr>
          <w:p w14:paraId="2A2B9DFD">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p>
        </w:tc>
      </w:tr>
      <w:tr w14:paraId="57B323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trPr>
        <w:tc>
          <w:tcPr>
            <w:tcW w:w="325" w:type="pct"/>
            <w:vMerge w:val="continue"/>
            <w:vAlign w:val="center"/>
          </w:tcPr>
          <w:p w14:paraId="27BC6503">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p>
        </w:tc>
        <w:tc>
          <w:tcPr>
            <w:tcW w:w="1966" w:type="pct"/>
            <w:vMerge w:val="continue"/>
            <w:vAlign w:val="center"/>
          </w:tcPr>
          <w:p w14:paraId="31FFEAAB">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p>
        </w:tc>
        <w:tc>
          <w:tcPr>
            <w:tcW w:w="604" w:type="pct"/>
            <w:vAlign w:val="center"/>
          </w:tcPr>
          <w:p w14:paraId="7BE5BE11">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h/班</w:t>
            </w:r>
          </w:p>
        </w:tc>
        <w:tc>
          <w:tcPr>
            <w:tcW w:w="1344" w:type="pct"/>
            <w:vAlign w:val="center"/>
          </w:tcPr>
          <w:p w14:paraId="325D9C0F">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8</w:t>
            </w:r>
          </w:p>
        </w:tc>
        <w:tc>
          <w:tcPr>
            <w:tcW w:w="761" w:type="pct"/>
            <w:vAlign w:val="center"/>
          </w:tcPr>
          <w:p w14:paraId="5C93EA91">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p>
        </w:tc>
      </w:tr>
      <w:tr w14:paraId="322467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trPr>
        <w:tc>
          <w:tcPr>
            <w:tcW w:w="325" w:type="pct"/>
            <w:vMerge w:val="restart"/>
            <w:vAlign w:val="center"/>
          </w:tcPr>
          <w:p w14:paraId="77D8B768">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2.11</w:t>
            </w:r>
          </w:p>
        </w:tc>
        <w:tc>
          <w:tcPr>
            <w:tcW w:w="1966" w:type="pct"/>
            <w:vAlign w:val="center"/>
          </w:tcPr>
          <w:p w14:paraId="742FB75F">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露天开采最终境界</w:t>
            </w:r>
          </w:p>
        </w:tc>
        <w:tc>
          <w:tcPr>
            <w:tcW w:w="604" w:type="pct"/>
            <w:vAlign w:val="center"/>
          </w:tcPr>
          <w:p w14:paraId="113236A9">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p>
        </w:tc>
        <w:tc>
          <w:tcPr>
            <w:tcW w:w="1344" w:type="pct"/>
            <w:vAlign w:val="center"/>
          </w:tcPr>
          <w:p w14:paraId="530463BE">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p>
        </w:tc>
        <w:tc>
          <w:tcPr>
            <w:tcW w:w="761" w:type="pct"/>
            <w:vAlign w:val="center"/>
          </w:tcPr>
          <w:p w14:paraId="725C7216">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p>
        </w:tc>
      </w:tr>
      <w:tr w14:paraId="74F245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trPr>
        <w:tc>
          <w:tcPr>
            <w:tcW w:w="325" w:type="pct"/>
            <w:vMerge w:val="continue"/>
            <w:vAlign w:val="center"/>
          </w:tcPr>
          <w:p w14:paraId="1E8F8943">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p>
        </w:tc>
        <w:tc>
          <w:tcPr>
            <w:tcW w:w="1966" w:type="pct"/>
            <w:vAlign w:val="center"/>
          </w:tcPr>
          <w:p w14:paraId="48352126">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上口尺寸（长、宽）</w:t>
            </w:r>
          </w:p>
        </w:tc>
        <w:tc>
          <w:tcPr>
            <w:tcW w:w="604" w:type="pct"/>
            <w:vAlign w:val="center"/>
          </w:tcPr>
          <w:p w14:paraId="5AA47A41">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m</w:t>
            </w:r>
          </w:p>
        </w:tc>
        <w:tc>
          <w:tcPr>
            <w:tcW w:w="1344" w:type="pct"/>
            <w:vAlign w:val="center"/>
          </w:tcPr>
          <w:p w14:paraId="7D004A1D">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650×540m</w:t>
            </w:r>
          </w:p>
        </w:tc>
        <w:tc>
          <w:tcPr>
            <w:tcW w:w="761" w:type="pct"/>
            <w:vAlign w:val="center"/>
          </w:tcPr>
          <w:p w14:paraId="3DDC8822">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p>
        </w:tc>
      </w:tr>
      <w:tr w14:paraId="38318C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trPr>
        <w:tc>
          <w:tcPr>
            <w:tcW w:w="325" w:type="pct"/>
            <w:vMerge w:val="continue"/>
            <w:vAlign w:val="center"/>
          </w:tcPr>
          <w:p w14:paraId="054EF6EE">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p>
        </w:tc>
        <w:tc>
          <w:tcPr>
            <w:tcW w:w="1966" w:type="pct"/>
            <w:vAlign w:val="center"/>
          </w:tcPr>
          <w:p w14:paraId="463F09C2">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坑底尺寸（长、宽）</w:t>
            </w:r>
          </w:p>
        </w:tc>
        <w:tc>
          <w:tcPr>
            <w:tcW w:w="604" w:type="pct"/>
            <w:vAlign w:val="center"/>
          </w:tcPr>
          <w:p w14:paraId="2EAF289B">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m</w:t>
            </w:r>
          </w:p>
        </w:tc>
        <w:tc>
          <w:tcPr>
            <w:tcW w:w="1344" w:type="pct"/>
            <w:vAlign w:val="center"/>
          </w:tcPr>
          <w:p w14:paraId="1B12931B">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440×400m</w:t>
            </w:r>
          </w:p>
        </w:tc>
        <w:tc>
          <w:tcPr>
            <w:tcW w:w="761" w:type="pct"/>
            <w:vAlign w:val="center"/>
          </w:tcPr>
          <w:p w14:paraId="697428B7">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p>
        </w:tc>
      </w:tr>
      <w:tr w14:paraId="0867E8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trPr>
        <w:tc>
          <w:tcPr>
            <w:tcW w:w="325" w:type="pct"/>
            <w:vMerge w:val="continue"/>
            <w:vAlign w:val="center"/>
          </w:tcPr>
          <w:p w14:paraId="679DBE5B">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p>
        </w:tc>
        <w:tc>
          <w:tcPr>
            <w:tcW w:w="1966" w:type="pct"/>
            <w:vAlign w:val="center"/>
          </w:tcPr>
          <w:p w14:paraId="746FE23E">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总高度</w:t>
            </w:r>
          </w:p>
        </w:tc>
        <w:tc>
          <w:tcPr>
            <w:tcW w:w="604" w:type="pct"/>
            <w:vAlign w:val="center"/>
          </w:tcPr>
          <w:p w14:paraId="47749B60">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m</w:t>
            </w:r>
          </w:p>
        </w:tc>
        <w:tc>
          <w:tcPr>
            <w:tcW w:w="1344" w:type="pct"/>
            <w:vAlign w:val="center"/>
          </w:tcPr>
          <w:p w14:paraId="7C7511FB">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80</w:t>
            </w:r>
          </w:p>
        </w:tc>
        <w:tc>
          <w:tcPr>
            <w:tcW w:w="761" w:type="pct"/>
            <w:vAlign w:val="center"/>
          </w:tcPr>
          <w:p w14:paraId="391F2E97">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p>
        </w:tc>
      </w:tr>
      <w:tr w14:paraId="24F7DF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trPr>
        <w:tc>
          <w:tcPr>
            <w:tcW w:w="325" w:type="pct"/>
            <w:vMerge w:val="continue"/>
            <w:vAlign w:val="center"/>
          </w:tcPr>
          <w:p w14:paraId="55A1BD69">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p>
        </w:tc>
        <w:tc>
          <w:tcPr>
            <w:tcW w:w="1966" w:type="pct"/>
            <w:vAlign w:val="center"/>
          </w:tcPr>
          <w:p w14:paraId="01425AA4">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最高开采台阶标高</w:t>
            </w:r>
          </w:p>
        </w:tc>
        <w:tc>
          <w:tcPr>
            <w:tcW w:w="604" w:type="pct"/>
            <w:vAlign w:val="center"/>
          </w:tcPr>
          <w:p w14:paraId="54B1BA03">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m</w:t>
            </w:r>
          </w:p>
        </w:tc>
        <w:tc>
          <w:tcPr>
            <w:tcW w:w="1344" w:type="pct"/>
            <w:vAlign w:val="center"/>
          </w:tcPr>
          <w:p w14:paraId="155402D7">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1542</w:t>
            </w:r>
          </w:p>
        </w:tc>
        <w:tc>
          <w:tcPr>
            <w:tcW w:w="761" w:type="pct"/>
            <w:vAlign w:val="center"/>
          </w:tcPr>
          <w:p w14:paraId="1E056E92">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p>
        </w:tc>
      </w:tr>
      <w:tr w14:paraId="56957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trPr>
        <w:tc>
          <w:tcPr>
            <w:tcW w:w="325" w:type="pct"/>
            <w:vMerge w:val="continue"/>
            <w:vAlign w:val="center"/>
          </w:tcPr>
          <w:p w14:paraId="1B04B8C9">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p>
        </w:tc>
        <w:tc>
          <w:tcPr>
            <w:tcW w:w="1966" w:type="pct"/>
            <w:vAlign w:val="center"/>
          </w:tcPr>
          <w:p w14:paraId="50B490EE">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最低开采台阶标高</w:t>
            </w:r>
          </w:p>
        </w:tc>
        <w:tc>
          <w:tcPr>
            <w:tcW w:w="604" w:type="pct"/>
            <w:vAlign w:val="center"/>
          </w:tcPr>
          <w:p w14:paraId="16040E63">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m</w:t>
            </w:r>
          </w:p>
        </w:tc>
        <w:tc>
          <w:tcPr>
            <w:tcW w:w="1344" w:type="pct"/>
            <w:vAlign w:val="center"/>
          </w:tcPr>
          <w:p w14:paraId="2BEA12AB">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1470</w:t>
            </w:r>
          </w:p>
        </w:tc>
        <w:tc>
          <w:tcPr>
            <w:tcW w:w="761" w:type="pct"/>
            <w:vAlign w:val="center"/>
          </w:tcPr>
          <w:p w14:paraId="1E8D38D8">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p>
        </w:tc>
      </w:tr>
      <w:tr w14:paraId="62921C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trPr>
        <w:tc>
          <w:tcPr>
            <w:tcW w:w="325" w:type="pct"/>
            <w:vMerge w:val="continue"/>
            <w:vAlign w:val="center"/>
          </w:tcPr>
          <w:p w14:paraId="0D308157">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p>
        </w:tc>
        <w:tc>
          <w:tcPr>
            <w:tcW w:w="1966" w:type="pct"/>
            <w:vAlign w:val="center"/>
          </w:tcPr>
          <w:p w14:paraId="5A0B1181">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最终帮坡角</w:t>
            </w:r>
          </w:p>
        </w:tc>
        <w:tc>
          <w:tcPr>
            <w:tcW w:w="604" w:type="pct"/>
            <w:vAlign w:val="center"/>
          </w:tcPr>
          <w:p w14:paraId="0292370A">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w:t>
            </w:r>
          </w:p>
        </w:tc>
        <w:tc>
          <w:tcPr>
            <w:tcW w:w="1344" w:type="pct"/>
            <w:vAlign w:val="center"/>
          </w:tcPr>
          <w:p w14:paraId="47EAFF28">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≤38</w:t>
            </w:r>
          </w:p>
        </w:tc>
        <w:tc>
          <w:tcPr>
            <w:tcW w:w="761" w:type="pct"/>
            <w:vAlign w:val="center"/>
          </w:tcPr>
          <w:p w14:paraId="2CCEC978">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p>
        </w:tc>
      </w:tr>
      <w:tr w14:paraId="7D5B8C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trPr>
        <w:tc>
          <w:tcPr>
            <w:tcW w:w="325" w:type="pct"/>
            <w:vMerge w:val="restart"/>
            <w:vAlign w:val="center"/>
          </w:tcPr>
          <w:p w14:paraId="51C33527">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2.12</w:t>
            </w:r>
          </w:p>
        </w:tc>
        <w:tc>
          <w:tcPr>
            <w:tcW w:w="1966" w:type="pct"/>
            <w:vAlign w:val="center"/>
          </w:tcPr>
          <w:p w14:paraId="179B6C27">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台阶参数</w:t>
            </w:r>
          </w:p>
        </w:tc>
        <w:tc>
          <w:tcPr>
            <w:tcW w:w="604" w:type="pct"/>
            <w:vAlign w:val="center"/>
          </w:tcPr>
          <w:p w14:paraId="52149072">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p>
        </w:tc>
        <w:tc>
          <w:tcPr>
            <w:tcW w:w="1344" w:type="pct"/>
            <w:vAlign w:val="center"/>
          </w:tcPr>
          <w:p w14:paraId="6479EE38">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p>
        </w:tc>
        <w:tc>
          <w:tcPr>
            <w:tcW w:w="761" w:type="pct"/>
            <w:vAlign w:val="center"/>
          </w:tcPr>
          <w:p w14:paraId="58F636B7">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p>
        </w:tc>
      </w:tr>
      <w:tr w14:paraId="53398D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trPr>
        <w:tc>
          <w:tcPr>
            <w:tcW w:w="325" w:type="pct"/>
            <w:vMerge w:val="continue"/>
            <w:vAlign w:val="center"/>
          </w:tcPr>
          <w:p w14:paraId="190399DA">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p>
        </w:tc>
        <w:tc>
          <w:tcPr>
            <w:tcW w:w="1966" w:type="pct"/>
            <w:vAlign w:val="center"/>
          </w:tcPr>
          <w:p w14:paraId="3FFD9F4C">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靠帮台阶坡面角</w:t>
            </w:r>
          </w:p>
        </w:tc>
        <w:tc>
          <w:tcPr>
            <w:tcW w:w="604" w:type="pct"/>
            <w:vAlign w:val="center"/>
          </w:tcPr>
          <w:p w14:paraId="76B4BF5C">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w:t>
            </w:r>
          </w:p>
        </w:tc>
        <w:tc>
          <w:tcPr>
            <w:tcW w:w="1344" w:type="pct"/>
            <w:vAlign w:val="center"/>
          </w:tcPr>
          <w:p w14:paraId="73E34651">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50</w:t>
            </w:r>
          </w:p>
        </w:tc>
        <w:tc>
          <w:tcPr>
            <w:tcW w:w="761" w:type="pct"/>
            <w:vAlign w:val="center"/>
          </w:tcPr>
          <w:p w14:paraId="43EECAD9">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p>
        </w:tc>
      </w:tr>
      <w:tr w14:paraId="457E40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trPr>
        <w:tc>
          <w:tcPr>
            <w:tcW w:w="325" w:type="pct"/>
            <w:vMerge w:val="continue"/>
            <w:vAlign w:val="center"/>
          </w:tcPr>
          <w:p w14:paraId="6547AD7E">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p>
        </w:tc>
        <w:tc>
          <w:tcPr>
            <w:tcW w:w="1966" w:type="pct"/>
            <w:vAlign w:val="center"/>
          </w:tcPr>
          <w:p w14:paraId="43950E10">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靠帮台阶高度</w:t>
            </w:r>
          </w:p>
        </w:tc>
        <w:tc>
          <w:tcPr>
            <w:tcW w:w="604" w:type="pct"/>
            <w:vAlign w:val="center"/>
          </w:tcPr>
          <w:p w14:paraId="16757E7B">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m</w:t>
            </w:r>
          </w:p>
        </w:tc>
        <w:tc>
          <w:tcPr>
            <w:tcW w:w="1344" w:type="pct"/>
            <w:vAlign w:val="center"/>
          </w:tcPr>
          <w:p w14:paraId="40D0248A">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8</w:t>
            </w:r>
          </w:p>
        </w:tc>
        <w:tc>
          <w:tcPr>
            <w:tcW w:w="761" w:type="pct"/>
            <w:vAlign w:val="center"/>
          </w:tcPr>
          <w:p w14:paraId="2B0C4999">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p>
        </w:tc>
      </w:tr>
      <w:tr w14:paraId="32044D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trPr>
        <w:tc>
          <w:tcPr>
            <w:tcW w:w="325" w:type="pct"/>
            <w:vMerge w:val="continue"/>
            <w:vAlign w:val="center"/>
          </w:tcPr>
          <w:p w14:paraId="44AD4E7C">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p>
        </w:tc>
        <w:tc>
          <w:tcPr>
            <w:tcW w:w="1966" w:type="pct"/>
            <w:vAlign w:val="center"/>
          </w:tcPr>
          <w:p w14:paraId="5CBBFA5C">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工作台阶高度</w:t>
            </w:r>
          </w:p>
        </w:tc>
        <w:tc>
          <w:tcPr>
            <w:tcW w:w="604" w:type="pct"/>
            <w:vAlign w:val="center"/>
          </w:tcPr>
          <w:p w14:paraId="3FA0792D">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m</w:t>
            </w:r>
          </w:p>
        </w:tc>
        <w:tc>
          <w:tcPr>
            <w:tcW w:w="1344" w:type="pct"/>
            <w:vAlign w:val="center"/>
          </w:tcPr>
          <w:p w14:paraId="4AB734C2">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8</w:t>
            </w:r>
          </w:p>
        </w:tc>
        <w:tc>
          <w:tcPr>
            <w:tcW w:w="761" w:type="pct"/>
            <w:vAlign w:val="center"/>
          </w:tcPr>
          <w:p w14:paraId="7F3A9A60">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p>
        </w:tc>
      </w:tr>
      <w:tr w14:paraId="5E51C4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trPr>
        <w:tc>
          <w:tcPr>
            <w:tcW w:w="325" w:type="pct"/>
            <w:vMerge w:val="continue"/>
            <w:vAlign w:val="center"/>
          </w:tcPr>
          <w:p w14:paraId="7B1EF131">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p>
        </w:tc>
        <w:tc>
          <w:tcPr>
            <w:tcW w:w="1966" w:type="pct"/>
            <w:vAlign w:val="center"/>
          </w:tcPr>
          <w:p w14:paraId="1596AF2D">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安全平台宽度</w:t>
            </w:r>
          </w:p>
        </w:tc>
        <w:tc>
          <w:tcPr>
            <w:tcW w:w="604" w:type="pct"/>
            <w:vAlign w:val="center"/>
          </w:tcPr>
          <w:p w14:paraId="37CF1E52">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m</w:t>
            </w:r>
          </w:p>
        </w:tc>
        <w:tc>
          <w:tcPr>
            <w:tcW w:w="1344" w:type="pct"/>
            <w:vAlign w:val="center"/>
          </w:tcPr>
          <w:p w14:paraId="2192A533">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3</w:t>
            </w:r>
          </w:p>
        </w:tc>
        <w:tc>
          <w:tcPr>
            <w:tcW w:w="761" w:type="pct"/>
            <w:vAlign w:val="center"/>
          </w:tcPr>
          <w:p w14:paraId="11A8BAE9">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p>
        </w:tc>
      </w:tr>
      <w:tr w14:paraId="7D872B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trPr>
        <w:tc>
          <w:tcPr>
            <w:tcW w:w="325" w:type="pct"/>
            <w:vMerge w:val="continue"/>
            <w:vAlign w:val="center"/>
          </w:tcPr>
          <w:p w14:paraId="5869F4DC">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p>
        </w:tc>
        <w:tc>
          <w:tcPr>
            <w:tcW w:w="1966" w:type="pct"/>
            <w:vAlign w:val="center"/>
          </w:tcPr>
          <w:p w14:paraId="33EFC909">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清扫平台宽度</w:t>
            </w:r>
          </w:p>
        </w:tc>
        <w:tc>
          <w:tcPr>
            <w:tcW w:w="604" w:type="pct"/>
            <w:vAlign w:val="center"/>
          </w:tcPr>
          <w:p w14:paraId="4DE9BBB6">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m</w:t>
            </w:r>
          </w:p>
        </w:tc>
        <w:tc>
          <w:tcPr>
            <w:tcW w:w="1344" w:type="pct"/>
            <w:vAlign w:val="center"/>
          </w:tcPr>
          <w:p w14:paraId="7E1C7BCD">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6</w:t>
            </w:r>
          </w:p>
        </w:tc>
        <w:tc>
          <w:tcPr>
            <w:tcW w:w="761" w:type="pct"/>
            <w:vAlign w:val="center"/>
          </w:tcPr>
          <w:p w14:paraId="63DE6D18">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p>
        </w:tc>
      </w:tr>
      <w:tr w14:paraId="5F34CA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trPr>
        <w:tc>
          <w:tcPr>
            <w:tcW w:w="325" w:type="pct"/>
            <w:vMerge w:val="continue"/>
            <w:vAlign w:val="center"/>
          </w:tcPr>
          <w:p w14:paraId="410AA658">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p>
        </w:tc>
        <w:tc>
          <w:tcPr>
            <w:tcW w:w="1966" w:type="pct"/>
            <w:vAlign w:val="center"/>
          </w:tcPr>
          <w:p w14:paraId="678BCD10">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运输平台宽度</w:t>
            </w:r>
          </w:p>
        </w:tc>
        <w:tc>
          <w:tcPr>
            <w:tcW w:w="604" w:type="pct"/>
            <w:vAlign w:val="center"/>
          </w:tcPr>
          <w:p w14:paraId="212F1C81">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m</w:t>
            </w:r>
          </w:p>
        </w:tc>
        <w:tc>
          <w:tcPr>
            <w:tcW w:w="1344" w:type="pct"/>
            <w:vAlign w:val="center"/>
          </w:tcPr>
          <w:p w14:paraId="370A24A7">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w:t>
            </w:r>
          </w:p>
        </w:tc>
        <w:tc>
          <w:tcPr>
            <w:tcW w:w="761" w:type="pct"/>
            <w:vAlign w:val="center"/>
          </w:tcPr>
          <w:p w14:paraId="08C6AB62">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p>
        </w:tc>
      </w:tr>
      <w:tr w14:paraId="52EE75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trPr>
        <w:tc>
          <w:tcPr>
            <w:tcW w:w="325" w:type="pct"/>
            <w:vMerge w:val="continue"/>
            <w:vAlign w:val="center"/>
          </w:tcPr>
          <w:p w14:paraId="3E292AF5">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p>
        </w:tc>
        <w:tc>
          <w:tcPr>
            <w:tcW w:w="1966" w:type="pct"/>
            <w:vAlign w:val="center"/>
          </w:tcPr>
          <w:p w14:paraId="17F83231">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工作台阶坡面角</w:t>
            </w:r>
          </w:p>
        </w:tc>
        <w:tc>
          <w:tcPr>
            <w:tcW w:w="604" w:type="pct"/>
            <w:vAlign w:val="center"/>
          </w:tcPr>
          <w:p w14:paraId="0D695012">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w:t>
            </w:r>
          </w:p>
        </w:tc>
        <w:tc>
          <w:tcPr>
            <w:tcW w:w="1344" w:type="pct"/>
            <w:vAlign w:val="center"/>
          </w:tcPr>
          <w:p w14:paraId="4BDB7C68">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50</w:t>
            </w:r>
          </w:p>
        </w:tc>
        <w:tc>
          <w:tcPr>
            <w:tcW w:w="761" w:type="pct"/>
            <w:vAlign w:val="center"/>
          </w:tcPr>
          <w:p w14:paraId="239DF5EB">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p>
        </w:tc>
      </w:tr>
      <w:tr w14:paraId="761731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trPr>
        <w:tc>
          <w:tcPr>
            <w:tcW w:w="325" w:type="pct"/>
            <w:vMerge w:val="continue"/>
            <w:vAlign w:val="center"/>
          </w:tcPr>
          <w:p w14:paraId="479FEC22">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p>
        </w:tc>
        <w:tc>
          <w:tcPr>
            <w:tcW w:w="1966" w:type="pct"/>
            <w:vAlign w:val="center"/>
          </w:tcPr>
          <w:p w14:paraId="327B6BFF">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最小工作平台宽度</w:t>
            </w:r>
          </w:p>
        </w:tc>
        <w:tc>
          <w:tcPr>
            <w:tcW w:w="604" w:type="pct"/>
            <w:vAlign w:val="center"/>
          </w:tcPr>
          <w:p w14:paraId="3607DDEF">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m</w:t>
            </w:r>
          </w:p>
        </w:tc>
        <w:tc>
          <w:tcPr>
            <w:tcW w:w="1344" w:type="pct"/>
            <w:vAlign w:val="center"/>
          </w:tcPr>
          <w:p w14:paraId="751B3808">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22</w:t>
            </w:r>
          </w:p>
        </w:tc>
        <w:tc>
          <w:tcPr>
            <w:tcW w:w="761" w:type="pct"/>
            <w:vAlign w:val="center"/>
          </w:tcPr>
          <w:p w14:paraId="49A9326A">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p>
        </w:tc>
      </w:tr>
      <w:tr w14:paraId="02888E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trPr>
        <w:tc>
          <w:tcPr>
            <w:tcW w:w="325" w:type="pct"/>
            <w:vMerge w:val="continue"/>
            <w:vAlign w:val="center"/>
          </w:tcPr>
          <w:p w14:paraId="212FD41B">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p>
        </w:tc>
        <w:tc>
          <w:tcPr>
            <w:tcW w:w="1966" w:type="pct"/>
            <w:vAlign w:val="center"/>
          </w:tcPr>
          <w:p w14:paraId="4B3BBADD">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同时开采的台阶数</w:t>
            </w:r>
          </w:p>
        </w:tc>
        <w:tc>
          <w:tcPr>
            <w:tcW w:w="604" w:type="pct"/>
            <w:vAlign w:val="center"/>
          </w:tcPr>
          <w:p w14:paraId="1E77A856">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个</w:t>
            </w:r>
          </w:p>
        </w:tc>
        <w:tc>
          <w:tcPr>
            <w:tcW w:w="1344" w:type="pct"/>
            <w:vAlign w:val="center"/>
          </w:tcPr>
          <w:p w14:paraId="168CA77A">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1</w:t>
            </w:r>
          </w:p>
        </w:tc>
        <w:tc>
          <w:tcPr>
            <w:tcW w:w="761" w:type="pct"/>
            <w:vAlign w:val="center"/>
          </w:tcPr>
          <w:p w14:paraId="07CA39A7">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p>
        </w:tc>
      </w:tr>
      <w:tr w14:paraId="12032C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trPr>
        <w:tc>
          <w:tcPr>
            <w:tcW w:w="325" w:type="pct"/>
            <w:vMerge w:val="continue"/>
            <w:vAlign w:val="center"/>
          </w:tcPr>
          <w:p w14:paraId="58B4679B">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p>
        </w:tc>
        <w:tc>
          <w:tcPr>
            <w:tcW w:w="1966" w:type="pct"/>
            <w:vAlign w:val="center"/>
          </w:tcPr>
          <w:p w14:paraId="3DD7961A">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最小工作线长度</w:t>
            </w:r>
          </w:p>
        </w:tc>
        <w:tc>
          <w:tcPr>
            <w:tcW w:w="604" w:type="pct"/>
            <w:vAlign w:val="center"/>
          </w:tcPr>
          <w:p w14:paraId="414C7575">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m</w:t>
            </w:r>
          </w:p>
        </w:tc>
        <w:tc>
          <w:tcPr>
            <w:tcW w:w="1344" w:type="pct"/>
            <w:vAlign w:val="center"/>
          </w:tcPr>
          <w:p w14:paraId="49256156">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90</w:t>
            </w:r>
          </w:p>
        </w:tc>
        <w:tc>
          <w:tcPr>
            <w:tcW w:w="761" w:type="pct"/>
            <w:vAlign w:val="center"/>
          </w:tcPr>
          <w:p w14:paraId="436289F6">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p>
        </w:tc>
      </w:tr>
      <w:tr w14:paraId="330AFA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trPr>
        <w:tc>
          <w:tcPr>
            <w:tcW w:w="325" w:type="pct"/>
            <w:vAlign w:val="center"/>
          </w:tcPr>
          <w:p w14:paraId="49E66B97">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3</w:t>
            </w:r>
          </w:p>
        </w:tc>
        <w:tc>
          <w:tcPr>
            <w:tcW w:w="4675" w:type="pct"/>
            <w:gridSpan w:val="4"/>
            <w:vAlign w:val="center"/>
          </w:tcPr>
          <w:p w14:paraId="5569DAE8">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供配电</w:t>
            </w:r>
          </w:p>
        </w:tc>
      </w:tr>
      <w:tr w14:paraId="7F19ED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trPr>
        <w:tc>
          <w:tcPr>
            <w:tcW w:w="325" w:type="pct"/>
            <w:vAlign w:val="center"/>
          </w:tcPr>
          <w:p w14:paraId="1BF46DAE">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3.1</w:t>
            </w:r>
          </w:p>
        </w:tc>
        <w:tc>
          <w:tcPr>
            <w:tcW w:w="1966" w:type="pct"/>
            <w:vAlign w:val="center"/>
          </w:tcPr>
          <w:p w14:paraId="66AF5A18">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highlight w:val="yellow"/>
                <w:lang w:val="en-US" w:eastAsia="zh-CN" w:bidi="ar-SA"/>
              </w:rPr>
            </w:pPr>
            <w:r>
              <w:rPr>
                <w:rFonts w:hint="default" w:ascii="Times New Roman" w:hAnsi="Times New Roman" w:eastAsia="宋体" w:cs="Times New Roman"/>
                <w:b w:val="0"/>
                <w:kern w:val="2"/>
                <w:sz w:val="21"/>
                <w:szCs w:val="21"/>
                <w:lang w:val="en-US" w:eastAsia="zh-CN" w:bidi="ar-SA"/>
              </w:rPr>
              <w:t>用电设备安装功率</w:t>
            </w:r>
          </w:p>
        </w:tc>
        <w:tc>
          <w:tcPr>
            <w:tcW w:w="604" w:type="pct"/>
            <w:vAlign w:val="center"/>
          </w:tcPr>
          <w:p w14:paraId="2ACCEE39">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highlight w:val="yellow"/>
                <w:lang w:val="en-US" w:eastAsia="zh-CN" w:bidi="ar-SA"/>
              </w:rPr>
            </w:pPr>
            <w:r>
              <w:rPr>
                <w:rFonts w:hint="default" w:ascii="Times New Roman" w:hAnsi="Times New Roman" w:eastAsia="宋体" w:cs="Times New Roman"/>
                <w:b w:val="0"/>
                <w:kern w:val="2"/>
                <w:sz w:val="21"/>
                <w:szCs w:val="21"/>
                <w:lang w:val="en-US" w:eastAsia="zh-CN" w:bidi="ar-SA"/>
              </w:rPr>
              <w:t>kW</w:t>
            </w:r>
          </w:p>
        </w:tc>
        <w:tc>
          <w:tcPr>
            <w:tcW w:w="1344" w:type="pct"/>
            <w:vAlign w:val="center"/>
          </w:tcPr>
          <w:p w14:paraId="4187FB0B">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highlight w:val="yellow"/>
                <w:lang w:val="en-US" w:eastAsia="zh-CN" w:bidi="ar-SA"/>
              </w:rPr>
            </w:pPr>
            <w:r>
              <w:rPr>
                <w:rFonts w:hint="default" w:ascii="Times New Roman" w:hAnsi="Times New Roman" w:eastAsia="宋体" w:cs="Times New Roman"/>
                <w:b w:val="0"/>
                <w:kern w:val="2"/>
                <w:sz w:val="21"/>
                <w:szCs w:val="21"/>
                <w:lang w:val="en-US" w:eastAsia="zh-CN" w:bidi="ar-SA"/>
              </w:rPr>
              <w:t>480</w:t>
            </w:r>
          </w:p>
        </w:tc>
        <w:tc>
          <w:tcPr>
            <w:tcW w:w="761" w:type="pct"/>
            <w:vAlign w:val="center"/>
          </w:tcPr>
          <w:p w14:paraId="5C713C70">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p>
        </w:tc>
      </w:tr>
      <w:tr w14:paraId="243FDD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trPr>
        <w:tc>
          <w:tcPr>
            <w:tcW w:w="325" w:type="pct"/>
            <w:vAlign w:val="center"/>
          </w:tcPr>
          <w:p w14:paraId="0F466E49">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3.2</w:t>
            </w:r>
          </w:p>
        </w:tc>
        <w:tc>
          <w:tcPr>
            <w:tcW w:w="1966" w:type="pct"/>
            <w:vAlign w:val="center"/>
          </w:tcPr>
          <w:p w14:paraId="1F16FBC7">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highlight w:val="yellow"/>
                <w:lang w:val="en-US" w:eastAsia="zh-CN" w:bidi="ar-SA"/>
              </w:rPr>
            </w:pPr>
            <w:r>
              <w:rPr>
                <w:rFonts w:hint="default" w:ascii="Times New Roman" w:hAnsi="Times New Roman" w:eastAsia="宋体" w:cs="Times New Roman"/>
                <w:b w:val="0"/>
                <w:kern w:val="2"/>
                <w:sz w:val="21"/>
                <w:szCs w:val="21"/>
                <w:lang w:val="en-US" w:eastAsia="zh-CN" w:bidi="ar-SA"/>
              </w:rPr>
              <w:t>用电设备工作功率</w:t>
            </w:r>
          </w:p>
        </w:tc>
        <w:tc>
          <w:tcPr>
            <w:tcW w:w="604" w:type="pct"/>
            <w:vAlign w:val="center"/>
          </w:tcPr>
          <w:p w14:paraId="40C0C6ED">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highlight w:val="yellow"/>
                <w:lang w:val="en-US" w:eastAsia="zh-CN" w:bidi="ar-SA"/>
              </w:rPr>
            </w:pPr>
            <w:r>
              <w:rPr>
                <w:rFonts w:hint="default" w:ascii="Times New Roman" w:hAnsi="Times New Roman" w:eastAsia="宋体" w:cs="Times New Roman"/>
                <w:b w:val="0"/>
                <w:kern w:val="2"/>
                <w:sz w:val="21"/>
                <w:szCs w:val="21"/>
                <w:lang w:val="en-US" w:eastAsia="zh-CN" w:bidi="ar-SA"/>
              </w:rPr>
              <w:t>kW</w:t>
            </w:r>
          </w:p>
        </w:tc>
        <w:tc>
          <w:tcPr>
            <w:tcW w:w="1344" w:type="pct"/>
            <w:vAlign w:val="center"/>
          </w:tcPr>
          <w:p w14:paraId="0DA1AF34">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highlight w:val="yellow"/>
                <w:lang w:val="en-US" w:eastAsia="zh-CN" w:bidi="ar-SA"/>
              </w:rPr>
            </w:pPr>
            <w:r>
              <w:rPr>
                <w:rFonts w:hint="default" w:ascii="Times New Roman" w:hAnsi="Times New Roman" w:eastAsia="宋体" w:cs="Times New Roman"/>
                <w:b w:val="0"/>
                <w:kern w:val="2"/>
                <w:sz w:val="21"/>
                <w:szCs w:val="21"/>
                <w:lang w:val="en-US" w:eastAsia="zh-CN" w:bidi="ar-SA"/>
              </w:rPr>
              <w:t>290.7</w:t>
            </w:r>
          </w:p>
        </w:tc>
        <w:tc>
          <w:tcPr>
            <w:tcW w:w="761" w:type="pct"/>
            <w:vAlign w:val="center"/>
          </w:tcPr>
          <w:p w14:paraId="7C331D36">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p>
        </w:tc>
      </w:tr>
      <w:tr w14:paraId="109F38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trPr>
        <w:tc>
          <w:tcPr>
            <w:tcW w:w="325" w:type="pct"/>
            <w:vAlign w:val="center"/>
          </w:tcPr>
          <w:p w14:paraId="6A7DFD68">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3.3</w:t>
            </w:r>
          </w:p>
        </w:tc>
        <w:tc>
          <w:tcPr>
            <w:tcW w:w="1966" w:type="pct"/>
            <w:vAlign w:val="center"/>
          </w:tcPr>
          <w:p w14:paraId="6E934174">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highlight w:val="yellow"/>
                <w:lang w:val="en-US" w:eastAsia="zh-CN" w:bidi="ar-SA"/>
              </w:rPr>
            </w:pPr>
            <w:r>
              <w:rPr>
                <w:rFonts w:hint="default" w:ascii="Times New Roman" w:hAnsi="Times New Roman" w:eastAsia="宋体" w:cs="Times New Roman"/>
                <w:b w:val="0"/>
                <w:kern w:val="2"/>
                <w:sz w:val="21"/>
                <w:szCs w:val="21"/>
                <w:lang w:val="en-US" w:eastAsia="zh-CN" w:bidi="ar-SA"/>
              </w:rPr>
              <w:t>计算一级负荷</w:t>
            </w:r>
          </w:p>
        </w:tc>
        <w:tc>
          <w:tcPr>
            <w:tcW w:w="604" w:type="pct"/>
            <w:vAlign w:val="center"/>
          </w:tcPr>
          <w:p w14:paraId="4150E844">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highlight w:val="yellow"/>
                <w:lang w:val="en-US" w:eastAsia="zh-CN" w:bidi="ar-SA"/>
              </w:rPr>
            </w:pPr>
          </w:p>
        </w:tc>
        <w:tc>
          <w:tcPr>
            <w:tcW w:w="1344" w:type="pct"/>
            <w:vAlign w:val="center"/>
          </w:tcPr>
          <w:p w14:paraId="7F6A972D">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highlight w:val="yellow"/>
                <w:lang w:val="en-US" w:eastAsia="zh-CN" w:bidi="ar-SA"/>
              </w:rPr>
            </w:pPr>
          </w:p>
        </w:tc>
        <w:tc>
          <w:tcPr>
            <w:tcW w:w="761" w:type="pct"/>
            <w:vAlign w:val="center"/>
          </w:tcPr>
          <w:p w14:paraId="6A65330C">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p>
        </w:tc>
      </w:tr>
      <w:tr w14:paraId="0771F5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trPr>
        <w:tc>
          <w:tcPr>
            <w:tcW w:w="325" w:type="pct"/>
            <w:vAlign w:val="center"/>
          </w:tcPr>
          <w:p w14:paraId="7A720C02">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3.4</w:t>
            </w:r>
          </w:p>
        </w:tc>
        <w:tc>
          <w:tcPr>
            <w:tcW w:w="1966" w:type="pct"/>
            <w:vAlign w:val="center"/>
          </w:tcPr>
          <w:p w14:paraId="12F5C6A0">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highlight w:val="yellow"/>
                <w:lang w:val="en-US" w:eastAsia="zh-CN" w:bidi="ar-SA"/>
              </w:rPr>
            </w:pPr>
            <w:r>
              <w:rPr>
                <w:rFonts w:hint="default" w:ascii="Times New Roman" w:hAnsi="Times New Roman" w:eastAsia="宋体" w:cs="Times New Roman"/>
                <w:b w:val="0"/>
                <w:kern w:val="2"/>
                <w:sz w:val="21"/>
                <w:szCs w:val="21"/>
                <w:lang w:val="en-US" w:eastAsia="zh-CN" w:bidi="ar-SA"/>
              </w:rPr>
              <w:t>年总用电量</w:t>
            </w:r>
          </w:p>
        </w:tc>
        <w:tc>
          <w:tcPr>
            <w:tcW w:w="604" w:type="pct"/>
            <w:vAlign w:val="center"/>
          </w:tcPr>
          <w:p w14:paraId="082CF214">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highlight w:val="yellow"/>
                <w:lang w:val="en-US" w:eastAsia="zh-CN" w:bidi="ar-SA"/>
              </w:rPr>
            </w:pPr>
            <w:r>
              <w:rPr>
                <w:rFonts w:hint="default" w:ascii="Times New Roman" w:hAnsi="Times New Roman" w:eastAsia="宋体" w:cs="Times New Roman"/>
                <w:b w:val="0"/>
                <w:kern w:val="2"/>
                <w:sz w:val="21"/>
                <w:szCs w:val="21"/>
                <w:lang w:val="en-US" w:eastAsia="zh-CN" w:bidi="ar-SA"/>
              </w:rPr>
              <w:t>万kWh/a</w:t>
            </w:r>
          </w:p>
        </w:tc>
        <w:tc>
          <w:tcPr>
            <w:tcW w:w="1344" w:type="pct"/>
            <w:vAlign w:val="center"/>
          </w:tcPr>
          <w:p w14:paraId="5C98F154">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highlight w:val="yellow"/>
                <w:lang w:val="en-US" w:eastAsia="zh-CN" w:bidi="ar-SA"/>
              </w:rPr>
            </w:pPr>
            <w:r>
              <w:rPr>
                <w:rFonts w:hint="default" w:ascii="Times New Roman" w:hAnsi="Times New Roman" w:eastAsia="宋体" w:cs="Times New Roman"/>
                <w:b w:val="0"/>
                <w:kern w:val="2"/>
                <w:sz w:val="21"/>
                <w:szCs w:val="21"/>
                <w:lang w:val="en-US" w:eastAsia="zh-CN" w:bidi="ar-SA"/>
              </w:rPr>
              <w:t>29.4</w:t>
            </w:r>
          </w:p>
        </w:tc>
        <w:tc>
          <w:tcPr>
            <w:tcW w:w="761" w:type="pct"/>
            <w:vAlign w:val="center"/>
          </w:tcPr>
          <w:p w14:paraId="79508850">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　</w:t>
            </w:r>
          </w:p>
        </w:tc>
      </w:tr>
      <w:tr w14:paraId="17F7CD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trPr>
        <w:tc>
          <w:tcPr>
            <w:tcW w:w="325" w:type="pct"/>
            <w:vAlign w:val="center"/>
          </w:tcPr>
          <w:p w14:paraId="64464F67">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3.5</w:t>
            </w:r>
          </w:p>
        </w:tc>
        <w:tc>
          <w:tcPr>
            <w:tcW w:w="1966" w:type="pct"/>
            <w:vAlign w:val="center"/>
          </w:tcPr>
          <w:p w14:paraId="1BD974EE">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highlight w:val="yellow"/>
                <w:lang w:val="en-US" w:eastAsia="zh-CN" w:bidi="ar-SA"/>
              </w:rPr>
            </w:pPr>
            <w:r>
              <w:rPr>
                <w:rFonts w:hint="default" w:ascii="Times New Roman" w:hAnsi="Times New Roman" w:eastAsia="宋体" w:cs="Times New Roman"/>
                <w:b w:val="0"/>
                <w:kern w:val="2"/>
                <w:sz w:val="21"/>
                <w:szCs w:val="21"/>
                <w:lang w:val="en-US" w:eastAsia="zh-CN" w:bidi="ar-SA"/>
              </w:rPr>
              <w:t>单位矿石耗电量</w:t>
            </w:r>
          </w:p>
        </w:tc>
        <w:tc>
          <w:tcPr>
            <w:tcW w:w="604" w:type="pct"/>
            <w:vAlign w:val="center"/>
          </w:tcPr>
          <w:p w14:paraId="2CA66AC3">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highlight w:val="yellow"/>
                <w:lang w:val="en-US" w:eastAsia="zh-CN" w:bidi="ar-SA"/>
              </w:rPr>
            </w:pPr>
            <w:r>
              <w:rPr>
                <w:rFonts w:hint="default" w:ascii="Times New Roman" w:hAnsi="Times New Roman" w:eastAsia="宋体" w:cs="Times New Roman"/>
                <w:b w:val="0"/>
                <w:kern w:val="2"/>
                <w:sz w:val="21"/>
                <w:szCs w:val="21"/>
                <w:lang w:val="en-US" w:eastAsia="zh-CN" w:bidi="ar-SA"/>
              </w:rPr>
              <w:t>kWh/t</w:t>
            </w:r>
          </w:p>
        </w:tc>
        <w:tc>
          <w:tcPr>
            <w:tcW w:w="1344" w:type="pct"/>
            <w:vAlign w:val="center"/>
          </w:tcPr>
          <w:p w14:paraId="5B0C4250">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highlight w:val="yellow"/>
                <w:lang w:val="en-US" w:eastAsia="zh-CN" w:bidi="ar-SA"/>
              </w:rPr>
            </w:pPr>
            <w:r>
              <w:rPr>
                <w:rFonts w:hint="default" w:ascii="Times New Roman" w:hAnsi="Times New Roman" w:eastAsia="宋体" w:cs="Times New Roman"/>
                <w:b w:val="0"/>
                <w:kern w:val="2"/>
                <w:sz w:val="21"/>
                <w:szCs w:val="21"/>
                <w:lang w:val="en-US" w:eastAsia="zh-CN" w:bidi="ar-SA"/>
              </w:rPr>
              <w:t>0.59</w:t>
            </w:r>
          </w:p>
        </w:tc>
        <w:tc>
          <w:tcPr>
            <w:tcW w:w="761" w:type="pct"/>
            <w:vAlign w:val="center"/>
          </w:tcPr>
          <w:p w14:paraId="58157069">
            <w:pPr>
              <w:widowControl w:val="0"/>
              <w:wordWrap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　</w:t>
            </w:r>
          </w:p>
        </w:tc>
      </w:tr>
      <w:bookmarkEnd w:id="372"/>
    </w:tbl>
    <w:p w14:paraId="31774632">
      <w:pPr>
        <w:widowControl/>
        <w:jc w:val="center"/>
        <w:rPr>
          <w:rFonts w:hint="default" w:ascii="Times New Roman" w:hAnsi="Times New Roman" w:cs="Times New Roman"/>
          <w:bCs/>
        </w:rPr>
      </w:pPr>
    </w:p>
    <w:p w14:paraId="5CC44329">
      <w:pPr>
        <w:widowControl/>
        <w:spacing w:line="360" w:lineRule="auto"/>
        <w:ind w:firstLine="560" w:firstLineChars="200"/>
        <w:jc w:val="left"/>
        <w:rPr>
          <w:rFonts w:hint="default" w:ascii="Times New Roman" w:hAnsi="Times New Roman" w:cs="Times New Roman"/>
          <w:sz w:val="28"/>
          <w:szCs w:val="28"/>
        </w:rPr>
        <w:sectPr>
          <w:pgSz w:w="11905" w:h="16838"/>
          <w:pgMar w:top="1418" w:right="1134" w:bottom="1134" w:left="1588" w:header="850" w:footer="850" w:gutter="0"/>
          <w:cols w:space="720" w:num="1"/>
          <w:docGrid w:linePitch="332" w:charSpace="0"/>
        </w:sectPr>
      </w:pPr>
      <w:bookmarkStart w:id="375" w:name="_Toc7483"/>
    </w:p>
    <w:p w14:paraId="3AC09442">
      <w:pPr>
        <w:pStyle w:val="2"/>
        <w:spacing w:before="0" w:after="0" w:line="360" w:lineRule="auto"/>
        <w:jc w:val="center"/>
        <w:rPr>
          <w:rFonts w:hint="default" w:ascii="Times New Roman" w:hAnsi="Times New Roman" w:eastAsia="黑体" w:cs="Times New Roman"/>
          <w:sz w:val="32"/>
          <w:szCs w:val="32"/>
        </w:rPr>
      </w:pPr>
      <w:bookmarkStart w:id="376" w:name="_Toc5301"/>
      <w:bookmarkStart w:id="377" w:name="_Toc29295"/>
      <w:bookmarkStart w:id="378" w:name="_Toc29828"/>
      <w:bookmarkStart w:id="379" w:name="_Toc5723"/>
      <w:bookmarkStart w:id="380" w:name="_Toc8115"/>
      <w:r>
        <w:rPr>
          <w:rFonts w:hint="default" w:ascii="Times New Roman" w:hAnsi="Times New Roman" w:eastAsia="黑体" w:cs="Times New Roman"/>
          <w:sz w:val="32"/>
          <w:szCs w:val="32"/>
        </w:rPr>
        <w:t>3.定性定量评价</w:t>
      </w:r>
      <w:bookmarkEnd w:id="346"/>
      <w:bookmarkEnd w:id="347"/>
      <w:bookmarkEnd w:id="348"/>
      <w:bookmarkEnd w:id="349"/>
      <w:bookmarkEnd w:id="375"/>
      <w:bookmarkEnd w:id="376"/>
      <w:bookmarkEnd w:id="377"/>
      <w:bookmarkEnd w:id="378"/>
      <w:bookmarkEnd w:id="379"/>
      <w:bookmarkEnd w:id="380"/>
    </w:p>
    <w:p w14:paraId="40CC0611">
      <w:pPr>
        <w:widowControl/>
        <w:spacing w:line="360" w:lineRule="auto"/>
        <w:ind w:firstLine="560" w:firstLineChars="200"/>
        <w:rPr>
          <w:rFonts w:hint="eastAsia" w:ascii="Times New Roman" w:hAnsi="Times New Roman" w:eastAsia="宋体" w:cs="Times New Roman"/>
          <w:sz w:val="28"/>
          <w:szCs w:val="28"/>
          <w:lang w:eastAsia="zh-CN"/>
        </w:rPr>
      </w:pPr>
      <w:r>
        <w:rPr>
          <w:rFonts w:hint="eastAsia" w:cs="Times New Roman"/>
          <w:sz w:val="28"/>
          <w:szCs w:val="28"/>
          <w:lang w:val="en-US" w:eastAsia="zh-CN"/>
        </w:rPr>
        <w:t>XX。</w:t>
      </w:r>
    </w:p>
    <w:p w14:paraId="6FD96306">
      <w:pPr>
        <w:spacing w:line="480" w:lineRule="exact"/>
        <w:ind w:firstLine="560" w:firstLineChars="200"/>
        <w:rPr>
          <w:rFonts w:hint="default" w:ascii="Times New Roman" w:hAnsi="Times New Roman" w:cs="Times New Roman"/>
          <w:sz w:val="28"/>
          <w:szCs w:val="28"/>
        </w:rPr>
        <w:sectPr>
          <w:pgSz w:w="11905" w:h="16838"/>
          <w:pgMar w:top="1418" w:right="1134" w:bottom="1134" w:left="1588" w:header="850" w:footer="850" w:gutter="0"/>
          <w:cols w:space="720" w:num="1"/>
          <w:docGrid w:linePitch="332" w:charSpace="0"/>
        </w:sectPr>
      </w:pPr>
    </w:p>
    <w:p w14:paraId="05E1C0C0">
      <w:pPr>
        <w:pStyle w:val="2"/>
        <w:spacing w:before="0" w:after="0" w:line="360" w:lineRule="auto"/>
        <w:jc w:val="center"/>
        <w:rPr>
          <w:rFonts w:hint="default" w:ascii="Times New Roman" w:hAnsi="Times New Roman" w:eastAsia="黑体" w:cs="Times New Roman"/>
          <w:sz w:val="32"/>
          <w:szCs w:val="32"/>
        </w:rPr>
      </w:pPr>
      <w:bookmarkStart w:id="381" w:name="_Toc30392"/>
      <w:bookmarkStart w:id="382" w:name="_Toc4294"/>
      <w:bookmarkStart w:id="383" w:name="_Toc226963199"/>
      <w:bookmarkStart w:id="384" w:name="_Toc115120673"/>
      <w:bookmarkStart w:id="385" w:name="_Toc23263"/>
      <w:bookmarkStart w:id="386" w:name="_Toc6413"/>
      <w:bookmarkStart w:id="387" w:name="_Toc31784"/>
      <w:bookmarkStart w:id="388" w:name="_Toc242849811"/>
      <w:bookmarkStart w:id="389" w:name="_Toc32557"/>
      <w:bookmarkStart w:id="390" w:name="_Toc115120279"/>
      <w:r>
        <w:rPr>
          <w:rFonts w:hint="default" w:ascii="Times New Roman" w:hAnsi="Times New Roman" w:eastAsia="黑体" w:cs="Times New Roman"/>
          <w:sz w:val="32"/>
          <w:szCs w:val="32"/>
        </w:rPr>
        <w:t>4.安全对策措施建议</w:t>
      </w:r>
      <w:bookmarkEnd w:id="381"/>
      <w:bookmarkEnd w:id="382"/>
      <w:bookmarkEnd w:id="383"/>
      <w:bookmarkEnd w:id="384"/>
      <w:bookmarkEnd w:id="385"/>
      <w:bookmarkEnd w:id="386"/>
      <w:bookmarkEnd w:id="387"/>
      <w:bookmarkEnd w:id="388"/>
      <w:bookmarkEnd w:id="389"/>
      <w:bookmarkEnd w:id="390"/>
    </w:p>
    <w:p w14:paraId="53162F95">
      <w:pPr>
        <w:pStyle w:val="3"/>
        <w:spacing w:before="0" w:after="0" w:line="360" w:lineRule="auto"/>
        <w:jc w:val="center"/>
        <w:rPr>
          <w:rFonts w:hint="default" w:ascii="Times New Roman" w:hAnsi="Times New Roman" w:eastAsia="黑体" w:cs="Times New Roman"/>
          <w:sz w:val="30"/>
          <w:szCs w:val="30"/>
          <w:lang w:val="en-GB"/>
        </w:rPr>
      </w:pPr>
      <w:bookmarkStart w:id="391" w:name="_Toc15914"/>
      <w:bookmarkStart w:id="392" w:name="_Toc7297"/>
      <w:bookmarkStart w:id="393" w:name="_Toc5532"/>
      <w:bookmarkStart w:id="394" w:name="_Toc18135"/>
      <w:bookmarkStart w:id="395" w:name="_Toc32081"/>
      <w:bookmarkStart w:id="396" w:name="_Toc18713"/>
      <w:r>
        <w:rPr>
          <w:rFonts w:hint="default" w:ascii="Times New Roman" w:hAnsi="Times New Roman" w:eastAsia="黑体" w:cs="Times New Roman"/>
          <w:sz w:val="30"/>
          <w:szCs w:val="30"/>
          <w:lang w:val="en-GB"/>
        </w:rPr>
        <w:t>4.1各单元安全对策措施建议</w:t>
      </w:r>
      <w:bookmarkEnd w:id="391"/>
      <w:bookmarkEnd w:id="392"/>
      <w:bookmarkEnd w:id="393"/>
      <w:bookmarkEnd w:id="394"/>
      <w:bookmarkEnd w:id="395"/>
      <w:bookmarkEnd w:id="396"/>
    </w:p>
    <w:p w14:paraId="693E08A7">
      <w:pPr>
        <w:pStyle w:val="4"/>
        <w:spacing w:before="0" w:after="0" w:line="360" w:lineRule="auto"/>
        <w:ind w:firstLine="562" w:firstLineChars="200"/>
        <w:rPr>
          <w:rFonts w:hint="default" w:ascii="Times New Roman" w:hAnsi="Times New Roman" w:cs="Times New Roman"/>
          <w:sz w:val="28"/>
          <w:szCs w:val="28"/>
        </w:rPr>
      </w:pPr>
      <w:bookmarkStart w:id="397" w:name="_Toc32645"/>
      <w:bookmarkStart w:id="398" w:name="_Toc15693"/>
      <w:bookmarkStart w:id="399" w:name="_Toc5895"/>
      <w:bookmarkStart w:id="400" w:name="_Toc12383"/>
      <w:r>
        <w:rPr>
          <w:rFonts w:hint="default" w:ascii="Times New Roman" w:hAnsi="Times New Roman" w:cs="Times New Roman"/>
          <w:sz w:val="28"/>
          <w:szCs w:val="28"/>
        </w:rPr>
        <w:t>4.1.1总平面布置单元</w:t>
      </w:r>
      <w:bookmarkEnd w:id="397"/>
      <w:bookmarkEnd w:id="398"/>
      <w:bookmarkEnd w:id="399"/>
      <w:bookmarkEnd w:id="400"/>
    </w:p>
    <w:p w14:paraId="1230A9C8">
      <w:pPr>
        <w:widowControl/>
        <w:spacing w:line="360" w:lineRule="auto"/>
        <w:ind w:firstLine="560" w:firstLineChars="200"/>
        <w:rPr>
          <w:rFonts w:hint="default" w:ascii="Times New Roman" w:hAnsi="Times New Roman" w:cs="Times New Roman"/>
          <w:sz w:val="28"/>
          <w:szCs w:val="28"/>
        </w:rPr>
      </w:pPr>
      <w:r>
        <w:rPr>
          <w:rFonts w:hint="default" w:ascii="Times New Roman" w:hAnsi="Times New Roman" w:cs="Times New Roman"/>
          <w:sz w:val="28"/>
          <w:szCs w:val="28"/>
        </w:rPr>
        <w:t>（1）矿区</w:t>
      </w:r>
      <w:r>
        <w:rPr>
          <w:rFonts w:hint="default" w:ascii="Times New Roman" w:hAnsi="Times New Roman" w:cs="Times New Roman"/>
          <w:sz w:val="28"/>
          <w:szCs w:val="28"/>
          <w:lang w:val="en-US" w:eastAsia="zh-CN"/>
        </w:rPr>
        <w:t>周边</w:t>
      </w:r>
      <w:r>
        <w:rPr>
          <w:rFonts w:hint="default" w:ascii="Times New Roman" w:hAnsi="Times New Roman" w:cs="Times New Roman"/>
          <w:sz w:val="28"/>
          <w:szCs w:val="28"/>
        </w:rPr>
        <w:t>分布有</w:t>
      </w:r>
      <w:r>
        <w:rPr>
          <w:rFonts w:hint="default" w:ascii="Times New Roman" w:hAnsi="Times New Roman" w:cs="Times New Roman"/>
          <w:sz w:val="28"/>
          <w:szCs w:val="28"/>
          <w:lang w:val="en-US" w:eastAsia="zh-CN"/>
        </w:rPr>
        <w:t>废弃石料加工厂、养殖场、村道等设施</w:t>
      </w:r>
      <w:r>
        <w:rPr>
          <w:rFonts w:hint="default" w:ascii="Times New Roman" w:hAnsi="Times New Roman" w:cs="Times New Roman"/>
          <w:sz w:val="28"/>
          <w:szCs w:val="28"/>
        </w:rPr>
        <w:t>，</w:t>
      </w:r>
      <w:r>
        <w:rPr>
          <w:rFonts w:hint="default" w:ascii="Times New Roman" w:hAnsi="Times New Roman" w:cs="Times New Roman"/>
          <w:sz w:val="28"/>
          <w:szCs w:val="28"/>
          <w:lang w:val="en-US" w:eastAsia="zh-CN"/>
        </w:rPr>
        <w:t>应</w:t>
      </w:r>
      <w:r>
        <w:rPr>
          <w:rFonts w:hint="default" w:ascii="Times New Roman" w:hAnsi="Times New Roman" w:cs="Times New Roman"/>
          <w:sz w:val="28"/>
          <w:szCs w:val="28"/>
        </w:rPr>
        <w:t>在露天采场边界设置围栏，以及明显的禁止、警告、提示标志，非矿山专业作业人员、设备等禁止进入。</w:t>
      </w:r>
    </w:p>
    <w:p w14:paraId="12CA54A0">
      <w:pPr>
        <w:widowControl/>
        <w:spacing w:line="360" w:lineRule="auto"/>
        <w:ind w:firstLine="560" w:firstLineChars="200"/>
        <w:rPr>
          <w:rFonts w:hint="default" w:ascii="Times New Roman" w:hAnsi="Times New Roman" w:cs="Times New Roman"/>
          <w:sz w:val="28"/>
          <w:szCs w:val="28"/>
        </w:rPr>
      </w:pPr>
      <w:r>
        <w:rPr>
          <w:rFonts w:hint="default" w:ascii="Times New Roman" w:hAnsi="Times New Roman" w:cs="Times New Roman"/>
          <w:sz w:val="28"/>
          <w:szCs w:val="28"/>
        </w:rPr>
        <w:t>（2）</w:t>
      </w:r>
      <w:r>
        <w:rPr>
          <w:rFonts w:hint="default" w:ascii="Times New Roman" w:hAnsi="Times New Roman" w:cs="Times New Roman"/>
          <w:sz w:val="28"/>
          <w:szCs w:val="28"/>
          <w:lang w:val="en-US" w:eastAsia="zh-CN"/>
        </w:rPr>
        <w:t>矿山应设边坡稳定监测系统，在</w:t>
      </w:r>
      <w:r>
        <w:rPr>
          <w:rFonts w:hint="default" w:ascii="Times New Roman" w:hAnsi="Times New Roman" w:eastAsia="宋体" w:cs="Times New Roman"/>
          <w:sz w:val="28"/>
          <w:szCs w:val="28"/>
          <w:lang w:val="en-US" w:eastAsia="zh-CN"/>
        </w:rPr>
        <w:t>正常生产前</w:t>
      </w:r>
      <w:r>
        <w:rPr>
          <w:rFonts w:hint="default" w:ascii="Times New Roman" w:hAnsi="Times New Roman" w:cs="Times New Roman"/>
          <w:sz w:val="28"/>
          <w:szCs w:val="28"/>
          <w:lang w:val="en-US" w:eastAsia="zh-CN"/>
        </w:rPr>
        <w:t>应</w:t>
      </w:r>
      <w:r>
        <w:rPr>
          <w:rFonts w:hint="default" w:ascii="Times New Roman" w:hAnsi="Times New Roman" w:eastAsia="宋体" w:cs="Times New Roman"/>
          <w:sz w:val="28"/>
          <w:szCs w:val="28"/>
          <w:lang w:val="en-US" w:eastAsia="zh-CN"/>
        </w:rPr>
        <w:t>对现状露天采坑边坡进行稳定性分析</w:t>
      </w:r>
      <w:r>
        <w:rPr>
          <w:rFonts w:hint="default" w:ascii="Times New Roman" w:hAnsi="Times New Roman" w:cs="Times New Roman"/>
          <w:sz w:val="28"/>
          <w:szCs w:val="28"/>
          <w:lang w:val="en-US" w:eastAsia="zh-CN"/>
        </w:rPr>
        <w:t>，预防泥石流和滑坡</w:t>
      </w:r>
      <w:r>
        <w:rPr>
          <w:rFonts w:hint="default" w:ascii="Times New Roman" w:hAnsi="Times New Roman" w:cs="Times New Roman"/>
          <w:sz w:val="28"/>
          <w:szCs w:val="28"/>
        </w:rPr>
        <w:t>。</w:t>
      </w:r>
    </w:p>
    <w:p w14:paraId="4887F0D5">
      <w:pPr>
        <w:numPr>
          <w:ilvl w:val="0"/>
          <w:numId w:val="0"/>
        </w:numPr>
        <w:spacing w:line="360" w:lineRule="auto"/>
        <w:ind w:left="0" w:leftChars="0" w:firstLine="560" w:firstLineChars="200"/>
        <w:rPr>
          <w:rFonts w:hint="default" w:ascii="Times New Roman" w:hAnsi="Times New Roman" w:cs="Times New Roman"/>
          <w:sz w:val="28"/>
          <w:szCs w:val="28"/>
        </w:rPr>
      </w:pPr>
      <w:r>
        <w:rPr>
          <w:rFonts w:hint="default" w:ascii="Times New Roman" w:hAnsi="Times New Roman" w:cs="Times New Roman"/>
          <w:sz w:val="28"/>
          <w:szCs w:val="28"/>
          <w:lang w:eastAsia="zh-CN"/>
        </w:rPr>
        <w:t>（</w:t>
      </w:r>
      <w:r>
        <w:rPr>
          <w:rFonts w:hint="default" w:ascii="Times New Roman" w:hAnsi="Times New Roman" w:cs="Times New Roman"/>
          <w:sz w:val="28"/>
          <w:szCs w:val="28"/>
          <w:lang w:val="en-US" w:eastAsia="zh-CN"/>
        </w:rPr>
        <w:t>3</w:t>
      </w:r>
      <w:r>
        <w:rPr>
          <w:rFonts w:hint="default" w:ascii="Times New Roman" w:hAnsi="Times New Roman" w:eastAsia="宋体" w:cs="Times New Roman"/>
          <w:kern w:val="2"/>
          <w:sz w:val="28"/>
          <w:szCs w:val="28"/>
          <w:lang w:val="en-GB" w:eastAsia="zh-CN" w:bidi="ar-SA"/>
        </w:rPr>
        <w:t>）</w:t>
      </w:r>
      <w:r>
        <w:rPr>
          <w:rFonts w:hint="default" w:ascii="Times New Roman" w:hAnsi="Times New Roman" w:cs="Times New Roman"/>
          <w:sz w:val="28"/>
          <w:szCs w:val="28"/>
        </w:rPr>
        <w:t>按设计要求有计划、有序地进行开采，合理布置工业场地、设备设施，避免相互制约和影响，协调好各采剥作业面间的相互关系，确保作业安全。</w:t>
      </w:r>
    </w:p>
    <w:p w14:paraId="6E264442">
      <w:pPr>
        <w:widowControl/>
        <w:spacing w:line="360" w:lineRule="auto"/>
        <w:ind w:firstLine="560" w:firstLineChars="200"/>
        <w:rPr>
          <w:rFonts w:hint="default" w:ascii="Times New Roman" w:hAnsi="Times New Roman" w:cs="Times New Roman"/>
          <w:sz w:val="28"/>
          <w:szCs w:val="28"/>
        </w:rPr>
      </w:pPr>
      <w:r>
        <w:rPr>
          <w:rFonts w:hint="default" w:ascii="Times New Roman" w:hAnsi="Times New Roman" w:cs="Times New Roman"/>
          <w:sz w:val="28"/>
          <w:szCs w:val="28"/>
        </w:rPr>
        <w:t>（</w:t>
      </w:r>
      <w:r>
        <w:rPr>
          <w:rFonts w:hint="default" w:ascii="Times New Roman" w:hAnsi="Times New Roman" w:cs="Times New Roman"/>
          <w:sz w:val="28"/>
          <w:szCs w:val="28"/>
          <w:lang w:val="en-US" w:eastAsia="zh-CN"/>
        </w:rPr>
        <w:t>4</w:t>
      </w:r>
      <w:r>
        <w:rPr>
          <w:rFonts w:hint="default" w:ascii="Times New Roman" w:hAnsi="Times New Roman" w:cs="Times New Roman"/>
          <w:sz w:val="28"/>
          <w:szCs w:val="28"/>
        </w:rPr>
        <w:t>）</w:t>
      </w:r>
      <w:r>
        <w:rPr>
          <w:rFonts w:hint="default" w:ascii="Times New Roman" w:hAnsi="Times New Roman" w:cs="Times New Roman"/>
          <w:color w:val="000000"/>
          <w:sz w:val="28"/>
          <w:szCs w:val="28"/>
        </w:rPr>
        <w:t>严格按设计预留安全平台和清扫平台，避免开采形成高陡边坡。</w:t>
      </w:r>
    </w:p>
    <w:p w14:paraId="23CBC850">
      <w:pPr>
        <w:widowControl/>
        <w:spacing w:line="360" w:lineRule="auto"/>
        <w:ind w:firstLine="560" w:firstLineChars="200"/>
        <w:rPr>
          <w:rFonts w:hint="default" w:ascii="Times New Roman" w:hAnsi="Times New Roman" w:cs="Times New Roman"/>
          <w:sz w:val="28"/>
          <w:szCs w:val="28"/>
        </w:rPr>
      </w:pPr>
      <w:r>
        <w:rPr>
          <w:rFonts w:hint="default" w:ascii="Times New Roman" w:hAnsi="Times New Roman" w:cs="Times New Roman"/>
          <w:sz w:val="28"/>
          <w:szCs w:val="28"/>
        </w:rPr>
        <w:t>（</w:t>
      </w:r>
      <w:r>
        <w:rPr>
          <w:rFonts w:hint="default" w:ascii="Times New Roman" w:hAnsi="Times New Roman" w:cs="Times New Roman"/>
          <w:sz w:val="28"/>
          <w:szCs w:val="28"/>
          <w:lang w:val="en-US" w:eastAsia="zh-CN"/>
        </w:rPr>
        <w:t>5</w:t>
      </w:r>
      <w:r>
        <w:rPr>
          <w:rFonts w:hint="default" w:ascii="Times New Roman" w:hAnsi="Times New Roman" w:cs="Times New Roman"/>
          <w:sz w:val="28"/>
          <w:szCs w:val="28"/>
        </w:rPr>
        <w:t>）</w:t>
      </w:r>
      <w:r>
        <w:rPr>
          <w:rFonts w:hint="default" w:ascii="Times New Roman" w:hAnsi="Times New Roman" w:cs="Times New Roman"/>
          <w:sz w:val="28"/>
          <w:szCs w:val="28"/>
          <w:lang w:val="en-US" w:eastAsia="zh-CN"/>
        </w:rPr>
        <w:t>应在</w:t>
      </w:r>
      <w:r>
        <w:rPr>
          <w:rFonts w:hint="default" w:ascii="Times New Roman" w:hAnsi="Times New Roman" w:cs="Times New Roman"/>
          <w:sz w:val="28"/>
          <w:szCs w:val="28"/>
        </w:rPr>
        <w:t>原有边坡底设置安全警示标志，严禁人员及车辆靠近。</w:t>
      </w:r>
    </w:p>
    <w:p w14:paraId="10B31460">
      <w:pPr>
        <w:widowControl/>
        <w:spacing w:line="360" w:lineRule="auto"/>
        <w:ind w:firstLine="560" w:firstLineChars="200"/>
        <w:rPr>
          <w:rFonts w:hint="default" w:ascii="Times New Roman" w:hAnsi="Times New Roman" w:eastAsia="宋体" w:cs="Times New Roman"/>
          <w:color w:val="000000"/>
          <w:sz w:val="28"/>
          <w:szCs w:val="28"/>
          <w:lang w:eastAsia="zh-CN"/>
        </w:rPr>
      </w:pPr>
      <w:r>
        <w:rPr>
          <w:rFonts w:hint="default" w:ascii="Times New Roman" w:hAnsi="Times New Roman" w:cs="Times New Roman"/>
          <w:sz w:val="28"/>
          <w:szCs w:val="28"/>
          <w:lang w:eastAsia="zh-CN"/>
        </w:rPr>
        <w:t>（</w:t>
      </w:r>
      <w:r>
        <w:rPr>
          <w:rFonts w:hint="default" w:ascii="Times New Roman" w:hAnsi="Times New Roman" w:cs="Times New Roman"/>
          <w:sz w:val="28"/>
          <w:szCs w:val="28"/>
          <w:lang w:val="en-US" w:eastAsia="zh-CN"/>
        </w:rPr>
        <w:t>6</w:t>
      </w:r>
      <w:r>
        <w:rPr>
          <w:rFonts w:hint="default" w:ascii="Times New Roman" w:hAnsi="Times New Roman" w:cs="Times New Roman"/>
          <w:sz w:val="28"/>
          <w:szCs w:val="28"/>
          <w:lang w:eastAsia="zh-CN"/>
        </w:rPr>
        <w:t>）</w:t>
      </w:r>
      <w:r>
        <w:rPr>
          <w:rFonts w:hint="default" w:ascii="Times New Roman" w:hAnsi="Times New Roman" w:eastAsia="宋体" w:cs="Times New Roman"/>
          <w:color w:val="000000"/>
          <w:sz w:val="28"/>
          <w:szCs w:val="28"/>
        </w:rPr>
        <w:t>在开采过程中严格按设计划定的开采区域开采，</w:t>
      </w:r>
      <w:r>
        <w:rPr>
          <w:rFonts w:hint="default" w:ascii="Times New Roman" w:hAnsi="Times New Roman" w:eastAsia="宋体" w:cs="Times New Roman"/>
          <w:color w:val="000000"/>
          <w:sz w:val="28"/>
          <w:szCs w:val="28"/>
          <w:lang w:val="en-US" w:eastAsia="zh-CN"/>
        </w:rPr>
        <w:t>应在电力设施保护区设立明显标志，</w:t>
      </w:r>
      <w:r>
        <w:rPr>
          <w:rFonts w:hint="default" w:ascii="Times New Roman" w:hAnsi="Times New Roman" w:eastAsia="宋体" w:cs="Times New Roman"/>
          <w:color w:val="000000"/>
          <w:sz w:val="28"/>
          <w:szCs w:val="28"/>
        </w:rPr>
        <w:t>禁止越界开采</w:t>
      </w:r>
      <w:r>
        <w:rPr>
          <w:rFonts w:hint="default" w:ascii="Times New Roman" w:hAnsi="Times New Roman" w:eastAsia="宋体" w:cs="Times New Roman"/>
          <w:color w:val="000000"/>
          <w:sz w:val="28"/>
          <w:szCs w:val="28"/>
          <w:lang w:eastAsia="zh-CN"/>
        </w:rPr>
        <w:t>。</w:t>
      </w:r>
    </w:p>
    <w:p w14:paraId="62774BDF">
      <w:pPr>
        <w:widowControl/>
        <w:spacing w:line="360" w:lineRule="auto"/>
        <w:ind w:firstLine="560" w:firstLineChars="200"/>
        <w:rPr>
          <w:rFonts w:hint="default" w:ascii="Times New Roman" w:hAnsi="Times New Roman" w:eastAsia="宋体" w:cs="Times New Roman"/>
          <w:color w:val="000000"/>
          <w:sz w:val="28"/>
          <w:szCs w:val="28"/>
          <w:lang w:val="en-US" w:eastAsia="zh-CN"/>
        </w:rPr>
      </w:pPr>
      <w:r>
        <w:rPr>
          <w:rFonts w:hint="default" w:ascii="Times New Roman" w:hAnsi="Times New Roman" w:eastAsia="宋体" w:cs="Times New Roman"/>
          <w:color w:val="000000"/>
          <w:sz w:val="28"/>
          <w:szCs w:val="28"/>
          <w:lang w:eastAsia="zh-CN"/>
        </w:rPr>
        <w:t>（</w:t>
      </w:r>
      <w:r>
        <w:rPr>
          <w:rFonts w:hint="default" w:ascii="Times New Roman" w:hAnsi="Times New Roman" w:cs="Times New Roman"/>
          <w:color w:val="000000"/>
          <w:sz w:val="28"/>
          <w:szCs w:val="28"/>
          <w:lang w:val="en-US" w:eastAsia="zh-CN"/>
        </w:rPr>
        <w:t>7</w:t>
      </w:r>
      <w:r>
        <w:rPr>
          <w:rFonts w:hint="default" w:ascii="Times New Roman" w:hAnsi="Times New Roman" w:eastAsia="宋体" w:cs="Times New Roman"/>
          <w:color w:val="000000"/>
          <w:sz w:val="28"/>
          <w:szCs w:val="28"/>
          <w:lang w:eastAsia="zh-CN"/>
        </w:rPr>
        <w:t>）</w:t>
      </w:r>
      <w:r>
        <w:rPr>
          <w:rFonts w:hint="default" w:ascii="Times New Roman" w:hAnsi="Times New Roman" w:cs="Times New Roman"/>
          <w:color w:val="auto"/>
          <w:sz w:val="28"/>
          <w:szCs w:val="28"/>
          <w:highlight w:val="none"/>
          <w:lang w:eastAsia="zh-CN"/>
        </w:rPr>
        <w:t>针对矿区东侧</w:t>
      </w:r>
      <w:r>
        <w:rPr>
          <w:rFonts w:hint="default" w:ascii="Times New Roman" w:hAnsi="Times New Roman" w:cs="Times New Roman"/>
          <w:color w:val="auto"/>
          <w:sz w:val="28"/>
          <w:szCs w:val="28"/>
          <w:highlight w:val="none"/>
          <w:lang w:val="en-US" w:eastAsia="zh-CN"/>
        </w:rPr>
        <w:t>和南侧</w:t>
      </w:r>
      <w:r>
        <w:rPr>
          <w:rFonts w:hint="default" w:ascii="Times New Roman" w:hAnsi="Times New Roman" w:cs="Times New Roman"/>
          <w:color w:val="auto"/>
          <w:sz w:val="28"/>
          <w:szCs w:val="28"/>
          <w:highlight w:val="none"/>
          <w:lang w:eastAsia="zh-CN"/>
        </w:rPr>
        <w:t>村组道路，下一步安全设施设计中完善对该村组道路及通行人员的安全对策措施。</w:t>
      </w:r>
    </w:p>
    <w:p w14:paraId="1BDAF98C">
      <w:pPr>
        <w:pStyle w:val="4"/>
        <w:spacing w:before="0" w:after="0" w:line="360" w:lineRule="auto"/>
        <w:ind w:firstLine="562" w:firstLineChars="200"/>
        <w:rPr>
          <w:rFonts w:hint="default" w:ascii="Times New Roman" w:hAnsi="Times New Roman" w:cs="Times New Roman"/>
          <w:sz w:val="28"/>
          <w:szCs w:val="28"/>
        </w:rPr>
      </w:pPr>
      <w:bookmarkStart w:id="401" w:name="_Toc13719"/>
      <w:bookmarkStart w:id="402" w:name="_Toc13471"/>
      <w:bookmarkStart w:id="403" w:name="_Toc10816"/>
      <w:bookmarkStart w:id="404" w:name="_Toc26172"/>
      <w:r>
        <w:rPr>
          <w:rFonts w:hint="default" w:ascii="Times New Roman" w:hAnsi="Times New Roman" w:cs="Times New Roman"/>
          <w:sz w:val="28"/>
          <w:szCs w:val="28"/>
        </w:rPr>
        <w:t>4.1.2开拓运输单元</w:t>
      </w:r>
      <w:bookmarkEnd w:id="401"/>
      <w:bookmarkEnd w:id="402"/>
      <w:bookmarkEnd w:id="403"/>
      <w:bookmarkEnd w:id="404"/>
    </w:p>
    <w:p w14:paraId="27E79549">
      <w:pPr>
        <w:widowControl/>
        <w:spacing w:line="360" w:lineRule="auto"/>
        <w:ind w:firstLine="560" w:firstLineChars="200"/>
        <w:rPr>
          <w:rFonts w:hint="default" w:ascii="Times New Roman" w:hAnsi="Times New Roman" w:cs="Times New Roman"/>
          <w:sz w:val="28"/>
          <w:szCs w:val="28"/>
        </w:rPr>
      </w:pPr>
      <w:r>
        <w:rPr>
          <w:rFonts w:hint="default" w:ascii="Times New Roman" w:hAnsi="Times New Roman" w:cs="Times New Roman"/>
          <w:sz w:val="28"/>
          <w:szCs w:val="28"/>
        </w:rPr>
        <w:t>（1）在下一步安全设施设计中应明确新旧采场的过渡方案。</w:t>
      </w:r>
    </w:p>
    <w:p w14:paraId="75A89647">
      <w:pPr>
        <w:widowControl/>
        <w:spacing w:line="360" w:lineRule="auto"/>
        <w:ind w:firstLine="560" w:firstLineChars="200"/>
        <w:rPr>
          <w:rFonts w:hint="default" w:ascii="Times New Roman" w:hAnsi="Times New Roman" w:cs="Times New Roman"/>
          <w:sz w:val="28"/>
          <w:szCs w:val="28"/>
        </w:rPr>
      </w:pPr>
      <w:r>
        <w:rPr>
          <w:rFonts w:hint="default" w:ascii="Times New Roman" w:hAnsi="Times New Roman" w:cs="Times New Roman"/>
          <w:sz w:val="28"/>
          <w:szCs w:val="28"/>
        </w:rPr>
        <w:t>（2）应对通向采空区不作业的平台入口应进行封闭，严禁进入。</w:t>
      </w:r>
    </w:p>
    <w:p w14:paraId="60B11590">
      <w:pPr>
        <w:widowControl/>
        <w:spacing w:line="360" w:lineRule="auto"/>
        <w:ind w:firstLine="560" w:firstLineChars="200"/>
        <w:rPr>
          <w:rFonts w:hint="default" w:ascii="Times New Roman" w:hAnsi="Times New Roman" w:eastAsia="宋体" w:cs="Times New Roman"/>
          <w:sz w:val="28"/>
          <w:szCs w:val="28"/>
          <w:lang w:val="en-US" w:eastAsia="zh-CN"/>
        </w:rPr>
      </w:pPr>
      <w:r>
        <w:rPr>
          <w:rFonts w:hint="default" w:ascii="Times New Roman" w:hAnsi="Times New Roman" w:cs="Times New Roman"/>
          <w:sz w:val="28"/>
          <w:szCs w:val="28"/>
        </w:rPr>
        <w:t>（</w:t>
      </w:r>
      <w:r>
        <w:rPr>
          <w:rFonts w:hint="default" w:ascii="Times New Roman" w:hAnsi="Times New Roman" w:cs="Times New Roman"/>
          <w:sz w:val="28"/>
          <w:szCs w:val="28"/>
          <w:lang w:val="en-US" w:eastAsia="zh-CN"/>
        </w:rPr>
        <w:t>4</w:t>
      </w:r>
      <w:r>
        <w:rPr>
          <w:rFonts w:hint="default" w:ascii="Times New Roman" w:hAnsi="Times New Roman" w:cs="Times New Roman"/>
          <w:sz w:val="28"/>
          <w:szCs w:val="28"/>
        </w:rPr>
        <w:t>）运输道路的高陡路基路段，或者弯道、坡度较大的填方地段，远离山体一侧应设置高度不小于车轮轮胎直径1/2的护栏、挡车墙等安全设施及限速等相应警示标志</w:t>
      </w:r>
      <w:r>
        <w:rPr>
          <w:rFonts w:hint="default" w:ascii="Times New Roman" w:hAnsi="Times New Roman" w:cs="Times New Roman"/>
          <w:sz w:val="28"/>
          <w:szCs w:val="28"/>
          <w:lang w:eastAsia="zh-CN"/>
        </w:rPr>
        <w:t>，</w:t>
      </w:r>
      <w:r>
        <w:rPr>
          <w:rFonts w:hint="default" w:ascii="Times New Roman" w:hAnsi="Times New Roman" w:cs="Times New Roman"/>
          <w:sz w:val="28"/>
          <w:szCs w:val="28"/>
          <w:lang w:val="en-US" w:eastAsia="zh-CN"/>
        </w:rPr>
        <w:t>下一步设计应明确道路车挡设施的参数。</w:t>
      </w:r>
    </w:p>
    <w:p w14:paraId="4F71A156">
      <w:pPr>
        <w:widowControl/>
        <w:spacing w:line="360" w:lineRule="auto"/>
        <w:ind w:firstLine="560" w:firstLineChars="200"/>
        <w:rPr>
          <w:rFonts w:hint="default" w:ascii="Times New Roman" w:hAnsi="Times New Roman" w:cs="Times New Roman"/>
          <w:sz w:val="28"/>
          <w:szCs w:val="28"/>
        </w:rPr>
      </w:pPr>
      <w:r>
        <w:rPr>
          <w:rFonts w:hint="default" w:ascii="Times New Roman" w:hAnsi="Times New Roman" w:cs="Times New Roman"/>
          <w:sz w:val="28"/>
          <w:szCs w:val="28"/>
        </w:rPr>
        <w:t>（</w:t>
      </w:r>
      <w:r>
        <w:rPr>
          <w:rFonts w:hint="default" w:ascii="Times New Roman" w:hAnsi="Times New Roman" w:cs="Times New Roman"/>
          <w:sz w:val="28"/>
          <w:szCs w:val="28"/>
          <w:lang w:val="en-US" w:eastAsia="zh-CN"/>
        </w:rPr>
        <w:t>5</w:t>
      </w:r>
      <w:r>
        <w:rPr>
          <w:rFonts w:hint="default" w:ascii="Times New Roman" w:hAnsi="Times New Roman" w:cs="Times New Roman"/>
          <w:sz w:val="28"/>
          <w:szCs w:val="28"/>
        </w:rPr>
        <w:t>）矿山应建立道路安全管理制度，定期对运输设备进行检查维护。</w:t>
      </w:r>
    </w:p>
    <w:p w14:paraId="50ECC56E">
      <w:pPr>
        <w:widowControl/>
        <w:spacing w:line="360" w:lineRule="auto"/>
        <w:ind w:firstLine="560" w:firstLineChars="200"/>
        <w:rPr>
          <w:rFonts w:hint="default" w:ascii="Times New Roman" w:hAnsi="Times New Roman" w:cs="Times New Roman"/>
          <w:sz w:val="28"/>
          <w:szCs w:val="28"/>
        </w:rPr>
      </w:pPr>
      <w:r>
        <w:rPr>
          <w:rFonts w:hint="default" w:ascii="Times New Roman" w:hAnsi="Times New Roman" w:cs="Times New Roman"/>
          <w:sz w:val="28"/>
          <w:szCs w:val="28"/>
        </w:rPr>
        <w:t>（</w:t>
      </w:r>
      <w:r>
        <w:rPr>
          <w:rFonts w:hint="default" w:ascii="Times New Roman" w:hAnsi="Times New Roman" w:cs="Times New Roman"/>
          <w:sz w:val="28"/>
          <w:szCs w:val="28"/>
          <w:lang w:val="en-US" w:eastAsia="zh-CN"/>
        </w:rPr>
        <w:t>6</w:t>
      </w:r>
      <w:r>
        <w:rPr>
          <w:rFonts w:hint="default" w:ascii="Times New Roman" w:hAnsi="Times New Roman" w:cs="Times New Roman"/>
          <w:sz w:val="28"/>
          <w:szCs w:val="28"/>
        </w:rPr>
        <w:t>）矿山在用的自卸汽车应每年进行检验一次，矿用自卸汽车初次投入使用前或大修后交付使用前须进行检验。</w:t>
      </w:r>
    </w:p>
    <w:p w14:paraId="2576D42D">
      <w:pPr>
        <w:widowControl/>
        <w:spacing w:line="360" w:lineRule="auto"/>
        <w:ind w:firstLine="560" w:firstLineChars="200"/>
        <w:rPr>
          <w:rFonts w:hint="default" w:ascii="Times New Roman" w:hAnsi="Times New Roman" w:eastAsia="宋体" w:cs="Times New Roman"/>
          <w:sz w:val="28"/>
          <w:szCs w:val="28"/>
          <w:lang w:val="en-US" w:eastAsia="zh-CN"/>
        </w:rPr>
      </w:pPr>
      <w:r>
        <w:rPr>
          <w:rFonts w:hint="default" w:ascii="Times New Roman" w:hAnsi="Times New Roman" w:cs="Times New Roman"/>
          <w:sz w:val="28"/>
          <w:szCs w:val="28"/>
          <w:lang w:eastAsia="zh-CN"/>
        </w:rPr>
        <w:t>（</w:t>
      </w:r>
      <w:r>
        <w:rPr>
          <w:rFonts w:hint="default" w:ascii="Times New Roman" w:hAnsi="Times New Roman" w:cs="Times New Roman"/>
          <w:sz w:val="28"/>
          <w:szCs w:val="28"/>
          <w:lang w:val="en-US" w:eastAsia="zh-CN"/>
        </w:rPr>
        <w:t>7</w:t>
      </w:r>
      <w:r>
        <w:rPr>
          <w:rFonts w:hint="default" w:ascii="Times New Roman" w:hAnsi="Times New Roman" w:cs="Times New Roman"/>
          <w:sz w:val="28"/>
          <w:szCs w:val="28"/>
          <w:lang w:eastAsia="zh-CN"/>
        </w:rPr>
        <w:t>）</w:t>
      </w:r>
      <w:r>
        <w:rPr>
          <w:rFonts w:hint="default" w:ascii="Times New Roman" w:hAnsi="Times New Roman" w:cs="Times New Roman"/>
          <w:sz w:val="28"/>
          <w:szCs w:val="28"/>
          <w:lang w:val="en-GB"/>
        </w:rPr>
        <w:t>卸料平台应有信号、安全标志、照明和足够的调车宽度。卸料点必须有可靠的挡车设施</w:t>
      </w:r>
      <w:r>
        <w:rPr>
          <w:rFonts w:hint="default" w:ascii="Times New Roman" w:hAnsi="Times New Roman" w:cs="Times New Roman"/>
          <w:sz w:val="28"/>
          <w:szCs w:val="28"/>
          <w:lang w:val="en-GB" w:eastAsia="zh-CN"/>
        </w:rPr>
        <w:t>。</w:t>
      </w:r>
    </w:p>
    <w:p w14:paraId="5F74D059">
      <w:pPr>
        <w:widowControl/>
        <w:spacing w:line="360" w:lineRule="auto"/>
        <w:ind w:firstLine="560" w:firstLineChars="200"/>
        <w:rPr>
          <w:rFonts w:hint="default" w:ascii="Times New Roman" w:hAnsi="Times New Roman" w:cs="Times New Roman"/>
          <w:sz w:val="28"/>
          <w:szCs w:val="28"/>
        </w:rPr>
      </w:pPr>
      <w:r>
        <w:rPr>
          <w:rFonts w:hint="default" w:ascii="Times New Roman" w:hAnsi="Times New Roman" w:cs="Times New Roman"/>
          <w:sz w:val="28"/>
          <w:szCs w:val="28"/>
        </w:rPr>
        <w:t>（</w:t>
      </w:r>
      <w:r>
        <w:rPr>
          <w:rFonts w:hint="default" w:ascii="Times New Roman" w:hAnsi="Times New Roman" w:cs="Times New Roman"/>
          <w:sz w:val="28"/>
          <w:szCs w:val="28"/>
          <w:lang w:val="en-US" w:eastAsia="zh-CN"/>
        </w:rPr>
        <w:t>8</w:t>
      </w:r>
      <w:r>
        <w:rPr>
          <w:rFonts w:hint="default" w:ascii="Times New Roman" w:hAnsi="Times New Roman" w:cs="Times New Roman"/>
          <w:sz w:val="28"/>
          <w:szCs w:val="28"/>
        </w:rPr>
        <w:t>）矿山应对过往行人车辆会构成威胁、易产生崩落、掉块的部位重点防护，定期对运输路面、边坡进行巡查，发现浮石、开裂等隐患及时处理。</w:t>
      </w:r>
    </w:p>
    <w:p w14:paraId="6F0D2F88">
      <w:pPr>
        <w:widowControl/>
        <w:spacing w:line="360" w:lineRule="auto"/>
        <w:ind w:firstLine="560" w:firstLineChars="200"/>
        <w:rPr>
          <w:rFonts w:hint="default" w:ascii="Times New Roman" w:hAnsi="Times New Roman" w:cs="Times New Roman"/>
          <w:sz w:val="28"/>
          <w:szCs w:val="28"/>
        </w:rPr>
      </w:pPr>
      <w:r>
        <w:rPr>
          <w:rFonts w:hint="default" w:ascii="Times New Roman" w:hAnsi="Times New Roman" w:cs="Times New Roman"/>
          <w:sz w:val="28"/>
          <w:szCs w:val="28"/>
          <w:lang w:eastAsia="zh-CN"/>
        </w:rPr>
        <w:t>（</w:t>
      </w:r>
      <w:r>
        <w:rPr>
          <w:rFonts w:hint="default" w:ascii="Times New Roman" w:hAnsi="Times New Roman" w:cs="Times New Roman"/>
          <w:sz w:val="28"/>
          <w:szCs w:val="28"/>
          <w:lang w:val="en-US" w:eastAsia="zh-CN"/>
        </w:rPr>
        <w:t>9</w:t>
      </w:r>
      <w:r>
        <w:rPr>
          <w:rFonts w:hint="default" w:ascii="Times New Roman" w:hAnsi="Times New Roman" w:cs="Times New Roman"/>
          <w:sz w:val="28"/>
          <w:szCs w:val="28"/>
          <w:lang w:eastAsia="zh-CN"/>
        </w:rPr>
        <w:t>）</w:t>
      </w:r>
      <w:r>
        <w:rPr>
          <w:rFonts w:hint="default" w:ascii="Times New Roman" w:hAnsi="Times New Roman" w:cs="Times New Roman"/>
          <w:sz w:val="28"/>
          <w:szCs w:val="28"/>
        </w:rPr>
        <w:t>根据预选危险性分析，开拓运输环节存在众多危险有害因素，危害程度为Ⅱ~Ⅳ级，危害程度较高，在今后的矿山建设和矿山生产过程中，矿山应当从主观上高度重视矿山内外部运输环节中的危害，充分落实上述安全对策措施，确保矿山安全生产。</w:t>
      </w:r>
    </w:p>
    <w:p w14:paraId="04E138D4">
      <w:pPr>
        <w:pStyle w:val="4"/>
        <w:spacing w:before="0" w:after="0" w:line="360" w:lineRule="auto"/>
        <w:ind w:firstLine="562" w:firstLineChars="200"/>
        <w:rPr>
          <w:rFonts w:hint="default" w:ascii="Times New Roman" w:hAnsi="Times New Roman" w:cs="Times New Roman"/>
          <w:sz w:val="28"/>
          <w:szCs w:val="28"/>
        </w:rPr>
      </w:pPr>
      <w:bookmarkStart w:id="405" w:name="_Toc6996"/>
      <w:bookmarkStart w:id="406" w:name="_Toc26189"/>
      <w:bookmarkStart w:id="407" w:name="_Toc28004"/>
      <w:bookmarkStart w:id="408" w:name="_Toc15200"/>
      <w:r>
        <w:rPr>
          <w:rFonts w:hint="default" w:ascii="Times New Roman" w:hAnsi="Times New Roman" w:cs="Times New Roman"/>
          <w:sz w:val="28"/>
          <w:szCs w:val="28"/>
        </w:rPr>
        <w:t>4.1.3采剥单元</w:t>
      </w:r>
      <w:bookmarkEnd w:id="405"/>
      <w:bookmarkEnd w:id="406"/>
      <w:bookmarkEnd w:id="407"/>
      <w:bookmarkEnd w:id="408"/>
    </w:p>
    <w:p w14:paraId="418B17AC">
      <w:pPr>
        <w:spacing w:line="360" w:lineRule="auto"/>
        <w:ind w:firstLine="560" w:firstLineChars="200"/>
        <w:rPr>
          <w:rFonts w:hint="default" w:ascii="Times New Roman" w:hAnsi="Times New Roman" w:cs="Times New Roman"/>
          <w:sz w:val="28"/>
          <w:szCs w:val="28"/>
        </w:rPr>
      </w:pPr>
      <w:r>
        <w:rPr>
          <w:rFonts w:hint="default" w:ascii="Times New Roman" w:hAnsi="Times New Roman" w:cs="Times New Roman"/>
          <w:sz w:val="28"/>
          <w:szCs w:val="28"/>
        </w:rPr>
        <w:t>1.采场子单元：</w:t>
      </w:r>
    </w:p>
    <w:p w14:paraId="5EAFDE8C">
      <w:pPr>
        <w:spacing w:line="360" w:lineRule="auto"/>
        <w:ind w:firstLine="560" w:firstLineChars="200"/>
        <w:rPr>
          <w:rFonts w:hint="default" w:ascii="Times New Roman" w:hAnsi="Times New Roman" w:eastAsia="宋体" w:cs="Times New Roman"/>
          <w:sz w:val="28"/>
          <w:szCs w:val="28"/>
          <w:lang w:val="en-US" w:eastAsia="zh-CN"/>
        </w:rPr>
      </w:pPr>
      <w:r>
        <w:rPr>
          <w:rFonts w:hint="default" w:ascii="Times New Roman" w:hAnsi="Times New Roman" w:cs="Times New Roman"/>
          <w:sz w:val="28"/>
          <w:szCs w:val="28"/>
        </w:rPr>
        <w:t>（1）</w:t>
      </w:r>
      <w:r>
        <w:rPr>
          <w:rFonts w:hint="default" w:ascii="Times New Roman" w:hAnsi="Times New Roman" w:cs="Times New Roman"/>
          <w:sz w:val="28"/>
          <w:szCs w:val="28"/>
          <w:lang w:val="en-US" w:eastAsia="zh-CN"/>
        </w:rPr>
        <w:t>下</w:t>
      </w:r>
      <w:r>
        <w:rPr>
          <w:rFonts w:hint="default" w:ascii="Times New Roman" w:hAnsi="Times New Roman" w:cs="Times New Roman"/>
          <w:color w:val="auto"/>
          <w:sz w:val="28"/>
          <w:szCs w:val="28"/>
          <w:highlight w:val="none"/>
        </w:rPr>
        <w:t>一步设计中应完善采场应采取的安全措施，矿山在露天坑入口和露天坑周围易于发生危险的区域应设置围栏和警示标志，防止无关人员误入</w:t>
      </w:r>
      <w:r>
        <w:rPr>
          <w:rFonts w:hint="default" w:ascii="Times New Roman" w:hAnsi="Times New Roman" w:cs="Times New Roman"/>
          <w:sz w:val="28"/>
          <w:szCs w:val="28"/>
          <w:lang w:val="en-US" w:eastAsia="zh-CN"/>
        </w:rPr>
        <w:t>。</w:t>
      </w:r>
    </w:p>
    <w:p w14:paraId="7C81EF83">
      <w:pPr>
        <w:spacing w:line="360" w:lineRule="auto"/>
        <w:ind w:firstLine="560" w:firstLineChars="200"/>
        <w:rPr>
          <w:rFonts w:hint="default" w:ascii="Times New Roman" w:hAnsi="Times New Roman" w:cs="Times New Roman"/>
          <w:sz w:val="28"/>
          <w:szCs w:val="28"/>
          <w:lang w:val="en-US" w:eastAsia="zh-CN"/>
        </w:rPr>
      </w:pPr>
      <w:r>
        <w:rPr>
          <w:rFonts w:hint="default" w:ascii="Times New Roman" w:hAnsi="Times New Roman" w:cs="Times New Roman"/>
          <w:sz w:val="28"/>
          <w:szCs w:val="28"/>
          <w:lang w:eastAsia="zh-CN"/>
        </w:rPr>
        <w:t>（</w:t>
      </w:r>
      <w:r>
        <w:rPr>
          <w:rFonts w:hint="default" w:ascii="Times New Roman" w:hAnsi="Times New Roman" w:cs="Times New Roman"/>
          <w:sz w:val="28"/>
          <w:szCs w:val="28"/>
          <w:lang w:val="en-US" w:eastAsia="zh-CN"/>
        </w:rPr>
        <w:t>2</w:t>
      </w:r>
      <w:r>
        <w:rPr>
          <w:rFonts w:hint="default" w:ascii="Times New Roman" w:hAnsi="Times New Roman" w:cs="Times New Roman"/>
          <w:sz w:val="28"/>
          <w:szCs w:val="28"/>
          <w:lang w:eastAsia="zh-CN"/>
        </w:rPr>
        <w:t>）矿山未严格按原设计开采，</w:t>
      </w:r>
      <w:r>
        <w:rPr>
          <w:rFonts w:hint="eastAsia" w:cs="Times New Roman"/>
          <w:sz w:val="28"/>
          <w:szCs w:val="28"/>
          <w:lang w:val="en-US" w:eastAsia="zh-CN"/>
        </w:rPr>
        <w:t>待</w:t>
      </w:r>
      <w:r>
        <w:rPr>
          <w:rFonts w:hint="default" w:ascii="Times New Roman" w:hAnsi="Times New Roman" w:cs="Times New Roman"/>
          <w:sz w:val="28"/>
          <w:szCs w:val="28"/>
          <w:lang w:eastAsia="zh-CN"/>
        </w:rPr>
        <w:t>新设计审批后，</w:t>
      </w:r>
      <w:r>
        <w:rPr>
          <w:rFonts w:hint="eastAsia" w:cs="Times New Roman"/>
          <w:sz w:val="28"/>
          <w:szCs w:val="28"/>
          <w:lang w:val="en-US" w:eastAsia="zh-CN"/>
        </w:rPr>
        <w:t>应</w:t>
      </w:r>
      <w:r>
        <w:rPr>
          <w:rFonts w:hint="default" w:ascii="Times New Roman" w:hAnsi="Times New Roman" w:cs="Times New Roman"/>
          <w:sz w:val="28"/>
          <w:szCs w:val="28"/>
          <w:lang w:eastAsia="zh-CN"/>
        </w:rPr>
        <w:t>严格按照</w:t>
      </w:r>
      <w:r>
        <w:rPr>
          <w:rFonts w:hint="eastAsia" w:cs="Times New Roman"/>
          <w:sz w:val="28"/>
          <w:szCs w:val="28"/>
          <w:lang w:val="en-US" w:eastAsia="zh-CN"/>
        </w:rPr>
        <w:t>相关标准及</w:t>
      </w:r>
      <w:r>
        <w:rPr>
          <w:rFonts w:hint="default" w:ascii="Times New Roman" w:hAnsi="Times New Roman" w:cs="Times New Roman"/>
          <w:sz w:val="28"/>
          <w:szCs w:val="28"/>
          <w:lang w:eastAsia="zh-CN"/>
        </w:rPr>
        <w:t>设计</w:t>
      </w:r>
      <w:r>
        <w:rPr>
          <w:rFonts w:hint="eastAsia" w:cs="Times New Roman"/>
          <w:sz w:val="28"/>
          <w:szCs w:val="28"/>
          <w:lang w:val="en-US" w:eastAsia="zh-CN"/>
        </w:rPr>
        <w:t>要求进行</w:t>
      </w:r>
      <w:r>
        <w:rPr>
          <w:rFonts w:hint="default" w:ascii="Times New Roman" w:hAnsi="Times New Roman" w:cs="Times New Roman"/>
          <w:sz w:val="28"/>
          <w:szCs w:val="28"/>
          <w:lang w:eastAsia="zh-CN"/>
        </w:rPr>
        <w:t>开采</w:t>
      </w:r>
      <w:r>
        <w:rPr>
          <w:rFonts w:hint="eastAsia" w:cs="Times New Roman"/>
          <w:sz w:val="28"/>
          <w:szCs w:val="28"/>
          <w:lang w:eastAsia="zh-CN"/>
        </w:rPr>
        <w:t>。</w:t>
      </w:r>
    </w:p>
    <w:p w14:paraId="247EBFE6">
      <w:pPr>
        <w:spacing w:line="360" w:lineRule="auto"/>
        <w:ind w:firstLine="560" w:firstLineChars="200"/>
        <w:rPr>
          <w:rFonts w:hint="default" w:ascii="Times New Roman" w:hAnsi="Times New Roman" w:cs="Times New Roman"/>
          <w:sz w:val="28"/>
          <w:szCs w:val="28"/>
        </w:rPr>
      </w:pPr>
      <w:r>
        <w:rPr>
          <w:rFonts w:hint="eastAsia" w:cs="Times New Roman"/>
          <w:sz w:val="28"/>
          <w:szCs w:val="28"/>
          <w:lang w:eastAsia="zh-CN"/>
        </w:rPr>
        <w:t>（</w:t>
      </w:r>
      <w:r>
        <w:rPr>
          <w:rFonts w:hint="eastAsia" w:cs="Times New Roman"/>
          <w:sz w:val="28"/>
          <w:szCs w:val="28"/>
          <w:lang w:val="en-US" w:eastAsia="zh-CN"/>
        </w:rPr>
        <w:t>3</w:t>
      </w:r>
      <w:r>
        <w:rPr>
          <w:rFonts w:hint="eastAsia" w:cs="Times New Roman"/>
          <w:sz w:val="28"/>
          <w:szCs w:val="28"/>
          <w:lang w:eastAsia="zh-CN"/>
        </w:rPr>
        <w:t>）</w:t>
      </w:r>
      <w:r>
        <w:rPr>
          <w:rFonts w:hint="default" w:ascii="Times New Roman" w:hAnsi="Times New Roman" w:cs="Times New Roman"/>
          <w:sz w:val="28"/>
          <w:szCs w:val="28"/>
        </w:rPr>
        <w:t>矿山应对易产生崩落、掉块的部位需重点防护，对过往行人车辆会构成威胁，应完善边坡截排水设施，定期进行巡查，发现浮石、开裂等隐患，及时处理。</w:t>
      </w:r>
    </w:p>
    <w:p w14:paraId="4CAE8BEC">
      <w:pPr>
        <w:spacing w:line="360" w:lineRule="auto"/>
        <w:ind w:firstLine="560" w:firstLineChars="200"/>
        <w:rPr>
          <w:rFonts w:hint="default" w:ascii="Times New Roman" w:hAnsi="Times New Roman" w:cs="Times New Roman"/>
          <w:sz w:val="28"/>
          <w:szCs w:val="28"/>
        </w:rPr>
      </w:pPr>
      <w:r>
        <w:rPr>
          <w:rFonts w:hint="default" w:ascii="Times New Roman" w:hAnsi="Times New Roman" w:cs="Times New Roman"/>
          <w:sz w:val="28"/>
          <w:szCs w:val="28"/>
        </w:rPr>
        <w:t>（</w:t>
      </w:r>
      <w:r>
        <w:rPr>
          <w:rFonts w:hint="eastAsia" w:cs="Times New Roman"/>
          <w:sz w:val="28"/>
          <w:szCs w:val="28"/>
          <w:lang w:val="en-US" w:eastAsia="zh-CN"/>
        </w:rPr>
        <w:t>4</w:t>
      </w:r>
      <w:r>
        <w:rPr>
          <w:rFonts w:hint="default" w:ascii="Times New Roman" w:hAnsi="Times New Roman" w:cs="Times New Roman"/>
          <w:sz w:val="28"/>
          <w:szCs w:val="28"/>
        </w:rPr>
        <w:t>）</w:t>
      </w:r>
      <w:r>
        <w:rPr>
          <w:rFonts w:hint="default" w:ascii="Times New Roman" w:hAnsi="Times New Roman" w:cs="Times New Roman"/>
          <w:color w:val="auto"/>
          <w:sz w:val="28"/>
          <w:szCs w:val="28"/>
          <w:highlight w:val="none"/>
        </w:rPr>
        <w:t>定期对采区进行检查，发现灾害隐患时及时采取相应的控制及治理措施</w:t>
      </w:r>
      <w:r>
        <w:rPr>
          <w:rFonts w:hint="default" w:ascii="Times New Roman" w:hAnsi="Times New Roman" w:cs="Times New Roman"/>
          <w:sz w:val="28"/>
          <w:szCs w:val="28"/>
        </w:rPr>
        <w:t>。</w:t>
      </w:r>
    </w:p>
    <w:p w14:paraId="2BEE2252">
      <w:pPr>
        <w:spacing w:line="360" w:lineRule="auto"/>
        <w:ind w:firstLine="560" w:firstLineChars="200"/>
        <w:rPr>
          <w:rFonts w:hint="default" w:ascii="Times New Roman" w:hAnsi="Times New Roman" w:cs="Times New Roman"/>
          <w:sz w:val="28"/>
          <w:szCs w:val="28"/>
        </w:rPr>
      </w:pPr>
      <w:r>
        <w:rPr>
          <w:rFonts w:hint="default" w:ascii="Times New Roman" w:hAnsi="Times New Roman" w:cs="Times New Roman"/>
          <w:sz w:val="28"/>
          <w:szCs w:val="28"/>
        </w:rPr>
        <w:t>（</w:t>
      </w:r>
      <w:r>
        <w:rPr>
          <w:rFonts w:hint="eastAsia" w:cs="Times New Roman"/>
          <w:sz w:val="28"/>
          <w:szCs w:val="28"/>
          <w:lang w:val="en-US" w:eastAsia="zh-CN"/>
        </w:rPr>
        <w:t>5</w:t>
      </w:r>
      <w:r>
        <w:rPr>
          <w:rFonts w:hint="default" w:ascii="Times New Roman" w:hAnsi="Times New Roman" w:cs="Times New Roman"/>
          <w:sz w:val="28"/>
          <w:szCs w:val="28"/>
        </w:rPr>
        <w:t>）距坠落基准面2m及2m以上，有人员坠落危险的作业场所应设安全网等防护设施，作业人员应佩戴安全带。有六级以上强风时，不应进行高处作业和露天起重作业。</w:t>
      </w:r>
    </w:p>
    <w:p w14:paraId="42903943">
      <w:pPr>
        <w:spacing w:line="360" w:lineRule="auto"/>
        <w:ind w:firstLine="560" w:firstLineChars="200"/>
        <w:rPr>
          <w:rFonts w:hint="default" w:ascii="Times New Roman" w:hAnsi="Times New Roman" w:cs="Times New Roman"/>
          <w:sz w:val="28"/>
          <w:szCs w:val="28"/>
        </w:rPr>
      </w:pPr>
      <w:r>
        <w:rPr>
          <w:rFonts w:hint="default" w:ascii="Times New Roman" w:hAnsi="Times New Roman" w:cs="Times New Roman"/>
          <w:sz w:val="28"/>
          <w:szCs w:val="28"/>
          <w:lang w:val="zh-CN"/>
        </w:rPr>
        <w:t>（</w:t>
      </w:r>
      <w:r>
        <w:rPr>
          <w:rFonts w:hint="eastAsia" w:cs="Times New Roman"/>
          <w:sz w:val="28"/>
          <w:szCs w:val="28"/>
          <w:lang w:val="en-US" w:eastAsia="zh-CN"/>
        </w:rPr>
        <w:t>6</w:t>
      </w:r>
      <w:r>
        <w:rPr>
          <w:rFonts w:hint="default" w:ascii="Times New Roman" w:hAnsi="Times New Roman" w:cs="Times New Roman"/>
          <w:sz w:val="28"/>
          <w:szCs w:val="28"/>
          <w:lang w:val="zh-CN"/>
        </w:rPr>
        <w:t>）加强采场现场安全生产管理，采场边坡上下严禁同时作业，无关人员禁止进入采场；雨季做好采场防洪排水工作，防止采场边坡失稳。</w:t>
      </w:r>
    </w:p>
    <w:p w14:paraId="010DBE95">
      <w:pPr>
        <w:spacing w:line="360" w:lineRule="auto"/>
        <w:ind w:firstLine="560" w:firstLineChars="200"/>
        <w:rPr>
          <w:rFonts w:hint="default" w:ascii="Times New Roman" w:hAnsi="Times New Roman" w:cs="Times New Roman"/>
          <w:sz w:val="28"/>
          <w:szCs w:val="28"/>
          <w:lang w:val="zh-CN"/>
        </w:rPr>
      </w:pPr>
      <w:r>
        <w:rPr>
          <w:rFonts w:hint="default" w:ascii="Times New Roman" w:hAnsi="Times New Roman" w:cs="Times New Roman"/>
          <w:sz w:val="28"/>
          <w:szCs w:val="28"/>
          <w:lang w:val="zh-CN"/>
        </w:rPr>
        <w:t>（</w:t>
      </w:r>
      <w:r>
        <w:rPr>
          <w:rFonts w:hint="eastAsia" w:cs="Times New Roman"/>
          <w:sz w:val="28"/>
          <w:szCs w:val="28"/>
          <w:lang w:val="en-US" w:eastAsia="zh-CN"/>
        </w:rPr>
        <w:t>7</w:t>
      </w:r>
      <w:r>
        <w:rPr>
          <w:rFonts w:hint="default" w:ascii="Times New Roman" w:hAnsi="Times New Roman" w:cs="Times New Roman"/>
          <w:sz w:val="28"/>
          <w:szCs w:val="28"/>
          <w:lang w:val="zh-CN"/>
        </w:rPr>
        <w:t>）山坡露天采场</w:t>
      </w:r>
      <w:r>
        <w:rPr>
          <w:rFonts w:hint="default" w:ascii="Times New Roman" w:hAnsi="Times New Roman" w:cs="Times New Roman"/>
          <w:sz w:val="28"/>
          <w:szCs w:val="28"/>
        </w:rPr>
        <w:t>应设置人工监测设施及方案，对</w:t>
      </w:r>
      <w:r>
        <w:rPr>
          <w:rFonts w:hint="default" w:ascii="Times New Roman" w:hAnsi="Times New Roman" w:cs="Times New Roman"/>
          <w:sz w:val="28"/>
          <w:szCs w:val="28"/>
          <w:lang w:val="zh-CN"/>
        </w:rPr>
        <w:t>工作边坡应每季度检查1次，运输或者行人的非工作边坡每半年检查1次；边坡出现滑坡或者地面坍塌迹象时，应立即停止受影响区域的生产作业，撤出相关人员和设备，采取安全措施。</w:t>
      </w:r>
    </w:p>
    <w:p w14:paraId="28A6044E">
      <w:pPr>
        <w:spacing w:line="360" w:lineRule="auto"/>
        <w:ind w:firstLine="560" w:firstLineChars="200"/>
        <w:rPr>
          <w:rFonts w:hint="default" w:ascii="Times New Roman" w:hAnsi="Times New Roman" w:eastAsia="宋体" w:cs="Times New Roman"/>
          <w:sz w:val="28"/>
          <w:szCs w:val="28"/>
          <w:lang w:val="en-US" w:eastAsia="zh-CN"/>
        </w:rPr>
      </w:pPr>
      <w:r>
        <w:rPr>
          <w:rFonts w:hint="default" w:ascii="Times New Roman" w:hAnsi="Times New Roman" w:cs="Times New Roman"/>
          <w:sz w:val="28"/>
          <w:szCs w:val="28"/>
        </w:rPr>
        <w:t>（</w:t>
      </w:r>
      <w:r>
        <w:rPr>
          <w:rFonts w:hint="eastAsia" w:cs="Times New Roman"/>
          <w:sz w:val="28"/>
          <w:szCs w:val="28"/>
          <w:lang w:val="en-US" w:eastAsia="zh-CN"/>
        </w:rPr>
        <w:t>8</w:t>
      </w:r>
      <w:r>
        <w:rPr>
          <w:rFonts w:hint="default" w:ascii="Times New Roman" w:hAnsi="Times New Roman" w:cs="Times New Roman"/>
          <w:sz w:val="28"/>
          <w:szCs w:val="28"/>
        </w:rPr>
        <w:t>）</w:t>
      </w:r>
      <w:r>
        <w:rPr>
          <w:rFonts w:hint="default" w:ascii="Times New Roman" w:hAnsi="Times New Roman" w:cs="Times New Roman"/>
          <w:sz w:val="28"/>
          <w:szCs w:val="28"/>
          <w:lang w:val="en-GB"/>
        </w:rPr>
        <w:t>矿山采矿后将形成一定的采空区，采空区应加强安全管理，采取相应安全措施，并设置相应的安全警示标志标语，以防人员误入发生事故</w:t>
      </w:r>
      <w:r>
        <w:rPr>
          <w:rFonts w:hint="default" w:ascii="Times New Roman" w:hAnsi="Times New Roman" w:cs="Times New Roman"/>
          <w:sz w:val="28"/>
          <w:szCs w:val="28"/>
          <w:lang w:val="en-GB" w:eastAsia="zh-CN"/>
        </w:rPr>
        <w:t>。</w:t>
      </w:r>
    </w:p>
    <w:p w14:paraId="7CA68B6A">
      <w:pPr>
        <w:spacing w:line="360" w:lineRule="auto"/>
        <w:ind w:firstLine="560" w:firstLineChars="200"/>
        <w:rPr>
          <w:rFonts w:hint="default" w:ascii="Times New Roman" w:hAnsi="Times New Roman" w:cs="Times New Roman"/>
          <w:sz w:val="28"/>
          <w:szCs w:val="28"/>
        </w:rPr>
      </w:pPr>
      <w:r>
        <w:rPr>
          <w:rFonts w:hint="default" w:ascii="Times New Roman" w:hAnsi="Times New Roman" w:cs="Times New Roman"/>
          <w:sz w:val="28"/>
          <w:szCs w:val="28"/>
          <w:lang w:val="en-US" w:eastAsia="zh-CN"/>
        </w:rPr>
        <w:t>2</w:t>
      </w:r>
      <w:r>
        <w:rPr>
          <w:rFonts w:hint="default" w:ascii="Times New Roman" w:hAnsi="Times New Roman" w:cs="Times New Roman"/>
          <w:sz w:val="28"/>
          <w:szCs w:val="28"/>
        </w:rPr>
        <w:t>.铲装运输子单元：</w:t>
      </w:r>
    </w:p>
    <w:p w14:paraId="5095996B">
      <w:pPr>
        <w:spacing w:line="360" w:lineRule="auto"/>
        <w:ind w:firstLine="560" w:firstLineChars="200"/>
        <w:rPr>
          <w:rFonts w:hint="default" w:ascii="Times New Roman" w:hAnsi="Times New Roman" w:cs="Times New Roman"/>
          <w:sz w:val="28"/>
          <w:szCs w:val="28"/>
        </w:rPr>
      </w:pPr>
      <w:r>
        <w:rPr>
          <w:rFonts w:hint="default" w:ascii="Times New Roman" w:hAnsi="Times New Roman" w:cs="Times New Roman"/>
          <w:sz w:val="28"/>
          <w:szCs w:val="28"/>
        </w:rPr>
        <w:t>（1）铲装设备在工作台阶上铲装作业时，应尽量避免靠近平台边缘，由于工作台阶边缘矿岩松散，有可能导致铲装设备坠落、倾翻。</w:t>
      </w:r>
    </w:p>
    <w:p w14:paraId="3F39A30E">
      <w:pPr>
        <w:spacing w:line="360" w:lineRule="auto"/>
        <w:ind w:firstLine="560" w:firstLineChars="200"/>
        <w:rPr>
          <w:rFonts w:hint="default" w:ascii="Times New Roman" w:hAnsi="Times New Roman" w:cs="Times New Roman"/>
          <w:sz w:val="28"/>
          <w:szCs w:val="28"/>
        </w:rPr>
      </w:pPr>
      <w:r>
        <w:rPr>
          <w:rFonts w:hint="default" w:ascii="Times New Roman" w:hAnsi="Times New Roman" w:cs="Times New Roman"/>
          <w:sz w:val="28"/>
          <w:szCs w:val="28"/>
        </w:rPr>
        <w:t>（2）挖掘机汽笛或警报器应完好，进行各种操作时，均应发出警告信号。挖掘机作业时，悬臂和铲斗下面及工作面附近，不应有人停留。</w:t>
      </w:r>
    </w:p>
    <w:p w14:paraId="664CE474">
      <w:pPr>
        <w:spacing w:line="360" w:lineRule="auto"/>
        <w:ind w:firstLine="560" w:firstLineChars="200"/>
        <w:rPr>
          <w:rFonts w:hint="default" w:ascii="Times New Roman" w:hAnsi="Times New Roman" w:cs="Times New Roman"/>
          <w:sz w:val="28"/>
          <w:szCs w:val="28"/>
        </w:rPr>
      </w:pPr>
      <w:r>
        <w:rPr>
          <w:rFonts w:hint="default" w:ascii="Times New Roman" w:hAnsi="Times New Roman" w:cs="Times New Roman"/>
          <w:sz w:val="28"/>
          <w:szCs w:val="28"/>
        </w:rPr>
        <w:t>（3）对运输设备建立定期的检测和保养制度，以确保运输设备的安全可靠性，防止机械失灵造成安全事故；建立运输系统各岗位安全职责、安全管理制度及安全操作规程。</w:t>
      </w:r>
    </w:p>
    <w:p w14:paraId="1EA9D453">
      <w:pPr>
        <w:spacing w:line="360" w:lineRule="auto"/>
        <w:ind w:firstLine="560" w:firstLineChars="200"/>
        <w:rPr>
          <w:rFonts w:hint="default" w:ascii="Times New Roman" w:hAnsi="Times New Roman" w:cs="Times New Roman"/>
          <w:sz w:val="28"/>
          <w:szCs w:val="28"/>
        </w:rPr>
      </w:pPr>
      <w:r>
        <w:rPr>
          <w:rFonts w:hint="default" w:ascii="Times New Roman" w:hAnsi="Times New Roman" w:cs="Times New Roman"/>
          <w:sz w:val="28"/>
          <w:szCs w:val="28"/>
        </w:rPr>
        <w:t>（4）道路设置安全警示标牌。包括：限速、弯道、路口指示、停车指示等标志；沿道路外侧设立安全桩或安全墙；建立道路运输安全管理制度，对操作人员的行为进行规范，定期进行车辆维护保养确保车况良好。</w:t>
      </w:r>
    </w:p>
    <w:p w14:paraId="2C9FA080">
      <w:pPr>
        <w:pStyle w:val="4"/>
        <w:spacing w:before="0" w:after="0" w:line="360" w:lineRule="auto"/>
        <w:ind w:firstLine="562" w:firstLineChars="200"/>
        <w:rPr>
          <w:rFonts w:hint="default" w:ascii="Times New Roman" w:hAnsi="Times New Roman" w:cs="Times New Roman"/>
          <w:sz w:val="28"/>
          <w:szCs w:val="28"/>
        </w:rPr>
      </w:pPr>
      <w:bookmarkStart w:id="409" w:name="_Toc7047"/>
      <w:bookmarkStart w:id="410" w:name="_Toc21264"/>
      <w:bookmarkStart w:id="411" w:name="_Toc23267"/>
      <w:bookmarkStart w:id="412" w:name="_Toc13999"/>
      <w:r>
        <w:rPr>
          <w:rFonts w:hint="default" w:ascii="Times New Roman" w:hAnsi="Times New Roman" w:cs="Times New Roman"/>
          <w:sz w:val="28"/>
          <w:szCs w:val="28"/>
        </w:rPr>
        <w:t>4.1.4矿山</w:t>
      </w:r>
      <w:bookmarkEnd w:id="409"/>
      <w:bookmarkEnd w:id="410"/>
      <w:r>
        <w:rPr>
          <w:rFonts w:hint="default" w:ascii="Times New Roman" w:hAnsi="Times New Roman" w:cs="Times New Roman"/>
          <w:sz w:val="28"/>
          <w:szCs w:val="28"/>
        </w:rPr>
        <w:t>供配电设施单元</w:t>
      </w:r>
      <w:bookmarkEnd w:id="411"/>
      <w:bookmarkEnd w:id="412"/>
    </w:p>
    <w:p w14:paraId="21478F2F">
      <w:pPr>
        <w:adjustRightInd w:val="0"/>
        <w:spacing w:line="360" w:lineRule="auto"/>
        <w:ind w:firstLine="560" w:firstLineChars="200"/>
        <w:rPr>
          <w:rFonts w:hint="default" w:ascii="Times New Roman" w:hAnsi="Times New Roman" w:cs="Times New Roman"/>
          <w:snapToGrid w:val="0"/>
          <w:kern w:val="0"/>
          <w:sz w:val="28"/>
          <w:szCs w:val="20"/>
        </w:rPr>
      </w:pPr>
      <w:r>
        <w:rPr>
          <w:rFonts w:hint="default" w:ascii="Times New Roman" w:hAnsi="Times New Roman" w:cs="Times New Roman"/>
          <w:snapToGrid w:val="0"/>
          <w:kern w:val="0"/>
          <w:sz w:val="28"/>
          <w:szCs w:val="20"/>
        </w:rPr>
        <w:t>（1）根据《建筑物防雷设计规范》（GB50057-2010），矿区地表建构筑物属第三类防雷建筑物。建议矿区各类建构筑物按照国家标准、规程和规范的有关要求，按建筑物的类别满足防雷等级的要求。防雷设施能够满足防直接雷、雷电侵入及感应雷的要求。</w:t>
      </w:r>
    </w:p>
    <w:p w14:paraId="6E9AB27E">
      <w:pPr>
        <w:adjustRightInd w:val="0"/>
        <w:spacing w:line="360" w:lineRule="auto"/>
        <w:ind w:firstLine="560" w:firstLineChars="200"/>
        <w:rPr>
          <w:rFonts w:hint="default" w:ascii="Times New Roman" w:hAnsi="Times New Roman" w:cs="Times New Roman"/>
          <w:snapToGrid w:val="0"/>
          <w:kern w:val="0"/>
          <w:sz w:val="28"/>
          <w:szCs w:val="20"/>
        </w:rPr>
      </w:pPr>
      <w:r>
        <w:rPr>
          <w:rFonts w:hint="default" w:ascii="Times New Roman" w:hAnsi="Times New Roman" w:cs="Times New Roman"/>
          <w:snapToGrid w:val="0"/>
          <w:kern w:val="0"/>
          <w:sz w:val="28"/>
          <w:szCs w:val="20"/>
        </w:rPr>
        <w:t>（2）本项目为生产多年矿山，供配电系统已建成多年，应当定时检查供电线路，对于破损、开胶等问题及时处理。</w:t>
      </w:r>
    </w:p>
    <w:p w14:paraId="1E5E7B8A">
      <w:pPr>
        <w:adjustRightInd w:val="0"/>
        <w:spacing w:line="360" w:lineRule="auto"/>
        <w:ind w:firstLine="560" w:firstLineChars="200"/>
        <w:rPr>
          <w:rFonts w:hint="default" w:ascii="Times New Roman" w:hAnsi="Times New Roman" w:cs="Times New Roman"/>
          <w:snapToGrid w:val="0"/>
          <w:kern w:val="0"/>
          <w:sz w:val="28"/>
          <w:szCs w:val="20"/>
        </w:rPr>
      </w:pPr>
      <w:r>
        <w:rPr>
          <w:rFonts w:hint="default" w:ascii="Times New Roman" w:hAnsi="Times New Roman" w:cs="Times New Roman"/>
          <w:snapToGrid w:val="0"/>
          <w:kern w:val="0"/>
          <w:sz w:val="28"/>
          <w:szCs w:val="20"/>
        </w:rPr>
        <w:t>（3）电气工作人员，应按规定考核合格方准上岗，上岗应穿戴和使用防护用品、用具进行操作。维修电气设备和线路，应由电气工作人员进行。</w:t>
      </w:r>
    </w:p>
    <w:p w14:paraId="29018DC1">
      <w:pPr>
        <w:adjustRightInd w:val="0"/>
        <w:spacing w:line="360" w:lineRule="auto"/>
        <w:ind w:firstLine="560" w:firstLineChars="200"/>
        <w:rPr>
          <w:rFonts w:hint="default" w:ascii="Times New Roman" w:hAnsi="Times New Roman" w:cs="Times New Roman"/>
          <w:sz w:val="28"/>
          <w:szCs w:val="28"/>
          <w:lang w:val="en-GB" w:eastAsia="zh-CN"/>
        </w:rPr>
      </w:pPr>
      <w:r>
        <w:rPr>
          <w:rFonts w:hint="default" w:ascii="Times New Roman" w:hAnsi="Times New Roman" w:cs="Times New Roman"/>
          <w:snapToGrid w:val="0"/>
          <w:kern w:val="0"/>
          <w:sz w:val="28"/>
          <w:szCs w:val="20"/>
          <w:lang w:eastAsia="zh-CN"/>
        </w:rPr>
        <w:t>（</w:t>
      </w:r>
      <w:r>
        <w:rPr>
          <w:rFonts w:hint="default" w:ascii="Times New Roman" w:hAnsi="Times New Roman" w:cs="Times New Roman"/>
          <w:snapToGrid w:val="0"/>
          <w:kern w:val="0"/>
          <w:sz w:val="28"/>
          <w:szCs w:val="20"/>
          <w:lang w:val="en-US" w:eastAsia="zh-CN"/>
        </w:rPr>
        <w:t>4</w:t>
      </w:r>
      <w:r>
        <w:rPr>
          <w:rFonts w:hint="default" w:ascii="Times New Roman" w:hAnsi="Times New Roman" w:cs="Times New Roman"/>
          <w:snapToGrid w:val="0"/>
          <w:kern w:val="0"/>
          <w:sz w:val="28"/>
          <w:szCs w:val="20"/>
          <w:lang w:eastAsia="zh-CN"/>
        </w:rPr>
        <w:t>）</w:t>
      </w:r>
      <w:r>
        <w:rPr>
          <w:rFonts w:hint="default" w:ascii="Times New Roman" w:hAnsi="Times New Roman" w:cs="Times New Roman"/>
          <w:sz w:val="28"/>
          <w:szCs w:val="28"/>
          <w:lang w:val="en-GB"/>
        </w:rPr>
        <w:t>下一步安全设施设计应进一步完善矿山供配电设施应配备的安全设施，变压器室、配电室、电容器室等房间应设置防止雨、雪和蛇、鼠等小动物从采光窗、通风窗、门、电缆沟等处进入室内的设施</w:t>
      </w:r>
      <w:r>
        <w:rPr>
          <w:rFonts w:hint="default" w:ascii="Times New Roman" w:hAnsi="Times New Roman" w:cs="Times New Roman"/>
          <w:sz w:val="28"/>
          <w:szCs w:val="28"/>
          <w:lang w:val="en-GB" w:eastAsia="zh-CN"/>
        </w:rPr>
        <w:t>。</w:t>
      </w:r>
    </w:p>
    <w:p w14:paraId="6E39DA29">
      <w:pPr>
        <w:adjustRightInd w:val="0"/>
        <w:spacing w:line="360" w:lineRule="auto"/>
        <w:ind w:firstLine="560" w:firstLineChars="200"/>
        <w:rPr>
          <w:rFonts w:hint="default" w:ascii="Times New Roman" w:hAnsi="Times New Roman" w:cs="Times New Roman"/>
          <w:sz w:val="28"/>
          <w:szCs w:val="28"/>
          <w:lang w:val="en-GB" w:eastAsia="zh-CN"/>
        </w:rPr>
      </w:pPr>
      <w:r>
        <w:rPr>
          <w:rFonts w:hint="default" w:ascii="Times New Roman" w:hAnsi="Times New Roman" w:cs="Times New Roman"/>
          <w:sz w:val="28"/>
          <w:szCs w:val="28"/>
          <w:lang w:val="en-GB" w:eastAsia="zh-CN"/>
        </w:rPr>
        <w:t>（5）电动挖掘机工作前应检查电线电缆绝缘、电路漏电保护器及各开关触点是否良好。严禁短时间内频繁停送电，防止损毁软启动器。送电时，操作人员的脸部要偏向一侧，不得面对电气开关送电。在启机后，应观看电机、工作油缸及油泵等运转状况有无异常、异响，倾听机器运转声音是否正常，有无异常噪音、异常振动，有无异常气味，观看有无异常磨损和异常发热现象观看润滑系统状态是否良好，观看仪表和指示是否正常。</w:t>
      </w:r>
    </w:p>
    <w:p w14:paraId="1E7D5FB8">
      <w:pPr>
        <w:adjustRightInd w:val="0"/>
        <w:spacing w:line="360" w:lineRule="auto"/>
        <w:ind w:firstLine="560" w:firstLineChars="200"/>
        <w:rPr>
          <w:rFonts w:hint="default" w:ascii="Times New Roman" w:hAnsi="Times New Roman" w:cs="Times New Roman"/>
          <w:sz w:val="28"/>
          <w:szCs w:val="28"/>
          <w:lang w:val="en-GB" w:eastAsia="zh-CN"/>
        </w:rPr>
      </w:pPr>
      <w:r>
        <w:rPr>
          <w:rFonts w:hint="default" w:ascii="Times New Roman" w:hAnsi="Times New Roman" w:cs="Times New Roman"/>
          <w:sz w:val="28"/>
          <w:szCs w:val="28"/>
          <w:lang w:val="en-GB" w:eastAsia="zh-CN"/>
        </w:rPr>
        <w:t>（6）挖掘机行走时，铲斗与臂杆严禁触碰电缆并留意观看移动电缆的滑行状态，严禁硬性拖拽电缆以防电缆损毁漏电。行走时臂杆应与履带平行,并制动回转机构，铲斗离地面宜为1m。行走坡度不得超过机械允许最大坡度，下坡用慢速行驶严禁空挡滑行。转弯不应过急，通过松软地时应进行铺垫加固。</w:t>
      </w:r>
    </w:p>
    <w:p w14:paraId="5FAD7F32">
      <w:pPr>
        <w:adjustRightInd w:val="0"/>
        <w:spacing w:line="360" w:lineRule="auto"/>
        <w:ind w:firstLine="560" w:firstLineChars="200"/>
        <w:rPr>
          <w:rFonts w:hint="default" w:ascii="Times New Roman" w:hAnsi="Times New Roman" w:cs="Times New Roman"/>
          <w:sz w:val="28"/>
          <w:szCs w:val="28"/>
          <w:lang w:val="en-GB" w:eastAsia="zh-CN"/>
        </w:rPr>
      </w:pPr>
      <w:r>
        <w:rPr>
          <w:rFonts w:hint="default" w:ascii="Times New Roman" w:hAnsi="Times New Roman" w:cs="Times New Roman"/>
          <w:sz w:val="28"/>
          <w:szCs w:val="28"/>
          <w:lang w:val="en-GB" w:eastAsia="zh-CN"/>
        </w:rPr>
        <w:t>检查液压系统各管路及操作阀杆、工作油缸、油泵及油管等是否有泄漏，动作是否异常。</w:t>
      </w:r>
    </w:p>
    <w:p w14:paraId="2F651FBA">
      <w:pPr>
        <w:pStyle w:val="4"/>
        <w:spacing w:before="0" w:after="0" w:line="360" w:lineRule="auto"/>
        <w:ind w:firstLine="562" w:firstLineChars="200"/>
        <w:rPr>
          <w:rFonts w:hint="default" w:ascii="Times New Roman" w:hAnsi="Times New Roman" w:cs="Times New Roman"/>
          <w:sz w:val="28"/>
          <w:szCs w:val="28"/>
        </w:rPr>
      </w:pPr>
      <w:bookmarkStart w:id="413" w:name="_Toc3314"/>
      <w:bookmarkStart w:id="414" w:name="_Toc13573"/>
      <w:bookmarkStart w:id="415" w:name="_Toc8608"/>
      <w:bookmarkStart w:id="416" w:name="_Toc25555"/>
      <w:r>
        <w:rPr>
          <w:rFonts w:hint="default" w:ascii="Times New Roman" w:hAnsi="Times New Roman" w:cs="Times New Roman"/>
          <w:sz w:val="28"/>
          <w:szCs w:val="28"/>
        </w:rPr>
        <w:t>4.1.5防排水</w:t>
      </w:r>
      <w:r>
        <w:rPr>
          <w:rFonts w:hint="default" w:ascii="Times New Roman" w:hAnsi="Times New Roman" w:cs="Times New Roman"/>
          <w:sz w:val="28"/>
          <w:szCs w:val="28"/>
          <w:lang w:val="en-US" w:eastAsia="zh-CN"/>
        </w:rPr>
        <w:t>与防灭火</w:t>
      </w:r>
      <w:r>
        <w:rPr>
          <w:rFonts w:hint="default" w:ascii="Times New Roman" w:hAnsi="Times New Roman" w:cs="Times New Roman"/>
          <w:sz w:val="28"/>
          <w:szCs w:val="28"/>
        </w:rPr>
        <w:t>单元</w:t>
      </w:r>
      <w:bookmarkEnd w:id="413"/>
      <w:bookmarkEnd w:id="414"/>
      <w:bookmarkEnd w:id="415"/>
      <w:bookmarkEnd w:id="416"/>
    </w:p>
    <w:p w14:paraId="44F54C02">
      <w:pPr>
        <w:spacing w:line="360" w:lineRule="auto"/>
        <w:ind w:firstLine="560" w:firstLineChars="200"/>
        <w:rPr>
          <w:rFonts w:hint="default" w:ascii="Times New Roman" w:hAnsi="Times New Roman" w:cs="Times New Roman"/>
          <w:sz w:val="28"/>
          <w:szCs w:val="28"/>
        </w:rPr>
      </w:pPr>
      <w:r>
        <w:rPr>
          <w:rFonts w:hint="default" w:ascii="Times New Roman" w:hAnsi="Times New Roman" w:cs="Times New Roman"/>
          <w:sz w:val="28"/>
          <w:szCs w:val="28"/>
        </w:rPr>
        <w:t>（1）下一步安全设施设计应对</w:t>
      </w:r>
      <w:r>
        <w:rPr>
          <w:rFonts w:hint="default" w:ascii="Times New Roman" w:hAnsi="Times New Roman" w:cs="Times New Roman"/>
          <w:sz w:val="28"/>
          <w:szCs w:val="28"/>
          <w:lang w:val="en-US" w:eastAsia="zh-CN"/>
        </w:rPr>
        <w:t>运输道路</w:t>
      </w:r>
      <w:r>
        <w:rPr>
          <w:rFonts w:hint="default" w:ascii="Times New Roman" w:hAnsi="Times New Roman" w:cs="Times New Roman"/>
          <w:sz w:val="28"/>
          <w:szCs w:val="28"/>
        </w:rPr>
        <w:t>排水沟及工业场地排水进行说明。</w:t>
      </w:r>
    </w:p>
    <w:p w14:paraId="78254ADE">
      <w:pPr>
        <w:spacing w:line="360" w:lineRule="auto"/>
        <w:ind w:firstLine="560" w:firstLineChars="200"/>
        <w:rPr>
          <w:rFonts w:hint="default" w:ascii="Times New Roman" w:hAnsi="Times New Roman" w:eastAsia="宋体" w:cs="Times New Roman"/>
          <w:sz w:val="28"/>
          <w:szCs w:val="28"/>
          <w:lang w:val="en-US" w:eastAsia="zh-CN"/>
        </w:rPr>
      </w:pPr>
      <w:r>
        <w:rPr>
          <w:rFonts w:hint="default" w:ascii="Times New Roman" w:hAnsi="Times New Roman" w:cs="Times New Roman"/>
          <w:sz w:val="28"/>
          <w:szCs w:val="28"/>
        </w:rPr>
        <w:t>（</w:t>
      </w:r>
      <w:r>
        <w:rPr>
          <w:rFonts w:hint="default" w:ascii="Times New Roman" w:hAnsi="Times New Roman" w:cs="Times New Roman"/>
          <w:sz w:val="28"/>
          <w:szCs w:val="28"/>
          <w:lang w:val="en-US" w:eastAsia="zh-CN"/>
        </w:rPr>
        <w:t>2</w:t>
      </w:r>
      <w:r>
        <w:rPr>
          <w:rFonts w:hint="default" w:ascii="Times New Roman" w:hAnsi="Times New Roman" w:cs="Times New Roman"/>
          <w:sz w:val="28"/>
          <w:szCs w:val="28"/>
        </w:rPr>
        <w:t>）</w:t>
      </w:r>
      <w:r>
        <w:rPr>
          <w:rFonts w:hint="default" w:ascii="Times New Roman" w:hAnsi="Times New Roman" w:cs="Times New Roman"/>
          <w:sz w:val="28"/>
          <w:szCs w:val="28"/>
          <w:lang w:val="en-US" w:eastAsia="zh-CN"/>
        </w:rPr>
        <w:t>临时表土堆放点设计位于东部采空区西侧，下一步设计应明确是否需要采取相关防排水设施。</w:t>
      </w:r>
    </w:p>
    <w:p w14:paraId="0D2F45EF">
      <w:pPr>
        <w:spacing w:line="360" w:lineRule="auto"/>
        <w:ind w:firstLine="560" w:firstLineChars="200"/>
        <w:rPr>
          <w:rFonts w:hint="default" w:ascii="Times New Roman" w:hAnsi="Times New Roman" w:cs="Times New Roman"/>
          <w:sz w:val="28"/>
          <w:szCs w:val="28"/>
        </w:rPr>
      </w:pPr>
      <w:r>
        <w:rPr>
          <w:rFonts w:hint="default" w:ascii="Times New Roman" w:hAnsi="Times New Roman" w:cs="Times New Roman"/>
          <w:sz w:val="28"/>
          <w:szCs w:val="28"/>
          <w:lang w:eastAsia="zh-CN"/>
        </w:rPr>
        <w:t>（</w:t>
      </w:r>
      <w:r>
        <w:rPr>
          <w:rFonts w:hint="default" w:ascii="Times New Roman" w:hAnsi="Times New Roman" w:cs="Times New Roman"/>
          <w:sz w:val="28"/>
          <w:szCs w:val="28"/>
          <w:lang w:val="en-US" w:eastAsia="zh-CN"/>
        </w:rPr>
        <w:t>3</w:t>
      </w:r>
      <w:r>
        <w:rPr>
          <w:rFonts w:hint="default" w:ascii="Times New Roman" w:hAnsi="Times New Roman" w:cs="Times New Roman"/>
          <w:sz w:val="28"/>
          <w:szCs w:val="28"/>
          <w:lang w:eastAsia="zh-CN"/>
        </w:rPr>
        <w:t>）</w:t>
      </w:r>
      <w:r>
        <w:rPr>
          <w:rFonts w:hint="default" w:ascii="Times New Roman" w:hAnsi="Times New Roman" w:cs="Times New Roman"/>
          <w:sz w:val="28"/>
          <w:szCs w:val="28"/>
        </w:rPr>
        <w:t>完善</w:t>
      </w:r>
      <w:r>
        <w:rPr>
          <w:rFonts w:hint="default" w:ascii="Times New Roman" w:hAnsi="Times New Roman" w:cs="Times New Roman"/>
          <w:sz w:val="28"/>
          <w:szCs w:val="28"/>
          <w:lang w:val="en-GB"/>
        </w:rPr>
        <w:t>重要采掘设备、配电室、生活办公区配备灭火</w:t>
      </w:r>
      <w:r>
        <w:rPr>
          <w:rFonts w:hint="default" w:ascii="Times New Roman" w:hAnsi="Times New Roman" w:cs="Times New Roman"/>
          <w:sz w:val="28"/>
          <w:szCs w:val="28"/>
          <w:lang w:val="en-US" w:eastAsia="zh-CN"/>
        </w:rPr>
        <w:t>器材的</w:t>
      </w:r>
      <w:r>
        <w:rPr>
          <w:rFonts w:hint="default" w:ascii="Times New Roman" w:hAnsi="Times New Roman" w:cs="Times New Roman"/>
          <w:sz w:val="28"/>
          <w:szCs w:val="28"/>
          <w:lang w:val="en-GB"/>
        </w:rPr>
        <w:t>要求</w:t>
      </w:r>
      <w:r>
        <w:rPr>
          <w:rFonts w:hint="default" w:ascii="Times New Roman" w:hAnsi="Times New Roman" w:cs="Times New Roman"/>
          <w:sz w:val="28"/>
          <w:szCs w:val="28"/>
        </w:rPr>
        <w:t>。</w:t>
      </w:r>
    </w:p>
    <w:p w14:paraId="6704F5BF">
      <w:pPr>
        <w:spacing w:line="360" w:lineRule="auto"/>
        <w:ind w:firstLine="560" w:firstLineChars="200"/>
        <w:rPr>
          <w:rFonts w:hint="default" w:ascii="Times New Roman" w:hAnsi="Times New Roman" w:cs="Times New Roman"/>
          <w:sz w:val="28"/>
          <w:szCs w:val="28"/>
        </w:rPr>
      </w:pPr>
      <w:r>
        <w:rPr>
          <w:rFonts w:hint="default" w:ascii="Times New Roman" w:hAnsi="Times New Roman" w:cs="Times New Roman"/>
          <w:sz w:val="28"/>
          <w:szCs w:val="28"/>
        </w:rPr>
        <w:t>（</w:t>
      </w:r>
      <w:r>
        <w:rPr>
          <w:rFonts w:hint="default" w:ascii="Times New Roman" w:hAnsi="Times New Roman" w:cs="Times New Roman"/>
          <w:sz w:val="28"/>
          <w:szCs w:val="28"/>
          <w:lang w:val="en-US" w:eastAsia="zh-CN"/>
        </w:rPr>
        <w:t>4</w:t>
      </w:r>
      <w:r>
        <w:rPr>
          <w:rFonts w:hint="default" w:ascii="Times New Roman" w:hAnsi="Times New Roman" w:cs="Times New Roman"/>
          <w:sz w:val="28"/>
          <w:szCs w:val="28"/>
        </w:rPr>
        <w:t>）</w:t>
      </w:r>
      <w:r>
        <w:rPr>
          <w:rFonts w:hint="default" w:ascii="Times New Roman" w:hAnsi="Times New Roman" w:cs="Times New Roman"/>
          <w:sz w:val="28"/>
          <w:szCs w:val="28"/>
        </w:rPr>
        <w:tab/>
      </w:r>
      <w:r>
        <w:rPr>
          <w:rFonts w:hint="default" w:ascii="Times New Roman" w:hAnsi="Times New Roman" w:cs="Times New Roman"/>
          <w:sz w:val="28"/>
          <w:szCs w:val="28"/>
        </w:rPr>
        <w:t>汛期时应做好矿区的防汛工作，包括明确防汛安全生产责任制，建立紧急预案，疏浚矿区内外的排水沟，详细检查排洪系统的安全状况，配备足够物资，确保通信、照明、道路、供电可靠和畅通等。</w:t>
      </w:r>
    </w:p>
    <w:p w14:paraId="6A5265D1">
      <w:pPr>
        <w:spacing w:line="360" w:lineRule="auto"/>
        <w:ind w:firstLine="560" w:firstLineChars="200"/>
        <w:rPr>
          <w:rFonts w:hint="default" w:ascii="Times New Roman" w:hAnsi="Times New Roman" w:cs="Times New Roman"/>
          <w:sz w:val="28"/>
          <w:szCs w:val="28"/>
        </w:rPr>
      </w:pPr>
      <w:r>
        <w:rPr>
          <w:rFonts w:hint="default" w:ascii="Times New Roman" w:hAnsi="Times New Roman" w:cs="Times New Roman"/>
          <w:sz w:val="28"/>
          <w:szCs w:val="28"/>
        </w:rPr>
        <w:t>（</w:t>
      </w:r>
      <w:r>
        <w:rPr>
          <w:rFonts w:hint="default" w:ascii="Times New Roman" w:hAnsi="Times New Roman" w:cs="Times New Roman"/>
          <w:sz w:val="28"/>
          <w:szCs w:val="28"/>
          <w:lang w:val="en-US" w:eastAsia="zh-CN"/>
        </w:rPr>
        <w:t>5</w:t>
      </w:r>
      <w:r>
        <w:rPr>
          <w:rFonts w:hint="default" w:ascii="Times New Roman" w:hAnsi="Times New Roman" w:cs="Times New Roman"/>
          <w:sz w:val="28"/>
          <w:szCs w:val="28"/>
        </w:rPr>
        <w:t>）矿山雨季期间应加强对边坡安全检查，发现隐患应及时整改，避免发生边坡失稳、坍塌、滑坡等地质灾害。</w:t>
      </w:r>
    </w:p>
    <w:p w14:paraId="706F6433">
      <w:pPr>
        <w:pStyle w:val="4"/>
        <w:spacing w:before="0" w:after="0" w:line="360" w:lineRule="auto"/>
        <w:ind w:firstLine="562" w:firstLineChars="200"/>
        <w:rPr>
          <w:rFonts w:hint="default" w:ascii="Times New Roman" w:hAnsi="Times New Roman" w:cs="Times New Roman"/>
          <w:sz w:val="28"/>
          <w:szCs w:val="28"/>
          <w:lang w:val="en-US" w:eastAsia="zh-CN"/>
        </w:rPr>
      </w:pPr>
      <w:bookmarkStart w:id="417" w:name="_Toc12983"/>
      <w:bookmarkStart w:id="418" w:name="_Toc22296"/>
      <w:bookmarkStart w:id="419" w:name="_Toc7718"/>
      <w:bookmarkStart w:id="420" w:name="_Toc23950"/>
      <w:r>
        <w:rPr>
          <w:rFonts w:hint="default" w:ascii="Times New Roman" w:hAnsi="Times New Roman" w:cs="Times New Roman"/>
          <w:sz w:val="28"/>
          <w:szCs w:val="28"/>
        </w:rPr>
        <w:t>4.1.</w:t>
      </w:r>
      <w:r>
        <w:rPr>
          <w:rFonts w:hint="default" w:ascii="Times New Roman" w:hAnsi="Times New Roman" w:cs="Times New Roman"/>
          <w:sz w:val="28"/>
          <w:szCs w:val="28"/>
          <w:lang w:val="en-US" w:eastAsia="zh-CN"/>
        </w:rPr>
        <w:t>6破碎系统单元</w:t>
      </w:r>
    </w:p>
    <w:p w14:paraId="446B1C8B">
      <w:pPr>
        <w:spacing w:line="360" w:lineRule="auto"/>
        <w:ind w:firstLine="560" w:firstLineChars="200"/>
        <w:rPr>
          <w:rFonts w:hint="eastAsia" w:ascii="Times New Roman" w:hAnsi="Times New Roman" w:eastAsia="宋体" w:cs="Times New Roman"/>
          <w:sz w:val="28"/>
          <w:szCs w:val="28"/>
          <w:lang w:eastAsia="zh-CN"/>
        </w:rPr>
      </w:pPr>
      <w:r>
        <w:rPr>
          <w:rFonts w:hint="eastAsia" w:ascii="Times New Roman" w:hAnsi="Times New Roman" w:eastAsia="宋体" w:cs="Times New Roman"/>
          <w:sz w:val="28"/>
          <w:szCs w:val="28"/>
          <w:lang w:val="en-US" w:eastAsia="zh-CN"/>
        </w:rPr>
        <w:t>（</w:t>
      </w:r>
      <w:r>
        <w:rPr>
          <w:rFonts w:hint="default" w:ascii="Times New Roman" w:hAnsi="Times New Roman" w:eastAsia="宋体" w:cs="Times New Roman"/>
          <w:sz w:val="28"/>
          <w:szCs w:val="28"/>
          <w:lang w:val="en-US" w:eastAsia="zh-CN"/>
        </w:rPr>
        <w:t>1</w:t>
      </w:r>
      <w:r>
        <w:rPr>
          <w:rFonts w:hint="eastAsia" w:ascii="Times New Roman" w:hAnsi="Times New Roman" w:eastAsia="宋体" w:cs="Times New Roman"/>
          <w:sz w:val="28"/>
          <w:szCs w:val="28"/>
          <w:lang w:val="en-US" w:eastAsia="zh-CN"/>
        </w:rPr>
        <w:t>）</w:t>
      </w:r>
      <w:r>
        <w:rPr>
          <w:rFonts w:hint="eastAsia" w:ascii="Times New Roman" w:hAnsi="Times New Roman" w:eastAsia="宋体" w:cs="Times New Roman"/>
          <w:sz w:val="28"/>
          <w:szCs w:val="28"/>
          <w:lang w:eastAsia="zh-CN"/>
        </w:rPr>
        <w:t>生产场所梯子、平台均设置安全栏杆，人行通道、管沟、坑池边，安装孔等设有栏杆、围栏或盖板，高空作业区都设有高空操作平台、防护栏杆，并设安全走道，大部分厂房用砖墙做永久性遮拦和隔断物。</w:t>
      </w:r>
    </w:p>
    <w:p w14:paraId="5CF584B8">
      <w:pPr>
        <w:spacing w:line="360" w:lineRule="auto"/>
        <w:ind w:firstLine="560" w:firstLineChars="200"/>
        <w:rPr>
          <w:rFonts w:hint="eastAsia" w:ascii="Times New Roman" w:hAnsi="Times New Roman" w:eastAsia="宋体" w:cs="Times New Roman"/>
          <w:sz w:val="28"/>
          <w:szCs w:val="28"/>
          <w:lang w:eastAsia="zh-CN"/>
        </w:rPr>
      </w:pPr>
      <w:r>
        <w:rPr>
          <w:rFonts w:hint="eastAsia" w:ascii="Times New Roman" w:hAnsi="Times New Roman" w:eastAsia="宋体" w:cs="Times New Roman"/>
          <w:sz w:val="28"/>
          <w:szCs w:val="28"/>
          <w:lang w:val="en-US" w:eastAsia="zh-CN"/>
        </w:rPr>
        <w:t>（</w:t>
      </w:r>
      <w:r>
        <w:rPr>
          <w:rFonts w:hint="default" w:ascii="Times New Roman" w:hAnsi="Times New Roman" w:eastAsia="宋体" w:cs="Times New Roman"/>
          <w:sz w:val="28"/>
          <w:szCs w:val="28"/>
          <w:lang w:val="en-US" w:eastAsia="zh-CN"/>
        </w:rPr>
        <w:t>2</w:t>
      </w:r>
      <w:r>
        <w:rPr>
          <w:rFonts w:hint="eastAsia" w:ascii="Times New Roman" w:hAnsi="Times New Roman" w:eastAsia="宋体" w:cs="Times New Roman"/>
          <w:sz w:val="28"/>
          <w:szCs w:val="28"/>
          <w:lang w:val="en-US" w:eastAsia="zh-CN"/>
        </w:rPr>
        <w:t>）</w:t>
      </w:r>
      <w:r>
        <w:rPr>
          <w:rFonts w:hint="eastAsia" w:ascii="Times New Roman" w:hAnsi="Times New Roman" w:eastAsia="宋体" w:cs="Times New Roman"/>
          <w:sz w:val="28"/>
          <w:szCs w:val="28"/>
          <w:lang w:eastAsia="zh-CN"/>
        </w:rPr>
        <w:t>距操作平台高度2m以内的所有转动带、转轴等危险部位，均设置相应的防护罩等设施；转动及传动设备、设备的可动部件等，设置相应的安全防护罩、网，防止刮伤、碰伤等伤害事故。</w:t>
      </w:r>
    </w:p>
    <w:p w14:paraId="6F31125C">
      <w:pPr>
        <w:spacing w:line="360" w:lineRule="auto"/>
        <w:ind w:firstLine="560" w:firstLineChars="200"/>
        <w:rPr>
          <w:rFonts w:hint="eastAsia" w:ascii="Times New Roman" w:hAnsi="Times New Roman" w:eastAsia="宋体" w:cs="Times New Roman"/>
          <w:sz w:val="28"/>
          <w:szCs w:val="28"/>
          <w:lang w:eastAsia="zh-CN"/>
        </w:rPr>
      </w:pPr>
      <w:r>
        <w:rPr>
          <w:rFonts w:hint="eastAsia" w:ascii="Times New Roman" w:hAnsi="Times New Roman" w:eastAsia="宋体" w:cs="Times New Roman"/>
          <w:sz w:val="28"/>
          <w:szCs w:val="28"/>
          <w:lang w:val="en-US" w:eastAsia="zh-CN"/>
        </w:rPr>
        <w:t>（</w:t>
      </w:r>
      <w:r>
        <w:rPr>
          <w:rFonts w:hint="default" w:ascii="Times New Roman" w:hAnsi="Times New Roman" w:eastAsia="宋体" w:cs="Times New Roman"/>
          <w:sz w:val="28"/>
          <w:szCs w:val="28"/>
          <w:lang w:val="en-US" w:eastAsia="zh-CN"/>
        </w:rPr>
        <w:t>3</w:t>
      </w:r>
      <w:r>
        <w:rPr>
          <w:rFonts w:hint="eastAsia" w:ascii="Times New Roman" w:hAnsi="Times New Roman" w:eastAsia="宋体" w:cs="Times New Roman"/>
          <w:sz w:val="28"/>
          <w:szCs w:val="28"/>
          <w:lang w:val="en-US" w:eastAsia="zh-CN"/>
        </w:rPr>
        <w:t>）</w:t>
      </w:r>
      <w:r>
        <w:rPr>
          <w:rFonts w:hint="eastAsia" w:ascii="Times New Roman" w:hAnsi="Times New Roman" w:eastAsia="宋体" w:cs="Times New Roman"/>
          <w:sz w:val="28"/>
          <w:szCs w:val="28"/>
          <w:lang w:eastAsia="zh-CN"/>
        </w:rPr>
        <w:t>对多台联动的运转设备，设置集中连锁控制和机旁操作开关，以便于正常操作和设备检修。</w:t>
      </w:r>
    </w:p>
    <w:p w14:paraId="10586285">
      <w:pPr>
        <w:spacing w:line="360" w:lineRule="auto"/>
        <w:ind w:firstLine="560" w:firstLineChars="200"/>
        <w:rPr>
          <w:rFonts w:hint="default" w:ascii="Times New Roman" w:hAnsi="Times New Roman" w:eastAsia="宋体" w:cs="Times New Roman"/>
          <w:sz w:val="28"/>
          <w:szCs w:val="28"/>
          <w:lang w:val="en-US" w:eastAsia="zh-CN"/>
        </w:rPr>
      </w:pPr>
      <w:r>
        <w:rPr>
          <w:rFonts w:hint="eastAsia" w:ascii="Times New Roman" w:hAnsi="Times New Roman" w:eastAsia="宋体" w:cs="Times New Roman"/>
          <w:sz w:val="28"/>
          <w:szCs w:val="28"/>
          <w:lang w:val="en-US" w:eastAsia="zh-CN"/>
        </w:rPr>
        <w:t>（</w:t>
      </w:r>
      <w:r>
        <w:rPr>
          <w:rFonts w:hint="default" w:ascii="Times New Roman" w:hAnsi="Times New Roman" w:eastAsia="宋体" w:cs="Times New Roman"/>
          <w:sz w:val="28"/>
          <w:szCs w:val="28"/>
          <w:lang w:val="en-US" w:eastAsia="zh-CN"/>
        </w:rPr>
        <w:t>4</w:t>
      </w:r>
      <w:r>
        <w:rPr>
          <w:rFonts w:hint="eastAsia" w:ascii="Times New Roman" w:hAnsi="Times New Roman" w:eastAsia="宋体" w:cs="Times New Roman"/>
          <w:sz w:val="28"/>
          <w:szCs w:val="28"/>
          <w:lang w:val="en-US" w:eastAsia="zh-CN"/>
        </w:rPr>
        <w:t>）</w:t>
      </w:r>
      <w:r>
        <w:rPr>
          <w:rFonts w:hint="eastAsia" w:ascii="Times New Roman" w:hAnsi="Times New Roman" w:eastAsia="宋体" w:cs="Times New Roman"/>
          <w:sz w:val="28"/>
          <w:szCs w:val="28"/>
          <w:lang w:eastAsia="zh-CN"/>
        </w:rPr>
        <w:t>在有危险性的场所设置相应的安全标志。</w:t>
      </w:r>
    </w:p>
    <w:p w14:paraId="5966B6B3">
      <w:pPr>
        <w:spacing w:line="360" w:lineRule="auto"/>
        <w:ind w:firstLine="560" w:firstLineChars="200"/>
        <w:rPr>
          <w:rFonts w:hint="default" w:ascii="Times New Roman" w:hAnsi="Times New Roman" w:eastAsia="宋体" w:cs="Times New Roman"/>
          <w:sz w:val="28"/>
          <w:szCs w:val="28"/>
          <w:lang w:val="en-US" w:eastAsia="zh-CN"/>
        </w:rPr>
      </w:pPr>
      <w:r>
        <w:rPr>
          <w:rFonts w:hint="eastAsia" w:ascii="Times New Roman" w:hAnsi="Times New Roman" w:eastAsia="宋体" w:cs="Times New Roman"/>
          <w:sz w:val="28"/>
          <w:szCs w:val="28"/>
          <w:lang w:val="en-US" w:eastAsia="zh-CN"/>
        </w:rPr>
        <w:t>（</w:t>
      </w:r>
      <w:r>
        <w:rPr>
          <w:rFonts w:hint="default" w:ascii="Times New Roman" w:hAnsi="Times New Roman" w:eastAsia="宋体" w:cs="Times New Roman"/>
          <w:sz w:val="28"/>
          <w:szCs w:val="28"/>
          <w:lang w:val="en-US" w:eastAsia="zh-CN"/>
        </w:rPr>
        <w:t>5</w:t>
      </w:r>
      <w:r>
        <w:rPr>
          <w:rFonts w:hint="eastAsia" w:ascii="Times New Roman" w:hAnsi="Times New Roman" w:eastAsia="宋体" w:cs="Times New Roman"/>
          <w:sz w:val="28"/>
          <w:szCs w:val="28"/>
          <w:lang w:val="en-US" w:eastAsia="zh-CN"/>
        </w:rPr>
        <w:t>）破碎设备周围应留有足够的操作和维修空间。</w:t>
      </w:r>
    </w:p>
    <w:p w14:paraId="7C50D208">
      <w:pPr>
        <w:spacing w:line="360" w:lineRule="auto"/>
        <w:ind w:firstLine="560" w:firstLineChars="200"/>
        <w:rPr>
          <w:rFonts w:hint="default" w:ascii="Times New Roman" w:hAnsi="Times New Roman" w:eastAsia="宋体" w:cs="Times New Roman"/>
          <w:sz w:val="28"/>
          <w:szCs w:val="28"/>
          <w:lang w:val="en-US" w:eastAsia="zh-CN"/>
        </w:rPr>
      </w:pPr>
      <w:r>
        <w:rPr>
          <w:rFonts w:hint="eastAsia" w:ascii="Times New Roman" w:hAnsi="Times New Roman" w:eastAsia="宋体" w:cs="Times New Roman"/>
          <w:sz w:val="28"/>
          <w:szCs w:val="28"/>
          <w:lang w:val="en-US" w:eastAsia="zh-CN"/>
        </w:rPr>
        <w:t>（</w:t>
      </w:r>
      <w:r>
        <w:rPr>
          <w:rFonts w:hint="default" w:ascii="Times New Roman" w:hAnsi="Times New Roman" w:eastAsia="宋体" w:cs="Times New Roman"/>
          <w:sz w:val="28"/>
          <w:szCs w:val="28"/>
          <w:lang w:val="en-US" w:eastAsia="zh-CN"/>
        </w:rPr>
        <w:t>6</w:t>
      </w:r>
      <w:r>
        <w:rPr>
          <w:rFonts w:hint="eastAsia" w:ascii="Times New Roman" w:hAnsi="Times New Roman" w:eastAsia="宋体" w:cs="Times New Roman"/>
          <w:sz w:val="28"/>
          <w:szCs w:val="28"/>
          <w:lang w:val="en-US" w:eastAsia="zh-CN"/>
        </w:rPr>
        <w:t>）每一台破碎与设备均应在明显位置固定标牌，摆拍的标识、型式和尺寸就应符合GB/T13306的规定。</w:t>
      </w:r>
    </w:p>
    <w:p w14:paraId="47178142">
      <w:pPr>
        <w:spacing w:line="360" w:lineRule="auto"/>
        <w:ind w:firstLine="560" w:firstLineChars="200"/>
        <w:rPr>
          <w:rFonts w:hint="eastAsia" w:ascii="Times New Roman" w:hAnsi="Times New Roman" w:eastAsia="宋体" w:cs="Times New Roman"/>
          <w:sz w:val="28"/>
          <w:szCs w:val="28"/>
          <w:lang w:eastAsia="zh-CN"/>
        </w:rPr>
      </w:pPr>
      <w:r>
        <w:rPr>
          <w:rFonts w:hint="eastAsia" w:ascii="Times New Roman" w:hAnsi="Times New Roman" w:eastAsia="宋体" w:cs="Times New Roman"/>
          <w:sz w:val="28"/>
          <w:szCs w:val="28"/>
          <w:lang w:val="en-US" w:eastAsia="zh-CN"/>
        </w:rPr>
        <w:t>（</w:t>
      </w:r>
      <w:r>
        <w:rPr>
          <w:rFonts w:hint="default" w:ascii="Times New Roman" w:hAnsi="Times New Roman" w:eastAsia="宋体" w:cs="Times New Roman"/>
          <w:sz w:val="28"/>
          <w:szCs w:val="28"/>
          <w:lang w:val="en-US" w:eastAsia="zh-CN"/>
        </w:rPr>
        <w:t>7</w:t>
      </w:r>
      <w:r>
        <w:rPr>
          <w:rFonts w:hint="eastAsia" w:ascii="Times New Roman" w:hAnsi="Times New Roman" w:eastAsia="宋体" w:cs="Times New Roman"/>
          <w:sz w:val="28"/>
          <w:szCs w:val="28"/>
          <w:lang w:val="en-US" w:eastAsia="zh-CN"/>
        </w:rPr>
        <w:t>）</w:t>
      </w:r>
      <w:r>
        <w:rPr>
          <w:rFonts w:hint="eastAsia" w:ascii="Times New Roman" w:hAnsi="Times New Roman" w:eastAsia="宋体" w:cs="Times New Roman"/>
          <w:sz w:val="28"/>
          <w:szCs w:val="28"/>
          <w:lang w:eastAsia="zh-CN"/>
        </w:rPr>
        <w:t>在高速旋转或往复运动的机械零部件应设置可靠的防护设施、挡板或安全围栏；</w:t>
      </w:r>
    </w:p>
    <w:p w14:paraId="3E54CAD1">
      <w:pPr>
        <w:spacing w:line="360" w:lineRule="auto"/>
        <w:ind w:firstLine="560" w:firstLineChars="200"/>
        <w:rPr>
          <w:rFonts w:hint="eastAsia" w:ascii="Times New Roman" w:hAnsi="Times New Roman" w:eastAsia="宋体" w:cs="Times New Roman"/>
          <w:sz w:val="28"/>
          <w:szCs w:val="28"/>
          <w:lang w:eastAsia="zh-CN"/>
        </w:rPr>
      </w:pPr>
      <w:r>
        <w:rPr>
          <w:rFonts w:hint="eastAsia" w:ascii="Times New Roman" w:hAnsi="Times New Roman" w:eastAsia="宋体" w:cs="Times New Roman"/>
          <w:sz w:val="28"/>
          <w:szCs w:val="28"/>
          <w:lang w:val="en-US" w:eastAsia="zh-CN"/>
        </w:rPr>
        <w:t>（</w:t>
      </w:r>
      <w:r>
        <w:rPr>
          <w:rFonts w:hint="default" w:ascii="Times New Roman" w:hAnsi="Times New Roman" w:eastAsia="宋体" w:cs="Times New Roman"/>
          <w:sz w:val="28"/>
          <w:szCs w:val="28"/>
          <w:lang w:val="en-US" w:eastAsia="zh-CN"/>
        </w:rPr>
        <w:t>8</w:t>
      </w:r>
      <w:r>
        <w:rPr>
          <w:rFonts w:hint="eastAsia" w:ascii="Times New Roman" w:hAnsi="Times New Roman" w:eastAsia="宋体" w:cs="Times New Roman"/>
          <w:sz w:val="28"/>
          <w:szCs w:val="28"/>
          <w:lang w:val="en-US" w:eastAsia="zh-CN"/>
        </w:rPr>
        <w:t>）</w:t>
      </w:r>
      <w:r>
        <w:rPr>
          <w:rFonts w:hint="eastAsia" w:ascii="Times New Roman" w:hAnsi="Times New Roman" w:eastAsia="宋体" w:cs="Times New Roman"/>
          <w:sz w:val="28"/>
          <w:szCs w:val="28"/>
          <w:lang w:eastAsia="zh-CN"/>
        </w:rPr>
        <w:t>可能造成吸入、卷入、发生缠绕的设备转动部件和传动装置应予以封闭或设安全防护装置；</w:t>
      </w:r>
    </w:p>
    <w:p w14:paraId="6668A88C">
      <w:pPr>
        <w:spacing w:line="360" w:lineRule="auto"/>
        <w:ind w:firstLine="560" w:firstLineChars="200"/>
        <w:rPr>
          <w:rFonts w:hint="eastAsia" w:ascii="Times New Roman" w:hAnsi="Times New Roman" w:eastAsia="宋体" w:cs="Times New Roman"/>
          <w:sz w:val="28"/>
          <w:szCs w:val="28"/>
          <w:lang w:eastAsia="zh-CN"/>
        </w:rPr>
      </w:pPr>
      <w:r>
        <w:rPr>
          <w:rFonts w:hint="eastAsia" w:ascii="Times New Roman" w:hAnsi="Times New Roman" w:eastAsia="宋体" w:cs="Times New Roman"/>
          <w:sz w:val="28"/>
          <w:szCs w:val="28"/>
          <w:lang w:val="en-US" w:eastAsia="zh-CN"/>
        </w:rPr>
        <w:t>（</w:t>
      </w:r>
      <w:r>
        <w:rPr>
          <w:rFonts w:hint="default" w:ascii="Times New Roman" w:hAnsi="Times New Roman" w:eastAsia="宋体" w:cs="Times New Roman"/>
          <w:sz w:val="28"/>
          <w:szCs w:val="28"/>
          <w:lang w:val="en-US" w:eastAsia="zh-CN"/>
        </w:rPr>
        <w:t>9</w:t>
      </w:r>
      <w:r>
        <w:rPr>
          <w:rFonts w:hint="eastAsia" w:ascii="Times New Roman" w:hAnsi="Times New Roman" w:eastAsia="宋体" w:cs="Times New Roman"/>
          <w:sz w:val="28"/>
          <w:szCs w:val="28"/>
          <w:lang w:val="en-US" w:eastAsia="zh-CN"/>
        </w:rPr>
        <w:t>）</w:t>
      </w:r>
      <w:r>
        <w:rPr>
          <w:rFonts w:hint="eastAsia" w:ascii="Times New Roman" w:hAnsi="Times New Roman" w:eastAsia="宋体" w:cs="Times New Roman"/>
          <w:sz w:val="28"/>
          <w:szCs w:val="28"/>
          <w:lang w:eastAsia="zh-CN"/>
        </w:rPr>
        <w:t>加强设备管理和维护检修工作，消除设备缺陷和隐患，对设备隐患一定要及时处理，提出相应的整改措施，并监督落实，认真进行设备检修及事故隐患整改记录，杜绝设备的带病运转现象，为安全生产提供坚实的物质保障；</w:t>
      </w:r>
    </w:p>
    <w:p w14:paraId="597A5008">
      <w:pPr>
        <w:spacing w:line="360" w:lineRule="auto"/>
        <w:ind w:firstLine="560" w:firstLineChars="200"/>
        <w:rPr>
          <w:rFonts w:hint="eastAsia" w:ascii="Times New Roman" w:hAnsi="Times New Roman" w:eastAsia="宋体" w:cs="Times New Roman"/>
          <w:sz w:val="28"/>
          <w:szCs w:val="28"/>
          <w:lang w:eastAsia="zh-CN"/>
        </w:rPr>
      </w:pPr>
      <w:r>
        <w:rPr>
          <w:rFonts w:hint="eastAsia" w:ascii="Times New Roman" w:hAnsi="Times New Roman" w:eastAsia="宋体" w:cs="Times New Roman"/>
          <w:sz w:val="28"/>
          <w:szCs w:val="28"/>
          <w:lang w:val="en-US" w:eastAsia="zh-CN"/>
        </w:rPr>
        <w:t>（</w:t>
      </w:r>
      <w:r>
        <w:rPr>
          <w:rFonts w:hint="default" w:ascii="Times New Roman" w:hAnsi="Times New Roman" w:eastAsia="宋体" w:cs="Times New Roman"/>
          <w:sz w:val="28"/>
          <w:szCs w:val="28"/>
          <w:lang w:val="en-US" w:eastAsia="zh-CN"/>
        </w:rPr>
        <w:t>10</w:t>
      </w:r>
      <w:r>
        <w:rPr>
          <w:rFonts w:hint="eastAsia" w:ascii="Times New Roman" w:hAnsi="Times New Roman" w:eastAsia="宋体" w:cs="Times New Roman"/>
          <w:sz w:val="28"/>
          <w:szCs w:val="28"/>
          <w:lang w:val="en-US" w:eastAsia="zh-CN"/>
        </w:rPr>
        <w:t>）</w:t>
      </w:r>
      <w:r>
        <w:rPr>
          <w:rFonts w:hint="eastAsia" w:ascii="Times New Roman" w:hAnsi="Times New Roman" w:eastAsia="宋体" w:cs="Times New Roman"/>
          <w:sz w:val="28"/>
          <w:szCs w:val="28"/>
          <w:lang w:eastAsia="zh-CN"/>
        </w:rPr>
        <w:t>制订防范措施，严明劳动纪律，杜绝“三违”。</w:t>
      </w:r>
    </w:p>
    <w:p w14:paraId="417E66D0">
      <w:pPr>
        <w:spacing w:line="360" w:lineRule="auto"/>
        <w:ind w:firstLine="560" w:firstLineChars="200"/>
        <w:rPr>
          <w:rFonts w:hint="eastAsia" w:ascii="Times New Roman" w:hAnsi="Times New Roman" w:eastAsia="宋体" w:cs="Times New Roman"/>
          <w:sz w:val="28"/>
          <w:szCs w:val="28"/>
          <w:lang w:eastAsia="zh-CN"/>
        </w:rPr>
      </w:pPr>
      <w:r>
        <w:rPr>
          <w:rFonts w:hint="eastAsia" w:ascii="Times New Roman" w:hAnsi="Times New Roman" w:eastAsia="宋体" w:cs="Times New Roman"/>
          <w:sz w:val="28"/>
          <w:szCs w:val="28"/>
          <w:lang w:val="en-US" w:eastAsia="zh-CN"/>
        </w:rPr>
        <w:t>（</w:t>
      </w:r>
      <w:r>
        <w:rPr>
          <w:rFonts w:hint="default" w:ascii="Times New Roman" w:hAnsi="Times New Roman" w:eastAsia="宋体" w:cs="Times New Roman"/>
          <w:sz w:val="28"/>
          <w:szCs w:val="28"/>
          <w:lang w:val="en-US" w:eastAsia="zh-CN"/>
        </w:rPr>
        <w:t>11</w:t>
      </w:r>
      <w:r>
        <w:rPr>
          <w:rFonts w:hint="eastAsia" w:ascii="Times New Roman" w:hAnsi="Times New Roman" w:eastAsia="宋体" w:cs="Times New Roman"/>
          <w:sz w:val="28"/>
          <w:szCs w:val="28"/>
          <w:lang w:val="en-US" w:eastAsia="zh-CN"/>
        </w:rPr>
        <w:t>）</w:t>
      </w:r>
      <w:r>
        <w:rPr>
          <w:rFonts w:hint="eastAsia" w:ascii="Times New Roman" w:hAnsi="Times New Roman" w:eastAsia="宋体" w:cs="Times New Roman"/>
          <w:sz w:val="28"/>
          <w:szCs w:val="28"/>
          <w:lang w:eastAsia="zh-CN"/>
        </w:rPr>
        <w:t>操作人员必须经过安全教育合格后方可上岗，严禁违章作业。</w:t>
      </w:r>
    </w:p>
    <w:p w14:paraId="43C36815">
      <w:pPr>
        <w:spacing w:line="360" w:lineRule="auto"/>
        <w:ind w:firstLine="560" w:firstLineChars="200"/>
        <w:rPr>
          <w:rFonts w:hint="eastAsia" w:ascii="Times New Roman" w:hAnsi="Times New Roman" w:eastAsia="宋体" w:cs="Times New Roman"/>
          <w:sz w:val="28"/>
          <w:szCs w:val="28"/>
          <w:lang w:eastAsia="zh-CN"/>
        </w:rPr>
      </w:pPr>
      <w:r>
        <w:rPr>
          <w:rFonts w:hint="eastAsia" w:ascii="Times New Roman" w:hAnsi="Times New Roman" w:eastAsia="宋体" w:cs="Times New Roman"/>
          <w:sz w:val="28"/>
          <w:szCs w:val="28"/>
          <w:lang w:val="en-US" w:eastAsia="zh-CN"/>
        </w:rPr>
        <w:t>（</w:t>
      </w:r>
      <w:r>
        <w:rPr>
          <w:rFonts w:hint="default" w:ascii="Times New Roman" w:hAnsi="Times New Roman" w:eastAsia="宋体" w:cs="Times New Roman"/>
          <w:sz w:val="28"/>
          <w:szCs w:val="28"/>
          <w:lang w:val="en-US" w:eastAsia="zh-CN"/>
        </w:rPr>
        <w:t>12</w:t>
      </w:r>
      <w:r>
        <w:rPr>
          <w:rFonts w:hint="eastAsia" w:ascii="Times New Roman" w:hAnsi="Times New Roman" w:eastAsia="宋体" w:cs="Times New Roman"/>
          <w:sz w:val="28"/>
          <w:szCs w:val="28"/>
          <w:lang w:val="en-US" w:eastAsia="zh-CN"/>
        </w:rPr>
        <w:t>）</w:t>
      </w:r>
      <w:r>
        <w:rPr>
          <w:rFonts w:hint="eastAsia" w:ascii="Times New Roman" w:hAnsi="Times New Roman" w:eastAsia="宋体" w:cs="Times New Roman"/>
          <w:sz w:val="28"/>
          <w:szCs w:val="28"/>
          <w:lang w:eastAsia="zh-CN"/>
        </w:rPr>
        <w:t>保证机械设备安全防护装置正常运行。</w:t>
      </w:r>
    </w:p>
    <w:p w14:paraId="0D36DCB4">
      <w:pPr>
        <w:spacing w:line="360" w:lineRule="auto"/>
        <w:ind w:firstLine="560" w:firstLineChars="200"/>
        <w:rPr>
          <w:rFonts w:hint="eastAsia" w:ascii="Times New Roman" w:hAnsi="Times New Roman" w:eastAsia="宋体" w:cs="Times New Roman"/>
          <w:sz w:val="28"/>
          <w:szCs w:val="28"/>
          <w:lang w:eastAsia="zh-CN"/>
        </w:rPr>
      </w:pPr>
      <w:r>
        <w:rPr>
          <w:rFonts w:hint="eastAsia" w:ascii="Times New Roman" w:hAnsi="Times New Roman" w:eastAsia="宋体" w:cs="Times New Roman"/>
          <w:sz w:val="28"/>
          <w:szCs w:val="28"/>
          <w:lang w:val="en-US" w:eastAsia="zh-CN"/>
        </w:rPr>
        <w:t>（</w:t>
      </w:r>
      <w:r>
        <w:rPr>
          <w:rFonts w:hint="default" w:ascii="Times New Roman" w:hAnsi="Times New Roman" w:eastAsia="宋体" w:cs="Times New Roman"/>
          <w:sz w:val="28"/>
          <w:szCs w:val="28"/>
          <w:lang w:val="en-US" w:eastAsia="zh-CN"/>
        </w:rPr>
        <w:t>13</w:t>
      </w:r>
      <w:r>
        <w:rPr>
          <w:rFonts w:hint="eastAsia" w:ascii="Times New Roman" w:hAnsi="Times New Roman" w:eastAsia="宋体" w:cs="Times New Roman"/>
          <w:sz w:val="28"/>
          <w:szCs w:val="28"/>
          <w:lang w:val="en-US" w:eastAsia="zh-CN"/>
        </w:rPr>
        <w:t>）</w:t>
      </w:r>
      <w:r>
        <w:rPr>
          <w:rFonts w:hint="eastAsia" w:ascii="Times New Roman" w:hAnsi="Times New Roman" w:eastAsia="宋体" w:cs="Times New Roman"/>
          <w:sz w:val="28"/>
          <w:szCs w:val="28"/>
          <w:lang w:eastAsia="zh-CN"/>
        </w:rPr>
        <w:t>操作人员在操作过程必须保证注意力集中，杜绝疲劳作业等。</w:t>
      </w:r>
    </w:p>
    <w:p w14:paraId="67C69918">
      <w:pPr>
        <w:spacing w:line="360" w:lineRule="auto"/>
        <w:ind w:firstLine="560" w:firstLineChars="200"/>
        <w:rPr>
          <w:rFonts w:hint="eastAsia" w:ascii="Times New Roman" w:hAnsi="Times New Roman" w:eastAsia="宋体" w:cs="Times New Roman"/>
          <w:sz w:val="28"/>
          <w:szCs w:val="28"/>
          <w:lang w:eastAsia="zh-CN"/>
        </w:rPr>
      </w:pPr>
      <w:r>
        <w:rPr>
          <w:rFonts w:hint="eastAsia" w:ascii="Times New Roman" w:hAnsi="Times New Roman" w:eastAsia="宋体" w:cs="Times New Roman"/>
          <w:sz w:val="28"/>
          <w:szCs w:val="28"/>
          <w:lang w:val="en-US" w:eastAsia="zh-CN"/>
        </w:rPr>
        <w:t>（</w:t>
      </w:r>
      <w:r>
        <w:rPr>
          <w:rFonts w:hint="default" w:ascii="Times New Roman" w:hAnsi="Times New Roman" w:eastAsia="宋体" w:cs="Times New Roman"/>
          <w:sz w:val="28"/>
          <w:szCs w:val="28"/>
          <w:lang w:val="en-US" w:eastAsia="zh-CN"/>
        </w:rPr>
        <w:t>14</w:t>
      </w:r>
      <w:r>
        <w:rPr>
          <w:rFonts w:hint="eastAsia" w:ascii="Times New Roman" w:hAnsi="Times New Roman" w:eastAsia="宋体" w:cs="Times New Roman"/>
          <w:sz w:val="28"/>
          <w:szCs w:val="28"/>
          <w:lang w:val="en-US" w:eastAsia="zh-CN"/>
        </w:rPr>
        <w:t>）</w:t>
      </w:r>
      <w:r>
        <w:rPr>
          <w:rFonts w:hint="eastAsia" w:ascii="Times New Roman" w:hAnsi="Times New Roman" w:eastAsia="宋体" w:cs="Times New Roman"/>
          <w:sz w:val="28"/>
          <w:szCs w:val="28"/>
          <w:lang w:eastAsia="zh-CN"/>
        </w:rPr>
        <w:t>设备检修应按要求办理停送电审批作业票并挂牌提醒，作业过程中严禁电气设备送电，防止机械启动伤人。</w:t>
      </w:r>
    </w:p>
    <w:p w14:paraId="700C8B68">
      <w:pPr>
        <w:spacing w:line="360" w:lineRule="auto"/>
        <w:ind w:firstLine="560" w:firstLineChars="200"/>
        <w:rPr>
          <w:rFonts w:hint="eastAsia" w:ascii="Times New Roman" w:hAnsi="Times New Roman" w:eastAsia="宋体" w:cs="Times New Roman"/>
          <w:sz w:val="28"/>
          <w:szCs w:val="28"/>
          <w:lang w:eastAsia="zh-CN"/>
        </w:rPr>
      </w:pPr>
      <w:r>
        <w:rPr>
          <w:rFonts w:hint="eastAsia" w:ascii="Times New Roman" w:hAnsi="Times New Roman" w:eastAsia="宋体" w:cs="Times New Roman"/>
          <w:sz w:val="28"/>
          <w:szCs w:val="28"/>
          <w:lang w:val="en-US" w:eastAsia="zh-CN"/>
        </w:rPr>
        <w:t>（</w:t>
      </w:r>
      <w:r>
        <w:rPr>
          <w:rFonts w:hint="default" w:ascii="Times New Roman" w:hAnsi="Times New Roman" w:eastAsia="宋体" w:cs="Times New Roman"/>
          <w:sz w:val="28"/>
          <w:szCs w:val="28"/>
          <w:lang w:val="en-US" w:eastAsia="zh-CN"/>
        </w:rPr>
        <w:t>15</w:t>
      </w:r>
      <w:r>
        <w:rPr>
          <w:rFonts w:hint="eastAsia" w:ascii="Times New Roman" w:hAnsi="Times New Roman" w:eastAsia="宋体" w:cs="Times New Roman"/>
          <w:sz w:val="28"/>
          <w:szCs w:val="28"/>
          <w:lang w:val="en-US" w:eastAsia="zh-CN"/>
        </w:rPr>
        <w:t>）</w:t>
      </w:r>
      <w:r>
        <w:rPr>
          <w:rFonts w:hint="eastAsia" w:ascii="Times New Roman" w:hAnsi="Times New Roman" w:eastAsia="宋体" w:cs="Times New Roman"/>
          <w:sz w:val="28"/>
          <w:szCs w:val="28"/>
          <w:lang w:eastAsia="zh-CN"/>
        </w:rPr>
        <w:t>加强对机械设备、作业人员防护的检查制度。</w:t>
      </w:r>
    </w:p>
    <w:p w14:paraId="7F102792">
      <w:pPr>
        <w:spacing w:line="360" w:lineRule="auto"/>
        <w:ind w:firstLine="560" w:firstLineChars="200"/>
        <w:rPr>
          <w:rFonts w:hint="eastAsia" w:ascii="Times New Roman" w:hAnsi="Times New Roman" w:eastAsia="宋体" w:cs="Times New Roman"/>
          <w:sz w:val="28"/>
          <w:szCs w:val="28"/>
          <w:lang w:eastAsia="zh-CN"/>
        </w:rPr>
      </w:pPr>
      <w:r>
        <w:rPr>
          <w:rFonts w:hint="eastAsia" w:ascii="Times New Roman" w:hAnsi="Times New Roman" w:eastAsia="宋体" w:cs="Times New Roman"/>
          <w:sz w:val="28"/>
          <w:szCs w:val="28"/>
          <w:lang w:val="en-US" w:eastAsia="zh-CN"/>
        </w:rPr>
        <w:t>（</w:t>
      </w:r>
      <w:r>
        <w:rPr>
          <w:rFonts w:hint="default" w:ascii="Times New Roman" w:hAnsi="Times New Roman" w:eastAsia="宋体" w:cs="Times New Roman"/>
          <w:sz w:val="28"/>
          <w:szCs w:val="28"/>
          <w:lang w:val="en-US" w:eastAsia="zh-CN"/>
        </w:rPr>
        <w:t>16</w:t>
      </w:r>
      <w:r>
        <w:rPr>
          <w:rFonts w:hint="eastAsia" w:ascii="Times New Roman" w:hAnsi="Times New Roman" w:eastAsia="宋体" w:cs="Times New Roman"/>
          <w:sz w:val="28"/>
          <w:szCs w:val="28"/>
          <w:lang w:val="en-US" w:eastAsia="zh-CN"/>
        </w:rPr>
        <w:t>）</w:t>
      </w:r>
      <w:r>
        <w:rPr>
          <w:rFonts w:hint="eastAsia" w:ascii="Times New Roman" w:hAnsi="Times New Roman" w:eastAsia="宋体" w:cs="Times New Roman"/>
          <w:sz w:val="28"/>
          <w:szCs w:val="28"/>
          <w:lang w:eastAsia="zh-CN"/>
        </w:rPr>
        <w:t>凡易造成伤害事故的运动部件均应封闭或屏蔽，或采取其他避免操作人员接触的防护措施。</w:t>
      </w:r>
    </w:p>
    <w:p w14:paraId="427EDC80">
      <w:pPr>
        <w:spacing w:line="360" w:lineRule="auto"/>
        <w:ind w:firstLine="560" w:firstLineChars="200"/>
        <w:rPr>
          <w:rFonts w:hint="eastAsia" w:ascii="Times New Roman" w:hAnsi="Times New Roman" w:eastAsia="宋体" w:cs="Times New Roman"/>
          <w:sz w:val="28"/>
          <w:szCs w:val="28"/>
          <w:lang w:eastAsia="zh-CN"/>
        </w:rPr>
      </w:pPr>
      <w:r>
        <w:rPr>
          <w:rFonts w:hint="eastAsia" w:ascii="Times New Roman" w:hAnsi="Times New Roman" w:eastAsia="宋体" w:cs="Times New Roman"/>
          <w:sz w:val="28"/>
          <w:szCs w:val="28"/>
          <w:lang w:val="en-US" w:eastAsia="zh-CN"/>
        </w:rPr>
        <w:t>（</w:t>
      </w:r>
      <w:r>
        <w:rPr>
          <w:rFonts w:hint="default" w:ascii="Times New Roman" w:hAnsi="Times New Roman" w:eastAsia="宋体" w:cs="Times New Roman"/>
          <w:sz w:val="28"/>
          <w:szCs w:val="28"/>
          <w:lang w:val="en-US" w:eastAsia="zh-CN"/>
        </w:rPr>
        <w:t>17</w:t>
      </w:r>
      <w:r>
        <w:rPr>
          <w:rFonts w:hint="eastAsia" w:ascii="Times New Roman" w:hAnsi="Times New Roman" w:eastAsia="宋体" w:cs="Times New Roman"/>
          <w:sz w:val="28"/>
          <w:szCs w:val="28"/>
          <w:lang w:val="en-US" w:eastAsia="zh-CN"/>
        </w:rPr>
        <w:t>）</w:t>
      </w:r>
      <w:r>
        <w:rPr>
          <w:rFonts w:hint="eastAsia" w:ascii="Times New Roman" w:hAnsi="Times New Roman" w:eastAsia="宋体" w:cs="Times New Roman"/>
          <w:sz w:val="28"/>
          <w:szCs w:val="28"/>
          <w:lang w:eastAsia="zh-CN"/>
        </w:rPr>
        <w:t>常有各种机械传动装置的非标准设备及联动生产线的设计，其机械传动装置必须同时设有防护罩。</w:t>
      </w:r>
    </w:p>
    <w:p w14:paraId="4B4613D7">
      <w:pPr>
        <w:spacing w:line="360" w:lineRule="auto"/>
        <w:ind w:firstLine="560" w:firstLineChars="200"/>
        <w:rPr>
          <w:rFonts w:hint="eastAsia" w:ascii="Times New Roman" w:hAnsi="Times New Roman" w:eastAsia="宋体" w:cs="Times New Roman"/>
          <w:sz w:val="28"/>
          <w:szCs w:val="28"/>
          <w:lang w:eastAsia="zh-CN"/>
        </w:rPr>
      </w:pPr>
      <w:r>
        <w:rPr>
          <w:rFonts w:hint="eastAsia" w:ascii="Times New Roman" w:hAnsi="Times New Roman" w:eastAsia="宋体" w:cs="Times New Roman"/>
          <w:sz w:val="28"/>
          <w:szCs w:val="28"/>
          <w:lang w:val="en-US" w:eastAsia="zh-CN"/>
        </w:rPr>
        <w:t>（</w:t>
      </w:r>
      <w:r>
        <w:rPr>
          <w:rFonts w:hint="default" w:ascii="Times New Roman" w:hAnsi="Times New Roman" w:eastAsia="宋体" w:cs="Times New Roman"/>
          <w:sz w:val="28"/>
          <w:szCs w:val="28"/>
          <w:lang w:val="en-US" w:eastAsia="zh-CN"/>
        </w:rPr>
        <w:t>18</w:t>
      </w:r>
      <w:r>
        <w:rPr>
          <w:rFonts w:hint="eastAsia" w:ascii="Times New Roman" w:hAnsi="Times New Roman" w:eastAsia="宋体" w:cs="Times New Roman"/>
          <w:sz w:val="28"/>
          <w:szCs w:val="28"/>
          <w:lang w:val="en-US" w:eastAsia="zh-CN"/>
        </w:rPr>
        <w:t>）</w:t>
      </w:r>
      <w:r>
        <w:rPr>
          <w:rFonts w:hint="eastAsia" w:ascii="Times New Roman" w:hAnsi="Times New Roman" w:eastAsia="宋体" w:cs="Times New Roman"/>
          <w:sz w:val="28"/>
          <w:szCs w:val="28"/>
          <w:lang w:eastAsia="zh-CN"/>
        </w:rPr>
        <w:t>焊接与切割作业安全对策：①焊接设备、焊机、切割机具、钢瓶、电缆及其他器具必须放置稳妥并保持良好的秩序，使之不会对附近的作业或过往人员构成妨碍。②焊接和切割区域必须予以明确标明，并且应有必要的警告标志。 </w:t>
      </w:r>
    </w:p>
    <w:p w14:paraId="4A4E4300">
      <w:pPr>
        <w:spacing w:line="360" w:lineRule="auto"/>
        <w:ind w:firstLine="560" w:firstLineChars="200"/>
        <w:rPr>
          <w:rFonts w:hint="eastAsia" w:ascii="Times New Roman" w:hAnsi="Times New Roman" w:eastAsia="宋体" w:cs="Times New Roman"/>
          <w:sz w:val="28"/>
          <w:szCs w:val="28"/>
          <w:lang w:eastAsia="zh-CN"/>
        </w:rPr>
      </w:pPr>
      <w:r>
        <w:rPr>
          <w:rFonts w:hint="eastAsia" w:ascii="Times New Roman" w:hAnsi="Times New Roman" w:eastAsia="宋体" w:cs="Times New Roman"/>
          <w:sz w:val="28"/>
          <w:szCs w:val="28"/>
          <w:lang w:val="en-US" w:eastAsia="zh-CN"/>
        </w:rPr>
        <w:t>（</w:t>
      </w:r>
      <w:r>
        <w:rPr>
          <w:rFonts w:hint="default" w:ascii="Times New Roman" w:hAnsi="Times New Roman" w:eastAsia="宋体" w:cs="Times New Roman"/>
          <w:sz w:val="28"/>
          <w:szCs w:val="28"/>
          <w:lang w:val="en-US" w:eastAsia="zh-CN"/>
        </w:rPr>
        <w:t>19</w:t>
      </w:r>
      <w:r>
        <w:rPr>
          <w:rFonts w:hint="eastAsia" w:ascii="Times New Roman" w:hAnsi="Times New Roman" w:eastAsia="宋体" w:cs="Times New Roman"/>
          <w:sz w:val="28"/>
          <w:szCs w:val="28"/>
          <w:lang w:val="en-US" w:eastAsia="zh-CN"/>
        </w:rPr>
        <w:t>）</w:t>
      </w:r>
      <w:r>
        <w:rPr>
          <w:rFonts w:hint="eastAsia" w:ascii="Times New Roman" w:hAnsi="Times New Roman" w:eastAsia="宋体" w:cs="Times New Roman"/>
          <w:sz w:val="28"/>
          <w:szCs w:val="28"/>
          <w:lang w:eastAsia="zh-CN"/>
        </w:rPr>
        <w:t>固定皮带应设置紧急停车开关（拉绳开关），并确保完好；皮带运输机操作应有统一的、明确的联系指挥信号和事故信号；多台皮带机衔接使用时，应设有可靠的停车联锁装置，各台皮带机都应设有电铃联络信号；移动式、临时皮带输送机必须采取退、止动措施，固定牢固，保持平衡、稳固、防止自重或负重引起移动倾倒，停车后应切断电源，锁上电门或取下保险。临时皮带机的电源必须符合临时电源安全要求，线路必须完好，绝缘可靠，电线不得拴挂在金属物体上；禁止在皮带上运送维修机具、材料、物件；禁止任何人在皮带上行走或坐卧休息，穿越皮带应从安全过桥上通过。</w:t>
      </w:r>
    </w:p>
    <w:p w14:paraId="3801DB37">
      <w:pPr>
        <w:spacing w:line="360" w:lineRule="auto"/>
        <w:ind w:firstLine="560" w:firstLineChars="200"/>
        <w:rPr>
          <w:rFonts w:hint="eastAsia" w:ascii="Times New Roman" w:hAnsi="Times New Roman" w:eastAsia="宋体" w:cs="Times New Roman"/>
          <w:sz w:val="28"/>
          <w:szCs w:val="28"/>
          <w:lang w:eastAsia="zh-CN"/>
        </w:rPr>
      </w:pPr>
      <w:r>
        <w:rPr>
          <w:rFonts w:hint="eastAsia" w:ascii="Times New Roman" w:hAnsi="Times New Roman" w:eastAsia="宋体" w:cs="Times New Roman"/>
          <w:sz w:val="28"/>
          <w:szCs w:val="28"/>
          <w:lang w:val="zh-CN" w:eastAsia="zh-CN"/>
        </w:rPr>
        <w:t>（</w:t>
      </w:r>
      <w:r>
        <w:rPr>
          <w:rFonts w:hint="default" w:ascii="Times New Roman" w:hAnsi="Times New Roman" w:eastAsia="宋体" w:cs="Times New Roman"/>
          <w:sz w:val="28"/>
          <w:szCs w:val="28"/>
          <w:lang w:val="zh-CN" w:eastAsia="zh-CN"/>
        </w:rPr>
        <w:t>2</w:t>
      </w:r>
      <w:r>
        <w:rPr>
          <w:rFonts w:hint="eastAsia" w:ascii="Times New Roman" w:hAnsi="Times New Roman" w:eastAsia="宋体" w:cs="Times New Roman"/>
          <w:sz w:val="28"/>
          <w:szCs w:val="28"/>
          <w:lang w:val="en-US" w:eastAsia="zh-CN"/>
        </w:rPr>
        <w:t>0</w:t>
      </w:r>
      <w:r>
        <w:rPr>
          <w:rFonts w:hint="eastAsia" w:ascii="Times New Roman" w:hAnsi="Times New Roman" w:eastAsia="宋体" w:cs="Times New Roman"/>
          <w:sz w:val="28"/>
          <w:szCs w:val="28"/>
          <w:lang w:val="zh-CN" w:eastAsia="zh-CN"/>
        </w:rPr>
        <w:t>）</w:t>
      </w:r>
      <w:r>
        <w:rPr>
          <w:rFonts w:hint="eastAsia" w:ascii="Times New Roman" w:hAnsi="Times New Roman" w:eastAsia="宋体" w:cs="Times New Roman"/>
          <w:sz w:val="28"/>
          <w:szCs w:val="28"/>
          <w:lang w:eastAsia="zh-CN"/>
        </w:rPr>
        <w:t>严禁不按规定穿戴劳动保护用品。</w:t>
      </w:r>
    </w:p>
    <w:p w14:paraId="3DF408B9">
      <w:pPr>
        <w:spacing w:line="360" w:lineRule="auto"/>
        <w:ind w:firstLine="560" w:firstLineChars="200"/>
        <w:rPr>
          <w:rFonts w:hint="eastAsia" w:ascii="Times New Roman" w:hAnsi="Times New Roman" w:eastAsia="宋体" w:cs="Times New Roman"/>
          <w:sz w:val="28"/>
          <w:szCs w:val="28"/>
          <w:lang w:val="zh-CN" w:eastAsia="zh-CN"/>
        </w:rPr>
      </w:pPr>
      <w:r>
        <w:rPr>
          <w:rFonts w:hint="eastAsia" w:ascii="Times New Roman" w:hAnsi="Times New Roman" w:eastAsia="宋体" w:cs="Times New Roman"/>
          <w:sz w:val="28"/>
          <w:szCs w:val="28"/>
          <w:lang w:val="en-US" w:eastAsia="zh-CN"/>
        </w:rPr>
        <w:t>（21）</w:t>
      </w:r>
      <w:r>
        <w:rPr>
          <w:rFonts w:hint="eastAsia" w:ascii="Times New Roman" w:hAnsi="Times New Roman" w:eastAsia="宋体" w:cs="Times New Roman"/>
          <w:sz w:val="28"/>
          <w:szCs w:val="28"/>
          <w:lang w:eastAsia="zh-CN"/>
        </w:rPr>
        <w:t>高处</w:t>
      </w:r>
      <w:r>
        <w:rPr>
          <w:rFonts w:hint="eastAsia" w:ascii="Times New Roman" w:hAnsi="Times New Roman" w:eastAsia="宋体" w:cs="Times New Roman"/>
          <w:sz w:val="28"/>
          <w:szCs w:val="28"/>
          <w:lang w:val="zh-CN" w:eastAsia="zh-CN"/>
        </w:rPr>
        <w:t>工作平台等凡涉及人身安全的部位均应设置安全防护设施（如扶梯、栏杆等）。</w:t>
      </w:r>
    </w:p>
    <w:p w14:paraId="2BBE44AF">
      <w:pPr>
        <w:spacing w:line="360" w:lineRule="auto"/>
        <w:ind w:firstLine="560" w:firstLineChars="200"/>
        <w:rPr>
          <w:rFonts w:hint="eastAsia" w:ascii="Times New Roman" w:hAnsi="Times New Roman" w:eastAsia="宋体" w:cs="Times New Roman"/>
          <w:sz w:val="28"/>
          <w:szCs w:val="28"/>
          <w:lang w:val="zh-CN" w:eastAsia="zh-CN"/>
        </w:rPr>
      </w:pPr>
      <w:r>
        <w:rPr>
          <w:rFonts w:hint="eastAsia" w:ascii="Times New Roman" w:hAnsi="Times New Roman" w:eastAsia="宋体" w:cs="Times New Roman"/>
          <w:sz w:val="28"/>
          <w:szCs w:val="28"/>
          <w:lang w:val="zh-CN" w:eastAsia="zh-CN"/>
        </w:rPr>
        <w:t>（</w:t>
      </w:r>
      <w:r>
        <w:rPr>
          <w:rFonts w:hint="eastAsia" w:ascii="Times New Roman" w:hAnsi="Times New Roman" w:eastAsia="宋体" w:cs="Times New Roman"/>
          <w:sz w:val="28"/>
          <w:szCs w:val="28"/>
          <w:lang w:val="en-US" w:eastAsia="zh-CN"/>
        </w:rPr>
        <w:t>22</w:t>
      </w:r>
      <w:r>
        <w:rPr>
          <w:rFonts w:hint="eastAsia" w:ascii="Times New Roman" w:hAnsi="Times New Roman" w:eastAsia="宋体" w:cs="Times New Roman"/>
          <w:sz w:val="28"/>
          <w:szCs w:val="28"/>
          <w:lang w:val="zh-CN" w:eastAsia="zh-CN"/>
        </w:rPr>
        <w:t>）距下方相邻地面2m及以上的平台、通道或工作面的所有敞开边缘应设置防护栏杆，底部应设置挡板。</w:t>
      </w:r>
    </w:p>
    <w:p w14:paraId="34A4A547">
      <w:pPr>
        <w:spacing w:line="360" w:lineRule="auto"/>
        <w:ind w:firstLine="560" w:firstLineChars="200"/>
        <w:rPr>
          <w:rFonts w:hint="eastAsia" w:ascii="Times New Roman" w:hAnsi="Times New Roman" w:eastAsia="宋体" w:cs="Times New Roman"/>
          <w:sz w:val="28"/>
          <w:szCs w:val="28"/>
          <w:lang w:val="zh-CN" w:eastAsia="zh-CN"/>
        </w:rPr>
      </w:pPr>
      <w:r>
        <w:rPr>
          <w:rFonts w:hint="eastAsia" w:ascii="Times New Roman" w:hAnsi="Times New Roman" w:eastAsia="宋体" w:cs="Times New Roman"/>
          <w:sz w:val="28"/>
          <w:szCs w:val="28"/>
          <w:lang w:val="zh-CN" w:eastAsia="zh-CN"/>
        </w:rPr>
        <w:t>（</w:t>
      </w:r>
      <w:r>
        <w:rPr>
          <w:rFonts w:hint="eastAsia" w:ascii="Times New Roman" w:hAnsi="Times New Roman" w:eastAsia="宋体" w:cs="Times New Roman"/>
          <w:sz w:val="28"/>
          <w:szCs w:val="28"/>
          <w:lang w:val="en-US" w:eastAsia="zh-CN"/>
        </w:rPr>
        <w:t>23</w:t>
      </w:r>
      <w:r>
        <w:rPr>
          <w:rFonts w:hint="eastAsia" w:ascii="Times New Roman" w:hAnsi="Times New Roman" w:eastAsia="宋体" w:cs="Times New Roman"/>
          <w:sz w:val="28"/>
          <w:szCs w:val="28"/>
          <w:lang w:val="zh-CN" w:eastAsia="zh-CN"/>
        </w:rPr>
        <w:t>）防护栏杆应确保所有构件及其连接部分表面光滑，无锐边、尖叫、毛刺或其他可能对人员造成伤害或者妨碍其通行的外部缺陷。</w:t>
      </w:r>
    </w:p>
    <w:p w14:paraId="301354F3">
      <w:pPr>
        <w:spacing w:line="360" w:lineRule="auto"/>
        <w:ind w:firstLine="560" w:firstLineChars="200"/>
        <w:rPr>
          <w:rFonts w:hint="default" w:ascii="Times New Roman" w:hAnsi="Times New Roman" w:eastAsia="宋体" w:cs="Times New Roman"/>
          <w:sz w:val="28"/>
          <w:szCs w:val="28"/>
          <w:lang w:val="zh-CN" w:eastAsia="zh-CN"/>
        </w:rPr>
      </w:pPr>
      <w:r>
        <w:rPr>
          <w:rFonts w:hint="eastAsia" w:ascii="Times New Roman" w:hAnsi="Times New Roman" w:eastAsia="宋体" w:cs="Times New Roman"/>
          <w:sz w:val="28"/>
          <w:szCs w:val="28"/>
          <w:lang w:val="zh-CN" w:eastAsia="zh-CN"/>
        </w:rPr>
        <w:t>（</w:t>
      </w:r>
      <w:r>
        <w:rPr>
          <w:rFonts w:hint="eastAsia" w:ascii="Times New Roman" w:hAnsi="Times New Roman" w:eastAsia="宋体" w:cs="Times New Roman"/>
          <w:sz w:val="28"/>
          <w:szCs w:val="28"/>
          <w:lang w:val="en-US" w:eastAsia="zh-CN"/>
        </w:rPr>
        <w:t>24</w:t>
      </w:r>
      <w:r>
        <w:rPr>
          <w:rFonts w:hint="eastAsia" w:ascii="Times New Roman" w:hAnsi="Times New Roman" w:eastAsia="宋体" w:cs="Times New Roman"/>
          <w:sz w:val="28"/>
          <w:szCs w:val="28"/>
          <w:lang w:val="zh-CN" w:eastAsia="zh-CN"/>
        </w:rPr>
        <w:t>）</w:t>
      </w:r>
      <w:r>
        <w:rPr>
          <w:rFonts w:hint="default" w:ascii="Times New Roman" w:hAnsi="Times New Roman" w:eastAsia="宋体" w:cs="Times New Roman"/>
          <w:sz w:val="28"/>
          <w:szCs w:val="28"/>
          <w:lang w:val="zh-CN" w:eastAsia="zh-CN"/>
        </w:rPr>
        <w:t>登高作业的作业平台应设置防护栏杆；平台护栏的高度不应小于1.05m；平台及其防护设施应有防滑性能。登高超过2m的钢直梯应设护笼，护笼宜采用圆形结构（其它等效结构也可采用），应包括一组水平笼箍和至少</w:t>
      </w:r>
      <w:r>
        <w:rPr>
          <w:rFonts w:hint="eastAsia" w:ascii="Times New Roman" w:hAnsi="Times New Roman" w:eastAsia="宋体" w:cs="Times New Roman"/>
          <w:sz w:val="28"/>
          <w:szCs w:val="28"/>
          <w:lang w:val="zh-CN" w:eastAsia="zh-CN"/>
        </w:rPr>
        <w:t>5根立杆</w:t>
      </w:r>
      <w:r>
        <w:rPr>
          <w:rFonts w:hint="default" w:ascii="Times New Roman" w:hAnsi="Times New Roman" w:eastAsia="宋体" w:cs="Times New Roman"/>
          <w:sz w:val="28"/>
          <w:szCs w:val="28"/>
          <w:lang w:val="zh-CN" w:eastAsia="zh-CN"/>
        </w:rPr>
        <w:t>。</w:t>
      </w:r>
    </w:p>
    <w:p w14:paraId="654FD3FC">
      <w:pPr>
        <w:spacing w:line="360" w:lineRule="auto"/>
        <w:ind w:firstLine="560" w:firstLineChars="200"/>
        <w:rPr>
          <w:rFonts w:hint="eastAsia" w:ascii="Times New Roman" w:hAnsi="Times New Roman" w:eastAsia="宋体" w:cs="Times New Roman"/>
          <w:sz w:val="28"/>
          <w:szCs w:val="28"/>
          <w:lang w:val="zh-CN" w:eastAsia="zh-CN"/>
        </w:rPr>
      </w:pPr>
      <w:r>
        <w:rPr>
          <w:rFonts w:hint="eastAsia" w:ascii="Times New Roman" w:hAnsi="Times New Roman" w:eastAsia="宋体" w:cs="Times New Roman"/>
          <w:sz w:val="28"/>
          <w:szCs w:val="28"/>
          <w:lang w:val="zh-CN" w:eastAsia="zh-CN"/>
        </w:rPr>
        <w:t>（</w:t>
      </w:r>
      <w:r>
        <w:rPr>
          <w:rFonts w:hint="eastAsia" w:ascii="Times New Roman" w:hAnsi="Times New Roman" w:eastAsia="宋体" w:cs="Times New Roman"/>
          <w:sz w:val="28"/>
          <w:szCs w:val="28"/>
          <w:lang w:val="en-US" w:eastAsia="zh-CN"/>
        </w:rPr>
        <w:t>25</w:t>
      </w:r>
      <w:r>
        <w:rPr>
          <w:rFonts w:hint="eastAsia" w:ascii="Times New Roman" w:hAnsi="Times New Roman" w:eastAsia="宋体" w:cs="Times New Roman"/>
          <w:sz w:val="28"/>
          <w:szCs w:val="28"/>
          <w:lang w:val="zh-CN" w:eastAsia="zh-CN"/>
        </w:rPr>
        <w:t>）进入高处平台的工作斜梯应牢固、可靠。斜梯的宽度不应小于450mm，不宜大于1100mm。</w:t>
      </w:r>
    </w:p>
    <w:p w14:paraId="2692A7C7">
      <w:pPr>
        <w:spacing w:line="360" w:lineRule="auto"/>
        <w:ind w:firstLine="560" w:firstLineChars="200"/>
        <w:rPr>
          <w:rFonts w:hint="eastAsia" w:ascii="Times New Roman" w:hAnsi="Times New Roman" w:eastAsia="宋体" w:cs="Times New Roman"/>
          <w:sz w:val="28"/>
          <w:szCs w:val="28"/>
          <w:lang w:val="zh-CN" w:eastAsia="zh-CN"/>
        </w:rPr>
      </w:pPr>
      <w:r>
        <w:rPr>
          <w:rFonts w:hint="eastAsia" w:ascii="Times New Roman" w:hAnsi="Times New Roman" w:eastAsia="宋体" w:cs="Times New Roman"/>
          <w:sz w:val="28"/>
          <w:szCs w:val="28"/>
          <w:lang w:val="zh-CN" w:eastAsia="zh-CN"/>
        </w:rPr>
        <w:t>（</w:t>
      </w:r>
      <w:r>
        <w:rPr>
          <w:rFonts w:hint="eastAsia" w:ascii="Times New Roman" w:hAnsi="Times New Roman" w:eastAsia="宋体" w:cs="Times New Roman"/>
          <w:sz w:val="28"/>
          <w:szCs w:val="28"/>
          <w:lang w:val="en-US" w:eastAsia="zh-CN"/>
        </w:rPr>
        <w:t>26</w:t>
      </w:r>
      <w:r>
        <w:rPr>
          <w:rFonts w:hint="eastAsia" w:ascii="Times New Roman" w:hAnsi="Times New Roman" w:eastAsia="宋体" w:cs="Times New Roman"/>
          <w:sz w:val="28"/>
          <w:szCs w:val="28"/>
          <w:lang w:val="zh-CN" w:eastAsia="zh-CN"/>
        </w:rPr>
        <w:t>）在室外安装的钢斜梯和连接部分的防雷电保护，连接和接地附件应符合GB50057的要求。</w:t>
      </w:r>
    </w:p>
    <w:p w14:paraId="0E0C1637">
      <w:pPr>
        <w:spacing w:line="360" w:lineRule="auto"/>
        <w:ind w:firstLine="560" w:firstLineChars="200"/>
        <w:rPr>
          <w:rFonts w:hint="eastAsia" w:ascii="Times New Roman" w:hAnsi="Times New Roman" w:eastAsia="宋体" w:cs="Times New Roman"/>
          <w:sz w:val="28"/>
          <w:szCs w:val="28"/>
          <w:lang w:val="zh-CN" w:eastAsia="zh-CN"/>
        </w:rPr>
      </w:pPr>
      <w:r>
        <w:rPr>
          <w:rFonts w:hint="eastAsia" w:ascii="Times New Roman" w:hAnsi="Times New Roman" w:eastAsia="宋体" w:cs="Times New Roman"/>
          <w:sz w:val="28"/>
          <w:szCs w:val="28"/>
          <w:lang w:val="zh-CN" w:eastAsia="zh-CN"/>
        </w:rPr>
        <w:t>（</w:t>
      </w:r>
      <w:r>
        <w:rPr>
          <w:rFonts w:hint="eastAsia" w:ascii="Times New Roman" w:hAnsi="Times New Roman" w:eastAsia="宋体" w:cs="Times New Roman"/>
          <w:sz w:val="28"/>
          <w:szCs w:val="28"/>
          <w:lang w:val="en-US" w:eastAsia="zh-CN"/>
        </w:rPr>
        <w:t>27</w:t>
      </w:r>
      <w:r>
        <w:rPr>
          <w:rFonts w:hint="eastAsia" w:ascii="Times New Roman" w:hAnsi="Times New Roman" w:eastAsia="宋体" w:cs="Times New Roman"/>
          <w:sz w:val="28"/>
          <w:szCs w:val="28"/>
          <w:lang w:val="zh-CN" w:eastAsia="zh-CN"/>
        </w:rPr>
        <w:t>）</w:t>
      </w:r>
      <w:r>
        <w:rPr>
          <w:rFonts w:hint="eastAsia" w:ascii="Times New Roman" w:hAnsi="Times New Roman" w:eastAsia="宋体" w:cs="Times New Roman"/>
          <w:sz w:val="28"/>
          <w:szCs w:val="28"/>
          <w:lang w:eastAsia="zh-CN"/>
        </w:rPr>
        <w:t>平</w:t>
      </w:r>
      <w:r>
        <w:rPr>
          <w:rFonts w:hint="eastAsia" w:ascii="Times New Roman" w:hAnsi="Times New Roman" w:eastAsia="宋体" w:cs="Times New Roman"/>
          <w:sz w:val="28"/>
          <w:szCs w:val="28"/>
          <w:lang w:val="zh-CN" w:eastAsia="zh-CN"/>
        </w:rPr>
        <w:t>台、坑池边和升降口有跌落危险处，必须设栏杆或盖板。</w:t>
      </w:r>
    </w:p>
    <w:p w14:paraId="3F3DBC8F">
      <w:pPr>
        <w:spacing w:line="360" w:lineRule="auto"/>
        <w:ind w:firstLine="560" w:firstLineChars="200"/>
        <w:rPr>
          <w:rFonts w:hint="eastAsia" w:ascii="Times New Roman" w:hAnsi="Times New Roman" w:eastAsia="宋体" w:cs="Times New Roman"/>
          <w:sz w:val="28"/>
          <w:szCs w:val="28"/>
          <w:lang w:val="zh-CN" w:eastAsia="zh-CN"/>
        </w:rPr>
      </w:pPr>
      <w:r>
        <w:rPr>
          <w:rFonts w:hint="eastAsia" w:ascii="Times New Roman" w:hAnsi="Times New Roman" w:eastAsia="宋体" w:cs="Times New Roman"/>
          <w:sz w:val="28"/>
          <w:szCs w:val="28"/>
          <w:lang w:val="en-US" w:eastAsia="zh-CN"/>
        </w:rPr>
        <w:t>（28）</w:t>
      </w:r>
      <w:r>
        <w:rPr>
          <w:rFonts w:hint="eastAsia" w:ascii="Times New Roman" w:hAnsi="Times New Roman" w:eastAsia="宋体" w:cs="Times New Roman"/>
          <w:sz w:val="28"/>
          <w:szCs w:val="28"/>
          <w:lang w:val="zh-CN" w:eastAsia="zh-CN"/>
        </w:rPr>
        <w:t>作业平台及钢斜梯的设置应符合《固定式钢梯及平台安全要求第2部分：钢斜梯》、《固定式钢梯及平台安全要求第3部分：工业防护栏杆及钢平台》等规范的要求。</w:t>
      </w:r>
    </w:p>
    <w:p w14:paraId="214F11BF">
      <w:pPr>
        <w:spacing w:line="360" w:lineRule="auto"/>
        <w:ind w:firstLine="560" w:firstLineChars="200"/>
        <w:rPr>
          <w:rFonts w:hint="eastAsia" w:ascii="Times New Roman" w:hAnsi="Times New Roman" w:eastAsia="宋体" w:cs="Times New Roman"/>
          <w:sz w:val="28"/>
          <w:szCs w:val="28"/>
          <w:lang w:val="zh-CN" w:eastAsia="zh-CN"/>
        </w:rPr>
      </w:pPr>
      <w:r>
        <w:rPr>
          <w:rFonts w:hint="eastAsia" w:ascii="Times New Roman" w:hAnsi="Times New Roman" w:eastAsia="宋体" w:cs="Times New Roman"/>
          <w:sz w:val="28"/>
          <w:szCs w:val="28"/>
          <w:lang w:val="zh-CN" w:eastAsia="zh-CN"/>
        </w:rPr>
        <w:t>（</w:t>
      </w:r>
      <w:r>
        <w:rPr>
          <w:rFonts w:hint="eastAsia" w:ascii="Times New Roman" w:hAnsi="Times New Roman" w:eastAsia="宋体" w:cs="Times New Roman"/>
          <w:sz w:val="28"/>
          <w:szCs w:val="28"/>
          <w:lang w:val="en-US" w:eastAsia="zh-CN"/>
        </w:rPr>
        <w:t>29</w:t>
      </w:r>
      <w:r>
        <w:rPr>
          <w:rFonts w:hint="eastAsia" w:ascii="Times New Roman" w:hAnsi="Times New Roman" w:eastAsia="宋体" w:cs="Times New Roman"/>
          <w:sz w:val="28"/>
          <w:szCs w:val="28"/>
          <w:lang w:val="zh-CN" w:eastAsia="zh-CN"/>
        </w:rPr>
        <w:t>）在主要生产车间和规范规定的场所中，除设置工作照明外，还设置保证安全及供人员疏散用的应急照明，并在工艺要求场所设置局部照明和检修照明。</w:t>
      </w:r>
    </w:p>
    <w:p w14:paraId="30EB6E2E">
      <w:pPr>
        <w:spacing w:line="360" w:lineRule="auto"/>
        <w:ind w:firstLine="560" w:firstLineChars="200"/>
        <w:rPr>
          <w:rFonts w:hint="eastAsia" w:ascii="Times New Roman" w:hAnsi="Times New Roman" w:eastAsia="宋体" w:cs="Times New Roman"/>
          <w:sz w:val="28"/>
          <w:szCs w:val="28"/>
          <w:lang w:val="zh-CN" w:eastAsia="zh-CN"/>
        </w:rPr>
      </w:pPr>
      <w:r>
        <w:rPr>
          <w:rFonts w:hint="eastAsia" w:ascii="Times New Roman" w:hAnsi="Times New Roman" w:eastAsia="宋体" w:cs="Times New Roman"/>
          <w:sz w:val="28"/>
          <w:szCs w:val="28"/>
          <w:lang w:val="zh-CN" w:eastAsia="zh-CN"/>
        </w:rPr>
        <w:t>（</w:t>
      </w:r>
      <w:r>
        <w:rPr>
          <w:rFonts w:hint="eastAsia" w:ascii="Times New Roman" w:hAnsi="Times New Roman" w:eastAsia="宋体" w:cs="Times New Roman"/>
          <w:sz w:val="28"/>
          <w:szCs w:val="28"/>
          <w:lang w:val="en-US" w:eastAsia="zh-CN"/>
        </w:rPr>
        <w:t>30</w:t>
      </w:r>
      <w:r>
        <w:rPr>
          <w:rFonts w:hint="eastAsia" w:ascii="Times New Roman" w:hAnsi="Times New Roman" w:eastAsia="宋体" w:cs="Times New Roman"/>
          <w:sz w:val="28"/>
          <w:szCs w:val="28"/>
          <w:lang w:val="zh-CN" w:eastAsia="zh-CN"/>
        </w:rPr>
        <w:t>）设备应尽量选用低噪声设备。其噪声应控制在85dB（A）以下，应采用隔声设计保证其噪声不影响其余作业区的运行，相关作业人员应配备必要的防护用品，并尽量缩短作业时间。</w:t>
      </w:r>
    </w:p>
    <w:p w14:paraId="3C2B749B">
      <w:pPr>
        <w:spacing w:line="360" w:lineRule="auto"/>
        <w:ind w:firstLine="560" w:firstLineChars="200"/>
        <w:rPr>
          <w:rFonts w:hint="eastAsia" w:ascii="Times New Roman" w:hAnsi="Times New Roman" w:eastAsia="宋体" w:cs="Times New Roman"/>
          <w:sz w:val="28"/>
          <w:szCs w:val="28"/>
          <w:lang w:val="zh-CN" w:eastAsia="zh-CN"/>
        </w:rPr>
      </w:pPr>
      <w:r>
        <w:rPr>
          <w:rFonts w:hint="eastAsia" w:ascii="Times New Roman" w:hAnsi="Times New Roman" w:eastAsia="宋体" w:cs="Times New Roman"/>
          <w:sz w:val="28"/>
          <w:szCs w:val="28"/>
          <w:lang w:val="zh-CN" w:eastAsia="zh-CN"/>
        </w:rPr>
        <w:t>（</w:t>
      </w:r>
      <w:r>
        <w:rPr>
          <w:rFonts w:hint="eastAsia" w:ascii="Times New Roman" w:hAnsi="Times New Roman" w:eastAsia="宋体" w:cs="Times New Roman"/>
          <w:sz w:val="28"/>
          <w:szCs w:val="28"/>
          <w:lang w:val="en-US" w:eastAsia="zh-CN"/>
        </w:rPr>
        <w:t>31</w:t>
      </w:r>
      <w:r>
        <w:rPr>
          <w:rFonts w:hint="eastAsia" w:ascii="Times New Roman" w:hAnsi="Times New Roman" w:eastAsia="宋体" w:cs="Times New Roman"/>
          <w:sz w:val="28"/>
          <w:szCs w:val="28"/>
          <w:lang w:val="zh-CN" w:eastAsia="zh-CN"/>
        </w:rPr>
        <w:t>）对作业区的粉尘采取有效防控措施，及时对除尘设备进行监控、维护。</w:t>
      </w:r>
    </w:p>
    <w:p w14:paraId="7993C1B7">
      <w:pPr>
        <w:spacing w:line="360" w:lineRule="auto"/>
        <w:ind w:firstLine="560" w:firstLineChars="200"/>
        <w:rPr>
          <w:rFonts w:hint="eastAsia" w:ascii="Times New Roman" w:hAnsi="Times New Roman" w:eastAsia="宋体" w:cs="Times New Roman"/>
          <w:sz w:val="28"/>
          <w:szCs w:val="28"/>
          <w:lang w:val="zh-CN" w:eastAsia="zh-CN"/>
        </w:rPr>
      </w:pPr>
      <w:r>
        <w:rPr>
          <w:rFonts w:hint="eastAsia" w:ascii="Times New Roman" w:hAnsi="Times New Roman" w:eastAsia="宋体" w:cs="Times New Roman"/>
          <w:sz w:val="28"/>
          <w:szCs w:val="28"/>
          <w:lang w:val="zh-CN" w:eastAsia="zh-CN"/>
        </w:rPr>
        <w:t>（</w:t>
      </w:r>
      <w:r>
        <w:rPr>
          <w:rFonts w:hint="eastAsia" w:ascii="Times New Roman" w:hAnsi="Times New Roman" w:eastAsia="宋体" w:cs="Times New Roman"/>
          <w:sz w:val="28"/>
          <w:szCs w:val="28"/>
          <w:lang w:val="en-US" w:eastAsia="zh-CN"/>
        </w:rPr>
        <w:t>32</w:t>
      </w:r>
      <w:r>
        <w:rPr>
          <w:rFonts w:hint="eastAsia" w:ascii="Times New Roman" w:hAnsi="Times New Roman" w:eastAsia="宋体" w:cs="Times New Roman"/>
          <w:sz w:val="28"/>
          <w:szCs w:val="28"/>
          <w:lang w:val="zh-CN" w:eastAsia="zh-CN"/>
        </w:rPr>
        <w:t>）对作业场所进行危险、有害因素辨识，并按《安全标志及其使用导则》（GB2894-2008）设置安全标志。</w:t>
      </w:r>
    </w:p>
    <w:p w14:paraId="19589DE3">
      <w:pPr>
        <w:spacing w:line="360" w:lineRule="auto"/>
        <w:ind w:firstLine="560" w:firstLineChars="200"/>
        <w:rPr>
          <w:rFonts w:hint="eastAsia" w:ascii="Times New Roman" w:hAnsi="Times New Roman" w:eastAsia="宋体" w:cs="Times New Roman"/>
          <w:sz w:val="28"/>
          <w:szCs w:val="28"/>
          <w:lang w:val="zh-CN" w:eastAsia="zh-CN"/>
        </w:rPr>
      </w:pPr>
      <w:r>
        <w:rPr>
          <w:rFonts w:hint="eastAsia" w:ascii="Times New Roman" w:hAnsi="Times New Roman" w:eastAsia="宋体" w:cs="Times New Roman"/>
          <w:sz w:val="28"/>
          <w:szCs w:val="28"/>
          <w:lang w:val="zh-CN" w:eastAsia="zh-CN"/>
        </w:rPr>
        <w:t>（</w:t>
      </w:r>
      <w:r>
        <w:rPr>
          <w:rFonts w:hint="eastAsia" w:ascii="Times New Roman" w:hAnsi="Times New Roman" w:eastAsia="宋体" w:cs="Times New Roman"/>
          <w:sz w:val="28"/>
          <w:szCs w:val="28"/>
          <w:lang w:val="en-US" w:eastAsia="zh-CN"/>
        </w:rPr>
        <w:t>33</w:t>
      </w:r>
      <w:r>
        <w:rPr>
          <w:rFonts w:hint="eastAsia" w:ascii="Times New Roman" w:hAnsi="Times New Roman" w:eastAsia="宋体" w:cs="Times New Roman"/>
          <w:sz w:val="28"/>
          <w:szCs w:val="28"/>
          <w:lang w:val="zh-CN" w:eastAsia="zh-CN"/>
        </w:rPr>
        <w:t>）企业应规范敷设电线电缆，平行吊挂或使用电缆桥架，与金属构筑物等相交处使用瓷瓶、橡胶垫等隔离。</w:t>
      </w:r>
    </w:p>
    <w:p w14:paraId="2E629B66">
      <w:pPr>
        <w:spacing w:line="360" w:lineRule="auto"/>
        <w:ind w:firstLine="560" w:firstLineChars="200"/>
        <w:rPr>
          <w:rFonts w:hint="default" w:ascii="Times New Roman" w:hAnsi="Times New Roman" w:eastAsia="宋体" w:cs="Times New Roman"/>
          <w:sz w:val="28"/>
          <w:szCs w:val="28"/>
          <w:lang w:val="en-US" w:eastAsia="zh-CN"/>
        </w:rPr>
      </w:pPr>
      <w:r>
        <w:rPr>
          <w:rFonts w:hint="eastAsia" w:ascii="Times New Roman" w:hAnsi="Times New Roman" w:eastAsia="宋体" w:cs="Times New Roman"/>
          <w:sz w:val="28"/>
          <w:szCs w:val="28"/>
          <w:lang w:val="zh-CN" w:eastAsia="zh-CN"/>
        </w:rPr>
        <w:t>（</w:t>
      </w:r>
      <w:r>
        <w:rPr>
          <w:rFonts w:hint="eastAsia" w:ascii="Times New Roman" w:hAnsi="Times New Roman" w:eastAsia="宋体" w:cs="Times New Roman"/>
          <w:sz w:val="28"/>
          <w:szCs w:val="28"/>
          <w:lang w:val="en-US" w:eastAsia="zh-CN"/>
        </w:rPr>
        <w:t>34</w:t>
      </w:r>
      <w:r>
        <w:rPr>
          <w:rFonts w:hint="eastAsia" w:ascii="Times New Roman" w:hAnsi="Times New Roman" w:eastAsia="宋体" w:cs="Times New Roman"/>
          <w:sz w:val="28"/>
          <w:szCs w:val="28"/>
          <w:lang w:val="zh-CN" w:eastAsia="zh-CN"/>
        </w:rPr>
        <w:t>）落实员工的安全技术培训、岗位技能培训、新工人（含临时工）的“三级安全教育”，保证员工具备必要的安全生产知识，熟悉有关的安全生产规章制度和安全操作规程，掌握本岗位的安全操作技能。</w:t>
      </w:r>
    </w:p>
    <w:p w14:paraId="7162490D">
      <w:pPr>
        <w:pStyle w:val="4"/>
        <w:spacing w:before="0" w:after="0" w:line="360" w:lineRule="auto"/>
        <w:ind w:firstLine="562" w:firstLineChars="200"/>
        <w:rPr>
          <w:rFonts w:hint="default" w:ascii="Times New Roman" w:hAnsi="Times New Roman" w:cs="Times New Roman"/>
          <w:sz w:val="28"/>
          <w:szCs w:val="28"/>
        </w:rPr>
      </w:pPr>
      <w:r>
        <w:rPr>
          <w:rFonts w:hint="default" w:ascii="Times New Roman" w:hAnsi="Times New Roman" w:cs="Times New Roman"/>
          <w:sz w:val="28"/>
          <w:szCs w:val="28"/>
        </w:rPr>
        <w:t>4.1.</w:t>
      </w:r>
      <w:r>
        <w:rPr>
          <w:rFonts w:hint="default" w:ascii="Times New Roman" w:hAnsi="Times New Roman" w:cs="Times New Roman"/>
          <w:sz w:val="28"/>
          <w:szCs w:val="28"/>
          <w:lang w:val="en-US" w:eastAsia="zh-CN"/>
        </w:rPr>
        <w:t>7</w:t>
      </w:r>
      <w:r>
        <w:rPr>
          <w:rFonts w:hint="default" w:ascii="Times New Roman" w:hAnsi="Times New Roman" w:cs="Times New Roman"/>
          <w:sz w:val="28"/>
          <w:szCs w:val="28"/>
        </w:rPr>
        <w:t>安全管理单元</w:t>
      </w:r>
      <w:bookmarkEnd w:id="417"/>
      <w:bookmarkEnd w:id="418"/>
      <w:bookmarkEnd w:id="419"/>
      <w:bookmarkEnd w:id="420"/>
    </w:p>
    <w:p w14:paraId="4FD2FC6C">
      <w:pPr>
        <w:spacing w:line="360" w:lineRule="auto"/>
        <w:ind w:firstLine="560" w:firstLineChars="200"/>
        <w:rPr>
          <w:rFonts w:hint="default" w:ascii="Times New Roman" w:hAnsi="Times New Roman" w:cs="Times New Roman"/>
          <w:sz w:val="28"/>
          <w:szCs w:val="28"/>
        </w:rPr>
      </w:pPr>
      <w:r>
        <w:rPr>
          <w:rFonts w:hint="default" w:ascii="Times New Roman" w:hAnsi="Times New Roman" w:cs="Times New Roman"/>
          <w:sz w:val="28"/>
          <w:szCs w:val="28"/>
        </w:rPr>
        <w:t>（1）矿山应按照矿安〔2022〕4号文内容，强化安全管理、技术管理，配备具有采矿、地质、机电等矿山相关专业中专及以上学历或者中级及以上技术职称的专职技术人员进行技术管理。</w:t>
      </w:r>
    </w:p>
    <w:p w14:paraId="3F02E64F">
      <w:pPr>
        <w:spacing w:line="360" w:lineRule="auto"/>
        <w:ind w:firstLine="560" w:firstLineChars="200"/>
        <w:rPr>
          <w:rFonts w:hint="default" w:ascii="Times New Roman" w:hAnsi="Times New Roman" w:cs="Times New Roman"/>
          <w:sz w:val="28"/>
          <w:szCs w:val="28"/>
          <w:lang w:val="en-GB"/>
        </w:rPr>
      </w:pPr>
      <w:r>
        <w:rPr>
          <w:rFonts w:hint="default" w:ascii="Times New Roman" w:hAnsi="Times New Roman" w:cs="Times New Roman"/>
          <w:sz w:val="28"/>
          <w:szCs w:val="28"/>
        </w:rPr>
        <w:t>（2）设计中未对设置应急物资库进行说明，下一步安全设施设计中应完善应急物资的配置情况。</w:t>
      </w:r>
    </w:p>
    <w:p w14:paraId="4CF7551C">
      <w:pPr>
        <w:spacing w:line="360" w:lineRule="auto"/>
        <w:ind w:firstLine="560" w:firstLineChars="200"/>
        <w:rPr>
          <w:rFonts w:hint="default" w:ascii="Times New Roman" w:hAnsi="Times New Roman" w:cs="Times New Roman"/>
          <w:sz w:val="28"/>
          <w:szCs w:val="28"/>
        </w:rPr>
      </w:pPr>
      <w:r>
        <w:rPr>
          <w:rFonts w:hint="default" w:ascii="Times New Roman" w:hAnsi="Times New Roman" w:cs="Times New Roman"/>
          <w:color w:val="auto"/>
          <w:sz w:val="28"/>
          <w:szCs w:val="28"/>
          <w:highlight w:val="none"/>
          <w:lang w:eastAsia="zh-CN"/>
        </w:rPr>
        <w:t>（</w:t>
      </w:r>
      <w:r>
        <w:rPr>
          <w:rFonts w:hint="default" w:ascii="Times New Roman" w:hAnsi="Times New Roman" w:cs="Times New Roman"/>
          <w:color w:val="auto"/>
          <w:sz w:val="28"/>
          <w:szCs w:val="28"/>
          <w:highlight w:val="none"/>
          <w:lang w:val="en-US" w:eastAsia="zh-CN"/>
        </w:rPr>
        <w:t>3</w:t>
      </w:r>
      <w:r>
        <w:rPr>
          <w:rFonts w:hint="default" w:ascii="Times New Roman" w:hAnsi="Times New Roman" w:cs="Times New Roman"/>
          <w:color w:val="auto"/>
          <w:sz w:val="28"/>
          <w:szCs w:val="28"/>
          <w:highlight w:val="none"/>
          <w:lang w:eastAsia="zh-CN"/>
        </w:rPr>
        <w:t>）</w:t>
      </w:r>
      <w:r>
        <w:rPr>
          <w:rFonts w:hint="default" w:ascii="Times New Roman" w:hAnsi="Times New Roman" w:cs="Times New Roman"/>
          <w:color w:val="auto"/>
          <w:sz w:val="28"/>
          <w:szCs w:val="28"/>
          <w:highlight w:val="none"/>
        </w:rPr>
        <w:t>建立安全生产管理机构，特种作业人员要取得特种作业资格证</w:t>
      </w:r>
      <w:r>
        <w:rPr>
          <w:rFonts w:hint="default" w:ascii="Times New Roman" w:hAnsi="Times New Roman" w:cs="Times New Roman"/>
          <w:sz w:val="28"/>
          <w:szCs w:val="28"/>
        </w:rPr>
        <w:t>。</w:t>
      </w:r>
    </w:p>
    <w:p w14:paraId="3C5DA61C">
      <w:pPr>
        <w:spacing w:line="360" w:lineRule="auto"/>
        <w:ind w:firstLine="560" w:firstLineChars="200"/>
        <w:rPr>
          <w:rFonts w:hint="default" w:ascii="Times New Roman" w:hAnsi="Times New Roman" w:cs="Times New Roman"/>
          <w:sz w:val="28"/>
          <w:szCs w:val="28"/>
        </w:rPr>
      </w:pPr>
      <w:r>
        <w:rPr>
          <w:rFonts w:hint="default" w:ascii="Times New Roman" w:hAnsi="Times New Roman" w:cs="Times New Roman"/>
          <w:sz w:val="28"/>
          <w:szCs w:val="28"/>
        </w:rPr>
        <w:t>（</w:t>
      </w:r>
      <w:r>
        <w:rPr>
          <w:rFonts w:hint="default" w:ascii="Times New Roman" w:hAnsi="Times New Roman" w:cs="Times New Roman"/>
          <w:sz w:val="28"/>
          <w:szCs w:val="28"/>
          <w:lang w:val="en-US" w:eastAsia="zh-CN"/>
        </w:rPr>
        <w:t>4</w:t>
      </w:r>
      <w:r>
        <w:rPr>
          <w:rFonts w:hint="default" w:ascii="Times New Roman" w:hAnsi="Times New Roman" w:cs="Times New Roman"/>
          <w:sz w:val="28"/>
          <w:szCs w:val="28"/>
        </w:rPr>
        <w:t>）企业应完善各项安全责任制、安全管理制度、安全操作规程及相应的安全管理台账。</w:t>
      </w:r>
    </w:p>
    <w:p w14:paraId="5A3EDA9D">
      <w:pPr>
        <w:spacing w:line="360" w:lineRule="auto"/>
        <w:ind w:firstLine="560" w:firstLineChars="200"/>
        <w:rPr>
          <w:rFonts w:hint="default" w:ascii="Times New Roman" w:hAnsi="Times New Roman" w:cs="Times New Roman"/>
          <w:sz w:val="28"/>
          <w:szCs w:val="28"/>
        </w:rPr>
      </w:pPr>
      <w:r>
        <w:rPr>
          <w:rFonts w:hint="default" w:ascii="Times New Roman" w:hAnsi="Times New Roman" w:cs="Times New Roman"/>
          <w:sz w:val="28"/>
          <w:szCs w:val="28"/>
        </w:rPr>
        <w:t>（</w:t>
      </w:r>
      <w:r>
        <w:rPr>
          <w:rFonts w:hint="default" w:ascii="Times New Roman" w:hAnsi="Times New Roman" w:cs="Times New Roman"/>
          <w:sz w:val="28"/>
          <w:szCs w:val="28"/>
          <w:lang w:val="en-US" w:eastAsia="zh-CN"/>
        </w:rPr>
        <w:t>5</w:t>
      </w:r>
      <w:r>
        <w:rPr>
          <w:rFonts w:hint="default" w:ascii="Times New Roman" w:hAnsi="Times New Roman" w:cs="Times New Roman"/>
          <w:sz w:val="28"/>
          <w:szCs w:val="28"/>
        </w:rPr>
        <w:t>）</w:t>
      </w:r>
      <w:r>
        <w:rPr>
          <w:rFonts w:hint="default" w:ascii="Times New Roman" w:hAnsi="Times New Roman" w:cs="Times New Roman"/>
          <w:sz w:val="28"/>
          <w:szCs w:val="28"/>
          <w:lang w:val="en-US" w:eastAsia="zh-CN"/>
        </w:rPr>
        <w:t>矿山生产</w:t>
      </w:r>
      <w:r>
        <w:rPr>
          <w:rFonts w:hint="default" w:ascii="Times New Roman" w:hAnsi="Times New Roman" w:cs="Times New Roman"/>
          <w:sz w:val="28"/>
          <w:szCs w:val="28"/>
        </w:rPr>
        <w:t>属于国家规定的高危行业、领域的生产经营单位，应当投保安全生产责任保险。</w:t>
      </w:r>
    </w:p>
    <w:p w14:paraId="2FCC735E">
      <w:pPr>
        <w:spacing w:line="360" w:lineRule="auto"/>
        <w:ind w:firstLine="560" w:firstLineChars="200"/>
        <w:rPr>
          <w:rFonts w:hint="default" w:ascii="Times New Roman" w:hAnsi="Times New Roman" w:cs="Times New Roman"/>
          <w:sz w:val="28"/>
          <w:szCs w:val="28"/>
        </w:rPr>
      </w:pPr>
      <w:r>
        <w:rPr>
          <w:rFonts w:hint="default" w:ascii="Times New Roman" w:hAnsi="Times New Roman" w:cs="Times New Roman"/>
          <w:sz w:val="28"/>
          <w:szCs w:val="28"/>
        </w:rPr>
        <w:t>（</w:t>
      </w:r>
      <w:r>
        <w:rPr>
          <w:rFonts w:hint="default" w:ascii="Times New Roman" w:hAnsi="Times New Roman" w:cs="Times New Roman"/>
          <w:sz w:val="28"/>
          <w:szCs w:val="28"/>
          <w:lang w:val="en-US" w:eastAsia="zh-CN"/>
        </w:rPr>
        <w:t>6</w:t>
      </w:r>
      <w:r>
        <w:rPr>
          <w:rFonts w:hint="default" w:ascii="Times New Roman" w:hAnsi="Times New Roman" w:cs="Times New Roman"/>
          <w:sz w:val="28"/>
          <w:szCs w:val="28"/>
        </w:rPr>
        <w:t>）</w:t>
      </w:r>
      <w:r>
        <w:rPr>
          <w:rFonts w:hint="default" w:ascii="Times New Roman" w:hAnsi="Times New Roman" w:cs="Times New Roman"/>
          <w:sz w:val="28"/>
          <w:szCs w:val="28"/>
          <w:lang w:eastAsia="zh-CN"/>
        </w:rPr>
        <w:t>《初步设计（代可研）》</w:t>
      </w:r>
      <w:r>
        <w:rPr>
          <w:rFonts w:hint="default" w:ascii="Times New Roman" w:hAnsi="Times New Roman" w:cs="Times New Roman"/>
          <w:sz w:val="28"/>
          <w:szCs w:val="28"/>
        </w:rPr>
        <w:t>中未对构建安全风险分级管控和隐患排查治理双重预防机制进行说明，下一步应补充完善，健全风险防范化解机制。</w:t>
      </w:r>
    </w:p>
    <w:p w14:paraId="0410C504">
      <w:pPr>
        <w:spacing w:line="360" w:lineRule="auto"/>
        <w:ind w:firstLine="560" w:firstLineChars="200"/>
        <w:rPr>
          <w:rFonts w:hint="default" w:ascii="Times New Roman" w:hAnsi="Times New Roman" w:cs="Times New Roman"/>
          <w:sz w:val="28"/>
          <w:szCs w:val="28"/>
        </w:rPr>
      </w:pPr>
      <w:r>
        <w:rPr>
          <w:rFonts w:hint="default" w:ascii="Times New Roman" w:hAnsi="Times New Roman" w:cs="Times New Roman"/>
          <w:sz w:val="28"/>
          <w:szCs w:val="28"/>
        </w:rPr>
        <w:t>（</w:t>
      </w:r>
      <w:r>
        <w:rPr>
          <w:rFonts w:hint="default" w:ascii="Times New Roman" w:hAnsi="Times New Roman" w:cs="Times New Roman"/>
          <w:sz w:val="28"/>
          <w:szCs w:val="28"/>
          <w:lang w:val="en-US" w:eastAsia="zh-CN"/>
        </w:rPr>
        <w:t>7</w:t>
      </w:r>
      <w:r>
        <w:rPr>
          <w:rFonts w:hint="default" w:ascii="Times New Roman" w:hAnsi="Times New Roman" w:cs="Times New Roman"/>
          <w:sz w:val="28"/>
          <w:szCs w:val="28"/>
        </w:rPr>
        <w:t>）矿山应当配备注册安全工程师从事安全生产管理工作。</w:t>
      </w:r>
    </w:p>
    <w:p w14:paraId="31F88A35">
      <w:pPr>
        <w:spacing w:line="360" w:lineRule="auto"/>
        <w:ind w:firstLine="560" w:firstLineChars="200"/>
        <w:rPr>
          <w:rFonts w:hint="default" w:ascii="Times New Roman" w:hAnsi="Times New Roman" w:cs="Times New Roman"/>
          <w:sz w:val="28"/>
          <w:szCs w:val="28"/>
        </w:rPr>
      </w:pPr>
      <w:r>
        <w:rPr>
          <w:rFonts w:hint="default" w:ascii="Times New Roman" w:hAnsi="Times New Roman" w:cs="Times New Roman"/>
          <w:sz w:val="28"/>
          <w:szCs w:val="28"/>
        </w:rPr>
        <w:t>（</w:t>
      </w:r>
      <w:r>
        <w:rPr>
          <w:rFonts w:hint="default" w:ascii="Times New Roman" w:hAnsi="Times New Roman" w:cs="Times New Roman"/>
          <w:sz w:val="28"/>
          <w:szCs w:val="28"/>
          <w:lang w:val="en-US" w:eastAsia="zh-CN"/>
        </w:rPr>
        <w:t>8</w:t>
      </w:r>
      <w:r>
        <w:rPr>
          <w:rFonts w:hint="default" w:ascii="Times New Roman" w:hAnsi="Times New Roman" w:cs="Times New Roman"/>
          <w:sz w:val="28"/>
          <w:szCs w:val="28"/>
        </w:rPr>
        <w:t>）对员工进行操作技术培训和安全教育（安全教育中除包括思想、纪律、安全知识、消防器材使用、个体防护用品使用等内容外，还应包括事故紧急处理、抢救、报告方法的教育）。</w:t>
      </w:r>
    </w:p>
    <w:p w14:paraId="19A5108C">
      <w:pPr>
        <w:spacing w:line="360" w:lineRule="auto"/>
        <w:ind w:firstLine="560" w:firstLineChars="200"/>
        <w:rPr>
          <w:rFonts w:hint="default" w:ascii="Times New Roman" w:hAnsi="Times New Roman" w:cs="Times New Roman"/>
          <w:sz w:val="28"/>
          <w:szCs w:val="28"/>
        </w:rPr>
      </w:pPr>
      <w:r>
        <w:rPr>
          <w:rFonts w:hint="default" w:ascii="Times New Roman" w:hAnsi="Times New Roman" w:cs="Times New Roman"/>
          <w:sz w:val="28"/>
          <w:szCs w:val="28"/>
        </w:rPr>
        <w:t>（</w:t>
      </w:r>
      <w:r>
        <w:rPr>
          <w:rFonts w:hint="default" w:ascii="Times New Roman" w:hAnsi="Times New Roman" w:cs="Times New Roman"/>
          <w:sz w:val="28"/>
          <w:szCs w:val="28"/>
          <w:lang w:val="en-US" w:eastAsia="zh-CN"/>
        </w:rPr>
        <w:t>9</w:t>
      </w:r>
      <w:r>
        <w:rPr>
          <w:rFonts w:hint="default" w:ascii="Times New Roman" w:hAnsi="Times New Roman" w:cs="Times New Roman"/>
          <w:sz w:val="28"/>
          <w:szCs w:val="28"/>
        </w:rPr>
        <w:t>）企业应按《生产经营单位生产安全事故应急预案编制导则》（</w:t>
      </w:r>
      <w:r>
        <w:rPr>
          <w:rFonts w:hint="default" w:ascii="Times New Roman" w:hAnsi="Times New Roman" w:cs="Times New Roman"/>
          <w:sz w:val="28"/>
          <w:szCs w:val="28"/>
          <w:lang w:eastAsia="zh-CN"/>
        </w:rPr>
        <w:t>GB/T 29639-2020</w:t>
      </w:r>
      <w:r>
        <w:rPr>
          <w:rFonts w:hint="default" w:ascii="Times New Roman" w:hAnsi="Times New Roman" w:cs="Times New Roman"/>
          <w:sz w:val="28"/>
          <w:szCs w:val="28"/>
        </w:rPr>
        <w:t>）的要求规范编制应急预案、签订应急救援协议、进行应急预案演练。</w:t>
      </w:r>
    </w:p>
    <w:p w14:paraId="42821379">
      <w:pPr>
        <w:spacing w:line="360" w:lineRule="auto"/>
        <w:ind w:firstLine="560" w:firstLineChars="200"/>
        <w:rPr>
          <w:rFonts w:hint="default" w:ascii="Times New Roman" w:hAnsi="Times New Roman" w:cs="Times New Roman"/>
          <w:sz w:val="28"/>
          <w:szCs w:val="28"/>
        </w:rPr>
      </w:pPr>
      <w:r>
        <w:rPr>
          <w:rFonts w:hint="default" w:ascii="Times New Roman" w:hAnsi="Times New Roman" w:cs="Times New Roman"/>
          <w:sz w:val="28"/>
          <w:szCs w:val="28"/>
        </w:rPr>
        <w:t>（</w:t>
      </w:r>
      <w:r>
        <w:rPr>
          <w:rFonts w:hint="default" w:ascii="Times New Roman" w:hAnsi="Times New Roman" w:cs="Times New Roman"/>
          <w:sz w:val="28"/>
          <w:szCs w:val="28"/>
          <w:lang w:val="en-US" w:eastAsia="zh-CN"/>
        </w:rPr>
        <w:t>10</w:t>
      </w:r>
      <w:r>
        <w:rPr>
          <w:rFonts w:hint="default" w:ascii="Times New Roman" w:hAnsi="Times New Roman" w:cs="Times New Roman"/>
          <w:sz w:val="28"/>
          <w:szCs w:val="28"/>
        </w:rPr>
        <w:t>）企业应当对从业人员进行安全生产教育和培训，保证从业人员具备必要的安全生产知识，非煤矿山新上岗的从业人员安全培训时间不得少于72学时，每年再培训的时间不得少于20学时。</w:t>
      </w:r>
    </w:p>
    <w:p w14:paraId="1670D1F1">
      <w:pPr>
        <w:pStyle w:val="3"/>
        <w:spacing w:before="0" w:after="0" w:line="360" w:lineRule="auto"/>
        <w:jc w:val="center"/>
        <w:rPr>
          <w:rFonts w:hint="default" w:ascii="Times New Roman" w:hAnsi="Times New Roman" w:eastAsia="黑体" w:cs="Times New Roman"/>
          <w:sz w:val="30"/>
          <w:szCs w:val="30"/>
          <w:lang w:val="en-GB"/>
        </w:rPr>
      </w:pPr>
      <w:bookmarkStart w:id="421" w:name="_Toc3963"/>
      <w:bookmarkStart w:id="422" w:name="_Toc1079"/>
      <w:bookmarkStart w:id="423" w:name="_Toc19594"/>
      <w:bookmarkStart w:id="424" w:name="_Toc3387"/>
      <w:bookmarkStart w:id="425" w:name="_Toc29951"/>
      <w:bookmarkStart w:id="426" w:name="_Toc13313"/>
      <w:r>
        <w:rPr>
          <w:rFonts w:hint="default" w:ascii="Times New Roman" w:hAnsi="Times New Roman" w:eastAsia="黑体" w:cs="Times New Roman"/>
          <w:sz w:val="30"/>
          <w:szCs w:val="30"/>
          <w:lang w:val="en-GB"/>
        </w:rPr>
        <w:t>4.2其他对策措施及建议</w:t>
      </w:r>
      <w:bookmarkEnd w:id="421"/>
      <w:bookmarkEnd w:id="422"/>
      <w:bookmarkEnd w:id="423"/>
      <w:bookmarkEnd w:id="424"/>
      <w:bookmarkEnd w:id="425"/>
      <w:bookmarkEnd w:id="426"/>
    </w:p>
    <w:p w14:paraId="0F5EABD3">
      <w:pPr>
        <w:spacing w:line="360" w:lineRule="auto"/>
        <w:ind w:firstLine="560" w:firstLineChars="200"/>
        <w:rPr>
          <w:rFonts w:hint="default" w:ascii="Times New Roman" w:hAnsi="Times New Roman" w:cs="Times New Roman"/>
          <w:sz w:val="28"/>
          <w:szCs w:val="28"/>
        </w:rPr>
      </w:pPr>
      <w:r>
        <w:rPr>
          <w:rFonts w:hint="default" w:ascii="Times New Roman" w:hAnsi="Times New Roman" w:cs="Times New Roman"/>
          <w:sz w:val="28"/>
          <w:szCs w:val="28"/>
        </w:rPr>
        <w:t>（1）</w:t>
      </w:r>
      <w:r>
        <w:rPr>
          <w:rFonts w:hint="default" w:ascii="Times New Roman" w:hAnsi="Times New Roman" w:cs="Times New Roman"/>
          <w:sz w:val="28"/>
          <w:szCs w:val="28"/>
          <w:lang w:val="en-GB"/>
        </w:rPr>
        <w:t>矿山应委托有相应资质的设计单位编制安全设施设计，施工及监理单位应由有相应资质的单位承担。</w:t>
      </w:r>
    </w:p>
    <w:p w14:paraId="418B8A06">
      <w:pPr>
        <w:spacing w:line="360" w:lineRule="auto"/>
        <w:ind w:firstLine="560" w:firstLineChars="200"/>
        <w:rPr>
          <w:rFonts w:hint="default" w:ascii="Times New Roman" w:hAnsi="Times New Roman" w:cs="Times New Roman"/>
          <w:sz w:val="28"/>
          <w:szCs w:val="28"/>
          <w:lang w:val="en-GB"/>
        </w:rPr>
      </w:pPr>
      <w:r>
        <w:rPr>
          <w:rFonts w:hint="default" w:ascii="Times New Roman" w:hAnsi="Times New Roman" w:cs="Times New Roman"/>
          <w:sz w:val="28"/>
          <w:szCs w:val="28"/>
          <w:lang w:val="en-GB"/>
        </w:rPr>
        <w:t>（</w:t>
      </w:r>
      <w:r>
        <w:rPr>
          <w:rFonts w:hint="default" w:ascii="Times New Roman" w:hAnsi="Times New Roman" w:cs="Times New Roman"/>
          <w:sz w:val="28"/>
          <w:szCs w:val="28"/>
        </w:rPr>
        <w:t>2</w:t>
      </w:r>
      <w:r>
        <w:rPr>
          <w:rFonts w:hint="default" w:ascii="Times New Roman" w:hAnsi="Times New Roman" w:cs="Times New Roman"/>
          <w:sz w:val="28"/>
          <w:szCs w:val="28"/>
          <w:lang w:val="en-GB"/>
        </w:rPr>
        <w:t>）根据边坡失稳的影响因素分析，结合矿山现有资料反映的工程及水文地质特征，建议加强可能对边坡稳定性产生影响地质等方面的研究；在生产过程中应对边坡参数进行详细确定，对边坡加固和维护做进一步说明和提出预防和控制措施系统，并根据生产实际情况调整边坡参数，以减少边坡失稳的可能性；对可能发生的坍塌、滚石影响及作业面人员、设备的安全条件采取安全可靠的措施。</w:t>
      </w:r>
    </w:p>
    <w:p w14:paraId="165CA115">
      <w:pPr>
        <w:spacing w:line="360" w:lineRule="auto"/>
        <w:ind w:firstLine="560" w:firstLineChars="200"/>
        <w:rPr>
          <w:rFonts w:hint="default" w:ascii="Times New Roman" w:hAnsi="Times New Roman" w:cs="Times New Roman"/>
          <w:sz w:val="28"/>
          <w:szCs w:val="28"/>
        </w:rPr>
      </w:pPr>
      <w:r>
        <w:rPr>
          <w:rFonts w:hint="default" w:ascii="Times New Roman" w:hAnsi="Times New Roman" w:cs="Times New Roman"/>
          <w:sz w:val="28"/>
          <w:szCs w:val="28"/>
          <w:lang w:val="en-GB"/>
        </w:rPr>
        <w:t>（</w:t>
      </w:r>
      <w:r>
        <w:rPr>
          <w:rFonts w:hint="default" w:ascii="Times New Roman" w:hAnsi="Times New Roman" w:cs="Times New Roman"/>
          <w:sz w:val="28"/>
          <w:szCs w:val="28"/>
        </w:rPr>
        <w:t>3</w:t>
      </w:r>
      <w:r>
        <w:rPr>
          <w:rFonts w:hint="default" w:ascii="Times New Roman" w:hAnsi="Times New Roman" w:cs="Times New Roman"/>
          <w:sz w:val="28"/>
          <w:szCs w:val="28"/>
          <w:lang w:val="en-GB"/>
        </w:rPr>
        <w:t>）矿区道路边坡需加强支护并设置安全警示牌，山坡填方的弯道、坡度较大的填方地段以及高路基外侧应设置护栏或挡车墙</w:t>
      </w:r>
      <w:r>
        <w:rPr>
          <w:rFonts w:hint="default" w:ascii="Times New Roman" w:hAnsi="Times New Roman" w:cs="Times New Roman"/>
          <w:sz w:val="28"/>
          <w:szCs w:val="28"/>
        </w:rPr>
        <w:t>。</w:t>
      </w:r>
    </w:p>
    <w:p w14:paraId="3C238B04">
      <w:pPr>
        <w:spacing w:line="360" w:lineRule="auto"/>
        <w:ind w:firstLine="560" w:firstLineChars="200"/>
        <w:rPr>
          <w:rFonts w:hint="default" w:ascii="Times New Roman" w:hAnsi="Times New Roman" w:cs="Times New Roman"/>
          <w:sz w:val="28"/>
          <w:szCs w:val="28"/>
        </w:rPr>
      </w:pPr>
      <w:r>
        <w:rPr>
          <w:rFonts w:hint="default" w:ascii="Times New Roman" w:hAnsi="Times New Roman" w:cs="Times New Roman"/>
          <w:sz w:val="28"/>
          <w:szCs w:val="28"/>
        </w:rPr>
        <w:t>（4）</w:t>
      </w:r>
      <w:r>
        <w:rPr>
          <w:rFonts w:hint="default" w:ascii="Times New Roman" w:hAnsi="Times New Roman" w:cs="Times New Roman"/>
          <w:sz w:val="28"/>
          <w:szCs w:val="28"/>
          <w:lang w:val="en-GB"/>
        </w:rPr>
        <w:t>道路设置安全警示标牌。包括：限速、弯道、路口指示、停车指示等标志；沿道路外侧设立安全桩或安全墙；建立道路运输安全管理制度，对操作人员的行为进行规范，定期进行车辆维护保养确保车况良好。进行各种机械设备操作时，均应发出警告信号。夜间作业时，车下及前后的所有信号、照明灯应完好；雨雪天运输车辆应采取防滑措施（如防滑链等）</w:t>
      </w:r>
      <w:r>
        <w:rPr>
          <w:rFonts w:hint="default" w:ascii="Times New Roman" w:hAnsi="Times New Roman" w:cs="Times New Roman"/>
          <w:sz w:val="28"/>
          <w:szCs w:val="28"/>
        </w:rPr>
        <w:t>。</w:t>
      </w:r>
    </w:p>
    <w:p w14:paraId="5105F9F5">
      <w:pPr>
        <w:spacing w:line="360" w:lineRule="auto"/>
        <w:ind w:firstLine="560" w:firstLineChars="200"/>
        <w:rPr>
          <w:rFonts w:hint="default" w:ascii="Times New Roman" w:hAnsi="Times New Roman" w:cs="Times New Roman"/>
          <w:sz w:val="28"/>
          <w:szCs w:val="28"/>
          <w:lang w:val="zh-CN"/>
        </w:rPr>
      </w:pPr>
      <w:r>
        <w:rPr>
          <w:rFonts w:hint="default" w:ascii="Times New Roman" w:hAnsi="Times New Roman" w:cs="Times New Roman"/>
          <w:sz w:val="28"/>
          <w:szCs w:val="28"/>
          <w:lang w:val="en-GB"/>
        </w:rPr>
        <w:t>（</w:t>
      </w:r>
      <w:r>
        <w:rPr>
          <w:rFonts w:hint="default" w:ascii="Times New Roman" w:hAnsi="Times New Roman" w:cs="Times New Roman"/>
          <w:sz w:val="28"/>
          <w:szCs w:val="28"/>
        </w:rPr>
        <w:t>5</w:t>
      </w:r>
      <w:r>
        <w:rPr>
          <w:rFonts w:hint="default" w:ascii="Times New Roman" w:hAnsi="Times New Roman" w:cs="Times New Roman"/>
          <w:sz w:val="28"/>
          <w:szCs w:val="28"/>
          <w:lang w:val="en-GB"/>
        </w:rPr>
        <w:t>）企业应划拨一定的安全管理资金，用于开展安全宣传活动，对从业人员进行安全教育和培训，特殊工种的培训取证，为从业人员配备劳保用品，购买工伤保险，以及完善安全设施、设备及治理安全隐患等</w:t>
      </w:r>
      <w:r>
        <w:rPr>
          <w:rFonts w:hint="default" w:ascii="Times New Roman" w:hAnsi="Times New Roman" w:cs="Times New Roman"/>
          <w:sz w:val="28"/>
          <w:szCs w:val="28"/>
          <w:lang w:val="zh-CN"/>
        </w:rPr>
        <w:t>。</w:t>
      </w:r>
    </w:p>
    <w:p w14:paraId="35D51908">
      <w:pPr>
        <w:spacing w:line="360" w:lineRule="auto"/>
        <w:ind w:firstLine="560" w:firstLineChars="200"/>
        <w:rPr>
          <w:rFonts w:hint="default" w:ascii="Times New Roman" w:hAnsi="Times New Roman" w:cs="Times New Roman"/>
          <w:sz w:val="28"/>
          <w:szCs w:val="28"/>
          <w:lang w:val="zh-CN"/>
        </w:rPr>
      </w:pPr>
      <w:r>
        <w:rPr>
          <w:rFonts w:hint="default" w:ascii="Times New Roman" w:hAnsi="Times New Roman" w:cs="Times New Roman"/>
          <w:sz w:val="28"/>
          <w:szCs w:val="28"/>
          <w:lang w:val="zh-CN"/>
        </w:rPr>
        <w:t>（</w:t>
      </w:r>
      <w:r>
        <w:rPr>
          <w:rFonts w:hint="default" w:ascii="Times New Roman" w:hAnsi="Times New Roman" w:cs="Times New Roman"/>
          <w:sz w:val="28"/>
          <w:szCs w:val="28"/>
        </w:rPr>
        <w:t>6</w:t>
      </w:r>
      <w:r>
        <w:rPr>
          <w:rFonts w:hint="default" w:ascii="Times New Roman" w:hAnsi="Times New Roman" w:cs="Times New Roman"/>
          <w:sz w:val="28"/>
          <w:szCs w:val="28"/>
          <w:lang w:val="zh-CN"/>
        </w:rPr>
        <w:t>）矿山采掘施工必须委托具有采掘施工资质的单位进行，如有外包应与外包施工单位签订安全生产管理协议，明确非煤矿山企业是安全生产的责任主体，外包施工单位对承接工程负直接安全生产责任。</w:t>
      </w:r>
    </w:p>
    <w:p w14:paraId="3F6F9638">
      <w:pPr>
        <w:spacing w:line="360" w:lineRule="auto"/>
        <w:ind w:firstLine="560" w:firstLineChars="200"/>
        <w:rPr>
          <w:rFonts w:hint="default" w:ascii="Times New Roman" w:hAnsi="Times New Roman" w:cs="Times New Roman"/>
          <w:sz w:val="28"/>
          <w:szCs w:val="28"/>
          <w:lang w:val="zh-CN"/>
        </w:rPr>
      </w:pPr>
      <w:r>
        <w:rPr>
          <w:rFonts w:hint="default" w:ascii="Times New Roman" w:hAnsi="Times New Roman" w:cs="Times New Roman"/>
          <w:sz w:val="28"/>
          <w:szCs w:val="28"/>
        </w:rPr>
        <w:t>（7）</w:t>
      </w:r>
      <w:r>
        <w:rPr>
          <w:rFonts w:hint="default" w:ascii="Times New Roman" w:hAnsi="Times New Roman" w:cs="Times New Roman"/>
          <w:sz w:val="28"/>
          <w:szCs w:val="28"/>
          <w:lang w:val="en-GB"/>
        </w:rPr>
        <w:t>凡禁止跨越、禁止通行、禁止烟火的场所均应设置红色禁止标志；凡易发生坠落、触电伤人、机械伤害、主要交通道口等处均应设置黄色警告标志；所设各类安全标志应牢固、醒目、易于识别，真正起到应有警示作用。</w:t>
      </w:r>
    </w:p>
    <w:p w14:paraId="4178C0B2">
      <w:pPr>
        <w:spacing w:line="360" w:lineRule="auto"/>
        <w:ind w:firstLine="560" w:firstLineChars="200"/>
        <w:rPr>
          <w:rFonts w:hint="default" w:ascii="Times New Roman" w:hAnsi="Times New Roman" w:cs="Times New Roman"/>
          <w:sz w:val="28"/>
          <w:szCs w:val="28"/>
        </w:rPr>
      </w:pPr>
      <w:r>
        <w:rPr>
          <w:rFonts w:hint="default" w:ascii="Times New Roman" w:hAnsi="Times New Roman" w:cs="Times New Roman"/>
          <w:sz w:val="28"/>
          <w:szCs w:val="28"/>
          <w:lang w:val="zh-CN"/>
        </w:rPr>
        <w:t>（</w:t>
      </w:r>
      <w:r>
        <w:rPr>
          <w:rFonts w:hint="default" w:ascii="Times New Roman" w:hAnsi="Times New Roman" w:cs="Times New Roman"/>
          <w:sz w:val="28"/>
          <w:szCs w:val="28"/>
          <w:lang w:val="en-US" w:eastAsia="zh-CN"/>
        </w:rPr>
        <w:t>8</w:t>
      </w:r>
      <w:r>
        <w:rPr>
          <w:rFonts w:hint="default" w:ascii="Times New Roman" w:hAnsi="Times New Roman" w:cs="Times New Roman"/>
          <w:sz w:val="28"/>
          <w:szCs w:val="28"/>
          <w:lang w:val="zh-CN"/>
        </w:rPr>
        <w:t>）</w:t>
      </w:r>
      <w:r>
        <w:rPr>
          <w:rFonts w:hint="default" w:ascii="Times New Roman" w:hAnsi="Times New Roman" w:cs="Times New Roman"/>
          <w:sz w:val="28"/>
          <w:szCs w:val="28"/>
        </w:rPr>
        <w:t>矿山应当建立安全风险分级管控制度，按照安全风险分级采取相应的管控措施。</w:t>
      </w:r>
    </w:p>
    <w:p w14:paraId="5E2F172C">
      <w:pPr>
        <w:spacing w:line="360" w:lineRule="auto"/>
        <w:ind w:firstLine="560" w:firstLineChars="200"/>
        <w:rPr>
          <w:rFonts w:hint="default" w:ascii="Times New Roman" w:hAnsi="Times New Roman" w:cs="Times New Roman"/>
          <w:sz w:val="28"/>
          <w:szCs w:val="28"/>
        </w:rPr>
      </w:pPr>
    </w:p>
    <w:p w14:paraId="3C31CFA4">
      <w:pPr>
        <w:spacing w:line="360" w:lineRule="auto"/>
        <w:ind w:firstLine="560" w:firstLineChars="200"/>
        <w:rPr>
          <w:rFonts w:hint="default" w:ascii="Times New Roman" w:hAnsi="Times New Roman" w:cs="Times New Roman"/>
          <w:sz w:val="28"/>
          <w:szCs w:val="28"/>
        </w:rPr>
        <w:sectPr>
          <w:pgSz w:w="11905" w:h="16838"/>
          <w:pgMar w:top="1418" w:right="1134" w:bottom="1134" w:left="1588" w:header="850" w:footer="850" w:gutter="0"/>
          <w:cols w:space="720" w:num="1"/>
          <w:docGrid w:linePitch="332" w:charSpace="0"/>
        </w:sectPr>
      </w:pPr>
    </w:p>
    <w:p w14:paraId="284B3C81">
      <w:pPr>
        <w:pStyle w:val="2"/>
        <w:spacing w:before="0" w:after="0" w:line="360" w:lineRule="auto"/>
        <w:jc w:val="center"/>
        <w:rPr>
          <w:rFonts w:hint="default" w:ascii="Times New Roman" w:hAnsi="Times New Roman" w:eastAsia="黑体" w:cs="Times New Roman"/>
          <w:sz w:val="32"/>
          <w:szCs w:val="32"/>
        </w:rPr>
      </w:pPr>
      <w:bookmarkStart w:id="427" w:name="_Toc9886"/>
      <w:bookmarkStart w:id="428" w:name="_Toc12671"/>
      <w:bookmarkStart w:id="429" w:name="_Toc32414"/>
      <w:bookmarkStart w:id="430" w:name="_Toc15371"/>
      <w:bookmarkStart w:id="431" w:name="_Toc15816"/>
      <w:bookmarkStart w:id="432" w:name="_Toc26812"/>
      <w:r>
        <w:rPr>
          <w:rFonts w:hint="default" w:ascii="Times New Roman" w:hAnsi="Times New Roman" w:eastAsia="黑体" w:cs="Times New Roman"/>
          <w:sz w:val="32"/>
          <w:szCs w:val="32"/>
        </w:rPr>
        <w:t>5.评价结论</w:t>
      </w:r>
      <w:bookmarkEnd w:id="427"/>
      <w:bookmarkEnd w:id="428"/>
      <w:bookmarkEnd w:id="429"/>
      <w:bookmarkEnd w:id="430"/>
      <w:bookmarkEnd w:id="431"/>
      <w:bookmarkEnd w:id="432"/>
    </w:p>
    <w:p w14:paraId="22523883">
      <w:pPr>
        <w:pStyle w:val="3"/>
        <w:spacing w:before="0" w:after="0" w:line="360" w:lineRule="auto"/>
        <w:jc w:val="center"/>
        <w:rPr>
          <w:rFonts w:hint="default" w:ascii="Times New Roman" w:hAnsi="Times New Roman" w:eastAsia="黑体" w:cs="Times New Roman"/>
          <w:sz w:val="30"/>
          <w:szCs w:val="30"/>
        </w:rPr>
      </w:pPr>
      <w:bookmarkStart w:id="433" w:name="_Toc115120692"/>
      <w:bookmarkStart w:id="434" w:name="_Toc242849825"/>
      <w:bookmarkStart w:id="435" w:name="_Toc226963213"/>
      <w:bookmarkStart w:id="436" w:name="_Toc115120298"/>
      <w:bookmarkStart w:id="437" w:name="_Toc18950"/>
      <w:bookmarkStart w:id="438" w:name="_Toc28552"/>
      <w:bookmarkStart w:id="439" w:name="_Toc20705"/>
      <w:bookmarkStart w:id="440" w:name="_Toc28824"/>
      <w:bookmarkStart w:id="441" w:name="_Toc115141969"/>
      <w:bookmarkStart w:id="442" w:name="_Toc30044"/>
      <w:bookmarkStart w:id="443" w:name="_Toc30025"/>
      <w:r>
        <w:rPr>
          <w:rFonts w:hint="default" w:ascii="Times New Roman" w:hAnsi="Times New Roman" w:eastAsia="黑体" w:cs="Times New Roman"/>
          <w:sz w:val="30"/>
          <w:szCs w:val="30"/>
        </w:rPr>
        <w:t>5.1主要危险、有害因素评价结果</w:t>
      </w:r>
      <w:bookmarkEnd w:id="433"/>
      <w:bookmarkEnd w:id="434"/>
      <w:bookmarkEnd w:id="435"/>
      <w:bookmarkEnd w:id="436"/>
      <w:bookmarkEnd w:id="437"/>
      <w:bookmarkEnd w:id="438"/>
      <w:bookmarkEnd w:id="439"/>
      <w:bookmarkEnd w:id="440"/>
      <w:bookmarkEnd w:id="441"/>
      <w:bookmarkEnd w:id="442"/>
      <w:bookmarkEnd w:id="443"/>
    </w:p>
    <w:p w14:paraId="557DC06A">
      <w:pPr>
        <w:pStyle w:val="4"/>
        <w:spacing w:before="0" w:after="0" w:line="360" w:lineRule="auto"/>
        <w:ind w:firstLine="562" w:firstLineChars="200"/>
        <w:rPr>
          <w:rFonts w:hint="default" w:ascii="Times New Roman" w:hAnsi="Times New Roman" w:cs="Times New Roman"/>
          <w:sz w:val="28"/>
          <w:szCs w:val="28"/>
        </w:rPr>
      </w:pPr>
      <w:bookmarkStart w:id="444" w:name="_Toc226963214"/>
      <w:bookmarkStart w:id="445" w:name="_Toc242849826"/>
      <w:bookmarkStart w:id="446" w:name="_Toc5379"/>
      <w:bookmarkStart w:id="447" w:name="_Toc115120693"/>
      <w:bookmarkStart w:id="448" w:name="_Toc115120299"/>
      <w:bookmarkStart w:id="449" w:name="_Toc115141970"/>
      <w:bookmarkStart w:id="450" w:name="_Toc954"/>
      <w:bookmarkStart w:id="451" w:name="_Toc14320"/>
      <w:bookmarkStart w:id="452" w:name="_Toc27398"/>
      <w:r>
        <w:rPr>
          <w:rFonts w:hint="default" w:ascii="Times New Roman" w:hAnsi="Times New Roman" w:cs="Times New Roman"/>
          <w:sz w:val="28"/>
          <w:szCs w:val="28"/>
        </w:rPr>
        <w:t>5.1.1该项目存在的主要危险、有害因素</w:t>
      </w:r>
      <w:bookmarkEnd w:id="444"/>
      <w:bookmarkEnd w:id="445"/>
      <w:bookmarkEnd w:id="446"/>
      <w:bookmarkEnd w:id="447"/>
      <w:bookmarkEnd w:id="448"/>
      <w:bookmarkEnd w:id="449"/>
      <w:bookmarkEnd w:id="450"/>
      <w:bookmarkEnd w:id="451"/>
      <w:bookmarkEnd w:id="452"/>
    </w:p>
    <w:p w14:paraId="4FBAD8C0">
      <w:pPr>
        <w:spacing w:line="360" w:lineRule="auto"/>
        <w:ind w:firstLine="560" w:firstLineChars="200"/>
        <w:rPr>
          <w:rFonts w:hint="default" w:ascii="Times New Roman" w:hAnsi="Times New Roman" w:cs="Times New Roman"/>
          <w:sz w:val="28"/>
          <w:szCs w:val="28"/>
        </w:rPr>
      </w:pPr>
      <w:r>
        <w:rPr>
          <w:rFonts w:hint="default" w:ascii="Times New Roman" w:hAnsi="Times New Roman" w:cs="Times New Roman"/>
          <w:sz w:val="28"/>
          <w:szCs w:val="28"/>
        </w:rPr>
        <w:t>该项目存在的主要危险、有害因素为：</w:t>
      </w:r>
      <w:r>
        <w:rPr>
          <w:rFonts w:hint="default" w:ascii="Times New Roman" w:hAnsi="Times New Roman" w:cs="Times New Roman"/>
          <w:sz w:val="28"/>
          <w:szCs w:val="28"/>
          <w:lang w:val="en-GB"/>
        </w:rPr>
        <w:t>坍塌、滑坡、滚石、泥石流、高处坠落、物体打击、机械伤害、车辆伤害、火灾、</w:t>
      </w:r>
      <w:r>
        <w:rPr>
          <w:rFonts w:hint="default" w:ascii="Times New Roman" w:hAnsi="Times New Roman" w:cs="Times New Roman"/>
          <w:sz w:val="28"/>
          <w:szCs w:val="28"/>
        </w:rPr>
        <w:t>水害</w:t>
      </w:r>
      <w:r>
        <w:rPr>
          <w:rFonts w:hint="default" w:ascii="Times New Roman" w:hAnsi="Times New Roman" w:cs="Times New Roman"/>
          <w:sz w:val="28"/>
          <w:szCs w:val="28"/>
          <w:lang w:val="en-GB"/>
        </w:rPr>
        <w:t>、触电、其他伤害等</w:t>
      </w:r>
      <w:r>
        <w:rPr>
          <w:rFonts w:hint="default" w:ascii="Times New Roman" w:hAnsi="Times New Roman" w:cs="Times New Roman"/>
          <w:sz w:val="28"/>
          <w:szCs w:val="28"/>
        </w:rPr>
        <w:t>。</w:t>
      </w:r>
    </w:p>
    <w:p w14:paraId="64303C45">
      <w:pPr>
        <w:pStyle w:val="4"/>
        <w:spacing w:before="0" w:after="0" w:line="360" w:lineRule="auto"/>
        <w:ind w:firstLine="562" w:firstLineChars="200"/>
        <w:rPr>
          <w:rFonts w:hint="default" w:ascii="Times New Roman" w:hAnsi="Times New Roman" w:cs="Times New Roman"/>
          <w:sz w:val="28"/>
          <w:szCs w:val="28"/>
        </w:rPr>
      </w:pPr>
      <w:bookmarkStart w:id="453" w:name="_Toc115141971"/>
      <w:bookmarkStart w:id="454" w:name="_Toc18959"/>
      <w:bookmarkStart w:id="455" w:name="_Toc15733"/>
      <w:bookmarkStart w:id="456" w:name="_Toc226963215"/>
      <w:bookmarkStart w:id="457" w:name="_Toc115120694"/>
      <w:bookmarkStart w:id="458" w:name="_Toc32333"/>
      <w:bookmarkStart w:id="459" w:name="_Toc115120300"/>
      <w:bookmarkStart w:id="460" w:name="_Toc1392"/>
      <w:bookmarkStart w:id="461" w:name="_Toc242849827"/>
      <w:r>
        <w:rPr>
          <w:rFonts w:hint="default" w:ascii="Times New Roman" w:hAnsi="Times New Roman" w:cs="Times New Roman"/>
          <w:sz w:val="28"/>
          <w:szCs w:val="28"/>
        </w:rPr>
        <w:t>5.1.2该项目存在的主要危险、有害因素存在的部位</w:t>
      </w:r>
      <w:bookmarkEnd w:id="453"/>
      <w:bookmarkEnd w:id="454"/>
      <w:bookmarkEnd w:id="455"/>
      <w:bookmarkEnd w:id="456"/>
      <w:bookmarkEnd w:id="457"/>
      <w:bookmarkEnd w:id="458"/>
      <w:bookmarkEnd w:id="459"/>
      <w:bookmarkEnd w:id="460"/>
      <w:bookmarkEnd w:id="461"/>
    </w:p>
    <w:p w14:paraId="03A5FA9B">
      <w:pPr>
        <w:autoSpaceDE w:val="0"/>
        <w:autoSpaceDN w:val="0"/>
        <w:ind w:firstLine="480" w:firstLineChars="200"/>
        <w:jc w:val="center"/>
        <w:rPr>
          <w:rFonts w:hint="default" w:ascii="Times New Roman" w:hAnsi="Times New Roman" w:eastAsia="PMingLiU" w:cs="Times New Roman"/>
          <w:bCs/>
          <w:kern w:val="0"/>
          <w:sz w:val="24"/>
          <w:lang w:eastAsia="zh-TW"/>
        </w:rPr>
      </w:pPr>
      <w:r>
        <w:rPr>
          <w:rFonts w:hint="default" w:ascii="Times New Roman" w:hAnsi="Times New Roman" w:cs="Times New Roman"/>
          <w:bCs/>
          <w:kern w:val="0"/>
          <w:sz w:val="24"/>
          <w:lang w:eastAsia="zh-TW"/>
        </w:rPr>
        <w:t>表</w:t>
      </w:r>
      <w:r>
        <w:rPr>
          <w:rFonts w:hint="default" w:ascii="Times New Roman" w:hAnsi="Times New Roman" w:cs="Times New Roman"/>
          <w:bCs/>
          <w:kern w:val="0"/>
          <w:sz w:val="24"/>
        </w:rPr>
        <w:t>5.1</w:t>
      </w:r>
      <w:r>
        <w:rPr>
          <w:rFonts w:hint="default" w:ascii="Times New Roman" w:hAnsi="Times New Roman" w:cs="Times New Roman"/>
          <w:bCs/>
          <w:kern w:val="0"/>
          <w:sz w:val="24"/>
          <w:lang w:eastAsia="zh-TW"/>
        </w:rPr>
        <w:t xml:space="preserve">-1 </w:t>
      </w:r>
      <w:r>
        <w:rPr>
          <w:rFonts w:hint="default" w:ascii="Times New Roman" w:hAnsi="Times New Roman" w:cs="Times New Roman"/>
          <w:bCs/>
          <w:kern w:val="0"/>
          <w:sz w:val="24"/>
        </w:rPr>
        <w:t xml:space="preserve"> </w:t>
      </w:r>
      <w:r>
        <w:rPr>
          <w:rFonts w:hint="default" w:ascii="Times New Roman" w:hAnsi="Times New Roman" w:cs="Times New Roman"/>
          <w:bCs/>
          <w:kern w:val="0"/>
          <w:sz w:val="24"/>
          <w:lang w:eastAsia="zh-TW"/>
        </w:rPr>
        <w:t>矿山</w:t>
      </w:r>
      <w:r>
        <w:rPr>
          <w:rFonts w:hint="default" w:ascii="Times New Roman" w:hAnsi="Times New Roman" w:cs="Times New Roman"/>
          <w:bCs/>
          <w:kern w:val="0"/>
          <w:sz w:val="24"/>
        </w:rPr>
        <w:t>主要</w:t>
      </w:r>
      <w:r>
        <w:rPr>
          <w:rFonts w:hint="default" w:ascii="Times New Roman" w:hAnsi="Times New Roman" w:cs="Times New Roman"/>
          <w:bCs/>
          <w:kern w:val="0"/>
          <w:sz w:val="24"/>
          <w:lang w:eastAsia="zh-TW"/>
        </w:rPr>
        <w:t>存在</w:t>
      </w:r>
      <w:r>
        <w:rPr>
          <w:rFonts w:hint="default" w:ascii="Times New Roman" w:hAnsi="Times New Roman" w:cs="Times New Roman"/>
          <w:bCs/>
          <w:kern w:val="0"/>
          <w:sz w:val="24"/>
        </w:rPr>
        <w:t>的</w:t>
      </w:r>
      <w:r>
        <w:rPr>
          <w:rFonts w:hint="default" w:ascii="Times New Roman" w:hAnsi="Times New Roman" w:cs="Times New Roman"/>
          <w:bCs/>
          <w:kern w:val="0"/>
          <w:sz w:val="24"/>
          <w:lang w:eastAsia="zh-TW"/>
        </w:rPr>
        <w:t>危险</w:t>
      </w:r>
      <w:r>
        <w:rPr>
          <w:rFonts w:hint="default" w:ascii="Times New Roman" w:hAnsi="Times New Roman" w:cs="Times New Roman"/>
          <w:bCs/>
          <w:kern w:val="0"/>
          <w:sz w:val="24"/>
        </w:rPr>
        <w:t>、</w:t>
      </w:r>
      <w:r>
        <w:rPr>
          <w:rFonts w:hint="default" w:ascii="Times New Roman" w:hAnsi="Times New Roman" w:cs="Times New Roman"/>
          <w:bCs/>
          <w:kern w:val="0"/>
          <w:sz w:val="24"/>
          <w:lang w:eastAsia="zh-TW"/>
        </w:rPr>
        <w:t>有害因素分布表</w:t>
      </w:r>
    </w:p>
    <w:tbl>
      <w:tblPr>
        <w:tblStyle w:val="30"/>
        <w:tblW w:w="5000" w:type="pct"/>
        <w:jc w:val="center"/>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128"/>
        <w:gridCol w:w="677"/>
        <w:gridCol w:w="2774"/>
        <w:gridCol w:w="2764"/>
        <w:gridCol w:w="2056"/>
      </w:tblGrid>
      <w:tr w14:paraId="554902CC">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67" w:hRule="atLeast"/>
          <w:tblHeader/>
          <w:jc w:val="center"/>
        </w:trPr>
        <w:tc>
          <w:tcPr>
            <w:tcW w:w="600" w:type="pct"/>
            <w:tcBorders>
              <w:left w:val="single" w:color="auto" w:sz="4" w:space="0"/>
            </w:tcBorders>
            <w:noWrap w:val="0"/>
            <w:vAlign w:val="center"/>
          </w:tcPr>
          <w:p w14:paraId="13042B24">
            <w:pPr>
              <w:jc w:val="center"/>
              <w:rPr>
                <w:rFonts w:hint="default" w:ascii="Times New Roman" w:hAnsi="Times New Roman" w:cs="Times New Roman"/>
                <w:b/>
                <w:bCs/>
                <w:szCs w:val="21"/>
              </w:rPr>
            </w:pPr>
            <w:r>
              <w:rPr>
                <w:rFonts w:hint="default" w:ascii="Times New Roman" w:hAnsi="Times New Roman" w:cs="Times New Roman"/>
                <w:b/>
                <w:bCs/>
                <w:szCs w:val="21"/>
              </w:rPr>
              <w:t>项目</w:t>
            </w:r>
          </w:p>
        </w:tc>
        <w:tc>
          <w:tcPr>
            <w:tcW w:w="360" w:type="pct"/>
            <w:noWrap w:val="0"/>
            <w:vAlign w:val="center"/>
          </w:tcPr>
          <w:p w14:paraId="6603A6A9">
            <w:pPr>
              <w:jc w:val="center"/>
              <w:rPr>
                <w:rFonts w:hint="default" w:ascii="Times New Roman" w:hAnsi="Times New Roman" w:cs="Times New Roman"/>
                <w:b/>
                <w:bCs/>
                <w:szCs w:val="21"/>
              </w:rPr>
            </w:pPr>
            <w:r>
              <w:rPr>
                <w:rFonts w:hint="default" w:ascii="Times New Roman" w:hAnsi="Times New Roman" w:cs="Times New Roman"/>
                <w:b/>
                <w:bCs/>
                <w:szCs w:val="21"/>
              </w:rPr>
              <w:t>序号</w:t>
            </w:r>
          </w:p>
        </w:tc>
        <w:tc>
          <w:tcPr>
            <w:tcW w:w="1475" w:type="pct"/>
            <w:noWrap w:val="0"/>
            <w:vAlign w:val="center"/>
          </w:tcPr>
          <w:p w14:paraId="59D6609B">
            <w:pPr>
              <w:jc w:val="center"/>
              <w:rPr>
                <w:rFonts w:hint="default" w:ascii="Times New Roman" w:hAnsi="Times New Roman" w:cs="Times New Roman"/>
                <w:b/>
                <w:bCs/>
                <w:szCs w:val="21"/>
              </w:rPr>
            </w:pPr>
            <w:r>
              <w:rPr>
                <w:rFonts w:hint="default" w:ascii="Times New Roman" w:hAnsi="Times New Roman" w:cs="Times New Roman"/>
                <w:b/>
                <w:bCs/>
                <w:szCs w:val="21"/>
              </w:rPr>
              <w:t>危险因素分类</w:t>
            </w:r>
          </w:p>
        </w:tc>
        <w:tc>
          <w:tcPr>
            <w:tcW w:w="1470" w:type="pct"/>
            <w:tcBorders>
              <w:right w:val="single" w:color="auto" w:sz="4" w:space="0"/>
            </w:tcBorders>
            <w:noWrap w:val="0"/>
            <w:vAlign w:val="center"/>
          </w:tcPr>
          <w:p w14:paraId="486D8F9D">
            <w:pPr>
              <w:jc w:val="center"/>
              <w:rPr>
                <w:rFonts w:hint="default" w:ascii="Times New Roman" w:hAnsi="Times New Roman" w:cs="Times New Roman"/>
                <w:b/>
                <w:bCs/>
                <w:szCs w:val="21"/>
              </w:rPr>
            </w:pPr>
            <w:r>
              <w:rPr>
                <w:rFonts w:hint="default" w:ascii="Times New Roman" w:hAnsi="Times New Roman" w:cs="Times New Roman"/>
                <w:b/>
                <w:bCs/>
                <w:szCs w:val="21"/>
              </w:rPr>
              <w:t>可能存在部位</w:t>
            </w:r>
          </w:p>
        </w:tc>
        <w:tc>
          <w:tcPr>
            <w:tcW w:w="1093" w:type="pct"/>
            <w:tcBorders>
              <w:right w:val="single" w:color="auto" w:sz="4" w:space="0"/>
            </w:tcBorders>
            <w:noWrap w:val="0"/>
            <w:vAlign w:val="center"/>
          </w:tcPr>
          <w:p w14:paraId="3AF32FD4">
            <w:pPr>
              <w:jc w:val="center"/>
              <w:rPr>
                <w:rFonts w:hint="default" w:ascii="Times New Roman" w:hAnsi="Times New Roman" w:cs="Times New Roman"/>
                <w:b/>
                <w:bCs/>
                <w:szCs w:val="21"/>
              </w:rPr>
            </w:pPr>
            <w:r>
              <w:rPr>
                <w:rFonts w:hint="default" w:ascii="Times New Roman" w:hAnsi="Times New Roman" w:cs="Times New Roman"/>
                <w:b/>
                <w:bCs/>
                <w:szCs w:val="21"/>
              </w:rPr>
              <w:t>可能造成的后果</w:t>
            </w:r>
          </w:p>
        </w:tc>
      </w:tr>
      <w:tr w14:paraId="360872EF">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600" w:type="pct"/>
            <w:vMerge w:val="restart"/>
            <w:tcBorders>
              <w:left w:val="single" w:color="auto" w:sz="4" w:space="0"/>
            </w:tcBorders>
            <w:noWrap w:val="0"/>
            <w:vAlign w:val="center"/>
          </w:tcPr>
          <w:p w14:paraId="28940919">
            <w:pPr>
              <w:jc w:val="center"/>
              <w:rPr>
                <w:rFonts w:hint="default" w:ascii="Times New Roman" w:hAnsi="Times New Roman" w:cs="Times New Roman"/>
                <w:szCs w:val="21"/>
              </w:rPr>
            </w:pPr>
            <w:r>
              <w:rPr>
                <w:rFonts w:hint="default" w:ascii="Times New Roman" w:hAnsi="Times New Roman" w:cs="Times New Roman"/>
                <w:szCs w:val="21"/>
              </w:rPr>
              <w:t>危险因素</w:t>
            </w:r>
          </w:p>
        </w:tc>
        <w:tc>
          <w:tcPr>
            <w:tcW w:w="360" w:type="pct"/>
            <w:noWrap w:val="0"/>
            <w:vAlign w:val="center"/>
          </w:tcPr>
          <w:p w14:paraId="2432A13A">
            <w:pPr>
              <w:jc w:val="center"/>
              <w:rPr>
                <w:rFonts w:hint="default" w:ascii="Times New Roman" w:hAnsi="Times New Roman" w:cs="Times New Roman"/>
                <w:szCs w:val="21"/>
              </w:rPr>
            </w:pPr>
            <w:r>
              <w:rPr>
                <w:rFonts w:hint="default" w:ascii="Times New Roman" w:hAnsi="Times New Roman" w:cs="Times New Roman"/>
                <w:szCs w:val="21"/>
              </w:rPr>
              <w:t>1</w:t>
            </w:r>
          </w:p>
        </w:tc>
        <w:tc>
          <w:tcPr>
            <w:tcW w:w="1475" w:type="pct"/>
            <w:noWrap w:val="0"/>
            <w:vAlign w:val="center"/>
          </w:tcPr>
          <w:p w14:paraId="03D0AF18">
            <w:pPr>
              <w:jc w:val="center"/>
              <w:rPr>
                <w:rFonts w:hint="default" w:ascii="Times New Roman" w:hAnsi="Times New Roman" w:cs="Times New Roman"/>
                <w:szCs w:val="21"/>
              </w:rPr>
            </w:pPr>
            <w:r>
              <w:rPr>
                <w:rFonts w:hint="default" w:ascii="Times New Roman" w:hAnsi="Times New Roman" w:cs="Times New Roman"/>
                <w:szCs w:val="21"/>
              </w:rPr>
              <w:t>滚石、边坡失稳、滑坡、泥石流、水害</w:t>
            </w:r>
          </w:p>
        </w:tc>
        <w:tc>
          <w:tcPr>
            <w:tcW w:w="1470" w:type="pct"/>
            <w:tcBorders>
              <w:right w:val="single" w:color="auto" w:sz="4" w:space="0"/>
            </w:tcBorders>
            <w:noWrap w:val="0"/>
            <w:vAlign w:val="center"/>
          </w:tcPr>
          <w:p w14:paraId="478CFD3C">
            <w:pPr>
              <w:jc w:val="center"/>
              <w:rPr>
                <w:rFonts w:hint="default" w:ascii="Times New Roman" w:hAnsi="Times New Roman" w:eastAsia="宋体" w:cs="Times New Roman"/>
                <w:szCs w:val="21"/>
                <w:lang w:val="en-US" w:eastAsia="zh-CN"/>
              </w:rPr>
            </w:pPr>
            <w:r>
              <w:rPr>
                <w:rFonts w:hint="default" w:ascii="Times New Roman" w:hAnsi="Times New Roman" w:cs="Times New Roman"/>
                <w:szCs w:val="21"/>
              </w:rPr>
              <w:t>采场边坡</w:t>
            </w:r>
            <w:r>
              <w:rPr>
                <w:rFonts w:hint="default" w:ascii="Times New Roman" w:hAnsi="Times New Roman" w:cs="Times New Roman"/>
                <w:szCs w:val="21"/>
                <w:lang w:eastAsia="zh-CN"/>
              </w:rPr>
              <w:t>、</w:t>
            </w:r>
            <w:r>
              <w:rPr>
                <w:rFonts w:hint="default" w:ascii="Times New Roman" w:hAnsi="Times New Roman" w:cs="Times New Roman"/>
                <w:szCs w:val="21"/>
                <w:lang w:val="en-US" w:eastAsia="zh-CN"/>
              </w:rPr>
              <w:t>破碎站</w:t>
            </w:r>
          </w:p>
        </w:tc>
        <w:tc>
          <w:tcPr>
            <w:tcW w:w="1093" w:type="pct"/>
            <w:tcBorders>
              <w:right w:val="single" w:color="auto" w:sz="4" w:space="0"/>
            </w:tcBorders>
            <w:noWrap w:val="0"/>
            <w:vAlign w:val="center"/>
          </w:tcPr>
          <w:p w14:paraId="4C552952">
            <w:pPr>
              <w:jc w:val="center"/>
              <w:rPr>
                <w:rFonts w:hint="default" w:ascii="Times New Roman" w:hAnsi="Times New Roman" w:cs="Times New Roman"/>
                <w:szCs w:val="21"/>
              </w:rPr>
            </w:pPr>
            <w:r>
              <w:rPr>
                <w:rFonts w:hint="default" w:ascii="Times New Roman" w:hAnsi="Times New Roman" w:cs="Times New Roman"/>
                <w:szCs w:val="21"/>
              </w:rPr>
              <w:t>人员伤亡</w:t>
            </w:r>
          </w:p>
        </w:tc>
      </w:tr>
      <w:tr w14:paraId="729C316B">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600" w:type="pct"/>
            <w:vMerge w:val="continue"/>
            <w:tcBorders>
              <w:left w:val="single" w:color="auto" w:sz="4" w:space="0"/>
            </w:tcBorders>
            <w:noWrap w:val="0"/>
            <w:vAlign w:val="center"/>
          </w:tcPr>
          <w:p w14:paraId="6643F6C4">
            <w:pPr>
              <w:jc w:val="center"/>
              <w:rPr>
                <w:rFonts w:hint="default" w:ascii="Times New Roman" w:hAnsi="Times New Roman" w:cs="Times New Roman"/>
                <w:szCs w:val="21"/>
              </w:rPr>
            </w:pPr>
          </w:p>
        </w:tc>
        <w:tc>
          <w:tcPr>
            <w:tcW w:w="360" w:type="pct"/>
            <w:noWrap w:val="0"/>
            <w:vAlign w:val="center"/>
          </w:tcPr>
          <w:p w14:paraId="7C07A6C1">
            <w:pPr>
              <w:jc w:val="center"/>
              <w:rPr>
                <w:rFonts w:hint="default" w:ascii="Times New Roman" w:hAnsi="Times New Roman" w:cs="Times New Roman"/>
                <w:szCs w:val="21"/>
              </w:rPr>
            </w:pPr>
            <w:r>
              <w:rPr>
                <w:rFonts w:hint="default" w:ascii="Times New Roman" w:hAnsi="Times New Roman" w:cs="Times New Roman"/>
                <w:szCs w:val="21"/>
              </w:rPr>
              <w:t>2</w:t>
            </w:r>
          </w:p>
        </w:tc>
        <w:tc>
          <w:tcPr>
            <w:tcW w:w="1475" w:type="pct"/>
            <w:shd w:val="clear" w:color="auto" w:fill="auto"/>
            <w:noWrap w:val="0"/>
            <w:vAlign w:val="center"/>
          </w:tcPr>
          <w:p w14:paraId="19E7F51E">
            <w:pPr>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Cs w:val="21"/>
              </w:rPr>
              <w:t>物体打击</w:t>
            </w:r>
          </w:p>
        </w:tc>
        <w:tc>
          <w:tcPr>
            <w:tcW w:w="1470" w:type="pct"/>
            <w:tcBorders>
              <w:right w:val="single" w:color="auto" w:sz="4" w:space="0"/>
            </w:tcBorders>
            <w:shd w:val="clear" w:color="auto" w:fill="auto"/>
            <w:noWrap w:val="0"/>
            <w:vAlign w:val="center"/>
          </w:tcPr>
          <w:p w14:paraId="3154EC67">
            <w:pPr>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Cs w:val="21"/>
              </w:rPr>
              <w:t>采场矿废石搬运、铲装作业工作面</w:t>
            </w:r>
            <w:r>
              <w:rPr>
                <w:rFonts w:hint="default" w:ascii="Times New Roman" w:hAnsi="Times New Roman" w:cs="Times New Roman"/>
                <w:szCs w:val="21"/>
                <w:lang w:eastAsia="zh-CN"/>
              </w:rPr>
              <w:t>、</w:t>
            </w:r>
            <w:r>
              <w:rPr>
                <w:rFonts w:hint="default" w:ascii="Times New Roman" w:hAnsi="Times New Roman" w:cs="Times New Roman"/>
                <w:color w:val="auto"/>
              </w:rPr>
              <w:t>破碎系统等</w:t>
            </w:r>
          </w:p>
        </w:tc>
        <w:tc>
          <w:tcPr>
            <w:tcW w:w="1093" w:type="pct"/>
            <w:tcBorders>
              <w:right w:val="single" w:color="auto" w:sz="4" w:space="0"/>
            </w:tcBorders>
            <w:shd w:val="clear" w:color="auto" w:fill="auto"/>
            <w:noWrap w:val="0"/>
            <w:vAlign w:val="center"/>
          </w:tcPr>
          <w:p w14:paraId="262F39B3">
            <w:pPr>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Cs w:val="21"/>
              </w:rPr>
              <w:t>人员伤亡</w:t>
            </w:r>
          </w:p>
        </w:tc>
      </w:tr>
      <w:tr w14:paraId="4B03DFAB">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600" w:type="pct"/>
            <w:vMerge w:val="continue"/>
            <w:tcBorders>
              <w:left w:val="single" w:color="auto" w:sz="4" w:space="0"/>
            </w:tcBorders>
            <w:noWrap w:val="0"/>
            <w:vAlign w:val="center"/>
          </w:tcPr>
          <w:p w14:paraId="10617ED8">
            <w:pPr>
              <w:jc w:val="center"/>
              <w:rPr>
                <w:rFonts w:hint="default" w:ascii="Times New Roman" w:hAnsi="Times New Roman" w:cs="Times New Roman"/>
                <w:szCs w:val="21"/>
              </w:rPr>
            </w:pPr>
          </w:p>
        </w:tc>
        <w:tc>
          <w:tcPr>
            <w:tcW w:w="360" w:type="pct"/>
            <w:noWrap w:val="0"/>
            <w:vAlign w:val="center"/>
          </w:tcPr>
          <w:p w14:paraId="71D6CE93">
            <w:pPr>
              <w:jc w:val="center"/>
              <w:rPr>
                <w:rFonts w:hint="default" w:ascii="Times New Roman" w:hAnsi="Times New Roman" w:cs="Times New Roman"/>
                <w:szCs w:val="21"/>
              </w:rPr>
            </w:pPr>
            <w:r>
              <w:rPr>
                <w:rFonts w:hint="default" w:ascii="Times New Roman" w:hAnsi="Times New Roman" w:cs="Times New Roman"/>
                <w:szCs w:val="21"/>
              </w:rPr>
              <w:t>3</w:t>
            </w:r>
          </w:p>
        </w:tc>
        <w:tc>
          <w:tcPr>
            <w:tcW w:w="1475" w:type="pct"/>
            <w:shd w:val="clear" w:color="auto" w:fill="auto"/>
            <w:noWrap w:val="0"/>
            <w:vAlign w:val="center"/>
          </w:tcPr>
          <w:p w14:paraId="622DDD2E">
            <w:pPr>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Cs w:val="21"/>
              </w:rPr>
              <w:t>高处坠落</w:t>
            </w:r>
          </w:p>
        </w:tc>
        <w:tc>
          <w:tcPr>
            <w:tcW w:w="1470" w:type="pct"/>
            <w:tcBorders>
              <w:right w:val="single" w:color="auto" w:sz="4" w:space="0"/>
            </w:tcBorders>
            <w:shd w:val="clear" w:color="auto" w:fill="auto"/>
            <w:noWrap w:val="0"/>
            <w:vAlign w:val="center"/>
          </w:tcPr>
          <w:p w14:paraId="56AC96E0">
            <w:pPr>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Cs w:val="21"/>
              </w:rPr>
              <w:t>采场边坡、采矿过程中</w:t>
            </w:r>
            <w:r>
              <w:rPr>
                <w:rFonts w:hint="default" w:ascii="Times New Roman" w:hAnsi="Times New Roman" w:cs="Times New Roman"/>
                <w:szCs w:val="21"/>
                <w:lang w:val="en-US" w:eastAsia="zh-CN"/>
              </w:rPr>
              <w:t>及破碎系统中</w:t>
            </w:r>
            <w:r>
              <w:rPr>
                <w:rFonts w:hint="default" w:ascii="Times New Roman" w:hAnsi="Times New Roman" w:cs="Times New Roman"/>
                <w:szCs w:val="21"/>
              </w:rPr>
              <w:t>2m及以上的作业平台等</w:t>
            </w:r>
          </w:p>
        </w:tc>
        <w:tc>
          <w:tcPr>
            <w:tcW w:w="1093" w:type="pct"/>
            <w:tcBorders>
              <w:right w:val="single" w:color="auto" w:sz="4" w:space="0"/>
            </w:tcBorders>
            <w:shd w:val="clear" w:color="auto" w:fill="auto"/>
            <w:noWrap w:val="0"/>
            <w:vAlign w:val="center"/>
          </w:tcPr>
          <w:p w14:paraId="64BCFBB2">
            <w:pPr>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Cs w:val="21"/>
              </w:rPr>
              <w:t>人员伤亡</w:t>
            </w:r>
          </w:p>
        </w:tc>
      </w:tr>
      <w:tr w14:paraId="65058C01">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600" w:type="pct"/>
            <w:vMerge w:val="continue"/>
            <w:tcBorders>
              <w:left w:val="single" w:color="auto" w:sz="4" w:space="0"/>
            </w:tcBorders>
            <w:noWrap w:val="0"/>
            <w:vAlign w:val="center"/>
          </w:tcPr>
          <w:p w14:paraId="532639AC">
            <w:pPr>
              <w:jc w:val="center"/>
              <w:rPr>
                <w:rFonts w:hint="default" w:ascii="Times New Roman" w:hAnsi="Times New Roman" w:cs="Times New Roman"/>
                <w:szCs w:val="21"/>
              </w:rPr>
            </w:pPr>
          </w:p>
        </w:tc>
        <w:tc>
          <w:tcPr>
            <w:tcW w:w="360" w:type="pct"/>
            <w:noWrap w:val="0"/>
            <w:vAlign w:val="center"/>
          </w:tcPr>
          <w:p w14:paraId="18919A40">
            <w:pPr>
              <w:jc w:val="center"/>
              <w:rPr>
                <w:rFonts w:hint="default" w:ascii="Times New Roman" w:hAnsi="Times New Roman" w:cs="Times New Roman"/>
                <w:szCs w:val="21"/>
              </w:rPr>
            </w:pPr>
            <w:r>
              <w:rPr>
                <w:rFonts w:hint="default" w:ascii="Times New Roman" w:hAnsi="Times New Roman" w:cs="Times New Roman"/>
                <w:szCs w:val="21"/>
              </w:rPr>
              <w:t>4</w:t>
            </w:r>
          </w:p>
        </w:tc>
        <w:tc>
          <w:tcPr>
            <w:tcW w:w="1475" w:type="pct"/>
            <w:shd w:val="clear" w:color="auto" w:fill="auto"/>
            <w:noWrap w:val="0"/>
            <w:vAlign w:val="center"/>
          </w:tcPr>
          <w:p w14:paraId="43008F0A">
            <w:pPr>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Cs w:val="21"/>
              </w:rPr>
              <w:t>车辆伤害</w:t>
            </w:r>
          </w:p>
        </w:tc>
        <w:tc>
          <w:tcPr>
            <w:tcW w:w="1470" w:type="pct"/>
            <w:tcBorders>
              <w:right w:val="single" w:color="auto" w:sz="4" w:space="0"/>
            </w:tcBorders>
            <w:shd w:val="clear" w:color="auto" w:fill="auto"/>
            <w:noWrap w:val="0"/>
            <w:vAlign w:val="center"/>
          </w:tcPr>
          <w:p w14:paraId="65CA5032">
            <w:pPr>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Cs w:val="21"/>
              </w:rPr>
              <w:t>运输过程中的各种车辆设备</w:t>
            </w:r>
          </w:p>
        </w:tc>
        <w:tc>
          <w:tcPr>
            <w:tcW w:w="1093" w:type="pct"/>
            <w:tcBorders>
              <w:right w:val="single" w:color="auto" w:sz="4" w:space="0"/>
            </w:tcBorders>
            <w:shd w:val="clear" w:color="auto" w:fill="auto"/>
            <w:noWrap w:val="0"/>
            <w:vAlign w:val="center"/>
          </w:tcPr>
          <w:p w14:paraId="1FE2BCE1">
            <w:pPr>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Cs w:val="21"/>
              </w:rPr>
              <w:t>人员伤亡</w:t>
            </w:r>
          </w:p>
        </w:tc>
      </w:tr>
      <w:tr w14:paraId="3CB6B2B1">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600" w:type="pct"/>
            <w:vMerge w:val="continue"/>
            <w:tcBorders>
              <w:left w:val="single" w:color="auto" w:sz="4" w:space="0"/>
            </w:tcBorders>
            <w:noWrap w:val="0"/>
            <w:vAlign w:val="center"/>
          </w:tcPr>
          <w:p w14:paraId="0B74BB72">
            <w:pPr>
              <w:jc w:val="center"/>
              <w:rPr>
                <w:rFonts w:hint="default" w:ascii="Times New Roman" w:hAnsi="Times New Roman" w:cs="Times New Roman"/>
                <w:szCs w:val="21"/>
              </w:rPr>
            </w:pPr>
          </w:p>
        </w:tc>
        <w:tc>
          <w:tcPr>
            <w:tcW w:w="360" w:type="pct"/>
            <w:noWrap w:val="0"/>
            <w:vAlign w:val="center"/>
          </w:tcPr>
          <w:p w14:paraId="68C920A1">
            <w:pPr>
              <w:jc w:val="center"/>
              <w:rPr>
                <w:rFonts w:hint="default" w:ascii="Times New Roman" w:hAnsi="Times New Roman" w:cs="Times New Roman"/>
                <w:szCs w:val="21"/>
              </w:rPr>
            </w:pPr>
            <w:r>
              <w:rPr>
                <w:rFonts w:hint="default" w:ascii="Times New Roman" w:hAnsi="Times New Roman" w:cs="Times New Roman"/>
                <w:szCs w:val="21"/>
              </w:rPr>
              <w:t>5</w:t>
            </w:r>
          </w:p>
        </w:tc>
        <w:tc>
          <w:tcPr>
            <w:tcW w:w="1475" w:type="pct"/>
            <w:shd w:val="clear" w:color="auto" w:fill="auto"/>
            <w:noWrap w:val="0"/>
            <w:vAlign w:val="center"/>
          </w:tcPr>
          <w:p w14:paraId="04AE6DF7">
            <w:pPr>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Cs w:val="21"/>
              </w:rPr>
              <w:t>机械伤害</w:t>
            </w:r>
          </w:p>
        </w:tc>
        <w:tc>
          <w:tcPr>
            <w:tcW w:w="1470" w:type="pct"/>
            <w:tcBorders>
              <w:right w:val="single" w:color="auto" w:sz="4" w:space="0"/>
            </w:tcBorders>
            <w:shd w:val="clear" w:color="auto" w:fill="auto"/>
            <w:noWrap w:val="0"/>
            <w:vAlign w:val="center"/>
          </w:tcPr>
          <w:p w14:paraId="325AB05E">
            <w:pPr>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Cs w:val="21"/>
              </w:rPr>
              <w:t>各种设备引起的机械事故</w:t>
            </w:r>
          </w:p>
        </w:tc>
        <w:tc>
          <w:tcPr>
            <w:tcW w:w="1093" w:type="pct"/>
            <w:tcBorders>
              <w:right w:val="single" w:color="auto" w:sz="4" w:space="0"/>
            </w:tcBorders>
            <w:shd w:val="clear" w:color="auto" w:fill="auto"/>
            <w:noWrap w:val="0"/>
            <w:vAlign w:val="center"/>
          </w:tcPr>
          <w:p w14:paraId="40B07E65">
            <w:pPr>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Cs w:val="21"/>
              </w:rPr>
              <w:t>人员伤亡、设备损失</w:t>
            </w:r>
          </w:p>
        </w:tc>
      </w:tr>
      <w:tr w14:paraId="20FCB440">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600" w:type="pct"/>
            <w:vMerge w:val="continue"/>
            <w:tcBorders>
              <w:left w:val="single" w:color="auto" w:sz="4" w:space="0"/>
            </w:tcBorders>
            <w:noWrap w:val="0"/>
            <w:vAlign w:val="center"/>
          </w:tcPr>
          <w:p w14:paraId="10D6CA3D">
            <w:pPr>
              <w:jc w:val="center"/>
              <w:rPr>
                <w:rFonts w:hint="default" w:ascii="Times New Roman" w:hAnsi="Times New Roman" w:cs="Times New Roman"/>
                <w:szCs w:val="21"/>
              </w:rPr>
            </w:pPr>
          </w:p>
        </w:tc>
        <w:tc>
          <w:tcPr>
            <w:tcW w:w="360" w:type="pct"/>
            <w:noWrap w:val="0"/>
            <w:vAlign w:val="center"/>
          </w:tcPr>
          <w:p w14:paraId="7D6147D4">
            <w:pPr>
              <w:jc w:val="center"/>
              <w:rPr>
                <w:rFonts w:hint="default" w:ascii="Times New Roman" w:hAnsi="Times New Roman" w:cs="Times New Roman"/>
                <w:szCs w:val="21"/>
              </w:rPr>
            </w:pPr>
            <w:r>
              <w:rPr>
                <w:rFonts w:hint="default" w:ascii="Times New Roman" w:hAnsi="Times New Roman" w:cs="Times New Roman"/>
                <w:szCs w:val="21"/>
              </w:rPr>
              <w:t>6</w:t>
            </w:r>
          </w:p>
        </w:tc>
        <w:tc>
          <w:tcPr>
            <w:tcW w:w="1475" w:type="pct"/>
            <w:shd w:val="clear" w:color="auto" w:fill="auto"/>
            <w:noWrap w:val="0"/>
            <w:vAlign w:val="center"/>
          </w:tcPr>
          <w:p w14:paraId="355BB7BE">
            <w:pPr>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Cs w:val="21"/>
              </w:rPr>
              <w:t>触电</w:t>
            </w:r>
          </w:p>
        </w:tc>
        <w:tc>
          <w:tcPr>
            <w:tcW w:w="1470" w:type="pct"/>
            <w:tcBorders>
              <w:right w:val="single" w:color="auto" w:sz="4" w:space="0"/>
            </w:tcBorders>
            <w:shd w:val="clear" w:color="auto" w:fill="auto"/>
            <w:noWrap w:val="0"/>
            <w:vAlign w:val="center"/>
          </w:tcPr>
          <w:p w14:paraId="10C0E172">
            <w:pPr>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Cs w:val="21"/>
              </w:rPr>
              <w:t>配电室、变压器、采场</w:t>
            </w:r>
          </w:p>
        </w:tc>
        <w:tc>
          <w:tcPr>
            <w:tcW w:w="1093" w:type="pct"/>
            <w:tcBorders>
              <w:right w:val="single" w:color="auto" w:sz="4" w:space="0"/>
            </w:tcBorders>
            <w:shd w:val="clear" w:color="auto" w:fill="auto"/>
            <w:noWrap w:val="0"/>
            <w:vAlign w:val="center"/>
          </w:tcPr>
          <w:p w14:paraId="612C1E9E">
            <w:pPr>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Cs w:val="21"/>
              </w:rPr>
              <w:t>人员伤亡、设备损失</w:t>
            </w:r>
          </w:p>
        </w:tc>
      </w:tr>
      <w:tr w14:paraId="3D7D7FF1">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600" w:type="pct"/>
            <w:vMerge w:val="continue"/>
            <w:tcBorders>
              <w:left w:val="single" w:color="auto" w:sz="4" w:space="0"/>
            </w:tcBorders>
            <w:noWrap w:val="0"/>
            <w:vAlign w:val="center"/>
          </w:tcPr>
          <w:p w14:paraId="2C5C8E2B">
            <w:pPr>
              <w:jc w:val="center"/>
              <w:rPr>
                <w:rFonts w:hint="default" w:ascii="Times New Roman" w:hAnsi="Times New Roman" w:cs="Times New Roman"/>
                <w:szCs w:val="21"/>
              </w:rPr>
            </w:pPr>
          </w:p>
        </w:tc>
        <w:tc>
          <w:tcPr>
            <w:tcW w:w="360" w:type="pct"/>
            <w:noWrap w:val="0"/>
            <w:vAlign w:val="center"/>
          </w:tcPr>
          <w:p w14:paraId="5C2BACF4">
            <w:pPr>
              <w:jc w:val="center"/>
              <w:rPr>
                <w:rFonts w:hint="default" w:ascii="Times New Roman" w:hAnsi="Times New Roman" w:cs="Times New Roman"/>
                <w:szCs w:val="21"/>
              </w:rPr>
            </w:pPr>
            <w:r>
              <w:rPr>
                <w:rFonts w:hint="default" w:ascii="Times New Roman" w:hAnsi="Times New Roman" w:cs="Times New Roman"/>
                <w:szCs w:val="21"/>
              </w:rPr>
              <w:t>7</w:t>
            </w:r>
          </w:p>
        </w:tc>
        <w:tc>
          <w:tcPr>
            <w:tcW w:w="1475" w:type="pct"/>
            <w:shd w:val="clear" w:color="auto" w:fill="auto"/>
            <w:noWrap w:val="0"/>
            <w:vAlign w:val="center"/>
          </w:tcPr>
          <w:p w14:paraId="09FAF38F">
            <w:pPr>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Cs w:val="21"/>
              </w:rPr>
              <w:t>火灾</w:t>
            </w:r>
          </w:p>
        </w:tc>
        <w:tc>
          <w:tcPr>
            <w:tcW w:w="1470" w:type="pct"/>
            <w:tcBorders>
              <w:right w:val="single" w:color="auto" w:sz="4" w:space="0"/>
            </w:tcBorders>
            <w:shd w:val="clear" w:color="auto" w:fill="auto"/>
            <w:noWrap w:val="0"/>
            <w:vAlign w:val="center"/>
          </w:tcPr>
          <w:p w14:paraId="304BF8E8">
            <w:pPr>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Cs w:val="21"/>
              </w:rPr>
              <w:t>机械设备及电气设备、线路</w:t>
            </w:r>
          </w:p>
        </w:tc>
        <w:tc>
          <w:tcPr>
            <w:tcW w:w="1093" w:type="pct"/>
            <w:tcBorders>
              <w:right w:val="single" w:color="auto" w:sz="4" w:space="0"/>
            </w:tcBorders>
            <w:shd w:val="clear" w:color="auto" w:fill="auto"/>
            <w:noWrap w:val="0"/>
            <w:vAlign w:val="center"/>
          </w:tcPr>
          <w:p w14:paraId="2B83FA40">
            <w:pPr>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Cs w:val="21"/>
              </w:rPr>
              <w:t>人员伤亡、设备损失</w:t>
            </w:r>
          </w:p>
        </w:tc>
      </w:tr>
      <w:tr w14:paraId="20E3A28F">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600" w:type="pct"/>
            <w:vMerge w:val="continue"/>
            <w:tcBorders>
              <w:left w:val="single" w:color="auto" w:sz="4" w:space="0"/>
            </w:tcBorders>
            <w:noWrap w:val="0"/>
            <w:vAlign w:val="center"/>
          </w:tcPr>
          <w:p w14:paraId="24EDAA84">
            <w:pPr>
              <w:jc w:val="center"/>
              <w:rPr>
                <w:rFonts w:hint="default" w:ascii="Times New Roman" w:hAnsi="Times New Roman" w:cs="Times New Roman"/>
                <w:szCs w:val="21"/>
              </w:rPr>
            </w:pPr>
          </w:p>
        </w:tc>
        <w:tc>
          <w:tcPr>
            <w:tcW w:w="360" w:type="pct"/>
            <w:noWrap w:val="0"/>
            <w:vAlign w:val="center"/>
          </w:tcPr>
          <w:p w14:paraId="58C02124">
            <w:pPr>
              <w:jc w:val="center"/>
              <w:rPr>
                <w:rFonts w:hint="default" w:ascii="Times New Roman" w:hAnsi="Times New Roman" w:cs="Times New Roman"/>
                <w:szCs w:val="21"/>
              </w:rPr>
            </w:pPr>
            <w:r>
              <w:rPr>
                <w:rFonts w:hint="default" w:ascii="Times New Roman" w:hAnsi="Times New Roman" w:cs="Times New Roman"/>
                <w:szCs w:val="21"/>
              </w:rPr>
              <w:t>8</w:t>
            </w:r>
          </w:p>
        </w:tc>
        <w:tc>
          <w:tcPr>
            <w:tcW w:w="1475" w:type="pct"/>
            <w:shd w:val="clear" w:color="auto" w:fill="auto"/>
            <w:noWrap w:val="0"/>
            <w:vAlign w:val="center"/>
          </w:tcPr>
          <w:p w14:paraId="410BBECF">
            <w:pPr>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Cs w:val="21"/>
              </w:rPr>
              <w:t>雷电</w:t>
            </w:r>
          </w:p>
        </w:tc>
        <w:tc>
          <w:tcPr>
            <w:tcW w:w="1470" w:type="pct"/>
            <w:tcBorders>
              <w:right w:val="single" w:color="auto" w:sz="4" w:space="0"/>
            </w:tcBorders>
            <w:shd w:val="clear" w:color="auto" w:fill="auto"/>
            <w:noWrap w:val="0"/>
            <w:vAlign w:val="center"/>
          </w:tcPr>
          <w:p w14:paraId="542EED12">
            <w:pPr>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Cs w:val="21"/>
              </w:rPr>
              <w:t>各种电气设备及其线路</w:t>
            </w:r>
          </w:p>
        </w:tc>
        <w:tc>
          <w:tcPr>
            <w:tcW w:w="1093" w:type="pct"/>
            <w:tcBorders>
              <w:right w:val="single" w:color="auto" w:sz="4" w:space="0"/>
            </w:tcBorders>
            <w:shd w:val="clear" w:color="auto" w:fill="auto"/>
            <w:noWrap w:val="0"/>
            <w:vAlign w:val="center"/>
          </w:tcPr>
          <w:p w14:paraId="4999D5C4">
            <w:pPr>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Cs w:val="21"/>
              </w:rPr>
              <w:t>人员伤亡、设备损坏</w:t>
            </w:r>
          </w:p>
        </w:tc>
      </w:tr>
      <w:tr w14:paraId="64F4D325">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600" w:type="pct"/>
            <w:vMerge w:val="restart"/>
            <w:tcBorders>
              <w:left w:val="single" w:color="auto" w:sz="4" w:space="0"/>
            </w:tcBorders>
            <w:noWrap w:val="0"/>
            <w:vAlign w:val="center"/>
          </w:tcPr>
          <w:p w14:paraId="10068EAE">
            <w:pPr>
              <w:jc w:val="center"/>
              <w:rPr>
                <w:rFonts w:hint="default" w:ascii="Times New Roman" w:hAnsi="Times New Roman" w:cs="Times New Roman"/>
                <w:szCs w:val="21"/>
              </w:rPr>
            </w:pPr>
            <w:r>
              <w:rPr>
                <w:rFonts w:hint="default" w:ascii="Times New Roman" w:hAnsi="Times New Roman" w:cs="Times New Roman"/>
                <w:szCs w:val="21"/>
              </w:rPr>
              <w:t>管理因素</w:t>
            </w:r>
          </w:p>
        </w:tc>
        <w:tc>
          <w:tcPr>
            <w:tcW w:w="360" w:type="pct"/>
            <w:noWrap w:val="0"/>
            <w:vAlign w:val="center"/>
          </w:tcPr>
          <w:p w14:paraId="07C2E65D">
            <w:pPr>
              <w:jc w:val="center"/>
              <w:rPr>
                <w:rFonts w:hint="default" w:ascii="Times New Roman" w:hAnsi="Times New Roman" w:cs="Times New Roman"/>
                <w:szCs w:val="21"/>
              </w:rPr>
            </w:pPr>
            <w:r>
              <w:rPr>
                <w:rFonts w:hint="default" w:ascii="Times New Roman" w:hAnsi="Times New Roman" w:cs="Times New Roman"/>
                <w:szCs w:val="21"/>
              </w:rPr>
              <w:t>1</w:t>
            </w:r>
          </w:p>
        </w:tc>
        <w:tc>
          <w:tcPr>
            <w:tcW w:w="1475" w:type="pct"/>
            <w:noWrap w:val="0"/>
            <w:vAlign w:val="center"/>
          </w:tcPr>
          <w:p w14:paraId="444DBF98">
            <w:pPr>
              <w:jc w:val="center"/>
              <w:rPr>
                <w:rFonts w:hint="default" w:ascii="Times New Roman" w:hAnsi="Times New Roman" w:cs="Times New Roman"/>
                <w:szCs w:val="21"/>
              </w:rPr>
            </w:pPr>
            <w:r>
              <w:rPr>
                <w:rFonts w:hint="default" w:ascii="Times New Roman" w:hAnsi="Times New Roman" w:cs="Times New Roman"/>
                <w:szCs w:val="21"/>
              </w:rPr>
              <w:t>未建立安全生产管理机构或安全生产监督检查不到位</w:t>
            </w:r>
          </w:p>
        </w:tc>
        <w:tc>
          <w:tcPr>
            <w:tcW w:w="1470" w:type="pct"/>
            <w:vMerge w:val="restart"/>
            <w:tcBorders>
              <w:right w:val="single" w:color="auto" w:sz="4" w:space="0"/>
            </w:tcBorders>
            <w:noWrap w:val="0"/>
            <w:vAlign w:val="center"/>
          </w:tcPr>
          <w:p w14:paraId="7145F258">
            <w:pPr>
              <w:jc w:val="center"/>
              <w:rPr>
                <w:rFonts w:hint="default" w:ascii="Times New Roman" w:hAnsi="Times New Roman" w:cs="Times New Roman"/>
                <w:szCs w:val="21"/>
              </w:rPr>
            </w:pPr>
            <w:r>
              <w:rPr>
                <w:rFonts w:hint="default" w:ascii="Times New Roman" w:hAnsi="Times New Roman" w:cs="Times New Roman"/>
                <w:szCs w:val="21"/>
              </w:rPr>
              <w:t>安全管理过程中，安全生产命令执行过程中</w:t>
            </w:r>
          </w:p>
        </w:tc>
        <w:tc>
          <w:tcPr>
            <w:tcW w:w="1093" w:type="pct"/>
            <w:vMerge w:val="restart"/>
            <w:tcBorders>
              <w:right w:val="single" w:color="auto" w:sz="4" w:space="0"/>
            </w:tcBorders>
            <w:noWrap w:val="0"/>
            <w:vAlign w:val="center"/>
          </w:tcPr>
          <w:p w14:paraId="263E85E7">
            <w:pPr>
              <w:jc w:val="center"/>
              <w:rPr>
                <w:rFonts w:hint="default" w:ascii="Times New Roman" w:hAnsi="Times New Roman" w:cs="Times New Roman"/>
                <w:szCs w:val="21"/>
              </w:rPr>
            </w:pPr>
            <w:r>
              <w:rPr>
                <w:rFonts w:hint="default" w:ascii="Times New Roman" w:hAnsi="Times New Roman" w:cs="Times New Roman"/>
                <w:szCs w:val="21"/>
              </w:rPr>
              <w:t>人员伤亡</w:t>
            </w:r>
          </w:p>
        </w:tc>
      </w:tr>
      <w:tr w14:paraId="7B415EA1">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850" w:hRule="atLeast"/>
          <w:jc w:val="center"/>
        </w:trPr>
        <w:tc>
          <w:tcPr>
            <w:tcW w:w="600" w:type="pct"/>
            <w:vMerge w:val="continue"/>
            <w:tcBorders>
              <w:left w:val="single" w:color="auto" w:sz="4" w:space="0"/>
            </w:tcBorders>
            <w:noWrap w:val="0"/>
            <w:vAlign w:val="center"/>
          </w:tcPr>
          <w:p w14:paraId="6EED6236">
            <w:pPr>
              <w:jc w:val="center"/>
              <w:rPr>
                <w:rFonts w:hint="default" w:ascii="Times New Roman" w:hAnsi="Times New Roman" w:cs="Times New Roman"/>
                <w:szCs w:val="21"/>
              </w:rPr>
            </w:pPr>
          </w:p>
        </w:tc>
        <w:tc>
          <w:tcPr>
            <w:tcW w:w="360" w:type="pct"/>
            <w:noWrap w:val="0"/>
            <w:vAlign w:val="center"/>
          </w:tcPr>
          <w:p w14:paraId="1E58312D">
            <w:pPr>
              <w:jc w:val="center"/>
              <w:rPr>
                <w:rFonts w:hint="default" w:ascii="Times New Roman" w:hAnsi="Times New Roman" w:cs="Times New Roman"/>
                <w:szCs w:val="21"/>
              </w:rPr>
            </w:pPr>
            <w:r>
              <w:rPr>
                <w:rFonts w:hint="default" w:ascii="Times New Roman" w:hAnsi="Times New Roman" w:cs="Times New Roman"/>
                <w:szCs w:val="21"/>
              </w:rPr>
              <w:t>2</w:t>
            </w:r>
          </w:p>
        </w:tc>
        <w:tc>
          <w:tcPr>
            <w:tcW w:w="1475" w:type="pct"/>
            <w:noWrap w:val="0"/>
            <w:vAlign w:val="center"/>
          </w:tcPr>
          <w:p w14:paraId="69422689">
            <w:pPr>
              <w:jc w:val="center"/>
              <w:rPr>
                <w:rFonts w:hint="default" w:ascii="Times New Roman" w:hAnsi="Times New Roman" w:cs="Times New Roman"/>
                <w:szCs w:val="21"/>
              </w:rPr>
            </w:pPr>
            <w:r>
              <w:rPr>
                <w:rFonts w:hint="default" w:ascii="Times New Roman" w:hAnsi="Times New Roman" w:cs="Times New Roman"/>
                <w:szCs w:val="21"/>
              </w:rPr>
              <w:t>未建立安全生产责任制、安全管理制度及操作规程，或者不健全</w:t>
            </w:r>
          </w:p>
        </w:tc>
        <w:tc>
          <w:tcPr>
            <w:tcW w:w="1470" w:type="pct"/>
            <w:vMerge w:val="continue"/>
            <w:tcBorders>
              <w:right w:val="single" w:color="auto" w:sz="4" w:space="0"/>
            </w:tcBorders>
            <w:noWrap w:val="0"/>
            <w:vAlign w:val="center"/>
          </w:tcPr>
          <w:p w14:paraId="59472D88">
            <w:pPr>
              <w:jc w:val="center"/>
              <w:rPr>
                <w:rFonts w:hint="default" w:ascii="Times New Roman" w:hAnsi="Times New Roman" w:cs="Times New Roman"/>
                <w:szCs w:val="21"/>
              </w:rPr>
            </w:pPr>
          </w:p>
        </w:tc>
        <w:tc>
          <w:tcPr>
            <w:tcW w:w="1093" w:type="pct"/>
            <w:vMerge w:val="continue"/>
            <w:tcBorders>
              <w:right w:val="single" w:color="auto" w:sz="4" w:space="0"/>
            </w:tcBorders>
            <w:noWrap w:val="0"/>
            <w:vAlign w:val="center"/>
          </w:tcPr>
          <w:p w14:paraId="58F46987">
            <w:pPr>
              <w:jc w:val="center"/>
              <w:rPr>
                <w:rFonts w:hint="default" w:ascii="Times New Roman" w:hAnsi="Times New Roman" w:cs="Times New Roman"/>
                <w:szCs w:val="21"/>
              </w:rPr>
            </w:pPr>
          </w:p>
        </w:tc>
      </w:tr>
      <w:tr w14:paraId="5A3AB8FC">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600" w:type="pct"/>
            <w:vMerge w:val="continue"/>
            <w:tcBorders>
              <w:left w:val="single" w:color="auto" w:sz="4" w:space="0"/>
            </w:tcBorders>
            <w:noWrap w:val="0"/>
            <w:vAlign w:val="center"/>
          </w:tcPr>
          <w:p w14:paraId="5C2CB3C6">
            <w:pPr>
              <w:jc w:val="center"/>
              <w:rPr>
                <w:rFonts w:hint="default" w:ascii="Times New Roman" w:hAnsi="Times New Roman" w:cs="Times New Roman"/>
                <w:szCs w:val="21"/>
              </w:rPr>
            </w:pPr>
          </w:p>
        </w:tc>
        <w:tc>
          <w:tcPr>
            <w:tcW w:w="360" w:type="pct"/>
            <w:noWrap w:val="0"/>
            <w:vAlign w:val="center"/>
          </w:tcPr>
          <w:p w14:paraId="2282B692">
            <w:pPr>
              <w:jc w:val="center"/>
              <w:rPr>
                <w:rFonts w:hint="default" w:ascii="Times New Roman" w:hAnsi="Times New Roman" w:cs="Times New Roman"/>
                <w:szCs w:val="21"/>
              </w:rPr>
            </w:pPr>
            <w:r>
              <w:rPr>
                <w:rFonts w:hint="default" w:ascii="Times New Roman" w:hAnsi="Times New Roman" w:cs="Times New Roman"/>
                <w:szCs w:val="21"/>
              </w:rPr>
              <w:t>3</w:t>
            </w:r>
          </w:p>
        </w:tc>
        <w:tc>
          <w:tcPr>
            <w:tcW w:w="1475" w:type="pct"/>
            <w:noWrap w:val="0"/>
            <w:vAlign w:val="center"/>
          </w:tcPr>
          <w:p w14:paraId="309FBE8E">
            <w:pPr>
              <w:jc w:val="center"/>
              <w:rPr>
                <w:rFonts w:hint="default" w:ascii="Times New Roman" w:hAnsi="Times New Roman" w:cs="Times New Roman"/>
                <w:szCs w:val="21"/>
              </w:rPr>
            </w:pPr>
            <w:r>
              <w:rPr>
                <w:rFonts w:hint="default" w:ascii="Times New Roman" w:hAnsi="Times New Roman" w:cs="Times New Roman"/>
                <w:szCs w:val="21"/>
              </w:rPr>
              <w:t>特种作业人员未持证上岗</w:t>
            </w:r>
          </w:p>
        </w:tc>
        <w:tc>
          <w:tcPr>
            <w:tcW w:w="1470" w:type="pct"/>
            <w:vMerge w:val="continue"/>
            <w:tcBorders>
              <w:right w:val="single" w:color="auto" w:sz="4" w:space="0"/>
            </w:tcBorders>
            <w:noWrap w:val="0"/>
            <w:vAlign w:val="center"/>
          </w:tcPr>
          <w:p w14:paraId="1C2761FE">
            <w:pPr>
              <w:jc w:val="center"/>
              <w:rPr>
                <w:rFonts w:hint="default" w:ascii="Times New Roman" w:hAnsi="Times New Roman" w:cs="Times New Roman"/>
                <w:szCs w:val="21"/>
              </w:rPr>
            </w:pPr>
          </w:p>
        </w:tc>
        <w:tc>
          <w:tcPr>
            <w:tcW w:w="1093" w:type="pct"/>
            <w:vMerge w:val="continue"/>
            <w:tcBorders>
              <w:right w:val="single" w:color="auto" w:sz="4" w:space="0"/>
            </w:tcBorders>
            <w:noWrap w:val="0"/>
            <w:vAlign w:val="center"/>
          </w:tcPr>
          <w:p w14:paraId="0D0C0E6D">
            <w:pPr>
              <w:jc w:val="center"/>
              <w:rPr>
                <w:rFonts w:hint="default" w:ascii="Times New Roman" w:hAnsi="Times New Roman" w:cs="Times New Roman"/>
                <w:szCs w:val="21"/>
              </w:rPr>
            </w:pPr>
          </w:p>
        </w:tc>
      </w:tr>
      <w:tr w14:paraId="1BA8B8D5">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600" w:type="pct"/>
            <w:vMerge w:val="continue"/>
            <w:tcBorders>
              <w:left w:val="single" w:color="auto" w:sz="4" w:space="0"/>
            </w:tcBorders>
            <w:noWrap w:val="0"/>
            <w:vAlign w:val="center"/>
          </w:tcPr>
          <w:p w14:paraId="4705B6BC">
            <w:pPr>
              <w:jc w:val="center"/>
              <w:rPr>
                <w:rFonts w:hint="default" w:ascii="Times New Roman" w:hAnsi="Times New Roman" w:cs="Times New Roman"/>
                <w:szCs w:val="21"/>
              </w:rPr>
            </w:pPr>
          </w:p>
        </w:tc>
        <w:tc>
          <w:tcPr>
            <w:tcW w:w="360" w:type="pct"/>
            <w:noWrap w:val="0"/>
            <w:vAlign w:val="center"/>
          </w:tcPr>
          <w:p w14:paraId="270930F3">
            <w:pPr>
              <w:jc w:val="center"/>
              <w:rPr>
                <w:rFonts w:hint="default" w:ascii="Times New Roman" w:hAnsi="Times New Roman" w:cs="Times New Roman"/>
                <w:szCs w:val="21"/>
              </w:rPr>
            </w:pPr>
            <w:r>
              <w:rPr>
                <w:rFonts w:hint="default" w:ascii="Times New Roman" w:hAnsi="Times New Roman" w:cs="Times New Roman"/>
                <w:szCs w:val="21"/>
              </w:rPr>
              <w:t>4</w:t>
            </w:r>
          </w:p>
        </w:tc>
        <w:tc>
          <w:tcPr>
            <w:tcW w:w="1475" w:type="pct"/>
            <w:noWrap w:val="0"/>
            <w:vAlign w:val="center"/>
          </w:tcPr>
          <w:p w14:paraId="098ADDDD">
            <w:pPr>
              <w:jc w:val="center"/>
              <w:rPr>
                <w:rFonts w:hint="default" w:ascii="Times New Roman" w:hAnsi="Times New Roman" w:cs="Times New Roman"/>
                <w:szCs w:val="21"/>
              </w:rPr>
            </w:pPr>
            <w:r>
              <w:rPr>
                <w:rFonts w:hint="default" w:ascii="Times New Roman" w:hAnsi="Times New Roman" w:cs="Times New Roman"/>
                <w:szCs w:val="21"/>
              </w:rPr>
              <w:t>职业安全健康管理不完善</w:t>
            </w:r>
          </w:p>
        </w:tc>
        <w:tc>
          <w:tcPr>
            <w:tcW w:w="1470" w:type="pct"/>
            <w:vMerge w:val="continue"/>
            <w:tcBorders>
              <w:right w:val="single" w:color="auto" w:sz="4" w:space="0"/>
            </w:tcBorders>
            <w:noWrap w:val="0"/>
            <w:vAlign w:val="center"/>
          </w:tcPr>
          <w:p w14:paraId="2912941A">
            <w:pPr>
              <w:jc w:val="center"/>
              <w:rPr>
                <w:rFonts w:hint="default" w:ascii="Times New Roman" w:hAnsi="Times New Roman" w:cs="Times New Roman"/>
                <w:szCs w:val="21"/>
              </w:rPr>
            </w:pPr>
          </w:p>
        </w:tc>
        <w:tc>
          <w:tcPr>
            <w:tcW w:w="1093" w:type="pct"/>
            <w:vMerge w:val="continue"/>
            <w:tcBorders>
              <w:right w:val="single" w:color="auto" w:sz="4" w:space="0"/>
            </w:tcBorders>
            <w:noWrap w:val="0"/>
            <w:vAlign w:val="center"/>
          </w:tcPr>
          <w:p w14:paraId="4D66812F">
            <w:pPr>
              <w:jc w:val="center"/>
              <w:rPr>
                <w:rFonts w:hint="default" w:ascii="Times New Roman" w:hAnsi="Times New Roman" w:cs="Times New Roman"/>
                <w:szCs w:val="21"/>
              </w:rPr>
            </w:pPr>
          </w:p>
        </w:tc>
      </w:tr>
      <w:tr w14:paraId="5EEDED5A">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600" w:type="pct"/>
            <w:vMerge w:val="continue"/>
            <w:tcBorders>
              <w:left w:val="single" w:color="auto" w:sz="4" w:space="0"/>
            </w:tcBorders>
            <w:noWrap w:val="0"/>
            <w:vAlign w:val="center"/>
          </w:tcPr>
          <w:p w14:paraId="31E21E11">
            <w:pPr>
              <w:jc w:val="center"/>
              <w:rPr>
                <w:rFonts w:hint="default" w:ascii="Times New Roman" w:hAnsi="Times New Roman" w:cs="Times New Roman"/>
                <w:szCs w:val="21"/>
              </w:rPr>
            </w:pPr>
          </w:p>
        </w:tc>
        <w:tc>
          <w:tcPr>
            <w:tcW w:w="360" w:type="pct"/>
            <w:noWrap w:val="0"/>
            <w:vAlign w:val="center"/>
          </w:tcPr>
          <w:p w14:paraId="7C11D325">
            <w:pPr>
              <w:jc w:val="center"/>
              <w:rPr>
                <w:rFonts w:hint="default" w:ascii="Times New Roman" w:hAnsi="Times New Roman" w:cs="Times New Roman"/>
                <w:szCs w:val="21"/>
              </w:rPr>
            </w:pPr>
            <w:r>
              <w:rPr>
                <w:rFonts w:hint="default" w:ascii="Times New Roman" w:hAnsi="Times New Roman" w:cs="Times New Roman"/>
                <w:szCs w:val="21"/>
              </w:rPr>
              <w:t>5</w:t>
            </w:r>
          </w:p>
        </w:tc>
        <w:tc>
          <w:tcPr>
            <w:tcW w:w="1475" w:type="pct"/>
            <w:noWrap w:val="0"/>
            <w:vAlign w:val="center"/>
          </w:tcPr>
          <w:p w14:paraId="60FF060A">
            <w:pPr>
              <w:jc w:val="center"/>
              <w:rPr>
                <w:rFonts w:hint="default" w:ascii="Times New Roman" w:hAnsi="Times New Roman" w:cs="Times New Roman"/>
                <w:szCs w:val="21"/>
              </w:rPr>
            </w:pPr>
            <w:r>
              <w:rPr>
                <w:rFonts w:hint="default" w:ascii="Times New Roman" w:hAnsi="Times New Roman" w:cs="Times New Roman"/>
                <w:szCs w:val="21"/>
                <w:lang w:val="en-US" w:eastAsia="zh-CN"/>
              </w:rPr>
              <w:t>安全措施费用</w:t>
            </w:r>
            <w:r>
              <w:rPr>
                <w:rFonts w:hint="default" w:ascii="Times New Roman" w:hAnsi="Times New Roman" w:cs="Times New Roman"/>
                <w:szCs w:val="21"/>
              </w:rPr>
              <w:t>投入不足</w:t>
            </w:r>
          </w:p>
        </w:tc>
        <w:tc>
          <w:tcPr>
            <w:tcW w:w="1470" w:type="pct"/>
            <w:vMerge w:val="continue"/>
            <w:tcBorders>
              <w:right w:val="single" w:color="auto" w:sz="4" w:space="0"/>
            </w:tcBorders>
            <w:noWrap w:val="0"/>
            <w:vAlign w:val="center"/>
          </w:tcPr>
          <w:p w14:paraId="594B7629">
            <w:pPr>
              <w:jc w:val="center"/>
              <w:rPr>
                <w:rFonts w:hint="default" w:ascii="Times New Roman" w:hAnsi="Times New Roman" w:cs="Times New Roman"/>
                <w:szCs w:val="21"/>
              </w:rPr>
            </w:pPr>
          </w:p>
        </w:tc>
        <w:tc>
          <w:tcPr>
            <w:tcW w:w="1093" w:type="pct"/>
            <w:vMerge w:val="continue"/>
            <w:tcBorders>
              <w:right w:val="single" w:color="auto" w:sz="4" w:space="0"/>
            </w:tcBorders>
            <w:noWrap w:val="0"/>
            <w:vAlign w:val="center"/>
          </w:tcPr>
          <w:p w14:paraId="0EE2C3F0">
            <w:pPr>
              <w:jc w:val="center"/>
              <w:rPr>
                <w:rFonts w:hint="default" w:ascii="Times New Roman" w:hAnsi="Times New Roman" w:cs="Times New Roman"/>
                <w:szCs w:val="21"/>
              </w:rPr>
            </w:pPr>
          </w:p>
        </w:tc>
      </w:tr>
      <w:tr w14:paraId="7DFFA896">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600" w:type="pct"/>
            <w:vMerge w:val="continue"/>
            <w:tcBorders>
              <w:left w:val="single" w:color="auto" w:sz="4" w:space="0"/>
            </w:tcBorders>
            <w:noWrap w:val="0"/>
            <w:vAlign w:val="center"/>
          </w:tcPr>
          <w:p w14:paraId="2E535AB4">
            <w:pPr>
              <w:jc w:val="center"/>
              <w:rPr>
                <w:rFonts w:hint="default" w:ascii="Times New Roman" w:hAnsi="Times New Roman" w:cs="Times New Roman"/>
                <w:szCs w:val="21"/>
              </w:rPr>
            </w:pPr>
          </w:p>
        </w:tc>
        <w:tc>
          <w:tcPr>
            <w:tcW w:w="360" w:type="pct"/>
            <w:noWrap w:val="0"/>
            <w:vAlign w:val="center"/>
          </w:tcPr>
          <w:p w14:paraId="283217D6">
            <w:pPr>
              <w:jc w:val="center"/>
              <w:rPr>
                <w:rFonts w:hint="default" w:ascii="Times New Roman" w:hAnsi="Times New Roman" w:cs="Times New Roman"/>
                <w:szCs w:val="21"/>
              </w:rPr>
            </w:pPr>
            <w:r>
              <w:rPr>
                <w:rFonts w:hint="default" w:ascii="Times New Roman" w:hAnsi="Times New Roman" w:cs="Times New Roman"/>
                <w:szCs w:val="21"/>
                <w:lang w:val="en-US" w:eastAsia="zh-CN"/>
              </w:rPr>
              <w:t>6</w:t>
            </w:r>
          </w:p>
        </w:tc>
        <w:tc>
          <w:tcPr>
            <w:tcW w:w="1475" w:type="pct"/>
            <w:noWrap w:val="0"/>
            <w:vAlign w:val="center"/>
          </w:tcPr>
          <w:p w14:paraId="59176C37">
            <w:pPr>
              <w:jc w:val="center"/>
              <w:rPr>
                <w:rFonts w:hint="default" w:ascii="Times New Roman" w:hAnsi="Times New Roman" w:cs="Times New Roman"/>
                <w:szCs w:val="21"/>
              </w:rPr>
            </w:pPr>
            <w:r>
              <w:rPr>
                <w:rFonts w:hint="default" w:ascii="Times New Roman" w:hAnsi="Times New Roman" w:cs="Times New Roman"/>
                <w:szCs w:val="21"/>
              </w:rPr>
              <w:t>违章指挥、违章操作</w:t>
            </w:r>
          </w:p>
        </w:tc>
        <w:tc>
          <w:tcPr>
            <w:tcW w:w="1470" w:type="pct"/>
            <w:vMerge w:val="continue"/>
            <w:tcBorders>
              <w:right w:val="single" w:color="auto" w:sz="4" w:space="0"/>
            </w:tcBorders>
            <w:noWrap w:val="0"/>
            <w:vAlign w:val="center"/>
          </w:tcPr>
          <w:p w14:paraId="6E84F686">
            <w:pPr>
              <w:jc w:val="center"/>
              <w:rPr>
                <w:rFonts w:hint="default" w:ascii="Times New Roman" w:hAnsi="Times New Roman" w:cs="Times New Roman"/>
                <w:szCs w:val="21"/>
              </w:rPr>
            </w:pPr>
          </w:p>
        </w:tc>
        <w:tc>
          <w:tcPr>
            <w:tcW w:w="1093" w:type="pct"/>
            <w:vMerge w:val="continue"/>
            <w:tcBorders>
              <w:right w:val="single" w:color="auto" w:sz="4" w:space="0"/>
            </w:tcBorders>
            <w:noWrap w:val="0"/>
            <w:vAlign w:val="center"/>
          </w:tcPr>
          <w:p w14:paraId="1205BC7D">
            <w:pPr>
              <w:jc w:val="center"/>
              <w:rPr>
                <w:rFonts w:hint="default" w:ascii="Times New Roman" w:hAnsi="Times New Roman" w:cs="Times New Roman"/>
                <w:szCs w:val="21"/>
              </w:rPr>
            </w:pPr>
          </w:p>
        </w:tc>
      </w:tr>
      <w:tr w14:paraId="60C4F583">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600" w:type="pct"/>
            <w:vMerge w:val="continue"/>
            <w:tcBorders>
              <w:left w:val="single" w:color="auto" w:sz="4" w:space="0"/>
            </w:tcBorders>
            <w:noWrap w:val="0"/>
            <w:vAlign w:val="center"/>
          </w:tcPr>
          <w:p w14:paraId="6D6AD8B1">
            <w:pPr>
              <w:jc w:val="center"/>
              <w:rPr>
                <w:rFonts w:hint="default" w:ascii="Times New Roman" w:hAnsi="Times New Roman" w:cs="Times New Roman"/>
                <w:szCs w:val="21"/>
              </w:rPr>
            </w:pPr>
            <w:bookmarkStart w:id="462" w:name="_Toc4157"/>
            <w:bookmarkStart w:id="463" w:name="_Toc242849828"/>
            <w:bookmarkStart w:id="464" w:name="_Toc19288"/>
            <w:bookmarkStart w:id="465" w:name="_Toc115120695"/>
            <w:bookmarkStart w:id="466" w:name="_Toc115120301"/>
            <w:bookmarkStart w:id="467" w:name="_Toc28523"/>
            <w:bookmarkStart w:id="468" w:name="_Toc226963216"/>
            <w:bookmarkStart w:id="469" w:name="_Toc30763"/>
            <w:bookmarkStart w:id="470" w:name="_Toc1810"/>
            <w:bookmarkStart w:id="471" w:name="_Toc115141972"/>
          </w:p>
        </w:tc>
        <w:tc>
          <w:tcPr>
            <w:tcW w:w="360" w:type="pct"/>
            <w:noWrap w:val="0"/>
            <w:vAlign w:val="center"/>
          </w:tcPr>
          <w:p w14:paraId="17FFDAA3">
            <w:pPr>
              <w:jc w:val="center"/>
              <w:rPr>
                <w:rFonts w:hint="default" w:ascii="Times New Roman" w:hAnsi="Times New Roman" w:eastAsia="宋体" w:cs="Times New Roman"/>
                <w:lang w:val="en-US" w:eastAsia="zh-CN"/>
              </w:rPr>
            </w:pPr>
            <w:r>
              <w:rPr>
                <w:rFonts w:hint="default" w:ascii="Times New Roman" w:hAnsi="Times New Roman" w:cs="Times New Roman"/>
                <w:lang w:val="en-US" w:eastAsia="zh-CN"/>
              </w:rPr>
              <w:t>7</w:t>
            </w:r>
          </w:p>
        </w:tc>
        <w:tc>
          <w:tcPr>
            <w:tcW w:w="1475" w:type="pct"/>
            <w:noWrap w:val="0"/>
            <w:vAlign w:val="center"/>
          </w:tcPr>
          <w:p w14:paraId="34FA3084">
            <w:pPr>
              <w:jc w:val="center"/>
              <w:rPr>
                <w:rFonts w:hint="default" w:ascii="Times New Roman" w:hAnsi="Times New Roman" w:cs="Times New Roman"/>
                <w:szCs w:val="21"/>
              </w:rPr>
            </w:pPr>
            <w:r>
              <w:rPr>
                <w:rFonts w:hint="default" w:ascii="Times New Roman" w:hAnsi="Times New Roman" w:cs="Times New Roman"/>
                <w:color w:val="auto"/>
                <w:sz w:val="21"/>
                <w:szCs w:val="21"/>
                <w:highlight w:val="none"/>
                <w:lang w:val="en-US" w:eastAsia="zh-CN"/>
              </w:rPr>
              <w:t>未开展安全教育培训</w:t>
            </w:r>
          </w:p>
        </w:tc>
        <w:tc>
          <w:tcPr>
            <w:tcW w:w="1470" w:type="pct"/>
            <w:vMerge w:val="continue"/>
            <w:tcBorders>
              <w:right w:val="single" w:color="auto" w:sz="4" w:space="0"/>
            </w:tcBorders>
            <w:noWrap w:val="0"/>
            <w:vAlign w:val="center"/>
          </w:tcPr>
          <w:p w14:paraId="71D93716">
            <w:pPr>
              <w:jc w:val="center"/>
              <w:rPr>
                <w:rFonts w:hint="default" w:ascii="Times New Roman" w:hAnsi="Times New Roman" w:cs="Times New Roman"/>
                <w:szCs w:val="21"/>
              </w:rPr>
            </w:pPr>
          </w:p>
        </w:tc>
        <w:tc>
          <w:tcPr>
            <w:tcW w:w="1093" w:type="pct"/>
            <w:vMerge w:val="continue"/>
            <w:tcBorders>
              <w:right w:val="single" w:color="auto" w:sz="4" w:space="0"/>
            </w:tcBorders>
            <w:noWrap w:val="0"/>
            <w:vAlign w:val="center"/>
          </w:tcPr>
          <w:p w14:paraId="7B538F3E">
            <w:pPr>
              <w:jc w:val="center"/>
              <w:rPr>
                <w:rFonts w:hint="default" w:ascii="Times New Roman" w:hAnsi="Times New Roman" w:cs="Times New Roman"/>
                <w:szCs w:val="21"/>
              </w:rPr>
            </w:pPr>
          </w:p>
        </w:tc>
      </w:tr>
      <w:tr w14:paraId="3374C255">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600" w:type="pct"/>
            <w:vMerge w:val="continue"/>
            <w:tcBorders>
              <w:left w:val="single" w:color="auto" w:sz="4" w:space="0"/>
            </w:tcBorders>
            <w:noWrap w:val="0"/>
            <w:vAlign w:val="center"/>
          </w:tcPr>
          <w:p w14:paraId="343DBFEF">
            <w:pPr>
              <w:jc w:val="center"/>
              <w:rPr>
                <w:rFonts w:hint="default" w:ascii="Times New Roman" w:hAnsi="Times New Roman" w:cs="Times New Roman"/>
                <w:szCs w:val="21"/>
              </w:rPr>
            </w:pPr>
          </w:p>
        </w:tc>
        <w:tc>
          <w:tcPr>
            <w:tcW w:w="360" w:type="pct"/>
            <w:noWrap w:val="0"/>
            <w:vAlign w:val="center"/>
          </w:tcPr>
          <w:p w14:paraId="7C877191">
            <w:pPr>
              <w:jc w:val="center"/>
              <w:rPr>
                <w:rFonts w:hint="default" w:ascii="Times New Roman" w:hAnsi="Times New Roman" w:eastAsia="宋体" w:cs="Times New Roman"/>
                <w:lang w:val="en-US" w:eastAsia="zh-CN"/>
              </w:rPr>
            </w:pPr>
            <w:r>
              <w:rPr>
                <w:rFonts w:hint="default" w:ascii="Times New Roman" w:hAnsi="Times New Roman" w:cs="Times New Roman"/>
                <w:lang w:val="en-US" w:eastAsia="zh-CN"/>
              </w:rPr>
              <w:t>8</w:t>
            </w:r>
          </w:p>
        </w:tc>
        <w:tc>
          <w:tcPr>
            <w:tcW w:w="1475" w:type="pct"/>
            <w:noWrap w:val="0"/>
            <w:vAlign w:val="center"/>
          </w:tcPr>
          <w:p w14:paraId="5D5FD9B1">
            <w:pPr>
              <w:jc w:val="center"/>
              <w:rPr>
                <w:rFonts w:hint="default" w:ascii="Times New Roman" w:hAnsi="Times New Roman" w:cs="Times New Roman"/>
                <w:szCs w:val="21"/>
              </w:rPr>
            </w:pPr>
            <w:r>
              <w:rPr>
                <w:rFonts w:hint="default" w:ascii="Times New Roman" w:hAnsi="Times New Roman" w:cs="Times New Roman"/>
                <w:szCs w:val="21"/>
              </w:rPr>
              <w:t>矿山相关专业技术人员缺失</w:t>
            </w:r>
          </w:p>
        </w:tc>
        <w:tc>
          <w:tcPr>
            <w:tcW w:w="1470" w:type="pct"/>
            <w:vMerge w:val="continue"/>
            <w:tcBorders>
              <w:right w:val="single" w:color="auto" w:sz="4" w:space="0"/>
            </w:tcBorders>
            <w:noWrap w:val="0"/>
            <w:vAlign w:val="center"/>
          </w:tcPr>
          <w:p w14:paraId="697E4B37">
            <w:pPr>
              <w:jc w:val="center"/>
              <w:rPr>
                <w:rFonts w:hint="default" w:ascii="Times New Roman" w:hAnsi="Times New Roman" w:cs="Times New Roman"/>
                <w:szCs w:val="21"/>
              </w:rPr>
            </w:pPr>
          </w:p>
        </w:tc>
        <w:tc>
          <w:tcPr>
            <w:tcW w:w="1093" w:type="pct"/>
            <w:vMerge w:val="continue"/>
            <w:tcBorders>
              <w:right w:val="single" w:color="auto" w:sz="4" w:space="0"/>
            </w:tcBorders>
            <w:noWrap w:val="0"/>
            <w:vAlign w:val="center"/>
          </w:tcPr>
          <w:p w14:paraId="4AE2E510">
            <w:pPr>
              <w:jc w:val="center"/>
              <w:rPr>
                <w:rFonts w:hint="default" w:ascii="Times New Roman" w:hAnsi="Times New Roman" w:cs="Times New Roman"/>
                <w:szCs w:val="21"/>
              </w:rPr>
            </w:pPr>
          </w:p>
        </w:tc>
      </w:tr>
    </w:tbl>
    <w:p w14:paraId="34ECB670">
      <w:pPr>
        <w:pStyle w:val="3"/>
        <w:spacing w:before="0" w:after="0" w:line="360" w:lineRule="auto"/>
        <w:jc w:val="center"/>
        <w:rPr>
          <w:rFonts w:hint="default" w:ascii="Times New Roman" w:hAnsi="Times New Roman" w:eastAsia="黑体" w:cs="Times New Roman"/>
          <w:sz w:val="30"/>
          <w:szCs w:val="30"/>
        </w:rPr>
      </w:pPr>
      <w:bookmarkStart w:id="472" w:name="_Toc23913"/>
      <w:r>
        <w:rPr>
          <w:rFonts w:hint="default" w:ascii="Times New Roman" w:hAnsi="Times New Roman" w:eastAsia="黑体" w:cs="Times New Roman"/>
          <w:sz w:val="30"/>
          <w:szCs w:val="30"/>
        </w:rPr>
        <w:t>5.2该项目应重点防范的危险、有害因素</w:t>
      </w:r>
      <w:bookmarkEnd w:id="462"/>
      <w:bookmarkEnd w:id="463"/>
      <w:bookmarkEnd w:id="464"/>
      <w:bookmarkEnd w:id="465"/>
      <w:bookmarkEnd w:id="466"/>
      <w:bookmarkEnd w:id="467"/>
      <w:bookmarkEnd w:id="468"/>
      <w:bookmarkEnd w:id="469"/>
      <w:bookmarkEnd w:id="470"/>
      <w:bookmarkEnd w:id="471"/>
      <w:bookmarkEnd w:id="472"/>
    </w:p>
    <w:p w14:paraId="3CB9AD8A">
      <w:pPr>
        <w:spacing w:line="360" w:lineRule="auto"/>
        <w:ind w:firstLine="560" w:firstLineChars="200"/>
        <w:rPr>
          <w:rFonts w:hint="default" w:ascii="Times New Roman" w:hAnsi="Times New Roman" w:cs="Times New Roman"/>
          <w:sz w:val="28"/>
          <w:szCs w:val="28"/>
        </w:rPr>
      </w:pPr>
      <w:r>
        <w:rPr>
          <w:rFonts w:hint="default" w:ascii="Times New Roman" w:hAnsi="Times New Roman" w:cs="Times New Roman"/>
          <w:sz w:val="28"/>
          <w:szCs w:val="28"/>
        </w:rPr>
        <w:t>该项目应重点防范以下危险因素：</w:t>
      </w:r>
      <w:r>
        <w:rPr>
          <w:rFonts w:hint="default" w:ascii="Times New Roman" w:hAnsi="Times New Roman" w:cs="Times New Roman"/>
          <w:bCs/>
          <w:sz w:val="28"/>
          <w:szCs w:val="28"/>
          <w:lang w:val="en-GB"/>
        </w:rPr>
        <w:t>边坡失稳（滑坡）、高处坠落、机械伤害、车辆伤害、边坡滑坡、坍塌及泥石流</w:t>
      </w:r>
      <w:r>
        <w:rPr>
          <w:rFonts w:hint="default" w:ascii="Times New Roman" w:hAnsi="Times New Roman" w:cs="Times New Roman"/>
          <w:sz w:val="28"/>
          <w:szCs w:val="28"/>
        </w:rPr>
        <w:t>。</w:t>
      </w:r>
    </w:p>
    <w:p w14:paraId="29D0D75C">
      <w:pPr>
        <w:pStyle w:val="3"/>
        <w:spacing w:before="0" w:after="0" w:line="360" w:lineRule="auto"/>
        <w:jc w:val="center"/>
        <w:rPr>
          <w:rFonts w:hint="default" w:ascii="Times New Roman" w:hAnsi="Times New Roman" w:eastAsia="黑体" w:cs="Times New Roman"/>
          <w:sz w:val="30"/>
          <w:szCs w:val="30"/>
        </w:rPr>
      </w:pPr>
      <w:bookmarkStart w:id="473" w:name="_Toc115120696"/>
      <w:bookmarkStart w:id="474" w:name="_Toc226963217"/>
      <w:bookmarkStart w:id="475" w:name="_Toc2589"/>
      <w:bookmarkStart w:id="476" w:name="_Toc242849829"/>
      <w:bookmarkStart w:id="477" w:name="_Toc115141973"/>
      <w:bookmarkStart w:id="478" w:name="_Toc155710539"/>
      <w:bookmarkStart w:id="479" w:name="_Toc2858"/>
      <w:bookmarkStart w:id="480" w:name="_Toc12648"/>
      <w:bookmarkStart w:id="481" w:name="_Toc115120302"/>
      <w:bookmarkStart w:id="482" w:name="_Toc12916"/>
      <w:bookmarkStart w:id="483" w:name="_Toc25732"/>
      <w:bookmarkStart w:id="484" w:name="_Toc22626"/>
      <w:r>
        <w:rPr>
          <w:rFonts w:hint="default" w:ascii="Times New Roman" w:hAnsi="Times New Roman" w:eastAsia="黑体" w:cs="Times New Roman"/>
          <w:sz w:val="30"/>
          <w:szCs w:val="30"/>
        </w:rPr>
        <w:t>5.3该项目应重视的安全对策措施建议</w:t>
      </w:r>
      <w:bookmarkEnd w:id="473"/>
      <w:bookmarkEnd w:id="474"/>
      <w:bookmarkEnd w:id="475"/>
      <w:bookmarkEnd w:id="476"/>
      <w:bookmarkEnd w:id="477"/>
      <w:bookmarkEnd w:id="478"/>
      <w:bookmarkEnd w:id="479"/>
      <w:bookmarkEnd w:id="480"/>
      <w:bookmarkEnd w:id="481"/>
      <w:bookmarkEnd w:id="482"/>
      <w:bookmarkEnd w:id="483"/>
      <w:bookmarkEnd w:id="484"/>
    </w:p>
    <w:p w14:paraId="49D76309">
      <w:pPr>
        <w:numPr>
          <w:ilvl w:val="0"/>
          <w:numId w:val="0"/>
        </w:numPr>
        <w:spacing w:line="360" w:lineRule="auto"/>
        <w:ind w:left="0" w:leftChars="0" w:firstLine="560" w:firstLineChars="200"/>
        <w:rPr>
          <w:rFonts w:hint="default" w:ascii="Times New Roman" w:hAnsi="Times New Roman" w:eastAsia="宋体" w:cs="Times New Roman"/>
          <w:sz w:val="28"/>
          <w:szCs w:val="28"/>
          <w:lang w:val="en-US" w:eastAsia="zh-CN"/>
        </w:rPr>
      </w:pPr>
      <w:r>
        <w:rPr>
          <w:rFonts w:hint="default" w:ascii="Times New Roman" w:hAnsi="Times New Roman" w:cs="Times New Roman"/>
          <w:sz w:val="28"/>
          <w:szCs w:val="28"/>
          <w:lang w:val="en-GB" w:eastAsia="zh-CN"/>
        </w:rPr>
        <w:t>（</w:t>
      </w:r>
      <w:r>
        <w:rPr>
          <w:rFonts w:hint="default" w:ascii="Times New Roman" w:hAnsi="Times New Roman" w:cs="Times New Roman"/>
          <w:sz w:val="28"/>
          <w:szCs w:val="28"/>
          <w:lang w:val="en-US" w:eastAsia="zh-CN"/>
        </w:rPr>
        <w:t>1</w:t>
      </w:r>
      <w:r>
        <w:rPr>
          <w:rFonts w:hint="default" w:ascii="Times New Roman" w:hAnsi="Times New Roman" w:cs="Times New Roman"/>
          <w:sz w:val="28"/>
          <w:szCs w:val="28"/>
          <w:lang w:val="en-GB" w:eastAsia="zh-CN"/>
        </w:rPr>
        <w:t>）</w:t>
      </w:r>
      <w:r>
        <w:rPr>
          <w:rFonts w:hint="eastAsia" w:cs="Times New Roman"/>
          <w:sz w:val="28"/>
          <w:szCs w:val="28"/>
          <w:lang w:val="en-US" w:eastAsia="zh-CN"/>
        </w:rPr>
        <w:t>应</w:t>
      </w:r>
      <w:r>
        <w:rPr>
          <w:rFonts w:hint="default" w:ascii="Times New Roman" w:hAnsi="Times New Roman" w:cs="Times New Roman"/>
          <w:sz w:val="28"/>
          <w:szCs w:val="28"/>
          <w:lang w:val="en-GB"/>
        </w:rPr>
        <w:t>按设计要求有计划、有序地进行开采，合理布置工业场地、设备设施，避免相互制约和影响，协调好各采剥作业面间的相互关系，确保作业安全</w:t>
      </w:r>
      <w:r>
        <w:rPr>
          <w:rFonts w:hint="default" w:ascii="Times New Roman" w:hAnsi="Times New Roman" w:cs="Times New Roman"/>
          <w:sz w:val="28"/>
          <w:szCs w:val="28"/>
          <w:lang w:val="en-GB" w:eastAsia="zh-CN"/>
        </w:rPr>
        <w:t>。</w:t>
      </w:r>
    </w:p>
    <w:p w14:paraId="06BFC671">
      <w:pPr>
        <w:numPr>
          <w:ilvl w:val="0"/>
          <w:numId w:val="0"/>
        </w:numPr>
        <w:spacing w:line="360" w:lineRule="auto"/>
        <w:ind w:left="0" w:leftChars="0" w:firstLine="560" w:firstLineChars="200"/>
        <w:rPr>
          <w:rFonts w:hint="default" w:ascii="Times New Roman" w:hAnsi="Times New Roman" w:eastAsia="宋体" w:cs="Times New Roman"/>
          <w:sz w:val="28"/>
          <w:szCs w:val="28"/>
          <w:lang w:val="en-GB" w:eastAsia="zh-CN"/>
        </w:rPr>
      </w:pPr>
      <w:r>
        <w:rPr>
          <w:rFonts w:hint="default" w:ascii="Times New Roman" w:hAnsi="Times New Roman" w:cs="Times New Roman"/>
          <w:sz w:val="28"/>
          <w:szCs w:val="28"/>
          <w:lang w:val="en-GB" w:eastAsia="zh-CN"/>
        </w:rPr>
        <w:t>（</w:t>
      </w:r>
      <w:r>
        <w:rPr>
          <w:rFonts w:hint="default" w:ascii="Times New Roman" w:hAnsi="Times New Roman" w:cs="Times New Roman"/>
          <w:sz w:val="28"/>
          <w:szCs w:val="28"/>
          <w:lang w:val="en-US" w:eastAsia="zh-CN"/>
        </w:rPr>
        <w:t>2</w:t>
      </w:r>
      <w:r>
        <w:rPr>
          <w:rFonts w:hint="default" w:ascii="Times New Roman" w:hAnsi="Times New Roman" w:cs="Times New Roman"/>
          <w:sz w:val="28"/>
          <w:szCs w:val="28"/>
          <w:lang w:val="en-GB" w:eastAsia="zh-CN"/>
        </w:rPr>
        <w:t>）</w:t>
      </w:r>
      <w:r>
        <w:rPr>
          <w:rFonts w:hint="default" w:ascii="Times New Roman" w:hAnsi="Times New Roman" w:eastAsia="宋体" w:cs="Times New Roman"/>
          <w:sz w:val="28"/>
          <w:szCs w:val="28"/>
          <w:lang w:val="en-GB"/>
        </w:rPr>
        <w:t>矿区周边分布有废弃石料加工厂、养殖场、村道等设施，应在露天采场边界设置围栏，以及明显的禁止、警告、提示标志，非矿山专业作业人员、设备等禁止进入</w:t>
      </w:r>
      <w:r>
        <w:rPr>
          <w:rFonts w:hint="default" w:ascii="Times New Roman" w:hAnsi="Times New Roman" w:cs="Times New Roman"/>
          <w:sz w:val="28"/>
          <w:szCs w:val="28"/>
          <w:lang w:val="en-GB" w:eastAsia="zh-CN"/>
        </w:rPr>
        <w:t>。</w:t>
      </w:r>
    </w:p>
    <w:p w14:paraId="3130299D">
      <w:pPr>
        <w:numPr>
          <w:ilvl w:val="0"/>
          <w:numId w:val="0"/>
        </w:numPr>
        <w:spacing w:line="360" w:lineRule="auto"/>
        <w:ind w:left="0" w:leftChars="0" w:firstLine="560" w:firstLineChars="200"/>
        <w:rPr>
          <w:rFonts w:hint="default" w:ascii="Times New Roman" w:hAnsi="Times New Roman" w:eastAsia="宋体" w:cs="Times New Roman"/>
          <w:sz w:val="28"/>
          <w:szCs w:val="28"/>
          <w:lang w:val="en-GB" w:eastAsia="zh-CN"/>
        </w:rPr>
      </w:pPr>
      <w:r>
        <w:rPr>
          <w:rFonts w:hint="default" w:ascii="Times New Roman" w:hAnsi="Times New Roman" w:cs="Times New Roman"/>
          <w:sz w:val="28"/>
          <w:szCs w:val="28"/>
          <w:lang w:val="en-GB" w:eastAsia="zh-CN"/>
        </w:rPr>
        <w:t>（</w:t>
      </w:r>
      <w:r>
        <w:rPr>
          <w:rFonts w:hint="default" w:ascii="Times New Roman" w:hAnsi="Times New Roman" w:cs="Times New Roman"/>
          <w:sz w:val="28"/>
          <w:szCs w:val="28"/>
          <w:lang w:val="en-US" w:eastAsia="zh-CN"/>
        </w:rPr>
        <w:t>3</w:t>
      </w:r>
      <w:r>
        <w:rPr>
          <w:rFonts w:hint="default" w:ascii="Times New Roman" w:hAnsi="Times New Roman" w:cs="Times New Roman"/>
          <w:sz w:val="28"/>
          <w:szCs w:val="28"/>
          <w:lang w:val="en-GB" w:eastAsia="zh-CN"/>
        </w:rPr>
        <w:t>）</w:t>
      </w:r>
      <w:r>
        <w:rPr>
          <w:rFonts w:hint="default" w:ascii="Times New Roman" w:hAnsi="Times New Roman" w:eastAsia="宋体" w:cs="Times New Roman"/>
          <w:sz w:val="28"/>
          <w:szCs w:val="28"/>
          <w:lang w:val="en-GB"/>
        </w:rPr>
        <w:t>矿山应在正常生产前应对现状露天采坑边坡进行稳定性分析，</w:t>
      </w:r>
      <w:r>
        <w:rPr>
          <w:rFonts w:hint="default" w:ascii="Times New Roman" w:hAnsi="Times New Roman" w:cs="Times New Roman"/>
          <w:sz w:val="28"/>
          <w:szCs w:val="28"/>
          <w:lang w:val="en-US" w:eastAsia="zh-CN"/>
        </w:rPr>
        <w:t>预防</w:t>
      </w:r>
      <w:r>
        <w:rPr>
          <w:rFonts w:hint="default" w:ascii="Times New Roman" w:hAnsi="Times New Roman" w:eastAsia="宋体" w:cs="Times New Roman"/>
          <w:sz w:val="28"/>
          <w:szCs w:val="28"/>
          <w:lang w:val="en-GB"/>
        </w:rPr>
        <w:t>泥石流和滑坡</w:t>
      </w:r>
      <w:r>
        <w:rPr>
          <w:rFonts w:hint="default" w:ascii="Times New Roman" w:hAnsi="Times New Roman" w:cs="Times New Roman"/>
          <w:sz w:val="28"/>
          <w:szCs w:val="28"/>
          <w:lang w:val="en-US" w:eastAsia="zh-CN"/>
        </w:rPr>
        <w:t>等自然灾害</w:t>
      </w:r>
      <w:r>
        <w:rPr>
          <w:rFonts w:hint="default" w:ascii="Times New Roman" w:hAnsi="Times New Roman" w:cs="Times New Roman"/>
          <w:sz w:val="28"/>
          <w:szCs w:val="28"/>
          <w:lang w:val="en-GB" w:eastAsia="zh-CN"/>
        </w:rPr>
        <w:t>。</w:t>
      </w:r>
    </w:p>
    <w:p w14:paraId="6B2270E2">
      <w:pPr>
        <w:numPr>
          <w:ilvl w:val="0"/>
          <w:numId w:val="0"/>
        </w:numPr>
        <w:spacing w:line="360" w:lineRule="auto"/>
        <w:ind w:left="0" w:leftChars="0" w:firstLine="560" w:firstLineChars="200"/>
        <w:rPr>
          <w:rFonts w:hint="default" w:ascii="Times New Roman" w:hAnsi="Times New Roman" w:eastAsia="宋体" w:cs="Times New Roman"/>
          <w:sz w:val="28"/>
          <w:szCs w:val="28"/>
          <w:lang w:val="en-GB" w:eastAsia="zh-CN"/>
        </w:rPr>
      </w:pPr>
      <w:r>
        <w:rPr>
          <w:rFonts w:hint="default" w:ascii="Times New Roman" w:hAnsi="Times New Roman" w:cs="Times New Roman"/>
          <w:sz w:val="28"/>
          <w:szCs w:val="28"/>
          <w:lang w:val="en-GB" w:eastAsia="zh-CN"/>
        </w:rPr>
        <w:t>（</w:t>
      </w:r>
      <w:r>
        <w:rPr>
          <w:rFonts w:hint="default" w:ascii="Times New Roman" w:hAnsi="Times New Roman" w:cs="Times New Roman"/>
          <w:sz w:val="28"/>
          <w:szCs w:val="28"/>
          <w:lang w:val="en-US" w:eastAsia="zh-CN"/>
        </w:rPr>
        <w:t>4</w:t>
      </w:r>
      <w:r>
        <w:rPr>
          <w:rFonts w:hint="default" w:ascii="Times New Roman" w:hAnsi="Times New Roman" w:cs="Times New Roman"/>
          <w:sz w:val="28"/>
          <w:szCs w:val="28"/>
          <w:lang w:val="en-GB" w:eastAsia="zh-CN"/>
        </w:rPr>
        <w:t>）</w:t>
      </w:r>
      <w:r>
        <w:rPr>
          <w:rFonts w:hint="default" w:ascii="Times New Roman" w:hAnsi="Times New Roman" w:eastAsia="宋体" w:cs="Times New Roman"/>
          <w:sz w:val="28"/>
          <w:szCs w:val="28"/>
          <w:lang w:val="en-GB"/>
        </w:rPr>
        <w:t>在开采过程中严格按设计划定的开采区域开采，应在电力设施保护区设立明显标志，禁止越界开采</w:t>
      </w:r>
      <w:r>
        <w:rPr>
          <w:rFonts w:hint="default" w:ascii="Times New Roman" w:hAnsi="Times New Roman" w:cs="Times New Roman"/>
          <w:sz w:val="28"/>
          <w:szCs w:val="28"/>
          <w:lang w:val="en-GB" w:eastAsia="zh-CN"/>
        </w:rPr>
        <w:t>。</w:t>
      </w:r>
    </w:p>
    <w:p w14:paraId="67DF8316">
      <w:pPr>
        <w:numPr>
          <w:ilvl w:val="0"/>
          <w:numId w:val="0"/>
        </w:numPr>
        <w:spacing w:line="360" w:lineRule="auto"/>
        <w:ind w:left="0" w:leftChars="0" w:firstLine="560" w:firstLineChars="200"/>
        <w:rPr>
          <w:rFonts w:hint="default" w:ascii="Times New Roman" w:hAnsi="Times New Roman" w:eastAsia="宋体" w:cs="Times New Roman"/>
          <w:sz w:val="28"/>
          <w:szCs w:val="28"/>
          <w:lang w:val="en-US" w:eastAsia="zh-CN"/>
        </w:rPr>
      </w:pPr>
      <w:r>
        <w:rPr>
          <w:rFonts w:hint="default" w:ascii="Times New Roman" w:hAnsi="Times New Roman" w:cs="Times New Roman"/>
          <w:sz w:val="28"/>
          <w:szCs w:val="28"/>
          <w:lang w:val="en-GB" w:eastAsia="zh-CN"/>
        </w:rPr>
        <w:t>（</w:t>
      </w:r>
      <w:r>
        <w:rPr>
          <w:rFonts w:hint="default" w:ascii="Times New Roman" w:hAnsi="Times New Roman" w:cs="Times New Roman"/>
          <w:sz w:val="28"/>
          <w:szCs w:val="28"/>
          <w:lang w:val="en-US" w:eastAsia="zh-CN"/>
        </w:rPr>
        <w:t>5</w:t>
      </w:r>
      <w:r>
        <w:rPr>
          <w:rFonts w:hint="default" w:ascii="Times New Roman" w:hAnsi="Times New Roman" w:cs="Times New Roman"/>
          <w:sz w:val="28"/>
          <w:szCs w:val="28"/>
          <w:lang w:val="en-GB" w:eastAsia="zh-CN"/>
        </w:rPr>
        <w:t>）</w:t>
      </w:r>
      <w:r>
        <w:rPr>
          <w:rFonts w:hint="default" w:ascii="Times New Roman" w:hAnsi="Times New Roman" w:eastAsia="宋体" w:cs="Times New Roman"/>
          <w:sz w:val="28"/>
          <w:szCs w:val="28"/>
          <w:lang w:val="en-GB"/>
        </w:rPr>
        <w:t>针对矿区东侧和南侧村组道路，下一步安全设施设计中完善对该村组道路及通行人员的安全对策措施</w:t>
      </w:r>
      <w:r>
        <w:rPr>
          <w:rFonts w:hint="default" w:ascii="Times New Roman" w:hAnsi="Times New Roman" w:cs="Times New Roman"/>
          <w:sz w:val="28"/>
          <w:szCs w:val="28"/>
          <w:lang w:val="en-GB" w:eastAsia="zh-CN"/>
        </w:rPr>
        <w:t>。</w:t>
      </w:r>
    </w:p>
    <w:p w14:paraId="10C9C844">
      <w:pPr>
        <w:numPr>
          <w:ilvl w:val="0"/>
          <w:numId w:val="0"/>
        </w:numPr>
        <w:spacing w:line="360" w:lineRule="auto"/>
        <w:ind w:left="0" w:leftChars="0" w:firstLine="560" w:firstLineChars="200"/>
        <w:rPr>
          <w:rFonts w:hint="default" w:ascii="Times New Roman" w:hAnsi="Times New Roman" w:eastAsia="宋体" w:cs="Times New Roman"/>
          <w:sz w:val="28"/>
          <w:szCs w:val="28"/>
          <w:lang w:val="en-GB" w:eastAsia="zh-CN"/>
        </w:rPr>
      </w:pPr>
      <w:r>
        <w:rPr>
          <w:rFonts w:hint="default" w:ascii="Times New Roman" w:hAnsi="Times New Roman" w:cs="Times New Roman"/>
          <w:sz w:val="28"/>
          <w:szCs w:val="28"/>
          <w:lang w:val="en-GB" w:eastAsia="zh-CN"/>
        </w:rPr>
        <w:t>（</w:t>
      </w:r>
      <w:r>
        <w:rPr>
          <w:rFonts w:hint="default" w:ascii="Times New Roman" w:hAnsi="Times New Roman" w:cs="Times New Roman"/>
          <w:sz w:val="28"/>
          <w:szCs w:val="28"/>
          <w:lang w:val="en-US" w:eastAsia="zh-CN"/>
        </w:rPr>
        <w:t>6</w:t>
      </w:r>
      <w:r>
        <w:rPr>
          <w:rFonts w:hint="default" w:ascii="Times New Roman" w:hAnsi="Times New Roman" w:cs="Times New Roman"/>
          <w:sz w:val="28"/>
          <w:szCs w:val="28"/>
          <w:lang w:val="en-GB" w:eastAsia="zh-CN"/>
        </w:rPr>
        <w:t>）</w:t>
      </w:r>
      <w:r>
        <w:rPr>
          <w:rFonts w:hint="default" w:ascii="Times New Roman" w:hAnsi="Times New Roman" w:eastAsia="宋体" w:cs="Times New Roman"/>
          <w:sz w:val="28"/>
          <w:szCs w:val="28"/>
          <w:lang w:val="en-GB"/>
        </w:rPr>
        <w:t>在下一步安全设施设计中应明确新旧采场的过渡方案</w:t>
      </w:r>
      <w:r>
        <w:rPr>
          <w:rFonts w:hint="default" w:ascii="Times New Roman" w:hAnsi="Times New Roman" w:cs="Times New Roman"/>
          <w:sz w:val="28"/>
          <w:szCs w:val="28"/>
          <w:lang w:val="en-GB" w:eastAsia="zh-CN"/>
        </w:rPr>
        <w:t>。</w:t>
      </w:r>
    </w:p>
    <w:p w14:paraId="7DB05ADC">
      <w:pPr>
        <w:numPr>
          <w:ilvl w:val="0"/>
          <w:numId w:val="0"/>
        </w:numPr>
        <w:spacing w:line="360" w:lineRule="auto"/>
        <w:ind w:left="0" w:leftChars="0" w:firstLine="560" w:firstLineChars="200"/>
        <w:rPr>
          <w:rFonts w:hint="default" w:ascii="Times New Roman" w:hAnsi="Times New Roman" w:eastAsia="宋体" w:cs="Times New Roman"/>
          <w:sz w:val="28"/>
          <w:szCs w:val="28"/>
          <w:lang w:val="en-US" w:eastAsia="zh-CN"/>
        </w:rPr>
      </w:pPr>
      <w:r>
        <w:rPr>
          <w:rFonts w:hint="default" w:ascii="Times New Roman" w:hAnsi="Times New Roman" w:cs="Times New Roman"/>
          <w:sz w:val="28"/>
          <w:szCs w:val="28"/>
          <w:lang w:val="en-GB" w:eastAsia="zh-CN"/>
        </w:rPr>
        <w:t>（</w:t>
      </w:r>
      <w:r>
        <w:rPr>
          <w:rFonts w:hint="default" w:ascii="Times New Roman" w:hAnsi="Times New Roman" w:cs="Times New Roman"/>
          <w:sz w:val="28"/>
          <w:szCs w:val="28"/>
          <w:lang w:val="en-US" w:eastAsia="zh-CN"/>
        </w:rPr>
        <w:t>7</w:t>
      </w:r>
      <w:r>
        <w:rPr>
          <w:rFonts w:hint="default" w:ascii="Times New Roman" w:hAnsi="Times New Roman" w:cs="Times New Roman"/>
          <w:sz w:val="28"/>
          <w:szCs w:val="28"/>
          <w:lang w:val="en-GB" w:eastAsia="zh-CN"/>
        </w:rPr>
        <w:t>）</w:t>
      </w:r>
      <w:r>
        <w:rPr>
          <w:rFonts w:hint="default" w:ascii="Times New Roman" w:hAnsi="Times New Roman" w:eastAsia="宋体" w:cs="Times New Roman"/>
          <w:sz w:val="28"/>
          <w:szCs w:val="28"/>
          <w:lang w:val="en-GB"/>
        </w:rPr>
        <w:t>应对通向采空区不作业的平台入口应进行封闭，严禁进入</w:t>
      </w:r>
      <w:r>
        <w:rPr>
          <w:rFonts w:hint="default" w:ascii="Times New Roman" w:hAnsi="Times New Roman" w:cs="Times New Roman"/>
          <w:sz w:val="28"/>
          <w:szCs w:val="28"/>
          <w:lang w:val="en-US" w:eastAsia="zh-CN"/>
        </w:rPr>
        <w:t>。</w:t>
      </w:r>
    </w:p>
    <w:p w14:paraId="6A0C2CE1">
      <w:pPr>
        <w:numPr>
          <w:ilvl w:val="0"/>
          <w:numId w:val="0"/>
        </w:numPr>
        <w:spacing w:line="360" w:lineRule="auto"/>
        <w:ind w:left="0" w:leftChars="0" w:firstLine="560" w:firstLineChars="200"/>
        <w:rPr>
          <w:rFonts w:hint="default" w:ascii="Times New Roman" w:hAnsi="Times New Roman" w:eastAsia="宋体" w:cs="Times New Roman"/>
          <w:sz w:val="28"/>
          <w:szCs w:val="28"/>
          <w:lang w:val="en-GB"/>
        </w:rPr>
      </w:pPr>
      <w:r>
        <w:rPr>
          <w:rFonts w:hint="default" w:ascii="Times New Roman" w:hAnsi="Times New Roman" w:cs="Times New Roman"/>
          <w:sz w:val="28"/>
          <w:szCs w:val="28"/>
          <w:lang w:val="en-GB" w:eastAsia="zh-CN"/>
        </w:rPr>
        <w:t>（</w:t>
      </w:r>
      <w:r>
        <w:rPr>
          <w:rFonts w:hint="default" w:ascii="Times New Roman" w:hAnsi="Times New Roman" w:cs="Times New Roman"/>
          <w:sz w:val="28"/>
          <w:szCs w:val="28"/>
          <w:lang w:val="en-US" w:eastAsia="zh-CN"/>
        </w:rPr>
        <w:t>8</w:t>
      </w:r>
      <w:r>
        <w:rPr>
          <w:rFonts w:hint="default" w:ascii="Times New Roman" w:hAnsi="Times New Roman" w:cs="Times New Roman"/>
          <w:sz w:val="28"/>
          <w:szCs w:val="28"/>
          <w:lang w:val="en-GB" w:eastAsia="zh-CN"/>
        </w:rPr>
        <w:t>）</w:t>
      </w:r>
      <w:r>
        <w:rPr>
          <w:rFonts w:hint="default" w:ascii="Times New Roman" w:hAnsi="Times New Roman" w:eastAsia="宋体" w:cs="Times New Roman"/>
          <w:sz w:val="28"/>
          <w:szCs w:val="28"/>
          <w:lang w:val="en-GB"/>
        </w:rPr>
        <w:t>下一步安全设施设计应对公路排水沟及工业场地排水进行说明。</w:t>
      </w:r>
    </w:p>
    <w:p w14:paraId="6E05E653">
      <w:pPr>
        <w:numPr>
          <w:ilvl w:val="0"/>
          <w:numId w:val="0"/>
        </w:numPr>
        <w:spacing w:line="360" w:lineRule="auto"/>
        <w:ind w:left="0" w:leftChars="0" w:firstLine="560" w:firstLineChars="200"/>
        <w:rPr>
          <w:rFonts w:hint="default" w:ascii="Times New Roman" w:hAnsi="Times New Roman" w:eastAsia="宋体" w:cs="Times New Roman"/>
          <w:sz w:val="28"/>
          <w:szCs w:val="28"/>
          <w:lang w:val="en-GB"/>
        </w:rPr>
      </w:pPr>
      <w:r>
        <w:rPr>
          <w:rFonts w:hint="default" w:ascii="Times New Roman" w:hAnsi="Times New Roman" w:eastAsia="宋体" w:cs="Times New Roman"/>
          <w:sz w:val="28"/>
          <w:szCs w:val="28"/>
          <w:lang w:val="en-GB"/>
        </w:rPr>
        <w:t>（</w:t>
      </w:r>
      <w:r>
        <w:rPr>
          <w:rFonts w:hint="default" w:ascii="Times New Roman" w:hAnsi="Times New Roman" w:cs="Times New Roman"/>
          <w:sz w:val="28"/>
          <w:szCs w:val="28"/>
          <w:lang w:val="en-US" w:eastAsia="zh-CN"/>
        </w:rPr>
        <w:t>9</w:t>
      </w:r>
      <w:r>
        <w:rPr>
          <w:rFonts w:hint="default" w:ascii="Times New Roman" w:hAnsi="Times New Roman" w:eastAsia="宋体" w:cs="Times New Roman"/>
          <w:sz w:val="28"/>
          <w:szCs w:val="28"/>
          <w:lang w:val="en-GB"/>
        </w:rPr>
        <w:t>）临时表土堆放点设计位于东部采空区西侧，下一步设计应明确是否需要采取相关防排水设施。</w:t>
      </w:r>
    </w:p>
    <w:p w14:paraId="064933E5">
      <w:pPr>
        <w:numPr>
          <w:ilvl w:val="0"/>
          <w:numId w:val="0"/>
        </w:numPr>
        <w:spacing w:line="360" w:lineRule="auto"/>
        <w:ind w:left="0" w:leftChars="0" w:firstLine="560" w:firstLineChars="200"/>
        <w:rPr>
          <w:rFonts w:hint="default" w:ascii="Times New Roman" w:hAnsi="Times New Roman" w:eastAsia="宋体" w:cs="Times New Roman"/>
          <w:sz w:val="28"/>
          <w:szCs w:val="28"/>
          <w:lang w:val="en-GB"/>
        </w:rPr>
      </w:pPr>
      <w:r>
        <w:rPr>
          <w:rFonts w:hint="default" w:ascii="Times New Roman" w:hAnsi="Times New Roman" w:eastAsia="宋体" w:cs="Times New Roman"/>
          <w:kern w:val="2"/>
          <w:sz w:val="28"/>
          <w:szCs w:val="28"/>
          <w:lang w:val="en-GB" w:eastAsia="zh-CN" w:bidi="ar-SA"/>
        </w:rPr>
        <w:t>（1</w:t>
      </w:r>
      <w:r>
        <w:rPr>
          <w:rFonts w:hint="default" w:ascii="Times New Roman" w:hAnsi="Times New Roman" w:cs="Times New Roman"/>
          <w:kern w:val="2"/>
          <w:sz w:val="28"/>
          <w:szCs w:val="28"/>
          <w:lang w:val="en-US" w:eastAsia="zh-CN" w:bidi="ar-SA"/>
        </w:rPr>
        <w:t>0</w:t>
      </w:r>
      <w:r>
        <w:rPr>
          <w:rFonts w:hint="default" w:ascii="Times New Roman" w:hAnsi="Times New Roman" w:eastAsia="宋体" w:cs="Times New Roman"/>
          <w:kern w:val="2"/>
          <w:sz w:val="28"/>
          <w:szCs w:val="28"/>
          <w:lang w:val="en-GB" w:eastAsia="zh-CN" w:bidi="ar-SA"/>
        </w:rPr>
        <w:t>）</w:t>
      </w:r>
      <w:r>
        <w:rPr>
          <w:rFonts w:hint="default" w:ascii="Times New Roman" w:hAnsi="Times New Roman" w:eastAsia="宋体" w:cs="Times New Roman"/>
          <w:sz w:val="28"/>
          <w:szCs w:val="28"/>
          <w:lang w:val="en-GB"/>
        </w:rPr>
        <w:t>矿山应对易产生崩落、掉块的部位需重点防护，对过往行人车辆会构成威胁，应完善边坡排水设施，定期进行巡查，发现浮石、开裂等隐患，及时处理。汛期时应做好矿区的防汛工作，包括明确防汛安全生产责任制，建立紧急预案，疏浚矿区内外的排水沟，详细检查排洪系统的安全状况，配备足够物资，确保通信、照明、道路、供电可靠和畅通等。</w:t>
      </w:r>
    </w:p>
    <w:p w14:paraId="1DF2A2A3">
      <w:pPr>
        <w:numPr>
          <w:ilvl w:val="0"/>
          <w:numId w:val="0"/>
        </w:numPr>
        <w:spacing w:line="360" w:lineRule="auto"/>
        <w:ind w:left="0" w:leftChars="0" w:firstLine="560" w:firstLineChars="200"/>
        <w:rPr>
          <w:rFonts w:hint="default" w:ascii="Times New Roman" w:hAnsi="Times New Roman" w:eastAsia="宋体" w:cs="Times New Roman"/>
          <w:sz w:val="28"/>
          <w:szCs w:val="28"/>
          <w:lang w:val="en-GB"/>
        </w:rPr>
      </w:pPr>
      <w:r>
        <w:rPr>
          <w:rFonts w:hint="default" w:ascii="Times New Roman" w:hAnsi="Times New Roman" w:eastAsia="宋体" w:cs="Times New Roman"/>
          <w:kern w:val="2"/>
          <w:sz w:val="28"/>
          <w:szCs w:val="28"/>
          <w:lang w:val="en-GB" w:eastAsia="zh-CN" w:bidi="ar-SA"/>
        </w:rPr>
        <w:t>（1</w:t>
      </w:r>
      <w:r>
        <w:rPr>
          <w:rFonts w:hint="default" w:ascii="Times New Roman" w:hAnsi="Times New Roman" w:cs="Times New Roman"/>
          <w:kern w:val="2"/>
          <w:sz w:val="28"/>
          <w:szCs w:val="28"/>
          <w:lang w:val="en-US" w:eastAsia="zh-CN" w:bidi="ar-SA"/>
        </w:rPr>
        <w:t>1</w:t>
      </w:r>
      <w:r>
        <w:rPr>
          <w:rFonts w:hint="default" w:ascii="Times New Roman" w:hAnsi="Times New Roman" w:eastAsia="宋体" w:cs="Times New Roman"/>
          <w:kern w:val="2"/>
          <w:sz w:val="28"/>
          <w:szCs w:val="28"/>
          <w:lang w:val="en-GB" w:eastAsia="zh-CN" w:bidi="ar-SA"/>
        </w:rPr>
        <w:t>）</w:t>
      </w:r>
      <w:r>
        <w:rPr>
          <w:rFonts w:hint="default" w:ascii="Times New Roman" w:hAnsi="Times New Roman" w:eastAsia="宋体" w:cs="Times New Roman"/>
          <w:sz w:val="28"/>
          <w:szCs w:val="28"/>
          <w:lang w:val="en-GB"/>
        </w:rPr>
        <w:t>劳动岗位中缺少技术人员</w:t>
      </w:r>
      <w:r>
        <w:rPr>
          <w:rFonts w:hint="default" w:ascii="Times New Roman" w:hAnsi="Times New Roman" w:eastAsia="宋体" w:cs="Times New Roman"/>
          <w:sz w:val="28"/>
          <w:szCs w:val="28"/>
          <w:lang w:val="en-US" w:eastAsia="zh-CN"/>
        </w:rPr>
        <w:t>和注册安全工程师</w:t>
      </w:r>
      <w:r>
        <w:rPr>
          <w:rFonts w:hint="default" w:ascii="Times New Roman" w:hAnsi="Times New Roman" w:eastAsia="宋体" w:cs="Times New Roman"/>
          <w:sz w:val="28"/>
          <w:szCs w:val="28"/>
          <w:lang w:val="en-GB"/>
        </w:rPr>
        <w:t>，矿山应配备具有采矿、地质、机电等矿山相关专业的技术人员</w:t>
      </w:r>
      <w:r>
        <w:rPr>
          <w:rFonts w:hint="default" w:ascii="Times New Roman" w:hAnsi="Times New Roman" w:eastAsia="宋体" w:cs="Times New Roman"/>
          <w:sz w:val="28"/>
          <w:szCs w:val="28"/>
          <w:lang w:val="en-US" w:eastAsia="zh-CN"/>
        </w:rPr>
        <w:t>及注册安全工程师</w:t>
      </w:r>
      <w:r>
        <w:rPr>
          <w:rFonts w:hint="default" w:ascii="Times New Roman" w:hAnsi="Times New Roman" w:eastAsia="宋体" w:cs="Times New Roman"/>
          <w:sz w:val="28"/>
          <w:szCs w:val="28"/>
          <w:lang w:val="en-GB"/>
        </w:rPr>
        <w:t>。</w:t>
      </w:r>
    </w:p>
    <w:p w14:paraId="12204C75">
      <w:pPr>
        <w:pStyle w:val="3"/>
        <w:spacing w:before="0" w:after="0" w:line="360" w:lineRule="auto"/>
        <w:jc w:val="center"/>
        <w:rPr>
          <w:rFonts w:hint="default" w:ascii="Times New Roman" w:hAnsi="Times New Roman" w:eastAsia="黑体" w:cs="Times New Roman"/>
          <w:sz w:val="30"/>
          <w:szCs w:val="30"/>
        </w:rPr>
      </w:pPr>
      <w:bookmarkStart w:id="485" w:name="_Toc27019"/>
      <w:bookmarkStart w:id="486" w:name="_Toc23029"/>
      <w:bookmarkStart w:id="487" w:name="_Toc4378"/>
      <w:bookmarkStart w:id="488" w:name="_Toc5782"/>
      <w:bookmarkStart w:id="489" w:name="_Toc13985"/>
      <w:r>
        <w:rPr>
          <w:rFonts w:hint="default" w:ascii="Times New Roman" w:hAnsi="Times New Roman" w:eastAsia="黑体" w:cs="Times New Roman"/>
          <w:sz w:val="30"/>
          <w:szCs w:val="30"/>
        </w:rPr>
        <w:t>5.</w:t>
      </w:r>
      <w:r>
        <w:rPr>
          <w:rFonts w:hint="default" w:ascii="Times New Roman" w:hAnsi="Times New Roman" w:eastAsia="黑体" w:cs="Times New Roman"/>
          <w:sz w:val="30"/>
          <w:szCs w:val="30"/>
          <w:lang w:val="en-US" w:eastAsia="zh-CN"/>
        </w:rPr>
        <w:t>4</w:t>
      </w:r>
      <w:r>
        <w:rPr>
          <w:rFonts w:hint="default" w:ascii="Times New Roman" w:hAnsi="Times New Roman" w:eastAsia="黑体" w:cs="Times New Roman"/>
          <w:sz w:val="30"/>
          <w:szCs w:val="30"/>
        </w:rPr>
        <w:t>评价结果综述</w:t>
      </w:r>
      <w:bookmarkEnd w:id="485"/>
      <w:bookmarkEnd w:id="486"/>
      <w:bookmarkEnd w:id="487"/>
      <w:bookmarkEnd w:id="488"/>
      <w:bookmarkEnd w:id="489"/>
    </w:p>
    <w:p w14:paraId="13221CF5">
      <w:pPr>
        <w:spacing w:line="360" w:lineRule="auto"/>
        <w:ind w:firstLine="560" w:firstLineChars="200"/>
        <w:rPr>
          <w:rFonts w:hint="default" w:ascii="Times New Roman" w:hAnsi="Times New Roman" w:cs="Times New Roman"/>
          <w:sz w:val="28"/>
          <w:szCs w:val="28"/>
          <w:lang w:val="en-GB"/>
        </w:rPr>
      </w:pPr>
      <w:r>
        <w:rPr>
          <w:rFonts w:hint="default" w:ascii="Times New Roman" w:hAnsi="Times New Roman" w:cs="Times New Roman"/>
          <w:sz w:val="28"/>
          <w:szCs w:val="28"/>
          <w:lang w:val="en-GB"/>
        </w:rPr>
        <w:t>辽宁诺诚安全科技有限公司本着合法性、科学性、公正性、针对性的评价原则及对工作高度负责的态度，根据《安全生产许可证条例》、《非煤矿矿山企业安全生产许可证实施办法》和《建设项目安全设施“三同时”监督管理办法》的规定，受企业委托，依据《中华人民共和国安全生产法》、《中华人民共和国矿山安全法》、《金属非金属矿山安全规程》等国家和地方法律、法规、标准、规范及政策文件的要求，对该项目</w:t>
      </w:r>
      <w:r>
        <w:rPr>
          <w:rFonts w:hint="default" w:ascii="Times New Roman" w:hAnsi="Times New Roman" w:cs="Times New Roman"/>
          <w:sz w:val="28"/>
          <w:szCs w:val="28"/>
          <w:lang w:val="en-US" w:eastAsia="zh-CN"/>
        </w:rPr>
        <w:t>初步设计（代可研）</w:t>
      </w:r>
      <w:r>
        <w:rPr>
          <w:rFonts w:hint="default" w:ascii="Times New Roman" w:hAnsi="Times New Roman" w:cs="Times New Roman"/>
          <w:sz w:val="28"/>
          <w:szCs w:val="28"/>
          <w:lang w:val="en-GB"/>
        </w:rPr>
        <w:t>中设计方案所涉及的总平面布置、开拓运输系统、采剥工艺</w:t>
      </w:r>
      <w:r>
        <w:rPr>
          <w:rFonts w:hint="default" w:ascii="Times New Roman" w:hAnsi="Times New Roman" w:cs="Times New Roman"/>
          <w:sz w:val="28"/>
          <w:szCs w:val="28"/>
        </w:rPr>
        <w:t>、</w:t>
      </w:r>
      <w:r>
        <w:rPr>
          <w:rFonts w:hint="default" w:ascii="Times New Roman" w:hAnsi="Times New Roman" w:cs="Times New Roman"/>
          <w:sz w:val="28"/>
          <w:szCs w:val="28"/>
          <w:lang w:val="en-GB"/>
        </w:rPr>
        <w:t>矿山</w:t>
      </w:r>
      <w:r>
        <w:rPr>
          <w:rFonts w:hint="default" w:ascii="Times New Roman" w:hAnsi="Times New Roman" w:cs="Times New Roman"/>
          <w:sz w:val="28"/>
          <w:szCs w:val="28"/>
        </w:rPr>
        <w:t>供配电</w:t>
      </w:r>
      <w:r>
        <w:rPr>
          <w:rFonts w:hint="default" w:ascii="Times New Roman" w:hAnsi="Times New Roman" w:cs="Times New Roman"/>
          <w:sz w:val="28"/>
          <w:szCs w:val="28"/>
          <w:lang w:val="en-GB"/>
        </w:rPr>
        <w:t>、防排水</w:t>
      </w:r>
      <w:r>
        <w:rPr>
          <w:rFonts w:hint="default" w:ascii="Times New Roman" w:hAnsi="Times New Roman" w:cs="Times New Roman"/>
          <w:sz w:val="28"/>
          <w:szCs w:val="28"/>
        </w:rPr>
        <w:t>、</w:t>
      </w:r>
      <w:r>
        <w:rPr>
          <w:rFonts w:hint="default" w:ascii="Times New Roman" w:hAnsi="Times New Roman" w:cs="Times New Roman"/>
          <w:sz w:val="28"/>
          <w:szCs w:val="28"/>
          <w:lang w:val="en-GB"/>
        </w:rPr>
        <w:t>安全管理等进行了安全预评价。</w:t>
      </w:r>
    </w:p>
    <w:p w14:paraId="4DA19470">
      <w:pPr>
        <w:pStyle w:val="3"/>
        <w:spacing w:before="0" w:after="0" w:line="360" w:lineRule="auto"/>
        <w:jc w:val="center"/>
        <w:rPr>
          <w:rFonts w:hint="default" w:ascii="Times New Roman" w:hAnsi="Times New Roman" w:eastAsia="黑体" w:cs="Times New Roman"/>
          <w:sz w:val="30"/>
          <w:szCs w:val="30"/>
        </w:rPr>
      </w:pPr>
      <w:bookmarkStart w:id="490" w:name="_Toc9420"/>
      <w:bookmarkStart w:id="491" w:name="_Toc17326"/>
      <w:bookmarkStart w:id="492" w:name="_Toc242849830"/>
      <w:bookmarkStart w:id="493" w:name="_Toc115141974"/>
      <w:bookmarkStart w:id="494" w:name="_Toc115120697"/>
      <w:bookmarkStart w:id="495" w:name="_Toc17743"/>
      <w:bookmarkStart w:id="496" w:name="_Toc4543"/>
      <w:bookmarkStart w:id="497" w:name="_Toc226963218"/>
      <w:bookmarkStart w:id="498" w:name="_Toc13913"/>
      <w:bookmarkStart w:id="499" w:name="_Toc115120303"/>
      <w:bookmarkStart w:id="500" w:name="_Toc8876"/>
      <w:r>
        <w:rPr>
          <w:rFonts w:hint="default" w:ascii="Times New Roman" w:hAnsi="Times New Roman" w:eastAsia="黑体" w:cs="Times New Roman"/>
          <w:sz w:val="30"/>
          <w:szCs w:val="30"/>
        </w:rPr>
        <w:t>5.</w:t>
      </w:r>
      <w:r>
        <w:rPr>
          <w:rFonts w:hint="default" w:ascii="Times New Roman" w:hAnsi="Times New Roman" w:eastAsia="黑体" w:cs="Times New Roman"/>
          <w:sz w:val="30"/>
          <w:szCs w:val="30"/>
          <w:lang w:val="en-US" w:eastAsia="zh-CN"/>
        </w:rPr>
        <w:t>5</w:t>
      </w:r>
      <w:r>
        <w:rPr>
          <w:rFonts w:hint="default" w:ascii="Times New Roman" w:hAnsi="Times New Roman" w:eastAsia="黑体" w:cs="Times New Roman"/>
          <w:sz w:val="30"/>
          <w:szCs w:val="30"/>
        </w:rPr>
        <w:t>安全预评价结论</w:t>
      </w:r>
      <w:bookmarkEnd w:id="490"/>
      <w:bookmarkEnd w:id="491"/>
      <w:bookmarkEnd w:id="492"/>
      <w:bookmarkEnd w:id="493"/>
      <w:bookmarkEnd w:id="494"/>
      <w:bookmarkEnd w:id="495"/>
      <w:bookmarkEnd w:id="496"/>
      <w:bookmarkEnd w:id="497"/>
      <w:bookmarkEnd w:id="498"/>
      <w:bookmarkEnd w:id="499"/>
      <w:bookmarkEnd w:id="500"/>
    </w:p>
    <w:p w14:paraId="7395773D">
      <w:pPr>
        <w:spacing w:line="360" w:lineRule="auto"/>
        <w:ind w:firstLine="560" w:firstLineChars="200"/>
        <w:rPr>
          <w:rFonts w:hint="default" w:ascii="Times New Roman" w:hAnsi="Times New Roman" w:cs="Times New Roman"/>
          <w:sz w:val="28"/>
          <w:szCs w:val="28"/>
        </w:rPr>
      </w:pPr>
      <w:r>
        <w:rPr>
          <w:rFonts w:hint="default" w:ascii="Times New Roman" w:hAnsi="Times New Roman" w:cs="Times New Roman"/>
          <w:sz w:val="28"/>
          <w:szCs w:val="28"/>
        </w:rPr>
        <w:t>评价组根据对评价项目的现场调查和相关资料的分析，完成了项目主要危险、有害因素的辨识和分析，对项目进行了较为科学合理的单元划分，并按照所选择的评价方法，对项目中存在的危险、有害因素进行了全面的定性评价，提出了合理可行的安全对策措施。</w:t>
      </w:r>
    </w:p>
    <w:p w14:paraId="50083B71">
      <w:pPr>
        <w:spacing w:line="360" w:lineRule="auto"/>
        <w:ind w:firstLine="560" w:firstLineChars="200"/>
        <w:rPr>
          <w:rFonts w:hint="default" w:ascii="Times New Roman" w:hAnsi="Times New Roman" w:cs="Times New Roman"/>
          <w:sz w:val="28"/>
          <w:szCs w:val="28"/>
        </w:rPr>
      </w:pPr>
      <w:r>
        <w:rPr>
          <w:rFonts w:hint="default" w:ascii="Times New Roman" w:hAnsi="Times New Roman" w:cs="Times New Roman"/>
          <w:sz w:val="28"/>
          <w:szCs w:val="28"/>
        </w:rPr>
        <w:t>按照评价要求和各单元的分析评价结论，对</w:t>
      </w:r>
      <w:r>
        <w:rPr>
          <w:rFonts w:hint="default" w:ascii="Times New Roman" w:hAnsi="Times New Roman" w:cs="Times New Roman"/>
          <w:sz w:val="28"/>
          <w:szCs w:val="28"/>
          <w:lang w:eastAsia="zh-CN"/>
        </w:rPr>
        <w:t>弥勒市瑞垠矿业有限公司弥勒市小沙冲砂场22.22万m</w:t>
      </w:r>
      <w:r>
        <w:rPr>
          <w:rFonts w:hint="default" w:ascii="Times New Roman" w:hAnsi="Times New Roman" w:cs="Times New Roman"/>
          <w:sz w:val="28"/>
          <w:szCs w:val="28"/>
          <w:vertAlign w:val="superscript"/>
          <w:lang w:eastAsia="zh-CN"/>
        </w:rPr>
        <w:t>3</w:t>
      </w:r>
      <w:r>
        <w:rPr>
          <w:rFonts w:hint="default" w:ascii="Times New Roman" w:hAnsi="Times New Roman" w:cs="Times New Roman"/>
          <w:sz w:val="28"/>
          <w:szCs w:val="28"/>
          <w:lang w:eastAsia="zh-CN"/>
        </w:rPr>
        <w:t>/a（50万t/a）露天采矿工程</w:t>
      </w:r>
      <w:r>
        <w:rPr>
          <w:rFonts w:hint="default" w:ascii="Times New Roman" w:hAnsi="Times New Roman" w:cs="Times New Roman"/>
          <w:sz w:val="28"/>
          <w:szCs w:val="28"/>
        </w:rPr>
        <w:t>建设项目形成以下预评价结论：</w:t>
      </w:r>
    </w:p>
    <w:p w14:paraId="6AF9CD77">
      <w:pPr>
        <w:spacing w:line="360" w:lineRule="auto"/>
        <w:ind w:firstLine="560" w:firstLineChars="200"/>
        <w:rPr>
          <w:rFonts w:hint="default" w:ascii="Times New Roman" w:hAnsi="Times New Roman" w:cs="Times New Roman"/>
          <w:sz w:val="28"/>
          <w:szCs w:val="28"/>
        </w:rPr>
      </w:pPr>
      <w:r>
        <w:rPr>
          <w:rFonts w:hint="default" w:ascii="Times New Roman" w:hAnsi="Times New Roman" w:cs="Times New Roman"/>
          <w:sz w:val="28"/>
          <w:szCs w:val="28"/>
        </w:rPr>
        <w:t>（1）</w:t>
      </w:r>
      <w:r>
        <w:rPr>
          <w:rFonts w:hint="default" w:ascii="Times New Roman" w:hAnsi="Times New Roman" w:cs="Times New Roman"/>
          <w:sz w:val="28"/>
          <w:szCs w:val="28"/>
          <w:lang w:eastAsia="zh-CN"/>
        </w:rPr>
        <w:t>弥勒市瑞垠矿业有限公司弥勒市小沙冲砂场</w:t>
      </w:r>
      <w:r>
        <w:rPr>
          <w:rFonts w:hint="default" w:ascii="Times New Roman" w:hAnsi="Times New Roman" w:cs="Times New Roman"/>
          <w:sz w:val="28"/>
          <w:szCs w:val="28"/>
          <w:lang w:eastAsia="zh-CN" w:bidi="en-US"/>
        </w:rPr>
        <w:t>22.22</w:t>
      </w:r>
      <w:r>
        <w:rPr>
          <w:rFonts w:hint="default" w:ascii="Times New Roman" w:hAnsi="Times New Roman" w:cs="Times New Roman"/>
          <w:sz w:val="28"/>
          <w:szCs w:val="28"/>
          <w:lang w:val="en-US" w:eastAsia="zh-CN" w:bidi="en-US"/>
        </w:rPr>
        <w:t>万</w:t>
      </w:r>
      <w:r>
        <w:rPr>
          <w:rFonts w:hint="default" w:ascii="Times New Roman" w:hAnsi="Times New Roman" w:cs="Times New Roman"/>
          <w:sz w:val="28"/>
          <w:szCs w:val="28"/>
          <w:lang w:eastAsia="zh-CN" w:bidi="en-US"/>
        </w:rPr>
        <w:t>m</w:t>
      </w:r>
      <w:r>
        <w:rPr>
          <w:rFonts w:hint="default" w:ascii="Times New Roman" w:hAnsi="Times New Roman" w:cs="Times New Roman"/>
          <w:sz w:val="28"/>
          <w:szCs w:val="28"/>
          <w:vertAlign w:val="superscript"/>
          <w:lang w:eastAsia="zh-CN" w:bidi="en-US"/>
        </w:rPr>
        <w:t>3</w:t>
      </w:r>
      <w:r>
        <w:rPr>
          <w:rFonts w:hint="default" w:ascii="Times New Roman" w:hAnsi="Times New Roman" w:cs="Times New Roman"/>
          <w:sz w:val="28"/>
          <w:szCs w:val="28"/>
          <w:lang w:val="en-US" w:eastAsia="zh-CN" w:bidi="en-US"/>
        </w:rPr>
        <w:t>/</w:t>
      </w:r>
      <w:r>
        <w:rPr>
          <w:rFonts w:hint="default" w:ascii="Times New Roman" w:hAnsi="Times New Roman" w:cs="Times New Roman"/>
          <w:sz w:val="28"/>
          <w:szCs w:val="28"/>
          <w:lang w:eastAsia="zh-CN" w:bidi="en-US"/>
        </w:rPr>
        <w:t>a（50万t</w:t>
      </w:r>
      <w:r>
        <w:rPr>
          <w:rFonts w:hint="default" w:ascii="Times New Roman" w:hAnsi="Times New Roman" w:cs="Times New Roman"/>
          <w:sz w:val="28"/>
          <w:szCs w:val="28"/>
          <w:lang w:val="en-US" w:eastAsia="zh-CN" w:bidi="en-US"/>
        </w:rPr>
        <w:t>/</w:t>
      </w:r>
      <w:r>
        <w:rPr>
          <w:rFonts w:hint="default" w:ascii="Times New Roman" w:hAnsi="Times New Roman" w:cs="Times New Roman"/>
          <w:sz w:val="28"/>
          <w:szCs w:val="28"/>
          <w:lang w:eastAsia="zh-CN" w:bidi="en-US"/>
        </w:rPr>
        <w:t>a）</w:t>
      </w:r>
      <w:r>
        <w:rPr>
          <w:rFonts w:hint="default" w:ascii="Times New Roman" w:hAnsi="Times New Roman" w:cs="Times New Roman"/>
          <w:sz w:val="28"/>
          <w:szCs w:val="28"/>
          <w:lang w:eastAsia="zh-CN"/>
        </w:rPr>
        <w:t>露天采矿工程</w:t>
      </w:r>
      <w:r>
        <w:rPr>
          <w:rFonts w:hint="default" w:ascii="Times New Roman" w:hAnsi="Times New Roman" w:cs="Times New Roman"/>
          <w:sz w:val="28"/>
          <w:szCs w:val="28"/>
        </w:rPr>
        <w:t>建设项目证照齐全、有效，建设项目建设程序合法。</w:t>
      </w:r>
    </w:p>
    <w:p w14:paraId="4CF12E34">
      <w:pPr>
        <w:spacing w:line="360" w:lineRule="auto"/>
        <w:ind w:firstLine="560" w:firstLineChars="200"/>
        <w:rPr>
          <w:rFonts w:hint="default" w:ascii="Times New Roman" w:hAnsi="Times New Roman" w:cs="Times New Roman"/>
          <w:sz w:val="28"/>
          <w:szCs w:val="28"/>
        </w:rPr>
      </w:pPr>
      <w:r>
        <w:rPr>
          <w:rFonts w:hint="default" w:ascii="Times New Roman" w:hAnsi="Times New Roman" w:cs="Times New Roman"/>
          <w:sz w:val="28"/>
          <w:szCs w:val="28"/>
        </w:rPr>
        <w:t>（2）</w:t>
      </w:r>
      <w:r>
        <w:rPr>
          <w:rFonts w:hint="default" w:ascii="Times New Roman" w:hAnsi="Times New Roman" w:cs="Times New Roman"/>
          <w:sz w:val="28"/>
          <w:szCs w:val="28"/>
          <w:lang w:eastAsia="zh-CN"/>
        </w:rPr>
        <w:t>弥勒市瑞垠矿业有限公司弥勒市小沙冲砂场</w:t>
      </w:r>
      <w:r>
        <w:rPr>
          <w:rFonts w:hint="default" w:ascii="Times New Roman" w:hAnsi="Times New Roman" w:cs="Times New Roman"/>
          <w:sz w:val="28"/>
          <w:szCs w:val="28"/>
          <w:lang w:eastAsia="zh-CN" w:bidi="en-US"/>
        </w:rPr>
        <w:t>22.22</w:t>
      </w:r>
      <w:r>
        <w:rPr>
          <w:rFonts w:hint="default" w:ascii="Times New Roman" w:hAnsi="Times New Roman" w:cs="Times New Roman"/>
          <w:sz w:val="28"/>
          <w:szCs w:val="28"/>
          <w:lang w:val="en-US" w:eastAsia="zh-CN" w:bidi="en-US"/>
        </w:rPr>
        <w:t>万</w:t>
      </w:r>
      <w:r>
        <w:rPr>
          <w:rFonts w:hint="default" w:ascii="Times New Roman" w:hAnsi="Times New Roman" w:cs="Times New Roman"/>
          <w:sz w:val="28"/>
          <w:szCs w:val="28"/>
          <w:lang w:eastAsia="zh-CN" w:bidi="en-US"/>
        </w:rPr>
        <w:t>m</w:t>
      </w:r>
      <w:r>
        <w:rPr>
          <w:rFonts w:hint="default" w:ascii="Times New Roman" w:hAnsi="Times New Roman" w:cs="Times New Roman"/>
          <w:sz w:val="28"/>
          <w:szCs w:val="28"/>
          <w:vertAlign w:val="superscript"/>
          <w:lang w:eastAsia="zh-CN" w:bidi="en-US"/>
        </w:rPr>
        <w:t>3</w:t>
      </w:r>
      <w:r>
        <w:rPr>
          <w:rFonts w:hint="default" w:ascii="Times New Roman" w:hAnsi="Times New Roman" w:cs="Times New Roman"/>
          <w:sz w:val="28"/>
          <w:szCs w:val="28"/>
          <w:lang w:val="en-US" w:eastAsia="zh-CN" w:bidi="en-US"/>
        </w:rPr>
        <w:t>/</w:t>
      </w:r>
      <w:r>
        <w:rPr>
          <w:rFonts w:hint="default" w:ascii="Times New Roman" w:hAnsi="Times New Roman" w:cs="Times New Roman"/>
          <w:sz w:val="28"/>
          <w:szCs w:val="28"/>
          <w:lang w:eastAsia="zh-CN" w:bidi="en-US"/>
        </w:rPr>
        <w:t>a（50万t</w:t>
      </w:r>
      <w:r>
        <w:rPr>
          <w:rFonts w:hint="default" w:ascii="Times New Roman" w:hAnsi="Times New Roman" w:cs="Times New Roman"/>
          <w:sz w:val="28"/>
          <w:szCs w:val="28"/>
          <w:lang w:val="en-US" w:eastAsia="zh-CN" w:bidi="en-US"/>
        </w:rPr>
        <w:t>/</w:t>
      </w:r>
      <w:r>
        <w:rPr>
          <w:rFonts w:hint="default" w:ascii="Times New Roman" w:hAnsi="Times New Roman" w:cs="Times New Roman"/>
          <w:sz w:val="28"/>
          <w:szCs w:val="28"/>
          <w:lang w:eastAsia="zh-CN" w:bidi="en-US"/>
        </w:rPr>
        <w:t>a）</w:t>
      </w:r>
      <w:r>
        <w:rPr>
          <w:rFonts w:hint="default" w:ascii="Times New Roman" w:hAnsi="Times New Roman" w:cs="Times New Roman"/>
          <w:sz w:val="28"/>
          <w:szCs w:val="28"/>
          <w:lang w:eastAsia="zh-CN"/>
        </w:rPr>
        <w:t>露天采矿工程</w:t>
      </w:r>
      <w:r>
        <w:rPr>
          <w:rFonts w:hint="default" w:ascii="Times New Roman" w:hAnsi="Times New Roman" w:cs="Times New Roman"/>
          <w:sz w:val="28"/>
          <w:szCs w:val="28"/>
        </w:rPr>
        <w:t>建设项目的选址合理，符合有关法律、法规、标准和规程的规定。</w:t>
      </w:r>
    </w:p>
    <w:p w14:paraId="30D9E203">
      <w:pPr>
        <w:spacing w:line="360" w:lineRule="auto"/>
        <w:ind w:firstLine="560" w:firstLineChars="200"/>
        <w:rPr>
          <w:rFonts w:hint="default" w:ascii="Times New Roman" w:hAnsi="Times New Roman" w:cs="Times New Roman"/>
          <w:sz w:val="28"/>
          <w:szCs w:val="28"/>
        </w:rPr>
      </w:pPr>
      <w:r>
        <w:rPr>
          <w:rFonts w:hint="default" w:ascii="Times New Roman" w:hAnsi="Times New Roman" w:cs="Times New Roman"/>
          <w:sz w:val="28"/>
          <w:szCs w:val="28"/>
        </w:rPr>
        <w:t>（3）《</w:t>
      </w:r>
      <w:r>
        <w:rPr>
          <w:rFonts w:hint="default" w:ascii="Times New Roman" w:hAnsi="Times New Roman" w:cs="Times New Roman"/>
          <w:sz w:val="28"/>
          <w:szCs w:val="28"/>
          <w:lang w:eastAsia="zh-CN"/>
        </w:rPr>
        <w:t>弥勒市瑞垠矿业有限公司弥勒市小沙冲砂场</w:t>
      </w:r>
      <w:r>
        <w:rPr>
          <w:rFonts w:hint="default" w:ascii="Times New Roman" w:hAnsi="Times New Roman" w:cs="Times New Roman"/>
          <w:sz w:val="28"/>
          <w:szCs w:val="28"/>
          <w:lang w:eastAsia="zh-CN" w:bidi="en-US"/>
        </w:rPr>
        <w:t>22.22</w:t>
      </w:r>
      <w:r>
        <w:rPr>
          <w:rFonts w:hint="default" w:ascii="Times New Roman" w:hAnsi="Times New Roman" w:cs="Times New Roman"/>
          <w:sz w:val="28"/>
          <w:szCs w:val="28"/>
          <w:lang w:val="en-US" w:eastAsia="zh-CN" w:bidi="en-US"/>
        </w:rPr>
        <w:t>万</w:t>
      </w:r>
      <w:r>
        <w:rPr>
          <w:rFonts w:hint="default" w:ascii="Times New Roman" w:hAnsi="Times New Roman" w:cs="Times New Roman"/>
          <w:sz w:val="28"/>
          <w:szCs w:val="28"/>
          <w:lang w:eastAsia="zh-CN" w:bidi="en-US"/>
        </w:rPr>
        <w:t>m</w:t>
      </w:r>
      <w:r>
        <w:rPr>
          <w:rFonts w:hint="default" w:ascii="Times New Roman" w:hAnsi="Times New Roman" w:cs="Times New Roman"/>
          <w:sz w:val="28"/>
          <w:szCs w:val="28"/>
          <w:vertAlign w:val="superscript"/>
          <w:lang w:eastAsia="zh-CN" w:bidi="en-US"/>
        </w:rPr>
        <w:t>3</w:t>
      </w:r>
      <w:r>
        <w:rPr>
          <w:rFonts w:hint="default" w:ascii="Times New Roman" w:hAnsi="Times New Roman" w:cs="Times New Roman"/>
          <w:sz w:val="28"/>
          <w:szCs w:val="28"/>
          <w:lang w:val="en-US" w:eastAsia="zh-CN" w:bidi="en-US"/>
        </w:rPr>
        <w:t>/</w:t>
      </w:r>
      <w:r>
        <w:rPr>
          <w:rFonts w:hint="default" w:ascii="Times New Roman" w:hAnsi="Times New Roman" w:cs="Times New Roman"/>
          <w:sz w:val="28"/>
          <w:szCs w:val="28"/>
          <w:lang w:eastAsia="zh-CN" w:bidi="en-US"/>
        </w:rPr>
        <w:t>a（50万t</w:t>
      </w:r>
      <w:r>
        <w:rPr>
          <w:rFonts w:hint="default" w:ascii="Times New Roman" w:hAnsi="Times New Roman" w:cs="Times New Roman"/>
          <w:sz w:val="28"/>
          <w:szCs w:val="28"/>
          <w:lang w:val="en-US" w:eastAsia="zh-CN" w:bidi="en-US"/>
        </w:rPr>
        <w:t>/</w:t>
      </w:r>
      <w:r>
        <w:rPr>
          <w:rFonts w:hint="default" w:ascii="Times New Roman" w:hAnsi="Times New Roman" w:cs="Times New Roman"/>
          <w:sz w:val="28"/>
          <w:szCs w:val="28"/>
          <w:lang w:eastAsia="zh-CN" w:bidi="en-US"/>
        </w:rPr>
        <w:t>a）</w:t>
      </w:r>
      <w:r>
        <w:rPr>
          <w:rFonts w:hint="default" w:ascii="Times New Roman" w:hAnsi="Times New Roman" w:cs="Times New Roman"/>
          <w:sz w:val="28"/>
          <w:szCs w:val="28"/>
          <w:lang w:eastAsia="zh-CN"/>
        </w:rPr>
        <w:t>露天采矿工程初步设计（代可研）</w:t>
      </w:r>
      <w:r>
        <w:rPr>
          <w:rFonts w:hint="default" w:ascii="Times New Roman" w:hAnsi="Times New Roman" w:cs="Times New Roman"/>
          <w:sz w:val="28"/>
          <w:szCs w:val="28"/>
        </w:rPr>
        <w:t>》方案中的工艺设计总体上符合《金属非金属矿山安全规程》（GB16423-2020）等法规的有关规定，露天开采各工艺参数符合相关规范要求。</w:t>
      </w:r>
    </w:p>
    <w:p w14:paraId="05F7151C">
      <w:pPr>
        <w:spacing w:line="360" w:lineRule="auto"/>
        <w:ind w:firstLine="560" w:firstLineChars="200"/>
        <w:rPr>
          <w:rFonts w:hint="default" w:ascii="Times New Roman" w:hAnsi="Times New Roman" w:cs="Times New Roman"/>
          <w:sz w:val="28"/>
          <w:szCs w:val="28"/>
        </w:rPr>
      </w:pPr>
      <w:r>
        <w:rPr>
          <w:rFonts w:hint="default" w:ascii="Times New Roman" w:hAnsi="Times New Roman" w:cs="Times New Roman"/>
          <w:sz w:val="28"/>
          <w:szCs w:val="28"/>
        </w:rPr>
        <w:t>（4）项目中虽然存在滚石、边坡失稳、滑坡、泥石流、物体打击、高处坠落、车辆伤害、机械伤害、火灾</w:t>
      </w:r>
      <w:r>
        <w:rPr>
          <w:rFonts w:hint="default" w:ascii="Times New Roman" w:hAnsi="Times New Roman" w:cs="Times New Roman"/>
          <w:sz w:val="28"/>
          <w:szCs w:val="28"/>
          <w:lang w:val="en-US" w:eastAsia="zh-CN"/>
        </w:rPr>
        <w:t>及</w:t>
      </w:r>
      <w:r>
        <w:rPr>
          <w:rFonts w:hint="default" w:ascii="Times New Roman" w:hAnsi="Times New Roman" w:cs="Times New Roman"/>
          <w:sz w:val="28"/>
          <w:szCs w:val="28"/>
        </w:rPr>
        <w:t>其他伤害等潜在的危险和有害因素，但在项目建设施工和生产过程中，通过落实</w:t>
      </w:r>
      <w:r>
        <w:rPr>
          <w:rFonts w:hint="default" w:ascii="Times New Roman" w:hAnsi="Times New Roman" w:cs="Times New Roman"/>
          <w:sz w:val="28"/>
          <w:szCs w:val="28"/>
          <w:lang w:val="en-US" w:eastAsia="zh-CN"/>
        </w:rPr>
        <w:t>可行性研究</w:t>
      </w:r>
      <w:r>
        <w:rPr>
          <w:rFonts w:hint="default" w:ascii="Times New Roman" w:hAnsi="Times New Roman" w:cs="Times New Roman"/>
          <w:sz w:val="28"/>
          <w:szCs w:val="28"/>
        </w:rPr>
        <w:t>方案中的安全对策措施和本次安全预评价报告补充的安全对策措施，切实针对项目中危险、有害因素对设计和生产设施进一步优化和完善，认真落实国家相关安全生产的法规、标准、规程、规范，加强事故预防和安全管理工作，即可为满足该项目安全生产的要求奠定基础，该项目潜在的危险、有害因素能得到控制，在可接受的范围内。</w:t>
      </w:r>
    </w:p>
    <w:p w14:paraId="461BC0E1">
      <w:pPr>
        <w:spacing w:line="360" w:lineRule="auto"/>
        <w:ind w:firstLine="562" w:firstLineChars="200"/>
        <w:rPr>
          <w:rFonts w:hint="default" w:ascii="Times New Roman" w:hAnsi="Times New Roman" w:cs="Times New Roman"/>
          <w:b/>
          <w:bCs/>
          <w:sz w:val="28"/>
          <w:szCs w:val="28"/>
        </w:rPr>
      </w:pPr>
      <w:r>
        <w:rPr>
          <w:rFonts w:hint="default" w:ascii="Times New Roman" w:hAnsi="Times New Roman" w:cs="Times New Roman"/>
          <w:b/>
          <w:bCs/>
          <w:sz w:val="28"/>
          <w:szCs w:val="28"/>
        </w:rPr>
        <w:t>经评价认为：</w:t>
      </w:r>
      <w:r>
        <w:rPr>
          <w:rFonts w:hint="default" w:ascii="Times New Roman" w:hAnsi="Times New Roman" w:cs="Times New Roman"/>
          <w:b/>
          <w:bCs/>
          <w:sz w:val="28"/>
          <w:szCs w:val="28"/>
          <w:lang w:eastAsia="zh-CN"/>
        </w:rPr>
        <w:t>弥勒市瑞垠矿业有限公司弥勒市小沙冲砂场22.22</w:t>
      </w:r>
      <w:r>
        <w:rPr>
          <w:rFonts w:hint="default" w:ascii="Times New Roman" w:hAnsi="Times New Roman" w:cs="Times New Roman"/>
          <w:b/>
          <w:bCs/>
          <w:sz w:val="28"/>
          <w:szCs w:val="28"/>
          <w:lang w:val="en-US" w:eastAsia="zh-CN"/>
        </w:rPr>
        <w:t>万</w:t>
      </w:r>
      <w:r>
        <w:rPr>
          <w:rFonts w:hint="default" w:ascii="Times New Roman" w:hAnsi="Times New Roman" w:cs="Times New Roman"/>
          <w:b/>
          <w:bCs/>
          <w:sz w:val="28"/>
          <w:szCs w:val="28"/>
          <w:lang w:eastAsia="zh-CN"/>
        </w:rPr>
        <w:t>m</w:t>
      </w:r>
      <w:r>
        <w:rPr>
          <w:rFonts w:hint="default" w:ascii="Times New Roman" w:hAnsi="Times New Roman" w:cs="Times New Roman"/>
          <w:b/>
          <w:bCs/>
          <w:sz w:val="28"/>
          <w:szCs w:val="28"/>
          <w:vertAlign w:val="superscript"/>
          <w:lang w:eastAsia="zh-CN"/>
        </w:rPr>
        <w:t>3</w:t>
      </w:r>
      <w:r>
        <w:rPr>
          <w:rFonts w:hint="default" w:ascii="Times New Roman" w:hAnsi="Times New Roman" w:cs="Times New Roman"/>
          <w:b/>
          <w:bCs/>
          <w:sz w:val="28"/>
          <w:szCs w:val="28"/>
          <w:lang w:val="en-US" w:eastAsia="zh-CN"/>
        </w:rPr>
        <w:t>/</w:t>
      </w:r>
      <w:r>
        <w:rPr>
          <w:rFonts w:hint="default" w:ascii="Times New Roman" w:hAnsi="Times New Roman" w:cs="Times New Roman"/>
          <w:b/>
          <w:bCs/>
          <w:sz w:val="28"/>
          <w:szCs w:val="28"/>
          <w:lang w:eastAsia="zh-CN"/>
        </w:rPr>
        <w:t>a（50万t</w:t>
      </w:r>
      <w:r>
        <w:rPr>
          <w:rFonts w:hint="default" w:ascii="Times New Roman" w:hAnsi="Times New Roman" w:cs="Times New Roman"/>
          <w:b/>
          <w:bCs/>
          <w:sz w:val="28"/>
          <w:szCs w:val="28"/>
          <w:lang w:val="en-US" w:eastAsia="zh-CN"/>
        </w:rPr>
        <w:t>/</w:t>
      </w:r>
      <w:r>
        <w:rPr>
          <w:rFonts w:hint="default" w:ascii="Times New Roman" w:hAnsi="Times New Roman" w:cs="Times New Roman"/>
          <w:b/>
          <w:bCs/>
          <w:sz w:val="28"/>
          <w:szCs w:val="28"/>
          <w:lang w:eastAsia="zh-CN"/>
        </w:rPr>
        <w:t>a）露天采矿工程</w:t>
      </w:r>
      <w:r>
        <w:rPr>
          <w:rFonts w:hint="default" w:ascii="Times New Roman" w:hAnsi="Times New Roman" w:cs="Times New Roman"/>
          <w:b/>
          <w:bCs/>
          <w:sz w:val="28"/>
          <w:szCs w:val="28"/>
        </w:rPr>
        <w:t>建设方案从安全生产角度符合国家相关法律、法规、规章、标准和规范的要求。</w:t>
      </w:r>
    </w:p>
    <w:p w14:paraId="528FBB1C">
      <w:pPr>
        <w:spacing w:line="360" w:lineRule="auto"/>
        <w:ind w:firstLine="560" w:firstLineChars="200"/>
        <w:rPr>
          <w:rFonts w:hint="default" w:ascii="Times New Roman" w:hAnsi="Times New Roman" w:cs="Times New Roman"/>
          <w:sz w:val="28"/>
          <w:szCs w:val="28"/>
        </w:rPr>
      </w:pPr>
      <w:r>
        <w:rPr>
          <w:rFonts w:hint="default" w:ascii="Times New Roman" w:hAnsi="Times New Roman" w:cs="Times New Roman"/>
          <w:sz w:val="28"/>
          <w:szCs w:val="28"/>
        </w:rPr>
        <w:t>在今后的设计、施工和生产过程中，建设单位应按有关法规和标准的要求，认真落实各项安全措施和预防手段，确保该项目的安全设施与主体工程同时设计、同时施工、同时投入生产和使用。根据本安全预评价报告中提出的安全对策措施，该项目应在下一步安全设施设计中进行完善与补充，以保证该项目建成投产后能安全运行。</w:t>
      </w:r>
    </w:p>
    <w:p w14:paraId="25E6B544">
      <w:pPr>
        <w:ind w:firstLine="560" w:firstLineChars="200"/>
        <w:rPr>
          <w:rFonts w:hint="default" w:ascii="Times New Roman" w:hAnsi="Times New Roman" w:cs="Times New Roman"/>
          <w:sz w:val="28"/>
          <w:szCs w:val="28"/>
        </w:rPr>
        <w:sectPr>
          <w:pgSz w:w="11905" w:h="16838"/>
          <w:pgMar w:top="1418" w:right="1134" w:bottom="1134" w:left="1588" w:header="850" w:footer="850" w:gutter="0"/>
          <w:cols w:space="720" w:num="1"/>
          <w:docGrid w:linePitch="332" w:charSpace="0"/>
        </w:sectPr>
      </w:pPr>
    </w:p>
    <w:p w14:paraId="3FBD63E6">
      <w:pPr>
        <w:pStyle w:val="2"/>
        <w:spacing w:before="0" w:after="0" w:line="360" w:lineRule="auto"/>
        <w:jc w:val="center"/>
        <w:rPr>
          <w:rFonts w:hint="default" w:ascii="Times New Roman" w:hAnsi="Times New Roman" w:eastAsia="黑体" w:cs="Times New Roman"/>
          <w:sz w:val="32"/>
          <w:szCs w:val="32"/>
        </w:rPr>
      </w:pPr>
      <w:bookmarkStart w:id="501" w:name="_Toc20427"/>
      <w:bookmarkStart w:id="502" w:name="_Toc9515"/>
      <w:bookmarkStart w:id="503" w:name="_Toc30075"/>
      <w:bookmarkStart w:id="504" w:name="_Toc965"/>
      <w:bookmarkStart w:id="505" w:name="_Toc17248"/>
      <w:bookmarkStart w:id="506" w:name="_Toc1010"/>
      <w:r>
        <w:rPr>
          <w:rFonts w:hint="default" w:ascii="Times New Roman" w:hAnsi="Times New Roman" w:eastAsia="黑体" w:cs="Times New Roman"/>
          <w:sz w:val="32"/>
          <w:szCs w:val="32"/>
        </w:rPr>
        <w:t>6.附件及附图</w:t>
      </w:r>
      <w:bookmarkEnd w:id="501"/>
      <w:bookmarkEnd w:id="502"/>
      <w:bookmarkEnd w:id="503"/>
      <w:bookmarkEnd w:id="504"/>
      <w:bookmarkEnd w:id="505"/>
      <w:bookmarkEnd w:id="506"/>
    </w:p>
    <w:p w14:paraId="1C90C783">
      <w:pPr>
        <w:spacing w:line="360" w:lineRule="auto"/>
        <w:jc w:val="center"/>
        <w:rPr>
          <w:rFonts w:hint="default" w:ascii="Times New Roman" w:hAnsi="Times New Roman" w:eastAsia="黑体" w:cs="Times New Roman"/>
          <w:b/>
          <w:sz w:val="30"/>
          <w:szCs w:val="30"/>
          <w:lang w:val="sq-AL"/>
        </w:rPr>
      </w:pPr>
      <w:r>
        <w:rPr>
          <w:rFonts w:hint="default" w:ascii="Times New Roman" w:hAnsi="Times New Roman" w:eastAsia="黑体" w:cs="Times New Roman"/>
          <w:b/>
          <w:sz w:val="30"/>
          <w:szCs w:val="30"/>
        </w:rPr>
        <w:t>6.1</w:t>
      </w:r>
      <w:r>
        <w:rPr>
          <w:rFonts w:hint="default" w:ascii="Times New Roman" w:hAnsi="Times New Roman" w:eastAsia="黑体" w:cs="Times New Roman"/>
          <w:b/>
          <w:sz w:val="30"/>
          <w:szCs w:val="30"/>
          <w:lang w:val="sq-AL"/>
        </w:rPr>
        <w:t>附件</w:t>
      </w:r>
    </w:p>
    <w:p w14:paraId="70F532BA">
      <w:pPr>
        <w:tabs>
          <w:tab w:val="center" w:pos="4872"/>
        </w:tabs>
        <w:spacing w:line="360" w:lineRule="auto"/>
        <w:ind w:firstLine="560" w:firstLineChars="200"/>
        <w:rPr>
          <w:rFonts w:hint="default" w:ascii="Times New Roman" w:hAnsi="Times New Roman" w:cs="Times New Roman"/>
          <w:sz w:val="28"/>
          <w:szCs w:val="28"/>
        </w:rPr>
      </w:pPr>
      <w:r>
        <w:rPr>
          <w:rFonts w:hint="default" w:ascii="Times New Roman" w:hAnsi="Times New Roman" w:cs="Times New Roman"/>
          <w:sz w:val="28"/>
          <w:szCs w:val="28"/>
        </w:rPr>
        <w:t>附件1：安全预评价委托书</w:t>
      </w:r>
    </w:p>
    <w:p w14:paraId="4D635412">
      <w:pPr>
        <w:tabs>
          <w:tab w:val="center" w:pos="4872"/>
        </w:tabs>
        <w:spacing w:line="360" w:lineRule="auto"/>
        <w:ind w:firstLine="560" w:firstLineChars="200"/>
        <w:rPr>
          <w:rFonts w:hint="default" w:ascii="Times New Roman" w:hAnsi="Times New Roman" w:cs="Times New Roman"/>
          <w:sz w:val="28"/>
          <w:szCs w:val="28"/>
        </w:rPr>
      </w:pPr>
      <w:r>
        <w:rPr>
          <w:rFonts w:hint="default" w:ascii="Times New Roman" w:hAnsi="Times New Roman" w:cs="Times New Roman"/>
          <w:sz w:val="28"/>
          <w:szCs w:val="28"/>
        </w:rPr>
        <w:t>附件2：提供材料真实性承诺书</w:t>
      </w:r>
    </w:p>
    <w:p w14:paraId="3A7E3185">
      <w:pPr>
        <w:spacing w:line="360" w:lineRule="auto"/>
        <w:ind w:firstLine="560" w:firstLineChars="200"/>
        <w:rPr>
          <w:rFonts w:hint="default" w:ascii="Times New Roman" w:hAnsi="Times New Roman" w:cs="Times New Roman"/>
          <w:sz w:val="28"/>
          <w:szCs w:val="28"/>
        </w:rPr>
      </w:pPr>
      <w:r>
        <w:rPr>
          <w:rFonts w:hint="default" w:ascii="Times New Roman" w:hAnsi="Times New Roman" w:cs="Times New Roman"/>
          <w:sz w:val="28"/>
          <w:szCs w:val="28"/>
        </w:rPr>
        <w:t>附件3：营业执照</w:t>
      </w:r>
    </w:p>
    <w:p w14:paraId="7B9F0F19">
      <w:pPr>
        <w:spacing w:line="360" w:lineRule="auto"/>
        <w:ind w:firstLine="560" w:firstLineChars="200"/>
        <w:rPr>
          <w:rFonts w:hint="default" w:ascii="Times New Roman" w:hAnsi="Times New Roman" w:cs="Times New Roman"/>
          <w:sz w:val="28"/>
          <w:szCs w:val="28"/>
        </w:rPr>
      </w:pPr>
      <w:r>
        <w:rPr>
          <w:rFonts w:hint="default" w:ascii="Times New Roman" w:hAnsi="Times New Roman" w:cs="Times New Roman"/>
          <w:sz w:val="28"/>
          <w:szCs w:val="28"/>
        </w:rPr>
        <w:t>附件4：采矿许可证</w:t>
      </w:r>
    </w:p>
    <w:p w14:paraId="57FD7F90">
      <w:pPr>
        <w:spacing w:line="360" w:lineRule="auto"/>
        <w:ind w:firstLine="560" w:firstLineChars="200"/>
        <w:rPr>
          <w:rFonts w:hint="default" w:ascii="Times New Roman" w:hAnsi="Times New Roman" w:eastAsia="宋体" w:cs="Times New Roman"/>
          <w:sz w:val="28"/>
          <w:szCs w:val="28"/>
          <w:lang w:val="en-US" w:eastAsia="zh-CN"/>
        </w:rPr>
      </w:pPr>
      <w:r>
        <w:rPr>
          <w:rFonts w:hint="default" w:ascii="Times New Roman" w:hAnsi="Times New Roman" w:cs="Times New Roman"/>
          <w:sz w:val="28"/>
          <w:szCs w:val="28"/>
        </w:rPr>
        <w:t>附件5：</w:t>
      </w:r>
      <w:r>
        <w:rPr>
          <w:rFonts w:hint="default" w:ascii="Times New Roman" w:hAnsi="Times New Roman" w:cs="Times New Roman"/>
          <w:sz w:val="28"/>
          <w:szCs w:val="28"/>
          <w:lang w:val="en-US" w:eastAsia="zh-CN"/>
        </w:rPr>
        <w:t>投资备案证</w:t>
      </w:r>
    </w:p>
    <w:p w14:paraId="645F2871">
      <w:pPr>
        <w:spacing w:line="360" w:lineRule="auto"/>
        <w:ind w:firstLine="560" w:firstLineChars="200"/>
        <w:rPr>
          <w:rFonts w:hint="default" w:ascii="Times New Roman" w:hAnsi="Times New Roman" w:cs="Times New Roman"/>
          <w:sz w:val="28"/>
          <w:szCs w:val="28"/>
        </w:rPr>
      </w:pPr>
      <w:r>
        <w:rPr>
          <w:rFonts w:hint="default" w:ascii="Times New Roman" w:hAnsi="Times New Roman" w:cs="Times New Roman"/>
          <w:sz w:val="28"/>
          <w:szCs w:val="28"/>
          <w:lang w:val="en-US" w:eastAsia="zh-CN"/>
        </w:rPr>
        <w:t>附件6：</w:t>
      </w:r>
      <w:r>
        <w:rPr>
          <w:rFonts w:hint="default" w:ascii="Times New Roman" w:hAnsi="Times New Roman" w:cs="Times New Roman"/>
          <w:sz w:val="28"/>
          <w:szCs w:val="28"/>
        </w:rPr>
        <w:t>原采矿许可证</w:t>
      </w:r>
    </w:p>
    <w:p w14:paraId="4C265B47">
      <w:pPr>
        <w:spacing w:line="360" w:lineRule="auto"/>
        <w:ind w:firstLine="560" w:firstLineChars="200"/>
        <w:rPr>
          <w:rFonts w:hint="default" w:ascii="Times New Roman" w:hAnsi="Times New Roman" w:cs="Times New Roman"/>
          <w:sz w:val="28"/>
          <w:szCs w:val="28"/>
        </w:rPr>
      </w:pPr>
      <w:r>
        <w:rPr>
          <w:rFonts w:hint="default" w:ascii="Times New Roman" w:hAnsi="Times New Roman" w:cs="Times New Roman"/>
          <w:sz w:val="28"/>
          <w:szCs w:val="28"/>
        </w:rPr>
        <w:t>附件</w:t>
      </w:r>
      <w:r>
        <w:rPr>
          <w:rFonts w:hint="default" w:ascii="Times New Roman" w:hAnsi="Times New Roman" w:cs="Times New Roman"/>
          <w:sz w:val="28"/>
          <w:szCs w:val="28"/>
          <w:lang w:val="en-US" w:eastAsia="zh-CN"/>
        </w:rPr>
        <w:t>7</w:t>
      </w:r>
      <w:r>
        <w:rPr>
          <w:rFonts w:hint="default" w:ascii="Times New Roman" w:hAnsi="Times New Roman" w:cs="Times New Roman"/>
          <w:sz w:val="28"/>
          <w:szCs w:val="28"/>
        </w:rPr>
        <w:t>：原安全生产许可证</w:t>
      </w:r>
    </w:p>
    <w:p w14:paraId="567E4FEF">
      <w:pPr>
        <w:spacing w:line="360" w:lineRule="auto"/>
        <w:ind w:firstLine="560" w:firstLineChars="200"/>
        <w:rPr>
          <w:rFonts w:hint="eastAsia" w:ascii="Times New Roman" w:hAnsi="Times New Roman" w:eastAsia="宋体" w:cs="Times New Roman"/>
          <w:sz w:val="28"/>
          <w:szCs w:val="28"/>
          <w:lang w:val="en-US" w:eastAsia="zh-CN"/>
        </w:rPr>
      </w:pPr>
      <w:r>
        <w:rPr>
          <w:rFonts w:hint="default" w:ascii="Times New Roman" w:hAnsi="Times New Roman" w:cs="Times New Roman"/>
          <w:sz w:val="28"/>
          <w:szCs w:val="28"/>
        </w:rPr>
        <w:t>附件</w:t>
      </w:r>
      <w:r>
        <w:rPr>
          <w:rFonts w:hint="default" w:ascii="Times New Roman" w:hAnsi="Times New Roman" w:cs="Times New Roman"/>
          <w:sz w:val="28"/>
          <w:szCs w:val="28"/>
          <w:lang w:val="en-US" w:eastAsia="zh-CN"/>
        </w:rPr>
        <w:t>9</w:t>
      </w:r>
      <w:r>
        <w:rPr>
          <w:rFonts w:hint="default" w:ascii="Times New Roman" w:hAnsi="Times New Roman" w:cs="Times New Roman"/>
          <w:sz w:val="28"/>
          <w:szCs w:val="28"/>
        </w:rPr>
        <w:t>：非煤矿山转型升级“四个一批”名单的批复</w:t>
      </w:r>
      <w:r>
        <w:rPr>
          <w:rFonts w:hint="eastAsia" w:cs="Times New Roman"/>
          <w:sz w:val="28"/>
          <w:szCs w:val="28"/>
          <w:lang w:val="en-US" w:eastAsia="zh-CN"/>
        </w:rPr>
        <w:t>及情况说明</w:t>
      </w:r>
    </w:p>
    <w:p w14:paraId="6869661D">
      <w:pPr>
        <w:spacing w:line="360" w:lineRule="auto"/>
        <w:ind w:firstLine="560" w:firstLineChars="200"/>
        <w:rPr>
          <w:rFonts w:hint="default" w:ascii="Times New Roman" w:hAnsi="Times New Roman" w:cs="Times New Roman"/>
          <w:sz w:val="28"/>
          <w:szCs w:val="28"/>
        </w:rPr>
      </w:pPr>
      <w:r>
        <w:rPr>
          <w:rFonts w:hint="eastAsia" w:cs="Times New Roman"/>
          <w:sz w:val="28"/>
          <w:szCs w:val="28"/>
          <w:lang w:val="en-US" w:eastAsia="zh-CN"/>
        </w:rPr>
        <w:t>附件10：</w:t>
      </w:r>
      <w:r>
        <w:rPr>
          <w:rFonts w:hint="eastAsia" w:ascii="Times New Roman" w:hAnsi="Times New Roman" w:cs="Times New Roman"/>
          <w:sz w:val="28"/>
          <w:szCs w:val="28"/>
          <w:lang w:eastAsia="zh-CN"/>
        </w:rPr>
        <w:t>《</w:t>
      </w:r>
      <w:r>
        <w:rPr>
          <w:rFonts w:hint="default" w:ascii="Times New Roman" w:hAnsi="Times New Roman" w:cs="Times New Roman"/>
          <w:sz w:val="28"/>
          <w:szCs w:val="28"/>
        </w:rPr>
        <w:t>行政处罚告知书</w:t>
      </w:r>
      <w:r>
        <w:rPr>
          <w:rFonts w:hint="eastAsia" w:ascii="Times New Roman" w:hAnsi="Times New Roman" w:cs="Times New Roman"/>
          <w:sz w:val="28"/>
          <w:szCs w:val="28"/>
          <w:lang w:eastAsia="zh-CN"/>
        </w:rPr>
        <w:t>》</w:t>
      </w:r>
      <w:r>
        <w:rPr>
          <w:rFonts w:hint="eastAsia" w:cs="Times New Roman"/>
          <w:sz w:val="28"/>
          <w:szCs w:val="28"/>
          <w:lang w:val="en-US" w:eastAsia="zh-CN"/>
        </w:rPr>
        <w:t>（弥）</w:t>
      </w:r>
      <w:r>
        <w:rPr>
          <w:rFonts w:hint="default" w:ascii="Times New Roman" w:hAnsi="Times New Roman" w:cs="Times New Roman"/>
          <w:sz w:val="28"/>
          <w:szCs w:val="28"/>
        </w:rPr>
        <w:t>应急告</w:t>
      </w:r>
      <w:r>
        <w:rPr>
          <w:rFonts w:hint="default" w:ascii="Times New Roman" w:hAnsi="Times New Roman" w:cs="Times New Roman"/>
          <w:snapToGrid w:val="0"/>
          <w:kern w:val="0"/>
          <w:sz w:val="28"/>
          <w:szCs w:val="24"/>
          <w:lang w:val="sq-AL"/>
        </w:rPr>
        <w:t>〔202</w:t>
      </w:r>
      <w:r>
        <w:rPr>
          <w:rFonts w:hint="eastAsia" w:cs="Times New Roman"/>
          <w:snapToGrid w:val="0"/>
          <w:kern w:val="0"/>
          <w:sz w:val="28"/>
          <w:szCs w:val="24"/>
          <w:lang w:val="en-US" w:eastAsia="zh-CN"/>
        </w:rPr>
        <w:t>5</w:t>
      </w:r>
      <w:r>
        <w:rPr>
          <w:rFonts w:hint="default" w:ascii="Times New Roman" w:hAnsi="Times New Roman" w:cs="Times New Roman"/>
          <w:snapToGrid w:val="0"/>
          <w:kern w:val="0"/>
          <w:sz w:val="28"/>
          <w:szCs w:val="24"/>
          <w:lang w:val="sq-AL"/>
        </w:rPr>
        <w:t>〕</w:t>
      </w:r>
      <w:r>
        <w:rPr>
          <w:rFonts w:hint="default" w:ascii="Times New Roman" w:hAnsi="Times New Roman" w:cs="Times New Roman"/>
          <w:sz w:val="28"/>
          <w:szCs w:val="28"/>
        </w:rPr>
        <w:t>非煤-1号</w:t>
      </w:r>
    </w:p>
    <w:p w14:paraId="72B913E4">
      <w:pPr>
        <w:spacing w:line="360" w:lineRule="auto"/>
        <w:ind w:firstLine="560" w:firstLineChars="200"/>
        <w:rPr>
          <w:rFonts w:hint="eastAsia" w:ascii="Times New Roman" w:hAnsi="Times New Roman" w:eastAsia="宋体" w:cs="Times New Roman"/>
          <w:sz w:val="28"/>
          <w:szCs w:val="28"/>
          <w:lang w:val="en-US" w:eastAsia="zh-CN"/>
        </w:rPr>
      </w:pPr>
      <w:r>
        <w:rPr>
          <w:rFonts w:hint="eastAsia" w:ascii="Times New Roman" w:hAnsi="Times New Roman" w:cs="Times New Roman"/>
          <w:sz w:val="28"/>
          <w:szCs w:val="28"/>
          <w:lang w:val="en-US" w:eastAsia="zh-CN"/>
        </w:rPr>
        <w:t>附件1</w:t>
      </w:r>
      <w:r>
        <w:rPr>
          <w:rFonts w:hint="eastAsia" w:cs="Times New Roman"/>
          <w:sz w:val="28"/>
          <w:szCs w:val="28"/>
          <w:lang w:val="en-US" w:eastAsia="zh-CN"/>
        </w:rPr>
        <w:t>1：</w:t>
      </w:r>
      <w:r>
        <w:rPr>
          <w:rFonts w:hint="eastAsia" w:cs="Times New Roman"/>
          <w:sz w:val="28"/>
          <w:szCs w:val="28"/>
          <w:lang w:eastAsia="zh-CN"/>
        </w:rPr>
        <w:t>《</w:t>
      </w:r>
      <w:r>
        <w:rPr>
          <w:rFonts w:hint="eastAsia" w:cs="Times New Roman"/>
          <w:sz w:val="28"/>
          <w:szCs w:val="28"/>
          <w:lang w:val="en-US" w:eastAsia="zh-CN"/>
        </w:rPr>
        <w:t>行政处罚决定书》（弥）应急罚</w:t>
      </w:r>
      <w:r>
        <w:rPr>
          <w:rFonts w:hint="default" w:ascii="Times New Roman" w:hAnsi="Times New Roman" w:cs="Times New Roman"/>
          <w:snapToGrid w:val="0"/>
          <w:kern w:val="0"/>
          <w:sz w:val="28"/>
          <w:szCs w:val="24"/>
          <w:lang w:val="sq-AL"/>
        </w:rPr>
        <w:t>〔202</w:t>
      </w:r>
      <w:r>
        <w:rPr>
          <w:rFonts w:hint="eastAsia" w:cs="Times New Roman"/>
          <w:snapToGrid w:val="0"/>
          <w:kern w:val="0"/>
          <w:sz w:val="28"/>
          <w:szCs w:val="24"/>
          <w:lang w:val="en-US" w:eastAsia="zh-CN"/>
        </w:rPr>
        <w:t>5</w:t>
      </w:r>
      <w:r>
        <w:rPr>
          <w:rFonts w:hint="default" w:ascii="Times New Roman" w:hAnsi="Times New Roman" w:cs="Times New Roman"/>
          <w:snapToGrid w:val="0"/>
          <w:kern w:val="0"/>
          <w:sz w:val="28"/>
          <w:szCs w:val="24"/>
          <w:lang w:val="sq-AL"/>
        </w:rPr>
        <w:t>〕</w:t>
      </w:r>
      <w:r>
        <w:rPr>
          <w:rFonts w:hint="eastAsia" w:cs="Times New Roman"/>
          <w:sz w:val="28"/>
          <w:szCs w:val="28"/>
          <w:lang w:val="en-US" w:eastAsia="zh-CN"/>
        </w:rPr>
        <w:t>非煤-1号</w:t>
      </w:r>
    </w:p>
    <w:p w14:paraId="3256B5ED">
      <w:pPr>
        <w:spacing w:line="360" w:lineRule="auto"/>
        <w:ind w:firstLine="560" w:firstLineChars="200"/>
        <w:rPr>
          <w:rFonts w:hint="default" w:ascii="Times New Roman" w:hAnsi="Times New Roman" w:eastAsia="宋体" w:cs="Times New Roman"/>
          <w:sz w:val="28"/>
          <w:szCs w:val="28"/>
          <w:lang w:eastAsia="zh-CN"/>
        </w:rPr>
      </w:pPr>
      <w:r>
        <w:rPr>
          <w:rFonts w:hint="eastAsia" w:cs="Times New Roman"/>
          <w:sz w:val="28"/>
          <w:szCs w:val="28"/>
          <w:lang w:val="en-US" w:eastAsia="zh-CN"/>
        </w:rPr>
        <w:t>附件12：</w:t>
      </w:r>
      <w:r>
        <w:rPr>
          <w:rFonts w:hint="default" w:ascii="Times New Roman" w:hAnsi="Times New Roman" w:cs="Times New Roman"/>
          <w:sz w:val="28"/>
          <w:szCs w:val="28"/>
        </w:rPr>
        <w:t>《</w:t>
      </w:r>
      <w:r>
        <w:rPr>
          <w:rFonts w:hint="default" w:ascii="Times New Roman" w:hAnsi="Times New Roman" w:cs="Times New Roman"/>
          <w:sz w:val="28"/>
          <w:szCs w:val="28"/>
          <w:lang w:eastAsia="zh-CN"/>
        </w:rPr>
        <w:t>弥勒市瑞垠矿业有限公司弥勒市小沙冲砂场</w:t>
      </w:r>
      <w:r>
        <w:rPr>
          <w:rFonts w:hint="default" w:ascii="Times New Roman" w:hAnsi="Times New Roman" w:cs="Times New Roman"/>
          <w:sz w:val="28"/>
          <w:szCs w:val="28"/>
          <w:lang w:eastAsia="zh-CN" w:bidi="en-US"/>
        </w:rPr>
        <w:t>22.22</w:t>
      </w:r>
      <w:r>
        <w:rPr>
          <w:rFonts w:hint="default" w:ascii="Times New Roman" w:hAnsi="Times New Roman" w:cs="Times New Roman"/>
          <w:sz w:val="28"/>
          <w:szCs w:val="28"/>
          <w:lang w:val="en-US" w:eastAsia="zh-CN" w:bidi="en-US"/>
        </w:rPr>
        <w:t>万</w:t>
      </w:r>
      <w:r>
        <w:rPr>
          <w:rFonts w:hint="default" w:ascii="Times New Roman" w:hAnsi="Times New Roman" w:cs="Times New Roman"/>
          <w:sz w:val="28"/>
          <w:szCs w:val="28"/>
          <w:lang w:eastAsia="zh-CN" w:bidi="en-US"/>
        </w:rPr>
        <w:t>m</w:t>
      </w:r>
      <w:r>
        <w:rPr>
          <w:rFonts w:hint="default" w:ascii="Times New Roman" w:hAnsi="Times New Roman" w:cs="Times New Roman"/>
          <w:sz w:val="28"/>
          <w:szCs w:val="28"/>
          <w:vertAlign w:val="superscript"/>
          <w:lang w:eastAsia="zh-CN" w:bidi="en-US"/>
        </w:rPr>
        <w:t>3</w:t>
      </w:r>
      <w:r>
        <w:rPr>
          <w:rFonts w:hint="default" w:ascii="Times New Roman" w:hAnsi="Times New Roman" w:cs="Times New Roman"/>
          <w:sz w:val="28"/>
          <w:szCs w:val="28"/>
          <w:lang w:val="en-US" w:eastAsia="zh-CN" w:bidi="en-US"/>
        </w:rPr>
        <w:t>/</w:t>
      </w:r>
      <w:r>
        <w:rPr>
          <w:rFonts w:hint="default" w:ascii="Times New Roman" w:hAnsi="Times New Roman" w:cs="Times New Roman"/>
          <w:sz w:val="28"/>
          <w:szCs w:val="28"/>
          <w:lang w:eastAsia="zh-CN" w:bidi="en-US"/>
        </w:rPr>
        <w:t>a（50万t</w:t>
      </w:r>
      <w:r>
        <w:rPr>
          <w:rFonts w:hint="default" w:ascii="Times New Roman" w:hAnsi="Times New Roman" w:cs="Times New Roman"/>
          <w:sz w:val="28"/>
          <w:szCs w:val="28"/>
          <w:lang w:val="en-US" w:eastAsia="zh-CN" w:bidi="en-US"/>
        </w:rPr>
        <w:t>/</w:t>
      </w:r>
      <w:r>
        <w:rPr>
          <w:rFonts w:hint="default" w:ascii="Times New Roman" w:hAnsi="Times New Roman" w:cs="Times New Roman"/>
          <w:sz w:val="28"/>
          <w:szCs w:val="28"/>
          <w:lang w:eastAsia="zh-CN" w:bidi="en-US"/>
        </w:rPr>
        <w:t>a）</w:t>
      </w:r>
      <w:r>
        <w:rPr>
          <w:rFonts w:hint="default" w:ascii="Times New Roman" w:hAnsi="Times New Roman" w:cs="Times New Roman"/>
          <w:sz w:val="28"/>
          <w:szCs w:val="28"/>
          <w:lang w:eastAsia="zh-CN"/>
        </w:rPr>
        <w:t>露天采矿工程</w:t>
      </w:r>
      <w:r>
        <w:rPr>
          <w:rFonts w:hint="default" w:ascii="Times New Roman" w:hAnsi="Times New Roman" w:cs="Times New Roman"/>
          <w:spacing w:val="-6"/>
          <w:kern w:val="28"/>
          <w:sz w:val="28"/>
          <w:szCs w:val="28"/>
          <w:lang w:eastAsia="zh-CN"/>
        </w:rPr>
        <w:t>初步设计（代可研）</w:t>
      </w:r>
      <w:r>
        <w:rPr>
          <w:rFonts w:hint="default" w:ascii="Times New Roman" w:hAnsi="Times New Roman" w:cs="Times New Roman"/>
          <w:sz w:val="28"/>
          <w:szCs w:val="28"/>
        </w:rPr>
        <w:t>》</w:t>
      </w:r>
      <w:r>
        <w:rPr>
          <w:rFonts w:hint="default" w:ascii="Times New Roman" w:hAnsi="Times New Roman" w:cs="Times New Roman"/>
          <w:sz w:val="28"/>
          <w:szCs w:val="28"/>
          <w:lang w:val="en-US" w:eastAsia="zh-CN"/>
        </w:rPr>
        <w:t>扉页</w:t>
      </w:r>
    </w:p>
    <w:p w14:paraId="0EF0500C">
      <w:pPr>
        <w:spacing w:line="360" w:lineRule="auto"/>
        <w:ind w:firstLine="560" w:firstLineChars="200"/>
        <w:rPr>
          <w:rFonts w:hint="default" w:ascii="Times New Roman" w:hAnsi="Times New Roman" w:eastAsia="宋体" w:cs="Times New Roman"/>
          <w:sz w:val="28"/>
          <w:szCs w:val="28"/>
          <w:lang w:val="en-US" w:eastAsia="zh-CN"/>
        </w:rPr>
        <w:sectPr>
          <w:pgSz w:w="11905" w:h="16838"/>
          <w:pgMar w:top="1418" w:right="1134" w:bottom="1134" w:left="1588" w:header="850" w:footer="850" w:gutter="0"/>
          <w:cols w:space="720" w:num="1"/>
          <w:docGrid w:linePitch="332" w:charSpace="0"/>
        </w:sectPr>
      </w:pPr>
      <w:r>
        <w:rPr>
          <w:rFonts w:hint="default" w:ascii="Times New Roman" w:hAnsi="Times New Roman" w:cs="Times New Roman"/>
          <w:sz w:val="28"/>
          <w:szCs w:val="28"/>
          <w:lang w:val="en-US" w:eastAsia="zh-CN"/>
        </w:rPr>
        <w:t>附件</w:t>
      </w:r>
      <w:r>
        <w:rPr>
          <w:rFonts w:hint="eastAsia" w:cs="Times New Roman"/>
          <w:sz w:val="28"/>
          <w:szCs w:val="28"/>
          <w:lang w:val="en-US" w:eastAsia="zh-CN"/>
        </w:rPr>
        <w:t>13</w:t>
      </w:r>
      <w:r>
        <w:rPr>
          <w:rFonts w:hint="default" w:ascii="Times New Roman" w:hAnsi="Times New Roman" w:cs="Times New Roman"/>
          <w:sz w:val="28"/>
          <w:szCs w:val="28"/>
          <w:lang w:val="en-US" w:eastAsia="zh-CN"/>
        </w:rPr>
        <w:t>：安全评价检测检验机构从业告知书</w:t>
      </w:r>
    </w:p>
    <w:p w14:paraId="4B0AA762">
      <w:pPr>
        <w:spacing w:line="360" w:lineRule="auto"/>
        <w:jc w:val="center"/>
        <w:rPr>
          <w:rFonts w:hint="default" w:ascii="Times New Roman" w:hAnsi="Times New Roman" w:eastAsia="黑体" w:cs="Times New Roman"/>
          <w:b/>
          <w:bCs/>
          <w:sz w:val="30"/>
          <w:szCs w:val="30"/>
          <w:lang w:val="sq-AL"/>
        </w:rPr>
      </w:pPr>
      <w:bookmarkStart w:id="507" w:name="_Toc329899609"/>
      <w:r>
        <w:rPr>
          <w:rFonts w:hint="default" w:ascii="Times New Roman" w:hAnsi="Times New Roman" w:eastAsia="黑体" w:cs="Times New Roman"/>
          <w:b/>
          <w:bCs/>
          <w:sz w:val="30"/>
          <w:szCs w:val="30"/>
        </w:rPr>
        <w:t>6.2</w:t>
      </w:r>
      <w:r>
        <w:rPr>
          <w:rFonts w:hint="default" w:ascii="Times New Roman" w:hAnsi="Times New Roman" w:eastAsia="黑体" w:cs="Times New Roman"/>
          <w:b/>
          <w:bCs/>
          <w:sz w:val="30"/>
          <w:szCs w:val="30"/>
          <w:lang w:val="sq-AL"/>
        </w:rPr>
        <w:t>附图</w:t>
      </w:r>
    </w:p>
    <w:bookmarkEnd w:id="507"/>
    <w:p w14:paraId="633FD28E">
      <w:pPr>
        <w:spacing w:line="360" w:lineRule="auto"/>
        <w:ind w:firstLine="560" w:firstLineChars="200"/>
        <w:rPr>
          <w:rFonts w:hint="default" w:ascii="Times New Roman" w:hAnsi="Times New Roman" w:cs="Times New Roman"/>
          <w:sz w:val="28"/>
          <w:szCs w:val="28"/>
        </w:rPr>
      </w:pPr>
      <w:r>
        <w:rPr>
          <w:rFonts w:hint="default" w:ascii="Times New Roman" w:hAnsi="Times New Roman" w:cs="Times New Roman"/>
          <w:sz w:val="28"/>
          <w:szCs w:val="28"/>
        </w:rPr>
        <w:t>附图1：矿区范围图及现状平面图</w:t>
      </w:r>
    </w:p>
    <w:p w14:paraId="783370BF">
      <w:pPr>
        <w:spacing w:line="360" w:lineRule="auto"/>
        <w:ind w:firstLine="560" w:firstLineChars="200"/>
        <w:rPr>
          <w:rFonts w:hint="default" w:ascii="Times New Roman" w:hAnsi="Times New Roman" w:cs="Times New Roman"/>
          <w:sz w:val="28"/>
          <w:szCs w:val="28"/>
        </w:rPr>
      </w:pPr>
      <w:r>
        <w:rPr>
          <w:rFonts w:hint="default" w:ascii="Times New Roman" w:hAnsi="Times New Roman" w:cs="Times New Roman"/>
          <w:sz w:val="28"/>
          <w:szCs w:val="28"/>
        </w:rPr>
        <w:t>附图2：总平面布置图</w:t>
      </w:r>
    </w:p>
    <w:p w14:paraId="4FC67D52">
      <w:pPr>
        <w:spacing w:line="360" w:lineRule="auto"/>
        <w:ind w:firstLine="560" w:firstLineChars="200"/>
        <w:rPr>
          <w:rFonts w:hint="default" w:ascii="Times New Roman" w:hAnsi="Times New Roman" w:eastAsia="宋体" w:cs="Times New Roman"/>
          <w:sz w:val="28"/>
          <w:szCs w:val="28"/>
          <w:lang w:val="en-US" w:eastAsia="zh-CN"/>
        </w:rPr>
      </w:pPr>
      <w:r>
        <w:rPr>
          <w:rFonts w:hint="default" w:ascii="Times New Roman" w:hAnsi="Times New Roman" w:cs="Times New Roman"/>
          <w:sz w:val="28"/>
          <w:szCs w:val="28"/>
        </w:rPr>
        <w:t>附图3：</w:t>
      </w:r>
      <w:r>
        <w:rPr>
          <w:rFonts w:hint="default" w:ascii="Times New Roman" w:hAnsi="Times New Roman" w:cs="Times New Roman"/>
          <w:sz w:val="28"/>
          <w:szCs w:val="28"/>
          <w:lang w:val="en-US" w:eastAsia="zh-CN"/>
        </w:rPr>
        <w:t>基建终了图</w:t>
      </w:r>
    </w:p>
    <w:p w14:paraId="2912427A">
      <w:pPr>
        <w:spacing w:line="360" w:lineRule="auto"/>
        <w:ind w:firstLine="560" w:firstLineChars="200"/>
        <w:rPr>
          <w:rFonts w:hint="default" w:ascii="Times New Roman" w:hAnsi="Times New Roman" w:cs="Times New Roman"/>
          <w:sz w:val="28"/>
          <w:szCs w:val="28"/>
          <w:lang w:eastAsia="zh-CN"/>
        </w:rPr>
      </w:pPr>
      <w:r>
        <w:rPr>
          <w:rFonts w:hint="default" w:ascii="Times New Roman" w:hAnsi="Times New Roman" w:cs="Times New Roman"/>
          <w:sz w:val="28"/>
          <w:szCs w:val="28"/>
        </w:rPr>
        <w:t>附图</w:t>
      </w:r>
      <w:r>
        <w:rPr>
          <w:rFonts w:hint="eastAsia" w:cs="Times New Roman"/>
          <w:sz w:val="28"/>
          <w:szCs w:val="28"/>
          <w:lang w:val="en-US" w:eastAsia="zh-CN"/>
        </w:rPr>
        <w:t>4</w:t>
      </w:r>
      <w:r>
        <w:rPr>
          <w:rFonts w:hint="default" w:ascii="Times New Roman" w:hAnsi="Times New Roman" w:cs="Times New Roman"/>
          <w:sz w:val="28"/>
          <w:szCs w:val="28"/>
          <w:lang w:eastAsia="zh-CN"/>
        </w:rPr>
        <w:t>：开采终了图</w:t>
      </w:r>
    </w:p>
    <w:p w14:paraId="23DFB494">
      <w:pPr>
        <w:spacing w:line="360" w:lineRule="auto"/>
        <w:ind w:firstLine="560" w:firstLineChars="200"/>
        <w:rPr>
          <w:rFonts w:hint="default" w:ascii="Times New Roman" w:hAnsi="Times New Roman" w:cs="Times New Roman"/>
          <w:sz w:val="28"/>
          <w:szCs w:val="28"/>
          <w:lang w:val="en-US" w:eastAsia="zh-CN"/>
        </w:rPr>
      </w:pPr>
      <w:r>
        <w:rPr>
          <w:rFonts w:hint="default" w:ascii="Times New Roman" w:hAnsi="Times New Roman" w:cs="Times New Roman"/>
          <w:sz w:val="28"/>
          <w:szCs w:val="28"/>
        </w:rPr>
        <w:t>附图</w:t>
      </w:r>
      <w:r>
        <w:rPr>
          <w:rFonts w:hint="eastAsia" w:cs="Times New Roman"/>
          <w:sz w:val="28"/>
          <w:szCs w:val="28"/>
          <w:lang w:val="en-US" w:eastAsia="zh-CN"/>
        </w:rPr>
        <w:t>5</w:t>
      </w:r>
      <w:r>
        <w:rPr>
          <w:rFonts w:hint="default" w:ascii="Times New Roman" w:hAnsi="Times New Roman" w:cs="Times New Roman"/>
          <w:sz w:val="28"/>
          <w:szCs w:val="28"/>
          <w:lang w:eastAsia="zh-CN"/>
        </w:rPr>
        <w:t>：</w:t>
      </w:r>
      <w:r>
        <w:rPr>
          <w:rFonts w:hint="default" w:ascii="Times New Roman" w:hAnsi="Times New Roman" w:cs="Times New Roman"/>
          <w:sz w:val="28"/>
          <w:szCs w:val="28"/>
          <w:lang w:val="en-US" w:eastAsia="zh-CN"/>
        </w:rPr>
        <w:t>设计剖面图</w:t>
      </w:r>
    </w:p>
    <w:p w14:paraId="27ABB88C">
      <w:pPr>
        <w:spacing w:line="360" w:lineRule="auto"/>
        <w:ind w:firstLine="560" w:firstLineChars="200"/>
        <w:rPr>
          <w:rFonts w:hint="default" w:ascii="Times New Roman" w:hAnsi="Times New Roman" w:cs="Times New Roman"/>
        </w:rPr>
      </w:pPr>
      <w:r>
        <w:rPr>
          <w:rFonts w:hint="default" w:ascii="Times New Roman" w:hAnsi="Times New Roman" w:eastAsia="宋体" w:cs="Times New Roman"/>
          <w:sz w:val="28"/>
          <w:szCs w:val="28"/>
          <w:lang w:eastAsia="zh-CN"/>
        </w:rPr>
        <w:t>附图</w:t>
      </w:r>
      <w:r>
        <w:rPr>
          <w:rFonts w:hint="eastAsia" w:cs="Times New Roman"/>
          <w:sz w:val="28"/>
          <w:szCs w:val="28"/>
          <w:lang w:val="en-US" w:eastAsia="zh-CN"/>
        </w:rPr>
        <w:t>6</w:t>
      </w:r>
      <w:r>
        <w:rPr>
          <w:rFonts w:hint="default" w:ascii="Times New Roman" w:hAnsi="Times New Roman" w:eastAsia="宋体" w:cs="Times New Roman"/>
          <w:sz w:val="28"/>
          <w:szCs w:val="28"/>
          <w:lang w:eastAsia="zh-CN"/>
        </w:rPr>
        <w:t>：</w:t>
      </w:r>
      <w:r>
        <w:rPr>
          <w:rFonts w:hint="default" w:ascii="Times New Roman" w:hAnsi="Times New Roman" w:cs="Times New Roman"/>
          <w:sz w:val="28"/>
          <w:szCs w:val="28"/>
          <w:lang w:val="en-US" w:eastAsia="zh-CN"/>
        </w:rPr>
        <w:t>开采</w:t>
      </w:r>
      <w:r>
        <w:rPr>
          <w:rFonts w:hint="default" w:ascii="Times New Roman" w:hAnsi="Times New Roman" w:eastAsia="宋体" w:cs="Times New Roman"/>
          <w:sz w:val="28"/>
          <w:szCs w:val="28"/>
        </w:rPr>
        <w:t>工艺图</w:t>
      </w:r>
    </w:p>
    <w:p w14:paraId="625E794E">
      <w:pPr>
        <w:spacing w:line="360" w:lineRule="auto"/>
        <w:ind w:firstLine="560" w:firstLineChars="200"/>
        <w:rPr>
          <w:rFonts w:hint="default" w:ascii="Times New Roman" w:hAnsi="Times New Roman" w:cs="Times New Roman"/>
          <w:sz w:val="28"/>
          <w:szCs w:val="28"/>
          <w:lang w:val="en-US" w:eastAsia="zh-CN"/>
        </w:rPr>
      </w:pPr>
      <w:r>
        <w:rPr>
          <w:rFonts w:hint="default" w:ascii="Times New Roman" w:hAnsi="Times New Roman" w:cs="Times New Roman"/>
          <w:sz w:val="28"/>
          <w:szCs w:val="28"/>
          <w:lang w:val="en-US" w:eastAsia="zh-CN"/>
        </w:rPr>
        <w:t>附图</w:t>
      </w:r>
      <w:r>
        <w:rPr>
          <w:rFonts w:hint="eastAsia" w:cs="Times New Roman"/>
          <w:sz w:val="28"/>
          <w:szCs w:val="28"/>
          <w:lang w:val="en-US" w:eastAsia="zh-CN"/>
        </w:rPr>
        <w:t>7</w:t>
      </w:r>
      <w:r>
        <w:rPr>
          <w:rFonts w:hint="default" w:ascii="Times New Roman" w:hAnsi="Times New Roman" w:cs="Times New Roman"/>
          <w:sz w:val="28"/>
          <w:szCs w:val="28"/>
          <w:lang w:val="en-US" w:eastAsia="zh-CN"/>
        </w:rPr>
        <w:t>：供配电系统图</w:t>
      </w:r>
      <w:bookmarkStart w:id="508" w:name="_GoBack"/>
      <w:bookmarkEnd w:id="508"/>
    </w:p>
    <w:p w14:paraId="11075C7D">
      <w:pPr>
        <w:rPr>
          <w:rFonts w:hint="default" w:ascii="Times New Roman" w:hAnsi="Times New Roman" w:cs="Times New Roman"/>
        </w:rPr>
      </w:pPr>
    </w:p>
    <w:sectPr>
      <w:pgSz w:w="11905" w:h="16838"/>
      <w:pgMar w:top="1418" w:right="1134" w:bottom="1134" w:left="1588" w:header="850" w:footer="850" w:gutter="0"/>
      <w:cols w:space="720" w:num="1"/>
      <w:docGrid w:linePitch="33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Light">
    <w:panose1 w:val="02010600030101010101"/>
    <w:charset w:val="86"/>
    <w:family w:val="auto"/>
    <w:pitch w:val="default"/>
    <w:sig w:usb0="A00002BF" w:usb1="38CF7CFA" w:usb2="00000016" w:usb3="00000000" w:csb0="0004000F" w:csb1="00000000"/>
  </w:font>
  <w:font w:name="Cambria">
    <w:panose1 w:val="02040503050406030204"/>
    <w:charset w:val="00"/>
    <w:family w:val="roman"/>
    <w:pitch w:val="default"/>
    <w:sig w:usb0="E00006FF" w:usb1="420024FF" w:usb2="02000000" w:usb3="00000000" w:csb0="2000019F" w:csb1="00000000"/>
  </w:font>
  <w:font w:name="Times">
    <w:altName w:val="Times New Roman"/>
    <w:panose1 w:val="02020603050405020304"/>
    <w:charset w:val="00"/>
    <w:family w:val="roman"/>
    <w:pitch w:val="default"/>
    <w:sig w:usb0="00000000" w:usb1="00000000" w:usb2="00000009" w:usb3="00000000" w:csb0="000001F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serif">
    <w:altName w:val="微软雅黑"/>
    <w:panose1 w:val="00000000000000000000"/>
    <w:charset w:val="00"/>
    <w:family w:val="auto"/>
    <w:pitch w:val="default"/>
    <w:sig w:usb0="00000000"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 w:name="MingLiU">
    <w:altName w:val="PMingLiU-ExtB"/>
    <w:panose1 w:val="02010609000101010101"/>
    <w:charset w:val="88"/>
    <w:family w:val="moder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Arial Narrow">
    <w:panose1 w:val="020B0606020202030204"/>
    <w:charset w:val="00"/>
    <w:family w:val="swiss"/>
    <w:pitch w:val="default"/>
    <w:sig w:usb0="00000287" w:usb1="00000800" w:usb2="00000000" w:usb3="00000000" w:csb0="2000009F" w:csb1="DFD70000"/>
  </w:font>
  <w:font w:name="Arial Unicode MS">
    <w:altName w:val="宋体"/>
    <w:panose1 w:val="020B0604020202020204"/>
    <w:charset w:val="86"/>
    <w:family w:val="roman"/>
    <w:pitch w:val="default"/>
    <w:sig w:usb0="00000000" w:usb1="00000000" w:usb2="0000003F" w:usb3="00000000" w:csb0="603F01FF" w:csb1="FFFF0000"/>
  </w:font>
  <w:font w:name="楷体">
    <w:panose1 w:val="02010609060101010101"/>
    <w:charset w:val="86"/>
    <w:family w:val="modern"/>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Cambria Math">
    <w:panose1 w:val="02040503050406030204"/>
    <w:charset w:val="00"/>
    <w:family w:val="roman"/>
    <w:pitch w:val="default"/>
    <w:sig w:usb0="E00006FF" w:usb1="420024FF" w:usb2="02000000" w:usb3="00000000" w:csb0="2000019F" w:csb1="00000000"/>
  </w:font>
  <w:font w:name="PMingLiU">
    <w:altName w:val="Microsoft JhengHei UI"/>
    <w:panose1 w:val="02010601000101010101"/>
    <w:charset w:val="88"/>
    <w:family w:val="roman"/>
    <w:pitch w:val="default"/>
    <w:sig w:usb0="00000000" w:usb1="00000000" w:usb2="00000016" w:usb3="00000000" w:csb0="00100001" w:csb1="00000000"/>
  </w:font>
  <w:font w:name="Microsoft JhengHei UI">
    <w:panose1 w:val="020B0604030504040204"/>
    <w:charset w:val="88"/>
    <w:family w:val="auto"/>
    <w:pitch w:val="default"/>
    <w:sig w:usb0="000002A7" w:usb1="28CF4400" w:usb2="00000016" w:usb3="00000000" w:csb0="00100009"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MS PGothic">
    <w:panose1 w:val="020B0600070205080204"/>
    <w:charset w:val="80"/>
    <w:family w:val="auto"/>
    <w:pitch w:val="default"/>
    <w:sig w:usb0="E00002FF" w:usb1="6AC7FDFB" w:usb2="08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0D9868">
    <w:pPr>
      <w:pStyle w:val="19"/>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065530" cy="278765"/>
              <wp:effectExtent l="0" t="0" r="0" b="0"/>
              <wp:wrapNone/>
              <wp:docPr id="61" name="文本框 30"/>
              <wp:cNvGraphicFramePr/>
              <a:graphic xmlns:a="http://schemas.openxmlformats.org/drawingml/2006/main">
                <a:graphicData uri="http://schemas.microsoft.com/office/word/2010/wordprocessingShape">
                  <wps:wsp>
                    <wps:cNvSpPr txBox="1"/>
                    <wps:spPr>
                      <a:xfrm>
                        <a:off x="0" y="0"/>
                        <a:ext cx="1065530" cy="278765"/>
                      </a:xfrm>
                      <a:prstGeom prst="rect">
                        <a:avLst/>
                      </a:prstGeom>
                      <a:noFill/>
                      <a:ln>
                        <a:noFill/>
                      </a:ln>
                      <a:effectLst/>
                    </wps:spPr>
                    <wps:txbx>
                      <w:txbxContent>
                        <w:p w14:paraId="49D40757">
                          <w:pPr>
                            <w:pStyle w:val="19"/>
                          </w:pPr>
                          <w:r>
                            <w:t xml:space="preserve"> </w:t>
                          </w:r>
                        </w:p>
                      </w:txbxContent>
                    </wps:txbx>
                    <wps:bodyPr wrap="none" lIns="0" tIns="0" rIns="0" bIns="0" upright="0">
                      <a:spAutoFit/>
                    </wps:bodyPr>
                  </wps:wsp>
                </a:graphicData>
              </a:graphic>
            </wp:anchor>
          </w:drawing>
        </mc:Choice>
        <mc:Fallback>
          <w:pict>
            <v:shape id="文本框 30" o:spid="_x0000_s1026" o:spt="202" type="#_x0000_t202" style="position:absolute;left:0pt;margin-top:0pt;height:21.95pt;width:83.9pt;mso-position-horizontal:center;mso-position-horizontal-relative:margin;mso-wrap-style:none;z-index:251659264;mso-width-relative:page;mso-height-relative:page;" filled="f" stroked="f" coordsize="21600,21600" o:gfxdata="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VdFdVNIAAAAEAQAADwAAAAAAAAABACAAAAAiAAAA&#10;ZHJzL2Rvd25yZXYueG1sUEsBAhQAFAAAAAgAh07iQMWTx0fUAQAAqAMAAA4AAAAAAAAAAQAgAAAA&#10;IQEAAGRycy9lMm9Eb2MueG1sUEsFBgAAAAAGAAYAWQEAAGcFAAAAAA==&#10;">
              <v:fill on="f" focussize="0,0"/>
              <v:stroke on="f"/>
              <v:imagedata o:title=""/>
              <o:lock v:ext="edit" aspectratio="f"/>
              <v:textbox inset="0mm,0mm,0mm,0mm" style="mso-fit-shape-to-text:t;">
                <w:txbxContent>
                  <w:p w14:paraId="49D40757">
                    <w:pPr>
                      <w:pStyle w:val="19"/>
                    </w:pPr>
                    <w: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9357FD">
    <w:pPr>
      <w:pStyle w:val="19"/>
      <w:pBdr>
        <w:top w:val="single" w:color="auto" w:sz="4" w:space="1"/>
        <w:left w:val="none" w:color="auto" w:sz="0" w:space="4"/>
        <w:bottom w:val="none" w:color="auto" w:sz="0" w:space="1"/>
        <w:right w:val="none" w:color="auto" w:sz="0" w:space="4"/>
      </w:pBdr>
      <w:ind w:firstLine="180" w:firstLineChars="100"/>
      <w:jc w:val="both"/>
    </w:pPr>
    <w:r>
      <w:rPr>
        <w:rFonts w:hint="eastAsia"/>
      </w:rPr>
      <w:drawing>
        <wp:inline distT="0" distB="0" distL="114300" distR="114300">
          <wp:extent cx="363855" cy="136525"/>
          <wp:effectExtent l="0" t="0" r="0" b="15875"/>
          <wp:docPr id="69" name="图片 27"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图片 27" descr="2"/>
                  <pic:cNvPicPr>
                    <a:picLocks noChangeAspect="1"/>
                  </pic:cNvPicPr>
                </pic:nvPicPr>
                <pic:blipFill>
                  <a:blip r:embed="rId1"/>
                  <a:stretch>
                    <a:fillRect/>
                  </a:stretch>
                </pic:blipFill>
                <pic:spPr>
                  <a:xfrm>
                    <a:off x="0" y="0"/>
                    <a:ext cx="363855" cy="136525"/>
                  </a:xfrm>
                  <a:prstGeom prst="rect">
                    <a:avLst/>
                  </a:prstGeom>
                  <a:noFill/>
                  <a:ln>
                    <a:noFill/>
                  </a:ln>
                </pic:spPr>
              </pic:pic>
            </a:graphicData>
          </a:graphic>
        </wp:inline>
      </w:drawing>
    </w:r>
    <w:r>
      <w:rPr>
        <w:rFonts w:ascii="楷体" w:hAnsi="楷体" w:eastAsia="楷体"/>
        <w:sz w:val="21"/>
        <w:szCs w:val="21"/>
      </w:rPr>
      <mc:AlternateContent>
        <mc:Choice Requires="wps">
          <w:drawing>
            <wp:anchor distT="0" distB="0" distL="114300" distR="114300" simplePos="0" relativeHeight="251666432" behindDoc="0" locked="0" layoutInCell="1" allowOverlap="1">
              <wp:simplePos x="0" y="0"/>
              <wp:positionH relativeFrom="margin">
                <wp:posOffset>5774055</wp:posOffset>
              </wp:positionH>
              <wp:positionV relativeFrom="paragraph">
                <wp:posOffset>0</wp:posOffset>
              </wp:positionV>
              <wp:extent cx="57785" cy="131445"/>
              <wp:effectExtent l="0" t="0" r="0" b="0"/>
              <wp:wrapNone/>
              <wp:docPr id="68" name="文本框 34"/>
              <wp:cNvGraphicFramePr/>
              <a:graphic xmlns:a="http://schemas.openxmlformats.org/drawingml/2006/main">
                <a:graphicData uri="http://schemas.microsoft.com/office/word/2010/wordprocessingShape">
                  <wps:wsp>
                    <wps:cNvSpPr txBox="1"/>
                    <wps:spPr>
                      <a:xfrm>
                        <a:off x="0" y="0"/>
                        <a:ext cx="57785" cy="131445"/>
                      </a:xfrm>
                      <a:prstGeom prst="rect">
                        <a:avLst/>
                      </a:prstGeom>
                      <a:noFill/>
                      <a:ln>
                        <a:noFill/>
                      </a:ln>
                    </wps:spPr>
                    <wps:txbx>
                      <w:txbxContent>
                        <w:p w14:paraId="70BEB9E2">
                          <w:pPr>
                            <w:pStyle w:val="19"/>
                          </w:pPr>
                          <w:r>
                            <w:rPr>
                              <w:rFonts w:hint="eastAsia"/>
                            </w:rPr>
                            <w:fldChar w:fldCharType="begin"/>
                          </w:r>
                          <w:r>
                            <w:rPr>
                              <w:rFonts w:hint="eastAsia"/>
                            </w:rPr>
                            <w:instrText xml:space="preserve"> PAGE  \* MERGEFORMAT </w:instrText>
                          </w:r>
                          <w:r>
                            <w:rPr>
                              <w:rFonts w:hint="eastAsia"/>
                            </w:rPr>
                            <w:fldChar w:fldCharType="separate"/>
                          </w:r>
                          <w:r>
                            <w:t>I</w:t>
                          </w:r>
                          <w:r>
                            <w:rPr>
                              <w:rFonts w:hint="eastAsia"/>
                            </w:rPr>
                            <w:fldChar w:fldCharType="end"/>
                          </w:r>
                        </w:p>
                      </w:txbxContent>
                    </wps:txbx>
                    <wps:bodyPr wrap="none" lIns="0" tIns="0" rIns="0" bIns="0" upright="0">
                      <a:spAutoFit/>
                    </wps:bodyPr>
                  </wps:wsp>
                </a:graphicData>
              </a:graphic>
            </wp:anchor>
          </w:drawing>
        </mc:Choice>
        <mc:Fallback>
          <w:pict>
            <v:shape id="文本框 34" o:spid="_x0000_s1026" o:spt="202" type="#_x0000_t202" style="position:absolute;left:0pt;margin-left:454.65pt;margin-top:0pt;height:10.35pt;width:4.55pt;mso-position-horizontal-relative:margin;mso-wrap-style:none;z-index:251666432;mso-width-relative:page;mso-height-relative:page;" filled="f" stroked="f" coordsize="21600,21600" o:gfxdata="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&#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4RFXStQAAAAHAQAADwAAAAAAAAABACAAAAAiAAAAZHJz&#10;L2Rvd25yZXYueG1sUEsBAhQAFAAAAAgAh07iQKcg9C3PAQAAmAMAAA4AAAAAAAAAAQAgAAAAIwEA&#10;AGRycy9lMm9Eb2MueG1sUEsFBgAAAAAGAAYAWQEAAGQFAAAAAA==&#10;">
              <v:fill on="f" focussize="0,0"/>
              <v:stroke on="f"/>
              <v:imagedata o:title=""/>
              <o:lock v:ext="edit" aspectratio="f"/>
              <v:textbox inset="0mm,0mm,0mm,0mm" style="mso-fit-shape-to-text:t;">
                <w:txbxContent>
                  <w:p w14:paraId="70BEB9E2">
                    <w:pPr>
                      <w:pStyle w:val="19"/>
                    </w:pPr>
                    <w:r>
                      <w:rPr>
                        <w:rFonts w:hint="eastAsia"/>
                      </w:rPr>
                      <w:fldChar w:fldCharType="begin"/>
                    </w:r>
                    <w:r>
                      <w:rPr>
                        <w:rFonts w:hint="eastAsia"/>
                      </w:rPr>
                      <w:instrText xml:space="preserve"> PAGE  \* MERGEFORMAT </w:instrText>
                    </w:r>
                    <w:r>
                      <w:rPr>
                        <w:rFonts w:hint="eastAsia"/>
                      </w:rPr>
                      <w:fldChar w:fldCharType="separate"/>
                    </w:r>
                    <w:r>
                      <w:t>I</w:t>
                    </w:r>
                    <w:r>
                      <w:rPr>
                        <w:rFonts w:hint="eastAsia"/>
                      </w:rPr>
                      <w:fldChar w:fldCharType="end"/>
                    </w:r>
                  </w:p>
                </w:txbxContent>
              </v:textbox>
            </v:shape>
          </w:pict>
        </mc:Fallback>
      </mc:AlternateContent>
    </w:r>
    <w:r>
      <w:rPr>
        <w:rFonts w:hint="eastAsia" w:ascii="楷体" w:hAnsi="楷体" w:eastAsia="楷体"/>
        <w:sz w:val="21"/>
        <w:szCs w:val="21"/>
      </w:rPr>
      <w:t>辽宁诺诚安全科技有限公司</w:t>
    </w:r>
    <w: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0</wp:posOffset>
              </wp:positionV>
              <wp:extent cx="57785" cy="131445"/>
              <wp:effectExtent l="0" t="0" r="0" b="0"/>
              <wp:wrapNone/>
              <wp:docPr id="62" name="文本框 34"/>
              <wp:cNvGraphicFramePr/>
              <a:graphic xmlns:a="http://schemas.openxmlformats.org/drawingml/2006/main">
                <a:graphicData uri="http://schemas.microsoft.com/office/word/2010/wordprocessingShape">
                  <wps:wsp>
                    <wps:cNvSpPr txBox="1"/>
                    <wps:spPr>
                      <a:xfrm>
                        <a:off x="0" y="0"/>
                        <a:ext cx="57785" cy="131445"/>
                      </a:xfrm>
                      <a:prstGeom prst="rect">
                        <a:avLst/>
                      </a:prstGeom>
                      <a:noFill/>
                      <a:ln>
                        <a:noFill/>
                      </a:ln>
                    </wps:spPr>
                    <wps:txbx>
                      <w:txbxContent>
                        <w:p w14:paraId="22DC20F5">
                          <w:pPr>
                            <w:pStyle w:val="19"/>
                          </w:pPr>
                          <w:r>
                            <w:rPr>
                              <w:rFonts w:hint="eastAsia"/>
                            </w:rPr>
                            <w:fldChar w:fldCharType="begin"/>
                          </w:r>
                          <w:r>
                            <w:rPr>
                              <w:rFonts w:hint="eastAsia"/>
                            </w:rPr>
                            <w:instrText xml:space="preserve"> PAGE  \* MERGEFORMAT </w:instrText>
                          </w:r>
                          <w:r>
                            <w:rPr>
                              <w:rFonts w:hint="eastAsia"/>
                            </w:rPr>
                            <w:fldChar w:fldCharType="separate"/>
                          </w:r>
                          <w:r>
                            <w:t>2</w:t>
                          </w:r>
                          <w:r>
                            <w:rPr>
                              <w:rFonts w:hint="eastAsia"/>
                            </w:rPr>
                            <w:fldChar w:fldCharType="end"/>
                          </w:r>
                        </w:p>
                      </w:txbxContent>
                    </wps:txbx>
                    <wps:bodyPr wrap="none" lIns="0" tIns="0" rIns="0" bIns="0" upright="0">
                      <a:spAutoFit/>
                    </wps:bodyPr>
                  </wps:wsp>
                </a:graphicData>
              </a:graphic>
            </wp:anchor>
          </w:drawing>
        </mc:Choice>
        <mc:Fallback>
          <w:pict>
            <v:shape id="文本框 34" o:spid="_x0000_s1026" o:spt="202" type="#_x0000_t202" style="position:absolute;left:0pt;margin-top:0pt;height:10.35pt;width:4.55pt;mso-position-horizontal:right;mso-position-horizontal-relative:margin;mso-wrap-style:none;z-index:251660288;mso-width-relative:page;mso-height-relative:page;" filled="f" stroked="f" coordsize="21600,21600" o:gfxdata="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AAAA&#10;AGRycy9QSwECFAAUAAAACACHTuJAz4vdRNAAAAACAQAADwAAAAAAAAABACAAAAAiAAAAZHJzL2Rv&#10;d25yZXYueG1sUEsBAhQAFAAAAAgAh07iQMe1s3/QAQAAmAMAAA4AAAAAAAAAAQAgAAAAHwEAAGRy&#10;cy9lMm9Eb2MueG1sUEsFBgAAAAAGAAYAWQEAAGEFAAAAAA==&#10;">
              <v:fill on="f" focussize="0,0"/>
              <v:stroke on="f"/>
              <v:imagedata o:title=""/>
              <o:lock v:ext="edit" aspectratio="f"/>
              <v:textbox inset="0mm,0mm,0mm,0mm" style="mso-fit-shape-to-text:t;">
                <w:txbxContent>
                  <w:p w14:paraId="22DC20F5">
                    <w:pPr>
                      <w:pStyle w:val="19"/>
                    </w:pPr>
                    <w:r>
                      <w:rPr>
                        <w:rFonts w:hint="eastAsia"/>
                      </w:rPr>
                      <w:fldChar w:fldCharType="begin"/>
                    </w:r>
                    <w:r>
                      <w:rPr>
                        <w:rFonts w:hint="eastAsia"/>
                      </w:rPr>
                      <w:instrText xml:space="preserve"> PAGE  \* MERGEFORMAT </w:instrText>
                    </w:r>
                    <w:r>
                      <w:rPr>
                        <w:rFonts w:hint="eastAsia"/>
                      </w:rPr>
                      <w:fldChar w:fldCharType="separate"/>
                    </w:r>
                    <w:r>
                      <w:t>2</w:t>
                    </w:r>
                    <w:r>
                      <w:rPr>
                        <w:rFonts w:hint="eastAsia"/>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EF9AD2">
    <w:pPr>
      <w:pStyle w:val="19"/>
      <w:pBdr>
        <w:top w:val="single" w:color="auto" w:sz="4" w:space="1"/>
        <w:left w:val="none" w:color="auto" w:sz="0" w:space="4"/>
        <w:bottom w:val="none" w:color="auto" w:sz="0" w:space="1"/>
        <w:right w:val="none" w:color="auto" w:sz="0" w:space="4"/>
      </w:pBdr>
      <w:ind w:firstLine="180" w:firstLineChars="100"/>
      <w:jc w:val="both"/>
    </w:pPr>
    <w:r>
      <w:rPr>
        <w:rFonts w:hint="eastAsia"/>
      </w:rPr>
      <w:drawing>
        <wp:inline distT="0" distB="0" distL="114300" distR="114300">
          <wp:extent cx="363855" cy="136525"/>
          <wp:effectExtent l="0" t="0" r="0" b="15875"/>
          <wp:docPr id="70" name="图片 14"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14" descr="2"/>
                  <pic:cNvPicPr>
                    <a:picLocks noChangeAspect="1"/>
                  </pic:cNvPicPr>
                </pic:nvPicPr>
                <pic:blipFill>
                  <a:blip r:embed="rId1"/>
                  <a:stretch>
                    <a:fillRect/>
                  </a:stretch>
                </pic:blipFill>
                <pic:spPr>
                  <a:xfrm>
                    <a:off x="0" y="0"/>
                    <a:ext cx="363855" cy="136525"/>
                  </a:xfrm>
                  <a:prstGeom prst="rect">
                    <a:avLst/>
                  </a:prstGeom>
                  <a:noFill/>
                  <a:ln>
                    <a:noFill/>
                  </a:ln>
                </pic:spPr>
              </pic:pic>
            </a:graphicData>
          </a:graphic>
        </wp:inline>
      </w:drawing>
    </w:r>
    <w:r>
      <w:rPr>
        <w:rFonts w:hint="eastAsia"/>
      </w:rPr>
      <w:t>辽宁诺诚安全科技有限公司</w:t>
    </w:r>
    <w:r>
      <mc:AlternateContent>
        <mc:Choice Requires="wps">
          <w:drawing>
            <wp:anchor distT="0" distB="0" distL="114300" distR="114300" simplePos="0" relativeHeight="251662336" behindDoc="0" locked="0" layoutInCell="1" allowOverlap="1">
              <wp:simplePos x="0" y="0"/>
              <wp:positionH relativeFrom="margin">
                <wp:align>right</wp:align>
              </wp:positionH>
              <wp:positionV relativeFrom="paragraph">
                <wp:posOffset>0</wp:posOffset>
              </wp:positionV>
              <wp:extent cx="1828800" cy="1828800"/>
              <wp:effectExtent l="0" t="0" r="0" b="0"/>
              <wp:wrapNone/>
              <wp:docPr id="64"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14:paraId="177C137C">
                          <w:pPr>
                            <w:pStyle w:val="19"/>
                          </w:pP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p>
                      </w:txbxContent>
                    </wps:txbx>
                    <wps:bodyPr wrap="none" lIns="0" tIns="0" rIns="0" bIns="0" upright="0">
                      <a:spAutoFit/>
                    </wps:bodyPr>
                  </wps:wsp>
                </a:graphicData>
              </a:graphic>
            </wp:anchor>
          </w:drawing>
        </mc:Choice>
        <mc:Fallback>
          <w:pict>
            <v:shape id="文本框 1" o:spid="_x0000_s1026" o:spt="202" type="#_x0000_t202" style="position:absolute;left:0pt;margin-top:0pt;height:144pt;width:144pt;mso-position-horizontal:right;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LNJWO7QAAAABQEAAA8AAAAAAAAAAQAgAAAAIgAAAGRycy9k&#10;b3ducmV2LnhtbFBLAQIUABQAAAAIAIdO4kDTEhvW0QEAAKMDAAAOAAAAAAAAAAEAIAAAAB8BAABk&#10;cnMvZTJvRG9jLnhtbFBLBQYAAAAABgAGAFkBAABiBQAAAAA=&#10;">
              <v:fill on="f" focussize="0,0"/>
              <v:stroke on="f" weight="0.5pt"/>
              <v:imagedata o:title=""/>
              <o:lock v:ext="edit" aspectratio="f"/>
              <v:textbox inset="0mm,0mm,0mm,0mm" style="mso-fit-shape-to-text:t;">
                <w:txbxContent>
                  <w:p w14:paraId="177C137C">
                    <w:pPr>
                      <w:pStyle w:val="19"/>
                    </w:pP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p>
                </w:txbxContent>
              </v:textbox>
            </v:shape>
          </w:pict>
        </mc:Fallback>
      </mc:AlternateContent>
    </w:r>
    <w:r>
      <w:rPr>
        <w:rFonts w:hint="eastAsia"/>
      </w:rPr>
      <w:t xml:space="preserve">                                             </w:t>
    </w:r>
    <w:r>
      <w:rPr>
        <w:rFonts w:hint="eastAsia"/>
        <w:bdr w:val="single" w:color="auto" w:sz="4" w:space="0"/>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C45249">
    <w:pPr>
      <w:pStyle w:val="19"/>
      <w:pBdr>
        <w:top w:val="single" w:color="auto" w:sz="4" w:space="1"/>
        <w:left w:val="none" w:color="auto" w:sz="0" w:space="4"/>
        <w:bottom w:val="none" w:color="auto" w:sz="0" w:space="1"/>
        <w:right w:val="none" w:color="auto" w:sz="0" w:space="4"/>
      </w:pBdr>
      <w:ind w:firstLine="180" w:firstLineChars="100"/>
      <w:jc w:val="both"/>
    </w:pPr>
    <w:r>
      <w:rPr>
        <w:rFonts w:hint="eastAsia"/>
      </w:rPr>
      <w:drawing>
        <wp:inline distT="0" distB="0" distL="114300" distR="114300">
          <wp:extent cx="363855" cy="136525"/>
          <wp:effectExtent l="0" t="0" r="0" b="15875"/>
          <wp:docPr id="71" name="图片 14"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图片 14" descr="2"/>
                  <pic:cNvPicPr>
                    <a:picLocks noChangeAspect="1"/>
                  </pic:cNvPicPr>
                </pic:nvPicPr>
                <pic:blipFill>
                  <a:blip r:embed="rId1"/>
                  <a:stretch>
                    <a:fillRect/>
                  </a:stretch>
                </pic:blipFill>
                <pic:spPr>
                  <a:xfrm>
                    <a:off x="0" y="0"/>
                    <a:ext cx="363855" cy="136525"/>
                  </a:xfrm>
                  <a:prstGeom prst="rect">
                    <a:avLst/>
                  </a:prstGeom>
                  <a:noFill/>
                  <a:ln>
                    <a:noFill/>
                  </a:ln>
                </pic:spPr>
              </pic:pic>
            </a:graphicData>
          </a:graphic>
        </wp:inline>
      </w:drawing>
    </w:r>
    <w:r>
      <w:rPr>
        <w:rFonts w:ascii="楷体" w:hAnsi="楷体" w:eastAsia="楷体"/>
        <w:sz w:val="21"/>
        <w:szCs w:val="21"/>
      </w:rPr>
      <mc:AlternateContent>
        <mc:Choice Requires="wps">
          <w:drawing>
            <wp:anchor distT="0" distB="0" distL="114300" distR="114300" simplePos="0" relativeHeight="251663360" behindDoc="0" locked="0" layoutInCell="1" allowOverlap="1">
              <wp:simplePos x="0" y="0"/>
              <wp:positionH relativeFrom="margin">
                <wp:align>right</wp:align>
              </wp:positionH>
              <wp:positionV relativeFrom="paragraph">
                <wp:posOffset>0</wp:posOffset>
              </wp:positionV>
              <wp:extent cx="38100" cy="131445"/>
              <wp:effectExtent l="0" t="0" r="0" b="0"/>
              <wp:wrapNone/>
              <wp:docPr id="65" name="文本框 34"/>
              <wp:cNvGraphicFramePr/>
              <a:graphic xmlns:a="http://schemas.openxmlformats.org/drawingml/2006/main">
                <a:graphicData uri="http://schemas.microsoft.com/office/word/2010/wordprocessingShape">
                  <wps:wsp>
                    <wps:cNvSpPr txBox="1"/>
                    <wps:spPr>
                      <a:xfrm>
                        <a:off x="0" y="0"/>
                        <a:ext cx="38100" cy="131445"/>
                      </a:xfrm>
                      <a:prstGeom prst="rect">
                        <a:avLst/>
                      </a:prstGeom>
                      <a:noFill/>
                      <a:ln>
                        <a:noFill/>
                      </a:ln>
                    </wps:spPr>
                    <wps:txbx>
                      <w:txbxContent>
                        <w:p w14:paraId="27776E29">
                          <w:pPr>
                            <w:pStyle w:val="19"/>
                          </w:pPr>
                          <w:r>
                            <w:rPr>
                              <w:rFonts w:hint="eastAsia"/>
                            </w:rPr>
                            <w:fldChar w:fldCharType="begin"/>
                          </w:r>
                          <w:r>
                            <w:rPr>
                              <w:rFonts w:hint="eastAsia"/>
                            </w:rPr>
                            <w:instrText xml:space="preserve"> PAGE  \* MERGEFORMAT </w:instrText>
                          </w:r>
                          <w:r>
                            <w:rPr>
                              <w:rFonts w:hint="eastAsia"/>
                            </w:rPr>
                            <w:fldChar w:fldCharType="separate"/>
                          </w:r>
                          <w:r>
                            <w:t>I</w:t>
                          </w:r>
                          <w:r>
                            <w:rPr>
                              <w:rFonts w:hint="eastAsia"/>
                            </w:rPr>
                            <w:fldChar w:fldCharType="end"/>
                          </w:r>
                        </w:p>
                      </w:txbxContent>
                    </wps:txbx>
                    <wps:bodyPr wrap="none" lIns="0" tIns="0" rIns="0" bIns="0" upright="0">
                      <a:spAutoFit/>
                    </wps:bodyPr>
                  </wps:wsp>
                </a:graphicData>
              </a:graphic>
            </wp:anchor>
          </w:drawing>
        </mc:Choice>
        <mc:Fallback>
          <w:pict>
            <v:shape id="文本框 34" o:spid="_x0000_s1026" o:spt="202" type="#_x0000_t202" style="position:absolute;left:0pt;margin-top:0pt;height:10.35pt;width:3pt;mso-position-horizontal:right;mso-position-horizontal-relative:margin;mso-wrap-style:none;z-index:251663360;mso-width-relative:page;mso-height-relative:page;" filled="f" stroked="f" coordsize="21600,21600" o:gfxdata="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NYv3I88AAAACAQAADwAAAAAAAAABACAAAAAiAAAAZHJzL2Rvd25y&#10;ZXYueG1sUEsBAhQAFAAAAAgAh07iQFxgkJXOAQAAmAMAAA4AAAAAAAAAAQAgAAAAHgEAAGRycy9l&#10;Mm9Eb2MueG1sUEsFBgAAAAAGAAYAWQEAAF4FAAAAAA==&#10;">
              <v:fill on="f" focussize="0,0"/>
              <v:stroke on="f"/>
              <v:imagedata o:title=""/>
              <o:lock v:ext="edit" aspectratio="f"/>
              <v:textbox inset="0mm,0mm,0mm,0mm" style="mso-fit-shape-to-text:t;">
                <w:txbxContent>
                  <w:p w14:paraId="27776E29">
                    <w:pPr>
                      <w:pStyle w:val="19"/>
                    </w:pPr>
                    <w:r>
                      <w:rPr>
                        <w:rFonts w:hint="eastAsia"/>
                      </w:rPr>
                      <w:fldChar w:fldCharType="begin"/>
                    </w:r>
                    <w:r>
                      <w:rPr>
                        <w:rFonts w:hint="eastAsia"/>
                      </w:rPr>
                      <w:instrText xml:space="preserve"> PAGE  \* MERGEFORMAT </w:instrText>
                    </w:r>
                    <w:r>
                      <w:rPr>
                        <w:rFonts w:hint="eastAsia"/>
                      </w:rPr>
                      <w:fldChar w:fldCharType="separate"/>
                    </w:r>
                    <w:r>
                      <w:t>I</w:t>
                    </w:r>
                    <w:r>
                      <w:rPr>
                        <w:rFonts w:hint="eastAsia"/>
                      </w:rPr>
                      <w:fldChar w:fldCharType="end"/>
                    </w:r>
                  </w:p>
                </w:txbxContent>
              </v:textbox>
            </v:shape>
          </w:pict>
        </mc:Fallback>
      </mc:AlternateContent>
    </w:r>
    <w:r>
      <w:rPr>
        <w:rFonts w:hint="eastAsia" w:ascii="楷体" w:hAnsi="楷体" w:eastAsia="楷体"/>
        <w:sz w:val="21"/>
        <w:szCs w:val="21"/>
      </w:rPr>
      <w:t>辽宁诺诚安全科技有限公司</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DB1545">
    <w:pPr>
      <w:pStyle w:val="19"/>
      <w:pBdr>
        <w:top w:val="single" w:color="auto" w:sz="4" w:space="1"/>
        <w:left w:val="none" w:color="auto" w:sz="0" w:space="4"/>
        <w:bottom w:val="none" w:color="auto" w:sz="0" w:space="1"/>
        <w:right w:val="none" w:color="auto" w:sz="0" w:space="4"/>
      </w:pBdr>
      <w:ind w:firstLine="360" w:firstLineChars="200"/>
      <w:jc w:val="both"/>
    </w:pPr>
    <w:r>
      <w:rPr>
        <w:rFonts w:hint="eastAsia"/>
      </w:rPr>
      <w:t>辽宁诺诚安全科技有限公司</w:t>
    </w:r>
    <w:r>
      <mc:AlternateContent>
        <mc:Choice Requires="wps">
          <w:drawing>
            <wp:anchor distT="0" distB="0" distL="114300" distR="114300" simplePos="0" relativeHeight="251664384" behindDoc="0" locked="0" layoutInCell="1" allowOverlap="1">
              <wp:simplePos x="0" y="0"/>
              <wp:positionH relativeFrom="margin">
                <wp:align>right</wp:align>
              </wp:positionH>
              <wp:positionV relativeFrom="paragraph">
                <wp:posOffset>0</wp:posOffset>
              </wp:positionV>
              <wp:extent cx="1828800" cy="1828800"/>
              <wp:effectExtent l="0" t="0" r="0" b="0"/>
              <wp:wrapNone/>
              <wp:docPr id="66"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14:paraId="6F116675">
                          <w:pPr>
                            <w:pStyle w:val="19"/>
                          </w:pPr>
                          <w:r>
                            <w:rPr>
                              <w:rFonts w:hint="eastAsia"/>
                            </w:rPr>
                            <w:fldChar w:fldCharType="begin"/>
                          </w:r>
                          <w:r>
                            <w:rPr>
                              <w:rFonts w:hint="eastAsia"/>
                            </w:rPr>
                            <w:instrText xml:space="preserve"> PAGE  \* MERGEFORMAT </w:instrText>
                          </w:r>
                          <w:r>
                            <w:rPr>
                              <w:rFonts w:hint="eastAsia"/>
                            </w:rPr>
                            <w:fldChar w:fldCharType="separate"/>
                          </w:r>
                          <w:r>
                            <w:t>I</w:t>
                          </w:r>
                          <w:r>
                            <w:rPr>
                              <w:rFonts w:hint="eastAsia"/>
                            </w:rPr>
                            <w:fldChar w:fldCharType="end"/>
                          </w:r>
                        </w:p>
                      </w:txbxContent>
                    </wps:txbx>
                    <wps:bodyPr wrap="none" lIns="0" tIns="0" rIns="0" bIns="0" upright="0">
                      <a:spAutoFit/>
                    </wps:bodyPr>
                  </wps:wsp>
                </a:graphicData>
              </a:graphic>
            </wp:anchor>
          </w:drawing>
        </mc:Choice>
        <mc:Fallback>
          <w:pict>
            <v:shape id="文本框 1" o:spid="_x0000_s1026" o:spt="202" type="#_x0000_t202" style="position:absolute;left:0pt;margin-top:0pt;height:144pt;width:144pt;mso-position-horizontal:right;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CzSVju0AAAAAUBAAAPAAAAAAAAAAEAIAAAACIAAABkcnMv&#10;ZG93bnJldi54bWxQSwECFAAUAAAACACHTuJAmfjwNdIBAACjAwAADgAAAAAAAAABACAAAAAfAQAA&#10;ZHJzL2Uyb0RvYy54bWxQSwUGAAAAAAYABgBZAQAAYwUAAAAA&#10;">
              <v:fill on="f" focussize="0,0"/>
              <v:stroke on="f" weight="0.5pt"/>
              <v:imagedata o:title=""/>
              <o:lock v:ext="edit" aspectratio="f"/>
              <v:textbox inset="0mm,0mm,0mm,0mm" style="mso-fit-shape-to-text:t;">
                <w:txbxContent>
                  <w:p w14:paraId="6F116675">
                    <w:pPr>
                      <w:pStyle w:val="19"/>
                    </w:pPr>
                    <w:r>
                      <w:rPr>
                        <w:rFonts w:hint="eastAsia"/>
                      </w:rPr>
                      <w:fldChar w:fldCharType="begin"/>
                    </w:r>
                    <w:r>
                      <w:rPr>
                        <w:rFonts w:hint="eastAsia"/>
                      </w:rPr>
                      <w:instrText xml:space="preserve"> PAGE  \* MERGEFORMAT </w:instrText>
                    </w:r>
                    <w:r>
                      <w:rPr>
                        <w:rFonts w:hint="eastAsia"/>
                      </w:rPr>
                      <w:fldChar w:fldCharType="separate"/>
                    </w:r>
                    <w:r>
                      <w:t>I</w:t>
                    </w:r>
                    <w:r>
                      <w:rPr>
                        <w:rFonts w:hint="eastAsia"/>
                      </w:rPr>
                      <w:fldChar w:fldCharType="end"/>
                    </w:r>
                  </w:p>
                </w:txbxContent>
              </v:textbox>
            </v:shape>
          </w:pict>
        </mc:Fallback>
      </mc:AlternateContent>
    </w:r>
    <w:r>
      <w:rPr>
        <w:rFonts w:hint="eastAsia"/>
      </w:rPr>
      <w:t xml:space="preserve">                                             </w:t>
    </w:r>
    <w:r>
      <w:rPr>
        <w:rFonts w:hint="eastAsia"/>
        <w:bdr w:val="single" w:color="auto" w:sz="4" w:space="0"/>
      </w:rPr>
      <w:t xml:space="preserve"> </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F92C19">
    <w:pPr>
      <w:pStyle w:val="19"/>
      <w:pBdr>
        <w:top w:val="single" w:color="auto" w:sz="4" w:space="1"/>
        <w:left w:val="none" w:color="auto" w:sz="0" w:space="4"/>
        <w:bottom w:val="none" w:color="auto" w:sz="0" w:space="1"/>
        <w:right w:val="none" w:color="auto" w:sz="0" w:space="4"/>
      </w:pBdr>
      <w:ind w:firstLine="180" w:firstLineChars="100"/>
      <w:jc w:val="both"/>
    </w:pPr>
    <w:r>
      <w:rPr>
        <w:rFonts w:hint="eastAsia"/>
      </w:rPr>
      <w:drawing>
        <wp:inline distT="0" distB="0" distL="114300" distR="114300">
          <wp:extent cx="363855" cy="136525"/>
          <wp:effectExtent l="0" t="0" r="0" b="15875"/>
          <wp:docPr id="72" name="图片 14" descr="2"/>
          <wp:cNvGraphicFramePr/>
          <a:graphic xmlns:a="http://schemas.openxmlformats.org/drawingml/2006/main">
            <a:graphicData uri="http://schemas.openxmlformats.org/drawingml/2006/picture">
              <pic:pic xmlns:pic="http://schemas.openxmlformats.org/drawingml/2006/picture">
                <pic:nvPicPr>
                  <pic:cNvPr id="72" name="图片 14" descr="2"/>
                  <pic:cNvPicPr preferRelativeResize="0"/>
                </pic:nvPicPr>
                <pic:blipFill>
                  <a:blip r:embed="rId1"/>
                  <a:stretch>
                    <a:fillRect/>
                  </a:stretch>
                </pic:blipFill>
                <pic:spPr>
                  <a:xfrm>
                    <a:off x="0" y="0"/>
                    <a:ext cx="363855" cy="136525"/>
                  </a:xfrm>
                  <a:prstGeom prst="rect">
                    <a:avLst/>
                  </a:prstGeom>
                  <a:noFill/>
                  <a:ln>
                    <a:noFill/>
                  </a:ln>
                </pic:spPr>
              </pic:pic>
            </a:graphicData>
          </a:graphic>
        </wp:inline>
      </w:drawing>
    </w:r>
    <w:r>
      <w:rPr>
        <w:rFonts w:ascii="楷体" w:hAnsi="楷体" w:eastAsia="楷体"/>
        <w:sz w:val="21"/>
        <w:szCs w:val="21"/>
      </w:rPr>
      <mc:AlternateContent>
        <mc:Choice Requires="wps">
          <w:drawing>
            <wp:anchor distT="0" distB="0" distL="114300" distR="114300" simplePos="0" relativeHeight="251661312" behindDoc="0" locked="0" layoutInCell="1" allowOverlap="1">
              <wp:simplePos x="0" y="0"/>
              <wp:positionH relativeFrom="margin">
                <wp:align>right</wp:align>
              </wp:positionH>
              <wp:positionV relativeFrom="paragraph">
                <wp:posOffset>0</wp:posOffset>
              </wp:positionV>
              <wp:extent cx="229235" cy="521335"/>
              <wp:effectExtent l="0" t="0" r="0" b="0"/>
              <wp:wrapNone/>
              <wp:docPr id="63" name="文本框 36"/>
              <wp:cNvGraphicFramePr/>
              <a:graphic xmlns:a="http://schemas.openxmlformats.org/drawingml/2006/main">
                <a:graphicData uri="http://schemas.microsoft.com/office/word/2010/wordprocessingShape">
                  <wps:wsp>
                    <wps:cNvSpPr txBox="1"/>
                    <wps:spPr>
                      <a:xfrm>
                        <a:off x="0" y="0"/>
                        <a:ext cx="229235" cy="521335"/>
                      </a:xfrm>
                      <a:prstGeom prst="rect">
                        <a:avLst/>
                      </a:prstGeom>
                      <a:noFill/>
                      <a:ln>
                        <a:noFill/>
                      </a:ln>
                    </wps:spPr>
                    <wps:txbx>
                      <w:txbxContent>
                        <w:p w14:paraId="55F32FF5">
                          <w:pPr>
                            <w:pStyle w:val="19"/>
                            <w:rPr>
                              <w:sz w:val="21"/>
                              <w:szCs w:val="21"/>
                            </w:rPr>
                          </w:pPr>
                          <w:r>
                            <w:rPr>
                              <w:rFonts w:hint="eastAsia"/>
                              <w:sz w:val="21"/>
                              <w:szCs w:val="21"/>
                            </w:rPr>
                            <w:fldChar w:fldCharType="begin"/>
                          </w:r>
                          <w:r>
                            <w:rPr>
                              <w:rFonts w:hint="eastAsia"/>
                              <w:sz w:val="21"/>
                              <w:szCs w:val="21"/>
                            </w:rPr>
                            <w:instrText xml:space="preserve"> PAGE  \* MERGEFORMAT </w:instrText>
                          </w:r>
                          <w:r>
                            <w:rPr>
                              <w:rFonts w:hint="eastAsia"/>
                              <w:sz w:val="21"/>
                              <w:szCs w:val="21"/>
                            </w:rPr>
                            <w:fldChar w:fldCharType="separate"/>
                          </w:r>
                          <w:r>
                            <w:rPr>
                              <w:sz w:val="21"/>
                              <w:szCs w:val="21"/>
                            </w:rPr>
                            <w:t>6</w:t>
                          </w:r>
                          <w:r>
                            <w:rPr>
                              <w:rFonts w:hint="eastAsia"/>
                              <w:sz w:val="21"/>
                              <w:szCs w:val="21"/>
                            </w:rPr>
                            <w:fldChar w:fldCharType="end"/>
                          </w:r>
                        </w:p>
                      </w:txbxContent>
                    </wps:txbx>
                    <wps:bodyPr wrap="square" lIns="0" tIns="0" rIns="0" bIns="0" upright="0"/>
                  </wps:wsp>
                </a:graphicData>
              </a:graphic>
            </wp:anchor>
          </w:drawing>
        </mc:Choice>
        <mc:Fallback>
          <w:pict>
            <v:shape id="文本框 36" o:spid="_x0000_s1026" o:spt="202" type="#_x0000_t202" style="position:absolute;left:0pt;margin-top:0pt;height:41.05pt;width:18.05pt;mso-position-horizontal:right;mso-position-horizontal-relative:margin;z-index:251661312;mso-width-relative:page;mso-height-relative:page;" filled="f" stroked="f" coordsize="21600,21600" o:gfxdata="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k670wNMAAAADAQAADwAAAAAAAAABACAAAAAiAAAAZHJzL2Rvd25yZXYueG1s&#10;UEsBAhQAFAAAAAgAh07iQP8TghzEAQAAgQMAAA4AAAAAAAAAAQAgAAAAIgEAAGRycy9lMm9Eb2Mu&#10;eG1sUEsFBgAAAAAGAAYAWQEAAFgFAAAAAA==&#10;">
              <v:fill on="f" focussize="0,0"/>
              <v:stroke on="f"/>
              <v:imagedata o:title=""/>
              <o:lock v:ext="edit" aspectratio="f"/>
              <v:textbox inset="0mm,0mm,0mm,0mm">
                <w:txbxContent>
                  <w:p w14:paraId="55F32FF5">
                    <w:pPr>
                      <w:pStyle w:val="19"/>
                      <w:rPr>
                        <w:sz w:val="21"/>
                        <w:szCs w:val="21"/>
                      </w:rPr>
                    </w:pPr>
                    <w:r>
                      <w:rPr>
                        <w:rFonts w:hint="eastAsia"/>
                        <w:sz w:val="21"/>
                        <w:szCs w:val="21"/>
                      </w:rPr>
                      <w:fldChar w:fldCharType="begin"/>
                    </w:r>
                    <w:r>
                      <w:rPr>
                        <w:rFonts w:hint="eastAsia"/>
                        <w:sz w:val="21"/>
                        <w:szCs w:val="21"/>
                      </w:rPr>
                      <w:instrText xml:space="preserve"> PAGE  \* MERGEFORMAT </w:instrText>
                    </w:r>
                    <w:r>
                      <w:rPr>
                        <w:rFonts w:hint="eastAsia"/>
                        <w:sz w:val="21"/>
                        <w:szCs w:val="21"/>
                      </w:rPr>
                      <w:fldChar w:fldCharType="separate"/>
                    </w:r>
                    <w:r>
                      <w:rPr>
                        <w:sz w:val="21"/>
                        <w:szCs w:val="21"/>
                      </w:rPr>
                      <w:t>6</w:t>
                    </w:r>
                    <w:r>
                      <w:rPr>
                        <w:rFonts w:hint="eastAsia"/>
                        <w:sz w:val="21"/>
                        <w:szCs w:val="21"/>
                      </w:rPr>
                      <w:fldChar w:fldCharType="end"/>
                    </w:r>
                  </w:p>
                </w:txbxContent>
              </v:textbox>
            </v:shape>
          </w:pict>
        </mc:Fallback>
      </mc:AlternateContent>
    </w:r>
    <w:r>
      <w:rPr>
        <w:rFonts w:hint="eastAsia" w:ascii="楷体" w:hAnsi="楷体" w:eastAsia="楷体"/>
        <w:sz w:val="21"/>
        <w:szCs w:val="21"/>
      </w:rPr>
      <w:t>辽宁诺诚安全科技有限公司</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C5FB70">
    <w:pPr>
      <w:pStyle w:val="19"/>
      <w:pBdr>
        <w:top w:val="single" w:color="auto" w:sz="4" w:space="1"/>
        <w:left w:val="none" w:color="auto" w:sz="0" w:space="4"/>
        <w:bottom w:val="none" w:color="auto" w:sz="0" w:space="1"/>
        <w:right w:val="none" w:color="auto" w:sz="0" w:space="4"/>
      </w:pBdr>
      <w:ind w:firstLine="180" w:firstLineChars="100"/>
      <w:jc w:val="both"/>
    </w:pPr>
    <w:r>
      <mc:AlternateContent>
        <mc:Choice Requires="wps">
          <w:drawing>
            <wp:anchor distT="0" distB="0" distL="114300" distR="114300" simplePos="0" relativeHeight="251665408" behindDoc="0" locked="0" layoutInCell="1" allowOverlap="1">
              <wp:simplePos x="0" y="0"/>
              <wp:positionH relativeFrom="margin">
                <wp:align>right</wp:align>
              </wp:positionH>
              <wp:positionV relativeFrom="paragraph">
                <wp:posOffset>0</wp:posOffset>
              </wp:positionV>
              <wp:extent cx="183515" cy="339725"/>
              <wp:effectExtent l="0" t="0" r="0" b="0"/>
              <wp:wrapNone/>
              <wp:docPr id="67" name="文本框 1"/>
              <wp:cNvGraphicFramePr/>
              <a:graphic xmlns:a="http://schemas.openxmlformats.org/drawingml/2006/main">
                <a:graphicData uri="http://schemas.microsoft.com/office/word/2010/wordprocessingShape">
                  <wps:wsp>
                    <wps:cNvSpPr txBox="1"/>
                    <wps:spPr>
                      <a:xfrm>
                        <a:off x="0" y="0"/>
                        <a:ext cx="183515" cy="339725"/>
                      </a:xfrm>
                      <a:prstGeom prst="rect">
                        <a:avLst/>
                      </a:prstGeom>
                      <a:noFill/>
                      <a:ln w="6350">
                        <a:noFill/>
                      </a:ln>
                    </wps:spPr>
                    <wps:txbx>
                      <w:txbxContent>
                        <w:p w14:paraId="1CE2B4E0">
                          <w:pPr>
                            <w:pStyle w:val="19"/>
                          </w:pPr>
                          <w:r>
                            <w:rPr>
                              <w:rFonts w:hint="eastAsia"/>
                            </w:rPr>
                            <w:fldChar w:fldCharType="begin"/>
                          </w:r>
                          <w:r>
                            <w:rPr>
                              <w:rFonts w:hint="eastAsia"/>
                            </w:rPr>
                            <w:instrText xml:space="preserve"> PAGE  \* MERGEFORMAT </w:instrText>
                          </w:r>
                          <w:r>
                            <w:rPr>
                              <w:rFonts w:hint="eastAsia"/>
                            </w:rPr>
                            <w:fldChar w:fldCharType="separate"/>
                          </w:r>
                          <w:r>
                            <w:t>98</w:t>
                          </w:r>
                          <w:r>
                            <w:rPr>
                              <w:rFonts w:hint="eastAsia"/>
                            </w:rPr>
                            <w:fldChar w:fldCharType="end"/>
                          </w:r>
                        </w:p>
                      </w:txbxContent>
                    </wps:txbx>
                    <wps:bodyPr wrap="square" lIns="0" tIns="0" rIns="0" bIns="0" upright="0"/>
                  </wps:wsp>
                </a:graphicData>
              </a:graphic>
            </wp:anchor>
          </w:drawing>
        </mc:Choice>
        <mc:Fallback>
          <w:pict>
            <v:shape id="文本框 1" o:spid="_x0000_s1026" o:spt="202" type="#_x0000_t202" style="position:absolute;left:0pt;margin-top:0pt;height:26.75pt;width:14.45pt;mso-position-horizontal:right;mso-position-horizontal-relative:margin;z-index:251665408;mso-width-relative:page;mso-height-relative:page;" filled="f" stroked="f" coordsize="21600,21600" o:gfxdata="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AAAA&#10;AGRycy9QSwECFAAUAAAACACHTuJAp19tItMAAAADAQAADwAAAAAAAAABACAAAAAiAAAAZHJzL2Rv&#10;d25yZXYueG1sUEsBAhQAFAAAAAgAh07iQDKKC9vNAQAAiQMAAA4AAAAAAAAAAQAgAAAAIgEAAGRy&#10;cy9lMm9Eb2MueG1sUEsFBgAAAAAGAAYAWQEAAGEFAAAAAA==&#10;">
              <v:fill on="f" focussize="0,0"/>
              <v:stroke on="f" weight="0.5pt"/>
              <v:imagedata o:title=""/>
              <o:lock v:ext="edit" aspectratio="f"/>
              <v:textbox inset="0mm,0mm,0mm,0mm">
                <w:txbxContent>
                  <w:p w14:paraId="1CE2B4E0">
                    <w:pPr>
                      <w:pStyle w:val="19"/>
                    </w:pPr>
                    <w:r>
                      <w:rPr>
                        <w:rFonts w:hint="eastAsia"/>
                      </w:rPr>
                      <w:fldChar w:fldCharType="begin"/>
                    </w:r>
                    <w:r>
                      <w:rPr>
                        <w:rFonts w:hint="eastAsia"/>
                      </w:rPr>
                      <w:instrText xml:space="preserve"> PAGE  \* MERGEFORMAT </w:instrText>
                    </w:r>
                    <w:r>
                      <w:rPr>
                        <w:rFonts w:hint="eastAsia"/>
                      </w:rPr>
                      <w:fldChar w:fldCharType="separate"/>
                    </w:r>
                    <w:r>
                      <w:t>98</w:t>
                    </w:r>
                    <w:r>
                      <w:rPr>
                        <w:rFonts w:hint="eastAsia"/>
                      </w:rPr>
                      <w:fldChar w:fldCharType="end"/>
                    </w:r>
                  </w:p>
                </w:txbxContent>
              </v:textbox>
            </v:shape>
          </w:pict>
        </mc:Fallback>
      </mc:AlternateContent>
    </w:r>
    <w:r>
      <w:rPr>
        <w:rFonts w:hint="eastAsia"/>
      </w:rPr>
      <w:t xml:space="preserve">辽宁诺诚安全科技有限公司                                             </w:t>
    </w:r>
    <w:r>
      <w:rPr>
        <w:rFonts w:hint="eastAsia"/>
        <w:bdr w:val="single" w:color="auto" w:sz="4" w:space="0"/>
      </w:rPr>
      <w:t xml:space="preserve"> </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191F66">
    <w:pPr>
      <w:pStyle w:val="20"/>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2D79EA">
    <w:pPr>
      <w:pStyle w:val="20"/>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2B7D75">
    <w:pPr>
      <w:pStyle w:val="20"/>
      <w:pBdr>
        <w:bottom w:val="single" w:color="auto" w:sz="4" w:space="1"/>
      </w:pBdr>
      <w:rPr>
        <w:rFonts w:ascii="楷体" w:hAnsi="楷体" w:eastAsia="楷体"/>
        <w:sz w:val="21"/>
        <w:szCs w:val="21"/>
      </w:rPr>
    </w:pPr>
    <w:r>
      <w:rPr>
        <w:rFonts w:hint="eastAsia" w:ascii="楷体" w:hAnsi="楷体" w:eastAsia="楷体"/>
        <w:sz w:val="21"/>
        <w:szCs w:val="21"/>
      </w:rPr>
      <w:t>弥勒市瑞垠矿业有限公司弥勒市小沙冲砂场22.22万m</w:t>
    </w:r>
    <w:r>
      <w:rPr>
        <w:rFonts w:hint="eastAsia" w:ascii="楷体" w:hAnsi="楷体" w:eastAsia="楷体"/>
        <w:sz w:val="21"/>
        <w:szCs w:val="21"/>
        <w:vertAlign w:val="superscript"/>
      </w:rPr>
      <w:t>3</w:t>
    </w:r>
    <w:r>
      <w:rPr>
        <w:rFonts w:hint="eastAsia" w:ascii="楷体" w:hAnsi="楷体" w:eastAsia="楷体"/>
        <w:sz w:val="21"/>
        <w:szCs w:val="21"/>
      </w:rPr>
      <w:t>/a（50万t/a）露天采矿工程安全预评价报告</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487915">
    <w:pPr>
      <w:pStyle w:val="20"/>
      <w:pBdr>
        <w:bottom w:val="single" w:color="auto" w:sz="4" w:space="1"/>
      </w:pBdr>
    </w:pPr>
    <w:r>
      <w:rPr>
        <w:rFonts w:hint="eastAsia"/>
        <w:szCs w:val="20"/>
        <w:lang w:eastAsia="zh-CN"/>
      </w:rPr>
      <w:t>云南省滇中引水工程有限公司</w:t>
    </w:r>
    <w:r>
      <w:rPr>
        <w:rFonts w:hint="eastAsia"/>
        <w:szCs w:val="20"/>
      </w:rPr>
      <w:t>石灰岩矿30万t/a露天采矿工程安全预评价</w:t>
    </w:r>
  </w:p>
  <w:p w14:paraId="3BECFCC7">
    <w:pPr>
      <w:pStyle w:val="20"/>
      <w:pBdr>
        <w:bottom w:val="none" w:color="auto" w:sz="0" w:space="1"/>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A63839">
    <w:pPr>
      <w:pStyle w:val="20"/>
      <w:pBdr>
        <w:bottom w:val="single" w:color="auto" w:sz="4" w:space="1"/>
      </w:pBdr>
      <w:rPr>
        <w:rFonts w:ascii="楷体" w:hAnsi="楷体" w:eastAsia="楷体"/>
        <w:sz w:val="21"/>
        <w:szCs w:val="21"/>
      </w:rPr>
    </w:pPr>
    <w:r>
      <w:rPr>
        <w:rFonts w:hint="eastAsia" w:ascii="楷体" w:hAnsi="楷体" w:eastAsia="楷体"/>
        <w:sz w:val="21"/>
        <w:szCs w:val="21"/>
      </w:rPr>
      <w:t>弥勒市瑞垠矿业有限公司弥勒市小沙冲砂场22.22万m</w:t>
    </w:r>
    <w:r>
      <w:rPr>
        <w:rFonts w:hint="eastAsia" w:ascii="楷体" w:hAnsi="楷体" w:eastAsia="楷体"/>
        <w:sz w:val="21"/>
        <w:szCs w:val="21"/>
        <w:vertAlign w:val="superscript"/>
      </w:rPr>
      <w:t>3</w:t>
    </w:r>
    <w:r>
      <w:rPr>
        <w:rFonts w:hint="eastAsia" w:ascii="楷体" w:hAnsi="楷体" w:eastAsia="楷体"/>
        <w:sz w:val="21"/>
        <w:szCs w:val="21"/>
      </w:rPr>
      <w:t>/a（50万t/a）露天采矿工程安全预评价报告</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04FB75">
    <w:pPr>
      <w:pStyle w:val="20"/>
      <w:pBdr>
        <w:bottom w:val="single" w:color="auto" w:sz="4" w:space="1"/>
      </w:pBdr>
      <w:rPr>
        <w:rFonts w:ascii="楷体" w:hAnsi="楷体" w:eastAsia="楷体"/>
        <w:sz w:val="21"/>
        <w:szCs w:val="21"/>
      </w:rPr>
    </w:pPr>
    <w:r>
      <w:rPr>
        <w:rFonts w:hint="eastAsia" w:ascii="楷体" w:hAnsi="楷体" w:eastAsia="楷体"/>
        <w:sz w:val="21"/>
        <w:szCs w:val="21"/>
      </w:rPr>
      <w:t>弥勒市瑞垠矿业有限公司弥勒市小沙冲砂场22.22万m</w:t>
    </w:r>
    <w:r>
      <w:rPr>
        <w:rFonts w:hint="eastAsia" w:ascii="楷体" w:hAnsi="楷体" w:eastAsia="楷体"/>
        <w:sz w:val="21"/>
        <w:szCs w:val="21"/>
        <w:vertAlign w:val="superscript"/>
      </w:rPr>
      <w:t>3</w:t>
    </w:r>
    <w:r>
      <w:rPr>
        <w:rFonts w:hint="eastAsia" w:ascii="楷体" w:hAnsi="楷体" w:eastAsia="楷体"/>
        <w:sz w:val="21"/>
        <w:szCs w:val="21"/>
      </w:rPr>
      <w:t>/a（50万t/a）露天采矿工程安全预评价报告</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0E4A6F3"/>
    <w:multiLevelType w:val="singleLevel"/>
    <w:tmpl w:val="80E4A6F3"/>
    <w:lvl w:ilvl="0" w:tentative="0">
      <w:start w:val="1"/>
      <w:numFmt w:val="decimal"/>
      <w:pStyle w:val="76"/>
      <w:lvlText w:val="%1."/>
      <w:lvlJc w:val="left"/>
      <w:pPr>
        <w:ind w:left="425" w:hanging="425"/>
      </w:pPr>
      <w:rPr>
        <w:rFonts w:hint="default"/>
      </w:rPr>
    </w:lvl>
  </w:abstractNum>
  <w:abstractNum w:abstractNumId="1">
    <w:nsid w:val="8A419C09"/>
    <w:multiLevelType w:val="singleLevel"/>
    <w:tmpl w:val="8A419C09"/>
    <w:lvl w:ilvl="0" w:tentative="0">
      <w:start w:val="1"/>
      <w:numFmt w:val="decimal"/>
      <w:suff w:val="nothing"/>
      <w:lvlText w:val="%1．"/>
      <w:lvlJc w:val="left"/>
      <w:pPr>
        <w:ind w:left="0" w:firstLine="400"/>
      </w:pPr>
      <w:rPr>
        <w:rFonts w:hint="default"/>
      </w:rPr>
    </w:lvl>
  </w:abstractNum>
  <w:abstractNum w:abstractNumId="2">
    <w:nsid w:val="927C7FEC"/>
    <w:multiLevelType w:val="singleLevel"/>
    <w:tmpl w:val="927C7FEC"/>
    <w:lvl w:ilvl="0" w:tentative="0">
      <w:start w:val="1"/>
      <w:numFmt w:val="bullet"/>
      <w:pStyle w:val="12"/>
      <w:lvlText w:val=""/>
      <w:lvlJc w:val="left"/>
      <w:pPr>
        <w:tabs>
          <w:tab w:val="left" w:pos="780"/>
        </w:tabs>
        <w:ind w:left="780" w:hanging="360"/>
      </w:pPr>
      <w:rPr>
        <w:rFonts w:hint="default" w:ascii="Wingdings" w:hAnsi="Wingdings"/>
      </w:rPr>
    </w:lvl>
  </w:abstractNum>
  <w:abstractNum w:abstractNumId="3">
    <w:nsid w:val="00000009"/>
    <w:multiLevelType w:val="singleLevel"/>
    <w:tmpl w:val="00000009"/>
    <w:lvl w:ilvl="0" w:tentative="0">
      <w:start w:val="1"/>
      <w:numFmt w:val="decimal"/>
      <w:suff w:val="nothing"/>
      <w:lvlText w:val="（%1）"/>
      <w:lvlJc w:val="left"/>
    </w:lvl>
  </w:abstractNum>
  <w:abstractNum w:abstractNumId="4">
    <w:nsid w:val="0000000B"/>
    <w:multiLevelType w:val="multilevel"/>
    <w:tmpl w:val="0000000B"/>
    <w:lvl w:ilvl="0" w:tentative="0">
      <w:start w:val="1"/>
      <w:numFmt w:val="decimal"/>
      <w:pStyle w:val="119"/>
      <w:suff w:val="nothing"/>
      <w:lvlText w:val="%1、"/>
      <w:lvlJc w:val="left"/>
      <w:pPr>
        <w:ind w:left="0" w:firstLine="561"/>
      </w:pPr>
      <w:rPr>
        <w:b w:val="0"/>
        <w:bCs w:val="0"/>
        <w:i w:val="0"/>
        <w:iCs w:val="0"/>
        <w:caps w:val="0"/>
        <w:smallCaps w:val="0"/>
        <w:strike w:val="0"/>
        <w:dstrike w:val="0"/>
        <w:outline w:val="0"/>
        <w:shadow w:val="0"/>
        <w:emboss w:val="0"/>
        <w:imprint w:val="0"/>
        <w:vanish w:val="0"/>
        <w:color w:val="auto"/>
        <w:spacing w:val="0"/>
        <w:position w:val="0"/>
        <w:u w:val="none"/>
        <w:vertAlign w:val="baseline"/>
      </w:rPr>
    </w:lvl>
    <w:lvl w:ilvl="1" w:tentative="0">
      <w:start w:val="1"/>
      <w:numFmt w:val="lowerLetter"/>
      <w:lvlText w:val="%2)"/>
      <w:lvlJc w:val="left"/>
      <w:pPr>
        <w:ind w:left="1400" w:hanging="420"/>
      </w:pPr>
    </w:lvl>
    <w:lvl w:ilvl="2" w:tentative="0">
      <w:start w:val="1"/>
      <w:numFmt w:val="lowerRoman"/>
      <w:lvlText w:val="%3."/>
      <w:lvlJc w:val="right"/>
      <w:pPr>
        <w:ind w:left="1820" w:hanging="420"/>
      </w:pPr>
    </w:lvl>
    <w:lvl w:ilvl="3" w:tentative="0">
      <w:start w:val="1"/>
      <w:numFmt w:val="decimal"/>
      <w:lvlText w:val="%4."/>
      <w:lvlJc w:val="left"/>
      <w:pPr>
        <w:ind w:left="2240" w:hanging="420"/>
      </w:pPr>
    </w:lvl>
    <w:lvl w:ilvl="4" w:tentative="0">
      <w:start w:val="1"/>
      <w:numFmt w:val="lowerLetter"/>
      <w:lvlText w:val="%5)"/>
      <w:lvlJc w:val="left"/>
      <w:pPr>
        <w:ind w:left="2660" w:hanging="420"/>
      </w:pPr>
    </w:lvl>
    <w:lvl w:ilvl="5" w:tentative="0">
      <w:start w:val="1"/>
      <w:numFmt w:val="lowerRoman"/>
      <w:lvlText w:val="%6."/>
      <w:lvlJc w:val="right"/>
      <w:pPr>
        <w:ind w:left="3080" w:hanging="420"/>
      </w:pPr>
    </w:lvl>
    <w:lvl w:ilvl="6" w:tentative="0">
      <w:start w:val="1"/>
      <w:numFmt w:val="decimal"/>
      <w:lvlText w:val="%7."/>
      <w:lvlJc w:val="left"/>
      <w:pPr>
        <w:ind w:left="3500" w:hanging="420"/>
      </w:pPr>
    </w:lvl>
    <w:lvl w:ilvl="7" w:tentative="0">
      <w:start w:val="1"/>
      <w:numFmt w:val="lowerLetter"/>
      <w:lvlText w:val="%8)"/>
      <w:lvlJc w:val="left"/>
      <w:pPr>
        <w:ind w:left="3920" w:hanging="420"/>
      </w:pPr>
    </w:lvl>
    <w:lvl w:ilvl="8" w:tentative="0">
      <w:start w:val="1"/>
      <w:numFmt w:val="lowerRoman"/>
      <w:lvlText w:val="%9."/>
      <w:lvlJc w:val="right"/>
      <w:pPr>
        <w:ind w:left="4340" w:hanging="420"/>
      </w:pPr>
    </w:lvl>
  </w:abstractNum>
  <w:abstractNum w:abstractNumId="5">
    <w:nsid w:val="10AE229E"/>
    <w:multiLevelType w:val="singleLevel"/>
    <w:tmpl w:val="10AE229E"/>
    <w:lvl w:ilvl="0" w:tentative="0">
      <w:start w:val="1"/>
      <w:numFmt w:val="decimal"/>
      <w:suff w:val="nothing"/>
      <w:lvlText w:val="%1．"/>
      <w:lvlJc w:val="left"/>
      <w:pPr>
        <w:ind w:left="0" w:firstLine="400"/>
      </w:pPr>
      <w:rPr>
        <w:rFonts w:hint="default"/>
      </w:rPr>
    </w:lvl>
  </w:abstractNum>
  <w:abstractNum w:abstractNumId="6">
    <w:nsid w:val="66A939A3"/>
    <w:multiLevelType w:val="singleLevel"/>
    <w:tmpl w:val="66A939A3"/>
    <w:lvl w:ilvl="0" w:tentative="0">
      <w:start w:val="1"/>
      <w:numFmt w:val="decimal"/>
      <w:suff w:val="nothing"/>
      <w:lvlText w:val="%1．"/>
      <w:lvlJc w:val="left"/>
      <w:pPr>
        <w:ind w:left="0" w:firstLine="400"/>
      </w:pPr>
      <w:rPr>
        <w:rFonts w:hint="default"/>
      </w:rPr>
    </w:lvl>
  </w:abstractNum>
  <w:abstractNum w:abstractNumId="7">
    <w:nsid w:val="6CEA2025"/>
    <w:multiLevelType w:val="multilevel"/>
    <w:tmpl w:val="6CEA2025"/>
    <w:lvl w:ilvl="0" w:tentative="0">
      <w:start w:val="1"/>
      <w:numFmt w:val="none"/>
      <w:suff w:val="nothing"/>
      <w:lvlText w:val="%1"/>
      <w:lvlJc w:val="left"/>
      <w:pPr>
        <w:ind w:left="0" w:firstLine="0"/>
      </w:pPr>
      <w:rPr>
        <w:rFonts w:hint="default" w:ascii="Times New Roman" w:hAnsi="Times New Roman"/>
        <w:b/>
        <w:i w:val="0"/>
        <w:sz w:val="21"/>
      </w:rPr>
    </w:lvl>
    <w:lvl w:ilvl="1" w:tentative="0">
      <w:start w:val="1"/>
      <w:numFmt w:val="decimal"/>
      <w:suff w:val="nothing"/>
      <w:lvlText w:val="%1%2　"/>
      <w:lvlJc w:val="left"/>
      <w:pPr>
        <w:ind w:left="0" w:firstLine="0"/>
      </w:pPr>
      <w:rPr>
        <w:rFonts w:hint="eastAsia" w:ascii="黑体" w:hAnsi="Times New Roman" w:eastAsia="黑体"/>
        <w:b w:val="0"/>
        <w:i w:val="0"/>
        <w:sz w:val="21"/>
      </w:rPr>
    </w:lvl>
    <w:lvl w:ilvl="2" w:tentative="0">
      <w:start w:val="1"/>
      <w:numFmt w:val="decimal"/>
      <w:suff w:val="nothing"/>
      <w:lvlText w:val="%1%2.%3　"/>
      <w:lvlJc w:val="left"/>
      <w:pPr>
        <w:ind w:left="525" w:firstLine="0"/>
      </w:pPr>
      <w:rPr>
        <w:rFonts w:hint="eastAsia" w:ascii="黑体" w:hAnsi="Times New Roman" w:eastAsia="黑体"/>
        <w:b w:val="0"/>
        <w:i w:val="0"/>
        <w:color w:val="auto"/>
        <w:sz w:val="21"/>
      </w:rPr>
    </w:lvl>
    <w:lvl w:ilvl="3" w:tentative="0">
      <w:start w:val="1"/>
      <w:numFmt w:val="decimal"/>
      <w:suff w:val="nothing"/>
      <w:lvlText w:val="%1%2.%3.%4　"/>
      <w:lvlJc w:val="left"/>
      <w:pPr>
        <w:ind w:left="840" w:firstLine="0"/>
      </w:pPr>
      <w:rPr>
        <w:rFonts w:hint="eastAsia" w:ascii="黑体" w:hAnsi="Times New Roman" w:eastAsia="黑体"/>
        <w:b w:val="0"/>
        <w:i w:val="0"/>
        <w:sz w:val="21"/>
      </w:rPr>
    </w:lvl>
    <w:lvl w:ilvl="4" w:tentative="0">
      <w:start w:val="1"/>
      <w:numFmt w:val="decimal"/>
      <w:pStyle w:val="85"/>
      <w:suff w:val="nothing"/>
      <w:lvlText w:val="%1%2.%3.%4.%5　"/>
      <w:lvlJc w:val="left"/>
      <w:pPr>
        <w:ind w:left="945" w:firstLine="0"/>
      </w:pPr>
      <w:rPr>
        <w:rFonts w:hint="eastAsia" w:ascii="黑体" w:hAnsi="Times New Roman" w:eastAsia="黑体"/>
        <w:b w:val="0"/>
        <w:i w:val="0"/>
        <w:sz w:val="21"/>
        <w:szCs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num w:numId="1">
    <w:abstractNumId w:val="2"/>
  </w:num>
  <w:num w:numId="2">
    <w:abstractNumId w:val="0"/>
  </w:num>
  <w:num w:numId="3">
    <w:abstractNumId w:val="7"/>
  </w:num>
  <w:num w:numId="4">
    <w:abstractNumId w:val="4"/>
  </w:num>
  <w:num w:numId="5">
    <w:abstractNumId w:val="3"/>
  </w:num>
  <w:num w:numId="6">
    <w:abstractNumId w:val="1"/>
  </w:num>
  <w:num w:numId="7">
    <w:abstractNumId w:val="6"/>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1"/>
  <w:bordersDoNotSurroundHeader w:val="0"/>
  <w:bordersDoNotSurroundFooter w:val="0"/>
  <w:documentProtection w:enforcement="0"/>
  <w:defaultTabStop w:val="0"/>
  <w:hyphenationZone w:val="360"/>
  <w:drawingGridHorizontalSpacing w:val="210"/>
  <w:drawingGridVerticalSpacing w:val="166"/>
  <w:displayHorizontalDrawingGridEvery w:val="1"/>
  <w:displayVerticalDrawingGridEvery w:val="1"/>
  <w:noPunctuationKerning w:val="1"/>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BiZWQwMTQ1NjNmOTA1MTM1YjQ1ZTY3ZTU0NjRkNzcifQ=="/>
  </w:docVars>
  <w:rsids>
    <w:rsidRoot w:val="00172A27"/>
    <w:rsid w:val="00003A9C"/>
    <w:rsid w:val="000052F4"/>
    <w:rsid w:val="0001015D"/>
    <w:rsid w:val="00015778"/>
    <w:rsid w:val="00024546"/>
    <w:rsid w:val="00031BC9"/>
    <w:rsid w:val="000335B7"/>
    <w:rsid w:val="000430D4"/>
    <w:rsid w:val="00045D46"/>
    <w:rsid w:val="0004638F"/>
    <w:rsid w:val="00046D01"/>
    <w:rsid w:val="000528D8"/>
    <w:rsid w:val="00053F7A"/>
    <w:rsid w:val="000603A1"/>
    <w:rsid w:val="00061F76"/>
    <w:rsid w:val="00065B87"/>
    <w:rsid w:val="0006613F"/>
    <w:rsid w:val="00066C90"/>
    <w:rsid w:val="000676A1"/>
    <w:rsid w:val="00067A30"/>
    <w:rsid w:val="000708DB"/>
    <w:rsid w:val="000708E1"/>
    <w:rsid w:val="000810EE"/>
    <w:rsid w:val="00087BB1"/>
    <w:rsid w:val="00093AC6"/>
    <w:rsid w:val="00097B93"/>
    <w:rsid w:val="000A3A7D"/>
    <w:rsid w:val="000A5D38"/>
    <w:rsid w:val="000B0F57"/>
    <w:rsid w:val="000B160C"/>
    <w:rsid w:val="000B5327"/>
    <w:rsid w:val="000C0635"/>
    <w:rsid w:val="000C20E3"/>
    <w:rsid w:val="000C7860"/>
    <w:rsid w:val="000D16E7"/>
    <w:rsid w:val="000D1D93"/>
    <w:rsid w:val="000D4176"/>
    <w:rsid w:val="000D4A4B"/>
    <w:rsid w:val="000D5733"/>
    <w:rsid w:val="000D69CF"/>
    <w:rsid w:val="000D6B77"/>
    <w:rsid w:val="000E160B"/>
    <w:rsid w:val="000E1BA7"/>
    <w:rsid w:val="000E2267"/>
    <w:rsid w:val="000E337B"/>
    <w:rsid w:val="000E3C08"/>
    <w:rsid w:val="000F3195"/>
    <w:rsid w:val="000F3F3D"/>
    <w:rsid w:val="000F42E7"/>
    <w:rsid w:val="000F6AE7"/>
    <w:rsid w:val="000F7966"/>
    <w:rsid w:val="00103919"/>
    <w:rsid w:val="00103FC6"/>
    <w:rsid w:val="00106071"/>
    <w:rsid w:val="00106855"/>
    <w:rsid w:val="00110D36"/>
    <w:rsid w:val="00111BF4"/>
    <w:rsid w:val="001134BF"/>
    <w:rsid w:val="00117B68"/>
    <w:rsid w:val="00124132"/>
    <w:rsid w:val="001244C0"/>
    <w:rsid w:val="00125326"/>
    <w:rsid w:val="00125EF9"/>
    <w:rsid w:val="0013239B"/>
    <w:rsid w:val="00132407"/>
    <w:rsid w:val="00136689"/>
    <w:rsid w:val="001415C8"/>
    <w:rsid w:val="00141BA6"/>
    <w:rsid w:val="00143201"/>
    <w:rsid w:val="001444A2"/>
    <w:rsid w:val="00144C33"/>
    <w:rsid w:val="001470CC"/>
    <w:rsid w:val="00155443"/>
    <w:rsid w:val="0015687D"/>
    <w:rsid w:val="00157C67"/>
    <w:rsid w:val="00164242"/>
    <w:rsid w:val="00166FF2"/>
    <w:rsid w:val="00167F3B"/>
    <w:rsid w:val="001702A4"/>
    <w:rsid w:val="0017149B"/>
    <w:rsid w:val="00174673"/>
    <w:rsid w:val="00174732"/>
    <w:rsid w:val="00174A97"/>
    <w:rsid w:val="00177B01"/>
    <w:rsid w:val="00180A61"/>
    <w:rsid w:val="001858DD"/>
    <w:rsid w:val="00186C76"/>
    <w:rsid w:val="00191231"/>
    <w:rsid w:val="0019186B"/>
    <w:rsid w:val="00191BF2"/>
    <w:rsid w:val="0019277B"/>
    <w:rsid w:val="001927DD"/>
    <w:rsid w:val="0019364E"/>
    <w:rsid w:val="001A100C"/>
    <w:rsid w:val="001A23DC"/>
    <w:rsid w:val="001A4D41"/>
    <w:rsid w:val="001A732B"/>
    <w:rsid w:val="001B0273"/>
    <w:rsid w:val="001B0CDA"/>
    <w:rsid w:val="001B183E"/>
    <w:rsid w:val="001B2137"/>
    <w:rsid w:val="001B2D8F"/>
    <w:rsid w:val="001B5432"/>
    <w:rsid w:val="001B71A2"/>
    <w:rsid w:val="001B747A"/>
    <w:rsid w:val="001B7E22"/>
    <w:rsid w:val="001C4BEC"/>
    <w:rsid w:val="001C7DFE"/>
    <w:rsid w:val="001F502C"/>
    <w:rsid w:val="001F6C93"/>
    <w:rsid w:val="00201125"/>
    <w:rsid w:val="002060D1"/>
    <w:rsid w:val="00217AC7"/>
    <w:rsid w:val="00221869"/>
    <w:rsid w:val="00222E45"/>
    <w:rsid w:val="00225E6B"/>
    <w:rsid w:val="002266C6"/>
    <w:rsid w:val="00230300"/>
    <w:rsid w:val="0023052B"/>
    <w:rsid w:val="002339E5"/>
    <w:rsid w:val="00241793"/>
    <w:rsid w:val="00246BDF"/>
    <w:rsid w:val="002471B1"/>
    <w:rsid w:val="00247EEC"/>
    <w:rsid w:val="00251F22"/>
    <w:rsid w:val="00256478"/>
    <w:rsid w:val="00261166"/>
    <w:rsid w:val="00263B2B"/>
    <w:rsid w:val="002664C6"/>
    <w:rsid w:val="00266BC9"/>
    <w:rsid w:val="002775FB"/>
    <w:rsid w:val="00280347"/>
    <w:rsid w:val="002858CB"/>
    <w:rsid w:val="002953E5"/>
    <w:rsid w:val="002A2A2C"/>
    <w:rsid w:val="002B01ED"/>
    <w:rsid w:val="002B0AF4"/>
    <w:rsid w:val="002B1892"/>
    <w:rsid w:val="002B2EE5"/>
    <w:rsid w:val="002B4D1F"/>
    <w:rsid w:val="002B68E7"/>
    <w:rsid w:val="002B78E8"/>
    <w:rsid w:val="002C0902"/>
    <w:rsid w:val="002C1193"/>
    <w:rsid w:val="002C1A8F"/>
    <w:rsid w:val="002C2C2D"/>
    <w:rsid w:val="002C6CC1"/>
    <w:rsid w:val="002D128F"/>
    <w:rsid w:val="002D19AC"/>
    <w:rsid w:val="002D1BC3"/>
    <w:rsid w:val="002E3671"/>
    <w:rsid w:val="002E5D15"/>
    <w:rsid w:val="002E63CB"/>
    <w:rsid w:val="002E7F75"/>
    <w:rsid w:val="002F16A0"/>
    <w:rsid w:val="002F1E3F"/>
    <w:rsid w:val="002F21E5"/>
    <w:rsid w:val="002F6118"/>
    <w:rsid w:val="00300B34"/>
    <w:rsid w:val="00301A9F"/>
    <w:rsid w:val="0030458E"/>
    <w:rsid w:val="00307150"/>
    <w:rsid w:val="00310434"/>
    <w:rsid w:val="003214C5"/>
    <w:rsid w:val="00322573"/>
    <w:rsid w:val="00324315"/>
    <w:rsid w:val="003369C3"/>
    <w:rsid w:val="00340363"/>
    <w:rsid w:val="00342299"/>
    <w:rsid w:val="003426F2"/>
    <w:rsid w:val="003471F4"/>
    <w:rsid w:val="0034759F"/>
    <w:rsid w:val="0035285B"/>
    <w:rsid w:val="00355187"/>
    <w:rsid w:val="003624A9"/>
    <w:rsid w:val="00365899"/>
    <w:rsid w:val="003662BD"/>
    <w:rsid w:val="00366F4C"/>
    <w:rsid w:val="0037191F"/>
    <w:rsid w:val="0037223D"/>
    <w:rsid w:val="00374539"/>
    <w:rsid w:val="00374E48"/>
    <w:rsid w:val="00375647"/>
    <w:rsid w:val="00376AA1"/>
    <w:rsid w:val="00377795"/>
    <w:rsid w:val="00382B19"/>
    <w:rsid w:val="0039146C"/>
    <w:rsid w:val="003A1E63"/>
    <w:rsid w:val="003A2128"/>
    <w:rsid w:val="003A312E"/>
    <w:rsid w:val="003A7401"/>
    <w:rsid w:val="003A7441"/>
    <w:rsid w:val="003B0D76"/>
    <w:rsid w:val="003B1011"/>
    <w:rsid w:val="003B503D"/>
    <w:rsid w:val="003B5A31"/>
    <w:rsid w:val="003B7695"/>
    <w:rsid w:val="003C7892"/>
    <w:rsid w:val="003D2081"/>
    <w:rsid w:val="003E2D57"/>
    <w:rsid w:val="003E3491"/>
    <w:rsid w:val="003F1B93"/>
    <w:rsid w:val="003F534E"/>
    <w:rsid w:val="003F54CF"/>
    <w:rsid w:val="003F5ADA"/>
    <w:rsid w:val="003F6A05"/>
    <w:rsid w:val="004021AF"/>
    <w:rsid w:val="00405CF2"/>
    <w:rsid w:val="004077BE"/>
    <w:rsid w:val="004105CC"/>
    <w:rsid w:val="00416F9E"/>
    <w:rsid w:val="004171C2"/>
    <w:rsid w:val="004224A7"/>
    <w:rsid w:val="00423BD4"/>
    <w:rsid w:val="004240E9"/>
    <w:rsid w:val="00424F05"/>
    <w:rsid w:val="004309F0"/>
    <w:rsid w:val="00437F1D"/>
    <w:rsid w:val="0044102E"/>
    <w:rsid w:val="004411D9"/>
    <w:rsid w:val="004434EA"/>
    <w:rsid w:val="00445559"/>
    <w:rsid w:val="00445E76"/>
    <w:rsid w:val="004501E8"/>
    <w:rsid w:val="00450B0C"/>
    <w:rsid w:val="00451E78"/>
    <w:rsid w:val="004542B1"/>
    <w:rsid w:val="00461865"/>
    <w:rsid w:val="00464F52"/>
    <w:rsid w:val="0046698B"/>
    <w:rsid w:val="00470AE9"/>
    <w:rsid w:val="00471031"/>
    <w:rsid w:val="004727AB"/>
    <w:rsid w:val="004740E6"/>
    <w:rsid w:val="004754C3"/>
    <w:rsid w:val="00486997"/>
    <w:rsid w:val="00492B65"/>
    <w:rsid w:val="00492F6B"/>
    <w:rsid w:val="004930BA"/>
    <w:rsid w:val="004943E1"/>
    <w:rsid w:val="00497940"/>
    <w:rsid w:val="004A2935"/>
    <w:rsid w:val="004A75DC"/>
    <w:rsid w:val="004A793E"/>
    <w:rsid w:val="004B1967"/>
    <w:rsid w:val="004B1DD5"/>
    <w:rsid w:val="004B69A8"/>
    <w:rsid w:val="004C3789"/>
    <w:rsid w:val="004C613C"/>
    <w:rsid w:val="004D27FA"/>
    <w:rsid w:val="004E0176"/>
    <w:rsid w:val="004E0CFB"/>
    <w:rsid w:val="004E6E67"/>
    <w:rsid w:val="004E6FC7"/>
    <w:rsid w:val="004F0AAC"/>
    <w:rsid w:val="004F27BD"/>
    <w:rsid w:val="004F36CE"/>
    <w:rsid w:val="004F3E33"/>
    <w:rsid w:val="004F4BB2"/>
    <w:rsid w:val="004F688C"/>
    <w:rsid w:val="004F722F"/>
    <w:rsid w:val="005011F0"/>
    <w:rsid w:val="00503F36"/>
    <w:rsid w:val="0050505F"/>
    <w:rsid w:val="00506377"/>
    <w:rsid w:val="00511DAF"/>
    <w:rsid w:val="00512F55"/>
    <w:rsid w:val="00514E80"/>
    <w:rsid w:val="005158EB"/>
    <w:rsid w:val="0053577B"/>
    <w:rsid w:val="00536EB6"/>
    <w:rsid w:val="0053767A"/>
    <w:rsid w:val="00541CE1"/>
    <w:rsid w:val="00546018"/>
    <w:rsid w:val="0054795E"/>
    <w:rsid w:val="00550CB7"/>
    <w:rsid w:val="005537B8"/>
    <w:rsid w:val="00556C38"/>
    <w:rsid w:val="00566D19"/>
    <w:rsid w:val="0056702B"/>
    <w:rsid w:val="00570244"/>
    <w:rsid w:val="005714BA"/>
    <w:rsid w:val="0057468C"/>
    <w:rsid w:val="005756BC"/>
    <w:rsid w:val="005774C7"/>
    <w:rsid w:val="00583C86"/>
    <w:rsid w:val="005846C9"/>
    <w:rsid w:val="00597715"/>
    <w:rsid w:val="005A0BAF"/>
    <w:rsid w:val="005A168F"/>
    <w:rsid w:val="005A2519"/>
    <w:rsid w:val="005A33ED"/>
    <w:rsid w:val="005A63A2"/>
    <w:rsid w:val="005B19F8"/>
    <w:rsid w:val="005B4290"/>
    <w:rsid w:val="005B52C1"/>
    <w:rsid w:val="005C1B89"/>
    <w:rsid w:val="005C23C6"/>
    <w:rsid w:val="005D3C63"/>
    <w:rsid w:val="005D4E6C"/>
    <w:rsid w:val="005D535A"/>
    <w:rsid w:val="005E33E1"/>
    <w:rsid w:val="005E600E"/>
    <w:rsid w:val="005F10A6"/>
    <w:rsid w:val="005F5201"/>
    <w:rsid w:val="005F54ED"/>
    <w:rsid w:val="005F6607"/>
    <w:rsid w:val="005F7CBA"/>
    <w:rsid w:val="00600445"/>
    <w:rsid w:val="006021FB"/>
    <w:rsid w:val="006024FC"/>
    <w:rsid w:val="006030A0"/>
    <w:rsid w:val="0061073B"/>
    <w:rsid w:val="00612533"/>
    <w:rsid w:val="006129D1"/>
    <w:rsid w:val="00612AD3"/>
    <w:rsid w:val="00616C33"/>
    <w:rsid w:val="00631A59"/>
    <w:rsid w:val="0063277A"/>
    <w:rsid w:val="00633E2A"/>
    <w:rsid w:val="00635D9F"/>
    <w:rsid w:val="00636F8F"/>
    <w:rsid w:val="0064071B"/>
    <w:rsid w:val="00641749"/>
    <w:rsid w:val="00643034"/>
    <w:rsid w:val="006443A7"/>
    <w:rsid w:val="00650CD9"/>
    <w:rsid w:val="0065351C"/>
    <w:rsid w:val="00654CEB"/>
    <w:rsid w:val="0066030C"/>
    <w:rsid w:val="00663090"/>
    <w:rsid w:val="00665D08"/>
    <w:rsid w:val="00671B2B"/>
    <w:rsid w:val="00671EFE"/>
    <w:rsid w:val="00672C1F"/>
    <w:rsid w:val="00672FEC"/>
    <w:rsid w:val="006745B4"/>
    <w:rsid w:val="00674E9A"/>
    <w:rsid w:val="006775C2"/>
    <w:rsid w:val="00680581"/>
    <w:rsid w:val="00681B55"/>
    <w:rsid w:val="006829AC"/>
    <w:rsid w:val="006927C1"/>
    <w:rsid w:val="00693C16"/>
    <w:rsid w:val="00694B0C"/>
    <w:rsid w:val="006A0665"/>
    <w:rsid w:val="006A6192"/>
    <w:rsid w:val="006A7DED"/>
    <w:rsid w:val="006C31CE"/>
    <w:rsid w:val="006C5024"/>
    <w:rsid w:val="006C503B"/>
    <w:rsid w:val="006C60CA"/>
    <w:rsid w:val="006E47F5"/>
    <w:rsid w:val="006F055B"/>
    <w:rsid w:val="006F0DD1"/>
    <w:rsid w:val="006F2496"/>
    <w:rsid w:val="006F3E1F"/>
    <w:rsid w:val="006F5D9D"/>
    <w:rsid w:val="006F7058"/>
    <w:rsid w:val="006F74F5"/>
    <w:rsid w:val="00702F1D"/>
    <w:rsid w:val="00703C89"/>
    <w:rsid w:val="00706A2C"/>
    <w:rsid w:val="00716A5D"/>
    <w:rsid w:val="00721388"/>
    <w:rsid w:val="00721F01"/>
    <w:rsid w:val="00723B10"/>
    <w:rsid w:val="007259DC"/>
    <w:rsid w:val="00730798"/>
    <w:rsid w:val="00730DA9"/>
    <w:rsid w:val="007313AF"/>
    <w:rsid w:val="00734351"/>
    <w:rsid w:val="00734617"/>
    <w:rsid w:val="00734961"/>
    <w:rsid w:val="007350DA"/>
    <w:rsid w:val="00735D73"/>
    <w:rsid w:val="00740E9D"/>
    <w:rsid w:val="00741FEA"/>
    <w:rsid w:val="00744946"/>
    <w:rsid w:val="00745FBE"/>
    <w:rsid w:val="00746224"/>
    <w:rsid w:val="00750805"/>
    <w:rsid w:val="00754921"/>
    <w:rsid w:val="00755572"/>
    <w:rsid w:val="00756DEA"/>
    <w:rsid w:val="0075727B"/>
    <w:rsid w:val="00763201"/>
    <w:rsid w:val="00764E7A"/>
    <w:rsid w:val="00765872"/>
    <w:rsid w:val="007678D7"/>
    <w:rsid w:val="00767936"/>
    <w:rsid w:val="0077015B"/>
    <w:rsid w:val="00780061"/>
    <w:rsid w:val="00780261"/>
    <w:rsid w:val="0078044D"/>
    <w:rsid w:val="00781F95"/>
    <w:rsid w:val="00783AF2"/>
    <w:rsid w:val="00784158"/>
    <w:rsid w:val="00784517"/>
    <w:rsid w:val="00784E2F"/>
    <w:rsid w:val="00785D67"/>
    <w:rsid w:val="007863D2"/>
    <w:rsid w:val="0079015D"/>
    <w:rsid w:val="00791FBA"/>
    <w:rsid w:val="00793DC1"/>
    <w:rsid w:val="00794883"/>
    <w:rsid w:val="007A0E25"/>
    <w:rsid w:val="007A3AE5"/>
    <w:rsid w:val="007A6805"/>
    <w:rsid w:val="007B16B6"/>
    <w:rsid w:val="007B2609"/>
    <w:rsid w:val="007B2C4A"/>
    <w:rsid w:val="007B4DD4"/>
    <w:rsid w:val="007B6FDF"/>
    <w:rsid w:val="007C1354"/>
    <w:rsid w:val="007C156A"/>
    <w:rsid w:val="007C1E3E"/>
    <w:rsid w:val="007C275E"/>
    <w:rsid w:val="007C33F8"/>
    <w:rsid w:val="007D1E29"/>
    <w:rsid w:val="007D6CCD"/>
    <w:rsid w:val="007D740F"/>
    <w:rsid w:val="007E224C"/>
    <w:rsid w:val="007E2DA3"/>
    <w:rsid w:val="007E64CD"/>
    <w:rsid w:val="007F00A2"/>
    <w:rsid w:val="007F24F8"/>
    <w:rsid w:val="007F28E0"/>
    <w:rsid w:val="007F529E"/>
    <w:rsid w:val="007F571C"/>
    <w:rsid w:val="00807A4B"/>
    <w:rsid w:val="00817551"/>
    <w:rsid w:val="0081785C"/>
    <w:rsid w:val="00822D0D"/>
    <w:rsid w:val="00827E3F"/>
    <w:rsid w:val="00831441"/>
    <w:rsid w:val="00833ED5"/>
    <w:rsid w:val="00835E50"/>
    <w:rsid w:val="0084472D"/>
    <w:rsid w:val="00844FE0"/>
    <w:rsid w:val="00846C63"/>
    <w:rsid w:val="00847C6C"/>
    <w:rsid w:val="008507CC"/>
    <w:rsid w:val="00850BDE"/>
    <w:rsid w:val="00850D66"/>
    <w:rsid w:val="00853289"/>
    <w:rsid w:val="00854A89"/>
    <w:rsid w:val="008550BC"/>
    <w:rsid w:val="008550D2"/>
    <w:rsid w:val="008631BC"/>
    <w:rsid w:val="0086442B"/>
    <w:rsid w:val="00866D73"/>
    <w:rsid w:val="008676B4"/>
    <w:rsid w:val="008777B2"/>
    <w:rsid w:val="00881675"/>
    <w:rsid w:val="0088245C"/>
    <w:rsid w:val="00893649"/>
    <w:rsid w:val="0089439C"/>
    <w:rsid w:val="008A0083"/>
    <w:rsid w:val="008A0EBF"/>
    <w:rsid w:val="008A4426"/>
    <w:rsid w:val="008A45E8"/>
    <w:rsid w:val="008A46F7"/>
    <w:rsid w:val="008B392C"/>
    <w:rsid w:val="008B78AD"/>
    <w:rsid w:val="008C3E2D"/>
    <w:rsid w:val="008C42A7"/>
    <w:rsid w:val="008C5599"/>
    <w:rsid w:val="008D03CA"/>
    <w:rsid w:val="008D2D82"/>
    <w:rsid w:val="008D66AD"/>
    <w:rsid w:val="008E5560"/>
    <w:rsid w:val="008E6D62"/>
    <w:rsid w:val="008E6D82"/>
    <w:rsid w:val="008F3811"/>
    <w:rsid w:val="008F4831"/>
    <w:rsid w:val="008F5ED7"/>
    <w:rsid w:val="009022A1"/>
    <w:rsid w:val="00907647"/>
    <w:rsid w:val="00911814"/>
    <w:rsid w:val="00912D8E"/>
    <w:rsid w:val="00917A65"/>
    <w:rsid w:val="009218DE"/>
    <w:rsid w:val="009227A5"/>
    <w:rsid w:val="00926505"/>
    <w:rsid w:val="00927A3C"/>
    <w:rsid w:val="00932D82"/>
    <w:rsid w:val="0093466D"/>
    <w:rsid w:val="009368E7"/>
    <w:rsid w:val="0094016F"/>
    <w:rsid w:val="009406EA"/>
    <w:rsid w:val="00940701"/>
    <w:rsid w:val="00941F5C"/>
    <w:rsid w:val="00942F93"/>
    <w:rsid w:val="0094369C"/>
    <w:rsid w:val="00943858"/>
    <w:rsid w:val="00950D89"/>
    <w:rsid w:val="00953896"/>
    <w:rsid w:val="00960A58"/>
    <w:rsid w:val="00963604"/>
    <w:rsid w:val="00964174"/>
    <w:rsid w:val="009660CB"/>
    <w:rsid w:val="009661E9"/>
    <w:rsid w:val="009665BA"/>
    <w:rsid w:val="009676A9"/>
    <w:rsid w:val="00970DCE"/>
    <w:rsid w:val="00972468"/>
    <w:rsid w:val="00972B95"/>
    <w:rsid w:val="00975888"/>
    <w:rsid w:val="00977330"/>
    <w:rsid w:val="00981277"/>
    <w:rsid w:val="0098320E"/>
    <w:rsid w:val="00992D22"/>
    <w:rsid w:val="009A006C"/>
    <w:rsid w:val="009A08E7"/>
    <w:rsid w:val="009A13FF"/>
    <w:rsid w:val="009A37B6"/>
    <w:rsid w:val="009A3D3E"/>
    <w:rsid w:val="009A463A"/>
    <w:rsid w:val="009B12B5"/>
    <w:rsid w:val="009B3550"/>
    <w:rsid w:val="009B474F"/>
    <w:rsid w:val="009B709C"/>
    <w:rsid w:val="009C035E"/>
    <w:rsid w:val="009C47C5"/>
    <w:rsid w:val="009C48F7"/>
    <w:rsid w:val="009C49FA"/>
    <w:rsid w:val="009C4A57"/>
    <w:rsid w:val="009C57DB"/>
    <w:rsid w:val="009C76B0"/>
    <w:rsid w:val="009D32AA"/>
    <w:rsid w:val="009E02A4"/>
    <w:rsid w:val="009E0553"/>
    <w:rsid w:val="009E2DD9"/>
    <w:rsid w:val="009E3FC8"/>
    <w:rsid w:val="009E7AAE"/>
    <w:rsid w:val="009F60A6"/>
    <w:rsid w:val="009F7A0B"/>
    <w:rsid w:val="00A05E7F"/>
    <w:rsid w:val="00A06D5B"/>
    <w:rsid w:val="00A1316A"/>
    <w:rsid w:val="00A15FF2"/>
    <w:rsid w:val="00A16F77"/>
    <w:rsid w:val="00A25A9D"/>
    <w:rsid w:val="00A27445"/>
    <w:rsid w:val="00A33DF1"/>
    <w:rsid w:val="00A366BD"/>
    <w:rsid w:val="00A40C85"/>
    <w:rsid w:val="00A427F4"/>
    <w:rsid w:val="00A53539"/>
    <w:rsid w:val="00A53DB0"/>
    <w:rsid w:val="00A57D58"/>
    <w:rsid w:val="00A60EAD"/>
    <w:rsid w:val="00A62356"/>
    <w:rsid w:val="00A64F81"/>
    <w:rsid w:val="00A72CA2"/>
    <w:rsid w:val="00A754F3"/>
    <w:rsid w:val="00A76919"/>
    <w:rsid w:val="00A801A8"/>
    <w:rsid w:val="00A807D6"/>
    <w:rsid w:val="00A828BA"/>
    <w:rsid w:val="00A838C1"/>
    <w:rsid w:val="00A84C46"/>
    <w:rsid w:val="00A95CB0"/>
    <w:rsid w:val="00AA09C7"/>
    <w:rsid w:val="00AA29F8"/>
    <w:rsid w:val="00AA52F8"/>
    <w:rsid w:val="00AB3D65"/>
    <w:rsid w:val="00AB5BD7"/>
    <w:rsid w:val="00AB7A46"/>
    <w:rsid w:val="00AC1594"/>
    <w:rsid w:val="00AC21C1"/>
    <w:rsid w:val="00AC4B98"/>
    <w:rsid w:val="00AC511C"/>
    <w:rsid w:val="00AD0160"/>
    <w:rsid w:val="00AD2392"/>
    <w:rsid w:val="00AD28FD"/>
    <w:rsid w:val="00AD2AAF"/>
    <w:rsid w:val="00AD3760"/>
    <w:rsid w:val="00AE5156"/>
    <w:rsid w:val="00AE7052"/>
    <w:rsid w:val="00AE734E"/>
    <w:rsid w:val="00AF0F9A"/>
    <w:rsid w:val="00B04845"/>
    <w:rsid w:val="00B05EEC"/>
    <w:rsid w:val="00B072A5"/>
    <w:rsid w:val="00B1458D"/>
    <w:rsid w:val="00B21240"/>
    <w:rsid w:val="00B22DD5"/>
    <w:rsid w:val="00B273C7"/>
    <w:rsid w:val="00B302FD"/>
    <w:rsid w:val="00B33AE2"/>
    <w:rsid w:val="00B360DD"/>
    <w:rsid w:val="00B40E19"/>
    <w:rsid w:val="00B46070"/>
    <w:rsid w:val="00B46444"/>
    <w:rsid w:val="00B46844"/>
    <w:rsid w:val="00B53083"/>
    <w:rsid w:val="00B55120"/>
    <w:rsid w:val="00B655FE"/>
    <w:rsid w:val="00B65DDC"/>
    <w:rsid w:val="00B70C69"/>
    <w:rsid w:val="00B809AE"/>
    <w:rsid w:val="00B80D8F"/>
    <w:rsid w:val="00B86173"/>
    <w:rsid w:val="00B86BB0"/>
    <w:rsid w:val="00B87290"/>
    <w:rsid w:val="00B90086"/>
    <w:rsid w:val="00B91526"/>
    <w:rsid w:val="00B92558"/>
    <w:rsid w:val="00B925B8"/>
    <w:rsid w:val="00BA00B7"/>
    <w:rsid w:val="00BA2F83"/>
    <w:rsid w:val="00BA5652"/>
    <w:rsid w:val="00BB382E"/>
    <w:rsid w:val="00BB38D5"/>
    <w:rsid w:val="00BB52EB"/>
    <w:rsid w:val="00BC041D"/>
    <w:rsid w:val="00BC57FC"/>
    <w:rsid w:val="00BC6834"/>
    <w:rsid w:val="00BE041B"/>
    <w:rsid w:val="00BE2CB0"/>
    <w:rsid w:val="00BE38D1"/>
    <w:rsid w:val="00BF2142"/>
    <w:rsid w:val="00BF247F"/>
    <w:rsid w:val="00BF3046"/>
    <w:rsid w:val="00C00363"/>
    <w:rsid w:val="00C05DA0"/>
    <w:rsid w:val="00C10026"/>
    <w:rsid w:val="00C13F54"/>
    <w:rsid w:val="00C14C7F"/>
    <w:rsid w:val="00C14F33"/>
    <w:rsid w:val="00C240C7"/>
    <w:rsid w:val="00C35BF2"/>
    <w:rsid w:val="00C36889"/>
    <w:rsid w:val="00C37252"/>
    <w:rsid w:val="00C42EFB"/>
    <w:rsid w:val="00C47D26"/>
    <w:rsid w:val="00C57AA2"/>
    <w:rsid w:val="00C625F5"/>
    <w:rsid w:val="00C67ABA"/>
    <w:rsid w:val="00C74B35"/>
    <w:rsid w:val="00C7595F"/>
    <w:rsid w:val="00C83A42"/>
    <w:rsid w:val="00C8504D"/>
    <w:rsid w:val="00C85796"/>
    <w:rsid w:val="00C879B2"/>
    <w:rsid w:val="00C93396"/>
    <w:rsid w:val="00CA3401"/>
    <w:rsid w:val="00CA34B5"/>
    <w:rsid w:val="00CA3FDE"/>
    <w:rsid w:val="00CA4A41"/>
    <w:rsid w:val="00CA54AD"/>
    <w:rsid w:val="00CB04B9"/>
    <w:rsid w:val="00CD2905"/>
    <w:rsid w:val="00CD3DE6"/>
    <w:rsid w:val="00CD4BEF"/>
    <w:rsid w:val="00CD7AA5"/>
    <w:rsid w:val="00CD7C09"/>
    <w:rsid w:val="00CE2B14"/>
    <w:rsid w:val="00CE6699"/>
    <w:rsid w:val="00CF15E1"/>
    <w:rsid w:val="00CF26F2"/>
    <w:rsid w:val="00CF4220"/>
    <w:rsid w:val="00CF4A9A"/>
    <w:rsid w:val="00D00A25"/>
    <w:rsid w:val="00D0155A"/>
    <w:rsid w:val="00D018EF"/>
    <w:rsid w:val="00D01AEB"/>
    <w:rsid w:val="00D04043"/>
    <w:rsid w:val="00D0551C"/>
    <w:rsid w:val="00D05E39"/>
    <w:rsid w:val="00D062B1"/>
    <w:rsid w:val="00D137C3"/>
    <w:rsid w:val="00D14ADF"/>
    <w:rsid w:val="00D2067E"/>
    <w:rsid w:val="00D22849"/>
    <w:rsid w:val="00D262C4"/>
    <w:rsid w:val="00D2703F"/>
    <w:rsid w:val="00D27495"/>
    <w:rsid w:val="00D31B60"/>
    <w:rsid w:val="00D31B65"/>
    <w:rsid w:val="00D32967"/>
    <w:rsid w:val="00D3641D"/>
    <w:rsid w:val="00D36ADF"/>
    <w:rsid w:val="00D40044"/>
    <w:rsid w:val="00D426F2"/>
    <w:rsid w:val="00D45E8E"/>
    <w:rsid w:val="00D5654C"/>
    <w:rsid w:val="00D625B7"/>
    <w:rsid w:val="00D62806"/>
    <w:rsid w:val="00D64676"/>
    <w:rsid w:val="00D64CB3"/>
    <w:rsid w:val="00D66266"/>
    <w:rsid w:val="00D66835"/>
    <w:rsid w:val="00D70902"/>
    <w:rsid w:val="00D82B15"/>
    <w:rsid w:val="00D8340D"/>
    <w:rsid w:val="00D860AB"/>
    <w:rsid w:val="00D8614B"/>
    <w:rsid w:val="00D87E90"/>
    <w:rsid w:val="00D90A6C"/>
    <w:rsid w:val="00D925C9"/>
    <w:rsid w:val="00D9372D"/>
    <w:rsid w:val="00D939D1"/>
    <w:rsid w:val="00D951F5"/>
    <w:rsid w:val="00D962F7"/>
    <w:rsid w:val="00D97E96"/>
    <w:rsid w:val="00DB004A"/>
    <w:rsid w:val="00DB0FA5"/>
    <w:rsid w:val="00DB20B2"/>
    <w:rsid w:val="00DC041E"/>
    <w:rsid w:val="00DC1A8C"/>
    <w:rsid w:val="00DC1F13"/>
    <w:rsid w:val="00DC44B8"/>
    <w:rsid w:val="00DC4C0F"/>
    <w:rsid w:val="00DC61B3"/>
    <w:rsid w:val="00DC679D"/>
    <w:rsid w:val="00DC6A56"/>
    <w:rsid w:val="00DD06C7"/>
    <w:rsid w:val="00DD1577"/>
    <w:rsid w:val="00DD34A9"/>
    <w:rsid w:val="00DD6536"/>
    <w:rsid w:val="00DE1639"/>
    <w:rsid w:val="00DE26CB"/>
    <w:rsid w:val="00DE6648"/>
    <w:rsid w:val="00DF7AD5"/>
    <w:rsid w:val="00E01225"/>
    <w:rsid w:val="00E01B76"/>
    <w:rsid w:val="00E0203E"/>
    <w:rsid w:val="00E0265B"/>
    <w:rsid w:val="00E041F8"/>
    <w:rsid w:val="00E04267"/>
    <w:rsid w:val="00E114F5"/>
    <w:rsid w:val="00E133F3"/>
    <w:rsid w:val="00E14A59"/>
    <w:rsid w:val="00E16992"/>
    <w:rsid w:val="00E22DE7"/>
    <w:rsid w:val="00E23A6D"/>
    <w:rsid w:val="00E25879"/>
    <w:rsid w:val="00E3379A"/>
    <w:rsid w:val="00E4072A"/>
    <w:rsid w:val="00E410ED"/>
    <w:rsid w:val="00E4110B"/>
    <w:rsid w:val="00E472B2"/>
    <w:rsid w:val="00E65282"/>
    <w:rsid w:val="00E668F8"/>
    <w:rsid w:val="00E72242"/>
    <w:rsid w:val="00E77C0C"/>
    <w:rsid w:val="00E83C3F"/>
    <w:rsid w:val="00E8437F"/>
    <w:rsid w:val="00E85558"/>
    <w:rsid w:val="00E931DF"/>
    <w:rsid w:val="00E95FAB"/>
    <w:rsid w:val="00E96681"/>
    <w:rsid w:val="00EA4C67"/>
    <w:rsid w:val="00EB1288"/>
    <w:rsid w:val="00EB40CD"/>
    <w:rsid w:val="00EB7992"/>
    <w:rsid w:val="00EB7BA4"/>
    <w:rsid w:val="00EC1AC0"/>
    <w:rsid w:val="00EC2D87"/>
    <w:rsid w:val="00EC3934"/>
    <w:rsid w:val="00EC3D81"/>
    <w:rsid w:val="00EC3EEB"/>
    <w:rsid w:val="00EC4B45"/>
    <w:rsid w:val="00EC6DC6"/>
    <w:rsid w:val="00ED3088"/>
    <w:rsid w:val="00EE0806"/>
    <w:rsid w:val="00EE107E"/>
    <w:rsid w:val="00EE3F82"/>
    <w:rsid w:val="00EE5022"/>
    <w:rsid w:val="00EE565C"/>
    <w:rsid w:val="00EF239B"/>
    <w:rsid w:val="00EF3109"/>
    <w:rsid w:val="00EF5BF8"/>
    <w:rsid w:val="00EF6A6F"/>
    <w:rsid w:val="00F115C4"/>
    <w:rsid w:val="00F126A1"/>
    <w:rsid w:val="00F1508E"/>
    <w:rsid w:val="00F16C8E"/>
    <w:rsid w:val="00F1757B"/>
    <w:rsid w:val="00F20762"/>
    <w:rsid w:val="00F248FB"/>
    <w:rsid w:val="00F27127"/>
    <w:rsid w:val="00F27D40"/>
    <w:rsid w:val="00F27FCC"/>
    <w:rsid w:val="00F3189A"/>
    <w:rsid w:val="00F3461C"/>
    <w:rsid w:val="00F43E70"/>
    <w:rsid w:val="00F44DF9"/>
    <w:rsid w:val="00F472FA"/>
    <w:rsid w:val="00F50294"/>
    <w:rsid w:val="00F53F0B"/>
    <w:rsid w:val="00F565C7"/>
    <w:rsid w:val="00F601C9"/>
    <w:rsid w:val="00F647B8"/>
    <w:rsid w:val="00F676C5"/>
    <w:rsid w:val="00F7029F"/>
    <w:rsid w:val="00F71C27"/>
    <w:rsid w:val="00F72572"/>
    <w:rsid w:val="00F7368A"/>
    <w:rsid w:val="00F752DC"/>
    <w:rsid w:val="00F75DC2"/>
    <w:rsid w:val="00F81806"/>
    <w:rsid w:val="00F81B7E"/>
    <w:rsid w:val="00F85617"/>
    <w:rsid w:val="00F85DD1"/>
    <w:rsid w:val="00F87FDA"/>
    <w:rsid w:val="00F918B5"/>
    <w:rsid w:val="00FA4531"/>
    <w:rsid w:val="00FA494C"/>
    <w:rsid w:val="00FA5C76"/>
    <w:rsid w:val="00FB08CD"/>
    <w:rsid w:val="00FB2058"/>
    <w:rsid w:val="00FB60CB"/>
    <w:rsid w:val="00FC1328"/>
    <w:rsid w:val="00FC22FF"/>
    <w:rsid w:val="00FC6DD9"/>
    <w:rsid w:val="00FD3F3B"/>
    <w:rsid w:val="00FE077A"/>
    <w:rsid w:val="00FE2FDD"/>
    <w:rsid w:val="00FE3EEF"/>
    <w:rsid w:val="00FF0480"/>
    <w:rsid w:val="00FF311B"/>
    <w:rsid w:val="00FF4695"/>
    <w:rsid w:val="012A673E"/>
    <w:rsid w:val="023B3EC4"/>
    <w:rsid w:val="0242406F"/>
    <w:rsid w:val="02607F20"/>
    <w:rsid w:val="02692F7A"/>
    <w:rsid w:val="02706D2C"/>
    <w:rsid w:val="027A7612"/>
    <w:rsid w:val="02895A40"/>
    <w:rsid w:val="02896A63"/>
    <w:rsid w:val="02940301"/>
    <w:rsid w:val="02B372B1"/>
    <w:rsid w:val="02CB3D5A"/>
    <w:rsid w:val="02F72828"/>
    <w:rsid w:val="036D44E0"/>
    <w:rsid w:val="0421654F"/>
    <w:rsid w:val="04E709F1"/>
    <w:rsid w:val="05136E6A"/>
    <w:rsid w:val="052267F4"/>
    <w:rsid w:val="05421225"/>
    <w:rsid w:val="06D1354B"/>
    <w:rsid w:val="076A0827"/>
    <w:rsid w:val="076E1B3C"/>
    <w:rsid w:val="07830C01"/>
    <w:rsid w:val="07E37C46"/>
    <w:rsid w:val="089E69CE"/>
    <w:rsid w:val="08A42274"/>
    <w:rsid w:val="08C51C9E"/>
    <w:rsid w:val="08CF7B81"/>
    <w:rsid w:val="090B768D"/>
    <w:rsid w:val="09C804E1"/>
    <w:rsid w:val="09E24C1F"/>
    <w:rsid w:val="09E8458F"/>
    <w:rsid w:val="09F34D7E"/>
    <w:rsid w:val="0A06646A"/>
    <w:rsid w:val="0A087872"/>
    <w:rsid w:val="0A200482"/>
    <w:rsid w:val="0A71587A"/>
    <w:rsid w:val="0A825391"/>
    <w:rsid w:val="0AE16099"/>
    <w:rsid w:val="0B5D4ACF"/>
    <w:rsid w:val="0B8319F6"/>
    <w:rsid w:val="0BCB7CE5"/>
    <w:rsid w:val="0C0108CB"/>
    <w:rsid w:val="0C0820AF"/>
    <w:rsid w:val="0C3A1520"/>
    <w:rsid w:val="0CBA195A"/>
    <w:rsid w:val="0CBB3802"/>
    <w:rsid w:val="0CC7165F"/>
    <w:rsid w:val="0D01305E"/>
    <w:rsid w:val="0D5A5186"/>
    <w:rsid w:val="0D72044A"/>
    <w:rsid w:val="0DA82A7B"/>
    <w:rsid w:val="0DD27E71"/>
    <w:rsid w:val="0E1C6140"/>
    <w:rsid w:val="0E4C1719"/>
    <w:rsid w:val="0E63426B"/>
    <w:rsid w:val="0E862687"/>
    <w:rsid w:val="0EBD2E3C"/>
    <w:rsid w:val="0EF34D3B"/>
    <w:rsid w:val="0EF36922"/>
    <w:rsid w:val="0F047252"/>
    <w:rsid w:val="0F21080A"/>
    <w:rsid w:val="0F357694"/>
    <w:rsid w:val="0F5A30B2"/>
    <w:rsid w:val="0F5E44C7"/>
    <w:rsid w:val="0F707764"/>
    <w:rsid w:val="0F9C719B"/>
    <w:rsid w:val="0FBE4451"/>
    <w:rsid w:val="0FD042AC"/>
    <w:rsid w:val="0FF04708"/>
    <w:rsid w:val="0FF23639"/>
    <w:rsid w:val="10841544"/>
    <w:rsid w:val="10902034"/>
    <w:rsid w:val="10B8165A"/>
    <w:rsid w:val="113A4DB0"/>
    <w:rsid w:val="117C163B"/>
    <w:rsid w:val="11882FF5"/>
    <w:rsid w:val="11B772C7"/>
    <w:rsid w:val="11CD6921"/>
    <w:rsid w:val="121C338F"/>
    <w:rsid w:val="122B06CC"/>
    <w:rsid w:val="125A4E46"/>
    <w:rsid w:val="126607D9"/>
    <w:rsid w:val="1269542F"/>
    <w:rsid w:val="12D3511F"/>
    <w:rsid w:val="12F52B17"/>
    <w:rsid w:val="13002C45"/>
    <w:rsid w:val="135E7CD2"/>
    <w:rsid w:val="13A37B5C"/>
    <w:rsid w:val="13BF3A39"/>
    <w:rsid w:val="13C92844"/>
    <w:rsid w:val="13E669F4"/>
    <w:rsid w:val="13EC6C6D"/>
    <w:rsid w:val="13EC71A6"/>
    <w:rsid w:val="142B68B5"/>
    <w:rsid w:val="147315EE"/>
    <w:rsid w:val="148B7942"/>
    <w:rsid w:val="14A95746"/>
    <w:rsid w:val="151A7B6C"/>
    <w:rsid w:val="15384550"/>
    <w:rsid w:val="158B2AD1"/>
    <w:rsid w:val="158F1F1D"/>
    <w:rsid w:val="15950D2B"/>
    <w:rsid w:val="15D02106"/>
    <w:rsid w:val="15DA2060"/>
    <w:rsid w:val="15DB2678"/>
    <w:rsid w:val="15FB55F2"/>
    <w:rsid w:val="160D5E4C"/>
    <w:rsid w:val="16565C6A"/>
    <w:rsid w:val="17003D4C"/>
    <w:rsid w:val="171D3107"/>
    <w:rsid w:val="17271759"/>
    <w:rsid w:val="17F00C5B"/>
    <w:rsid w:val="183E7552"/>
    <w:rsid w:val="185D2E02"/>
    <w:rsid w:val="187327BD"/>
    <w:rsid w:val="18B652A9"/>
    <w:rsid w:val="18C51663"/>
    <w:rsid w:val="18C66343"/>
    <w:rsid w:val="18D605E1"/>
    <w:rsid w:val="18F73CB5"/>
    <w:rsid w:val="19287D6C"/>
    <w:rsid w:val="192E387E"/>
    <w:rsid w:val="19441DDC"/>
    <w:rsid w:val="196569E4"/>
    <w:rsid w:val="19997B6A"/>
    <w:rsid w:val="19A50419"/>
    <w:rsid w:val="19A628FA"/>
    <w:rsid w:val="19AE3E03"/>
    <w:rsid w:val="19C55143"/>
    <w:rsid w:val="19CC5FB6"/>
    <w:rsid w:val="19DA50FE"/>
    <w:rsid w:val="1A1E0DCC"/>
    <w:rsid w:val="1A362C7F"/>
    <w:rsid w:val="1A3A13B8"/>
    <w:rsid w:val="1A580CF0"/>
    <w:rsid w:val="1A7752B6"/>
    <w:rsid w:val="1A81337B"/>
    <w:rsid w:val="1AB50428"/>
    <w:rsid w:val="1AC2238F"/>
    <w:rsid w:val="1AC95C2D"/>
    <w:rsid w:val="1ACF0EDB"/>
    <w:rsid w:val="1AD2191D"/>
    <w:rsid w:val="1AFC6A9A"/>
    <w:rsid w:val="1B2F7B4B"/>
    <w:rsid w:val="1B527002"/>
    <w:rsid w:val="1B8439DC"/>
    <w:rsid w:val="1BBB0B95"/>
    <w:rsid w:val="1BC42796"/>
    <w:rsid w:val="1BCA46BE"/>
    <w:rsid w:val="1BFF7448"/>
    <w:rsid w:val="1C2F6FE2"/>
    <w:rsid w:val="1C504148"/>
    <w:rsid w:val="1CAC330E"/>
    <w:rsid w:val="1CB92162"/>
    <w:rsid w:val="1CF859F9"/>
    <w:rsid w:val="1D37120A"/>
    <w:rsid w:val="1D3A055A"/>
    <w:rsid w:val="1D4978F5"/>
    <w:rsid w:val="1D6D0FAE"/>
    <w:rsid w:val="1E002062"/>
    <w:rsid w:val="1E231879"/>
    <w:rsid w:val="1ED222F7"/>
    <w:rsid w:val="1EDF468E"/>
    <w:rsid w:val="1EF01474"/>
    <w:rsid w:val="1F016B48"/>
    <w:rsid w:val="1FA80104"/>
    <w:rsid w:val="1FAE5B96"/>
    <w:rsid w:val="1FB0099C"/>
    <w:rsid w:val="1FF07106"/>
    <w:rsid w:val="20063231"/>
    <w:rsid w:val="200B6DE0"/>
    <w:rsid w:val="20443FB8"/>
    <w:rsid w:val="204A2C1D"/>
    <w:rsid w:val="20637658"/>
    <w:rsid w:val="20D31F0C"/>
    <w:rsid w:val="20D806D0"/>
    <w:rsid w:val="21792CF6"/>
    <w:rsid w:val="218E2BE2"/>
    <w:rsid w:val="21D468E0"/>
    <w:rsid w:val="21F66B0D"/>
    <w:rsid w:val="22071D70"/>
    <w:rsid w:val="227519F9"/>
    <w:rsid w:val="228F7CB0"/>
    <w:rsid w:val="22E91B5A"/>
    <w:rsid w:val="237A41C3"/>
    <w:rsid w:val="238B0B69"/>
    <w:rsid w:val="239021CB"/>
    <w:rsid w:val="23B63C72"/>
    <w:rsid w:val="23B67665"/>
    <w:rsid w:val="23D83113"/>
    <w:rsid w:val="24190D97"/>
    <w:rsid w:val="242060D2"/>
    <w:rsid w:val="2432138B"/>
    <w:rsid w:val="24561E7C"/>
    <w:rsid w:val="245D603E"/>
    <w:rsid w:val="247D6D03"/>
    <w:rsid w:val="249D5ACF"/>
    <w:rsid w:val="24F21ADB"/>
    <w:rsid w:val="2502322D"/>
    <w:rsid w:val="252263A8"/>
    <w:rsid w:val="2550414D"/>
    <w:rsid w:val="25540207"/>
    <w:rsid w:val="25A02008"/>
    <w:rsid w:val="25A16F72"/>
    <w:rsid w:val="25A22E2E"/>
    <w:rsid w:val="25CB1C5A"/>
    <w:rsid w:val="26082904"/>
    <w:rsid w:val="26096E56"/>
    <w:rsid w:val="265D1398"/>
    <w:rsid w:val="267D0655"/>
    <w:rsid w:val="26BB45CC"/>
    <w:rsid w:val="26D17DFC"/>
    <w:rsid w:val="273857B0"/>
    <w:rsid w:val="275E288B"/>
    <w:rsid w:val="277657ED"/>
    <w:rsid w:val="2785228E"/>
    <w:rsid w:val="27DA4D4E"/>
    <w:rsid w:val="27FF6736"/>
    <w:rsid w:val="2806375E"/>
    <w:rsid w:val="281B4283"/>
    <w:rsid w:val="282C43A5"/>
    <w:rsid w:val="282F4FD6"/>
    <w:rsid w:val="28574470"/>
    <w:rsid w:val="2891400D"/>
    <w:rsid w:val="28D74616"/>
    <w:rsid w:val="29275A3A"/>
    <w:rsid w:val="29323A24"/>
    <w:rsid w:val="29EF3F08"/>
    <w:rsid w:val="2ACC0C28"/>
    <w:rsid w:val="2AE87488"/>
    <w:rsid w:val="2B980D43"/>
    <w:rsid w:val="2BD403ED"/>
    <w:rsid w:val="2BF65E02"/>
    <w:rsid w:val="2BFA0655"/>
    <w:rsid w:val="2C034AC0"/>
    <w:rsid w:val="2C1C39CD"/>
    <w:rsid w:val="2C690B90"/>
    <w:rsid w:val="2C787303"/>
    <w:rsid w:val="2C7A1A36"/>
    <w:rsid w:val="2C9B7D12"/>
    <w:rsid w:val="2CA376BD"/>
    <w:rsid w:val="2CF16A6C"/>
    <w:rsid w:val="2D0B3FDE"/>
    <w:rsid w:val="2D4F441E"/>
    <w:rsid w:val="2D61663A"/>
    <w:rsid w:val="2D7B0394"/>
    <w:rsid w:val="2DB6107F"/>
    <w:rsid w:val="2E2E6DBB"/>
    <w:rsid w:val="2E7F08A4"/>
    <w:rsid w:val="2E924498"/>
    <w:rsid w:val="2EA71A4E"/>
    <w:rsid w:val="2EDD668A"/>
    <w:rsid w:val="2FCB1D9D"/>
    <w:rsid w:val="30115261"/>
    <w:rsid w:val="30502D4A"/>
    <w:rsid w:val="30CC2B1B"/>
    <w:rsid w:val="30CE7A67"/>
    <w:rsid w:val="310C4884"/>
    <w:rsid w:val="31390DC6"/>
    <w:rsid w:val="31485AA4"/>
    <w:rsid w:val="315932CD"/>
    <w:rsid w:val="31C12CF7"/>
    <w:rsid w:val="31E31072"/>
    <w:rsid w:val="31FA1C59"/>
    <w:rsid w:val="320762DA"/>
    <w:rsid w:val="32117F7F"/>
    <w:rsid w:val="321C1FB4"/>
    <w:rsid w:val="325C0BF1"/>
    <w:rsid w:val="32745676"/>
    <w:rsid w:val="328B1836"/>
    <w:rsid w:val="32A90113"/>
    <w:rsid w:val="32BF64E1"/>
    <w:rsid w:val="330B5C1E"/>
    <w:rsid w:val="333600F1"/>
    <w:rsid w:val="3360385F"/>
    <w:rsid w:val="336657AC"/>
    <w:rsid w:val="33AD2743"/>
    <w:rsid w:val="33CB7137"/>
    <w:rsid w:val="33ED5A53"/>
    <w:rsid w:val="3402049F"/>
    <w:rsid w:val="340E72AC"/>
    <w:rsid w:val="34207F99"/>
    <w:rsid w:val="34770F74"/>
    <w:rsid w:val="34F226A3"/>
    <w:rsid w:val="35190E08"/>
    <w:rsid w:val="351B57DB"/>
    <w:rsid w:val="351C5C1C"/>
    <w:rsid w:val="353B2145"/>
    <w:rsid w:val="358C4D0A"/>
    <w:rsid w:val="35BE1477"/>
    <w:rsid w:val="35C4366C"/>
    <w:rsid w:val="35CE157A"/>
    <w:rsid w:val="35CF3C2A"/>
    <w:rsid w:val="35FA30DB"/>
    <w:rsid w:val="360F36FB"/>
    <w:rsid w:val="362E6436"/>
    <w:rsid w:val="363E7DFE"/>
    <w:rsid w:val="36794589"/>
    <w:rsid w:val="36B57E63"/>
    <w:rsid w:val="370074BA"/>
    <w:rsid w:val="37195D3F"/>
    <w:rsid w:val="3729476F"/>
    <w:rsid w:val="374C7F38"/>
    <w:rsid w:val="375B320D"/>
    <w:rsid w:val="37C0051A"/>
    <w:rsid w:val="38CF191A"/>
    <w:rsid w:val="390A511C"/>
    <w:rsid w:val="390C5837"/>
    <w:rsid w:val="397E18AD"/>
    <w:rsid w:val="39825DC9"/>
    <w:rsid w:val="399576C4"/>
    <w:rsid w:val="39AE1450"/>
    <w:rsid w:val="39C2698F"/>
    <w:rsid w:val="39D646A3"/>
    <w:rsid w:val="3A285012"/>
    <w:rsid w:val="3A3B3260"/>
    <w:rsid w:val="3AC12A52"/>
    <w:rsid w:val="3AC20664"/>
    <w:rsid w:val="3AEB6265"/>
    <w:rsid w:val="3AFD2BCF"/>
    <w:rsid w:val="3B7A3CDF"/>
    <w:rsid w:val="3B825F01"/>
    <w:rsid w:val="3B88196E"/>
    <w:rsid w:val="3BD4400C"/>
    <w:rsid w:val="3BEB6E8C"/>
    <w:rsid w:val="3C110F96"/>
    <w:rsid w:val="3C2654E0"/>
    <w:rsid w:val="3CC92BC0"/>
    <w:rsid w:val="3D1A5A9E"/>
    <w:rsid w:val="3DA33F2B"/>
    <w:rsid w:val="3DC0403E"/>
    <w:rsid w:val="3DC26E96"/>
    <w:rsid w:val="3DCE4A86"/>
    <w:rsid w:val="3DF35B42"/>
    <w:rsid w:val="3E061731"/>
    <w:rsid w:val="3EA6608F"/>
    <w:rsid w:val="3EF42AA2"/>
    <w:rsid w:val="3F0A4F47"/>
    <w:rsid w:val="3F1E53DF"/>
    <w:rsid w:val="3F3930C4"/>
    <w:rsid w:val="3F8571E9"/>
    <w:rsid w:val="3FAC0D99"/>
    <w:rsid w:val="3FB75C43"/>
    <w:rsid w:val="3FDA4996"/>
    <w:rsid w:val="40136C73"/>
    <w:rsid w:val="404339FD"/>
    <w:rsid w:val="405354A3"/>
    <w:rsid w:val="406A1CC7"/>
    <w:rsid w:val="40903534"/>
    <w:rsid w:val="409D4879"/>
    <w:rsid w:val="40A60CAA"/>
    <w:rsid w:val="40AA23A3"/>
    <w:rsid w:val="40BC0996"/>
    <w:rsid w:val="40C34D68"/>
    <w:rsid w:val="40FD59A5"/>
    <w:rsid w:val="41377F7D"/>
    <w:rsid w:val="41683069"/>
    <w:rsid w:val="419E453E"/>
    <w:rsid w:val="41A00E9E"/>
    <w:rsid w:val="41A619D9"/>
    <w:rsid w:val="41AD17D9"/>
    <w:rsid w:val="41D43A1D"/>
    <w:rsid w:val="41FA17F9"/>
    <w:rsid w:val="42224C44"/>
    <w:rsid w:val="423153CC"/>
    <w:rsid w:val="42F56D0F"/>
    <w:rsid w:val="43085011"/>
    <w:rsid w:val="43680FB9"/>
    <w:rsid w:val="43712B9A"/>
    <w:rsid w:val="43834DA0"/>
    <w:rsid w:val="43C40AB2"/>
    <w:rsid w:val="442B65B3"/>
    <w:rsid w:val="44756E4B"/>
    <w:rsid w:val="44AB47A6"/>
    <w:rsid w:val="44AD3186"/>
    <w:rsid w:val="450D46BF"/>
    <w:rsid w:val="452F68AA"/>
    <w:rsid w:val="45331356"/>
    <w:rsid w:val="456218D0"/>
    <w:rsid w:val="458D1D1E"/>
    <w:rsid w:val="459814F0"/>
    <w:rsid w:val="45E81E3B"/>
    <w:rsid w:val="46051132"/>
    <w:rsid w:val="46122485"/>
    <w:rsid w:val="4681409A"/>
    <w:rsid w:val="468E639A"/>
    <w:rsid w:val="46B9772F"/>
    <w:rsid w:val="4708446D"/>
    <w:rsid w:val="480C646A"/>
    <w:rsid w:val="480F1697"/>
    <w:rsid w:val="488C542A"/>
    <w:rsid w:val="489138C6"/>
    <w:rsid w:val="48A3310D"/>
    <w:rsid w:val="48A80FD3"/>
    <w:rsid w:val="48C0687C"/>
    <w:rsid w:val="48D76C2C"/>
    <w:rsid w:val="48E54881"/>
    <w:rsid w:val="48F82D86"/>
    <w:rsid w:val="49387048"/>
    <w:rsid w:val="49404160"/>
    <w:rsid w:val="49A14B2D"/>
    <w:rsid w:val="49A40E57"/>
    <w:rsid w:val="49CF61A3"/>
    <w:rsid w:val="4A025B17"/>
    <w:rsid w:val="4A0D6534"/>
    <w:rsid w:val="4A247050"/>
    <w:rsid w:val="4A3413EE"/>
    <w:rsid w:val="4A345B14"/>
    <w:rsid w:val="4A4D1C6E"/>
    <w:rsid w:val="4A831AD8"/>
    <w:rsid w:val="4A865DEE"/>
    <w:rsid w:val="4AC32565"/>
    <w:rsid w:val="4B016ABA"/>
    <w:rsid w:val="4B8E217A"/>
    <w:rsid w:val="4BC6349C"/>
    <w:rsid w:val="4C577FCC"/>
    <w:rsid w:val="4CAC5CC3"/>
    <w:rsid w:val="4CE23D45"/>
    <w:rsid w:val="4DB36DE0"/>
    <w:rsid w:val="4DD3727F"/>
    <w:rsid w:val="4DE85661"/>
    <w:rsid w:val="4E1A5984"/>
    <w:rsid w:val="4ED82D59"/>
    <w:rsid w:val="4EDA3C0D"/>
    <w:rsid w:val="4EE064F0"/>
    <w:rsid w:val="4F0059EA"/>
    <w:rsid w:val="4F2866BE"/>
    <w:rsid w:val="4F2A186E"/>
    <w:rsid w:val="4FB95F74"/>
    <w:rsid w:val="50534BB5"/>
    <w:rsid w:val="5054052D"/>
    <w:rsid w:val="507377C2"/>
    <w:rsid w:val="507753FC"/>
    <w:rsid w:val="508F6C1A"/>
    <w:rsid w:val="50EB03BC"/>
    <w:rsid w:val="50FA6F3C"/>
    <w:rsid w:val="511A43EA"/>
    <w:rsid w:val="517C6E89"/>
    <w:rsid w:val="51CE1D58"/>
    <w:rsid w:val="51D17C6C"/>
    <w:rsid w:val="51D67C32"/>
    <w:rsid w:val="523345A3"/>
    <w:rsid w:val="527D2248"/>
    <w:rsid w:val="528F013A"/>
    <w:rsid w:val="52A15D38"/>
    <w:rsid w:val="535055DC"/>
    <w:rsid w:val="53C6413B"/>
    <w:rsid w:val="54017416"/>
    <w:rsid w:val="54613483"/>
    <w:rsid w:val="547A29F0"/>
    <w:rsid w:val="54C129F4"/>
    <w:rsid w:val="55294338"/>
    <w:rsid w:val="552A608B"/>
    <w:rsid w:val="554B17C4"/>
    <w:rsid w:val="55D84593"/>
    <w:rsid w:val="563B7C9D"/>
    <w:rsid w:val="56513E71"/>
    <w:rsid w:val="569D4132"/>
    <w:rsid w:val="56A51FD7"/>
    <w:rsid w:val="56A64C68"/>
    <w:rsid w:val="56C04CBA"/>
    <w:rsid w:val="57416FE6"/>
    <w:rsid w:val="57432B67"/>
    <w:rsid w:val="574B7149"/>
    <w:rsid w:val="57604F14"/>
    <w:rsid w:val="576842AE"/>
    <w:rsid w:val="57727832"/>
    <w:rsid w:val="57D7792C"/>
    <w:rsid w:val="57E22484"/>
    <w:rsid w:val="58163637"/>
    <w:rsid w:val="58303499"/>
    <w:rsid w:val="58580892"/>
    <w:rsid w:val="589E5B75"/>
    <w:rsid w:val="58CD1D82"/>
    <w:rsid w:val="58E270B9"/>
    <w:rsid w:val="591F15CA"/>
    <w:rsid w:val="59407B51"/>
    <w:rsid w:val="59A72DDE"/>
    <w:rsid w:val="59AB380E"/>
    <w:rsid w:val="59D1465A"/>
    <w:rsid w:val="59DE4CE8"/>
    <w:rsid w:val="59F66E14"/>
    <w:rsid w:val="5A126FD6"/>
    <w:rsid w:val="5A411A82"/>
    <w:rsid w:val="5B0139B9"/>
    <w:rsid w:val="5B0A1DF3"/>
    <w:rsid w:val="5B1C7607"/>
    <w:rsid w:val="5B292EE4"/>
    <w:rsid w:val="5B4026A7"/>
    <w:rsid w:val="5BC14742"/>
    <w:rsid w:val="5BCD1522"/>
    <w:rsid w:val="5BED4BFC"/>
    <w:rsid w:val="5C293663"/>
    <w:rsid w:val="5C8A7922"/>
    <w:rsid w:val="5CC567E1"/>
    <w:rsid w:val="5CDE6540"/>
    <w:rsid w:val="5CE042A9"/>
    <w:rsid w:val="5CE63CCE"/>
    <w:rsid w:val="5D2469F6"/>
    <w:rsid w:val="5D413B8D"/>
    <w:rsid w:val="5D811DED"/>
    <w:rsid w:val="5D856AE7"/>
    <w:rsid w:val="5DC939D2"/>
    <w:rsid w:val="5E814900"/>
    <w:rsid w:val="5EBC54FC"/>
    <w:rsid w:val="5EDF16B0"/>
    <w:rsid w:val="5EE46607"/>
    <w:rsid w:val="5F94732A"/>
    <w:rsid w:val="5F955078"/>
    <w:rsid w:val="5FAC7A18"/>
    <w:rsid w:val="5FDE68DF"/>
    <w:rsid w:val="60266680"/>
    <w:rsid w:val="60362966"/>
    <w:rsid w:val="604E4AEF"/>
    <w:rsid w:val="60525D6B"/>
    <w:rsid w:val="605F653C"/>
    <w:rsid w:val="609C316A"/>
    <w:rsid w:val="60BC4C41"/>
    <w:rsid w:val="60C64F9C"/>
    <w:rsid w:val="60FA1843"/>
    <w:rsid w:val="6159760B"/>
    <w:rsid w:val="61627BED"/>
    <w:rsid w:val="617521C7"/>
    <w:rsid w:val="619001AC"/>
    <w:rsid w:val="619C04BA"/>
    <w:rsid w:val="619C23FF"/>
    <w:rsid w:val="61AC311F"/>
    <w:rsid w:val="61EB10E4"/>
    <w:rsid w:val="61FF1DD5"/>
    <w:rsid w:val="62145CDE"/>
    <w:rsid w:val="622676F0"/>
    <w:rsid w:val="622E17AC"/>
    <w:rsid w:val="62341A6B"/>
    <w:rsid w:val="624A6191"/>
    <w:rsid w:val="62636BB5"/>
    <w:rsid w:val="627E1139"/>
    <w:rsid w:val="62A227A0"/>
    <w:rsid w:val="62EA0C1E"/>
    <w:rsid w:val="636A6307"/>
    <w:rsid w:val="636B5985"/>
    <w:rsid w:val="63915388"/>
    <w:rsid w:val="63D478D7"/>
    <w:rsid w:val="63E405BD"/>
    <w:rsid w:val="640B2A07"/>
    <w:rsid w:val="64633CEF"/>
    <w:rsid w:val="647167A3"/>
    <w:rsid w:val="64B617F1"/>
    <w:rsid w:val="64C21273"/>
    <w:rsid w:val="64C22C0A"/>
    <w:rsid w:val="64E63246"/>
    <w:rsid w:val="64EF464F"/>
    <w:rsid w:val="65404DA2"/>
    <w:rsid w:val="655155A4"/>
    <w:rsid w:val="65D80CFF"/>
    <w:rsid w:val="66235C59"/>
    <w:rsid w:val="66670E45"/>
    <w:rsid w:val="666D5B02"/>
    <w:rsid w:val="669C72BD"/>
    <w:rsid w:val="66A74D39"/>
    <w:rsid w:val="671C1057"/>
    <w:rsid w:val="67230C8D"/>
    <w:rsid w:val="672833C3"/>
    <w:rsid w:val="67564590"/>
    <w:rsid w:val="67A9110F"/>
    <w:rsid w:val="67BA17B5"/>
    <w:rsid w:val="67C930C1"/>
    <w:rsid w:val="67E64564"/>
    <w:rsid w:val="683516A1"/>
    <w:rsid w:val="68417E22"/>
    <w:rsid w:val="68E62864"/>
    <w:rsid w:val="68EC0CF5"/>
    <w:rsid w:val="693B2696"/>
    <w:rsid w:val="69555EAB"/>
    <w:rsid w:val="698F4CCC"/>
    <w:rsid w:val="69EE15A7"/>
    <w:rsid w:val="6A1261F1"/>
    <w:rsid w:val="6A2B3A54"/>
    <w:rsid w:val="6A343EA7"/>
    <w:rsid w:val="6A5710E5"/>
    <w:rsid w:val="6A5D5A14"/>
    <w:rsid w:val="6A7C19BF"/>
    <w:rsid w:val="6AAB7162"/>
    <w:rsid w:val="6AB9362D"/>
    <w:rsid w:val="6AD03711"/>
    <w:rsid w:val="6AD24E38"/>
    <w:rsid w:val="6B0005FC"/>
    <w:rsid w:val="6B36131D"/>
    <w:rsid w:val="6B4559B8"/>
    <w:rsid w:val="6BE20961"/>
    <w:rsid w:val="6C506F08"/>
    <w:rsid w:val="6C7D4B2E"/>
    <w:rsid w:val="6C802646"/>
    <w:rsid w:val="6CC22358"/>
    <w:rsid w:val="6D314D12"/>
    <w:rsid w:val="6D392803"/>
    <w:rsid w:val="6D476F39"/>
    <w:rsid w:val="6D6C3F5A"/>
    <w:rsid w:val="6DE97A98"/>
    <w:rsid w:val="6E444A1C"/>
    <w:rsid w:val="6E5B6AB4"/>
    <w:rsid w:val="6EA7712A"/>
    <w:rsid w:val="6F09173B"/>
    <w:rsid w:val="6F881DFC"/>
    <w:rsid w:val="6F963B26"/>
    <w:rsid w:val="6FD840F3"/>
    <w:rsid w:val="6FEA6F08"/>
    <w:rsid w:val="70BF04F0"/>
    <w:rsid w:val="70BF4319"/>
    <w:rsid w:val="70E825B4"/>
    <w:rsid w:val="714F4073"/>
    <w:rsid w:val="71594345"/>
    <w:rsid w:val="71A72E42"/>
    <w:rsid w:val="71A73F63"/>
    <w:rsid w:val="71A856A0"/>
    <w:rsid w:val="72001089"/>
    <w:rsid w:val="72275320"/>
    <w:rsid w:val="72327480"/>
    <w:rsid w:val="724250CD"/>
    <w:rsid w:val="72641D42"/>
    <w:rsid w:val="72642FCB"/>
    <w:rsid w:val="72F32281"/>
    <w:rsid w:val="730259B9"/>
    <w:rsid w:val="73181B79"/>
    <w:rsid w:val="731B6C5A"/>
    <w:rsid w:val="73500B99"/>
    <w:rsid w:val="735E3BB5"/>
    <w:rsid w:val="736D3390"/>
    <w:rsid w:val="73D42F32"/>
    <w:rsid w:val="7405276B"/>
    <w:rsid w:val="743E54DE"/>
    <w:rsid w:val="74726126"/>
    <w:rsid w:val="74E100B7"/>
    <w:rsid w:val="7523256C"/>
    <w:rsid w:val="75380513"/>
    <w:rsid w:val="753D2B0A"/>
    <w:rsid w:val="754374F2"/>
    <w:rsid w:val="75826E09"/>
    <w:rsid w:val="75881F55"/>
    <w:rsid w:val="75894983"/>
    <w:rsid w:val="75903A06"/>
    <w:rsid w:val="75BD6C89"/>
    <w:rsid w:val="75ED54BF"/>
    <w:rsid w:val="763771C3"/>
    <w:rsid w:val="76E0468A"/>
    <w:rsid w:val="76FF4A63"/>
    <w:rsid w:val="77235A46"/>
    <w:rsid w:val="775B5C40"/>
    <w:rsid w:val="77C537F1"/>
    <w:rsid w:val="77CE655B"/>
    <w:rsid w:val="78100DD3"/>
    <w:rsid w:val="78565585"/>
    <w:rsid w:val="78594BAC"/>
    <w:rsid w:val="786B5CE6"/>
    <w:rsid w:val="78700E84"/>
    <w:rsid w:val="78727511"/>
    <w:rsid w:val="78E76B4A"/>
    <w:rsid w:val="78FE1A06"/>
    <w:rsid w:val="7915359C"/>
    <w:rsid w:val="79716688"/>
    <w:rsid w:val="798E256C"/>
    <w:rsid w:val="79B1214D"/>
    <w:rsid w:val="79B82AA7"/>
    <w:rsid w:val="79BA4CCB"/>
    <w:rsid w:val="79D00993"/>
    <w:rsid w:val="79D41D1E"/>
    <w:rsid w:val="7A296EF2"/>
    <w:rsid w:val="7A2A25EE"/>
    <w:rsid w:val="7A3047F9"/>
    <w:rsid w:val="7A634892"/>
    <w:rsid w:val="7AA87C57"/>
    <w:rsid w:val="7AC20829"/>
    <w:rsid w:val="7ACD58DA"/>
    <w:rsid w:val="7B274DF3"/>
    <w:rsid w:val="7B42706D"/>
    <w:rsid w:val="7B830A59"/>
    <w:rsid w:val="7B895131"/>
    <w:rsid w:val="7BAF00FE"/>
    <w:rsid w:val="7BD217F3"/>
    <w:rsid w:val="7BDA6878"/>
    <w:rsid w:val="7C9632FF"/>
    <w:rsid w:val="7CE862E7"/>
    <w:rsid w:val="7CFA7F8C"/>
    <w:rsid w:val="7D40019E"/>
    <w:rsid w:val="7D423420"/>
    <w:rsid w:val="7DBC1DDD"/>
    <w:rsid w:val="7DC832A0"/>
    <w:rsid w:val="7DD50D57"/>
    <w:rsid w:val="7E0000A0"/>
    <w:rsid w:val="7E1B37E8"/>
    <w:rsid w:val="7E5B46AD"/>
    <w:rsid w:val="7E6B15E9"/>
    <w:rsid w:val="7E8330C8"/>
    <w:rsid w:val="7EA023D4"/>
    <w:rsid w:val="7ECE61B3"/>
    <w:rsid w:val="7ED94079"/>
    <w:rsid w:val="7F455AEC"/>
    <w:rsid w:val="7F627F9A"/>
    <w:rsid w:val="7F8C5343"/>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3"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iPriority="0" w:semiHidden="0" w:name="Normal Indent"/>
    <w:lsdException w:uiPriority="99" w:name="footnote text"/>
    <w:lsdException w:qFormat="1" w:unhideWhenUsed="0"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qFormat="1"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qFormat="1" w:uiPriority="99" w:semiHidden="0" w:name="Body Text First Indent 2"/>
    <w:lsdException w:uiPriority="99" w:name="Note Heading"/>
    <w:lsdException w:uiPriority="99" w:name="Body Text 2"/>
    <w:lsdException w:uiPriority="99" w:name="Body Text 3"/>
    <w:lsdException w:qFormat="1" w:uiPriority="99" w:semiHidden="0" w:name="Body Text Indent 2"/>
    <w:lsdException w:uiPriority="99" w:name="Body Text Indent 3"/>
    <w:lsdException w:uiPriority="99"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qFormat="1" w:uiPriority="99" w:semiHidden="0" w:name="Document Map"/>
    <w:lsdException w:qFormat="1" w:unhideWhenUsed="0" w:uiPriority="0" w:semiHidden="0" w:name="Plain Text"/>
    <w:lsdException w:uiPriority="99" w:name="E-mail Signature"/>
    <w:lsdException w:qFormat="1" w:uiPriority="99" w:semiHidden="0" w:name="Normal (Web)"/>
    <w:lsdException w:qFormat="1" w:uiPriority="99" w:semiHidden="0" w:name="HTML Acronym"/>
    <w:lsdException w:uiPriority="99" w:name="HTML Address"/>
    <w:lsdException w:qFormat="1" w:uiPriority="99" w:semiHidden="0" w:name="HTML Cite"/>
    <w:lsdException w:qFormat="1" w:uiPriority="99" w:semiHidden="0" w:name="HTML Code"/>
    <w:lsdException w:qFormat="1" w:uiPriority="99" w:semiHidden="0" w:name="HTML Definition"/>
    <w:lsdException w:qFormat="1" w:uiPriority="99" w:semiHidden="0" w:name="HTML Keyboard"/>
    <w:lsdException w:uiPriority="99" w:name="HTML Preformatted"/>
    <w:lsdException w:qFormat="1" w:uiPriority="99" w:semiHidden="0" w:name="HTML Sample"/>
    <w:lsdException w:uiPriority="99" w:name="HTML Typewriter"/>
    <w:lsdException w:qFormat="1" w:uiPriority="99" w:semiHidden="0" w:name="HTML Variable"/>
    <w:lsdException w:qFormat="1" w:uiPriority="99" w:semiHidden="0"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0" w:semiHidden="0" w:name="Balloon Text"/>
    <w:lsdException w:qFormat="1" w:unhideWhenUsed="0" w:uiPriority="0"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48"/>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49"/>
    <w:qFormat/>
    <w:uiPriority w:val="0"/>
    <w:pPr>
      <w:keepNext/>
      <w:keepLines/>
      <w:spacing w:before="260" w:after="260" w:line="416" w:lineRule="auto"/>
      <w:outlineLvl w:val="1"/>
    </w:pPr>
    <w:rPr>
      <w:rFonts w:ascii="等线 Light" w:hAnsi="等线 Light" w:eastAsia="等线 Light"/>
      <w:b/>
      <w:bCs/>
      <w:sz w:val="32"/>
      <w:szCs w:val="32"/>
    </w:rPr>
  </w:style>
  <w:style w:type="paragraph" w:styleId="4">
    <w:name w:val="heading 3"/>
    <w:basedOn w:val="1"/>
    <w:next w:val="1"/>
    <w:link w:val="50"/>
    <w:qFormat/>
    <w:uiPriority w:val="3"/>
    <w:pPr>
      <w:keepNext/>
      <w:keepLines/>
      <w:spacing w:before="260" w:after="260" w:line="416" w:lineRule="auto"/>
      <w:outlineLvl w:val="2"/>
    </w:pPr>
    <w:rPr>
      <w:b/>
      <w:bCs/>
      <w:sz w:val="32"/>
      <w:szCs w:val="32"/>
    </w:rPr>
  </w:style>
  <w:style w:type="paragraph" w:styleId="5">
    <w:name w:val="heading 4"/>
    <w:basedOn w:val="1"/>
    <w:next w:val="1"/>
    <w:link w:val="51"/>
    <w:qFormat/>
    <w:uiPriority w:val="0"/>
    <w:pPr>
      <w:keepNext/>
      <w:keepLines/>
      <w:spacing w:before="280" w:after="290" w:line="376" w:lineRule="auto"/>
      <w:outlineLvl w:val="3"/>
    </w:pPr>
    <w:rPr>
      <w:rFonts w:ascii="Cambria" w:hAnsi="Cambria" w:eastAsia="宋体" w:cs="Times New Roman"/>
      <w:b/>
      <w:bCs/>
      <w:sz w:val="28"/>
      <w:szCs w:val="28"/>
    </w:rPr>
  </w:style>
  <w:style w:type="character" w:default="1" w:styleId="32">
    <w:name w:val="Default Paragraph Font"/>
    <w:unhideWhenUsed/>
    <w:qFormat/>
    <w:uiPriority w:val="1"/>
  </w:style>
  <w:style w:type="table" w:default="1" w:styleId="30">
    <w:name w:val="Normal Table"/>
    <w:unhideWhenUsed/>
    <w:qFormat/>
    <w:uiPriority w:val="99"/>
    <w:tblPr>
      <w:tblCellMar>
        <w:top w:w="0" w:type="dxa"/>
        <w:left w:w="108" w:type="dxa"/>
        <w:bottom w:w="0" w:type="dxa"/>
        <w:right w:w="108" w:type="dxa"/>
      </w:tblCellMar>
    </w:tblPr>
  </w:style>
  <w:style w:type="paragraph" w:styleId="6">
    <w:name w:val="toc 7"/>
    <w:basedOn w:val="1"/>
    <w:next w:val="1"/>
    <w:unhideWhenUsed/>
    <w:qFormat/>
    <w:uiPriority w:val="39"/>
    <w:pPr>
      <w:ind w:left="2520" w:leftChars="1200"/>
    </w:pPr>
    <w:rPr>
      <w:rFonts w:ascii="Calibri" w:hAnsi="Calibri" w:eastAsia="宋体" w:cs="Times New Roman"/>
      <w:szCs w:val="22"/>
    </w:rPr>
  </w:style>
  <w:style w:type="paragraph" w:styleId="7">
    <w:name w:val="Normal Indent"/>
    <w:basedOn w:val="1"/>
    <w:link w:val="52"/>
    <w:unhideWhenUsed/>
    <w:qFormat/>
    <w:uiPriority w:val="0"/>
    <w:pPr>
      <w:ind w:firstLine="200" w:firstLineChars="200"/>
    </w:pPr>
    <w:rPr>
      <w:rFonts w:ascii="Times" w:hAnsi="Times" w:eastAsia="仿宋_GB2312"/>
      <w:sz w:val="28"/>
    </w:rPr>
  </w:style>
  <w:style w:type="paragraph" w:styleId="8">
    <w:name w:val="Document Map"/>
    <w:basedOn w:val="1"/>
    <w:link w:val="53"/>
    <w:unhideWhenUsed/>
    <w:qFormat/>
    <w:uiPriority w:val="99"/>
    <w:rPr>
      <w:rFonts w:ascii="宋体"/>
      <w:sz w:val="18"/>
      <w:szCs w:val="18"/>
    </w:rPr>
  </w:style>
  <w:style w:type="paragraph" w:styleId="9">
    <w:name w:val="annotation text"/>
    <w:basedOn w:val="1"/>
    <w:link w:val="54"/>
    <w:qFormat/>
    <w:uiPriority w:val="99"/>
    <w:pPr>
      <w:jc w:val="left"/>
    </w:pPr>
    <w:rPr>
      <w:rFonts w:eastAsia="宋体" w:cs="Times New Roman"/>
      <w:sz w:val="28"/>
    </w:rPr>
  </w:style>
  <w:style w:type="paragraph" w:styleId="10">
    <w:name w:val="Body Text"/>
    <w:basedOn w:val="1"/>
    <w:next w:val="1"/>
    <w:link w:val="55"/>
    <w:qFormat/>
    <w:uiPriority w:val="0"/>
    <w:pPr>
      <w:spacing w:after="120"/>
    </w:pPr>
  </w:style>
  <w:style w:type="paragraph" w:styleId="11">
    <w:name w:val="Body Text Indent"/>
    <w:basedOn w:val="1"/>
    <w:link w:val="56"/>
    <w:unhideWhenUsed/>
    <w:qFormat/>
    <w:uiPriority w:val="99"/>
    <w:pPr>
      <w:spacing w:after="120"/>
      <w:ind w:left="420" w:leftChars="200"/>
    </w:pPr>
    <w:rPr>
      <w:szCs w:val="22"/>
    </w:rPr>
  </w:style>
  <w:style w:type="paragraph" w:styleId="12">
    <w:name w:val="List Bullet 2"/>
    <w:basedOn w:val="1"/>
    <w:semiHidden/>
    <w:unhideWhenUsed/>
    <w:qFormat/>
    <w:uiPriority w:val="99"/>
    <w:pPr>
      <w:numPr>
        <w:ilvl w:val="0"/>
        <w:numId w:val="1"/>
      </w:numPr>
    </w:pPr>
  </w:style>
  <w:style w:type="paragraph" w:styleId="13">
    <w:name w:val="toc 5"/>
    <w:basedOn w:val="1"/>
    <w:next w:val="1"/>
    <w:unhideWhenUsed/>
    <w:qFormat/>
    <w:uiPriority w:val="39"/>
    <w:pPr>
      <w:ind w:left="1680" w:leftChars="800"/>
    </w:pPr>
    <w:rPr>
      <w:rFonts w:ascii="Calibri" w:hAnsi="Calibri" w:eastAsia="宋体" w:cs="Times New Roman"/>
      <w:szCs w:val="22"/>
    </w:rPr>
  </w:style>
  <w:style w:type="paragraph" w:styleId="14">
    <w:name w:val="toc 3"/>
    <w:basedOn w:val="1"/>
    <w:next w:val="1"/>
    <w:qFormat/>
    <w:uiPriority w:val="39"/>
    <w:pPr>
      <w:spacing w:line="360" w:lineRule="auto"/>
      <w:ind w:left="420"/>
      <w:jc w:val="left"/>
    </w:pPr>
    <w:rPr>
      <w:rFonts w:ascii="Calibri" w:hAnsi="Calibri"/>
      <w:iCs/>
      <w:sz w:val="24"/>
      <w:szCs w:val="20"/>
    </w:rPr>
  </w:style>
  <w:style w:type="paragraph" w:styleId="15">
    <w:name w:val="Plain Text"/>
    <w:basedOn w:val="1"/>
    <w:link w:val="57"/>
    <w:qFormat/>
    <w:uiPriority w:val="0"/>
    <w:rPr>
      <w:rFonts w:ascii="宋体" w:hAnsi="Courier New" w:cs="Courier New"/>
      <w:szCs w:val="21"/>
    </w:rPr>
  </w:style>
  <w:style w:type="paragraph" w:styleId="16">
    <w:name w:val="toc 8"/>
    <w:basedOn w:val="1"/>
    <w:next w:val="1"/>
    <w:unhideWhenUsed/>
    <w:qFormat/>
    <w:uiPriority w:val="39"/>
    <w:pPr>
      <w:ind w:left="2940" w:leftChars="1400"/>
    </w:pPr>
    <w:rPr>
      <w:rFonts w:ascii="Calibri" w:hAnsi="Calibri" w:eastAsia="宋体" w:cs="Times New Roman"/>
      <w:szCs w:val="22"/>
    </w:rPr>
  </w:style>
  <w:style w:type="paragraph" w:styleId="17">
    <w:name w:val="Body Text Indent 2"/>
    <w:basedOn w:val="1"/>
    <w:link w:val="58"/>
    <w:unhideWhenUsed/>
    <w:qFormat/>
    <w:uiPriority w:val="99"/>
    <w:pPr>
      <w:spacing w:after="120" w:line="480" w:lineRule="auto"/>
      <w:ind w:left="420" w:leftChars="200"/>
    </w:pPr>
    <w:rPr>
      <w:szCs w:val="22"/>
    </w:rPr>
  </w:style>
  <w:style w:type="paragraph" w:styleId="18">
    <w:name w:val="Balloon Text"/>
    <w:basedOn w:val="1"/>
    <w:link w:val="59"/>
    <w:unhideWhenUsed/>
    <w:qFormat/>
    <w:uiPriority w:val="0"/>
    <w:rPr>
      <w:sz w:val="18"/>
      <w:szCs w:val="18"/>
    </w:rPr>
  </w:style>
  <w:style w:type="paragraph" w:styleId="19">
    <w:name w:val="footer"/>
    <w:basedOn w:val="1"/>
    <w:link w:val="60"/>
    <w:unhideWhenUsed/>
    <w:qFormat/>
    <w:uiPriority w:val="99"/>
    <w:pPr>
      <w:tabs>
        <w:tab w:val="center" w:pos="4153"/>
        <w:tab w:val="right" w:pos="8306"/>
      </w:tabs>
      <w:snapToGrid w:val="0"/>
      <w:jc w:val="left"/>
    </w:pPr>
    <w:rPr>
      <w:sz w:val="18"/>
      <w:szCs w:val="18"/>
    </w:rPr>
  </w:style>
  <w:style w:type="paragraph" w:styleId="20">
    <w:name w:val="header"/>
    <w:basedOn w:val="1"/>
    <w:next w:val="19"/>
    <w:link w:val="61"/>
    <w:unhideWhenUsed/>
    <w:qFormat/>
    <w:uiPriority w:val="99"/>
    <w:pPr>
      <w:pBdr>
        <w:bottom w:val="single" w:color="auto" w:sz="6" w:space="1"/>
      </w:pBdr>
      <w:tabs>
        <w:tab w:val="center" w:pos="4153"/>
        <w:tab w:val="right" w:pos="8306"/>
      </w:tabs>
      <w:snapToGrid w:val="0"/>
      <w:jc w:val="center"/>
    </w:pPr>
    <w:rPr>
      <w:sz w:val="18"/>
      <w:szCs w:val="18"/>
    </w:rPr>
  </w:style>
  <w:style w:type="paragraph" w:styleId="21">
    <w:name w:val="toc 1"/>
    <w:basedOn w:val="1"/>
    <w:next w:val="1"/>
    <w:qFormat/>
    <w:uiPriority w:val="39"/>
    <w:pPr>
      <w:spacing w:before="120" w:after="120" w:line="360" w:lineRule="auto"/>
      <w:jc w:val="left"/>
    </w:pPr>
    <w:rPr>
      <w:rFonts w:ascii="Calibri" w:hAnsi="Calibri"/>
      <w:b/>
      <w:bCs/>
      <w:caps/>
      <w:sz w:val="28"/>
      <w:szCs w:val="20"/>
    </w:rPr>
  </w:style>
  <w:style w:type="paragraph" w:styleId="22">
    <w:name w:val="toc 4"/>
    <w:basedOn w:val="1"/>
    <w:next w:val="1"/>
    <w:unhideWhenUsed/>
    <w:qFormat/>
    <w:uiPriority w:val="39"/>
    <w:pPr>
      <w:ind w:left="1260" w:leftChars="600"/>
    </w:pPr>
    <w:rPr>
      <w:rFonts w:ascii="Calibri" w:hAnsi="Calibri" w:eastAsia="宋体" w:cs="Times New Roman"/>
      <w:szCs w:val="22"/>
    </w:rPr>
  </w:style>
  <w:style w:type="paragraph" w:styleId="23">
    <w:name w:val="toc 6"/>
    <w:basedOn w:val="1"/>
    <w:next w:val="1"/>
    <w:unhideWhenUsed/>
    <w:qFormat/>
    <w:uiPriority w:val="39"/>
    <w:pPr>
      <w:ind w:left="2100" w:leftChars="1000"/>
    </w:pPr>
    <w:rPr>
      <w:rFonts w:ascii="Calibri" w:hAnsi="Calibri" w:eastAsia="宋体" w:cs="Times New Roman"/>
      <w:szCs w:val="22"/>
    </w:rPr>
  </w:style>
  <w:style w:type="paragraph" w:styleId="24">
    <w:name w:val="toc 2"/>
    <w:basedOn w:val="1"/>
    <w:next w:val="1"/>
    <w:qFormat/>
    <w:uiPriority w:val="39"/>
    <w:pPr>
      <w:spacing w:line="360" w:lineRule="auto"/>
      <w:ind w:left="210"/>
      <w:jc w:val="left"/>
    </w:pPr>
    <w:rPr>
      <w:rFonts w:ascii="Calibri" w:hAnsi="Calibri"/>
      <w:smallCaps/>
      <w:sz w:val="24"/>
      <w:szCs w:val="20"/>
    </w:rPr>
  </w:style>
  <w:style w:type="paragraph" w:styleId="25">
    <w:name w:val="toc 9"/>
    <w:basedOn w:val="1"/>
    <w:next w:val="1"/>
    <w:unhideWhenUsed/>
    <w:qFormat/>
    <w:uiPriority w:val="39"/>
    <w:pPr>
      <w:ind w:left="3360" w:leftChars="1600"/>
    </w:pPr>
    <w:rPr>
      <w:rFonts w:ascii="Calibri" w:hAnsi="Calibri" w:eastAsia="宋体" w:cs="Times New Roman"/>
      <w:szCs w:val="22"/>
    </w:rPr>
  </w:style>
  <w:style w:type="paragraph" w:styleId="26">
    <w:name w:val="Normal (Web)"/>
    <w:basedOn w:val="1"/>
    <w:unhideWhenUsed/>
    <w:qFormat/>
    <w:uiPriority w:val="99"/>
    <w:pPr>
      <w:spacing w:beforeAutospacing="1" w:afterAutospacing="1"/>
      <w:jc w:val="left"/>
    </w:pPr>
    <w:rPr>
      <w:kern w:val="0"/>
      <w:sz w:val="24"/>
    </w:rPr>
  </w:style>
  <w:style w:type="paragraph" w:styleId="27">
    <w:name w:val="annotation subject"/>
    <w:basedOn w:val="9"/>
    <w:next w:val="9"/>
    <w:link w:val="62"/>
    <w:unhideWhenUsed/>
    <w:qFormat/>
    <w:uiPriority w:val="99"/>
    <w:rPr>
      <w:rFonts w:eastAsia="宋体" w:cs="Times New Roman"/>
      <w:b/>
      <w:bCs/>
      <w:sz w:val="21"/>
      <w:szCs w:val="22"/>
    </w:rPr>
  </w:style>
  <w:style w:type="paragraph" w:styleId="28">
    <w:name w:val="Body Text First Indent"/>
    <w:basedOn w:val="10"/>
    <w:link w:val="63"/>
    <w:qFormat/>
    <w:uiPriority w:val="0"/>
    <w:pPr>
      <w:ind w:firstLine="420" w:firstLineChars="100"/>
    </w:pPr>
    <w:rPr>
      <w:sz w:val="28"/>
      <w:szCs w:val="20"/>
    </w:rPr>
  </w:style>
  <w:style w:type="paragraph" w:styleId="29">
    <w:name w:val="Body Text First Indent 2"/>
    <w:basedOn w:val="11"/>
    <w:next w:val="1"/>
    <w:unhideWhenUsed/>
    <w:qFormat/>
    <w:uiPriority w:val="99"/>
    <w:pPr>
      <w:widowControl/>
      <w:tabs>
        <w:tab w:val="left" w:pos="960"/>
      </w:tabs>
      <w:adjustRightInd w:val="0"/>
      <w:snapToGrid w:val="0"/>
      <w:spacing w:beforeLines="25" w:afterLines="25"/>
      <w:ind w:left="960" w:hanging="420"/>
      <w:jc w:val="left"/>
      <w:textAlignment w:val="baseline"/>
    </w:pPr>
    <w:rPr>
      <w:rFonts w:ascii="宋体"/>
      <w:b/>
      <w:bCs/>
      <w:kern w:val="0"/>
      <w:sz w:val="28"/>
      <w:szCs w:val="20"/>
    </w:rPr>
  </w:style>
  <w:style w:type="table" w:styleId="31">
    <w:name w:val="Table Grid"/>
    <w:basedOn w:val="30"/>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33">
    <w:name w:val="Strong"/>
    <w:qFormat/>
    <w:uiPriority w:val="22"/>
    <w:rPr>
      <w:b/>
    </w:rPr>
  </w:style>
  <w:style w:type="character" w:styleId="34">
    <w:name w:val="page number"/>
    <w:qFormat/>
    <w:uiPriority w:val="0"/>
  </w:style>
  <w:style w:type="character" w:styleId="35">
    <w:name w:val="FollowedHyperlink"/>
    <w:unhideWhenUsed/>
    <w:qFormat/>
    <w:uiPriority w:val="99"/>
    <w:rPr>
      <w:color w:val="1687CB"/>
      <w:u w:val="none"/>
    </w:rPr>
  </w:style>
  <w:style w:type="character" w:styleId="36">
    <w:name w:val="Emphasis"/>
    <w:qFormat/>
    <w:uiPriority w:val="20"/>
  </w:style>
  <w:style w:type="character" w:styleId="37">
    <w:name w:val="HTML Definition"/>
    <w:unhideWhenUsed/>
    <w:qFormat/>
    <w:uiPriority w:val="99"/>
  </w:style>
  <w:style w:type="character" w:styleId="38">
    <w:name w:val="HTML Acronym"/>
    <w:unhideWhenUsed/>
    <w:qFormat/>
    <w:uiPriority w:val="99"/>
  </w:style>
  <w:style w:type="character" w:styleId="39">
    <w:name w:val="HTML Variable"/>
    <w:unhideWhenUsed/>
    <w:qFormat/>
    <w:uiPriority w:val="99"/>
  </w:style>
  <w:style w:type="character" w:styleId="40">
    <w:name w:val="Hyperlink"/>
    <w:unhideWhenUsed/>
    <w:qFormat/>
    <w:uiPriority w:val="99"/>
    <w:rPr>
      <w:color w:val="000000"/>
      <w:u w:val="none"/>
    </w:rPr>
  </w:style>
  <w:style w:type="character" w:styleId="41">
    <w:name w:val="HTML Code"/>
    <w:unhideWhenUsed/>
    <w:qFormat/>
    <w:uiPriority w:val="99"/>
    <w:rPr>
      <w:rFonts w:hint="default" w:ascii="serif" w:hAnsi="serif" w:eastAsia="serif" w:cs="serif"/>
      <w:sz w:val="21"/>
      <w:szCs w:val="21"/>
    </w:rPr>
  </w:style>
  <w:style w:type="character" w:styleId="42">
    <w:name w:val="annotation reference"/>
    <w:unhideWhenUsed/>
    <w:qFormat/>
    <w:uiPriority w:val="99"/>
    <w:rPr>
      <w:sz w:val="21"/>
      <w:szCs w:val="21"/>
    </w:rPr>
  </w:style>
  <w:style w:type="character" w:styleId="43">
    <w:name w:val="HTML Cite"/>
    <w:unhideWhenUsed/>
    <w:qFormat/>
    <w:uiPriority w:val="99"/>
  </w:style>
  <w:style w:type="character" w:styleId="44">
    <w:name w:val="HTML Keyboard"/>
    <w:unhideWhenUsed/>
    <w:qFormat/>
    <w:uiPriority w:val="99"/>
    <w:rPr>
      <w:rFonts w:hint="default" w:ascii="serif" w:hAnsi="serif" w:eastAsia="serif" w:cs="serif"/>
      <w:sz w:val="21"/>
      <w:szCs w:val="21"/>
    </w:rPr>
  </w:style>
  <w:style w:type="character" w:styleId="45">
    <w:name w:val="HTML Sample"/>
    <w:unhideWhenUsed/>
    <w:qFormat/>
    <w:uiPriority w:val="99"/>
    <w:rPr>
      <w:rFonts w:ascii="serif" w:hAnsi="serif" w:eastAsia="serif" w:cs="serif"/>
      <w:sz w:val="21"/>
      <w:szCs w:val="21"/>
    </w:rPr>
  </w:style>
  <w:style w:type="paragraph" w:customStyle="1" w:styleId="46">
    <w:name w:val="样式 正文首行缩进 2 + (符号) 仿宋_GB2312 小三 行距: 单倍行距"/>
    <w:basedOn w:val="29"/>
    <w:next w:val="1"/>
    <w:qFormat/>
    <w:uiPriority w:val="0"/>
    <w:pPr>
      <w:tabs>
        <w:tab w:val="left" w:pos="5327"/>
        <w:tab w:val="left" w:pos="6326"/>
        <w:tab w:val="left" w:pos="7230"/>
        <w:tab w:val="left" w:pos="9301"/>
        <w:tab w:val="clear" w:pos="960"/>
      </w:tabs>
      <w:spacing w:line="360" w:lineRule="auto"/>
      <w:ind w:left="0" w:firstLine="600"/>
    </w:pPr>
    <w:rPr>
      <w:rFonts w:ascii="仿宋_GB2312" w:hAnsi="仿宋_GB2312" w:cs="仿宋_GB2312"/>
      <w:color w:val="000000"/>
      <w:kern w:val="28"/>
    </w:rPr>
  </w:style>
  <w:style w:type="paragraph" w:customStyle="1" w:styleId="47">
    <w:name w:val="Default"/>
    <w:unhideWhenUsed/>
    <w:qFormat/>
    <w:uiPriority w:val="0"/>
    <w:pPr>
      <w:widowControl w:val="0"/>
      <w:autoSpaceDE w:val="0"/>
      <w:autoSpaceDN w:val="0"/>
      <w:adjustRightInd w:val="0"/>
    </w:pPr>
    <w:rPr>
      <w:rFonts w:hint="eastAsia" w:ascii="宋体" w:hAnsi="宋体" w:eastAsia="宋体" w:cs="Times New Roman"/>
      <w:color w:val="000000"/>
      <w:sz w:val="24"/>
      <w:lang w:val="en-US" w:eastAsia="zh-CN" w:bidi="ar-SA"/>
    </w:rPr>
  </w:style>
  <w:style w:type="character" w:customStyle="1" w:styleId="48">
    <w:name w:val="标题 1 字符"/>
    <w:link w:val="2"/>
    <w:qFormat/>
    <w:uiPriority w:val="0"/>
    <w:rPr>
      <w:rFonts w:ascii="Times New Roman" w:hAnsi="Times New Roman" w:eastAsia="宋体" w:cs="Times New Roman"/>
      <w:b/>
      <w:bCs/>
      <w:kern w:val="44"/>
      <w:sz w:val="44"/>
      <w:szCs w:val="44"/>
    </w:rPr>
  </w:style>
  <w:style w:type="character" w:customStyle="1" w:styleId="49">
    <w:name w:val="标题 2 字符"/>
    <w:link w:val="3"/>
    <w:qFormat/>
    <w:uiPriority w:val="0"/>
    <w:rPr>
      <w:rFonts w:ascii="等线 Light" w:hAnsi="等线 Light" w:eastAsia="等线 Light" w:cs="Times New Roman"/>
      <w:b/>
      <w:bCs/>
      <w:sz w:val="32"/>
      <w:szCs w:val="32"/>
    </w:rPr>
  </w:style>
  <w:style w:type="character" w:customStyle="1" w:styleId="50">
    <w:name w:val="标题 3 字符"/>
    <w:link w:val="4"/>
    <w:qFormat/>
    <w:uiPriority w:val="3"/>
    <w:rPr>
      <w:rFonts w:ascii="Times New Roman" w:hAnsi="Times New Roman" w:eastAsia="宋体" w:cs="Times New Roman"/>
      <w:b/>
      <w:bCs/>
      <w:sz w:val="32"/>
      <w:szCs w:val="32"/>
    </w:rPr>
  </w:style>
  <w:style w:type="character" w:customStyle="1" w:styleId="51">
    <w:name w:val="标题 4 字符"/>
    <w:link w:val="5"/>
    <w:qFormat/>
    <w:uiPriority w:val="0"/>
    <w:rPr>
      <w:rFonts w:ascii="Cambria" w:hAnsi="Cambria" w:eastAsia="宋体" w:cs="Times New Roman"/>
      <w:b/>
      <w:bCs/>
      <w:sz w:val="28"/>
      <w:szCs w:val="28"/>
    </w:rPr>
  </w:style>
  <w:style w:type="character" w:customStyle="1" w:styleId="52">
    <w:name w:val="正文缩进 字符"/>
    <w:link w:val="7"/>
    <w:qFormat/>
    <w:uiPriority w:val="0"/>
    <w:rPr>
      <w:rFonts w:ascii="Times" w:hAnsi="Times" w:eastAsia="仿宋_GB2312"/>
      <w:kern w:val="2"/>
      <w:sz w:val="28"/>
      <w:szCs w:val="24"/>
    </w:rPr>
  </w:style>
  <w:style w:type="character" w:customStyle="1" w:styleId="53">
    <w:name w:val="文档结构图 字符"/>
    <w:link w:val="8"/>
    <w:semiHidden/>
    <w:qFormat/>
    <w:uiPriority w:val="99"/>
    <w:rPr>
      <w:rFonts w:ascii="宋体" w:hAnsi="Times New Roman" w:eastAsia="宋体" w:cs="Times New Roman"/>
      <w:sz w:val="18"/>
      <w:szCs w:val="18"/>
    </w:rPr>
  </w:style>
  <w:style w:type="character" w:customStyle="1" w:styleId="54">
    <w:name w:val="批注文字 字符"/>
    <w:link w:val="9"/>
    <w:qFormat/>
    <w:uiPriority w:val="99"/>
    <w:rPr>
      <w:rFonts w:ascii="Times New Roman" w:hAnsi="Times New Roman"/>
      <w:sz w:val="28"/>
      <w:szCs w:val="24"/>
    </w:rPr>
  </w:style>
  <w:style w:type="character" w:customStyle="1" w:styleId="55">
    <w:name w:val="正文文本 字符"/>
    <w:basedOn w:val="32"/>
    <w:link w:val="10"/>
    <w:qFormat/>
    <w:uiPriority w:val="0"/>
    <w:rPr>
      <w:rFonts w:ascii="Times New Roman" w:hAnsi="Times New Roman" w:eastAsia="宋体" w:cs="Times New Roman"/>
      <w:szCs w:val="24"/>
    </w:rPr>
  </w:style>
  <w:style w:type="character" w:customStyle="1" w:styleId="56">
    <w:name w:val="正文文本缩进 字符"/>
    <w:link w:val="11"/>
    <w:semiHidden/>
    <w:qFormat/>
    <w:uiPriority w:val="99"/>
    <w:rPr>
      <w:rFonts w:ascii="Times New Roman" w:hAnsi="Times New Roman" w:eastAsia="宋体" w:cs="Times New Roman"/>
    </w:rPr>
  </w:style>
  <w:style w:type="character" w:customStyle="1" w:styleId="57">
    <w:name w:val="纯文本 字符"/>
    <w:link w:val="15"/>
    <w:qFormat/>
    <w:uiPriority w:val="0"/>
    <w:rPr>
      <w:rFonts w:ascii="宋体" w:hAnsi="Courier New" w:eastAsia="宋体" w:cs="Courier New"/>
      <w:szCs w:val="21"/>
    </w:rPr>
  </w:style>
  <w:style w:type="character" w:customStyle="1" w:styleId="58">
    <w:name w:val="正文文本缩进 2 字符"/>
    <w:link w:val="17"/>
    <w:semiHidden/>
    <w:qFormat/>
    <w:uiPriority w:val="99"/>
    <w:rPr>
      <w:rFonts w:ascii="Times New Roman" w:hAnsi="Times New Roman" w:eastAsia="宋体" w:cs="Times New Roman"/>
    </w:rPr>
  </w:style>
  <w:style w:type="character" w:customStyle="1" w:styleId="59">
    <w:name w:val="批注框文本 字符"/>
    <w:link w:val="18"/>
    <w:qFormat/>
    <w:uiPriority w:val="0"/>
    <w:rPr>
      <w:rFonts w:ascii="Times New Roman" w:hAnsi="Times New Roman" w:eastAsia="宋体" w:cs="Times New Roman"/>
      <w:sz w:val="18"/>
      <w:szCs w:val="18"/>
    </w:rPr>
  </w:style>
  <w:style w:type="character" w:customStyle="1" w:styleId="60">
    <w:name w:val="页脚 字符"/>
    <w:link w:val="19"/>
    <w:qFormat/>
    <w:uiPriority w:val="99"/>
    <w:rPr>
      <w:rFonts w:ascii="Times New Roman" w:hAnsi="Times New Roman" w:eastAsia="宋体" w:cs="Times New Roman"/>
      <w:sz w:val="18"/>
      <w:szCs w:val="18"/>
    </w:rPr>
  </w:style>
  <w:style w:type="character" w:customStyle="1" w:styleId="61">
    <w:name w:val="页眉 字符"/>
    <w:link w:val="20"/>
    <w:qFormat/>
    <w:uiPriority w:val="99"/>
    <w:rPr>
      <w:rFonts w:ascii="Times New Roman" w:hAnsi="Times New Roman" w:eastAsia="宋体" w:cs="Times New Roman"/>
      <w:sz w:val="18"/>
      <w:szCs w:val="18"/>
    </w:rPr>
  </w:style>
  <w:style w:type="character" w:customStyle="1" w:styleId="62">
    <w:name w:val="批注主题 字符"/>
    <w:link w:val="27"/>
    <w:semiHidden/>
    <w:qFormat/>
    <w:uiPriority w:val="99"/>
    <w:rPr>
      <w:rFonts w:ascii="Times New Roman" w:hAnsi="Times New Roman" w:eastAsia="宋体" w:cs="Times New Roman"/>
      <w:b/>
      <w:bCs/>
      <w:sz w:val="28"/>
      <w:szCs w:val="24"/>
    </w:rPr>
  </w:style>
  <w:style w:type="character" w:customStyle="1" w:styleId="63">
    <w:name w:val="正文文本首行缩进 字符"/>
    <w:link w:val="28"/>
    <w:qFormat/>
    <w:uiPriority w:val="0"/>
    <w:rPr>
      <w:rFonts w:ascii="Times New Roman" w:hAnsi="Times New Roman" w:eastAsia="宋体" w:cs="Times New Roman"/>
      <w:sz w:val="28"/>
      <w:szCs w:val="20"/>
    </w:rPr>
  </w:style>
  <w:style w:type="character" w:customStyle="1" w:styleId="64">
    <w:name w:val="正文文本 (2)_"/>
    <w:link w:val="65"/>
    <w:qFormat/>
    <w:uiPriority w:val="0"/>
    <w:rPr>
      <w:rFonts w:ascii="MingLiU" w:eastAsia="MingLiU" w:cs="MingLiU"/>
      <w:kern w:val="0"/>
      <w:sz w:val="26"/>
      <w:szCs w:val="26"/>
    </w:rPr>
  </w:style>
  <w:style w:type="paragraph" w:customStyle="1" w:styleId="65">
    <w:name w:val="正文文本 (2)1"/>
    <w:basedOn w:val="1"/>
    <w:link w:val="64"/>
    <w:semiHidden/>
    <w:qFormat/>
    <w:uiPriority w:val="0"/>
    <w:pPr>
      <w:shd w:val="clear" w:color="auto" w:fill="FFFFFF"/>
      <w:spacing w:line="312" w:lineRule="exact"/>
      <w:ind w:hanging="1660"/>
      <w:jc w:val="distribute"/>
    </w:pPr>
    <w:rPr>
      <w:rFonts w:ascii="MingLiU" w:eastAsia="MingLiU" w:cs="MingLiU"/>
      <w:kern w:val="0"/>
      <w:sz w:val="26"/>
      <w:szCs w:val="26"/>
    </w:rPr>
  </w:style>
  <w:style w:type="character" w:customStyle="1" w:styleId="66">
    <w:name w:val="页脚 字符1"/>
    <w:qFormat/>
    <w:uiPriority w:val="0"/>
    <w:rPr>
      <w:kern w:val="2"/>
      <w:sz w:val="18"/>
      <w:szCs w:val="18"/>
    </w:rPr>
  </w:style>
  <w:style w:type="character" w:customStyle="1" w:styleId="67">
    <w:name w:val="页脚 Char"/>
    <w:qFormat/>
    <w:uiPriority w:val="0"/>
    <w:rPr>
      <w:rFonts w:ascii="Times New Roman" w:hAnsi="Times New Roman" w:eastAsia="宋体" w:cs="Times New Roman"/>
      <w:sz w:val="18"/>
      <w:szCs w:val="18"/>
    </w:rPr>
  </w:style>
  <w:style w:type="character" w:customStyle="1" w:styleId="68">
    <w:name w:val="标题 3 字符1"/>
    <w:qFormat/>
    <w:uiPriority w:val="0"/>
    <w:rPr>
      <w:rFonts w:ascii="Times New Roman" w:hAnsi="Times New Roman" w:eastAsia="黑体"/>
      <w:kern w:val="2"/>
      <w:sz w:val="28"/>
      <w:szCs w:val="28"/>
    </w:rPr>
  </w:style>
  <w:style w:type="character" w:customStyle="1" w:styleId="69">
    <w:name w:val="正文1 Char Char"/>
    <w:link w:val="70"/>
    <w:qFormat/>
    <w:uiPriority w:val="0"/>
    <w:rPr>
      <w:rFonts w:ascii="Arial Narrow" w:hAnsi="Arial Narrow" w:eastAsia="宋体" w:cs="Times New Roman"/>
      <w:color w:val="000000"/>
      <w:kern w:val="10"/>
      <w:sz w:val="28"/>
      <w:szCs w:val="28"/>
      <w:lang w:val="zh-CN"/>
    </w:rPr>
  </w:style>
  <w:style w:type="paragraph" w:customStyle="1" w:styleId="70">
    <w:name w:val="正文1 Char"/>
    <w:basedOn w:val="1"/>
    <w:link w:val="69"/>
    <w:qFormat/>
    <w:uiPriority w:val="0"/>
    <w:pPr>
      <w:tabs>
        <w:tab w:val="left" w:pos="5327"/>
        <w:tab w:val="left" w:pos="6326"/>
        <w:tab w:val="left" w:pos="7230"/>
        <w:tab w:val="left" w:pos="9301"/>
      </w:tabs>
      <w:autoSpaceDE w:val="0"/>
      <w:autoSpaceDN w:val="0"/>
      <w:adjustRightInd w:val="0"/>
      <w:snapToGrid w:val="0"/>
      <w:spacing w:line="500" w:lineRule="exact"/>
      <w:ind w:firstLine="560" w:firstLineChars="200"/>
    </w:pPr>
    <w:rPr>
      <w:rFonts w:ascii="Arial Narrow" w:hAnsi="Arial Narrow"/>
      <w:color w:val="000000"/>
      <w:kern w:val="10"/>
      <w:sz w:val="28"/>
      <w:szCs w:val="28"/>
      <w:lang w:val="zh-CN"/>
    </w:rPr>
  </w:style>
  <w:style w:type="character" w:customStyle="1" w:styleId="71">
    <w:name w:val="未处理的提及2"/>
    <w:unhideWhenUsed/>
    <w:qFormat/>
    <w:uiPriority w:val="99"/>
    <w:rPr>
      <w:color w:val="605E5C"/>
      <w:shd w:val="clear" w:color="auto" w:fill="E1DFDD"/>
    </w:rPr>
  </w:style>
  <w:style w:type="character" w:customStyle="1" w:styleId="72">
    <w:name w:val="正文1 Char Char Char Char Char Char Char Char"/>
    <w:link w:val="73"/>
    <w:qFormat/>
    <w:uiPriority w:val="0"/>
    <w:rPr>
      <w:rFonts w:ascii="Arial Narrow" w:hAnsi="Arial Narrow" w:eastAsia="仿宋_GB2312" w:cs="Times New Roman"/>
      <w:color w:val="000000"/>
      <w:kern w:val="10"/>
      <w:sz w:val="28"/>
      <w:szCs w:val="28"/>
    </w:rPr>
  </w:style>
  <w:style w:type="paragraph" w:customStyle="1" w:styleId="73">
    <w:name w:val="正文1 Char Char Char Char Char Char Char"/>
    <w:basedOn w:val="1"/>
    <w:link w:val="72"/>
    <w:qFormat/>
    <w:uiPriority w:val="0"/>
    <w:pPr>
      <w:tabs>
        <w:tab w:val="left" w:pos="5327"/>
        <w:tab w:val="left" w:pos="6326"/>
        <w:tab w:val="left" w:pos="7230"/>
        <w:tab w:val="left" w:pos="9301"/>
      </w:tabs>
      <w:autoSpaceDE w:val="0"/>
      <w:autoSpaceDN w:val="0"/>
      <w:adjustRightInd w:val="0"/>
      <w:snapToGrid w:val="0"/>
      <w:spacing w:line="600" w:lineRule="exact"/>
      <w:ind w:firstLine="560" w:firstLineChars="200"/>
      <w:jc w:val="left"/>
    </w:pPr>
    <w:rPr>
      <w:rFonts w:ascii="Arial Narrow" w:hAnsi="Arial Narrow" w:eastAsia="仿宋_GB2312"/>
      <w:color w:val="000000"/>
      <w:kern w:val="10"/>
      <w:sz w:val="28"/>
      <w:szCs w:val="28"/>
    </w:rPr>
  </w:style>
  <w:style w:type="character" w:customStyle="1" w:styleId="74">
    <w:name w:val="未处理的提及1"/>
    <w:unhideWhenUsed/>
    <w:qFormat/>
    <w:uiPriority w:val="99"/>
    <w:rPr>
      <w:color w:val="605E5C"/>
      <w:shd w:val="clear" w:color="auto" w:fill="E1DFDD"/>
    </w:rPr>
  </w:style>
  <w:style w:type="character" w:customStyle="1" w:styleId="75">
    <w:name w:val="font10 Char Char"/>
    <w:qFormat/>
    <w:uiPriority w:val="0"/>
    <w:rPr>
      <w:rFonts w:ascii="宋体" w:hAnsi="宋体" w:eastAsia="宋体"/>
      <w:color w:val="FF00FF"/>
      <w:lang w:val="en-US" w:eastAsia="zh-CN" w:bidi="ar-SA"/>
    </w:rPr>
  </w:style>
  <w:style w:type="paragraph" w:customStyle="1" w:styleId="76">
    <w:name w:val="二级条标题"/>
    <w:basedOn w:val="1"/>
    <w:next w:val="4"/>
    <w:qFormat/>
    <w:uiPriority w:val="0"/>
    <w:pPr>
      <w:widowControl/>
      <w:numPr>
        <w:ilvl w:val="0"/>
        <w:numId w:val="2"/>
      </w:numPr>
      <w:ind w:left="840" w:firstLine="0"/>
      <w:outlineLvl w:val="3"/>
    </w:pPr>
    <w:rPr>
      <w:rFonts w:ascii="黑体" w:hAnsi="Calibri" w:eastAsia="黑体"/>
      <w:kern w:val="0"/>
      <w:szCs w:val="20"/>
    </w:rPr>
  </w:style>
  <w:style w:type="paragraph" w:customStyle="1" w:styleId="77">
    <w:name w:val="样式 正文首行缩进 + 首行缩进:  1 字符"/>
    <w:basedOn w:val="28"/>
    <w:link w:val="78"/>
    <w:semiHidden/>
    <w:qFormat/>
    <w:uiPriority w:val="0"/>
    <w:pPr>
      <w:tabs>
        <w:tab w:val="left" w:pos="5327"/>
        <w:tab w:val="left" w:pos="6326"/>
        <w:tab w:val="left" w:pos="7230"/>
        <w:tab w:val="left" w:pos="9301"/>
      </w:tabs>
      <w:spacing w:after="0" w:line="560" w:lineRule="exact"/>
      <w:ind w:firstLine="560" w:firstLineChars="200"/>
      <w:jc w:val="left"/>
    </w:pPr>
    <w:rPr>
      <w:rFonts w:ascii="宋体" w:hAnsi="宋体" w:cs="宋体"/>
      <w:kern w:val="10"/>
      <w:szCs w:val="28"/>
    </w:rPr>
  </w:style>
  <w:style w:type="character" w:customStyle="1" w:styleId="78">
    <w:name w:val="样式 正文首行缩进 + 首行缩进:  1 字符 Char"/>
    <w:link w:val="77"/>
    <w:semiHidden/>
    <w:qFormat/>
    <w:uiPriority w:val="0"/>
    <w:rPr>
      <w:rFonts w:ascii="宋体" w:hAnsi="宋体" w:cs="宋体"/>
      <w:kern w:val="10"/>
      <w:sz w:val="28"/>
      <w:szCs w:val="28"/>
    </w:rPr>
  </w:style>
  <w:style w:type="paragraph" w:customStyle="1" w:styleId="79">
    <w:name w:val="Table Paragraph"/>
    <w:basedOn w:val="1"/>
    <w:qFormat/>
    <w:uiPriority w:val="1"/>
    <w:pPr>
      <w:spacing w:before="184"/>
      <w:jc w:val="center"/>
    </w:pPr>
    <w:rPr>
      <w:rFonts w:eastAsia="Times New Roman"/>
      <w:lang w:val="zh-CN" w:bidi="zh-CN"/>
    </w:rPr>
  </w:style>
  <w:style w:type="paragraph" w:styleId="80">
    <w:name w:val="No Spacing"/>
    <w:qFormat/>
    <w:uiPriority w:val="1"/>
    <w:pPr>
      <w:widowControl w:val="0"/>
      <w:jc w:val="both"/>
    </w:pPr>
    <w:rPr>
      <w:rFonts w:ascii="Calibri" w:hAnsi="Calibri" w:eastAsia="宋体" w:cs="Times New Roman"/>
      <w:kern w:val="2"/>
      <w:sz w:val="21"/>
      <w:szCs w:val="22"/>
      <w:lang w:val="en-US" w:eastAsia="zh-CN" w:bidi="ar-SA"/>
    </w:rPr>
  </w:style>
  <w:style w:type="paragraph" w:customStyle="1" w:styleId="81">
    <w:name w:val="图表名"/>
    <w:basedOn w:val="1"/>
    <w:qFormat/>
    <w:uiPriority w:val="0"/>
    <w:pPr>
      <w:spacing w:line="360" w:lineRule="auto"/>
      <w:jc w:val="center"/>
    </w:pPr>
    <w:rPr>
      <w:rFonts w:ascii="黑体" w:hAnsi="黑体" w:eastAsia="黑体" w:cs="宋体"/>
      <w:sz w:val="24"/>
      <w:szCs w:val="20"/>
    </w:rPr>
  </w:style>
  <w:style w:type="paragraph" w:customStyle="1" w:styleId="82">
    <w:name w:val="正文 + 首行缩进"/>
    <w:basedOn w:val="1"/>
    <w:qFormat/>
    <w:uiPriority w:val="0"/>
    <w:pPr>
      <w:spacing w:line="500" w:lineRule="exact"/>
      <w:ind w:firstLine="560" w:firstLineChars="200"/>
    </w:pPr>
    <w:rPr>
      <w:rFonts w:ascii="Calibri" w:hAnsi="Calibri"/>
      <w:sz w:val="28"/>
      <w:szCs w:val="20"/>
    </w:rPr>
  </w:style>
  <w:style w:type="paragraph" w:customStyle="1" w:styleId="83">
    <w:name w:val="样式 段前: 6 磅 段后: 6 磅 行距: 1.5 倍行距 首行缩进:  2 字符"/>
    <w:basedOn w:val="1"/>
    <w:qFormat/>
    <w:uiPriority w:val="0"/>
    <w:pPr>
      <w:spacing w:line="540" w:lineRule="exact"/>
      <w:ind w:firstLine="560" w:firstLineChars="200"/>
    </w:pPr>
    <w:rPr>
      <w:rFonts w:ascii="宋体" w:hAnsi="宋体"/>
      <w:kern w:val="10"/>
      <w:sz w:val="28"/>
      <w:szCs w:val="28"/>
    </w:rPr>
  </w:style>
  <w:style w:type="paragraph" w:customStyle="1" w:styleId="84">
    <w:name w:val="正文一"/>
    <w:basedOn w:val="10"/>
    <w:qFormat/>
    <w:uiPriority w:val="0"/>
    <w:pPr>
      <w:widowControl/>
      <w:spacing w:after="0" w:line="560" w:lineRule="exact"/>
      <w:ind w:firstLine="639" w:firstLineChars="225"/>
    </w:pPr>
    <w:rPr>
      <w:rFonts w:ascii="仿宋_GB2312" w:eastAsia="仿宋_GB2312" w:cs="宋体"/>
      <w:spacing w:val="2"/>
      <w:sz w:val="28"/>
      <w:szCs w:val="20"/>
    </w:rPr>
  </w:style>
  <w:style w:type="paragraph" w:customStyle="1" w:styleId="85">
    <w:name w:val="三级条标题"/>
    <w:basedOn w:val="1"/>
    <w:next w:val="4"/>
    <w:qFormat/>
    <w:uiPriority w:val="0"/>
    <w:pPr>
      <w:widowControl/>
      <w:numPr>
        <w:ilvl w:val="4"/>
        <w:numId w:val="3"/>
      </w:numPr>
      <w:outlineLvl w:val="4"/>
    </w:pPr>
    <w:rPr>
      <w:rFonts w:ascii="黑体" w:hAnsi="Calibri" w:eastAsia="黑体"/>
      <w:kern w:val="0"/>
      <w:szCs w:val="20"/>
    </w:rPr>
  </w:style>
  <w:style w:type="paragraph" w:styleId="86">
    <w:name w:val="List Paragraph"/>
    <w:basedOn w:val="1"/>
    <w:qFormat/>
    <w:uiPriority w:val="34"/>
    <w:pPr>
      <w:ind w:firstLine="420" w:firstLineChars="200"/>
    </w:pPr>
    <w:rPr>
      <w:szCs w:val="22"/>
    </w:rPr>
  </w:style>
  <w:style w:type="character" w:customStyle="1" w:styleId="87">
    <w:name w:val="bsharetext"/>
    <w:qFormat/>
    <w:uiPriority w:val="0"/>
  </w:style>
  <w:style w:type="character" w:customStyle="1" w:styleId="88">
    <w:name w:val="rt"/>
    <w:qFormat/>
    <w:uiPriority w:val="0"/>
    <w:rPr>
      <w:color w:val="999999"/>
    </w:rPr>
  </w:style>
  <w:style w:type="character" w:customStyle="1" w:styleId="89">
    <w:name w:val="a_p_3"/>
    <w:qFormat/>
    <w:uiPriority w:val="0"/>
    <w:rPr>
      <w:sz w:val="27"/>
      <w:szCs w:val="27"/>
    </w:rPr>
  </w:style>
  <w:style w:type="character" w:customStyle="1" w:styleId="90">
    <w:name w:val="a_p_1"/>
    <w:qFormat/>
    <w:uiPriority w:val="0"/>
    <w:rPr>
      <w:sz w:val="27"/>
      <w:szCs w:val="27"/>
    </w:rPr>
  </w:style>
  <w:style w:type="character" w:customStyle="1" w:styleId="91">
    <w:name w:val="a_p_2"/>
    <w:qFormat/>
    <w:uiPriority w:val="0"/>
    <w:rPr>
      <w:sz w:val="27"/>
      <w:szCs w:val="27"/>
    </w:rPr>
  </w:style>
  <w:style w:type="character" w:customStyle="1" w:styleId="92">
    <w:name w:val="a_p_21"/>
    <w:qFormat/>
    <w:uiPriority w:val="0"/>
  </w:style>
  <w:style w:type="character" w:customStyle="1" w:styleId="93">
    <w:name w:val="fr2"/>
    <w:qFormat/>
    <w:uiPriority w:val="0"/>
    <w:rPr>
      <w:color w:val="999999"/>
    </w:rPr>
  </w:style>
  <w:style w:type="character" w:customStyle="1" w:styleId="94">
    <w:name w:val="subt"/>
    <w:qFormat/>
    <w:uiPriority w:val="0"/>
    <w:rPr>
      <w:rFonts w:ascii="宋体" w:hAnsi="宋体" w:eastAsia="宋体" w:cs="宋体"/>
      <w:color w:val="333333"/>
      <w:sz w:val="39"/>
      <w:szCs w:val="39"/>
    </w:rPr>
  </w:style>
  <w:style w:type="character" w:customStyle="1" w:styleId="95">
    <w:name w:val="t"/>
    <w:qFormat/>
    <w:uiPriority w:val="0"/>
    <w:rPr>
      <w:color w:val="1C3E9D"/>
      <w:sz w:val="27"/>
      <w:szCs w:val="27"/>
    </w:rPr>
  </w:style>
  <w:style w:type="character" w:customStyle="1" w:styleId="96">
    <w:name w:val="exap"/>
    <w:qFormat/>
    <w:uiPriority w:val="0"/>
    <w:rPr>
      <w:sz w:val="27"/>
      <w:szCs w:val="27"/>
    </w:rPr>
  </w:style>
  <w:style w:type="character" w:customStyle="1" w:styleId="97">
    <w:name w:val="ul_li_a_1"/>
    <w:qFormat/>
    <w:uiPriority w:val="0"/>
    <w:rPr>
      <w:b/>
      <w:bCs/>
      <w:color w:val="FFFFFF"/>
    </w:rPr>
  </w:style>
  <w:style w:type="paragraph" w:customStyle="1" w:styleId="98">
    <w:name w:val="表头W"/>
    <w:basedOn w:val="1"/>
    <w:next w:val="99"/>
    <w:qFormat/>
    <w:uiPriority w:val="0"/>
    <w:pPr>
      <w:spacing w:line="360" w:lineRule="auto"/>
      <w:ind w:firstLine="560" w:firstLineChars="200"/>
      <w:jc w:val="center"/>
    </w:pPr>
    <w:rPr>
      <w:b/>
      <w:kern w:val="0"/>
      <w:szCs w:val="20"/>
    </w:rPr>
  </w:style>
  <w:style w:type="paragraph" w:customStyle="1" w:styleId="99">
    <w:name w:val="表格W"/>
    <w:basedOn w:val="15"/>
    <w:qFormat/>
    <w:uiPriority w:val="0"/>
    <w:pPr>
      <w:tabs>
        <w:tab w:val="left" w:pos="573"/>
      </w:tabs>
    </w:pPr>
    <w:rPr>
      <w:rFonts w:hAnsi="Calibri" w:cs="Times New Roman"/>
      <w:szCs w:val="22"/>
    </w:rPr>
  </w:style>
  <w:style w:type="paragraph" w:customStyle="1" w:styleId="100">
    <w:name w:val="初正文"/>
    <w:link w:val="101"/>
    <w:qFormat/>
    <w:uiPriority w:val="0"/>
    <w:pPr>
      <w:widowControl w:val="0"/>
      <w:spacing w:line="360" w:lineRule="auto"/>
      <w:jc w:val="both"/>
    </w:pPr>
    <w:rPr>
      <w:rFonts w:ascii="Times New Roman" w:hAnsi="Times New Roman" w:eastAsia="宋体" w:cs="Times New Roman"/>
      <w:color w:val="000000"/>
      <w:kern w:val="28"/>
      <w:sz w:val="28"/>
      <w:lang w:val="en-US" w:eastAsia="zh-CN" w:bidi="ar-SA"/>
    </w:rPr>
  </w:style>
  <w:style w:type="character" w:customStyle="1" w:styleId="101">
    <w:name w:val="初正文 Char"/>
    <w:link w:val="100"/>
    <w:qFormat/>
    <w:uiPriority w:val="0"/>
    <w:rPr>
      <w:color w:val="000000"/>
      <w:kern w:val="28"/>
      <w:sz w:val="28"/>
    </w:rPr>
  </w:style>
  <w:style w:type="paragraph" w:customStyle="1" w:styleId="102">
    <w:name w:val="_Style 100"/>
    <w:unhideWhenUsed/>
    <w:qFormat/>
    <w:uiPriority w:val="99"/>
    <w:rPr>
      <w:rFonts w:ascii="Times New Roman" w:hAnsi="Times New Roman" w:eastAsia="宋体" w:cs="Times New Roman"/>
      <w:kern w:val="2"/>
      <w:sz w:val="21"/>
      <w:szCs w:val="24"/>
      <w:lang w:val="en-US" w:eastAsia="zh-CN" w:bidi="ar-SA"/>
    </w:rPr>
  </w:style>
  <w:style w:type="paragraph" w:customStyle="1" w:styleId="103">
    <w:name w:val="表头"/>
    <w:basedOn w:val="1"/>
    <w:link w:val="126"/>
    <w:qFormat/>
    <w:uiPriority w:val="4"/>
    <w:pPr>
      <w:tabs>
        <w:tab w:val="left" w:pos="5327"/>
        <w:tab w:val="left" w:pos="6326"/>
        <w:tab w:val="left" w:pos="7230"/>
        <w:tab w:val="left" w:pos="9301"/>
      </w:tabs>
      <w:spacing w:line="500" w:lineRule="exact"/>
      <w:ind w:firstLine="200" w:firstLineChars="200"/>
      <w:jc w:val="left"/>
    </w:pPr>
    <w:rPr>
      <w:rFonts w:ascii="Arial Unicode MS" w:hAnsi="Arial Unicode MS"/>
      <w:b/>
      <w:sz w:val="30"/>
      <w:szCs w:val="30"/>
    </w:rPr>
  </w:style>
  <w:style w:type="character" w:customStyle="1" w:styleId="104">
    <w:name w:val="表头 Char"/>
    <w:link w:val="103"/>
    <w:qFormat/>
    <w:uiPriority w:val="4"/>
    <w:rPr>
      <w:rFonts w:ascii="Arial Unicode MS" w:hAnsi="Arial Unicode MS"/>
      <w:b/>
      <w:kern w:val="2"/>
      <w:sz w:val="30"/>
      <w:szCs w:val="30"/>
    </w:rPr>
  </w:style>
  <w:style w:type="paragraph" w:customStyle="1" w:styleId="105">
    <w:name w:val="设计正文"/>
    <w:basedOn w:val="1"/>
    <w:link w:val="106"/>
    <w:qFormat/>
    <w:uiPriority w:val="0"/>
    <w:pPr>
      <w:adjustRightInd w:val="0"/>
      <w:snapToGrid w:val="0"/>
      <w:spacing w:line="360" w:lineRule="auto"/>
      <w:ind w:firstLine="560" w:firstLineChars="200"/>
      <w:jc w:val="left"/>
    </w:pPr>
    <w:rPr>
      <w:sz w:val="28"/>
      <w:szCs w:val="28"/>
    </w:rPr>
  </w:style>
  <w:style w:type="character" w:customStyle="1" w:styleId="106">
    <w:name w:val="设计正文 字符"/>
    <w:link w:val="105"/>
    <w:qFormat/>
    <w:uiPriority w:val="0"/>
    <w:rPr>
      <w:kern w:val="2"/>
      <w:sz w:val="28"/>
      <w:szCs w:val="28"/>
    </w:rPr>
  </w:style>
  <w:style w:type="paragraph" w:customStyle="1" w:styleId="107">
    <w:name w:val="设计表头"/>
    <w:basedOn w:val="10"/>
    <w:link w:val="108"/>
    <w:qFormat/>
    <w:uiPriority w:val="0"/>
    <w:pPr>
      <w:adjustRightInd w:val="0"/>
      <w:snapToGrid w:val="0"/>
      <w:spacing w:after="0" w:line="360" w:lineRule="auto"/>
      <w:jc w:val="center"/>
    </w:pPr>
    <w:rPr>
      <w:rFonts w:ascii="宋体" w:hAnsi="宋体" w:cs="宋体"/>
      <w:b/>
      <w:bCs/>
      <w:sz w:val="28"/>
      <w:szCs w:val="28"/>
    </w:rPr>
  </w:style>
  <w:style w:type="character" w:customStyle="1" w:styleId="108">
    <w:name w:val="设计表头 字符"/>
    <w:link w:val="107"/>
    <w:qFormat/>
    <w:uiPriority w:val="0"/>
    <w:rPr>
      <w:rFonts w:ascii="宋体" w:hAnsi="宋体" w:cs="宋体"/>
      <w:b/>
      <w:bCs/>
      <w:kern w:val="2"/>
      <w:sz w:val="28"/>
      <w:szCs w:val="28"/>
    </w:rPr>
  </w:style>
  <w:style w:type="paragraph" w:customStyle="1" w:styleId="109">
    <w:name w:val="正文1"/>
    <w:basedOn w:val="1"/>
    <w:link w:val="110"/>
    <w:qFormat/>
    <w:uiPriority w:val="0"/>
    <w:pPr>
      <w:tabs>
        <w:tab w:val="left" w:pos="0"/>
        <w:tab w:val="left" w:pos="540"/>
      </w:tabs>
      <w:adjustRightInd w:val="0"/>
      <w:snapToGrid w:val="0"/>
      <w:spacing w:line="360" w:lineRule="auto"/>
      <w:ind w:firstLine="560" w:firstLineChars="200"/>
    </w:pPr>
    <w:rPr>
      <w:rFonts w:ascii="宋体" w:hAnsi="宋体" w:cs="Arial"/>
      <w:sz w:val="24"/>
    </w:rPr>
  </w:style>
  <w:style w:type="character" w:customStyle="1" w:styleId="110">
    <w:name w:val="正文1 Char1"/>
    <w:link w:val="109"/>
    <w:qFormat/>
    <w:uiPriority w:val="0"/>
    <w:rPr>
      <w:rFonts w:ascii="宋体" w:hAnsi="宋体" w:cs="Arial"/>
      <w:kern w:val="2"/>
      <w:sz w:val="24"/>
      <w:szCs w:val="24"/>
    </w:rPr>
  </w:style>
  <w:style w:type="paragraph" w:customStyle="1" w:styleId="111">
    <w:name w:val="三级标题"/>
    <w:basedOn w:val="4"/>
    <w:link w:val="112"/>
    <w:qFormat/>
    <w:uiPriority w:val="0"/>
    <w:pPr>
      <w:spacing w:before="0" w:after="0" w:line="360" w:lineRule="auto"/>
      <w:ind w:firstLine="602" w:firstLineChars="200"/>
    </w:pPr>
    <w:rPr>
      <w:sz w:val="30"/>
      <w:szCs w:val="30"/>
    </w:rPr>
  </w:style>
  <w:style w:type="character" w:customStyle="1" w:styleId="112">
    <w:name w:val="三级标题 字符"/>
    <w:link w:val="111"/>
    <w:qFormat/>
    <w:uiPriority w:val="0"/>
    <w:rPr>
      <w:b/>
      <w:bCs/>
      <w:kern w:val="2"/>
      <w:sz w:val="30"/>
      <w:szCs w:val="30"/>
    </w:rPr>
  </w:style>
  <w:style w:type="paragraph" w:customStyle="1" w:styleId="113">
    <w:name w:val="设计表内文字"/>
    <w:basedOn w:val="1"/>
    <w:link w:val="114"/>
    <w:qFormat/>
    <w:uiPriority w:val="0"/>
    <w:pPr>
      <w:adjustRightInd w:val="0"/>
      <w:snapToGrid w:val="0"/>
      <w:jc w:val="center"/>
    </w:pPr>
    <w:rPr>
      <w:sz w:val="24"/>
      <w:szCs w:val="21"/>
    </w:rPr>
  </w:style>
  <w:style w:type="character" w:customStyle="1" w:styleId="114">
    <w:name w:val="设计表内文字 字符"/>
    <w:link w:val="113"/>
    <w:qFormat/>
    <w:uiPriority w:val="0"/>
    <w:rPr>
      <w:kern w:val="2"/>
      <w:sz w:val="24"/>
      <w:szCs w:val="21"/>
    </w:rPr>
  </w:style>
  <w:style w:type="table" w:customStyle="1" w:styleId="115">
    <w:name w:val="网格型1"/>
    <w:basedOn w:val="30"/>
    <w:qFormat/>
    <w:uiPriority w:val="59"/>
    <w:rPr>
      <w:rFonts w:eastAsia="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customStyle="1" w:styleId="116">
    <w:name w:val="表文字"/>
    <w:basedOn w:val="103"/>
    <w:qFormat/>
    <w:uiPriority w:val="0"/>
    <w:pPr>
      <w:spacing w:line="240" w:lineRule="auto"/>
    </w:pPr>
    <w:rPr>
      <w:b w:val="0"/>
      <w:kern w:val="2"/>
      <w:sz w:val="24"/>
      <w:szCs w:val="21"/>
    </w:rPr>
  </w:style>
  <w:style w:type="table" w:customStyle="1" w:styleId="117">
    <w:name w:val="网格型2"/>
    <w:basedOn w:val="3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18">
    <w:name w:val="正W"/>
    <w:basedOn w:val="1"/>
    <w:qFormat/>
    <w:uiPriority w:val="0"/>
    <w:pPr>
      <w:adjustRightInd w:val="0"/>
      <w:snapToGrid w:val="0"/>
      <w:spacing w:line="500" w:lineRule="exact"/>
      <w:ind w:firstLine="964" w:firstLineChars="200"/>
    </w:pPr>
    <w:rPr>
      <w:rFonts w:ascii="宋体" w:hAnsi="宋体"/>
      <w:sz w:val="28"/>
      <w:szCs w:val="28"/>
    </w:rPr>
  </w:style>
  <w:style w:type="paragraph" w:customStyle="1" w:styleId="119">
    <w:name w:val="序号 2"/>
    <w:qFormat/>
    <w:uiPriority w:val="0"/>
    <w:pPr>
      <w:numPr>
        <w:ilvl w:val="0"/>
        <w:numId w:val="4"/>
      </w:numPr>
      <w:spacing w:line="360" w:lineRule="auto"/>
      <w:jc w:val="both"/>
    </w:pPr>
    <w:rPr>
      <w:rFonts w:ascii="Times New Roman" w:hAnsi="Times New Roman" w:eastAsia="宋体" w:cs="Times New Roman"/>
      <w:kern w:val="2"/>
      <w:sz w:val="28"/>
      <w:szCs w:val="28"/>
      <w:lang w:val="en-US" w:eastAsia="zh-CN" w:bidi="ar-SA"/>
    </w:rPr>
  </w:style>
  <w:style w:type="paragraph" w:customStyle="1" w:styleId="120">
    <w:name w:val="00表格"/>
    <w:basedOn w:val="1"/>
    <w:next w:val="1"/>
    <w:qFormat/>
    <w:uiPriority w:val="0"/>
    <w:pPr>
      <w:widowControl/>
      <w:spacing w:line="240" w:lineRule="auto"/>
      <w:ind w:firstLine="0" w:firstLineChars="0"/>
      <w:jc w:val="center"/>
    </w:pPr>
    <w:rPr>
      <w:kern w:val="0"/>
      <w:sz w:val="24"/>
      <w:szCs w:val="21"/>
    </w:rPr>
  </w:style>
  <w:style w:type="table" w:customStyle="1" w:styleId="121">
    <w:name w:val="Table Normal"/>
    <w:unhideWhenUsed/>
    <w:qFormat/>
    <w:uiPriority w:val="0"/>
    <w:rPr>
      <w:rFonts w:ascii="Arial" w:hAnsi="Arial" w:eastAsia="宋体" w:cs="Arial"/>
    </w:rPr>
    <w:tblPr>
      <w:tblCellMar>
        <w:top w:w="0" w:type="dxa"/>
        <w:left w:w="0" w:type="dxa"/>
        <w:bottom w:w="0" w:type="dxa"/>
        <w:right w:w="0" w:type="dxa"/>
      </w:tblCellMar>
    </w:tblPr>
  </w:style>
  <w:style w:type="paragraph" w:customStyle="1" w:styleId="122">
    <w:name w:val="标题4"/>
    <w:basedOn w:val="1"/>
    <w:next w:val="1"/>
    <w:qFormat/>
    <w:uiPriority w:val="0"/>
    <w:pPr>
      <w:keepNext/>
      <w:keepLines/>
      <w:ind w:firstLine="200"/>
      <w:outlineLvl w:val="3"/>
    </w:pPr>
    <w:rPr>
      <w:b/>
    </w:rPr>
  </w:style>
  <w:style w:type="paragraph" w:customStyle="1" w:styleId="123">
    <w:name w:val="无间隔1"/>
    <w:basedOn w:val="103"/>
    <w:qFormat/>
    <w:uiPriority w:val="0"/>
    <w:pPr>
      <w:spacing w:line="240" w:lineRule="auto"/>
    </w:pPr>
    <w:rPr>
      <w:rFonts w:cs="Times New Roman"/>
      <w:b w:val="0"/>
      <w:kern w:val="2"/>
      <w:sz w:val="24"/>
      <w:szCs w:val="21"/>
    </w:rPr>
  </w:style>
  <w:style w:type="paragraph" w:customStyle="1" w:styleId="124">
    <w:name w:val="图片"/>
    <w:basedOn w:val="1"/>
    <w:qFormat/>
    <w:uiPriority w:val="7"/>
    <w:pPr>
      <w:ind w:firstLine="0" w:firstLineChars="0"/>
      <w:jc w:val="center"/>
    </w:pPr>
    <w:rPr>
      <w:kern w:val="0"/>
      <w:szCs w:val="20"/>
    </w:rPr>
  </w:style>
  <w:style w:type="character" w:customStyle="1" w:styleId="125">
    <w:name w:val="Font Style18"/>
    <w:autoRedefine/>
    <w:qFormat/>
    <w:uiPriority w:val="0"/>
    <w:rPr>
      <w:rFonts w:ascii="宋体" w:eastAsia="宋体" w:cs="宋体"/>
      <w:b/>
      <w:bCs/>
      <w:sz w:val="28"/>
      <w:szCs w:val="28"/>
    </w:rPr>
  </w:style>
  <w:style w:type="character" w:customStyle="1" w:styleId="126">
    <w:name w:val="表头 Char1"/>
    <w:link w:val="103"/>
    <w:qFormat/>
    <w:uiPriority w:val="4"/>
    <w:rPr>
      <w:rFonts w:cs="宋体"/>
      <w:b/>
      <w:sz w:val="24"/>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footer" Target="footer2.xml"/><Relationship Id="rId7" Type="http://schemas.openxmlformats.org/officeDocument/2006/relationships/header" Target="header4.xml"/><Relationship Id="rId6" Type="http://schemas.openxmlformats.org/officeDocument/2006/relationships/header" Target="header3.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numbering" Target="numbering.xml"/><Relationship Id="rId18" Type="http://schemas.openxmlformats.org/officeDocument/2006/relationships/customXml" Target="../customXml/item1.xml"/><Relationship Id="rId17" Type="http://schemas.openxmlformats.org/officeDocument/2006/relationships/image" Target="media/image3.png"/><Relationship Id="rId16" Type="http://schemas.openxmlformats.org/officeDocument/2006/relationships/theme" Target="theme/theme1.xml"/><Relationship Id="rId15" Type="http://schemas.openxmlformats.org/officeDocument/2006/relationships/footer" Target="footer7.xml"/><Relationship Id="rId14" Type="http://schemas.openxmlformats.org/officeDocument/2006/relationships/footer" Target="footer6.xml"/><Relationship Id="rId13" Type="http://schemas.openxmlformats.org/officeDocument/2006/relationships/header" Target="header6.xml"/><Relationship Id="rId12" Type="http://schemas.openxmlformats.org/officeDocument/2006/relationships/footer" Target="footer5.xml"/><Relationship Id="rId11" Type="http://schemas.openxmlformats.org/officeDocument/2006/relationships/footer" Target="footer4.xml"/><Relationship Id="rId10" Type="http://schemas.openxmlformats.org/officeDocument/2006/relationships/header" Target="header5.xml"/><Relationship Id="rId1" Type="http://schemas.openxmlformats.org/officeDocument/2006/relationships/styles" Target="styles.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_rels/footer4.xml.rels><?xml version="1.0" encoding="UTF-8" standalone="yes"?>
<Relationships xmlns="http://schemas.openxmlformats.org/package/2006/relationships"><Relationship Id="rId1" Type="http://schemas.openxmlformats.org/officeDocument/2006/relationships/image" Target="media/image1.png"/></Relationships>
</file>

<file path=word/_rels/footer6.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81</Pages>
  <Words>11553</Words>
  <Characters>14762</Characters>
  <Lines>758</Lines>
  <Paragraphs>213</Paragraphs>
  <TotalTime>27</TotalTime>
  <ScaleCrop>false</ScaleCrop>
  <LinksUpToDate>false</LinksUpToDate>
  <CharactersWithSpaces>14856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2023-05-29T08:02:00Z</dcterms:created>
  <dc:creator>chen-pc</dc:creator>
  <cp:lastModifiedBy>赵健威</cp:lastModifiedBy>
  <cp:lastPrinted>2024-07-11T06:15:00Z</cp:lastPrinted>
  <dcterms:modified xsi:type="dcterms:W3CDTF">2026-08-05T08:19:56Z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AF69B9C9900747C599E37A71FE3D683A_13</vt:lpwstr>
  </property>
  <property fmtid="{D5CDD505-2E9C-101B-9397-08002B2CF9AE}" pid="4" name="KSOTemplateDocerSaveRecord">
    <vt:lpwstr>eyJoZGlkIjoiYTBiZWQwMTQ1NjNmOTA1MTM1YjQ1ZTY3ZTU0NjRkNzciLCJ1c2VySWQiOiI0MDE3ODY4MDgifQ==</vt:lpwstr>
  </property>
</Properties>
</file>