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AA713">
      <w:pPr>
        <w:adjustRightInd w:val="0"/>
        <w:snapToGrid w:val="0"/>
        <w:spacing w:line="360" w:lineRule="auto"/>
        <w:jc w:val="center"/>
        <w:rPr>
          <w:rFonts w:ascii="Times New Roman" w:hAnsi="Times New Roman" w:eastAsia="宋体" w:cs="Times New Roman"/>
          <w:color w:val="000000" w:themeColor="text1"/>
          <w:lang w:val="en-GB"/>
          <w14:textFill>
            <w14:solidFill>
              <w14:schemeClr w14:val="tx1"/>
            </w14:solidFill>
          </w14:textFill>
        </w:rPr>
      </w:pPr>
    </w:p>
    <w:p w14:paraId="519AE64B">
      <w:pPr>
        <w:adjustRightInd w:val="0"/>
        <w:snapToGrid w:val="0"/>
        <w:spacing w:line="360" w:lineRule="auto"/>
        <w:jc w:val="center"/>
        <w:rPr>
          <w:rFonts w:ascii="Times New Roman" w:hAnsi="Times New Roman" w:eastAsia="宋体" w:cs="Times New Roman"/>
          <w:color w:val="000000" w:themeColor="text1"/>
          <w:lang w:val="en-GB"/>
          <w14:textFill>
            <w14:solidFill>
              <w14:schemeClr w14:val="tx1"/>
            </w14:solidFill>
          </w14:textFill>
        </w:rPr>
      </w:pPr>
    </w:p>
    <w:p w14:paraId="5D6B3864">
      <w:pPr>
        <w:adjustRightInd w:val="0"/>
        <w:snapToGrid w:val="0"/>
        <w:spacing w:line="360" w:lineRule="auto"/>
        <w:jc w:val="center"/>
        <w:rPr>
          <w:rFonts w:ascii="Times New Roman" w:hAnsi="Times New Roman" w:eastAsia="宋体" w:cs="Times New Roman"/>
          <w:color w:val="000000" w:themeColor="text1"/>
          <w:lang w:val="en-GB"/>
          <w14:textFill>
            <w14:solidFill>
              <w14:schemeClr w14:val="tx1"/>
            </w14:solidFill>
          </w14:textFill>
        </w:rPr>
      </w:pPr>
    </w:p>
    <w:p w14:paraId="6E98E06D">
      <w:pPr>
        <w:adjustRightInd w:val="0"/>
        <w:snapToGrid w:val="0"/>
        <w:spacing w:line="360" w:lineRule="auto"/>
        <w:jc w:val="center"/>
        <w:rPr>
          <w:rFonts w:ascii="Times New Roman" w:hAnsi="Times New Roman" w:eastAsia="宋体" w:cs="Times New Roman"/>
          <w:b/>
          <w:spacing w:val="-20"/>
          <w:sz w:val="44"/>
          <w:szCs w:val="44"/>
        </w:rPr>
      </w:pPr>
      <w:r>
        <w:rPr>
          <w:rFonts w:ascii="Times New Roman" w:hAnsi="Times New Roman" w:eastAsia="宋体" w:cs="Times New Roman"/>
          <w:b/>
          <w:spacing w:val="-20"/>
          <w:sz w:val="44"/>
          <w:szCs w:val="44"/>
        </w:rPr>
        <w:t>盐津开源矿业有限公司</w:t>
      </w:r>
    </w:p>
    <w:p w14:paraId="18DA8559">
      <w:pPr>
        <w:adjustRightInd w:val="0"/>
        <w:snapToGrid w:val="0"/>
        <w:spacing w:line="360" w:lineRule="auto"/>
        <w:jc w:val="center"/>
        <w:rPr>
          <w:rFonts w:ascii="Times New Roman" w:hAnsi="Times New Roman" w:eastAsia="宋体" w:cs="Times New Roman"/>
          <w:b/>
          <w:color w:val="000000" w:themeColor="text1"/>
          <w:sz w:val="44"/>
          <w:szCs w:val="44"/>
          <w:lang w:val="en-GB"/>
          <w14:textFill>
            <w14:solidFill>
              <w14:schemeClr w14:val="tx1"/>
            </w14:solidFill>
          </w14:textFill>
        </w:rPr>
      </w:pPr>
      <w:r>
        <w:rPr>
          <w:rFonts w:ascii="Times New Roman" w:hAnsi="Times New Roman" w:eastAsia="宋体" w:cs="Times New Roman"/>
          <w:b/>
          <w:spacing w:val="-20"/>
          <w:sz w:val="44"/>
          <w:szCs w:val="44"/>
        </w:rPr>
        <w:t>盐津县桃子坝采石场90万t／a露天采矿工程</w:t>
      </w:r>
    </w:p>
    <w:p w14:paraId="0EAF9745">
      <w:pPr>
        <w:adjustRightInd w:val="0"/>
        <w:snapToGrid w:val="0"/>
        <w:spacing w:line="360" w:lineRule="auto"/>
        <w:jc w:val="center"/>
        <w:rPr>
          <w:rFonts w:ascii="Times New Roman" w:hAnsi="Times New Roman" w:eastAsia="宋体" w:cs="Times New Roman"/>
          <w:b/>
          <w:color w:val="000000" w:themeColor="text1"/>
          <w:sz w:val="52"/>
          <w:szCs w:val="52"/>
          <w:lang w:val="en-GB"/>
          <w14:textFill>
            <w14:solidFill>
              <w14:schemeClr w14:val="tx1"/>
            </w14:solidFill>
          </w14:textFill>
        </w:rPr>
      </w:pPr>
      <w:r>
        <w:rPr>
          <w:rFonts w:ascii="Times New Roman" w:hAnsi="Times New Roman" w:eastAsia="宋体" w:cs="Times New Roman"/>
          <w:b/>
          <w:color w:val="000000" w:themeColor="text1"/>
          <w:sz w:val="52"/>
          <w:szCs w:val="52"/>
          <w:lang w:val="en-GB"/>
          <w14:textFill>
            <w14:solidFill>
              <w14:schemeClr w14:val="tx1"/>
            </w14:solidFill>
          </w14:textFill>
        </w:rPr>
        <w:t>安全预评价报告</w:t>
      </w:r>
    </w:p>
    <w:p w14:paraId="2ECA4439">
      <w:pPr>
        <w:adjustRightInd w:val="0"/>
        <w:snapToGrid w:val="0"/>
        <w:spacing w:line="360" w:lineRule="auto"/>
        <w:jc w:val="center"/>
        <w:rPr>
          <w:rFonts w:ascii="Times New Roman" w:hAnsi="Times New Roman" w:eastAsia="宋体" w:cs="Times New Roman"/>
          <w:color w:val="000000" w:themeColor="text1"/>
          <w:lang w:val="en-GB"/>
          <w14:textFill>
            <w14:solidFill>
              <w14:schemeClr w14:val="tx1"/>
            </w14:solidFill>
          </w14:textFill>
        </w:rPr>
      </w:pPr>
    </w:p>
    <w:p w14:paraId="5F9DAACE">
      <w:pPr>
        <w:adjustRightInd w:val="0"/>
        <w:snapToGrid w:val="0"/>
        <w:spacing w:line="360" w:lineRule="auto"/>
        <w:jc w:val="center"/>
        <w:rPr>
          <w:rFonts w:ascii="Times New Roman" w:hAnsi="Times New Roman" w:eastAsia="宋体" w:cs="Times New Roman"/>
          <w:color w:val="000000" w:themeColor="text1"/>
          <w:lang w:val="en-GB"/>
          <w14:textFill>
            <w14:solidFill>
              <w14:schemeClr w14:val="tx1"/>
            </w14:solidFill>
          </w14:textFill>
        </w:rPr>
      </w:pPr>
    </w:p>
    <w:p w14:paraId="720CC63D">
      <w:pPr>
        <w:adjustRightInd w:val="0"/>
        <w:snapToGrid w:val="0"/>
        <w:spacing w:line="360" w:lineRule="auto"/>
        <w:jc w:val="center"/>
        <w:rPr>
          <w:rFonts w:ascii="Times New Roman" w:hAnsi="Times New Roman" w:eastAsia="宋体" w:cs="Times New Roman"/>
          <w:color w:val="000000" w:themeColor="text1"/>
          <w:lang w:val="en-GB"/>
          <w14:textFill>
            <w14:solidFill>
              <w14:schemeClr w14:val="tx1"/>
            </w14:solidFill>
          </w14:textFill>
        </w:rPr>
      </w:pPr>
    </w:p>
    <w:p w14:paraId="0771EE65">
      <w:pPr>
        <w:pStyle w:val="12"/>
        <w:adjustRightInd w:val="0"/>
        <w:snapToGrid w:val="0"/>
        <w:spacing w:line="360" w:lineRule="auto"/>
        <w:jc w:val="center"/>
        <w:rPr>
          <w:rFonts w:ascii="Times New Roman" w:hAnsi="Times New Roman" w:eastAsia="宋体" w:cs="Times New Roman"/>
          <w:color w:val="000000" w:themeColor="text1"/>
          <w:lang w:val="en-GB"/>
          <w14:textFill>
            <w14:solidFill>
              <w14:schemeClr w14:val="tx1"/>
            </w14:solidFill>
          </w14:textFill>
        </w:rPr>
      </w:pPr>
    </w:p>
    <w:p w14:paraId="0A8FC103">
      <w:pPr>
        <w:pStyle w:val="12"/>
        <w:adjustRightInd w:val="0"/>
        <w:snapToGrid w:val="0"/>
        <w:spacing w:line="360" w:lineRule="auto"/>
        <w:jc w:val="center"/>
        <w:rPr>
          <w:rFonts w:ascii="Times New Roman" w:hAnsi="Times New Roman" w:eastAsia="宋体" w:cs="Times New Roman"/>
          <w:color w:val="000000" w:themeColor="text1"/>
          <w:lang w:val="en-GB"/>
          <w14:textFill>
            <w14:solidFill>
              <w14:schemeClr w14:val="tx1"/>
            </w14:solidFill>
          </w14:textFill>
        </w:rPr>
      </w:pPr>
    </w:p>
    <w:p w14:paraId="0BB8C523">
      <w:pPr>
        <w:pStyle w:val="12"/>
        <w:adjustRightInd w:val="0"/>
        <w:snapToGrid w:val="0"/>
        <w:spacing w:line="360" w:lineRule="auto"/>
        <w:jc w:val="center"/>
        <w:rPr>
          <w:rFonts w:ascii="Times New Roman" w:hAnsi="Times New Roman" w:eastAsia="宋体" w:cs="Times New Roman"/>
          <w:color w:val="000000" w:themeColor="text1"/>
          <w:lang w:val="en-GB"/>
          <w14:textFill>
            <w14:solidFill>
              <w14:schemeClr w14:val="tx1"/>
            </w14:solidFill>
          </w14:textFill>
        </w:rPr>
      </w:pPr>
    </w:p>
    <w:p w14:paraId="3C931AC0">
      <w:pPr>
        <w:pStyle w:val="12"/>
        <w:adjustRightInd w:val="0"/>
        <w:snapToGrid w:val="0"/>
        <w:spacing w:line="360" w:lineRule="auto"/>
        <w:jc w:val="center"/>
        <w:rPr>
          <w:rFonts w:ascii="Times New Roman" w:hAnsi="Times New Roman" w:eastAsia="宋体" w:cs="Times New Roman"/>
          <w:color w:val="000000" w:themeColor="text1"/>
          <w:lang w:val="en-GB"/>
          <w14:textFill>
            <w14:solidFill>
              <w14:schemeClr w14:val="tx1"/>
            </w14:solidFill>
          </w14:textFill>
        </w:rPr>
      </w:pPr>
    </w:p>
    <w:p w14:paraId="4DBD3121">
      <w:pPr>
        <w:pStyle w:val="12"/>
        <w:adjustRightInd w:val="0"/>
        <w:snapToGrid w:val="0"/>
        <w:spacing w:line="360" w:lineRule="auto"/>
        <w:jc w:val="center"/>
        <w:rPr>
          <w:rFonts w:ascii="Times New Roman" w:hAnsi="Times New Roman" w:eastAsia="宋体" w:cs="Times New Roman"/>
          <w:color w:val="000000" w:themeColor="text1"/>
          <w:lang w:val="en-GB"/>
          <w14:textFill>
            <w14:solidFill>
              <w14:schemeClr w14:val="tx1"/>
            </w14:solidFill>
          </w14:textFill>
        </w:rPr>
      </w:pPr>
    </w:p>
    <w:p w14:paraId="559EBB88">
      <w:pPr>
        <w:pStyle w:val="12"/>
        <w:adjustRightInd w:val="0"/>
        <w:snapToGrid w:val="0"/>
        <w:spacing w:line="360" w:lineRule="auto"/>
        <w:jc w:val="center"/>
        <w:rPr>
          <w:rFonts w:ascii="Times New Roman" w:hAnsi="Times New Roman" w:eastAsia="宋体" w:cs="Times New Roman"/>
          <w:color w:val="000000" w:themeColor="text1"/>
          <w:lang w:val="en-GB"/>
          <w14:textFill>
            <w14:solidFill>
              <w14:schemeClr w14:val="tx1"/>
            </w14:solidFill>
          </w14:textFill>
        </w:rPr>
      </w:pPr>
    </w:p>
    <w:p w14:paraId="0A0B3F80">
      <w:pPr>
        <w:pStyle w:val="12"/>
        <w:adjustRightInd w:val="0"/>
        <w:snapToGrid w:val="0"/>
        <w:spacing w:line="360" w:lineRule="auto"/>
        <w:jc w:val="center"/>
        <w:rPr>
          <w:rFonts w:ascii="Times New Roman" w:hAnsi="Times New Roman" w:eastAsia="宋体" w:cs="Times New Roman"/>
          <w:color w:val="000000" w:themeColor="text1"/>
          <w:lang w:val="en-GB"/>
          <w14:textFill>
            <w14:solidFill>
              <w14:schemeClr w14:val="tx1"/>
            </w14:solidFill>
          </w14:textFill>
        </w:rPr>
      </w:pPr>
    </w:p>
    <w:p w14:paraId="27F37E9D">
      <w:pPr>
        <w:pStyle w:val="12"/>
        <w:adjustRightInd w:val="0"/>
        <w:snapToGrid w:val="0"/>
        <w:spacing w:line="360" w:lineRule="auto"/>
        <w:jc w:val="center"/>
        <w:rPr>
          <w:rFonts w:ascii="Times New Roman" w:hAnsi="Times New Roman" w:eastAsia="宋体" w:cs="Times New Roman"/>
          <w:color w:val="000000" w:themeColor="text1"/>
          <w:lang w:val="en-GB"/>
          <w14:textFill>
            <w14:solidFill>
              <w14:schemeClr w14:val="tx1"/>
            </w14:solidFill>
          </w14:textFill>
        </w:rPr>
      </w:pPr>
    </w:p>
    <w:p w14:paraId="40945564">
      <w:pPr>
        <w:pStyle w:val="12"/>
        <w:adjustRightInd w:val="0"/>
        <w:snapToGrid w:val="0"/>
        <w:spacing w:line="360" w:lineRule="auto"/>
        <w:jc w:val="center"/>
        <w:rPr>
          <w:rFonts w:ascii="Times New Roman" w:hAnsi="Times New Roman" w:eastAsia="宋体" w:cs="Times New Roman"/>
          <w:color w:val="000000" w:themeColor="text1"/>
          <w:lang w:val="en-GB"/>
          <w14:textFill>
            <w14:solidFill>
              <w14:schemeClr w14:val="tx1"/>
            </w14:solidFill>
          </w14:textFill>
        </w:rPr>
      </w:pPr>
    </w:p>
    <w:p w14:paraId="615EAA9C">
      <w:pPr>
        <w:pStyle w:val="12"/>
        <w:adjustRightInd w:val="0"/>
        <w:snapToGrid w:val="0"/>
        <w:spacing w:line="360" w:lineRule="auto"/>
        <w:jc w:val="center"/>
        <w:rPr>
          <w:rFonts w:ascii="Times New Roman" w:hAnsi="Times New Roman" w:eastAsia="宋体" w:cs="Times New Roman"/>
          <w:color w:val="000000" w:themeColor="text1"/>
          <w:lang w:val="en-GB"/>
          <w14:textFill>
            <w14:solidFill>
              <w14:schemeClr w14:val="tx1"/>
            </w14:solidFill>
          </w14:textFill>
        </w:rPr>
      </w:pPr>
    </w:p>
    <w:p w14:paraId="5354488B">
      <w:pPr>
        <w:pStyle w:val="12"/>
        <w:adjustRightInd w:val="0"/>
        <w:snapToGrid w:val="0"/>
        <w:spacing w:line="360" w:lineRule="auto"/>
        <w:jc w:val="center"/>
        <w:rPr>
          <w:rFonts w:ascii="Times New Roman" w:hAnsi="Times New Roman" w:eastAsia="宋体" w:cs="Times New Roman"/>
          <w:color w:val="000000" w:themeColor="text1"/>
          <w:lang w:val="en-GB"/>
          <w14:textFill>
            <w14:solidFill>
              <w14:schemeClr w14:val="tx1"/>
            </w14:solidFill>
          </w14:textFill>
        </w:rPr>
      </w:pPr>
    </w:p>
    <w:p w14:paraId="7197075E">
      <w:pPr>
        <w:pStyle w:val="12"/>
        <w:adjustRightInd w:val="0"/>
        <w:snapToGrid w:val="0"/>
        <w:spacing w:line="360" w:lineRule="auto"/>
        <w:jc w:val="center"/>
        <w:rPr>
          <w:rFonts w:ascii="Times New Roman" w:hAnsi="Times New Roman" w:eastAsia="宋体" w:cs="Times New Roman"/>
          <w:color w:val="000000" w:themeColor="text1"/>
          <w:lang w:val="en-GB"/>
          <w14:textFill>
            <w14:solidFill>
              <w14:schemeClr w14:val="tx1"/>
            </w14:solidFill>
          </w14:textFill>
        </w:rPr>
      </w:pPr>
    </w:p>
    <w:p w14:paraId="40B279B0">
      <w:pPr>
        <w:adjustRightInd w:val="0"/>
        <w:snapToGrid w:val="0"/>
        <w:spacing w:line="360" w:lineRule="auto"/>
        <w:jc w:val="center"/>
        <w:rPr>
          <w:rFonts w:ascii="Times New Roman" w:hAnsi="Times New Roman" w:eastAsia="宋体" w:cs="Times New Roman"/>
          <w:color w:val="000000" w:themeColor="text1"/>
          <w:lang w:val="en-GB"/>
          <w14:textFill>
            <w14:solidFill>
              <w14:schemeClr w14:val="tx1"/>
            </w14:solidFill>
          </w14:textFill>
        </w:rPr>
      </w:pPr>
    </w:p>
    <w:p w14:paraId="7CE23467">
      <w:pPr>
        <w:adjustRightInd w:val="0"/>
        <w:snapToGrid w:val="0"/>
        <w:spacing w:line="360" w:lineRule="auto"/>
        <w:jc w:val="center"/>
        <w:rPr>
          <w:rFonts w:ascii="Times New Roman" w:hAnsi="Times New Roman" w:eastAsia="宋体" w:cs="Times New Roman"/>
          <w:b/>
          <w:color w:val="000000" w:themeColor="text1"/>
          <w:sz w:val="44"/>
          <w:szCs w:val="44"/>
          <w:lang w:val="en-GB"/>
          <w14:textFill>
            <w14:solidFill>
              <w14:schemeClr w14:val="tx1"/>
            </w14:solidFill>
          </w14:textFill>
        </w:rPr>
      </w:pPr>
      <w:r>
        <w:rPr>
          <w:rFonts w:ascii="Times New Roman" w:hAnsi="Times New Roman" w:eastAsia="宋体" w:cs="Times New Roman"/>
          <w:b/>
          <w:color w:val="000000" w:themeColor="text1"/>
          <w:sz w:val="44"/>
          <w:szCs w:val="44"/>
          <w:lang w:val="en-GB"/>
          <w14:textFill>
            <w14:solidFill>
              <w14:schemeClr w14:val="tx1"/>
            </w14:solidFill>
          </w14:textFill>
        </w:rPr>
        <w:t>辽宁诺诚安全科技有限公司</w:t>
      </w:r>
    </w:p>
    <w:p w14:paraId="483B350A">
      <w:pPr>
        <w:adjustRightInd w:val="0"/>
        <w:snapToGrid w:val="0"/>
        <w:spacing w:line="360" w:lineRule="auto"/>
        <w:jc w:val="center"/>
        <w:rPr>
          <w:rFonts w:ascii="Times New Roman" w:hAnsi="Times New Roman" w:eastAsia="宋体" w:cs="Times New Roman"/>
          <w:b/>
          <w:color w:val="000000" w:themeColor="text1"/>
          <w:sz w:val="32"/>
          <w:szCs w:val="32"/>
          <w:lang w:val="en-GB"/>
          <w14:textFill>
            <w14:solidFill>
              <w14:schemeClr w14:val="tx1"/>
            </w14:solidFill>
          </w14:textFill>
        </w:rPr>
      </w:pPr>
      <w:r>
        <w:rPr>
          <w:rFonts w:ascii="Times New Roman" w:hAnsi="Times New Roman" w:eastAsia="宋体" w:cs="Times New Roman"/>
          <w:b/>
          <w:color w:val="000000" w:themeColor="text1"/>
          <w:sz w:val="32"/>
          <w:szCs w:val="32"/>
          <w:lang w:val="en-GB"/>
          <w14:textFill>
            <w14:solidFill>
              <w14:schemeClr w14:val="tx1"/>
            </w14:solidFill>
          </w14:textFill>
        </w:rPr>
        <w:t>资质证书编号：</w:t>
      </w:r>
      <w:r>
        <w:rPr>
          <w:rFonts w:ascii="Times New Roman" w:hAnsi="Times New Roman" w:eastAsia="宋体" w:cs="Times New Roman"/>
          <w:b/>
          <w:color w:val="000000"/>
          <w:sz w:val="32"/>
          <w:szCs w:val="32"/>
        </w:rPr>
        <w:t>APJ-（</w:t>
      </w:r>
      <w:r>
        <w:rPr>
          <w:rFonts w:ascii="Times New Roman" w:hAnsi="Times New Roman" w:cs="Times New Roman"/>
          <w:b/>
          <w:color w:val="000000"/>
          <w:sz w:val="32"/>
          <w:szCs w:val="32"/>
        </w:rPr>
        <w:t>辽</w:t>
      </w:r>
      <w:r>
        <w:rPr>
          <w:rFonts w:ascii="Times New Roman" w:hAnsi="Times New Roman" w:eastAsia="宋体" w:cs="Times New Roman"/>
          <w:b/>
          <w:color w:val="000000"/>
          <w:sz w:val="32"/>
          <w:szCs w:val="32"/>
        </w:rPr>
        <w:t>）-</w:t>
      </w:r>
      <w:r>
        <w:rPr>
          <w:rFonts w:ascii="Times New Roman" w:hAnsi="Times New Roman" w:cs="Times New Roman"/>
          <w:b/>
          <w:color w:val="000000"/>
          <w:sz w:val="32"/>
          <w:szCs w:val="32"/>
        </w:rPr>
        <w:t>021</w:t>
      </w:r>
    </w:p>
    <w:p w14:paraId="110D8FC8">
      <w:pPr>
        <w:adjustRightInd w:val="0"/>
        <w:snapToGrid w:val="0"/>
        <w:spacing w:line="360" w:lineRule="auto"/>
        <w:jc w:val="center"/>
        <w:rPr>
          <w:rFonts w:ascii="Times New Roman" w:hAnsi="Times New Roman" w:eastAsia="宋体" w:cs="Times New Roman"/>
          <w:color w:val="000000" w:themeColor="text1"/>
          <w:lang w:val="en-GB"/>
          <w14:textFill>
            <w14:solidFill>
              <w14:schemeClr w14:val="tx1"/>
            </w14:solidFill>
          </w14:textFill>
        </w:rPr>
      </w:pPr>
      <w:r>
        <w:rPr>
          <w:rFonts w:ascii="Times New Roman" w:hAnsi="Times New Roman" w:eastAsia="宋体" w:cs="Times New Roman"/>
          <w:b/>
          <w:color w:val="000000" w:themeColor="text1"/>
          <w:sz w:val="32"/>
          <w:szCs w:val="32"/>
          <w14:textFill>
            <w14:solidFill>
              <w14:schemeClr w14:val="tx1"/>
            </w14:solidFill>
          </w14:textFill>
        </w:rPr>
        <w:t>完成日期：2023</w:t>
      </w:r>
      <w:r>
        <w:rPr>
          <w:rFonts w:ascii="Times New Roman" w:hAnsi="Times New Roman" w:eastAsia="宋体" w:cs="Times New Roman"/>
          <w:b/>
          <w:color w:val="000000" w:themeColor="text1"/>
          <w:sz w:val="32"/>
          <w:szCs w:val="32"/>
          <w:lang w:val="en-GB"/>
          <w14:textFill>
            <w14:solidFill>
              <w14:schemeClr w14:val="tx1"/>
            </w14:solidFill>
          </w14:textFill>
        </w:rPr>
        <w:t>年</w:t>
      </w:r>
      <w:r>
        <w:rPr>
          <w:rFonts w:ascii="Times New Roman" w:hAnsi="Times New Roman" w:eastAsia="宋体" w:cs="Times New Roman"/>
          <w:b/>
          <w:color w:val="000000" w:themeColor="text1"/>
          <w:sz w:val="32"/>
          <w:szCs w:val="32"/>
          <w14:textFill>
            <w14:solidFill>
              <w14:schemeClr w14:val="tx1"/>
            </w14:solidFill>
          </w14:textFill>
        </w:rPr>
        <w:t>8</w:t>
      </w:r>
      <w:r>
        <w:rPr>
          <w:rFonts w:ascii="Times New Roman" w:hAnsi="Times New Roman" w:eastAsia="宋体" w:cs="Times New Roman"/>
          <w:b/>
          <w:color w:val="000000" w:themeColor="text1"/>
          <w:sz w:val="32"/>
          <w:szCs w:val="32"/>
          <w:lang w:val="en-GB"/>
          <w14:textFill>
            <w14:solidFill>
              <w14:schemeClr w14:val="tx1"/>
            </w14:solidFill>
          </w14:textFill>
        </w:rPr>
        <w:t>月</w:t>
      </w:r>
      <w:r>
        <w:rPr>
          <w:rFonts w:ascii="Times New Roman" w:hAnsi="Times New Roman" w:eastAsia="宋体" w:cs="Times New Roman"/>
          <w:b/>
          <w:color w:val="000000" w:themeColor="text1"/>
          <w:sz w:val="32"/>
          <w:szCs w:val="32"/>
          <w14:textFill>
            <w14:solidFill>
              <w14:schemeClr w14:val="tx1"/>
            </w14:solidFill>
          </w14:textFill>
        </w:rPr>
        <w:t>1</w:t>
      </w:r>
      <w:r>
        <w:rPr>
          <w:rFonts w:hint="eastAsia" w:ascii="Times New Roman" w:hAnsi="Times New Roman" w:eastAsia="宋体" w:cs="Times New Roman"/>
          <w:b/>
          <w:color w:val="000000" w:themeColor="text1"/>
          <w:sz w:val="32"/>
          <w:szCs w:val="32"/>
          <w:lang w:val="en-US" w:eastAsia="zh-CN"/>
          <w14:textFill>
            <w14:solidFill>
              <w14:schemeClr w14:val="tx1"/>
            </w14:solidFill>
          </w14:textFill>
        </w:rPr>
        <w:t>6</w:t>
      </w:r>
      <w:r>
        <w:rPr>
          <w:rFonts w:ascii="Times New Roman" w:hAnsi="Times New Roman" w:eastAsia="宋体" w:cs="Times New Roman"/>
          <w:b/>
          <w:color w:val="000000" w:themeColor="text1"/>
          <w:sz w:val="32"/>
          <w:szCs w:val="32"/>
          <w14:textFill>
            <w14:solidFill>
              <w14:schemeClr w14:val="tx1"/>
            </w14:solidFill>
          </w14:textFill>
        </w:rPr>
        <w:t>日</w:t>
      </w:r>
      <w:r>
        <w:rPr>
          <w:rFonts w:ascii="Times New Roman" w:hAnsi="Times New Roman" w:eastAsia="宋体" w:cs="Times New Roman"/>
          <w:color w:val="000000" w:themeColor="text1"/>
          <w:lang w:val="en-GB"/>
          <w14:textFill>
            <w14:solidFill>
              <w14:schemeClr w14:val="tx1"/>
            </w14:solidFill>
          </w14:textFill>
        </w:rPr>
        <w:br w:type="page"/>
      </w:r>
    </w:p>
    <w:p w14:paraId="1F5D932E">
      <w:pPr>
        <w:autoSpaceDE w:val="0"/>
        <w:autoSpaceDN w:val="0"/>
        <w:adjustRightInd w:val="0"/>
        <w:snapToGrid w:val="0"/>
        <w:jc w:val="left"/>
        <w:rPr>
          <w:rFonts w:ascii="Times New Roman" w:hAnsi="Times New Roman" w:eastAsia="宋体" w:cs="Times New Roman"/>
          <w:kern w:val="0"/>
          <w:sz w:val="20"/>
          <w:lang w:bidi="zh-CN"/>
        </w:rPr>
      </w:pPr>
    </w:p>
    <w:p w14:paraId="455B3138">
      <w:pPr>
        <w:autoSpaceDE w:val="0"/>
        <w:autoSpaceDN w:val="0"/>
        <w:adjustRightInd w:val="0"/>
        <w:snapToGrid w:val="0"/>
        <w:rPr>
          <w:rFonts w:ascii="Times New Roman" w:hAnsi="Times New Roman" w:eastAsia="宋体" w:cs="Times New Roman"/>
          <w:b/>
          <w:color w:val="000000"/>
          <w:sz w:val="28"/>
          <w:szCs w:val="28"/>
        </w:rPr>
      </w:pPr>
    </w:p>
    <w:p w14:paraId="5BD6AFE7">
      <w:pPr>
        <w:adjustRightInd w:val="0"/>
        <w:snapToGrid w:val="0"/>
        <w:spacing w:line="360" w:lineRule="auto"/>
        <w:jc w:val="right"/>
        <w:rPr>
          <w:rFonts w:ascii="Times New Roman" w:hAnsi="Times New Roman" w:eastAsia="宋体" w:cs="Times New Roman"/>
          <w:color w:val="000000" w:themeColor="text1"/>
          <w:sz w:val="28"/>
          <w:szCs w:val="32"/>
          <w:lang w:val="en-GB"/>
          <w14:textFill>
            <w14:solidFill>
              <w14:schemeClr w14:val="tx1"/>
            </w14:solidFill>
          </w14:textFill>
        </w:rPr>
      </w:pPr>
      <w:r>
        <w:rPr>
          <w:rFonts w:ascii="Times New Roman" w:hAnsi="Times New Roman" w:eastAsia="宋体" w:cs="Times New Roman"/>
          <w:color w:val="000000" w:themeColor="text1"/>
          <w:sz w:val="28"/>
          <w:szCs w:val="32"/>
          <w:lang w:val="en-GB"/>
          <w14:textFill>
            <w14:solidFill>
              <w14:schemeClr w14:val="tx1"/>
            </w14:solidFill>
          </w14:textFill>
        </w:rPr>
        <w:t>NCAP/KS-YP-2023-022</w:t>
      </w:r>
    </w:p>
    <w:p w14:paraId="34173283">
      <w:pPr>
        <w:adjustRightInd w:val="0"/>
        <w:snapToGrid w:val="0"/>
        <w:spacing w:line="360" w:lineRule="auto"/>
        <w:rPr>
          <w:rFonts w:ascii="Times New Roman" w:hAnsi="Times New Roman" w:eastAsia="宋体" w:cs="Times New Roman"/>
          <w:color w:val="000000" w:themeColor="text1"/>
          <w:lang w:val="en-GB"/>
          <w14:textFill>
            <w14:solidFill>
              <w14:schemeClr w14:val="tx1"/>
            </w14:solidFill>
          </w14:textFill>
        </w:rPr>
      </w:pPr>
    </w:p>
    <w:p w14:paraId="5DB0BD04">
      <w:pPr>
        <w:adjustRightInd w:val="0"/>
        <w:snapToGrid w:val="0"/>
        <w:spacing w:line="360" w:lineRule="auto"/>
        <w:rPr>
          <w:rFonts w:ascii="Times New Roman" w:hAnsi="Times New Roman" w:eastAsia="宋体" w:cs="Times New Roman"/>
          <w:color w:val="000000" w:themeColor="text1"/>
          <w:lang w:val="en-GB"/>
          <w14:textFill>
            <w14:solidFill>
              <w14:schemeClr w14:val="tx1"/>
            </w14:solidFill>
          </w14:textFill>
        </w:rPr>
      </w:pPr>
    </w:p>
    <w:p w14:paraId="12D7F418">
      <w:pPr>
        <w:adjustRightInd w:val="0"/>
        <w:snapToGrid w:val="0"/>
        <w:spacing w:line="360" w:lineRule="auto"/>
        <w:jc w:val="center"/>
        <w:rPr>
          <w:rFonts w:ascii="Times New Roman" w:hAnsi="Times New Roman" w:eastAsia="宋体" w:cs="Times New Roman"/>
          <w:b/>
          <w:color w:val="000000" w:themeColor="text1"/>
          <w:sz w:val="32"/>
          <w:szCs w:val="32"/>
          <w:lang w:val="en-GB"/>
          <w14:textFill>
            <w14:solidFill>
              <w14:schemeClr w14:val="tx1"/>
            </w14:solidFill>
          </w14:textFill>
        </w:rPr>
      </w:pPr>
      <w:r>
        <w:rPr>
          <w:rFonts w:ascii="Times New Roman" w:hAnsi="Times New Roman" w:eastAsia="宋体" w:cs="Times New Roman"/>
          <w:b/>
          <w:color w:val="000000" w:themeColor="text1"/>
          <w:sz w:val="32"/>
          <w:szCs w:val="32"/>
          <w:lang w:val="en-GB"/>
          <w14:textFill>
            <w14:solidFill>
              <w14:schemeClr w14:val="tx1"/>
            </w14:solidFill>
          </w14:textFill>
        </w:rPr>
        <w:t>盐津开源矿业有限公司</w:t>
      </w:r>
    </w:p>
    <w:p w14:paraId="3A3EB34B">
      <w:pPr>
        <w:adjustRightInd w:val="0"/>
        <w:snapToGrid w:val="0"/>
        <w:spacing w:line="360" w:lineRule="auto"/>
        <w:jc w:val="center"/>
        <w:rPr>
          <w:rFonts w:ascii="Times New Roman" w:hAnsi="Times New Roman" w:eastAsia="宋体" w:cs="Times New Roman"/>
          <w:b/>
          <w:color w:val="000000" w:themeColor="text1"/>
          <w:sz w:val="32"/>
          <w:szCs w:val="32"/>
          <w:lang w:val="en-GB"/>
          <w14:textFill>
            <w14:solidFill>
              <w14:schemeClr w14:val="tx1"/>
            </w14:solidFill>
          </w14:textFill>
        </w:rPr>
      </w:pPr>
      <w:r>
        <w:rPr>
          <w:rFonts w:ascii="Times New Roman" w:hAnsi="Times New Roman" w:eastAsia="宋体" w:cs="Times New Roman"/>
          <w:b/>
          <w:color w:val="000000" w:themeColor="text1"/>
          <w:sz w:val="32"/>
          <w:szCs w:val="32"/>
          <w:lang w:val="en-GB"/>
          <w14:textFill>
            <w14:solidFill>
              <w14:schemeClr w14:val="tx1"/>
            </w14:solidFill>
          </w14:textFill>
        </w:rPr>
        <w:t>盐津县桃子坝采石场90万t／a露天采矿工程</w:t>
      </w:r>
    </w:p>
    <w:p w14:paraId="07A7DF2F">
      <w:pPr>
        <w:adjustRightInd w:val="0"/>
        <w:snapToGrid w:val="0"/>
        <w:spacing w:line="360" w:lineRule="auto"/>
        <w:jc w:val="center"/>
        <w:rPr>
          <w:rFonts w:ascii="Times New Roman" w:hAnsi="Times New Roman" w:eastAsia="宋体" w:cs="Times New Roman"/>
          <w:b/>
          <w:color w:val="000000" w:themeColor="text1"/>
          <w:sz w:val="44"/>
          <w:szCs w:val="44"/>
          <w:lang w:val="en-GB"/>
          <w14:textFill>
            <w14:solidFill>
              <w14:schemeClr w14:val="tx1"/>
            </w14:solidFill>
          </w14:textFill>
        </w:rPr>
      </w:pPr>
      <w:r>
        <w:rPr>
          <w:rFonts w:ascii="Times New Roman" w:hAnsi="Times New Roman" w:eastAsia="宋体" w:cs="Times New Roman"/>
          <w:b/>
          <w:color w:val="000000" w:themeColor="text1"/>
          <w:sz w:val="44"/>
          <w:szCs w:val="44"/>
          <w:lang w:val="en-GB"/>
          <w14:textFill>
            <w14:solidFill>
              <w14:schemeClr w14:val="tx1"/>
            </w14:solidFill>
          </w14:textFill>
        </w:rPr>
        <w:t>安全预评价报告</w:t>
      </w:r>
    </w:p>
    <w:p w14:paraId="56B2B4F0">
      <w:pPr>
        <w:pStyle w:val="12"/>
        <w:autoSpaceDE w:val="0"/>
        <w:autoSpaceDN w:val="0"/>
        <w:adjustRightInd w:val="0"/>
        <w:snapToGrid w:val="0"/>
        <w:spacing w:after="0" w:line="360" w:lineRule="auto"/>
        <w:jc w:val="center"/>
        <w:rPr>
          <w:rFonts w:ascii="Times New Roman" w:hAnsi="Times New Roman" w:eastAsia="宋体" w:cs="Times New Roman"/>
          <w:kern w:val="0"/>
          <w:sz w:val="20"/>
          <w:szCs w:val="24"/>
          <w:lang w:val="en-GB" w:bidi="zh-CN"/>
        </w:rPr>
      </w:pPr>
    </w:p>
    <w:p w14:paraId="4097A26C">
      <w:pPr>
        <w:pStyle w:val="12"/>
        <w:autoSpaceDE w:val="0"/>
        <w:autoSpaceDN w:val="0"/>
        <w:adjustRightInd w:val="0"/>
        <w:snapToGrid w:val="0"/>
        <w:spacing w:after="0" w:line="360" w:lineRule="auto"/>
        <w:jc w:val="center"/>
        <w:rPr>
          <w:rFonts w:ascii="Times New Roman" w:hAnsi="Times New Roman" w:eastAsia="宋体" w:cs="Times New Roman"/>
          <w:kern w:val="0"/>
          <w:sz w:val="20"/>
          <w:szCs w:val="24"/>
          <w:lang w:val="en-GB" w:bidi="zh-CN"/>
        </w:rPr>
      </w:pPr>
    </w:p>
    <w:p w14:paraId="2A75ADAE">
      <w:pPr>
        <w:pStyle w:val="12"/>
        <w:autoSpaceDE w:val="0"/>
        <w:autoSpaceDN w:val="0"/>
        <w:adjustRightInd w:val="0"/>
        <w:snapToGrid w:val="0"/>
        <w:spacing w:after="0" w:line="360" w:lineRule="auto"/>
        <w:jc w:val="center"/>
        <w:rPr>
          <w:rFonts w:ascii="Times New Roman" w:hAnsi="Times New Roman" w:eastAsia="宋体" w:cs="Times New Roman"/>
          <w:kern w:val="0"/>
          <w:sz w:val="20"/>
          <w:szCs w:val="24"/>
          <w:lang w:val="en-GB" w:bidi="zh-CN"/>
        </w:rPr>
      </w:pPr>
    </w:p>
    <w:p w14:paraId="5CE275DF">
      <w:pPr>
        <w:pStyle w:val="12"/>
        <w:autoSpaceDE w:val="0"/>
        <w:autoSpaceDN w:val="0"/>
        <w:adjustRightInd w:val="0"/>
        <w:snapToGrid w:val="0"/>
        <w:spacing w:after="0" w:line="360" w:lineRule="auto"/>
        <w:jc w:val="center"/>
        <w:rPr>
          <w:rFonts w:ascii="Times New Roman" w:hAnsi="Times New Roman" w:eastAsia="宋体" w:cs="Times New Roman"/>
          <w:kern w:val="0"/>
          <w:sz w:val="20"/>
          <w:szCs w:val="24"/>
          <w:lang w:val="en-GB" w:bidi="zh-CN"/>
        </w:rPr>
      </w:pPr>
    </w:p>
    <w:p w14:paraId="0681CD3C">
      <w:pPr>
        <w:pStyle w:val="12"/>
        <w:autoSpaceDE w:val="0"/>
        <w:autoSpaceDN w:val="0"/>
        <w:adjustRightInd w:val="0"/>
        <w:snapToGrid w:val="0"/>
        <w:spacing w:after="0" w:line="360" w:lineRule="auto"/>
        <w:jc w:val="center"/>
        <w:rPr>
          <w:rFonts w:ascii="Times New Roman" w:hAnsi="Times New Roman" w:eastAsia="宋体" w:cs="Times New Roman"/>
          <w:kern w:val="0"/>
          <w:sz w:val="20"/>
          <w:szCs w:val="24"/>
          <w:lang w:val="en-GB" w:bidi="zh-CN"/>
        </w:rPr>
      </w:pPr>
    </w:p>
    <w:p w14:paraId="30A9AA4A">
      <w:pPr>
        <w:pStyle w:val="12"/>
        <w:autoSpaceDE w:val="0"/>
        <w:autoSpaceDN w:val="0"/>
        <w:adjustRightInd w:val="0"/>
        <w:snapToGrid w:val="0"/>
        <w:spacing w:after="0" w:line="360" w:lineRule="auto"/>
        <w:jc w:val="center"/>
        <w:rPr>
          <w:rFonts w:ascii="Times New Roman" w:hAnsi="Times New Roman" w:eastAsia="宋体" w:cs="Times New Roman"/>
          <w:kern w:val="0"/>
          <w:sz w:val="20"/>
          <w:szCs w:val="24"/>
          <w:lang w:val="en-GB" w:bidi="zh-CN"/>
        </w:rPr>
      </w:pPr>
    </w:p>
    <w:p w14:paraId="594A8C96">
      <w:pPr>
        <w:pStyle w:val="12"/>
        <w:autoSpaceDE w:val="0"/>
        <w:autoSpaceDN w:val="0"/>
        <w:adjustRightInd w:val="0"/>
        <w:snapToGrid w:val="0"/>
        <w:spacing w:after="0" w:line="360" w:lineRule="auto"/>
        <w:jc w:val="center"/>
        <w:rPr>
          <w:rFonts w:ascii="Times New Roman" w:hAnsi="Times New Roman" w:eastAsia="宋体" w:cs="Times New Roman"/>
          <w:kern w:val="0"/>
          <w:sz w:val="20"/>
          <w:szCs w:val="24"/>
          <w:lang w:val="en-GB" w:bidi="zh-CN"/>
        </w:rPr>
      </w:pPr>
    </w:p>
    <w:p w14:paraId="6B0C7C91">
      <w:pPr>
        <w:pStyle w:val="12"/>
        <w:autoSpaceDE w:val="0"/>
        <w:autoSpaceDN w:val="0"/>
        <w:adjustRightInd w:val="0"/>
        <w:snapToGrid w:val="0"/>
        <w:spacing w:after="0" w:line="360" w:lineRule="auto"/>
        <w:jc w:val="center"/>
        <w:rPr>
          <w:rFonts w:ascii="Times New Roman" w:hAnsi="Times New Roman" w:eastAsia="宋体" w:cs="Times New Roman"/>
          <w:kern w:val="0"/>
          <w:sz w:val="20"/>
          <w:szCs w:val="24"/>
          <w:lang w:val="en-GB" w:bidi="zh-CN"/>
        </w:rPr>
      </w:pPr>
    </w:p>
    <w:p w14:paraId="6973D2E9">
      <w:pPr>
        <w:pStyle w:val="12"/>
        <w:autoSpaceDE w:val="0"/>
        <w:autoSpaceDN w:val="0"/>
        <w:adjustRightInd w:val="0"/>
        <w:snapToGrid w:val="0"/>
        <w:spacing w:after="0" w:line="360" w:lineRule="auto"/>
        <w:jc w:val="center"/>
        <w:rPr>
          <w:rFonts w:ascii="Times New Roman" w:hAnsi="Times New Roman" w:eastAsia="宋体" w:cs="Times New Roman"/>
          <w:kern w:val="0"/>
          <w:sz w:val="20"/>
          <w:szCs w:val="24"/>
          <w:lang w:val="en-GB" w:bidi="zh-CN"/>
        </w:rPr>
      </w:pPr>
    </w:p>
    <w:p w14:paraId="08BF2186">
      <w:pPr>
        <w:pStyle w:val="12"/>
        <w:autoSpaceDE w:val="0"/>
        <w:autoSpaceDN w:val="0"/>
        <w:adjustRightInd w:val="0"/>
        <w:snapToGrid w:val="0"/>
        <w:spacing w:after="0" w:line="360" w:lineRule="auto"/>
        <w:jc w:val="center"/>
        <w:rPr>
          <w:rFonts w:ascii="Times New Roman" w:hAnsi="Times New Roman" w:eastAsia="宋体" w:cs="Times New Roman"/>
          <w:kern w:val="0"/>
          <w:sz w:val="20"/>
          <w:szCs w:val="24"/>
          <w:lang w:val="en-GB" w:bidi="zh-CN"/>
        </w:rPr>
      </w:pPr>
    </w:p>
    <w:p w14:paraId="283A58D3">
      <w:pPr>
        <w:pStyle w:val="12"/>
        <w:autoSpaceDE w:val="0"/>
        <w:autoSpaceDN w:val="0"/>
        <w:adjustRightInd w:val="0"/>
        <w:snapToGrid w:val="0"/>
        <w:spacing w:after="0" w:line="360" w:lineRule="auto"/>
        <w:jc w:val="center"/>
        <w:rPr>
          <w:rFonts w:ascii="Times New Roman" w:hAnsi="Times New Roman" w:eastAsia="宋体" w:cs="Times New Roman"/>
          <w:kern w:val="0"/>
          <w:sz w:val="20"/>
          <w:szCs w:val="24"/>
          <w:lang w:val="en-GB" w:bidi="zh-CN"/>
        </w:rPr>
      </w:pPr>
    </w:p>
    <w:p w14:paraId="47178061">
      <w:pPr>
        <w:pStyle w:val="12"/>
        <w:autoSpaceDE w:val="0"/>
        <w:autoSpaceDN w:val="0"/>
        <w:adjustRightInd w:val="0"/>
        <w:snapToGrid w:val="0"/>
        <w:spacing w:after="0" w:line="360" w:lineRule="auto"/>
        <w:jc w:val="center"/>
        <w:rPr>
          <w:rFonts w:ascii="Times New Roman" w:hAnsi="Times New Roman" w:eastAsia="宋体" w:cs="Times New Roman"/>
          <w:kern w:val="0"/>
          <w:sz w:val="20"/>
          <w:szCs w:val="24"/>
          <w:lang w:val="en-GB" w:bidi="zh-CN"/>
        </w:rPr>
      </w:pPr>
    </w:p>
    <w:p w14:paraId="0D1C4EDA">
      <w:pPr>
        <w:adjustRightInd w:val="0"/>
        <w:snapToGrid w:val="0"/>
        <w:spacing w:line="360" w:lineRule="auto"/>
        <w:jc w:val="center"/>
        <w:rPr>
          <w:rFonts w:ascii="Times New Roman" w:hAnsi="Times New Roman" w:eastAsia="宋体" w:cs="Times New Roman"/>
          <w:color w:val="000000" w:themeColor="text1"/>
          <w:lang w:val="en-GB"/>
          <w14:textFill>
            <w14:solidFill>
              <w14:schemeClr w14:val="tx1"/>
            </w14:solidFill>
          </w14:textFill>
        </w:rPr>
      </w:pPr>
    </w:p>
    <w:p w14:paraId="463EE694">
      <w:pPr>
        <w:pStyle w:val="12"/>
        <w:autoSpaceDE w:val="0"/>
        <w:autoSpaceDN w:val="0"/>
        <w:adjustRightInd w:val="0"/>
        <w:snapToGrid w:val="0"/>
        <w:spacing w:after="0" w:line="360" w:lineRule="auto"/>
        <w:jc w:val="center"/>
        <w:rPr>
          <w:rFonts w:ascii="宋体" w:hAnsi="宋体" w:eastAsia="宋体" w:cs="宋体"/>
          <w:kern w:val="0"/>
          <w:sz w:val="28"/>
          <w:szCs w:val="28"/>
          <w:lang w:bidi="zh-CN"/>
        </w:rPr>
      </w:pPr>
      <w:r>
        <w:rPr>
          <w:rFonts w:ascii="宋体" w:hAnsi="宋体" w:eastAsia="宋体" w:cs="宋体"/>
          <w:kern w:val="0"/>
          <w:sz w:val="28"/>
          <w:szCs w:val="28"/>
          <w:lang w:bidi="zh-CN"/>
        </w:rPr>
        <w:t>法定代表人：孙同辉</w:t>
      </w:r>
    </w:p>
    <w:p w14:paraId="33BD0354">
      <w:pPr>
        <w:pStyle w:val="12"/>
        <w:autoSpaceDE w:val="0"/>
        <w:autoSpaceDN w:val="0"/>
        <w:adjustRightInd w:val="0"/>
        <w:snapToGrid w:val="0"/>
        <w:spacing w:after="0" w:line="360" w:lineRule="auto"/>
        <w:jc w:val="center"/>
        <w:rPr>
          <w:rFonts w:ascii="宋体" w:hAnsi="宋体" w:eastAsia="宋体" w:cs="宋体"/>
          <w:kern w:val="0"/>
          <w:sz w:val="28"/>
          <w:szCs w:val="28"/>
          <w:lang w:bidi="zh-CN"/>
        </w:rPr>
      </w:pPr>
      <w:r>
        <w:rPr>
          <w:rFonts w:ascii="宋体" w:hAnsi="宋体" w:eastAsia="宋体" w:cs="宋体"/>
          <w:kern w:val="0"/>
          <w:sz w:val="28"/>
          <w:szCs w:val="28"/>
          <w:lang w:bidi="zh-CN"/>
        </w:rPr>
        <w:t>技术负责人：李在永</w:t>
      </w:r>
    </w:p>
    <w:p w14:paraId="5FD949AF">
      <w:pPr>
        <w:pStyle w:val="12"/>
        <w:autoSpaceDE w:val="0"/>
        <w:autoSpaceDN w:val="0"/>
        <w:adjustRightInd w:val="0"/>
        <w:snapToGrid w:val="0"/>
        <w:spacing w:after="0" w:line="360" w:lineRule="auto"/>
        <w:jc w:val="center"/>
        <w:rPr>
          <w:rFonts w:ascii="宋体" w:hAnsi="宋体" w:eastAsia="宋体" w:cs="宋体"/>
          <w:kern w:val="0"/>
          <w:sz w:val="28"/>
          <w:szCs w:val="28"/>
          <w:lang w:bidi="zh-CN"/>
        </w:rPr>
      </w:pPr>
      <w:r>
        <w:rPr>
          <w:rFonts w:hint="eastAsia" w:ascii="宋体" w:hAnsi="宋体" w:eastAsia="宋体" w:cs="宋体"/>
          <w:kern w:val="0"/>
          <w:sz w:val="28"/>
          <w:szCs w:val="28"/>
          <w:lang w:bidi="zh-CN"/>
        </w:rPr>
        <w:t>评价</w:t>
      </w:r>
      <w:r>
        <w:rPr>
          <w:rFonts w:ascii="宋体" w:hAnsi="宋体" w:eastAsia="宋体" w:cs="宋体"/>
          <w:kern w:val="0"/>
          <w:sz w:val="28"/>
          <w:szCs w:val="28"/>
          <w:lang w:bidi="zh-CN"/>
        </w:rPr>
        <w:t>项目负责人：杨会明</w:t>
      </w:r>
    </w:p>
    <w:p w14:paraId="2D18D131">
      <w:pPr>
        <w:pStyle w:val="12"/>
        <w:autoSpaceDE w:val="0"/>
        <w:autoSpaceDN w:val="0"/>
        <w:adjustRightInd w:val="0"/>
        <w:snapToGrid w:val="0"/>
        <w:spacing w:after="0" w:line="360" w:lineRule="auto"/>
        <w:jc w:val="center"/>
        <w:rPr>
          <w:rFonts w:ascii="宋体" w:hAnsi="宋体" w:eastAsia="宋体" w:cs="宋体"/>
          <w:b/>
          <w:bCs/>
          <w:kern w:val="0"/>
          <w:sz w:val="24"/>
          <w:szCs w:val="24"/>
          <w:lang w:bidi="zh-CN"/>
        </w:rPr>
      </w:pPr>
    </w:p>
    <w:p w14:paraId="3A855DEE">
      <w:pPr>
        <w:pStyle w:val="12"/>
        <w:autoSpaceDE w:val="0"/>
        <w:autoSpaceDN w:val="0"/>
        <w:adjustRightInd w:val="0"/>
        <w:snapToGrid w:val="0"/>
        <w:spacing w:after="0" w:line="360" w:lineRule="auto"/>
        <w:jc w:val="center"/>
        <w:rPr>
          <w:rFonts w:ascii="宋体" w:hAnsi="宋体" w:eastAsia="宋体" w:cs="宋体"/>
          <w:b/>
          <w:bCs/>
          <w:kern w:val="0"/>
          <w:sz w:val="24"/>
          <w:szCs w:val="24"/>
          <w:lang w:bidi="zh-CN"/>
        </w:rPr>
      </w:pPr>
    </w:p>
    <w:p w14:paraId="5035F4AF">
      <w:pPr>
        <w:pStyle w:val="12"/>
        <w:autoSpaceDE w:val="0"/>
        <w:autoSpaceDN w:val="0"/>
        <w:adjustRightInd w:val="0"/>
        <w:snapToGrid w:val="0"/>
        <w:spacing w:after="0" w:line="360" w:lineRule="auto"/>
        <w:jc w:val="center"/>
        <w:rPr>
          <w:rFonts w:ascii="宋体" w:hAnsi="宋体" w:eastAsia="宋体" w:cs="宋体"/>
          <w:b/>
          <w:bCs/>
          <w:kern w:val="0"/>
          <w:sz w:val="24"/>
          <w:szCs w:val="24"/>
          <w:lang w:bidi="zh-CN"/>
        </w:rPr>
      </w:pPr>
    </w:p>
    <w:p w14:paraId="512AE0FD">
      <w:pPr>
        <w:pStyle w:val="12"/>
        <w:autoSpaceDE w:val="0"/>
        <w:autoSpaceDN w:val="0"/>
        <w:adjustRightInd w:val="0"/>
        <w:snapToGrid w:val="0"/>
        <w:spacing w:after="0" w:line="360" w:lineRule="auto"/>
        <w:jc w:val="center"/>
        <w:rPr>
          <w:rFonts w:ascii="宋体" w:hAnsi="宋体" w:eastAsia="宋体" w:cs="宋体"/>
          <w:b/>
          <w:bCs/>
          <w:kern w:val="0"/>
          <w:sz w:val="24"/>
          <w:szCs w:val="24"/>
          <w:lang w:bidi="zh-CN"/>
        </w:rPr>
      </w:pPr>
    </w:p>
    <w:p w14:paraId="195BF988">
      <w:pPr>
        <w:pStyle w:val="12"/>
        <w:autoSpaceDE w:val="0"/>
        <w:autoSpaceDN w:val="0"/>
        <w:adjustRightInd w:val="0"/>
        <w:snapToGrid w:val="0"/>
        <w:spacing w:after="0" w:line="360" w:lineRule="auto"/>
        <w:jc w:val="center"/>
        <w:rPr>
          <w:rFonts w:ascii="宋体" w:hAnsi="宋体" w:eastAsia="宋体" w:cs="宋体"/>
          <w:b/>
          <w:bCs/>
          <w:kern w:val="0"/>
          <w:sz w:val="24"/>
          <w:szCs w:val="24"/>
          <w:lang w:bidi="zh-CN"/>
        </w:rPr>
      </w:pPr>
    </w:p>
    <w:p w14:paraId="04C5F9CE">
      <w:pPr>
        <w:pStyle w:val="12"/>
        <w:autoSpaceDE w:val="0"/>
        <w:autoSpaceDN w:val="0"/>
        <w:adjustRightInd w:val="0"/>
        <w:snapToGrid w:val="0"/>
        <w:spacing w:after="0" w:line="360" w:lineRule="auto"/>
        <w:jc w:val="center"/>
        <w:rPr>
          <w:rFonts w:ascii="宋体" w:hAnsi="宋体" w:eastAsia="宋体" w:cs="宋体"/>
          <w:b/>
          <w:bCs/>
          <w:kern w:val="0"/>
          <w:sz w:val="24"/>
          <w:szCs w:val="24"/>
          <w:lang w:bidi="zh-CN"/>
        </w:rPr>
      </w:pPr>
      <w:r>
        <w:rPr>
          <w:rFonts w:ascii="宋体" w:hAnsi="宋体" w:eastAsia="宋体" w:cs="宋体"/>
          <w:b/>
          <w:bCs/>
          <w:kern w:val="0"/>
          <w:sz w:val="24"/>
          <w:szCs w:val="24"/>
          <w:lang w:bidi="zh-CN"/>
        </w:rPr>
        <w:t>完成日期：2023年8月1</w:t>
      </w:r>
      <w:r>
        <w:rPr>
          <w:rFonts w:hint="eastAsia" w:ascii="宋体" w:hAnsi="宋体" w:eastAsia="宋体" w:cs="宋体"/>
          <w:b/>
          <w:bCs/>
          <w:kern w:val="0"/>
          <w:sz w:val="24"/>
          <w:szCs w:val="24"/>
          <w:lang w:val="en-US" w:bidi="zh-CN"/>
        </w:rPr>
        <w:t>6</w:t>
      </w:r>
      <w:r>
        <w:rPr>
          <w:rFonts w:ascii="宋体" w:hAnsi="宋体" w:eastAsia="宋体" w:cs="宋体"/>
          <w:b/>
          <w:bCs/>
          <w:kern w:val="0"/>
          <w:sz w:val="24"/>
          <w:szCs w:val="24"/>
          <w:lang w:bidi="zh-CN"/>
        </w:rPr>
        <w:t>日</w:t>
      </w:r>
    </w:p>
    <w:p w14:paraId="4E8E9CA8">
      <w:pPr>
        <w:pStyle w:val="12"/>
        <w:autoSpaceDE w:val="0"/>
        <w:autoSpaceDN w:val="0"/>
        <w:adjustRightInd w:val="0"/>
        <w:snapToGrid w:val="0"/>
        <w:spacing w:after="0" w:line="360" w:lineRule="auto"/>
        <w:jc w:val="center"/>
        <w:rPr>
          <w:rFonts w:ascii="宋体" w:hAnsi="宋体" w:eastAsia="宋体" w:cs="宋体"/>
          <w:kern w:val="0"/>
          <w:szCs w:val="21"/>
          <w:lang w:bidi="zh-CN"/>
        </w:rPr>
        <w:sectPr>
          <w:headerReference r:id="rId3" w:type="default"/>
          <w:footerReference r:id="rId4" w:type="default"/>
          <w:pgSz w:w="11906" w:h="16838"/>
          <w:pgMar w:top="1417" w:right="1134" w:bottom="1134" w:left="1587" w:header="851" w:footer="992" w:gutter="0"/>
          <w:cols w:space="0" w:num="1"/>
          <w:docGrid w:type="lines" w:linePitch="312" w:charSpace="0"/>
        </w:sectPr>
      </w:pPr>
      <w:r>
        <w:rPr>
          <w:rFonts w:ascii="宋体" w:hAnsi="宋体" w:eastAsia="宋体" w:cs="宋体"/>
          <w:kern w:val="0"/>
          <w:szCs w:val="21"/>
          <w:lang w:bidi="zh-CN"/>
        </w:rPr>
        <w:t>（安全评价机构公章）</w:t>
      </w:r>
    </w:p>
    <w:p w14:paraId="1D9A2431">
      <w:pPr>
        <w:pStyle w:val="2"/>
        <w:adjustRightInd w:val="0"/>
        <w:snapToGrid w:val="0"/>
        <w:spacing w:beforeLines="0" w:afterLines="0"/>
        <w:rPr>
          <w:rFonts w:ascii="Times New Roman" w:hAnsi="Times New Roman" w:cs="Times New Roman"/>
          <w:b/>
          <w:bCs w:val="0"/>
          <w:color w:val="000000" w:themeColor="text1"/>
          <w:lang w:val="en-GB"/>
          <w14:textFill>
            <w14:solidFill>
              <w14:schemeClr w14:val="tx1"/>
            </w14:solidFill>
          </w14:textFill>
        </w:rPr>
      </w:pPr>
      <w:bookmarkStart w:id="0" w:name="_Toc52100580"/>
      <w:bookmarkStart w:id="1" w:name="_Toc19941"/>
      <w:bookmarkStart w:id="2" w:name="_Toc26074"/>
      <w:bookmarkStart w:id="3" w:name="_Toc52100541"/>
      <w:bookmarkStart w:id="4" w:name="_Toc52100619"/>
      <w:bookmarkStart w:id="5" w:name="_Toc30881"/>
      <w:bookmarkStart w:id="6" w:name="_Toc23871"/>
      <w:bookmarkStart w:id="7" w:name="_Toc52100408"/>
      <w:bookmarkStart w:id="8" w:name="_Toc15334"/>
      <w:bookmarkStart w:id="9" w:name="_Toc30586"/>
      <w:r>
        <w:rPr>
          <w:rFonts w:ascii="Times New Roman" w:hAnsi="Times New Roman" w:cs="Times New Roman"/>
          <w:b/>
          <w:bCs w:val="0"/>
          <w:color w:val="000000" w:themeColor="text1"/>
          <w:lang w:val="en-GB"/>
          <w14:textFill>
            <w14:solidFill>
              <w14:schemeClr w14:val="tx1"/>
            </w14:solidFill>
          </w14:textFill>
        </w:rPr>
        <w:t>前</w:t>
      </w:r>
      <w:r>
        <w:rPr>
          <w:rFonts w:ascii="Times New Roman" w:hAnsi="Times New Roman" w:cs="Times New Roman"/>
          <w:b/>
          <w:bCs w:val="0"/>
          <w:color w:val="000000" w:themeColor="text1"/>
          <w14:textFill>
            <w14:solidFill>
              <w14:schemeClr w14:val="tx1"/>
            </w14:solidFill>
          </w14:textFill>
        </w:rPr>
        <w:t xml:space="preserve">  </w:t>
      </w:r>
      <w:r>
        <w:rPr>
          <w:rFonts w:ascii="Times New Roman" w:hAnsi="Times New Roman" w:cs="Times New Roman"/>
          <w:b/>
          <w:bCs w:val="0"/>
          <w:color w:val="000000" w:themeColor="text1"/>
          <w:lang w:val="en-GB"/>
          <w14:textFill>
            <w14:solidFill>
              <w14:schemeClr w14:val="tx1"/>
            </w14:solidFill>
          </w14:textFill>
        </w:rPr>
        <w:t>言</w:t>
      </w:r>
      <w:bookmarkEnd w:id="0"/>
      <w:bookmarkEnd w:id="1"/>
      <w:bookmarkEnd w:id="2"/>
      <w:bookmarkEnd w:id="3"/>
      <w:bookmarkEnd w:id="4"/>
      <w:bookmarkEnd w:id="5"/>
      <w:bookmarkEnd w:id="6"/>
      <w:bookmarkEnd w:id="7"/>
      <w:bookmarkEnd w:id="8"/>
      <w:bookmarkEnd w:id="9"/>
    </w:p>
    <w:p w14:paraId="78A7D83F">
      <w:pPr>
        <w:adjustRightInd w:val="0"/>
        <w:snapToGrid w:val="0"/>
        <w:spacing w:line="360" w:lineRule="auto"/>
        <w:ind w:firstLine="560" w:firstLineChars="200"/>
        <w:rPr>
          <w:rFonts w:ascii="Times New Roman" w:hAnsi="Times New Roman" w:eastAsia="宋体" w:cs="Times New Roman"/>
          <w:bCs/>
          <w:color w:val="000000" w:themeColor="text1"/>
          <w:sz w:val="28"/>
          <w:szCs w:val="28"/>
          <w:lang w:val="en-GB"/>
          <w14:textFill>
            <w14:solidFill>
              <w14:schemeClr w14:val="tx1"/>
            </w14:solidFill>
          </w14:textFill>
        </w:rPr>
      </w:pPr>
      <w:r>
        <w:rPr>
          <w:rFonts w:ascii="Times New Roman" w:hAnsi="Times New Roman" w:eastAsia="宋体" w:cs="Times New Roman"/>
          <w:bCs/>
          <w:color w:val="000000" w:themeColor="text1"/>
          <w:sz w:val="28"/>
          <w:szCs w:val="28"/>
          <w:lang w:val="en-GB"/>
          <w14:textFill>
            <w14:solidFill>
              <w14:schemeClr w14:val="tx1"/>
            </w14:solidFill>
          </w14:textFill>
        </w:rPr>
        <w:t>“安全第一、预防为主、综合治理”是我们党和国家始终不渝的安全生产方针。各行各业开展安全评价正是突出“安全第一”、体现“预防为主”的一项重要工作，是“安全第一，预防为主”方针在安全生产上的具体体现。</w:t>
      </w:r>
    </w:p>
    <w:p w14:paraId="44F0E4C7">
      <w:pPr>
        <w:pStyle w:val="11"/>
        <w:adjustRightInd w:val="0"/>
        <w:snapToGrid w:val="0"/>
        <w:spacing w:line="360" w:lineRule="auto"/>
        <w:ind w:firstLine="560" w:firstLineChars="200"/>
        <w:rPr>
          <w:rFonts w:eastAsia="宋体" w:cs="Times New Roman"/>
          <w:bCs/>
          <w:color w:val="000000" w:themeColor="text1"/>
          <w:szCs w:val="28"/>
          <w:lang w:val="en-GB"/>
          <w14:textFill>
            <w14:solidFill>
              <w14:schemeClr w14:val="tx1"/>
            </w14:solidFill>
          </w14:textFill>
        </w:rPr>
      </w:pPr>
      <w:r>
        <w:rPr>
          <w:rFonts w:eastAsia="宋体" w:cs="Times New Roman"/>
          <w:bCs/>
          <w:color w:val="000000" w:themeColor="text1"/>
          <w:szCs w:val="28"/>
          <w:lang w:val="en-GB"/>
          <w14:textFill>
            <w14:solidFill>
              <w14:schemeClr w14:val="tx1"/>
            </w14:solidFill>
          </w14:textFill>
        </w:rPr>
        <w:t>《安全生产法》第</w:t>
      </w:r>
      <w:r>
        <w:rPr>
          <w:rFonts w:eastAsia="宋体" w:cs="Times New Roman"/>
          <w:bCs/>
          <w:color w:val="000000" w:themeColor="text1"/>
          <w:szCs w:val="28"/>
          <w14:textFill>
            <w14:solidFill>
              <w14:schemeClr w14:val="tx1"/>
            </w14:solidFill>
          </w14:textFill>
        </w:rPr>
        <w:t>三十一</w:t>
      </w:r>
      <w:r>
        <w:rPr>
          <w:rFonts w:eastAsia="宋体" w:cs="Times New Roman"/>
          <w:bCs/>
          <w:color w:val="000000" w:themeColor="text1"/>
          <w:szCs w:val="28"/>
          <w:lang w:val="en-GB"/>
          <w14:textFill>
            <w14:solidFill>
              <w14:schemeClr w14:val="tx1"/>
            </w14:solidFill>
          </w14:textFill>
        </w:rPr>
        <w:t>条规定：生产经营单位新建、改建、扩建工程项目（以下统称建设项目）的安全设施，必须与主体工程同时设计、同时施工、同时投入生产和使用。安全设施投资应当纳入建设项目概算。根据《中华人民共和国安全生产法》《建设项目安全设施“三同时”监督管理办法》（国家安全生产监督管理总局原国家安全生产监督管理总局令第77号）等国家有关安全生产</w:t>
      </w:r>
      <w:r>
        <w:rPr>
          <w:rFonts w:hint="eastAsia" w:eastAsia="宋体" w:cs="Times New Roman"/>
          <w:bCs/>
          <w:color w:val="000000" w:themeColor="text1"/>
          <w:szCs w:val="28"/>
          <w:lang w:val="en-GB"/>
          <w14:textFill>
            <w14:solidFill>
              <w14:schemeClr w14:val="tx1"/>
            </w14:solidFill>
          </w14:textFill>
        </w:rPr>
        <w:t>法律法规</w:t>
      </w:r>
      <w:r>
        <w:rPr>
          <w:rFonts w:eastAsia="宋体" w:cs="Times New Roman"/>
          <w:bCs/>
          <w:color w:val="000000" w:themeColor="text1"/>
          <w:szCs w:val="28"/>
          <w:lang w:val="en-GB"/>
          <w14:textFill>
            <w14:solidFill>
              <w14:schemeClr w14:val="tx1"/>
            </w14:solidFill>
          </w14:textFill>
        </w:rPr>
        <w:t>，盐津开源矿业有限公司于202</w:t>
      </w:r>
      <w:r>
        <w:rPr>
          <w:rFonts w:eastAsia="宋体" w:cs="Times New Roman"/>
          <w:bCs/>
          <w:color w:val="000000" w:themeColor="text1"/>
          <w:szCs w:val="28"/>
          <w14:textFill>
            <w14:solidFill>
              <w14:schemeClr w14:val="tx1"/>
            </w14:solidFill>
          </w14:textFill>
        </w:rPr>
        <w:t>3</w:t>
      </w:r>
      <w:r>
        <w:rPr>
          <w:rFonts w:eastAsia="宋体" w:cs="Times New Roman"/>
          <w:bCs/>
          <w:color w:val="000000" w:themeColor="text1"/>
          <w:szCs w:val="28"/>
          <w:lang w:val="en-GB"/>
          <w14:textFill>
            <w14:solidFill>
              <w14:schemeClr w14:val="tx1"/>
            </w14:solidFill>
          </w14:textFill>
        </w:rPr>
        <w:t>年</w:t>
      </w:r>
      <w:r>
        <w:rPr>
          <w:rFonts w:eastAsia="宋体" w:cs="Times New Roman"/>
          <w:color w:val="000000" w:themeColor="text1"/>
          <w:szCs w:val="28"/>
          <w14:textFill>
            <w14:solidFill>
              <w14:schemeClr w14:val="tx1"/>
            </w14:solidFill>
          </w14:textFill>
        </w:rPr>
        <w:t>6</w:t>
      </w:r>
      <w:r>
        <w:rPr>
          <w:rFonts w:eastAsia="宋体" w:cs="Times New Roman"/>
          <w:bCs/>
          <w:color w:val="000000" w:themeColor="text1"/>
          <w:szCs w:val="28"/>
          <w:lang w:val="en-GB"/>
          <w14:textFill>
            <w14:solidFill>
              <w14:schemeClr w14:val="tx1"/>
            </w14:solidFill>
          </w14:textFill>
        </w:rPr>
        <w:t>月委托辽宁诺诚安全科技有限公司承担其所属盐津县桃子坝采石场90万t／a露天采矿工程安全预评价工作。根据《建设项目安全设施“三同时”监督管理办法》等有关规定，该项目属于新建项目，需开展安全设施“三同时”工作。该矿山生产规模为</w:t>
      </w:r>
      <w:r>
        <w:rPr>
          <w:rFonts w:eastAsia="宋体" w:cs="Times New Roman"/>
          <w:bCs/>
          <w:color w:val="000000" w:themeColor="text1"/>
          <w:szCs w:val="28"/>
          <w14:textFill>
            <w14:solidFill>
              <w14:schemeClr w14:val="tx1"/>
            </w14:solidFill>
          </w14:textFill>
        </w:rPr>
        <w:t>90万t／a</w:t>
      </w:r>
      <w:r>
        <w:rPr>
          <w:rFonts w:eastAsia="宋体" w:cs="Times New Roman"/>
          <w:bCs/>
          <w:color w:val="000000" w:themeColor="text1"/>
          <w:szCs w:val="28"/>
          <w:lang w:val="en-GB"/>
          <w14:textFill>
            <w14:solidFill>
              <w14:schemeClr w14:val="tx1"/>
            </w14:solidFill>
          </w14:textFill>
        </w:rPr>
        <w:t>，已超过50万t/a小型露天采石场的规模，本报告按露天矿山进行评价。</w:t>
      </w:r>
    </w:p>
    <w:p w14:paraId="142927F6">
      <w:pPr>
        <w:adjustRightInd w:val="0"/>
        <w:snapToGrid w:val="0"/>
        <w:spacing w:line="360" w:lineRule="auto"/>
        <w:ind w:firstLine="560" w:firstLineChars="200"/>
        <w:rPr>
          <w:rFonts w:ascii="Times New Roman" w:hAnsi="Times New Roman" w:eastAsia="宋体" w:cs="Times New Roman"/>
          <w:bCs/>
          <w:color w:val="000000" w:themeColor="text1"/>
          <w:sz w:val="28"/>
          <w:szCs w:val="28"/>
          <w:lang w:val="en-GB"/>
          <w14:textFill>
            <w14:solidFill>
              <w14:schemeClr w14:val="tx1"/>
            </w14:solidFill>
          </w14:textFill>
        </w:rPr>
      </w:pPr>
      <w:r>
        <w:rPr>
          <w:rFonts w:ascii="Times New Roman" w:hAnsi="Times New Roman" w:eastAsia="宋体" w:cs="Times New Roman"/>
          <w:bCs/>
          <w:color w:val="000000" w:themeColor="text1"/>
          <w:sz w:val="28"/>
          <w:szCs w:val="28"/>
          <w:lang w:val="en-GB"/>
          <w14:textFill>
            <w14:solidFill>
              <w14:schemeClr w14:val="tx1"/>
            </w14:solidFill>
          </w14:textFill>
        </w:rPr>
        <w:t>根据《非煤矿山企业安全生产许可证实施办法》（国家安监局令20号，第78号修改）、《安全生产许可证条例》（中华人民共和国国务院令397号，第653号修订）和《安全评价通则》（AQ8001-2007）等国家相关法律法规标准和规定，受</w:t>
      </w:r>
      <w:r>
        <w:rPr>
          <w:rFonts w:ascii="Times New Roman" w:hAnsi="Times New Roman" w:eastAsia="宋体" w:cs="Times New Roman"/>
          <w:bCs/>
          <w:sz w:val="28"/>
          <w:szCs w:val="28"/>
        </w:rPr>
        <w:t>盐津开源矿业有限公司</w:t>
      </w:r>
      <w:r>
        <w:rPr>
          <w:rFonts w:ascii="Times New Roman" w:hAnsi="Times New Roman" w:eastAsia="宋体" w:cs="Times New Roman"/>
          <w:bCs/>
          <w:color w:val="000000" w:themeColor="text1"/>
          <w:sz w:val="28"/>
          <w:szCs w:val="28"/>
          <w:lang w:val="en-GB"/>
          <w14:textFill>
            <w14:solidFill>
              <w14:schemeClr w14:val="tx1"/>
            </w14:solidFill>
          </w14:textFill>
        </w:rPr>
        <w:t>的委托，辽宁诺诚安全科技有限公司承担了盐津县桃子坝采石场90万t／a露天采矿工程安全预评价工作。</w:t>
      </w:r>
    </w:p>
    <w:p w14:paraId="0D618566">
      <w:pPr>
        <w:adjustRightInd w:val="0"/>
        <w:snapToGrid w:val="0"/>
        <w:spacing w:line="360" w:lineRule="auto"/>
        <w:ind w:firstLine="560" w:firstLineChars="200"/>
        <w:rPr>
          <w:rFonts w:ascii="Times New Roman" w:hAnsi="Times New Roman" w:eastAsia="宋体" w:cs="Times New Roman"/>
          <w:bCs/>
          <w:color w:val="000000" w:themeColor="text1"/>
          <w:sz w:val="28"/>
          <w:szCs w:val="28"/>
          <w:lang w:val="en-GB"/>
          <w14:textFill>
            <w14:solidFill>
              <w14:schemeClr w14:val="tx1"/>
            </w14:solidFill>
          </w14:textFill>
        </w:rPr>
      </w:pPr>
      <w:r>
        <w:rPr>
          <w:rFonts w:ascii="Times New Roman" w:hAnsi="Times New Roman" w:eastAsia="宋体" w:cs="Times New Roman"/>
          <w:bCs/>
          <w:color w:val="000000" w:themeColor="text1"/>
          <w:sz w:val="28"/>
          <w:szCs w:val="28"/>
          <w:lang w:val="en-GB"/>
          <w14:textFill>
            <w14:solidFill>
              <w14:schemeClr w14:val="tx1"/>
            </w14:solidFill>
          </w14:textFill>
        </w:rPr>
        <w:t>在接受安全评价工作的委托之后，我公司立即组成安全评价组，组织评价人员投入该项目的安全评价工作。在系统调查分析的基础上，对照国家或行业有关安全法律法规、标准和规范，对该项目</w:t>
      </w:r>
      <w:r>
        <w:rPr>
          <w:rFonts w:ascii="Times New Roman" w:hAnsi="Times New Roman" w:eastAsia="宋体" w:cs="Times New Roman"/>
          <w:color w:val="000000" w:themeColor="text1"/>
          <w:sz w:val="28"/>
          <w:szCs w:val="28"/>
          <w:lang w:val="en-GB"/>
          <w14:textFill>
            <w14:solidFill>
              <w14:schemeClr w14:val="tx1"/>
            </w14:solidFill>
          </w14:textFill>
        </w:rPr>
        <w:t>初步设计（代可研）</w:t>
      </w:r>
      <w:r>
        <w:rPr>
          <w:rFonts w:ascii="Times New Roman" w:hAnsi="Times New Roman" w:eastAsia="宋体" w:cs="Times New Roman"/>
          <w:bCs/>
          <w:color w:val="000000" w:themeColor="text1"/>
          <w:sz w:val="28"/>
          <w:szCs w:val="28"/>
          <w:lang w:val="en-GB"/>
          <w14:textFill>
            <w14:solidFill>
              <w14:schemeClr w14:val="tx1"/>
            </w14:solidFill>
          </w14:textFill>
        </w:rPr>
        <w:t>的可行性及项目涉及的危险、有害因素进行了分析和评价，采用可靠、适用的评价方法对该矿山进行安全预评价，提出了相应的安全对策措施，得出了评价结论。按照《国家安全监管总局关于印发金属非金属矿山建设项目安全评价报告编写提纲的通知》（安监总管一〔2016〕49号），最后编制成《盐津县桃子坝采石场90万t／a露天采矿工程安全预评价》。</w:t>
      </w:r>
    </w:p>
    <w:p w14:paraId="56615306">
      <w:pPr>
        <w:adjustRightInd w:val="0"/>
        <w:snapToGrid w:val="0"/>
        <w:spacing w:line="360" w:lineRule="auto"/>
        <w:ind w:firstLine="560" w:firstLineChars="200"/>
        <w:rPr>
          <w:rFonts w:ascii="Times New Roman" w:hAnsi="Times New Roman" w:eastAsia="宋体" w:cs="Times New Roman"/>
          <w:color w:val="000000" w:themeColor="text1"/>
          <w:lang w:val="en-GB"/>
          <w14:textFill>
            <w14:solidFill>
              <w14:schemeClr w14:val="tx1"/>
            </w14:solidFill>
          </w14:textFill>
        </w:rPr>
      </w:pPr>
      <w:r>
        <w:rPr>
          <w:rFonts w:ascii="Times New Roman" w:hAnsi="Times New Roman" w:eastAsia="宋体" w:cs="Times New Roman"/>
          <w:bCs/>
          <w:color w:val="000000" w:themeColor="text1"/>
          <w:sz w:val="28"/>
          <w:szCs w:val="28"/>
          <w:lang w:val="en-GB"/>
          <w14:textFill>
            <w14:solidFill>
              <w14:schemeClr w14:val="tx1"/>
            </w14:solidFill>
          </w14:textFill>
        </w:rPr>
        <w:t>在该项目的安全预评价过程中得到了</w:t>
      </w:r>
      <w:r>
        <w:rPr>
          <w:rFonts w:ascii="Times New Roman" w:hAnsi="Times New Roman" w:eastAsia="宋体" w:cs="Times New Roman"/>
          <w:bCs/>
          <w:color w:val="000000" w:themeColor="text1"/>
          <w:sz w:val="28"/>
          <w:szCs w:val="28"/>
          <w14:textFill>
            <w14:solidFill>
              <w14:schemeClr w14:val="tx1"/>
            </w14:solidFill>
          </w14:textFill>
        </w:rPr>
        <w:t>昭通市</w:t>
      </w:r>
      <w:r>
        <w:rPr>
          <w:rFonts w:ascii="Times New Roman" w:hAnsi="Times New Roman" w:eastAsia="宋体" w:cs="Times New Roman"/>
          <w:bCs/>
          <w:color w:val="000000" w:themeColor="text1"/>
          <w:sz w:val="28"/>
          <w:szCs w:val="28"/>
          <w:lang w:val="en-GB"/>
          <w14:textFill>
            <w14:solidFill>
              <w14:schemeClr w14:val="tx1"/>
            </w14:solidFill>
          </w14:textFill>
        </w:rPr>
        <w:t>、盐津县应急管理部门及</w:t>
      </w:r>
      <w:r>
        <w:rPr>
          <w:rFonts w:ascii="Times New Roman" w:hAnsi="Times New Roman" w:cs="Times New Roman"/>
          <w:sz w:val="28"/>
          <w:szCs w:val="28"/>
        </w:rPr>
        <w:t>盐津开源矿业有限公司</w:t>
      </w:r>
      <w:r>
        <w:rPr>
          <w:rFonts w:ascii="Times New Roman" w:hAnsi="Times New Roman" w:eastAsia="宋体" w:cs="Times New Roman"/>
          <w:bCs/>
          <w:color w:val="000000" w:themeColor="text1"/>
          <w:sz w:val="28"/>
          <w:szCs w:val="28"/>
          <w:lang w:val="en-GB"/>
          <w14:textFill>
            <w14:solidFill>
              <w14:schemeClr w14:val="tx1"/>
            </w14:solidFill>
          </w14:textFill>
        </w:rPr>
        <w:t>等有关领导和技术人员的大力支持，同时在报告中引用了一些专家学者的研究成果和技术资料，在此一并表示感谢。</w:t>
      </w:r>
    </w:p>
    <w:p w14:paraId="781710C0">
      <w:pPr>
        <w:adjustRightInd w:val="0"/>
        <w:snapToGrid w:val="0"/>
        <w:spacing w:line="360" w:lineRule="auto"/>
        <w:rPr>
          <w:rFonts w:ascii="Times New Roman" w:hAnsi="Times New Roman" w:eastAsia="宋体" w:cs="Times New Roman"/>
          <w:color w:val="000000" w:themeColor="text1"/>
          <w:lang w:val="en-GB"/>
          <w14:textFill>
            <w14:solidFill>
              <w14:schemeClr w14:val="tx1"/>
            </w14:solidFill>
          </w14:textFill>
        </w:rPr>
        <w:sectPr>
          <w:headerReference r:id="rId5" w:type="default"/>
          <w:footerReference r:id="rId6" w:type="default"/>
          <w:pgSz w:w="11906" w:h="16838"/>
          <w:pgMar w:top="1417" w:right="1134" w:bottom="1134" w:left="1587" w:header="851" w:footer="992" w:gutter="0"/>
          <w:pgNumType w:start="1"/>
          <w:cols w:space="0" w:num="1"/>
          <w:docGrid w:type="lines" w:linePitch="312" w:charSpace="0"/>
        </w:sectPr>
      </w:pPr>
    </w:p>
    <w:sdt>
      <w:sdtPr>
        <w:rPr>
          <w:rFonts w:ascii="Times New Roman" w:hAnsi="Times New Roman" w:cs="Times New Roman"/>
          <w:b/>
          <w:color w:val="000000" w:themeColor="text1"/>
          <w:kern w:val="2"/>
          <w:sz w:val="21"/>
          <w:szCs w:val="22"/>
          <w:lang w:val="zh-CN"/>
          <w14:textFill>
            <w14:solidFill>
              <w14:schemeClr w14:val="tx1"/>
            </w14:solidFill>
          </w14:textFill>
        </w:rPr>
        <w:id w:val="1966461226"/>
        <w:docPartObj>
          <w:docPartGallery w:val="Table of Contents"/>
          <w:docPartUnique/>
        </w:docPartObj>
      </w:sdtPr>
      <w:sdtEndPr>
        <w:rPr>
          <w:rFonts w:ascii="Times New Roman" w:hAnsi="Times New Roman" w:cs="Times New Roman" w:eastAsiaTheme="minorEastAsia"/>
          <w:b/>
          <w:bCs w:val="0"/>
          <w:color w:val="000000" w:themeColor="text1"/>
          <w:kern w:val="2"/>
          <w:sz w:val="21"/>
          <w:szCs w:val="22"/>
          <w:lang w:val="zh-CN"/>
          <w14:textFill>
            <w14:solidFill>
              <w14:schemeClr w14:val="tx1"/>
            </w14:solidFill>
          </w14:textFill>
        </w:rPr>
      </w:sdtEndPr>
      <w:sdtContent>
        <w:p w14:paraId="26640DAE">
          <w:pPr>
            <w:pStyle w:val="2"/>
            <w:adjustRightInd w:val="0"/>
            <w:snapToGrid w:val="0"/>
            <w:spacing w:beforeLines="0" w:afterLines="0"/>
            <w:rPr>
              <w:rFonts w:ascii="Times New Roman" w:hAnsi="Times New Roman" w:cs="Times New Roman"/>
              <w:b/>
              <w:color w:val="000000" w:themeColor="text1"/>
              <w14:textFill>
                <w14:solidFill>
                  <w14:schemeClr w14:val="tx1"/>
                </w14:solidFill>
              </w14:textFill>
            </w:rPr>
          </w:pPr>
          <w:bookmarkStart w:id="10" w:name="_Toc21714"/>
          <w:bookmarkStart w:id="11" w:name="_Toc11427"/>
          <w:bookmarkStart w:id="12" w:name="_Toc5478"/>
          <w:bookmarkStart w:id="13" w:name="_Toc25261"/>
          <w:bookmarkStart w:id="14" w:name="_Toc32514"/>
          <w:bookmarkStart w:id="15" w:name="_Toc16973"/>
          <w:r>
            <w:rPr>
              <w:rFonts w:ascii="Times New Roman" w:hAnsi="Times New Roman" w:cs="Times New Roman"/>
              <w:b/>
              <w:color w:val="000000" w:themeColor="text1"/>
              <w:lang w:val="zh-CN"/>
              <w14:textFill>
                <w14:solidFill>
                  <w14:schemeClr w14:val="tx1"/>
                </w14:solidFill>
              </w14:textFill>
            </w:rPr>
            <w:t>目</w:t>
          </w:r>
          <w:r>
            <w:rPr>
              <w:rFonts w:ascii="Times New Roman" w:hAnsi="Times New Roman" w:cs="Times New Roman"/>
              <w:b/>
              <w:color w:val="000000" w:themeColor="text1"/>
              <w14:textFill>
                <w14:solidFill>
                  <w14:schemeClr w14:val="tx1"/>
                </w14:solidFill>
              </w14:textFill>
            </w:rPr>
            <w:t xml:space="preserve">  </w:t>
          </w:r>
          <w:r>
            <w:rPr>
              <w:rFonts w:ascii="Times New Roman" w:hAnsi="Times New Roman" w:cs="Times New Roman"/>
              <w:b/>
              <w:color w:val="000000" w:themeColor="text1"/>
              <w:lang w:val="zh-CN"/>
              <w14:textFill>
                <w14:solidFill>
                  <w14:schemeClr w14:val="tx1"/>
                </w14:solidFill>
              </w14:textFill>
            </w:rPr>
            <w:t>录</w:t>
          </w:r>
          <w:bookmarkEnd w:id="10"/>
          <w:bookmarkEnd w:id="11"/>
          <w:bookmarkEnd w:id="12"/>
          <w:bookmarkEnd w:id="13"/>
          <w:bookmarkEnd w:id="14"/>
          <w:bookmarkEnd w:id="15"/>
        </w:p>
        <w:p w14:paraId="5A69F5CB">
          <w:pPr>
            <w:pStyle w:val="23"/>
            <w:tabs>
              <w:tab w:val="right" w:leader="dot" w:pos="9185"/>
            </w:tabs>
            <w:adjustRightInd w:val="0"/>
            <w:snapToGrid w:val="0"/>
            <w:spacing w:line="360" w:lineRule="auto"/>
            <w:rPr>
              <w:b/>
              <w:bCs/>
              <w:sz w:val="28"/>
              <w:szCs w:val="32"/>
            </w:rPr>
          </w:pPr>
          <w:r>
            <w:rPr>
              <w:rFonts w:ascii="Times New Roman" w:hAnsi="Times New Roman" w:cs="Times New Roman"/>
              <w:color w:val="000000" w:themeColor="text1"/>
              <w14:textFill>
                <w14:solidFill>
                  <w14:schemeClr w14:val="tx1"/>
                </w14:solidFill>
              </w14:textFill>
            </w:rPr>
            <w:fldChar w:fldCharType="begin"/>
          </w:r>
          <w:r>
            <w:rPr>
              <w:rFonts w:ascii="Times New Roman" w:hAnsi="Times New Roman" w:cs="Times New Roman"/>
              <w:color w:val="000000" w:themeColor="text1"/>
              <w14:textFill>
                <w14:solidFill>
                  <w14:schemeClr w14:val="tx1"/>
                </w14:solidFill>
              </w14:textFill>
            </w:rPr>
            <w:instrText xml:space="preserve"> TOC \o "1-2" \h \z \u </w:instrText>
          </w:r>
          <w:r>
            <w:rPr>
              <w:rFonts w:ascii="Times New Roman" w:hAnsi="Times New Roman" w:cs="Times New Roman"/>
              <w:color w:val="000000" w:themeColor="text1"/>
              <w14:textFill>
                <w14:solidFill>
                  <w14:schemeClr w14:val="tx1"/>
                </w14:solidFill>
              </w14:textFill>
            </w:rPr>
            <w:fldChar w:fldCharType="separate"/>
          </w:r>
          <w:r>
            <w:fldChar w:fldCharType="begin"/>
          </w:r>
          <w:r>
            <w:instrText xml:space="preserve"> HYPERLINK \l "_Toc9156" </w:instrText>
          </w:r>
          <w:r>
            <w:fldChar w:fldCharType="separate"/>
          </w:r>
          <w:r>
            <w:rPr>
              <w:rFonts w:ascii="Times New Roman" w:hAnsi="Times New Roman" w:cs="Times New Roman"/>
              <w:b/>
              <w:bCs/>
              <w:sz w:val="28"/>
              <w:szCs w:val="32"/>
              <w:lang w:val="en-GB"/>
            </w:rPr>
            <w:t>1.评价范围与依据</w:t>
          </w:r>
          <w:r>
            <w:rPr>
              <w:b/>
              <w:bCs/>
              <w:sz w:val="28"/>
              <w:szCs w:val="32"/>
            </w:rPr>
            <w:tab/>
          </w:r>
          <w:r>
            <w:rPr>
              <w:b/>
              <w:bCs/>
              <w:sz w:val="28"/>
              <w:szCs w:val="32"/>
            </w:rPr>
            <w:fldChar w:fldCharType="begin"/>
          </w:r>
          <w:r>
            <w:rPr>
              <w:b/>
              <w:bCs/>
              <w:sz w:val="28"/>
              <w:szCs w:val="32"/>
            </w:rPr>
            <w:instrText xml:space="preserve"> PAGEREF _Toc9156 \h </w:instrText>
          </w:r>
          <w:r>
            <w:rPr>
              <w:b/>
              <w:bCs/>
              <w:sz w:val="28"/>
              <w:szCs w:val="32"/>
            </w:rPr>
            <w:fldChar w:fldCharType="separate"/>
          </w:r>
          <w:r>
            <w:rPr>
              <w:b/>
              <w:bCs/>
              <w:sz w:val="28"/>
              <w:szCs w:val="32"/>
            </w:rPr>
            <w:t>1</w:t>
          </w:r>
          <w:r>
            <w:rPr>
              <w:b/>
              <w:bCs/>
              <w:sz w:val="28"/>
              <w:szCs w:val="32"/>
            </w:rPr>
            <w:fldChar w:fldCharType="end"/>
          </w:r>
          <w:r>
            <w:rPr>
              <w:b/>
              <w:bCs/>
              <w:sz w:val="28"/>
              <w:szCs w:val="32"/>
            </w:rPr>
            <w:fldChar w:fldCharType="end"/>
          </w:r>
        </w:p>
        <w:p w14:paraId="371A5278">
          <w:pPr>
            <w:pStyle w:val="26"/>
            <w:tabs>
              <w:tab w:val="right" w:leader="dot" w:pos="9185"/>
            </w:tabs>
            <w:adjustRightInd w:val="0"/>
            <w:snapToGrid w:val="0"/>
            <w:spacing w:line="360" w:lineRule="auto"/>
            <w:rPr>
              <w:sz w:val="28"/>
              <w:szCs w:val="32"/>
            </w:rPr>
          </w:pPr>
          <w:r>
            <w:fldChar w:fldCharType="begin"/>
          </w:r>
          <w:r>
            <w:instrText xml:space="preserve"> HYPERLINK \l "_Toc27374" </w:instrText>
          </w:r>
          <w:r>
            <w:fldChar w:fldCharType="separate"/>
          </w:r>
          <w:r>
            <w:rPr>
              <w:rFonts w:ascii="Times New Roman" w:hAnsi="Times New Roman" w:cs="Times New Roman"/>
              <w:sz w:val="28"/>
              <w:szCs w:val="32"/>
              <w:lang w:val="en-GB"/>
            </w:rPr>
            <w:t>1.1评价对象和范围</w:t>
          </w:r>
          <w:r>
            <w:rPr>
              <w:sz w:val="28"/>
              <w:szCs w:val="32"/>
            </w:rPr>
            <w:tab/>
          </w:r>
          <w:r>
            <w:rPr>
              <w:sz w:val="28"/>
              <w:szCs w:val="32"/>
            </w:rPr>
            <w:fldChar w:fldCharType="begin"/>
          </w:r>
          <w:r>
            <w:rPr>
              <w:sz w:val="28"/>
              <w:szCs w:val="32"/>
            </w:rPr>
            <w:instrText xml:space="preserve"> PAGEREF _Toc27374 \h </w:instrText>
          </w:r>
          <w:r>
            <w:rPr>
              <w:sz w:val="28"/>
              <w:szCs w:val="32"/>
            </w:rPr>
            <w:fldChar w:fldCharType="separate"/>
          </w:r>
          <w:r>
            <w:rPr>
              <w:sz w:val="28"/>
              <w:szCs w:val="32"/>
            </w:rPr>
            <w:t>1</w:t>
          </w:r>
          <w:r>
            <w:rPr>
              <w:sz w:val="28"/>
              <w:szCs w:val="32"/>
            </w:rPr>
            <w:fldChar w:fldCharType="end"/>
          </w:r>
          <w:r>
            <w:rPr>
              <w:sz w:val="28"/>
              <w:szCs w:val="32"/>
            </w:rPr>
            <w:fldChar w:fldCharType="end"/>
          </w:r>
        </w:p>
        <w:p w14:paraId="6C1397B4">
          <w:pPr>
            <w:pStyle w:val="26"/>
            <w:tabs>
              <w:tab w:val="right" w:leader="dot" w:pos="9185"/>
            </w:tabs>
            <w:adjustRightInd w:val="0"/>
            <w:snapToGrid w:val="0"/>
            <w:spacing w:line="360" w:lineRule="auto"/>
            <w:rPr>
              <w:sz w:val="28"/>
              <w:szCs w:val="32"/>
            </w:rPr>
          </w:pPr>
          <w:r>
            <w:fldChar w:fldCharType="begin"/>
          </w:r>
          <w:r>
            <w:instrText xml:space="preserve"> HYPERLINK \l "_Toc13841" </w:instrText>
          </w:r>
          <w:r>
            <w:fldChar w:fldCharType="separate"/>
          </w:r>
          <w:r>
            <w:rPr>
              <w:rFonts w:ascii="Times New Roman" w:hAnsi="Times New Roman" w:cs="Times New Roman"/>
              <w:sz w:val="28"/>
              <w:szCs w:val="32"/>
              <w:lang w:val="en-GB"/>
            </w:rPr>
            <w:t>1.2 评价依据</w:t>
          </w:r>
          <w:r>
            <w:rPr>
              <w:sz w:val="28"/>
              <w:szCs w:val="32"/>
            </w:rPr>
            <w:tab/>
          </w:r>
          <w:r>
            <w:rPr>
              <w:sz w:val="28"/>
              <w:szCs w:val="32"/>
            </w:rPr>
            <w:fldChar w:fldCharType="begin"/>
          </w:r>
          <w:r>
            <w:rPr>
              <w:sz w:val="28"/>
              <w:szCs w:val="32"/>
            </w:rPr>
            <w:instrText xml:space="preserve"> PAGEREF _Toc13841 \h </w:instrText>
          </w:r>
          <w:r>
            <w:rPr>
              <w:sz w:val="28"/>
              <w:szCs w:val="32"/>
            </w:rPr>
            <w:fldChar w:fldCharType="separate"/>
          </w:r>
          <w:r>
            <w:rPr>
              <w:sz w:val="28"/>
              <w:szCs w:val="32"/>
            </w:rPr>
            <w:t>3</w:t>
          </w:r>
          <w:r>
            <w:rPr>
              <w:sz w:val="28"/>
              <w:szCs w:val="32"/>
            </w:rPr>
            <w:fldChar w:fldCharType="end"/>
          </w:r>
          <w:r>
            <w:rPr>
              <w:sz w:val="28"/>
              <w:szCs w:val="32"/>
            </w:rPr>
            <w:fldChar w:fldCharType="end"/>
          </w:r>
        </w:p>
        <w:p w14:paraId="23A68EF7">
          <w:pPr>
            <w:pStyle w:val="26"/>
            <w:tabs>
              <w:tab w:val="right" w:leader="dot" w:pos="9185"/>
            </w:tabs>
            <w:adjustRightInd w:val="0"/>
            <w:snapToGrid w:val="0"/>
            <w:spacing w:line="360" w:lineRule="auto"/>
            <w:rPr>
              <w:sz w:val="28"/>
              <w:szCs w:val="32"/>
            </w:rPr>
          </w:pPr>
          <w:r>
            <w:fldChar w:fldCharType="begin"/>
          </w:r>
          <w:r>
            <w:instrText xml:space="preserve"> HYPERLINK \l "_Toc29424" </w:instrText>
          </w:r>
          <w:r>
            <w:fldChar w:fldCharType="separate"/>
          </w:r>
          <w:r>
            <w:rPr>
              <w:rFonts w:ascii="Times New Roman" w:hAnsi="Times New Roman" w:cs="Times New Roman"/>
              <w:sz w:val="28"/>
              <w:szCs w:val="32"/>
              <w:lang w:val="en-GB"/>
            </w:rPr>
            <w:t>1.3 安全预评价原则</w:t>
          </w:r>
          <w:r>
            <w:rPr>
              <w:sz w:val="28"/>
              <w:szCs w:val="32"/>
            </w:rPr>
            <w:tab/>
          </w:r>
          <w:r>
            <w:rPr>
              <w:sz w:val="28"/>
              <w:szCs w:val="32"/>
            </w:rPr>
            <w:fldChar w:fldCharType="begin"/>
          </w:r>
          <w:r>
            <w:rPr>
              <w:sz w:val="28"/>
              <w:szCs w:val="32"/>
            </w:rPr>
            <w:instrText xml:space="preserve"> PAGEREF _Toc29424 \h </w:instrText>
          </w:r>
          <w:r>
            <w:rPr>
              <w:sz w:val="28"/>
              <w:szCs w:val="32"/>
            </w:rPr>
            <w:fldChar w:fldCharType="separate"/>
          </w:r>
          <w:r>
            <w:rPr>
              <w:sz w:val="28"/>
              <w:szCs w:val="32"/>
            </w:rPr>
            <w:t>12</w:t>
          </w:r>
          <w:r>
            <w:rPr>
              <w:sz w:val="28"/>
              <w:szCs w:val="32"/>
            </w:rPr>
            <w:fldChar w:fldCharType="end"/>
          </w:r>
          <w:r>
            <w:rPr>
              <w:sz w:val="28"/>
              <w:szCs w:val="32"/>
            </w:rPr>
            <w:fldChar w:fldCharType="end"/>
          </w:r>
        </w:p>
        <w:p w14:paraId="6DF82BD6">
          <w:pPr>
            <w:pStyle w:val="26"/>
            <w:tabs>
              <w:tab w:val="right" w:leader="dot" w:pos="9185"/>
            </w:tabs>
            <w:adjustRightInd w:val="0"/>
            <w:snapToGrid w:val="0"/>
            <w:spacing w:line="360" w:lineRule="auto"/>
            <w:rPr>
              <w:sz w:val="28"/>
              <w:szCs w:val="32"/>
            </w:rPr>
          </w:pPr>
          <w:r>
            <w:fldChar w:fldCharType="begin"/>
          </w:r>
          <w:r>
            <w:instrText xml:space="preserve"> HYPERLINK \l "_Toc8424" </w:instrText>
          </w:r>
          <w:r>
            <w:fldChar w:fldCharType="separate"/>
          </w:r>
          <w:r>
            <w:rPr>
              <w:rFonts w:ascii="Times New Roman" w:hAnsi="Times New Roman" w:cs="Times New Roman"/>
              <w:sz w:val="28"/>
              <w:szCs w:val="32"/>
              <w:lang w:val="en-GB"/>
            </w:rPr>
            <w:t>1.4 评价内容</w:t>
          </w:r>
          <w:r>
            <w:rPr>
              <w:sz w:val="28"/>
              <w:szCs w:val="32"/>
            </w:rPr>
            <w:tab/>
          </w:r>
          <w:r>
            <w:rPr>
              <w:sz w:val="28"/>
              <w:szCs w:val="32"/>
            </w:rPr>
            <w:fldChar w:fldCharType="begin"/>
          </w:r>
          <w:r>
            <w:rPr>
              <w:sz w:val="28"/>
              <w:szCs w:val="32"/>
            </w:rPr>
            <w:instrText xml:space="preserve"> PAGEREF _Toc8424 \h </w:instrText>
          </w:r>
          <w:r>
            <w:rPr>
              <w:sz w:val="28"/>
              <w:szCs w:val="32"/>
            </w:rPr>
            <w:fldChar w:fldCharType="separate"/>
          </w:r>
          <w:r>
            <w:rPr>
              <w:sz w:val="28"/>
              <w:szCs w:val="32"/>
            </w:rPr>
            <w:t>12</w:t>
          </w:r>
          <w:r>
            <w:rPr>
              <w:sz w:val="28"/>
              <w:szCs w:val="32"/>
            </w:rPr>
            <w:fldChar w:fldCharType="end"/>
          </w:r>
          <w:r>
            <w:rPr>
              <w:sz w:val="28"/>
              <w:szCs w:val="32"/>
            </w:rPr>
            <w:fldChar w:fldCharType="end"/>
          </w:r>
        </w:p>
        <w:p w14:paraId="238BD716">
          <w:pPr>
            <w:pStyle w:val="26"/>
            <w:tabs>
              <w:tab w:val="right" w:leader="dot" w:pos="9185"/>
            </w:tabs>
            <w:adjustRightInd w:val="0"/>
            <w:snapToGrid w:val="0"/>
            <w:spacing w:line="360" w:lineRule="auto"/>
            <w:rPr>
              <w:sz w:val="28"/>
              <w:szCs w:val="32"/>
            </w:rPr>
          </w:pPr>
          <w:r>
            <w:fldChar w:fldCharType="begin"/>
          </w:r>
          <w:r>
            <w:instrText xml:space="preserve"> HYPERLINK \l "_Toc27378" </w:instrText>
          </w:r>
          <w:r>
            <w:fldChar w:fldCharType="separate"/>
          </w:r>
          <w:r>
            <w:rPr>
              <w:rFonts w:ascii="Times New Roman" w:hAnsi="Times New Roman" w:cs="Times New Roman"/>
              <w:sz w:val="28"/>
              <w:szCs w:val="32"/>
              <w:lang w:val="en-GB"/>
            </w:rPr>
            <w:t>1.5 评价程序</w:t>
          </w:r>
          <w:r>
            <w:rPr>
              <w:sz w:val="28"/>
              <w:szCs w:val="32"/>
            </w:rPr>
            <w:tab/>
          </w:r>
          <w:r>
            <w:rPr>
              <w:sz w:val="28"/>
              <w:szCs w:val="32"/>
            </w:rPr>
            <w:fldChar w:fldCharType="begin"/>
          </w:r>
          <w:r>
            <w:rPr>
              <w:sz w:val="28"/>
              <w:szCs w:val="32"/>
            </w:rPr>
            <w:instrText xml:space="preserve"> PAGEREF _Toc27378 \h </w:instrText>
          </w:r>
          <w:r>
            <w:rPr>
              <w:sz w:val="28"/>
              <w:szCs w:val="32"/>
            </w:rPr>
            <w:fldChar w:fldCharType="separate"/>
          </w:r>
          <w:r>
            <w:rPr>
              <w:sz w:val="28"/>
              <w:szCs w:val="32"/>
            </w:rPr>
            <w:t>13</w:t>
          </w:r>
          <w:r>
            <w:rPr>
              <w:sz w:val="28"/>
              <w:szCs w:val="32"/>
            </w:rPr>
            <w:fldChar w:fldCharType="end"/>
          </w:r>
          <w:r>
            <w:rPr>
              <w:sz w:val="28"/>
              <w:szCs w:val="32"/>
            </w:rPr>
            <w:fldChar w:fldCharType="end"/>
          </w:r>
        </w:p>
        <w:p w14:paraId="471E238A">
          <w:pPr>
            <w:pStyle w:val="26"/>
            <w:tabs>
              <w:tab w:val="right" w:leader="dot" w:pos="9185"/>
            </w:tabs>
            <w:adjustRightInd w:val="0"/>
            <w:snapToGrid w:val="0"/>
            <w:spacing w:line="360" w:lineRule="auto"/>
            <w:rPr>
              <w:sz w:val="28"/>
              <w:szCs w:val="32"/>
            </w:rPr>
          </w:pPr>
          <w:r>
            <w:fldChar w:fldCharType="begin"/>
          </w:r>
          <w:r>
            <w:instrText xml:space="preserve"> HYPERLINK \l "_Toc19438" </w:instrText>
          </w:r>
          <w:r>
            <w:fldChar w:fldCharType="separate"/>
          </w:r>
          <w:r>
            <w:rPr>
              <w:rFonts w:ascii="Times New Roman" w:hAnsi="Times New Roman" w:cs="Times New Roman"/>
              <w:sz w:val="28"/>
              <w:szCs w:val="32"/>
              <w:lang w:val="en-GB"/>
            </w:rPr>
            <w:t>1.6 评价报告声明</w:t>
          </w:r>
          <w:r>
            <w:rPr>
              <w:sz w:val="28"/>
              <w:szCs w:val="32"/>
            </w:rPr>
            <w:tab/>
          </w:r>
          <w:r>
            <w:rPr>
              <w:sz w:val="28"/>
              <w:szCs w:val="32"/>
            </w:rPr>
            <w:fldChar w:fldCharType="begin"/>
          </w:r>
          <w:r>
            <w:rPr>
              <w:sz w:val="28"/>
              <w:szCs w:val="32"/>
            </w:rPr>
            <w:instrText xml:space="preserve"> PAGEREF _Toc19438 \h </w:instrText>
          </w:r>
          <w:r>
            <w:rPr>
              <w:sz w:val="28"/>
              <w:szCs w:val="32"/>
            </w:rPr>
            <w:fldChar w:fldCharType="separate"/>
          </w:r>
          <w:r>
            <w:rPr>
              <w:sz w:val="28"/>
              <w:szCs w:val="32"/>
            </w:rPr>
            <w:t>13</w:t>
          </w:r>
          <w:r>
            <w:rPr>
              <w:sz w:val="28"/>
              <w:szCs w:val="32"/>
            </w:rPr>
            <w:fldChar w:fldCharType="end"/>
          </w:r>
          <w:r>
            <w:rPr>
              <w:sz w:val="28"/>
              <w:szCs w:val="32"/>
            </w:rPr>
            <w:fldChar w:fldCharType="end"/>
          </w:r>
        </w:p>
        <w:p w14:paraId="7029DE2C">
          <w:pPr>
            <w:pStyle w:val="23"/>
            <w:tabs>
              <w:tab w:val="right" w:leader="dot" w:pos="9185"/>
            </w:tabs>
            <w:adjustRightInd w:val="0"/>
            <w:snapToGrid w:val="0"/>
            <w:spacing w:line="360" w:lineRule="auto"/>
            <w:rPr>
              <w:b/>
              <w:bCs/>
              <w:sz w:val="28"/>
              <w:szCs w:val="32"/>
            </w:rPr>
          </w:pPr>
          <w:r>
            <w:fldChar w:fldCharType="begin"/>
          </w:r>
          <w:r>
            <w:instrText xml:space="preserve"> HYPERLINK \l "_Toc31452" </w:instrText>
          </w:r>
          <w:r>
            <w:fldChar w:fldCharType="separate"/>
          </w:r>
          <w:r>
            <w:rPr>
              <w:rFonts w:ascii="Times New Roman" w:hAnsi="Times New Roman" w:cs="Times New Roman"/>
              <w:b/>
              <w:bCs/>
              <w:sz w:val="28"/>
              <w:szCs w:val="32"/>
              <w:lang w:val="en-GB"/>
            </w:rPr>
            <w:t>2.建设项目概述</w:t>
          </w:r>
          <w:r>
            <w:rPr>
              <w:b/>
              <w:bCs/>
              <w:sz w:val="28"/>
              <w:szCs w:val="32"/>
            </w:rPr>
            <w:tab/>
          </w:r>
          <w:r>
            <w:rPr>
              <w:b/>
              <w:bCs/>
              <w:sz w:val="28"/>
              <w:szCs w:val="32"/>
            </w:rPr>
            <w:fldChar w:fldCharType="begin"/>
          </w:r>
          <w:r>
            <w:rPr>
              <w:b/>
              <w:bCs/>
              <w:sz w:val="28"/>
              <w:szCs w:val="32"/>
            </w:rPr>
            <w:instrText xml:space="preserve"> PAGEREF _Toc31452 \h </w:instrText>
          </w:r>
          <w:r>
            <w:rPr>
              <w:b/>
              <w:bCs/>
              <w:sz w:val="28"/>
              <w:szCs w:val="32"/>
            </w:rPr>
            <w:fldChar w:fldCharType="separate"/>
          </w:r>
          <w:r>
            <w:rPr>
              <w:b/>
              <w:bCs/>
              <w:sz w:val="28"/>
              <w:szCs w:val="32"/>
            </w:rPr>
            <w:t>14</w:t>
          </w:r>
          <w:r>
            <w:rPr>
              <w:b/>
              <w:bCs/>
              <w:sz w:val="28"/>
              <w:szCs w:val="32"/>
            </w:rPr>
            <w:fldChar w:fldCharType="end"/>
          </w:r>
          <w:r>
            <w:rPr>
              <w:b/>
              <w:bCs/>
              <w:sz w:val="28"/>
              <w:szCs w:val="32"/>
            </w:rPr>
            <w:fldChar w:fldCharType="end"/>
          </w:r>
        </w:p>
        <w:p w14:paraId="7FC61F12">
          <w:pPr>
            <w:pStyle w:val="26"/>
            <w:tabs>
              <w:tab w:val="right" w:leader="dot" w:pos="9185"/>
            </w:tabs>
            <w:adjustRightInd w:val="0"/>
            <w:snapToGrid w:val="0"/>
            <w:spacing w:line="360" w:lineRule="auto"/>
            <w:rPr>
              <w:sz w:val="28"/>
              <w:szCs w:val="32"/>
            </w:rPr>
          </w:pPr>
          <w:r>
            <w:fldChar w:fldCharType="begin"/>
          </w:r>
          <w:r>
            <w:instrText xml:space="preserve"> HYPERLINK \l "_Toc2781" </w:instrText>
          </w:r>
          <w:r>
            <w:fldChar w:fldCharType="separate"/>
          </w:r>
          <w:r>
            <w:rPr>
              <w:rFonts w:ascii="Times New Roman" w:hAnsi="Times New Roman" w:cs="Times New Roman"/>
              <w:sz w:val="28"/>
              <w:szCs w:val="32"/>
              <w:lang w:val="en-GB"/>
            </w:rPr>
            <w:t>2.1 建设单位概况</w:t>
          </w:r>
          <w:r>
            <w:rPr>
              <w:sz w:val="28"/>
              <w:szCs w:val="32"/>
            </w:rPr>
            <w:tab/>
          </w:r>
          <w:r>
            <w:rPr>
              <w:sz w:val="28"/>
              <w:szCs w:val="32"/>
            </w:rPr>
            <w:fldChar w:fldCharType="begin"/>
          </w:r>
          <w:r>
            <w:rPr>
              <w:sz w:val="28"/>
              <w:szCs w:val="32"/>
            </w:rPr>
            <w:instrText xml:space="preserve"> PAGEREF _Toc2781 \h </w:instrText>
          </w:r>
          <w:r>
            <w:rPr>
              <w:sz w:val="28"/>
              <w:szCs w:val="32"/>
            </w:rPr>
            <w:fldChar w:fldCharType="separate"/>
          </w:r>
          <w:r>
            <w:rPr>
              <w:sz w:val="28"/>
              <w:szCs w:val="32"/>
            </w:rPr>
            <w:t>14</w:t>
          </w:r>
          <w:r>
            <w:rPr>
              <w:sz w:val="28"/>
              <w:szCs w:val="32"/>
            </w:rPr>
            <w:fldChar w:fldCharType="end"/>
          </w:r>
          <w:r>
            <w:rPr>
              <w:sz w:val="28"/>
              <w:szCs w:val="32"/>
            </w:rPr>
            <w:fldChar w:fldCharType="end"/>
          </w:r>
        </w:p>
        <w:p w14:paraId="398E777E">
          <w:pPr>
            <w:pStyle w:val="26"/>
            <w:tabs>
              <w:tab w:val="right" w:leader="dot" w:pos="9185"/>
            </w:tabs>
            <w:adjustRightInd w:val="0"/>
            <w:snapToGrid w:val="0"/>
            <w:spacing w:line="360" w:lineRule="auto"/>
            <w:rPr>
              <w:sz w:val="28"/>
              <w:szCs w:val="32"/>
            </w:rPr>
          </w:pPr>
          <w:r>
            <w:fldChar w:fldCharType="begin"/>
          </w:r>
          <w:r>
            <w:instrText xml:space="preserve"> HYPERLINK \l "_Toc3372" </w:instrText>
          </w:r>
          <w:r>
            <w:fldChar w:fldCharType="separate"/>
          </w:r>
          <w:r>
            <w:rPr>
              <w:rFonts w:ascii="Times New Roman" w:hAnsi="Times New Roman" w:cs="Times New Roman"/>
              <w:sz w:val="28"/>
              <w:szCs w:val="32"/>
              <w:lang w:val="en-GB"/>
            </w:rPr>
            <w:t>2.2 自然环境及经济概况</w:t>
          </w:r>
          <w:r>
            <w:rPr>
              <w:sz w:val="28"/>
              <w:szCs w:val="32"/>
            </w:rPr>
            <w:tab/>
          </w:r>
          <w:r>
            <w:rPr>
              <w:sz w:val="28"/>
              <w:szCs w:val="32"/>
            </w:rPr>
            <w:fldChar w:fldCharType="begin"/>
          </w:r>
          <w:r>
            <w:rPr>
              <w:sz w:val="28"/>
              <w:szCs w:val="32"/>
            </w:rPr>
            <w:instrText xml:space="preserve"> PAGEREF _Toc3372 \h </w:instrText>
          </w:r>
          <w:r>
            <w:rPr>
              <w:sz w:val="28"/>
              <w:szCs w:val="32"/>
            </w:rPr>
            <w:fldChar w:fldCharType="separate"/>
          </w:r>
          <w:r>
            <w:rPr>
              <w:sz w:val="28"/>
              <w:szCs w:val="32"/>
            </w:rPr>
            <w:t>21</w:t>
          </w:r>
          <w:r>
            <w:rPr>
              <w:sz w:val="28"/>
              <w:szCs w:val="32"/>
            </w:rPr>
            <w:fldChar w:fldCharType="end"/>
          </w:r>
          <w:r>
            <w:rPr>
              <w:sz w:val="28"/>
              <w:szCs w:val="32"/>
            </w:rPr>
            <w:fldChar w:fldCharType="end"/>
          </w:r>
        </w:p>
        <w:p w14:paraId="0A1CB5F1">
          <w:pPr>
            <w:pStyle w:val="26"/>
            <w:tabs>
              <w:tab w:val="right" w:leader="dot" w:pos="9185"/>
            </w:tabs>
            <w:adjustRightInd w:val="0"/>
            <w:snapToGrid w:val="0"/>
            <w:spacing w:line="360" w:lineRule="auto"/>
            <w:rPr>
              <w:sz w:val="28"/>
              <w:szCs w:val="32"/>
            </w:rPr>
          </w:pPr>
          <w:r>
            <w:fldChar w:fldCharType="begin"/>
          </w:r>
          <w:r>
            <w:instrText xml:space="preserve"> HYPERLINK \l "_Toc5436" </w:instrText>
          </w:r>
          <w:r>
            <w:fldChar w:fldCharType="separate"/>
          </w:r>
          <w:r>
            <w:rPr>
              <w:rFonts w:ascii="Times New Roman" w:hAnsi="Times New Roman" w:cs="Times New Roman"/>
              <w:sz w:val="28"/>
              <w:szCs w:val="32"/>
              <w:lang w:val="en-GB"/>
            </w:rPr>
            <w:t>2.3 建设项目地质概况</w:t>
          </w:r>
          <w:r>
            <w:rPr>
              <w:sz w:val="28"/>
              <w:szCs w:val="32"/>
            </w:rPr>
            <w:tab/>
          </w:r>
          <w:r>
            <w:rPr>
              <w:sz w:val="28"/>
              <w:szCs w:val="32"/>
            </w:rPr>
            <w:fldChar w:fldCharType="begin"/>
          </w:r>
          <w:r>
            <w:rPr>
              <w:sz w:val="28"/>
              <w:szCs w:val="32"/>
            </w:rPr>
            <w:instrText xml:space="preserve"> PAGEREF _Toc5436 \h </w:instrText>
          </w:r>
          <w:r>
            <w:rPr>
              <w:sz w:val="28"/>
              <w:szCs w:val="32"/>
            </w:rPr>
            <w:fldChar w:fldCharType="separate"/>
          </w:r>
          <w:r>
            <w:rPr>
              <w:sz w:val="28"/>
              <w:szCs w:val="32"/>
            </w:rPr>
            <w:t>22</w:t>
          </w:r>
          <w:r>
            <w:rPr>
              <w:sz w:val="28"/>
              <w:szCs w:val="32"/>
            </w:rPr>
            <w:fldChar w:fldCharType="end"/>
          </w:r>
          <w:r>
            <w:rPr>
              <w:sz w:val="28"/>
              <w:szCs w:val="32"/>
            </w:rPr>
            <w:fldChar w:fldCharType="end"/>
          </w:r>
        </w:p>
        <w:p w14:paraId="16D99E3F">
          <w:pPr>
            <w:pStyle w:val="26"/>
            <w:tabs>
              <w:tab w:val="right" w:leader="dot" w:pos="9185"/>
            </w:tabs>
            <w:adjustRightInd w:val="0"/>
            <w:snapToGrid w:val="0"/>
            <w:spacing w:line="360" w:lineRule="auto"/>
            <w:rPr>
              <w:sz w:val="28"/>
              <w:szCs w:val="32"/>
            </w:rPr>
          </w:pPr>
          <w:r>
            <w:fldChar w:fldCharType="begin"/>
          </w:r>
          <w:r>
            <w:instrText xml:space="preserve"> HYPERLINK \l "_Toc7746" </w:instrText>
          </w:r>
          <w:r>
            <w:fldChar w:fldCharType="separate"/>
          </w:r>
          <w:r>
            <w:rPr>
              <w:rFonts w:ascii="Times New Roman" w:hAnsi="Times New Roman" w:cs="Times New Roman"/>
              <w:sz w:val="28"/>
              <w:szCs w:val="40"/>
              <w:lang w:val="en-GB"/>
            </w:rPr>
            <w:t>2.4 建设方案概况</w:t>
          </w:r>
          <w:r>
            <w:rPr>
              <w:sz w:val="28"/>
              <w:szCs w:val="32"/>
            </w:rPr>
            <w:tab/>
          </w:r>
          <w:r>
            <w:rPr>
              <w:sz w:val="28"/>
              <w:szCs w:val="32"/>
            </w:rPr>
            <w:fldChar w:fldCharType="begin"/>
          </w:r>
          <w:r>
            <w:rPr>
              <w:sz w:val="28"/>
              <w:szCs w:val="32"/>
            </w:rPr>
            <w:instrText xml:space="preserve"> PAGEREF _Toc7746 \h </w:instrText>
          </w:r>
          <w:r>
            <w:rPr>
              <w:sz w:val="28"/>
              <w:szCs w:val="32"/>
            </w:rPr>
            <w:fldChar w:fldCharType="separate"/>
          </w:r>
          <w:r>
            <w:rPr>
              <w:sz w:val="28"/>
              <w:szCs w:val="32"/>
            </w:rPr>
            <w:t>34</w:t>
          </w:r>
          <w:r>
            <w:rPr>
              <w:sz w:val="28"/>
              <w:szCs w:val="32"/>
            </w:rPr>
            <w:fldChar w:fldCharType="end"/>
          </w:r>
          <w:r>
            <w:rPr>
              <w:sz w:val="28"/>
              <w:szCs w:val="32"/>
            </w:rPr>
            <w:fldChar w:fldCharType="end"/>
          </w:r>
        </w:p>
        <w:p w14:paraId="3C6F679A">
          <w:pPr>
            <w:pStyle w:val="23"/>
            <w:tabs>
              <w:tab w:val="right" w:leader="dot" w:pos="9185"/>
            </w:tabs>
            <w:adjustRightInd w:val="0"/>
            <w:snapToGrid w:val="0"/>
            <w:spacing w:line="360" w:lineRule="auto"/>
            <w:rPr>
              <w:b/>
              <w:bCs/>
              <w:sz w:val="28"/>
              <w:szCs w:val="32"/>
            </w:rPr>
          </w:pPr>
          <w:r>
            <w:fldChar w:fldCharType="begin"/>
          </w:r>
          <w:r>
            <w:instrText xml:space="preserve"> HYPERLINK \l "_Toc29949" </w:instrText>
          </w:r>
          <w:r>
            <w:fldChar w:fldCharType="separate"/>
          </w:r>
          <w:r>
            <w:rPr>
              <w:rFonts w:ascii="Times New Roman" w:hAnsi="Times New Roman" w:cs="Times New Roman"/>
              <w:b/>
              <w:bCs/>
              <w:sz w:val="28"/>
              <w:szCs w:val="32"/>
              <w:lang w:val="en-GB"/>
            </w:rPr>
            <w:t>3.定性定量评价</w:t>
          </w:r>
          <w:r>
            <w:rPr>
              <w:b/>
              <w:bCs/>
              <w:sz w:val="28"/>
              <w:szCs w:val="32"/>
            </w:rPr>
            <w:tab/>
          </w:r>
          <w:r>
            <w:rPr>
              <w:b/>
              <w:bCs/>
              <w:sz w:val="28"/>
              <w:szCs w:val="32"/>
            </w:rPr>
            <w:fldChar w:fldCharType="begin"/>
          </w:r>
          <w:r>
            <w:rPr>
              <w:b/>
              <w:bCs/>
              <w:sz w:val="28"/>
              <w:szCs w:val="32"/>
            </w:rPr>
            <w:instrText xml:space="preserve"> PAGEREF _Toc29949 \h </w:instrText>
          </w:r>
          <w:r>
            <w:rPr>
              <w:b/>
              <w:bCs/>
              <w:sz w:val="28"/>
              <w:szCs w:val="32"/>
            </w:rPr>
            <w:fldChar w:fldCharType="separate"/>
          </w:r>
          <w:r>
            <w:rPr>
              <w:b/>
              <w:bCs/>
              <w:sz w:val="28"/>
              <w:szCs w:val="32"/>
            </w:rPr>
            <w:t>62</w:t>
          </w:r>
          <w:r>
            <w:rPr>
              <w:b/>
              <w:bCs/>
              <w:sz w:val="28"/>
              <w:szCs w:val="32"/>
            </w:rPr>
            <w:fldChar w:fldCharType="end"/>
          </w:r>
          <w:r>
            <w:rPr>
              <w:b/>
              <w:bCs/>
              <w:sz w:val="28"/>
              <w:szCs w:val="32"/>
            </w:rPr>
            <w:fldChar w:fldCharType="end"/>
          </w:r>
        </w:p>
        <w:p w14:paraId="3A99616F">
          <w:pPr>
            <w:pStyle w:val="26"/>
            <w:tabs>
              <w:tab w:val="right" w:leader="dot" w:pos="9185"/>
            </w:tabs>
            <w:adjustRightInd w:val="0"/>
            <w:snapToGrid w:val="0"/>
            <w:spacing w:line="360" w:lineRule="auto"/>
            <w:rPr>
              <w:sz w:val="28"/>
              <w:szCs w:val="32"/>
            </w:rPr>
          </w:pPr>
          <w:r>
            <w:fldChar w:fldCharType="begin"/>
          </w:r>
          <w:r>
            <w:instrText xml:space="preserve"> HYPERLINK \l "_Toc23320" </w:instrText>
          </w:r>
          <w:r>
            <w:fldChar w:fldCharType="separate"/>
          </w:r>
          <w:r>
            <w:rPr>
              <w:rFonts w:ascii="Times New Roman" w:hAnsi="Times New Roman" w:cs="Times New Roman"/>
              <w:sz w:val="28"/>
              <w:szCs w:val="32"/>
              <w:lang w:val="en-GB"/>
            </w:rPr>
            <w:t>3.1总平面布置单元</w:t>
          </w:r>
          <w:r>
            <w:rPr>
              <w:sz w:val="28"/>
              <w:szCs w:val="32"/>
            </w:rPr>
            <w:tab/>
          </w:r>
          <w:r>
            <w:rPr>
              <w:sz w:val="28"/>
              <w:szCs w:val="32"/>
            </w:rPr>
            <w:fldChar w:fldCharType="begin"/>
          </w:r>
          <w:r>
            <w:rPr>
              <w:sz w:val="28"/>
              <w:szCs w:val="32"/>
            </w:rPr>
            <w:instrText xml:space="preserve"> PAGEREF _Toc23320 \h </w:instrText>
          </w:r>
          <w:r>
            <w:rPr>
              <w:sz w:val="28"/>
              <w:szCs w:val="32"/>
            </w:rPr>
            <w:fldChar w:fldCharType="separate"/>
          </w:r>
          <w:r>
            <w:rPr>
              <w:sz w:val="28"/>
              <w:szCs w:val="32"/>
            </w:rPr>
            <w:t>63</w:t>
          </w:r>
          <w:r>
            <w:rPr>
              <w:sz w:val="28"/>
              <w:szCs w:val="32"/>
            </w:rPr>
            <w:fldChar w:fldCharType="end"/>
          </w:r>
          <w:r>
            <w:rPr>
              <w:sz w:val="28"/>
              <w:szCs w:val="32"/>
            </w:rPr>
            <w:fldChar w:fldCharType="end"/>
          </w:r>
        </w:p>
        <w:p w14:paraId="6F83C426">
          <w:pPr>
            <w:pStyle w:val="26"/>
            <w:tabs>
              <w:tab w:val="right" w:leader="dot" w:pos="9185"/>
            </w:tabs>
            <w:adjustRightInd w:val="0"/>
            <w:snapToGrid w:val="0"/>
            <w:spacing w:line="360" w:lineRule="auto"/>
            <w:rPr>
              <w:sz w:val="28"/>
              <w:szCs w:val="32"/>
            </w:rPr>
          </w:pPr>
          <w:r>
            <w:fldChar w:fldCharType="begin"/>
          </w:r>
          <w:r>
            <w:instrText xml:space="preserve"> HYPERLINK \l "_Toc27348" </w:instrText>
          </w:r>
          <w:r>
            <w:fldChar w:fldCharType="separate"/>
          </w:r>
          <w:r>
            <w:rPr>
              <w:rFonts w:ascii="Times New Roman" w:hAnsi="Times New Roman" w:cs="Times New Roman"/>
              <w:sz w:val="28"/>
              <w:szCs w:val="32"/>
              <w:lang w:val="en-GB"/>
            </w:rPr>
            <w:t>3.2 矿山开拓运输单元</w:t>
          </w:r>
          <w:r>
            <w:rPr>
              <w:sz w:val="28"/>
              <w:szCs w:val="32"/>
            </w:rPr>
            <w:tab/>
          </w:r>
          <w:r>
            <w:rPr>
              <w:sz w:val="28"/>
              <w:szCs w:val="32"/>
            </w:rPr>
            <w:fldChar w:fldCharType="begin"/>
          </w:r>
          <w:r>
            <w:rPr>
              <w:sz w:val="28"/>
              <w:szCs w:val="32"/>
            </w:rPr>
            <w:instrText xml:space="preserve"> PAGEREF _Toc27348 \h </w:instrText>
          </w:r>
          <w:r>
            <w:rPr>
              <w:sz w:val="28"/>
              <w:szCs w:val="32"/>
            </w:rPr>
            <w:fldChar w:fldCharType="separate"/>
          </w:r>
          <w:r>
            <w:rPr>
              <w:sz w:val="28"/>
              <w:szCs w:val="32"/>
            </w:rPr>
            <w:t>69</w:t>
          </w:r>
          <w:r>
            <w:rPr>
              <w:sz w:val="28"/>
              <w:szCs w:val="32"/>
            </w:rPr>
            <w:fldChar w:fldCharType="end"/>
          </w:r>
          <w:r>
            <w:rPr>
              <w:sz w:val="28"/>
              <w:szCs w:val="32"/>
            </w:rPr>
            <w:fldChar w:fldCharType="end"/>
          </w:r>
        </w:p>
        <w:p w14:paraId="407028CC">
          <w:pPr>
            <w:pStyle w:val="26"/>
            <w:tabs>
              <w:tab w:val="right" w:leader="dot" w:pos="9185"/>
            </w:tabs>
            <w:adjustRightInd w:val="0"/>
            <w:snapToGrid w:val="0"/>
            <w:spacing w:line="360" w:lineRule="auto"/>
            <w:rPr>
              <w:sz w:val="28"/>
              <w:szCs w:val="32"/>
            </w:rPr>
          </w:pPr>
          <w:r>
            <w:fldChar w:fldCharType="begin"/>
          </w:r>
          <w:r>
            <w:instrText xml:space="preserve"> HYPERLINK \l "_Toc12967" </w:instrText>
          </w:r>
          <w:r>
            <w:fldChar w:fldCharType="separate"/>
          </w:r>
          <w:r>
            <w:rPr>
              <w:rFonts w:ascii="Times New Roman" w:hAnsi="Times New Roman" w:cs="Times New Roman"/>
              <w:sz w:val="28"/>
              <w:szCs w:val="32"/>
              <w:lang w:val="en-GB"/>
            </w:rPr>
            <w:t>3.3 采剥单元</w:t>
          </w:r>
          <w:r>
            <w:rPr>
              <w:sz w:val="28"/>
              <w:szCs w:val="32"/>
            </w:rPr>
            <w:tab/>
          </w:r>
          <w:r>
            <w:rPr>
              <w:sz w:val="28"/>
              <w:szCs w:val="32"/>
            </w:rPr>
            <w:fldChar w:fldCharType="begin"/>
          </w:r>
          <w:r>
            <w:rPr>
              <w:sz w:val="28"/>
              <w:szCs w:val="32"/>
            </w:rPr>
            <w:instrText xml:space="preserve"> PAGEREF _Toc12967 \h </w:instrText>
          </w:r>
          <w:r>
            <w:rPr>
              <w:sz w:val="28"/>
              <w:szCs w:val="32"/>
            </w:rPr>
            <w:fldChar w:fldCharType="separate"/>
          </w:r>
          <w:r>
            <w:rPr>
              <w:sz w:val="28"/>
              <w:szCs w:val="32"/>
            </w:rPr>
            <w:t>72</w:t>
          </w:r>
          <w:r>
            <w:rPr>
              <w:sz w:val="28"/>
              <w:szCs w:val="32"/>
            </w:rPr>
            <w:fldChar w:fldCharType="end"/>
          </w:r>
          <w:r>
            <w:rPr>
              <w:sz w:val="28"/>
              <w:szCs w:val="32"/>
            </w:rPr>
            <w:fldChar w:fldCharType="end"/>
          </w:r>
        </w:p>
        <w:p w14:paraId="181E9FD1">
          <w:pPr>
            <w:pStyle w:val="26"/>
            <w:tabs>
              <w:tab w:val="right" w:leader="dot" w:pos="9185"/>
            </w:tabs>
            <w:adjustRightInd w:val="0"/>
            <w:snapToGrid w:val="0"/>
            <w:spacing w:line="360" w:lineRule="auto"/>
            <w:rPr>
              <w:sz w:val="28"/>
              <w:szCs w:val="32"/>
            </w:rPr>
          </w:pPr>
          <w:r>
            <w:fldChar w:fldCharType="begin"/>
          </w:r>
          <w:r>
            <w:instrText xml:space="preserve"> HYPERLINK \l "_Toc32391" </w:instrText>
          </w:r>
          <w:r>
            <w:fldChar w:fldCharType="separate"/>
          </w:r>
          <w:r>
            <w:rPr>
              <w:rFonts w:ascii="Times New Roman" w:hAnsi="Times New Roman" w:cs="Times New Roman"/>
              <w:sz w:val="28"/>
              <w:szCs w:val="32"/>
              <w:lang w:val="en-GB"/>
            </w:rPr>
            <w:t>3.4 供水系统单元</w:t>
          </w:r>
          <w:r>
            <w:rPr>
              <w:sz w:val="28"/>
              <w:szCs w:val="32"/>
            </w:rPr>
            <w:tab/>
          </w:r>
          <w:r>
            <w:rPr>
              <w:sz w:val="28"/>
              <w:szCs w:val="32"/>
            </w:rPr>
            <w:fldChar w:fldCharType="begin"/>
          </w:r>
          <w:r>
            <w:rPr>
              <w:sz w:val="28"/>
              <w:szCs w:val="32"/>
            </w:rPr>
            <w:instrText xml:space="preserve"> PAGEREF _Toc32391 \h </w:instrText>
          </w:r>
          <w:r>
            <w:rPr>
              <w:sz w:val="28"/>
              <w:szCs w:val="32"/>
            </w:rPr>
            <w:fldChar w:fldCharType="separate"/>
          </w:r>
          <w:r>
            <w:rPr>
              <w:sz w:val="28"/>
              <w:szCs w:val="32"/>
            </w:rPr>
            <w:t>94</w:t>
          </w:r>
          <w:r>
            <w:rPr>
              <w:sz w:val="28"/>
              <w:szCs w:val="32"/>
            </w:rPr>
            <w:fldChar w:fldCharType="end"/>
          </w:r>
          <w:r>
            <w:rPr>
              <w:sz w:val="28"/>
              <w:szCs w:val="32"/>
            </w:rPr>
            <w:fldChar w:fldCharType="end"/>
          </w:r>
        </w:p>
        <w:p w14:paraId="5E67BBA7">
          <w:pPr>
            <w:pStyle w:val="26"/>
            <w:tabs>
              <w:tab w:val="right" w:leader="dot" w:pos="9185"/>
            </w:tabs>
            <w:adjustRightInd w:val="0"/>
            <w:snapToGrid w:val="0"/>
            <w:spacing w:line="360" w:lineRule="auto"/>
            <w:rPr>
              <w:sz w:val="28"/>
              <w:szCs w:val="32"/>
            </w:rPr>
          </w:pPr>
          <w:r>
            <w:fldChar w:fldCharType="begin"/>
          </w:r>
          <w:r>
            <w:instrText xml:space="preserve"> HYPERLINK \l "_Toc22410" </w:instrText>
          </w:r>
          <w:r>
            <w:fldChar w:fldCharType="separate"/>
          </w:r>
          <w:r>
            <w:rPr>
              <w:rFonts w:ascii="Times New Roman" w:hAnsi="Times New Roman" w:cs="Times New Roman"/>
              <w:sz w:val="28"/>
              <w:szCs w:val="32"/>
              <w:lang w:val="en-GB"/>
            </w:rPr>
            <w:t>3.5 防尘单元</w:t>
          </w:r>
          <w:r>
            <w:rPr>
              <w:sz w:val="28"/>
              <w:szCs w:val="32"/>
            </w:rPr>
            <w:tab/>
          </w:r>
          <w:r>
            <w:rPr>
              <w:sz w:val="28"/>
              <w:szCs w:val="32"/>
            </w:rPr>
            <w:fldChar w:fldCharType="begin"/>
          </w:r>
          <w:r>
            <w:rPr>
              <w:sz w:val="28"/>
              <w:szCs w:val="32"/>
            </w:rPr>
            <w:instrText xml:space="preserve"> PAGEREF _Toc22410 \h </w:instrText>
          </w:r>
          <w:r>
            <w:rPr>
              <w:sz w:val="28"/>
              <w:szCs w:val="32"/>
            </w:rPr>
            <w:fldChar w:fldCharType="separate"/>
          </w:r>
          <w:r>
            <w:rPr>
              <w:sz w:val="28"/>
              <w:szCs w:val="32"/>
            </w:rPr>
            <w:t>94</w:t>
          </w:r>
          <w:r>
            <w:rPr>
              <w:sz w:val="28"/>
              <w:szCs w:val="32"/>
            </w:rPr>
            <w:fldChar w:fldCharType="end"/>
          </w:r>
          <w:r>
            <w:rPr>
              <w:sz w:val="28"/>
              <w:szCs w:val="32"/>
            </w:rPr>
            <w:fldChar w:fldCharType="end"/>
          </w:r>
        </w:p>
        <w:p w14:paraId="55BD0D6F">
          <w:pPr>
            <w:pStyle w:val="26"/>
            <w:tabs>
              <w:tab w:val="right" w:leader="dot" w:pos="9185"/>
            </w:tabs>
            <w:adjustRightInd w:val="0"/>
            <w:snapToGrid w:val="0"/>
            <w:spacing w:line="360" w:lineRule="auto"/>
            <w:rPr>
              <w:sz w:val="28"/>
              <w:szCs w:val="32"/>
            </w:rPr>
          </w:pPr>
          <w:r>
            <w:fldChar w:fldCharType="begin"/>
          </w:r>
          <w:r>
            <w:instrText xml:space="preserve"> HYPERLINK \l "_Toc25228" </w:instrText>
          </w:r>
          <w:r>
            <w:fldChar w:fldCharType="separate"/>
          </w:r>
          <w:r>
            <w:rPr>
              <w:rFonts w:ascii="Times New Roman" w:hAnsi="Times New Roman" w:cs="Times New Roman"/>
              <w:sz w:val="28"/>
              <w:szCs w:val="32"/>
              <w:lang w:val="en-GB"/>
            </w:rPr>
            <w:t>3.6 矿山电气单元</w:t>
          </w:r>
          <w:r>
            <w:rPr>
              <w:sz w:val="28"/>
              <w:szCs w:val="32"/>
            </w:rPr>
            <w:tab/>
          </w:r>
          <w:r>
            <w:rPr>
              <w:sz w:val="28"/>
              <w:szCs w:val="32"/>
            </w:rPr>
            <w:fldChar w:fldCharType="begin"/>
          </w:r>
          <w:r>
            <w:rPr>
              <w:sz w:val="28"/>
              <w:szCs w:val="32"/>
            </w:rPr>
            <w:instrText xml:space="preserve"> PAGEREF _Toc25228 \h </w:instrText>
          </w:r>
          <w:r>
            <w:rPr>
              <w:sz w:val="28"/>
              <w:szCs w:val="32"/>
            </w:rPr>
            <w:fldChar w:fldCharType="separate"/>
          </w:r>
          <w:r>
            <w:rPr>
              <w:sz w:val="28"/>
              <w:szCs w:val="32"/>
            </w:rPr>
            <w:t>96</w:t>
          </w:r>
          <w:r>
            <w:rPr>
              <w:sz w:val="28"/>
              <w:szCs w:val="32"/>
            </w:rPr>
            <w:fldChar w:fldCharType="end"/>
          </w:r>
          <w:r>
            <w:rPr>
              <w:sz w:val="28"/>
              <w:szCs w:val="32"/>
            </w:rPr>
            <w:fldChar w:fldCharType="end"/>
          </w:r>
        </w:p>
        <w:p w14:paraId="25E2275C">
          <w:pPr>
            <w:pStyle w:val="26"/>
            <w:tabs>
              <w:tab w:val="right" w:leader="dot" w:pos="9185"/>
            </w:tabs>
            <w:adjustRightInd w:val="0"/>
            <w:snapToGrid w:val="0"/>
            <w:spacing w:line="360" w:lineRule="auto"/>
            <w:rPr>
              <w:sz w:val="28"/>
              <w:szCs w:val="32"/>
            </w:rPr>
          </w:pPr>
          <w:r>
            <w:fldChar w:fldCharType="begin"/>
          </w:r>
          <w:r>
            <w:instrText xml:space="preserve"> HYPERLINK \l "_Toc23450" </w:instrText>
          </w:r>
          <w:r>
            <w:fldChar w:fldCharType="separate"/>
          </w:r>
          <w:r>
            <w:rPr>
              <w:rFonts w:ascii="Times New Roman" w:hAnsi="Times New Roman" w:cs="Times New Roman"/>
              <w:sz w:val="28"/>
              <w:szCs w:val="32"/>
              <w:lang w:val="en-GB"/>
            </w:rPr>
            <w:t>3.7 防排水与防灭火单元</w:t>
          </w:r>
          <w:r>
            <w:rPr>
              <w:sz w:val="28"/>
              <w:szCs w:val="32"/>
            </w:rPr>
            <w:tab/>
          </w:r>
          <w:r>
            <w:rPr>
              <w:sz w:val="28"/>
              <w:szCs w:val="32"/>
            </w:rPr>
            <w:fldChar w:fldCharType="begin"/>
          </w:r>
          <w:r>
            <w:rPr>
              <w:sz w:val="28"/>
              <w:szCs w:val="32"/>
            </w:rPr>
            <w:instrText xml:space="preserve"> PAGEREF _Toc23450 \h </w:instrText>
          </w:r>
          <w:r>
            <w:rPr>
              <w:sz w:val="28"/>
              <w:szCs w:val="32"/>
            </w:rPr>
            <w:fldChar w:fldCharType="separate"/>
          </w:r>
          <w:r>
            <w:rPr>
              <w:sz w:val="28"/>
              <w:szCs w:val="32"/>
            </w:rPr>
            <w:t>99</w:t>
          </w:r>
          <w:r>
            <w:rPr>
              <w:sz w:val="28"/>
              <w:szCs w:val="32"/>
            </w:rPr>
            <w:fldChar w:fldCharType="end"/>
          </w:r>
          <w:r>
            <w:rPr>
              <w:sz w:val="28"/>
              <w:szCs w:val="32"/>
            </w:rPr>
            <w:fldChar w:fldCharType="end"/>
          </w:r>
        </w:p>
        <w:p w14:paraId="7F4B6190">
          <w:pPr>
            <w:pStyle w:val="26"/>
            <w:tabs>
              <w:tab w:val="right" w:leader="dot" w:pos="9185"/>
            </w:tabs>
            <w:adjustRightInd w:val="0"/>
            <w:snapToGrid w:val="0"/>
            <w:spacing w:line="360" w:lineRule="auto"/>
            <w:rPr>
              <w:sz w:val="28"/>
              <w:szCs w:val="32"/>
            </w:rPr>
          </w:pPr>
          <w:r>
            <w:fldChar w:fldCharType="begin"/>
          </w:r>
          <w:r>
            <w:instrText xml:space="preserve"> HYPERLINK \l "_Toc19874" </w:instrText>
          </w:r>
          <w:r>
            <w:fldChar w:fldCharType="separate"/>
          </w:r>
          <w:r>
            <w:rPr>
              <w:rFonts w:ascii="Times New Roman" w:hAnsi="Times New Roman" w:cs="Times New Roman"/>
              <w:sz w:val="28"/>
              <w:szCs w:val="32"/>
              <w:lang w:val="en-GB"/>
            </w:rPr>
            <w:t>3.8 安全管理单元</w:t>
          </w:r>
          <w:r>
            <w:rPr>
              <w:sz w:val="28"/>
              <w:szCs w:val="32"/>
            </w:rPr>
            <w:tab/>
          </w:r>
          <w:r>
            <w:rPr>
              <w:sz w:val="28"/>
              <w:szCs w:val="32"/>
            </w:rPr>
            <w:fldChar w:fldCharType="begin"/>
          </w:r>
          <w:r>
            <w:rPr>
              <w:sz w:val="28"/>
              <w:szCs w:val="32"/>
            </w:rPr>
            <w:instrText xml:space="preserve"> PAGEREF _Toc19874 \h </w:instrText>
          </w:r>
          <w:r>
            <w:rPr>
              <w:sz w:val="28"/>
              <w:szCs w:val="32"/>
            </w:rPr>
            <w:fldChar w:fldCharType="separate"/>
          </w:r>
          <w:r>
            <w:rPr>
              <w:sz w:val="28"/>
              <w:szCs w:val="32"/>
            </w:rPr>
            <w:t>101</w:t>
          </w:r>
          <w:r>
            <w:rPr>
              <w:sz w:val="28"/>
              <w:szCs w:val="32"/>
            </w:rPr>
            <w:fldChar w:fldCharType="end"/>
          </w:r>
          <w:r>
            <w:rPr>
              <w:sz w:val="28"/>
              <w:szCs w:val="32"/>
            </w:rPr>
            <w:fldChar w:fldCharType="end"/>
          </w:r>
        </w:p>
        <w:p w14:paraId="69F4D80C">
          <w:pPr>
            <w:pStyle w:val="26"/>
            <w:tabs>
              <w:tab w:val="right" w:leader="dot" w:pos="9185"/>
            </w:tabs>
            <w:adjustRightInd w:val="0"/>
            <w:snapToGrid w:val="0"/>
            <w:spacing w:line="360" w:lineRule="auto"/>
            <w:rPr>
              <w:sz w:val="28"/>
              <w:szCs w:val="32"/>
            </w:rPr>
          </w:pPr>
          <w:r>
            <w:fldChar w:fldCharType="begin"/>
          </w:r>
          <w:r>
            <w:instrText xml:space="preserve"> HYPERLINK \l "_Toc7583" </w:instrText>
          </w:r>
          <w:r>
            <w:fldChar w:fldCharType="separate"/>
          </w:r>
          <w:r>
            <w:rPr>
              <w:rFonts w:ascii="Times New Roman" w:hAnsi="Times New Roman" w:cs="Times New Roman"/>
              <w:sz w:val="28"/>
              <w:szCs w:val="32"/>
              <w:lang w:val="en-GB"/>
            </w:rPr>
            <w:t>3.</w:t>
          </w:r>
          <w:r>
            <w:rPr>
              <w:rFonts w:ascii="Times New Roman" w:hAnsi="Times New Roman" w:cs="Times New Roman"/>
              <w:sz w:val="28"/>
              <w:szCs w:val="32"/>
            </w:rPr>
            <w:t>9</w:t>
          </w:r>
          <w:r>
            <w:rPr>
              <w:rFonts w:ascii="Times New Roman" w:hAnsi="Times New Roman" w:cs="Times New Roman"/>
              <w:sz w:val="28"/>
              <w:szCs w:val="32"/>
              <w:lang w:val="en-GB"/>
            </w:rPr>
            <w:t xml:space="preserve"> 排土场单元</w:t>
          </w:r>
          <w:r>
            <w:rPr>
              <w:sz w:val="28"/>
              <w:szCs w:val="32"/>
            </w:rPr>
            <w:tab/>
          </w:r>
          <w:r>
            <w:rPr>
              <w:sz w:val="28"/>
              <w:szCs w:val="32"/>
            </w:rPr>
            <w:fldChar w:fldCharType="begin"/>
          </w:r>
          <w:r>
            <w:rPr>
              <w:sz w:val="28"/>
              <w:szCs w:val="32"/>
            </w:rPr>
            <w:instrText xml:space="preserve"> PAGEREF _Toc7583 \h </w:instrText>
          </w:r>
          <w:r>
            <w:rPr>
              <w:sz w:val="28"/>
              <w:szCs w:val="32"/>
            </w:rPr>
            <w:fldChar w:fldCharType="separate"/>
          </w:r>
          <w:r>
            <w:rPr>
              <w:sz w:val="28"/>
              <w:szCs w:val="32"/>
            </w:rPr>
            <w:t>107</w:t>
          </w:r>
          <w:r>
            <w:rPr>
              <w:sz w:val="28"/>
              <w:szCs w:val="32"/>
            </w:rPr>
            <w:fldChar w:fldCharType="end"/>
          </w:r>
          <w:r>
            <w:rPr>
              <w:sz w:val="28"/>
              <w:szCs w:val="32"/>
            </w:rPr>
            <w:fldChar w:fldCharType="end"/>
          </w:r>
        </w:p>
        <w:p w14:paraId="06199FDE">
          <w:pPr>
            <w:pStyle w:val="26"/>
            <w:tabs>
              <w:tab w:val="right" w:leader="dot" w:pos="9185"/>
            </w:tabs>
            <w:adjustRightInd w:val="0"/>
            <w:snapToGrid w:val="0"/>
            <w:spacing w:line="360" w:lineRule="auto"/>
            <w:rPr>
              <w:sz w:val="28"/>
              <w:szCs w:val="32"/>
            </w:rPr>
          </w:pPr>
          <w:r>
            <w:fldChar w:fldCharType="begin"/>
          </w:r>
          <w:r>
            <w:instrText xml:space="preserve"> HYPERLINK \l "_Toc16986" </w:instrText>
          </w:r>
          <w:r>
            <w:fldChar w:fldCharType="separate"/>
          </w:r>
          <w:r>
            <w:rPr>
              <w:rFonts w:ascii="Times New Roman" w:hAnsi="Times New Roman" w:cs="Times New Roman"/>
              <w:sz w:val="28"/>
              <w:szCs w:val="32"/>
              <w:lang w:val="en-GB"/>
            </w:rPr>
            <w:t>3.</w:t>
          </w:r>
          <w:r>
            <w:rPr>
              <w:rFonts w:hint="eastAsia" w:ascii="Times New Roman" w:hAnsi="Times New Roman" w:cs="Times New Roman"/>
              <w:sz w:val="28"/>
              <w:szCs w:val="32"/>
            </w:rPr>
            <w:t>10</w:t>
          </w:r>
          <w:r>
            <w:rPr>
              <w:rFonts w:ascii="Times New Roman" w:hAnsi="Times New Roman" w:cs="Times New Roman"/>
              <w:sz w:val="28"/>
              <w:szCs w:val="32"/>
              <w:lang w:val="en-GB"/>
            </w:rPr>
            <w:t xml:space="preserve"> 重大危险源辨识</w:t>
          </w:r>
          <w:r>
            <w:rPr>
              <w:sz w:val="28"/>
              <w:szCs w:val="32"/>
            </w:rPr>
            <w:tab/>
          </w:r>
          <w:r>
            <w:rPr>
              <w:sz w:val="28"/>
              <w:szCs w:val="32"/>
            </w:rPr>
            <w:fldChar w:fldCharType="begin"/>
          </w:r>
          <w:r>
            <w:rPr>
              <w:sz w:val="28"/>
              <w:szCs w:val="32"/>
            </w:rPr>
            <w:instrText xml:space="preserve"> PAGEREF _Toc16986 \h </w:instrText>
          </w:r>
          <w:r>
            <w:rPr>
              <w:sz w:val="28"/>
              <w:szCs w:val="32"/>
            </w:rPr>
            <w:fldChar w:fldCharType="separate"/>
          </w:r>
          <w:r>
            <w:rPr>
              <w:sz w:val="28"/>
              <w:szCs w:val="32"/>
            </w:rPr>
            <w:t>111</w:t>
          </w:r>
          <w:r>
            <w:rPr>
              <w:sz w:val="28"/>
              <w:szCs w:val="32"/>
            </w:rPr>
            <w:fldChar w:fldCharType="end"/>
          </w:r>
          <w:r>
            <w:rPr>
              <w:sz w:val="28"/>
              <w:szCs w:val="32"/>
            </w:rPr>
            <w:fldChar w:fldCharType="end"/>
          </w:r>
        </w:p>
        <w:p w14:paraId="43343E54">
          <w:pPr>
            <w:pStyle w:val="23"/>
            <w:tabs>
              <w:tab w:val="right" w:leader="dot" w:pos="9185"/>
            </w:tabs>
            <w:adjustRightInd w:val="0"/>
            <w:snapToGrid w:val="0"/>
            <w:spacing w:line="360" w:lineRule="auto"/>
            <w:rPr>
              <w:b/>
              <w:bCs/>
              <w:sz w:val="28"/>
              <w:szCs w:val="32"/>
            </w:rPr>
          </w:pPr>
          <w:r>
            <w:fldChar w:fldCharType="begin"/>
          </w:r>
          <w:r>
            <w:instrText xml:space="preserve"> HYPERLINK \l "_Toc16709" </w:instrText>
          </w:r>
          <w:r>
            <w:fldChar w:fldCharType="separate"/>
          </w:r>
          <w:r>
            <w:rPr>
              <w:rFonts w:ascii="Times New Roman" w:hAnsi="Times New Roman" w:cs="Times New Roman"/>
              <w:b/>
              <w:bCs/>
              <w:sz w:val="28"/>
              <w:szCs w:val="32"/>
              <w:lang w:val="en-GB"/>
            </w:rPr>
            <w:t>4.安全对策措施建议</w:t>
          </w:r>
          <w:r>
            <w:rPr>
              <w:b/>
              <w:bCs/>
              <w:sz w:val="28"/>
              <w:szCs w:val="32"/>
            </w:rPr>
            <w:tab/>
          </w:r>
          <w:r>
            <w:rPr>
              <w:b/>
              <w:bCs/>
              <w:sz w:val="28"/>
              <w:szCs w:val="32"/>
            </w:rPr>
            <w:fldChar w:fldCharType="begin"/>
          </w:r>
          <w:r>
            <w:rPr>
              <w:b/>
              <w:bCs/>
              <w:sz w:val="28"/>
              <w:szCs w:val="32"/>
            </w:rPr>
            <w:instrText xml:space="preserve"> PAGEREF _Toc16709 \h </w:instrText>
          </w:r>
          <w:r>
            <w:rPr>
              <w:b/>
              <w:bCs/>
              <w:sz w:val="28"/>
              <w:szCs w:val="32"/>
            </w:rPr>
            <w:fldChar w:fldCharType="separate"/>
          </w:r>
          <w:r>
            <w:rPr>
              <w:b/>
              <w:bCs/>
              <w:sz w:val="28"/>
              <w:szCs w:val="32"/>
            </w:rPr>
            <w:t>112</w:t>
          </w:r>
          <w:r>
            <w:rPr>
              <w:b/>
              <w:bCs/>
              <w:sz w:val="28"/>
              <w:szCs w:val="32"/>
            </w:rPr>
            <w:fldChar w:fldCharType="end"/>
          </w:r>
          <w:r>
            <w:rPr>
              <w:b/>
              <w:bCs/>
              <w:sz w:val="28"/>
              <w:szCs w:val="32"/>
            </w:rPr>
            <w:fldChar w:fldCharType="end"/>
          </w:r>
        </w:p>
        <w:p w14:paraId="6BCC8A67">
          <w:pPr>
            <w:pStyle w:val="26"/>
            <w:tabs>
              <w:tab w:val="right" w:leader="dot" w:pos="9185"/>
            </w:tabs>
            <w:adjustRightInd w:val="0"/>
            <w:snapToGrid w:val="0"/>
            <w:spacing w:line="360" w:lineRule="auto"/>
            <w:rPr>
              <w:sz w:val="28"/>
              <w:szCs w:val="32"/>
            </w:rPr>
          </w:pPr>
          <w:r>
            <w:fldChar w:fldCharType="begin"/>
          </w:r>
          <w:r>
            <w:instrText xml:space="preserve"> HYPERLINK \l "_Toc15263" </w:instrText>
          </w:r>
          <w:r>
            <w:fldChar w:fldCharType="separate"/>
          </w:r>
          <w:r>
            <w:rPr>
              <w:rFonts w:ascii="Times New Roman" w:hAnsi="Times New Roman" w:cs="Times New Roman"/>
              <w:sz w:val="28"/>
              <w:szCs w:val="32"/>
              <w:lang w:val="en-GB"/>
            </w:rPr>
            <w:t>4.1 安全对策措施建议的主要原则</w:t>
          </w:r>
          <w:r>
            <w:rPr>
              <w:sz w:val="28"/>
              <w:szCs w:val="32"/>
            </w:rPr>
            <w:tab/>
          </w:r>
          <w:r>
            <w:rPr>
              <w:sz w:val="28"/>
              <w:szCs w:val="32"/>
            </w:rPr>
            <w:fldChar w:fldCharType="begin"/>
          </w:r>
          <w:r>
            <w:rPr>
              <w:sz w:val="28"/>
              <w:szCs w:val="32"/>
            </w:rPr>
            <w:instrText xml:space="preserve"> PAGEREF _Toc15263 \h </w:instrText>
          </w:r>
          <w:r>
            <w:rPr>
              <w:sz w:val="28"/>
              <w:szCs w:val="32"/>
            </w:rPr>
            <w:fldChar w:fldCharType="separate"/>
          </w:r>
          <w:r>
            <w:rPr>
              <w:sz w:val="28"/>
              <w:szCs w:val="32"/>
            </w:rPr>
            <w:t>112</w:t>
          </w:r>
          <w:r>
            <w:rPr>
              <w:sz w:val="28"/>
              <w:szCs w:val="32"/>
            </w:rPr>
            <w:fldChar w:fldCharType="end"/>
          </w:r>
          <w:r>
            <w:rPr>
              <w:sz w:val="28"/>
              <w:szCs w:val="32"/>
            </w:rPr>
            <w:fldChar w:fldCharType="end"/>
          </w:r>
        </w:p>
        <w:p w14:paraId="04A4F8F9">
          <w:pPr>
            <w:pStyle w:val="26"/>
            <w:tabs>
              <w:tab w:val="right" w:leader="dot" w:pos="9185"/>
            </w:tabs>
            <w:adjustRightInd w:val="0"/>
            <w:snapToGrid w:val="0"/>
            <w:spacing w:line="360" w:lineRule="auto"/>
            <w:rPr>
              <w:sz w:val="28"/>
              <w:szCs w:val="32"/>
            </w:rPr>
          </w:pPr>
          <w:r>
            <w:fldChar w:fldCharType="begin"/>
          </w:r>
          <w:r>
            <w:instrText xml:space="preserve"> HYPERLINK \l "_Toc27635" </w:instrText>
          </w:r>
          <w:r>
            <w:fldChar w:fldCharType="separate"/>
          </w:r>
          <w:r>
            <w:rPr>
              <w:rFonts w:ascii="Times New Roman" w:hAnsi="Times New Roman" w:cs="Times New Roman"/>
              <w:sz w:val="28"/>
              <w:szCs w:val="32"/>
              <w:lang w:val="en-GB"/>
            </w:rPr>
            <w:t>4.2 初步设计方案中提出的主要问题及建议</w:t>
          </w:r>
          <w:r>
            <w:rPr>
              <w:sz w:val="28"/>
              <w:szCs w:val="32"/>
            </w:rPr>
            <w:tab/>
          </w:r>
          <w:r>
            <w:rPr>
              <w:sz w:val="28"/>
              <w:szCs w:val="32"/>
            </w:rPr>
            <w:fldChar w:fldCharType="begin"/>
          </w:r>
          <w:r>
            <w:rPr>
              <w:sz w:val="28"/>
              <w:szCs w:val="32"/>
            </w:rPr>
            <w:instrText xml:space="preserve"> PAGEREF _Toc27635 \h </w:instrText>
          </w:r>
          <w:r>
            <w:rPr>
              <w:sz w:val="28"/>
              <w:szCs w:val="32"/>
            </w:rPr>
            <w:fldChar w:fldCharType="separate"/>
          </w:r>
          <w:r>
            <w:rPr>
              <w:sz w:val="28"/>
              <w:szCs w:val="32"/>
            </w:rPr>
            <w:t>112</w:t>
          </w:r>
          <w:r>
            <w:rPr>
              <w:sz w:val="28"/>
              <w:szCs w:val="32"/>
            </w:rPr>
            <w:fldChar w:fldCharType="end"/>
          </w:r>
          <w:r>
            <w:rPr>
              <w:sz w:val="28"/>
              <w:szCs w:val="32"/>
            </w:rPr>
            <w:fldChar w:fldCharType="end"/>
          </w:r>
        </w:p>
        <w:p w14:paraId="6415FB91">
          <w:pPr>
            <w:pStyle w:val="26"/>
            <w:tabs>
              <w:tab w:val="right" w:leader="dot" w:pos="9185"/>
            </w:tabs>
            <w:adjustRightInd w:val="0"/>
            <w:snapToGrid w:val="0"/>
            <w:spacing w:line="360" w:lineRule="auto"/>
            <w:rPr>
              <w:sz w:val="28"/>
              <w:szCs w:val="32"/>
            </w:rPr>
          </w:pPr>
          <w:r>
            <w:fldChar w:fldCharType="begin"/>
          </w:r>
          <w:r>
            <w:instrText xml:space="preserve"> HYPERLINK \l "_Toc11965" </w:instrText>
          </w:r>
          <w:r>
            <w:fldChar w:fldCharType="separate"/>
          </w:r>
          <w:r>
            <w:rPr>
              <w:rFonts w:ascii="Times New Roman" w:hAnsi="Times New Roman" w:cs="Times New Roman"/>
              <w:sz w:val="28"/>
              <w:szCs w:val="32"/>
              <w:lang w:val="en-GB"/>
            </w:rPr>
            <w:t>4.3 各单元安全对策措施建议</w:t>
          </w:r>
          <w:r>
            <w:rPr>
              <w:sz w:val="28"/>
              <w:szCs w:val="32"/>
            </w:rPr>
            <w:tab/>
          </w:r>
          <w:r>
            <w:rPr>
              <w:sz w:val="28"/>
              <w:szCs w:val="32"/>
            </w:rPr>
            <w:fldChar w:fldCharType="begin"/>
          </w:r>
          <w:r>
            <w:rPr>
              <w:sz w:val="28"/>
              <w:szCs w:val="32"/>
            </w:rPr>
            <w:instrText xml:space="preserve"> PAGEREF _Toc11965 \h </w:instrText>
          </w:r>
          <w:r>
            <w:rPr>
              <w:sz w:val="28"/>
              <w:szCs w:val="32"/>
            </w:rPr>
            <w:fldChar w:fldCharType="separate"/>
          </w:r>
          <w:r>
            <w:rPr>
              <w:sz w:val="28"/>
              <w:szCs w:val="32"/>
            </w:rPr>
            <w:t>113</w:t>
          </w:r>
          <w:r>
            <w:rPr>
              <w:sz w:val="28"/>
              <w:szCs w:val="32"/>
            </w:rPr>
            <w:fldChar w:fldCharType="end"/>
          </w:r>
          <w:r>
            <w:rPr>
              <w:sz w:val="28"/>
              <w:szCs w:val="32"/>
            </w:rPr>
            <w:fldChar w:fldCharType="end"/>
          </w:r>
        </w:p>
        <w:p w14:paraId="39DB4957">
          <w:pPr>
            <w:pStyle w:val="26"/>
            <w:tabs>
              <w:tab w:val="right" w:leader="dot" w:pos="9185"/>
            </w:tabs>
            <w:adjustRightInd w:val="0"/>
            <w:snapToGrid w:val="0"/>
            <w:spacing w:line="360" w:lineRule="auto"/>
            <w:rPr>
              <w:sz w:val="28"/>
              <w:szCs w:val="32"/>
            </w:rPr>
          </w:pPr>
          <w:r>
            <w:fldChar w:fldCharType="begin"/>
          </w:r>
          <w:r>
            <w:instrText xml:space="preserve"> HYPERLINK \l "_Toc5441" </w:instrText>
          </w:r>
          <w:r>
            <w:fldChar w:fldCharType="separate"/>
          </w:r>
          <w:r>
            <w:rPr>
              <w:rFonts w:ascii="Times New Roman" w:hAnsi="Times New Roman" w:cs="Times New Roman"/>
              <w:sz w:val="28"/>
              <w:szCs w:val="32"/>
              <w:lang w:val="en-GB"/>
            </w:rPr>
            <w:t>4.4 其他对策措施建议</w:t>
          </w:r>
          <w:r>
            <w:rPr>
              <w:sz w:val="28"/>
              <w:szCs w:val="32"/>
            </w:rPr>
            <w:tab/>
          </w:r>
          <w:r>
            <w:rPr>
              <w:sz w:val="28"/>
              <w:szCs w:val="32"/>
            </w:rPr>
            <w:fldChar w:fldCharType="begin"/>
          </w:r>
          <w:r>
            <w:rPr>
              <w:sz w:val="28"/>
              <w:szCs w:val="32"/>
            </w:rPr>
            <w:instrText xml:space="preserve"> PAGEREF _Toc5441 \h </w:instrText>
          </w:r>
          <w:r>
            <w:rPr>
              <w:sz w:val="28"/>
              <w:szCs w:val="32"/>
            </w:rPr>
            <w:fldChar w:fldCharType="separate"/>
          </w:r>
          <w:r>
            <w:rPr>
              <w:sz w:val="28"/>
              <w:szCs w:val="32"/>
            </w:rPr>
            <w:t>119</w:t>
          </w:r>
          <w:r>
            <w:rPr>
              <w:sz w:val="28"/>
              <w:szCs w:val="32"/>
            </w:rPr>
            <w:fldChar w:fldCharType="end"/>
          </w:r>
          <w:r>
            <w:rPr>
              <w:sz w:val="28"/>
              <w:szCs w:val="32"/>
            </w:rPr>
            <w:fldChar w:fldCharType="end"/>
          </w:r>
        </w:p>
        <w:p w14:paraId="611FAFC7">
          <w:pPr>
            <w:pStyle w:val="23"/>
            <w:tabs>
              <w:tab w:val="right" w:leader="dot" w:pos="9185"/>
            </w:tabs>
            <w:adjustRightInd w:val="0"/>
            <w:snapToGrid w:val="0"/>
            <w:spacing w:line="360" w:lineRule="auto"/>
            <w:rPr>
              <w:b/>
              <w:bCs/>
              <w:sz w:val="28"/>
              <w:szCs w:val="32"/>
            </w:rPr>
          </w:pPr>
          <w:r>
            <w:fldChar w:fldCharType="begin"/>
          </w:r>
          <w:r>
            <w:instrText xml:space="preserve"> HYPERLINK \l "_Toc5759" </w:instrText>
          </w:r>
          <w:r>
            <w:fldChar w:fldCharType="separate"/>
          </w:r>
          <w:r>
            <w:rPr>
              <w:rFonts w:ascii="Times New Roman" w:hAnsi="Times New Roman" w:cs="Times New Roman"/>
              <w:b/>
              <w:bCs/>
              <w:sz w:val="28"/>
              <w:szCs w:val="32"/>
              <w:lang w:val="en-GB"/>
            </w:rPr>
            <w:t>5.安全预评价结论</w:t>
          </w:r>
          <w:r>
            <w:rPr>
              <w:b/>
              <w:bCs/>
              <w:sz w:val="28"/>
              <w:szCs w:val="32"/>
            </w:rPr>
            <w:tab/>
          </w:r>
          <w:r>
            <w:rPr>
              <w:b/>
              <w:bCs/>
              <w:sz w:val="28"/>
              <w:szCs w:val="32"/>
            </w:rPr>
            <w:fldChar w:fldCharType="begin"/>
          </w:r>
          <w:r>
            <w:rPr>
              <w:b/>
              <w:bCs/>
              <w:sz w:val="28"/>
              <w:szCs w:val="32"/>
            </w:rPr>
            <w:instrText xml:space="preserve"> PAGEREF _Toc5759 \h </w:instrText>
          </w:r>
          <w:r>
            <w:rPr>
              <w:b/>
              <w:bCs/>
              <w:sz w:val="28"/>
              <w:szCs w:val="32"/>
            </w:rPr>
            <w:fldChar w:fldCharType="separate"/>
          </w:r>
          <w:r>
            <w:rPr>
              <w:b/>
              <w:bCs/>
              <w:sz w:val="28"/>
              <w:szCs w:val="32"/>
            </w:rPr>
            <w:t>121</w:t>
          </w:r>
          <w:r>
            <w:rPr>
              <w:b/>
              <w:bCs/>
              <w:sz w:val="28"/>
              <w:szCs w:val="32"/>
            </w:rPr>
            <w:fldChar w:fldCharType="end"/>
          </w:r>
          <w:r>
            <w:rPr>
              <w:b/>
              <w:bCs/>
              <w:sz w:val="28"/>
              <w:szCs w:val="32"/>
            </w:rPr>
            <w:fldChar w:fldCharType="end"/>
          </w:r>
        </w:p>
        <w:p w14:paraId="196EEC5A">
          <w:pPr>
            <w:pStyle w:val="26"/>
            <w:tabs>
              <w:tab w:val="right" w:leader="dot" w:pos="9185"/>
            </w:tabs>
            <w:adjustRightInd w:val="0"/>
            <w:snapToGrid w:val="0"/>
            <w:spacing w:line="360" w:lineRule="auto"/>
            <w:rPr>
              <w:sz w:val="28"/>
              <w:szCs w:val="32"/>
            </w:rPr>
          </w:pPr>
          <w:r>
            <w:fldChar w:fldCharType="begin"/>
          </w:r>
          <w:r>
            <w:instrText xml:space="preserve"> HYPERLINK \l "_Toc28692" </w:instrText>
          </w:r>
          <w:r>
            <w:fldChar w:fldCharType="separate"/>
          </w:r>
          <w:r>
            <w:rPr>
              <w:rFonts w:ascii="Times New Roman" w:hAnsi="Times New Roman" w:cs="Times New Roman"/>
              <w:sz w:val="28"/>
              <w:szCs w:val="32"/>
              <w:lang w:val="en-GB"/>
            </w:rPr>
            <w:t>5.1 主要危险、有害因素评价结果</w:t>
          </w:r>
          <w:r>
            <w:rPr>
              <w:sz w:val="28"/>
              <w:szCs w:val="32"/>
            </w:rPr>
            <w:tab/>
          </w:r>
          <w:r>
            <w:rPr>
              <w:sz w:val="28"/>
              <w:szCs w:val="32"/>
            </w:rPr>
            <w:fldChar w:fldCharType="begin"/>
          </w:r>
          <w:r>
            <w:rPr>
              <w:sz w:val="28"/>
              <w:szCs w:val="32"/>
            </w:rPr>
            <w:instrText xml:space="preserve"> PAGEREF _Toc28692 \h </w:instrText>
          </w:r>
          <w:r>
            <w:rPr>
              <w:sz w:val="28"/>
              <w:szCs w:val="32"/>
            </w:rPr>
            <w:fldChar w:fldCharType="separate"/>
          </w:r>
          <w:r>
            <w:rPr>
              <w:sz w:val="28"/>
              <w:szCs w:val="32"/>
            </w:rPr>
            <w:t>121</w:t>
          </w:r>
          <w:r>
            <w:rPr>
              <w:sz w:val="28"/>
              <w:szCs w:val="32"/>
            </w:rPr>
            <w:fldChar w:fldCharType="end"/>
          </w:r>
          <w:r>
            <w:rPr>
              <w:sz w:val="28"/>
              <w:szCs w:val="32"/>
            </w:rPr>
            <w:fldChar w:fldCharType="end"/>
          </w:r>
        </w:p>
        <w:p w14:paraId="271472D5">
          <w:pPr>
            <w:pStyle w:val="26"/>
            <w:tabs>
              <w:tab w:val="right" w:leader="dot" w:pos="9185"/>
            </w:tabs>
            <w:adjustRightInd w:val="0"/>
            <w:snapToGrid w:val="0"/>
            <w:spacing w:line="360" w:lineRule="auto"/>
            <w:rPr>
              <w:sz w:val="28"/>
              <w:szCs w:val="32"/>
            </w:rPr>
          </w:pPr>
          <w:r>
            <w:fldChar w:fldCharType="begin"/>
          </w:r>
          <w:r>
            <w:instrText xml:space="preserve"> HYPERLINK \l "_Toc6232" </w:instrText>
          </w:r>
          <w:r>
            <w:fldChar w:fldCharType="separate"/>
          </w:r>
          <w:r>
            <w:rPr>
              <w:rFonts w:ascii="Times New Roman" w:hAnsi="Times New Roman" w:cs="Times New Roman"/>
              <w:sz w:val="28"/>
              <w:szCs w:val="32"/>
              <w:lang w:val="en-GB"/>
            </w:rPr>
            <w:t>5.2 该项目应重点防范的危险、有害因素</w:t>
          </w:r>
          <w:r>
            <w:rPr>
              <w:sz w:val="28"/>
              <w:szCs w:val="32"/>
            </w:rPr>
            <w:tab/>
          </w:r>
          <w:r>
            <w:rPr>
              <w:sz w:val="28"/>
              <w:szCs w:val="32"/>
            </w:rPr>
            <w:fldChar w:fldCharType="begin"/>
          </w:r>
          <w:r>
            <w:rPr>
              <w:sz w:val="28"/>
              <w:szCs w:val="32"/>
            </w:rPr>
            <w:instrText xml:space="preserve"> PAGEREF _Toc6232 \h </w:instrText>
          </w:r>
          <w:r>
            <w:rPr>
              <w:sz w:val="28"/>
              <w:szCs w:val="32"/>
            </w:rPr>
            <w:fldChar w:fldCharType="separate"/>
          </w:r>
          <w:r>
            <w:rPr>
              <w:sz w:val="28"/>
              <w:szCs w:val="32"/>
            </w:rPr>
            <w:t>122</w:t>
          </w:r>
          <w:r>
            <w:rPr>
              <w:sz w:val="28"/>
              <w:szCs w:val="32"/>
            </w:rPr>
            <w:fldChar w:fldCharType="end"/>
          </w:r>
          <w:r>
            <w:rPr>
              <w:sz w:val="28"/>
              <w:szCs w:val="32"/>
            </w:rPr>
            <w:fldChar w:fldCharType="end"/>
          </w:r>
        </w:p>
        <w:p w14:paraId="6061D2AD">
          <w:pPr>
            <w:pStyle w:val="26"/>
            <w:tabs>
              <w:tab w:val="right" w:leader="dot" w:pos="9185"/>
            </w:tabs>
            <w:adjustRightInd w:val="0"/>
            <w:snapToGrid w:val="0"/>
            <w:spacing w:line="360" w:lineRule="auto"/>
            <w:rPr>
              <w:sz w:val="28"/>
              <w:szCs w:val="32"/>
            </w:rPr>
          </w:pPr>
          <w:r>
            <w:fldChar w:fldCharType="begin"/>
          </w:r>
          <w:r>
            <w:instrText xml:space="preserve"> HYPERLINK \l "_Toc22959" </w:instrText>
          </w:r>
          <w:r>
            <w:fldChar w:fldCharType="separate"/>
          </w:r>
          <w:r>
            <w:rPr>
              <w:rFonts w:ascii="Times New Roman" w:hAnsi="Times New Roman" w:cs="Times New Roman"/>
              <w:sz w:val="28"/>
              <w:szCs w:val="32"/>
              <w:lang w:val="en-GB"/>
            </w:rPr>
            <w:t>5.3 该项目应重视安全对策措施建议</w:t>
          </w:r>
          <w:r>
            <w:rPr>
              <w:sz w:val="28"/>
              <w:szCs w:val="32"/>
            </w:rPr>
            <w:tab/>
          </w:r>
          <w:r>
            <w:rPr>
              <w:sz w:val="28"/>
              <w:szCs w:val="32"/>
            </w:rPr>
            <w:fldChar w:fldCharType="begin"/>
          </w:r>
          <w:r>
            <w:rPr>
              <w:sz w:val="28"/>
              <w:szCs w:val="32"/>
            </w:rPr>
            <w:instrText xml:space="preserve"> PAGEREF _Toc22959 \h </w:instrText>
          </w:r>
          <w:r>
            <w:rPr>
              <w:sz w:val="28"/>
              <w:szCs w:val="32"/>
            </w:rPr>
            <w:fldChar w:fldCharType="separate"/>
          </w:r>
          <w:r>
            <w:rPr>
              <w:sz w:val="28"/>
              <w:szCs w:val="32"/>
            </w:rPr>
            <w:t>122</w:t>
          </w:r>
          <w:r>
            <w:rPr>
              <w:sz w:val="28"/>
              <w:szCs w:val="32"/>
            </w:rPr>
            <w:fldChar w:fldCharType="end"/>
          </w:r>
          <w:r>
            <w:rPr>
              <w:sz w:val="28"/>
              <w:szCs w:val="32"/>
            </w:rPr>
            <w:fldChar w:fldCharType="end"/>
          </w:r>
        </w:p>
        <w:p w14:paraId="50C1051A">
          <w:pPr>
            <w:pStyle w:val="26"/>
            <w:tabs>
              <w:tab w:val="right" w:leader="dot" w:pos="9185"/>
            </w:tabs>
            <w:adjustRightInd w:val="0"/>
            <w:snapToGrid w:val="0"/>
            <w:spacing w:line="360" w:lineRule="auto"/>
            <w:rPr>
              <w:sz w:val="28"/>
              <w:szCs w:val="32"/>
            </w:rPr>
          </w:pPr>
          <w:r>
            <w:fldChar w:fldCharType="begin"/>
          </w:r>
          <w:r>
            <w:instrText xml:space="preserve"> HYPERLINK \l "_Toc7093" </w:instrText>
          </w:r>
          <w:r>
            <w:fldChar w:fldCharType="separate"/>
          </w:r>
          <w:r>
            <w:rPr>
              <w:rFonts w:ascii="Times New Roman" w:hAnsi="Times New Roman" w:cs="Times New Roman"/>
              <w:sz w:val="28"/>
              <w:szCs w:val="32"/>
              <w:lang w:val="en-GB"/>
            </w:rPr>
            <w:t>5.4 评价结果综述</w:t>
          </w:r>
          <w:r>
            <w:rPr>
              <w:sz w:val="28"/>
              <w:szCs w:val="32"/>
            </w:rPr>
            <w:tab/>
          </w:r>
          <w:r>
            <w:rPr>
              <w:sz w:val="28"/>
              <w:szCs w:val="32"/>
            </w:rPr>
            <w:fldChar w:fldCharType="begin"/>
          </w:r>
          <w:r>
            <w:rPr>
              <w:sz w:val="28"/>
              <w:szCs w:val="32"/>
            </w:rPr>
            <w:instrText xml:space="preserve"> PAGEREF _Toc7093 \h </w:instrText>
          </w:r>
          <w:r>
            <w:rPr>
              <w:sz w:val="28"/>
              <w:szCs w:val="32"/>
            </w:rPr>
            <w:fldChar w:fldCharType="separate"/>
          </w:r>
          <w:r>
            <w:rPr>
              <w:sz w:val="28"/>
              <w:szCs w:val="32"/>
            </w:rPr>
            <w:t>125</w:t>
          </w:r>
          <w:r>
            <w:rPr>
              <w:sz w:val="28"/>
              <w:szCs w:val="32"/>
            </w:rPr>
            <w:fldChar w:fldCharType="end"/>
          </w:r>
          <w:r>
            <w:rPr>
              <w:sz w:val="28"/>
              <w:szCs w:val="32"/>
            </w:rPr>
            <w:fldChar w:fldCharType="end"/>
          </w:r>
        </w:p>
        <w:p w14:paraId="554184C1">
          <w:pPr>
            <w:pStyle w:val="26"/>
            <w:tabs>
              <w:tab w:val="right" w:leader="dot" w:pos="9185"/>
            </w:tabs>
            <w:adjustRightInd w:val="0"/>
            <w:snapToGrid w:val="0"/>
            <w:spacing w:line="360" w:lineRule="auto"/>
            <w:rPr>
              <w:sz w:val="28"/>
              <w:szCs w:val="32"/>
            </w:rPr>
          </w:pPr>
          <w:r>
            <w:fldChar w:fldCharType="begin"/>
          </w:r>
          <w:r>
            <w:instrText xml:space="preserve"> HYPERLINK \l "_Toc26167" </w:instrText>
          </w:r>
          <w:r>
            <w:fldChar w:fldCharType="separate"/>
          </w:r>
          <w:r>
            <w:rPr>
              <w:rFonts w:ascii="Times New Roman" w:hAnsi="Times New Roman" w:cs="Times New Roman"/>
              <w:sz w:val="28"/>
              <w:szCs w:val="32"/>
              <w:lang w:val="en-GB"/>
            </w:rPr>
            <w:t>5.5 安全预评价结论</w:t>
          </w:r>
          <w:r>
            <w:rPr>
              <w:sz w:val="28"/>
              <w:szCs w:val="32"/>
            </w:rPr>
            <w:tab/>
          </w:r>
          <w:r>
            <w:rPr>
              <w:sz w:val="28"/>
              <w:szCs w:val="32"/>
            </w:rPr>
            <w:fldChar w:fldCharType="begin"/>
          </w:r>
          <w:r>
            <w:rPr>
              <w:sz w:val="28"/>
              <w:szCs w:val="32"/>
            </w:rPr>
            <w:instrText xml:space="preserve"> PAGEREF _Toc26167 \h </w:instrText>
          </w:r>
          <w:r>
            <w:rPr>
              <w:sz w:val="28"/>
              <w:szCs w:val="32"/>
            </w:rPr>
            <w:fldChar w:fldCharType="separate"/>
          </w:r>
          <w:r>
            <w:rPr>
              <w:sz w:val="28"/>
              <w:szCs w:val="32"/>
            </w:rPr>
            <w:t>125</w:t>
          </w:r>
          <w:r>
            <w:rPr>
              <w:sz w:val="28"/>
              <w:szCs w:val="32"/>
            </w:rPr>
            <w:fldChar w:fldCharType="end"/>
          </w:r>
          <w:r>
            <w:rPr>
              <w:sz w:val="28"/>
              <w:szCs w:val="32"/>
            </w:rPr>
            <w:fldChar w:fldCharType="end"/>
          </w:r>
        </w:p>
        <w:p w14:paraId="4F4A2CDE">
          <w:pPr>
            <w:pStyle w:val="23"/>
            <w:tabs>
              <w:tab w:val="right" w:leader="dot" w:pos="9185"/>
            </w:tabs>
            <w:adjustRightInd w:val="0"/>
            <w:snapToGrid w:val="0"/>
            <w:spacing w:line="360" w:lineRule="auto"/>
            <w:rPr>
              <w:b/>
              <w:bCs/>
              <w:sz w:val="28"/>
              <w:szCs w:val="32"/>
            </w:rPr>
          </w:pPr>
          <w:r>
            <w:fldChar w:fldCharType="begin"/>
          </w:r>
          <w:r>
            <w:instrText xml:space="preserve"> HYPERLINK \l "_Toc11488" </w:instrText>
          </w:r>
          <w:r>
            <w:fldChar w:fldCharType="separate"/>
          </w:r>
          <w:r>
            <w:rPr>
              <w:rFonts w:ascii="Times New Roman" w:hAnsi="Times New Roman" w:cs="Times New Roman"/>
              <w:b/>
              <w:bCs/>
              <w:sz w:val="28"/>
              <w:szCs w:val="32"/>
              <w:lang w:val="en-GB"/>
            </w:rPr>
            <w:t>6.附件及附图</w:t>
          </w:r>
          <w:r>
            <w:rPr>
              <w:b/>
              <w:bCs/>
              <w:sz w:val="28"/>
              <w:szCs w:val="32"/>
            </w:rPr>
            <w:tab/>
          </w:r>
          <w:r>
            <w:rPr>
              <w:b/>
              <w:bCs/>
              <w:sz w:val="28"/>
              <w:szCs w:val="32"/>
            </w:rPr>
            <w:fldChar w:fldCharType="begin"/>
          </w:r>
          <w:r>
            <w:rPr>
              <w:b/>
              <w:bCs/>
              <w:sz w:val="28"/>
              <w:szCs w:val="32"/>
            </w:rPr>
            <w:instrText xml:space="preserve"> PAGEREF _Toc11488 \h </w:instrText>
          </w:r>
          <w:r>
            <w:rPr>
              <w:b/>
              <w:bCs/>
              <w:sz w:val="28"/>
              <w:szCs w:val="32"/>
            </w:rPr>
            <w:fldChar w:fldCharType="separate"/>
          </w:r>
          <w:r>
            <w:rPr>
              <w:b/>
              <w:bCs/>
              <w:sz w:val="28"/>
              <w:szCs w:val="32"/>
            </w:rPr>
            <w:t>127</w:t>
          </w:r>
          <w:r>
            <w:rPr>
              <w:b/>
              <w:bCs/>
              <w:sz w:val="28"/>
              <w:szCs w:val="32"/>
            </w:rPr>
            <w:fldChar w:fldCharType="end"/>
          </w:r>
          <w:r>
            <w:rPr>
              <w:b/>
              <w:bCs/>
              <w:sz w:val="28"/>
              <w:szCs w:val="32"/>
            </w:rPr>
            <w:fldChar w:fldCharType="end"/>
          </w:r>
        </w:p>
        <w:p w14:paraId="63DD32E3">
          <w:pPr>
            <w:pStyle w:val="26"/>
            <w:tabs>
              <w:tab w:val="right" w:leader="dot" w:pos="9185"/>
            </w:tabs>
            <w:adjustRightInd w:val="0"/>
            <w:snapToGrid w:val="0"/>
            <w:spacing w:line="360" w:lineRule="auto"/>
            <w:rPr>
              <w:sz w:val="28"/>
              <w:szCs w:val="32"/>
            </w:rPr>
          </w:pPr>
          <w:r>
            <w:fldChar w:fldCharType="begin"/>
          </w:r>
          <w:r>
            <w:instrText xml:space="preserve"> HYPERLINK \l "_Toc7812" </w:instrText>
          </w:r>
          <w:r>
            <w:fldChar w:fldCharType="separate"/>
          </w:r>
          <w:r>
            <w:rPr>
              <w:rFonts w:ascii="Times New Roman" w:hAnsi="Times New Roman" w:cs="Times New Roman"/>
              <w:sz w:val="28"/>
              <w:szCs w:val="32"/>
              <w:lang w:val="en-GB"/>
            </w:rPr>
            <w:t>6.1 附件</w:t>
          </w:r>
          <w:r>
            <w:rPr>
              <w:sz w:val="28"/>
              <w:szCs w:val="32"/>
            </w:rPr>
            <w:tab/>
          </w:r>
          <w:r>
            <w:rPr>
              <w:sz w:val="28"/>
              <w:szCs w:val="32"/>
            </w:rPr>
            <w:fldChar w:fldCharType="begin"/>
          </w:r>
          <w:r>
            <w:rPr>
              <w:sz w:val="28"/>
              <w:szCs w:val="32"/>
            </w:rPr>
            <w:instrText xml:space="preserve"> PAGEREF _Toc7812 \h </w:instrText>
          </w:r>
          <w:r>
            <w:rPr>
              <w:sz w:val="28"/>
              <w:szCs w:val="32"/>
            </w:rPr>
            <w:fldChar w:fldCharType="separate"/>
          </w:r>
          <w:r>
            <w:rPr>
              <w:sz w:val="28"/>
              <w:szCs w:val="32"/>
            </w:rPr>
            <w:t>127</w:t>
          </w:r>
          <w:r>
            <w:rPr>
              <w:sz w:val="28"/>
              <w:szCs w:val="32"/>
            </w:rPr>
            <w:fldChar w:fldCharType="end"/>
          </w:r>
          <w:r>
            <w:rPr>
              <w:sz w:val="28"/>
              <w:szCs w:val="32"/>
            </w:rPr>
            <w:fldChar w:fldCharType="end"/>
          </w:r>
        </w:p>
        <w:p w14:paraId="5CEE16CD">
          <w:pPr>
            <w:pStyle w:val="26"/>
            <w:tabs>
              <w:tab w:val="right" w:leader="dot" w:pos="9185"/>
            </w:tabs>
            <w:adjustRightInd w:val="0"/>
            <w:snapToGrid w:val="0"/>
            <w:spacing w:line="360" w:lineRule="auto"/>
          </w:pPr>
          <w:r>
            <w:fldChar w:fldCharType="begin"/>
          </w:r>
          <w:r>
            <w:instrText xml:space="preserve"> HYPERLINK \l "_Toc4141" </w:instrText>
          </w:r>
          <w:r>
            <w:fldChar w:fldCharType="separate"/>
          </w:r>
          <w:r>
            <w:rPr>
              <w:rFonts w:ascii="Times New Roman" w:hAnsi="Times New Roman" w:cs="Times New Roman"/>
              <w:sz w:val="28"/>
              <w:szCs w:val="32"/>
              <w:lang w:val="en-GB"/>
            </w:rPr>
            <w:t>6.2 附图</w:t>
          </w:r>
          <w:r>
            <w:rPr>
              <w:sz w:val="28"/>
              <w:szCs w:val="32"/>
            </w:rPr>
            <w:tab/>
          </w:r>
          <w:r>
            <w:rPr>
              <w:sz w:val="28"/>
              <w:szCs w:val="32"/>
            </w:rPr>
            <w:fldChar w:fldCharType="begin"/>
          </w:r>
          <w:r>
            <w:rPr>
              <w:sz w:val="28"/>
              <w:szCs w:val="32"/>
            </w:rPr>
            <w:instrText xml:space="preserve"> PAGEREF _Toc4141 \h </w:instrText>
          </w:r>
          <w:r>
            <w:rPr>
              <w:sz w:val="28"/>
              <w:szCs w:val="32"/>
            </w:rPr>
            <w:fldChar w:fldCharType="separate"/>
          </w:r>
          <w:r>
            <w:rPr>
              <w:sz w:val="28"/>
              <w:szCs w:val="32"/>
            </w:rPr>
            <w:t>128</w:t>
          </w:r>
          <w:r>
            <w:rPr>
              <w:sz w:val="28"/>
              <w:szCs w:val="32"/>
            </w:rPr>
            <w:fldChar w:fldCharType="end"/>
          </w:r>
          <w:r>
            <w:rPr>
              <w:sz w:val="28"/>
              <w:szCs w:val="32"/>
            </w:rPr>
            <w:fldChar w:fldCharType="end"/>
          </w:r>
        </w:p>
        <w:p w14:paraId="44158706">
          <w:pPr>
            <w:adjustRightInd w:val="0"/>
            <w:snapToGrid w:val="0"/>
            <w:spacing w:line="36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fldChar w:fldCharType="end"/>
          </w:r>
        </w:p>
      </w:sdtContent>
    </w:sdt>
    <w:p w14:paraId="3FE4C489">
      <w:pPr>
        <w:adjustRightInd w:val="0"/>
        <w:snapToGrid w:val="0"/>
        <w:spacing w:line="360" w:lineRule="auto"/>
        <w:rPr>
          <w:rFonts w:ascii="Times New Roman" w:hAnsi="Times New Roman" w:eastAsia="宋体" w:cs="Times New Roman"/>
          <w:color w:val="000000" w:themeColor="text1"/>
          <w:lang w:val="en-GB"/>
          <w14:textFill>
            <w14:solidFill>
              <w14:schemeClr w14:val="tx1"/>
            </w14:solidFill>
          </w14:textFill>
        </w:rPr>
        <w:sectPr>
          <w:footerReference r:id="rId7" w:type="default"/>
          <w:pgSz w:w="11906" w:h="16838"/>
          <w:pgMar w:top="1417" w:right="1134" w:bottom="1134" w:left="1587" w:header="851" w:footer="992" w:gutter="0"/>
          <w:pgNumType w:fmt="upperRoman" w:start="1"/>
          <w:cols w:space="0" w:num="1"/>
          <w:docGrid w:type="lines" w:linePitch="312" w:charSpace="0"/>
        </w:sectPr>
      </w:pPr>
    </w:p>
    <w:p w14:paraId="64275D60">
      <w:pPr>
        <w:pStyle w:val="2"/>
        <w:adjustRightInd w:val="0"/>
        <w:snapToGrid w:val="0"/>
        <w:spacing w:beforeLines="0" w:afterLines="0"/>
        <w:rPr>
          <w:rFonts w:ascii="Times New Roman" w:hAnsi="Times New Roman" w:cs="Times New Roman"/>
          <w:b/>
          <w:bCs w:val="0"/>
          <w:color w:val="000000" w:themeColor="text1"/>
          <w:lang w:val="en-GB"/>
          <w14:textFill>
            <w14:solidFill>
              <w14:schemeClr w14:val="tx1"/>
            </w14:solidFill>
          </w14:textFill>
        </w:rPr>
      </w:pPr>
      <w:bookmarkStart w:id="16" w:name="_Toc9156"/>
      <w:bookmarkStart w:id="17" w:name="_Toc13244"/>
      <w:r>
        <w:rPr>
          <w:rFonts w:ascii="Times New Roman" w:hAnsi="Times New Roman" w:cs="Times New Roman"/>
          <w:b/>
          <w:bCs w:val="0"/>
          <w:color w:val="000000" w:themeColor="text1"/>
          <w:lang w:val="en-GB"/>
          <w14:textFill>
            <w14:solidFill>
              <w14:schemeClr w14:val="tx1"/>
            </w14:solidFill>
          </w14:textFill>
        </w:rPr>
        <w:t>1.评价范围与依据</w:t>
      </w:r>
      <w:bookmarkEnd w:id="16"/>
      <w:bookmarkEnd w:id="17"/>
    </w:p>
    <w:p w14:paraId="0B42CA05">
      <w:pPr>
        <w:pStyle w:val="3"/>
        <w:adjustRightInd w:val="0"/>
        <w:snapToGrid w:val="0"/>
        <w:rPr>
          <w:rFonts w:ascii="Times New Roman" w:hAnsi="Times New Roman" w:cs="Times New Roman"/>
          <w:b/>
          <w:bCs w:val="0"/>
          <w:color w:val="000000" w:themeColor="text1"/>
          <w:lang w:val="en-GB"/>
          <w14:textFill>
            <w14:solidFill>
              <w14:schemeClr w14:val="tx1"/>
            </w14:solidFill>
          </w14:textFill>
        </w:rPr>
      </w:pPr>
      <w:bookmarkStart w:id="18" w:name="_Toc27374"/>
      <w:bookmarkStart w:id="19" w:name="_Toc26248"/>
      <w:r>
        <w:rPr>
          <w:rFonts w:ascii="Times New Roman" w:hAnsi="Times New Roman" w:cs="Times New Roman"/>
          <w:b/>
          <w:bCs w:val="0"/>
          <w:color w:val="000000" w:themeColor="text1"/>
          <w:lang w:val="en-GB"/>
          <w14:textFill>
            <w14:solidFill>
              <w14:schemeClr w14:val="tx1"/>
            </w14:solidFill>
          </w14:textFill>
        </w:rPr>
        <w:t>1.1评价对象和范围</w:t>
      </w:r>
      <w:bookmarkEnd w:id="18"/>
      <w:bookmarkEnd w:id="19"/>
    </w:p>
    <w:p w14:paraId="0A481EAA">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1.1.1 评价对象</w:t>
      </w:r>
    </w:p>
    <w:p w14:paraId="21CBE35F">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根据《盐津县桃子坝采石场90万t/a露天采矿工程初步设计（</w:t>
      </w:r>
      <w:r>
        <w:rPr>
          <w:rFonts w:ascii="Times New Roman" w:hAnsi="Times New Roman" w:eastAsia="宋体" w:cs="Times New Roman"/>
          <w:color w:val="000000" w:themeColor="text1"/>
          <w:sz w:val="28"/>
          <w:szCs w:val="28"/>
          <w14:textFill>
            <w14:solidFill>
              <w14:schemeClr w14:val="tx1"/>
            </w14:solidFill>
          </w14:textFill>
        </w:rPr>
        <w:t>代可研</w:t>
      </w:r>
      <w:r>
        <w:rPr>
          <w:rFonts w:ascii="Times New Roman" w:hAnsi="Times New Roman" w:eastAsia="宋体" w:cs="Times New Roman"/>
          <w:color w:val="000000" w:themeColor="text1"/>
          <w:sz w:val="28"/>
          <w:szCs w:val="28"/>
          <w:lang w:val="en-GB"/>
          <w14:textFill>
            <w14:solidFill>
              <w14:schemeClr w14:val="tx1"/>
            </w14:solidFill>
          </w14:textFill>
        </w:rPr>
        <w:t>）》《中华人民共和国安全生产法》（中华人民共和国主席令第88号，2021年6月10日第十三届全国人民代表大会常务委员会第二十九次会议《关于修改〈中华人民共和国安全生产法〉的决定》第三次修正，自2021年9月1日起施行）</w:t>
      </w:r>
      <w:r>
        <w:rPr>
          <w:rFonts w:ascii="Times New Roman" w:hAnsi="Times New Roman" w:eastAsia="宋体" w:cs="Times New Roman"/>
          <w:color w:val="000000" w:themeColor="text1"/>
          <w:sz w:val="28"/>
          <w:szCs w:val="28"/>
          <w14:textFill>
            <w14:solidFill>
              <w14:schemeClr w14:val="tx1"/>
            </w14:solidFill>
          </w14:textFill>
        </w:rPr>
        <w:t>和</w:t>
      </w:r>
      <w:r>
        <w:rPr>
          <w:rFonts w:ascii="Times New Roman" w:hAnsi="Times New Roman" w:eastAsia="宋体" w:cs="Times New Roman"/>
          <w:color w:val="000000" w:themeColor="text1"/>
          <w:sz w:val="28"/>
          <w:szCs w:val="28"/>
          <w:lang w:val="en-GB"/>
          <w14:textFill>
            <w14:solidFill>
              <w14:schemeClr w14:val="tx1"/>
            </w14:solidFill>
          </w14:textFill>
        </w:rPr>
        <w:t>《金属非金属矿山建设项目安全设施目录（试行）》（国家安全监管总局令第75号）</w:t>
      </w:r>
      <w:r>
        <w:rPr>
          <w:rFonts w:ascii="Times New Roman" w:hAnsi="Times New Roman" w:eastAsia="宋体" w:cs="Times New Roman"/>
          <w:color w:val="000000" w:themeColor="text1"/>
          <w:sz w:val="28"/>
          <w:szCs w:val="28"/>
          <w14:textFill>
            <w14:solidFill>
              <w14:schemeClr w14:val="tx1"/>
            </w14:solidFill>
          </w14:textFill>
        </w:rPr>
        <w:t>等</w:t>
      </w:r>
      <w:r>
        <w:rPr>
          <w:rFonts w:ascii="Times New Roman" w:hAnsi="Times New Roman" w:eastAsia="宋体" w:cs="Times New Roman"/>
          <w:color w:val="000000" w:themeColor="text1"/>
          <w:sz w:val="28"/>
          <w:szCs w:val="28"/>
          <w:lang w:val="en-GB"/>
          <w14:textFill>
            <w14:solidFill>
              <w14:schemeClr w14:val="tx1"/>
            </w14:solidFill>
          </w14:textFill>
        </w:rPr>
        <w:t>其他有关法律法规的规定，评价对象为盐津县桃子坝采石场90万t／a露天采矿工程及公用辅助设施。</w:t>
      </w:r>
    </w:p>
    <w:p w14:paraId="7BD8EBDC">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1.1.2 评价范围</w:t>
      </w:r>
    </w:p>
    <w:p w14:paraId="358F92CB">
      <w:pPr>
        <w:adjustRightInd w:val="0"/>
        <w:snapToGrid w:val="0"/>
        <w:spacing w:line="360" w:lineRule="auto"/>
        <w:ind w:firstLine="562" w:firstLineChars="200"/>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1、采矿证范围</w:t>
      </w:r>
    </w:p>
    <w:p w14:paraId="7074BB4F">
      <w:pPr>
        <w:adjustRightInd w:val="0"/>
        <w:snapToGrid w:val="0"/>
        <w:spacing w:line="360" w:lineRule="auto"/>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盐津县桃子坝采石场为新建采石场，采矿权人：盐津开源矿业有限公司，证号：C5306232023067150155188，有效期限为2023年6月8日至2033年3月25日，开采矿种：建筑石料用灰矿，开采方式：露天开采，生产规模：90万t/a，矿区面积：0.1816km</w:t>
      </w:r>
      <w:r>
        <w:rPr>
          <w:rFonts w:ascii="Times New Roman" w:hAnsi="Times New Roman" w:cs="Times New Roman"/>
          <w:color w:val="000000" w:themeColor="text1"/>
          <w:sz w:val="28"/>
          <w:szCs w:val="28"/>
          <w:vertAlign w:val="superscript"/>
          <w14:textFill>
            <w14:solidFill>
              <w14:schemeClr w14:val="tx1"/>
            </w14:solidFill>
          </w14:textFill>
        </w:rPr>
        <w:t>2</w:t>
      </w:r>
      <w:r>
        <w:rPr>
          <w:rFonts w:ascii="Times New Roman" w:hAnsi="Times New Roman" w:cs="Times New Roman"/>
          <w:color w:val="000000" w:themeColor="text1"/>
          <w:sz w:val="28"/>
          <w:szCs w:val="28"/>
          <w14:textFill>
            <w14:solidFill>
              <w14:schemeClr w14:val="tx1"/>
            </w14:solidFill>
          </w14:textFill>
        </w:rPr>
        <w:t>，开采标高940m</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752m，由14个拐点圈定，矿区范围拐点坐标详见表1.1-1</w:t>
      </w:r>
    </w:p>
    <w:p w14:paraId="151F64C3">
      <w:pPr>
        <w:pStyle w:val="66"/>
        <w:adjustRightInd w:val="0"/>
        <w:snapToGrid w:val="0"/>
        <w:rPr>
          <w:rFonts w:ascii="Times New Roman" w:hAnsi="Times New Roman" w:cs="Times New Roman"/>
          <w:b w:val="0"/>
          <w:bCs/>
          <w:color w:val="000000" w:themeColor="text1"/>
          <w:sz w:val="24"/>
          <w:szCs w:val="24"/>
          <w14:textFill>
            <w14:solidFill>
              <w14:schemeClr w14:val="tx1"/>
            </w14:solidFill>
          </w14:textFill>
        </w:rPr>
      </w:pPr>
      <w:r>
        <w:rPr>
          <w:rFonts w:ascii="Times New Roman" w:hAnsi="Times New Roman" w:cs="Times New Roman"/>
          <w:b w:val="0"/>
          <w:bCs/>
          <w:color w:val="000000" w:themeColor="text1"/>
          <w:sz w:val="24"/>
          <w:szCs w:val="24"/>
          <w14:textFill>
            <w14:solidFill>
              <w14:schemeClr w14:val="tx1"/>
            </w14:solidFill>
          </w14:textFill>
        </w:rPr>
        <w:t>表1.1-1  矿区范围拐点坐标表</w:t>
      </w:r>
    </w:p>
    <w:tbl>
      <w:tblPr>
        <w:tblStyle w:val="31"/>
        <w:tblW w:w="50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44"/>
        <w:gridCol w:w="727"/>
        <w:gridCol w:w="1114"/>
        <w:gridCol w:w="1931"/>
        <w:gridCol w:w="2258"/>
        <w:gridCol w:w="2327"/>
      </w:tblGrid>
      <w:tr w14:paraId="6596B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jc w:val="center"/>
        </w:trPr>
        <w:tc>
          <w:tcPr>
            <w:tcW w:w="459" w:type="pct"/>
            <w:vMerge w:val="restart"/>
            <w:vAlign w:val="center"/>
          </w:tcPr>
          <w:p w14:paraId="093A1BA3">
            <w:pPr>
              <w:pStyle w:val="75"/>
              <w:jc w:val="center"/>
              <w:rPr>
                <w:rFonts w:ascii="Times New Roman" w:hAnsi="Times New Roman" w:cs="Times New Roman"/>
                <w:snapToGrid w:val="0"/>
                <w:sz w:val="24"/>
                <w:szCs w:val="24"/>
              </w:rPr>
            </w:pPr>
            <w:r>
              <w:rPr>
                <w:rFonts w:ascii="Times New Roman" w:hAnsi="Times New Roman" w:cs="Times New Roman"/>
                <w:snapToGrid w:val="0"/>
                <w:sz w:val="24"/>
                <w:szCs w:val="24"/>
              </w:rPr>
              <w:t>拐点号</w:t>
            </w:r>
          </w:p>
        </w:tc>
        <w:tc>
          <w:tcPr>
            <w:tcW w:w="2049" w:type="pct"/>
            <w:gridSpan w:val="3"/>
            <w:vAlign w:val="center"/>
          </w:tcPr>
          <w:p w14:paraId="0D3B8F33">
            <w:pPr>
              <w:pStyle w:val="75"/>
              <w:jc w:val="center"/>
              <w:rPr>
                <w:rFonts w:ascii="Times New Roman" w:hAnsi="Times New Roman" w:cs="Times New Roman"/>
                <w:snapToGrid w:val="0"/>
                <w:sz w:val="24"/>
                <w:szCs w:val="24"/>
              </w:rPr>
            </w:pPr>
            <w:r>
              <w:rPr>
                <w:rFonts w:ascii="Times New Roman" w:hAnsi="Times New Roman" w:cs="Times New Roman"/>
                <w:sz w:val="24"/>
                <w:szCs w:val="24"/>
              </w:rPr>
              <w:t>3°带</w:t>
            </w:r>
            <w:r>
              <w:rPr>
                <w:rFonts w:ascii="Times New Roman" w:hAnsi="Times New Roman" w:cs="Times New Roman"/>
                <w:snapToGrid w:val="0"/>
                <w:sz w:val="24"/>
                <w:szCs w:val="24"/>
              </w:rPr>
              <w:t>直角坐标</w:t>
            </w:r>
          </w:p>
          <w:p w14:paraId="526725AF">
            <w:pPr>
              <w:pStyle w:val="75"/>
              <w:jc w:val="center"/>
              <w:rPr>
                <w:rFonts w:ascii="Times New Roman" w:hAnsi="Times New Roman" w:cs="Times New Roman"/>
                <w:snapToGrid w:val="0"/>
                <w:sz w:val="24"/>
                <w:szCs w:val="24"/>
              </w:rPr>
            </w:pPr>
            <w:r>
              <w:rPr>
                <w:rFonts w:ascii="Times New Roman" w:hAnsi="Times New Roman" w:cs="Times New Roman"/>
                <w:sz w:val="24"/>
                <w:szCs w:val="24"/>
              </w:rPr>
              <w:t>（2000国家大地坐标系）</w:t>
            </w:r>
          </w:p>
        </w:tc>
        <w:tc>
          <w:tcPr>
            <w:tcW w:w="2491" w:type="pct"/>
            <w:gridSpan w:val="2"/>
            <w:vAlign w:val="center"/>
          </w:tcPr>
          <w:p w14:paraId="55504CF9">
            <w:pPr>
              <w:pStyle w:val="75"/>
              <w:jc w:val="center"/>
              <w:rPr>
                <w:rFonts w:ascii="Times New Roman" w:hAnsi="Times New Roman" w:cs="Times New Roman"/>
                <w:snapToGrid w:val="0"/>
                <w:sz w:val="24"/>
                <w:szCs w:val="24"/>
              </w:rPr>
            </w:pPr>
            <w:r>
              <w:rPr>
                <w:rFonts w:ascii="Times New Roman" w:hAnsi="Times New Roman" w:cs="Times New Roman"/>
                <w:snapToGrid w:val="0"/>
                <w:sz w:val="24"/>
                <w:szCs w:val="24"/>
              </w:rPr>
              <w:t>地理坐标</w:t>
            </w:r>
          </w:p>
          <w:p w14:paraId="37611D5D">
            <w:pPr>
              <w:pStyle w:val="75"/>
              <w:jc w:val="center"/>
              <w:rPr>
                <w:rFonts w:ascii="Times New Roman" w:hAnsi="Times New Roman" w:cs="Times New Roman"/>
                <w:snapToGrid w:val="0"/>
                <w:sz w:val="24"/>
                <w:szCs w:val="24"/>
              </w:rPr>
            </w:pPr>
            <w:r>
              <w:rPr>
                <w:rFonts w:ascii="Times New Roman" w:hAnsi="Times New Roman" w:cs="Times New Roman"/>
                <w:sz w:val="24"/>
                <w:szCs w:val="24"/>
              </w:rPr>
              <w:t>（2000国家大地坐标系）</w:t>
            </w:r>
          </w:p>
        </w:tc>
      </w:tr>
      <w:tr w14:paraId="08E17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7" w:hRule="atLeast"/>
          <w:jc w:val="center"/>
        </w:trPr>
        <w:tc>
          <w:tcPr>
            <w:tcW w:w="459" w:type="pct"/>
            <w:vMerge w:val="continue"/>
            <w:vAlign w:val="center"/>
          </w:tcPr>
          <w:p w14:paraId="3C859FAD">
            <w:pPr>
              <w:pStyle w:val="75"/>
              <w:jc w:val="center"/>
              <w:rPr>
                <w:rFonts w:ascii="Times New Roman" w:hAnsi="Times New Roman" w:cs="Times New Roman"/>
                <w:snapToGrid w:val="0"/>
                <w:sz w:val="24"/>
                <w:szCs w:val="24"/>
              </w:rPr>
            </w:pPr>
          </w:p>
        </w:tc>
        <w:tc>
          <w:tcPr>
            <w:tcW w:w="1000" w:type="pct"/>
            <w:gridSpan w:val="2"/>
            <w:vAlign w:val="center"/>
          </w:tcPr>
          <w:p w14:paraId="1FEB1520">
            <w:pPr>
              <w:pStyle w:val="75"/>
              <w:jc w:val="center"/>
              <w:rPr>
                <w:rFonts w:ascii="Times New Roman" w:hAnsi="Times New Roman" w:cs="Times New Roman"/>
                <w:snapToGrid w:val="0"/>
                <w:sz w:val="24"/>
                <w:szCs w:val="24"/>
              </w:rPr>
            </w:pPr>
            <w:r>
              <w:rPr>
                <w:rFonts w:ascii="Times New Roman" w:hAnsi="Times New Roman" w:cs="Times New Roman"/>
                <w:snapToGrid w:val="0"/>
                <w:sz w:val="24"/>
                <w:szCs w:val="24"/>
              </w:rPr>
              <w:t>X</w:t>
            </w:r>
          </w:p>
        </w:tc>
        <w:tc>
          <w:tcPr>
            <w:tcW w:w="1048" w:type="pct"/>
            <w:vAlign w:val="center"/>
          </w:tcPr>
          <w:p w14:paraId="707A0816">
            <w:pPr>
              <w:pStyle w:val="75"/>
              <w:jc w:val="center"/>
              <w:rPr>
                <w:rFonts w:ascii="Times New Roman" w:hAnsi="Times New Roman" w:cs="Times New Roman"/>
                <w:snapToGrid w:val="0"/>
                <w:sz w:val="24"/>
                <w:szCs w:val="24"/>
              </w:rPr>
            </w:pPr>
            <w:r>
              <w:rPr>
                <w:rFonts w:ascii="Times New Roman" w:hAnsi="Times New Roman" w:cs="Times New Roman"/>
                <w:snapToGrid w:val="0"/>
                <w:sz w:val="24"/>
                <w:szCs w:val="24"/>
              </w:rPr>
              <w:t>Y</w:t>
            </w:r>
          </w:p>
        </w:tc>
        <w:tc>
          <w:tcPr>
            <w:tcW w:w="1227" w:type="pct"/>
            <w:vAlign w:val="center"/>
          </w:tcPr>
          <w:p w14:paraId="4B10CB3F">
            <w:pPr>
              <w:pStyle w:val="75"/>
              <w:jc w:val="center"/>
              <w:rPr>
                <w:rFonts w:ascii="Times New Roman" w:hAnsi="Times New Roman" w:cs="Times New Roman"/>
                <w:snapToGrid w:val="0"/>
                <w:sz w:val="24"/>
                <w:szCs w:val="24"/>
              </w:rPr>
            </w:pPr>
            <w:r>
              <w:rPr>
                <w:rFonts w:ascii="Times New Roman" w:hAnsi="Times New Roman" w:cs="Times New Roman"/>
                <w:snapToGrid w:val="0"/>
                <w:sz w:val="24"/>
                <w:szCs w:val="24"/>
              </w:rPr>
              <w:t>东经</w:t>
            </w:r>
          </w:p>
        </w:tc>
        <w:tc>
          <w:tcPr>
            <w:tcW w:w="1264" w:type="pct"/>
            <w:vAlign w:val="center"/>
          </w:tcPr>
          <w:p w14:paraId="52BEAB4B">
            <w:pPr>
              <w:pStyle w:val="75"/>
              <w:jc w:val="center"/>
              <w:rPr>
                <w:rFonts w:ascii="Times New Roman" w:hAnsi="Times New Roman" w:cs="Times New Roman"/>
                <w:snapToGrid w:val="0"/>
                <w:sz w:val="24"/>
                <w:szCs w:val="24"/>
              </w:rPr>
            </w:pPr>
            <w:r>
              <w:rPr>
                <w:rFonts w:ascii="Times New Roman" w:hAnsi="Times New Roman" w:cs="Times New Roman"/>
                <w:snapToGrid w:val="0"/>
                <w:sz w:val="24"/>
                <w:szCs w:val="24"/>
              </w:rPr>
              <w:t>北纬</w:t>
            </w:r>
          </w:p>
        </w:tc>
      </w:tr>
      <w:tr w14:paraId="0D78F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459" w:type="pct"/>
            <w:vAlign w:val="center"/>
          </w:tcPr>
          <w:p w14:paraId="1801E18C">
            <w:pPr>
              <w:pStyle w:val="75"/>
              <w:jc w:val="center"/>
              <w:rPr>
                <w:rFonts w:ascii="Times New Roman" w:hAnsi="Times New Roman" w:cs="Times New Roman"/>
                <w:kern w:val="2"/>
                <w:sz w:val="24"/>
                <w:szCs w:val="24"/>
              </w:rPr>
            </w:pPr>
            <w:r>
              <w:rPr>
                <w:rFonts w:ascii="Times New Roman" w:hAnsi="Times New Roman" w:cs="Times New Roman"/>
                <w:kern w:val="2"/>
                <w:sz w:val="24"/>
                <w:szCs w:val="24"/>
              </w:rPr>
              <w:t>矿1</w:t>
            </w:r>
          </w:p>
        </w:tc>
        <w:tc>
          <w:tcPr>
            <w:tcW w:w="1000" w:type="pct"/>
            <w:gridSpan w:val="2"/>
            <w:vAlign w:val="center"/>
          </w:tcPr>
          <w:p w14:paraId="3984FBF6">
            <w:pPr>
              <w:widowControl/>
              <w:autoSpaceDN w:val="0"/>
              <w:jc w:val="center"/>
              <w:textAlignment w:val="center"/>
              <w:rPr>
                <w:rFonts w:ascii="Times New Roman" w:hAnsi="Times New Roman" w:cs="Times New Roman"/>
                <w:sz w:val="24"/>
              </w:rPr>
            </w:pPr>
            <w:r>
              <w:rPr>
                <w:rFonts w:ascii="Times New Roman" w:hAnsi="Times New Roman" w:cs="Times New Roman"/>
                <w:sz w:val="24"/>
              </w:rPr>
              <w:t>3100935.60</w:t>
            </w:r>
          </w:p>
        </w:tc>
        <w:tc>
          <w:tcPr>
            <w:tcW w:w="1048" w:type="pct"/>
            <w:vAlign w:val="center"/>
          </w:tcPr>
          <w:p w14:paraId="7F8A1F5B">
            <w:pPr>
              <w:widowControl/>
              <w:autoSpaceDN w:val="0"/>
              <w:jc w:val="center"/>
              <w:textAlignment w:val="center"/>
              <w:rPr>
                <w:rFonts w:ascii="Times New Roman" w:hAnsi="Times New Roman" w:cs="Times New Roman"/>
                <w:sz w:val="24"/>
              </w:rPr>
            </w:pPr>
            <w:r>
              <w:rPr>
                <w:rFonts w:ascii="Times New Roman" w:hAnsi="Times New Roman" w:cs="Times New Roman"/>
                <w:sz w:val="24"/>
              </w:rPr>
              <w:t>35424358.11</w:t>
            </w:r>
          </w:p>
        </w:tc>
        <w:tc>
          <w:tcPr>
            <w:tcW w:w="1227" w:type="pct"/>
            <w:vAlign w:val="center"/>
          </w:tcPr>
          <w:p w14:paraId="51AFE850">
            <w:pPr>
              <w:jc w:val="center"/>
              <w:rPr>
                <w:rFonts w:ascii="Times New Roman" w:hAnsi="Times New Roman" w:cs="Times New Roman"/>
                <w:snapToGrid w:val="0"/>
                <w:sz w:val="24"/>
              </w:rPr>
            </w:pPr>
            <w:r>
              <w:rPr>
                <w:rFonts w:ascii="Times New Roman" w:hAnsi="Times New Roman" w:cs="Times New Roman"/>
                <w:sz w:val="24"/>
              </w:rPr>
              <w:t>104°13′51.067"</w:t>
            </w:r>
          </w:p>
        </w:tc>
        <w:tc>
          <w:tcPr>
            <w:tcW w:w="1264" w:type="pct"/>
            <w:vAlign w:val="center"/>
          </w:tcPr>
          <w:p w14:paraId="130A8FB6">
            <w:pPr>
              <w:jc w:val="center"/>
              <w:rPr>
                <w:rFonts w:ascii="Times New Roman" w:hAnsi="Times New Roman" w:cs="Times New Roman"/>
                <w:sz w:val="24"/>
                <w:lang w:bidi="ar"/>
              </w:rPr>
            </w:pPr>
            <w:r>
              <w:rPr>
                <w:rFonts w:ascii="Times New Roman" w:hAnsi="Times New Roman" w:cs="Times New Roman"/>
                <w:sz w:val="24"/>
              </w:rPr>
              <w:t>28°01′13.264"</w:t>
            </w:r>
          </w:p>
        </w:tc>
      </w:tr>
      <w:tr w14:paraId="14E93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atLeast"/>
          <w:jc w:val="center"/>
        </w:trPr>
        <w:tc>
          <w:tcPr>
            <w:tcW w:w="459" w:type="pct"/>
            <w:tcBorders>
              <w:bottom w:val="single" w:color="auto" w:sz="4" w:space="0"/>
            </w:tcBorders>
            <w:vAlign w:val="center"/>
          </w:tcPr>
          <w:p w14:paraId="6F8854D3">
            <w:pPr>
              <w:pStyle w:val="75"/>
              <w:jc w:val="center"/>
              <w:rPr>
                <w:rFonts w:ascii="Times New Roman" w:hAnsi="Times New Roman" w:cs="Times New Roman"/>
                <w:kern w:val="2"/>
                <w:sz w:val="24"/>
                <w:szCs w:val="24"/>
              </w:rPr>
            </w:pPr>
            <w:r>
              <w:rPr>
                <w:rFonts w:ascii="Times New Roman" w:hAnsi="Times New Roman" w:cs="Times New Roman"/>
                <w:kern w:val="2"/>
                <w:sz w:val="24"/>
                <w:szCs w:val="24"/>
              </w:rPr>
              <w:t>矿2</w:t>
            </w:r>
          </w:p>
        </w:tc>
        <w:tc>
          <w:tcPr>
            <w:tcW w:w="1000" w:type="pct"/>
            <w:gridSpan w:val="2"/>
            <w:vAlign w:val="center"/>
          </w:tcPr>
          <w:p w14:paraId="0A31CFF0">
            <w:pPr>
              <w:widowControl/>
              <w:autoSpaceDN w:val="0"/>
              <w:jc w:val="center"/>
              <w:textAlignment w:val="center"/>
              <w:rPr>
                <w:rFonts w:ascii="Times New Roman" w:hAnsi="Times New Roman" w:cs="Times New Roman"/>
                <w:sz w:val="24"/>
              </w:rPr>
            </w:pPr>
            <w:r>
              <w:rPr>
                <w:rFonts w:ascii="Times New Roman" w:hAnsi="Times New Roman" w:cs="Times New Roman"/>
                <w:kern w:val="0"/>
                <w:sz w:val="24"/>
              </w:rPr>
              <w:t>3101111.77</w:t>
            </w:r>
          </w:p>
        </w:tc>
        <w:tc>
          <w:tcPr>
            <w:tcW w:w="1048" w:type="pct"/>
            <w:vAlign w:val="center"/>
          </w:tcPr>
          <w:p w14:paraId="70B10690">
            <w:pPr>
              <w:widowControl/>
              <w:autoSpaceDN w:val="0"/>
              <w:jc w:val="center"/>
              <w:textAlignment w:val="center"/>
              <w:rPr>
                <w:rFonts w:ascii="Times New Roman" w:hAnsi="Times New Roman" w:cs="Times New Roman"/>
                <w:sz w:val="24"/>
              </w:rPr>
            </w:pPr>
            <w:r>
              <w:rPr>
                <w:rFonts w:ascii="Times New Roman" w:hAnsi="Times New Roman" w:cs="Times New Roman"/>
                <w:kern w:val="0"/>
                <w:sz w:val="24"/>
              </w:rPr>
              <w:t>35424416.58</w:t>
            </w:r>
          </w:p>
        </w:tc>
        <w:tc>
          <w:tcPr>
            <w:tcW w:w="1227" w:type="pct"/>
            <w:vAlign w:val="center"/>
          </w:tcPr>
          <w:p w14:paraId="170E4C56">
            <w:pPr>
              <w:jc w:val="center"/>
              <w:rPr>
                <w:rFonts w:ascii="Times New Roman" w:hAnsi="Times New Roman" w:cs="Times New Roman"/>
                <w:snapToGrid w:val="0"/>
                <w:sz w:val="24"/>
              </w:rPr>
            </w:pPr>
            <w:r>
              <w:rPr>
                <w:rFonts w:ascii="Times New Roman" w:hAnsi="Times New Roman" w:cs="Times New Roman"/>
                <w:sz w:val="24"/>
              </w:rPr>
              <w:t>104°13′53.166"</w:t>
            </w:r>
          </w:p>
        </w:tc>
        <w:tc>
          <w:tcPr>
            <w:tcW w:w="1264" w:type="pct"/>
            <w:vAlign w:val="center"/>
          </w:tcPr>
          <w:p w14:paraId="20A1FB0E">
            <w:pPr>
              <w:jc w:val="center"/>
              <w:rPr>
                <w:rFonts w:ascii="Times New Roman" w:hAnsi="Times New Roman" w:cs="Times New Roman"/>
                <w:sz w:val="24"/>
                <w:lang w:bidi="ar"/>
              </w:rPr>
            </w:pPr>
            <w:r>
              <w:rPr>
                <w:rFonts w:ascii="Times New Roman" w:hAnsi="Times New Roman" w:cs="Times New Roman"/>
                <w:sz w:val="24"/>
              </w:rPr>
              <w:t>28°01′18.999"</w:t>
            </w:r>
          </w:p>
        </w:tc>
      </w:tr>
      <w:tr w14:paraId="0FF21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459" w:type="pct"/>
            <w:tcBorders>
              <w:left w:val="single" w:color="auto" w:sz="4" w:space="0"/>
            </w:tcBorders>
            <w:vAlign w:val="center"/>
          </w:tcPr>
          <w:p w14:paraId="39480950">
            <w:pPr>
              <w:pStyle w:val="75"/>
              <w:jc w:val="center"/>
              <w:rPr>
                <w:rFonts w:ascii="Times New Roman" w:hAnsi="Times New Roman" w:cs="Times New Roman"/>
                <w:kern w:val="2"/>
                <w:sz w:val="24"/>
                <w:szCs w:val="24"/>
              </w:rPr>
            </w:pPr>
            <w:r>
              <w:rPr>
                <w:rFonts w:ascii="Times New Roman" w:hAnsi="Times New Roman" w:cs="Times New Roman"/>
                <w:kern w:val="2"/>
                <w:sz w:val="24"/>
                <w:szCs w:val="24"/>
              </w:rPr>
              <w:t>矿3</w:t>
            </w:r>
          </w:p>
        </w:tc>
        <w:tc>
          <w:tcPr>
            <w:tcW w:w="1000" w:type="pct"/>
            <w:gridSpan w:val="2"/>
            <w:vAlign w:val="center"/>
          </w:tcPr>
          <w:p w14:paraId="2543F7CC">
            <w:pPr>
              <w:widowControl/>
              <w:autoSpaceDN w:val="0"/>
              <w:jc w:val="center"/>
              <w:textAlignment w:val="center"/>
              <w:rPr>
                <w:rFonts w:ascii="Times New Roman" w:hAnsi="Times New Roman" w:cs="Times New Roman"/>
                <w:sz w:val="24"/>
              </w:rPr>
            </w:pPr>
            <w:r>
              <w:rPr>
                <w:rFonts w:ascii="Times New Roman" w:hAnsi="Times New Roman" w:cs="Times New Roman"/>
                <w:kern w:val="0"/>
                <w:sz w:val="24"/>
              </w:rPr>
              <w:t>3101106.98</w:t>
            </w:r>
          </w:p>
        </w:tc>
        <w:tc>
          <w:tcPr>
            <w:tcW w:w="1048" w:type="pct"/>
            <w:vAlign w:val="center"/>
          </w:tcPr>
          <w:p w14:paraId="1E798E26">
            <w:pPr>
              <w:widowControl/>
              <w:autoSpaceDN w:val="0"/>
              <w:jc w:val="center"/>
              <w:textAlignment w:val="center"/>
              <w:rPr>
                <w:rFonts w:ascii="Times New Roman" w:hAnsi="Times New Roman" w:cs="Times New Roman"/>
                <w:sz w:val="24"/>
              </w:rPr>
            </w:pPr>
            <w:r>
              <w:rPr>
                <w:rFonts w:ascii="Times New Roman" w:hAnsi="Times New Roman" w:cs="Times New Roman"/>
                <w:kern w:val="0"/>
                <w:sz w:val="24"/>
              </w:rPr>
              <w:t>35424431.51</w:t>
            </w:r>
          </w:p>
        </w:tc>
        <w:tc>
          <w:tcPr>
            <w:tcW w:w="1227" w:type="pct"/>
            <w:vAlign w:val="center"/>
          </w:tcPr>
          <w:p w14:paraId="647B307A">
            <w:pPr>
              <w:jc w:val="center"/>
              <w:rPr>
                <w:rFonts w:ascii="Times New Roman" w:hAnsi="Times New Roman" w:cs="Times New Roman"/>
                <w:snapToGrid w:val="0"/>
                <w:sz w:val="24"/>
              </w:rPr>
            </w:pPr>
            <w:r>
              <w:rPr>
                <w:rFonts w:ascii="Times New Roman" w:hAnsi="Times New Roman" w:cs="Times New Roman"/>
                <w:sz w:val="24"/>
              </w:rPr>
              <w:t>104°13′53.714"</w:t>
            </w:r>
          </w:p>
        </w:tc>
        <w:tc>
          <w:tcPr>
            <w:tcW w:w="1264" w:type="pct"/>
            <w:vAlign w:val="center"/>
          </w:tcPr>
          <w:p w14:paraId="20CD5E3E">
            <w:pPr>
              <w:jc w:val="center"/>
              <w:rPr>
                <w:rFonts w:ascii="Times New Roman" w:hAnsi="Times New Roman" w:cs="Times New Roman"/>
                <w:sz w:val="24"/>
                <w:lang w:bidi="ar"/>
              </w:rPr>
            </w:pPr>
            <w:r>
              <w:rPr>
                <w:rFonts w:ascii="Times New Roman" w:hAnsi="Times New Roman" w:cs="Times New Roman"/>
                <w:sz w:val="24"/>
              </w:rPr>
              <w:t>28°01′18.864"</w:t>
            </w:r>
          </w:p>
        </w:tc>
      </w:tr>
      <w:tr w14:paraId="7D4D7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atLeast"/>
          <w:jc w:val="center"/>
        </w:trPr>
        <w:tc>
          <w:tcPr>
            <w:tcW w:w="459" w:type="pct"/>
            <w:vAlign w:val="center"/>
          </w:tcPr>
          <w:p w14:paraId="2153A533">
            <w:pPr>
              <w:pStyle w:val="75"/>
              <w:jc w:val="center"/>
              <w:rPr>
                <w:rFonts w:ascii="Times New Roman" w:hAnsi="Times New Roman" w:cs="Times New Roman"/>
                <w:kern w:val="2"/>
                <w:sz w:val="24"/>
                <w:szCs w:val="24"/>
              </w:rPr>
            </w:pPr>
            <w:r>
              <w:rPr>
                <w:rFonts w:ascii="Times New Roman" w:hAnsi="Times New Roman" w:cs="Times New Roman"/>
                <w:kern w:val="2"/>
                <w:sz w:val="24"/>
                <w:szCs w:val="24"/>
              </w:rPr>
              <w:t>矿4</w:t>
            </w:r>
          </w:p>
        </w:tc>
        <w:tc>
          <w:tcPr>
            <w:tcW w:w="1000" w:type="pct"/>
            <w:gridSpan w:val="2"/>
            <w:vAlign w:val="center"/>
          </w:tcPr>
          <w:p w14:paraId="545B3022">
            <w:pPr>
              <w:widowControl/>
              <w:autoSpaceDN w:val="0"/>
              <w:jc w:val="center"/>
              <w:textAlignment w:val="center"/>
              <w:rPr>
                <w:rFonts w:ascii="Times New Roman" w:hAnsi="Times New Roman" w:cs="Times New Roman"/>
                <w:sz w:val="24"/>
              </w:rPr>
            </w:pPr>
            <w:r>
              <w:rPr>
                <w:rFonts w:ascii="Times New Roman" w:hAnsi="Times New Roman" w:cs="Times New Roman"/>
                <w:kern w:val="0"/>
                <w:sz w:val="24"/>
              </w:rPr>
              <w:t>3101113.41</w:t>
            </w:r>
          </w:p>
        </w:tc>
        <w:tc>
          <w:tcPr>
            <w:tcW w:w="1048" w:type="pct"/>
            <w:vAlign w:val="center"/>
          </w:tcPr>
          <w:p w14:paraId="4CEFB48A">
            <w:pPr>
              <w:widowControl/>
              <w:autoSpaceDN w:val="0"/>
              <w:jc w:val="center"/>
              <w:textAlignment w:val="center"/>
              <w:rPr>
                <w:rFonts w:ascii="Times New Roman" w:hAnsi="Times New Roman" w:cs="Times New Roman"/>
                <w:sz w:val="24"/>
              </w:rPr>
            </w:pPr>
            <w:r>
              <w:rPr>
                <w:rFonts w:ascii="Times New Roman" w:hAnsi="Times New Roman" w:cs="Times New Roman"/>
                <w:kern w:val="0"/>
                <w:sz w:val="24"/>
              </w:rPr>
              <w:t>35424443.52</w:t>
            </w:r>
          </w:p>
        </w:tc>
        <w:tc>
          <w:tcPr>
            <w:tcW w:w="1227" w:type="pct"/>
            <w:vAlign w:val="center"/>
          </w:tcPr>
          <w:p w14:paraId="4E615F24">
            <w:pPr>
              <w:jc w:val="center"/>
              <w:rPr>
                <w:rFonts w:ascii="Times New Roman" w:hAnsi="Times New Roman" w:cs="Times New Roman"/>
                <w:snapToGrid w:val="0"/>
                <w:sz w:val="24"/>
              </w:rPr>
            </w:pPr>
            <w:r>
              <w:rPr>
                <w:rFonts w:ascii="Times New Roman" w:hAnsi="Times New Roman" w:cs="Times New Roman"/>
                <w:sz w:val="24"/>
              </w:rPr>
              <w:t>104°13′54.152"</w:t>
            </w:r>
          </w:p>
        </w:tc>
        <w:tc>
          <w:tcPr>
            <w:tcW w:w="1264" w:type="pct"/>
            <w:vAlign w:val="center"/>
          </w:tcPr>
          <w:p w14:paraId="0D78B655">
            <w:pPr>
              <w:jc w:val="center"/>
              <w:rPr>
                <w:rFonts w:ascii="Times New Roman" w:hAnsi="Times New Roman" w:cs="Times New Roman"/>
                <w:kern w:val="0"/>
                <w:sz w:val="24"/>
                <w:lang w:bidi="ar"/>
              </w:rPr>
            </w:pPr>
            <w:r>
              <w:rPr>
                <w:rFonts w:ascii="Times New Roman" w:hAnsi="Times New Roman" w:cs="Times New Roman"/>
                <w:sz w:val="24"/>
              </w:rPr>
              <w:t>28°01′19.057"</w:t>
            </w:r>
          </w:p>
        </w:tc>
      </w:tr>
      <w:tr w14:paraId="67ECF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7" w:hRule="atLeast"/>
          <w:jc w:val="center"/>
        </w:trPr>
        <w:tc>
          <w:tcPr>
            <w:tcW w:w="459" w:type="pct"/>
            <w:vAlign w:val="center"/>
          </w:tcPr>
          <w:p w14:paraId="760747AD">
            <w:pPr>
              <w:pStyle w:val="75"/>
              <w:jc w:val="center"/>
              <w:rPr>
                <w:rFonts w:ascii="Times New Roman" w:hAnsi="Times New Roman" w:cs="Times New Roman"/>
                <w:snapToGrid w:val="0"/>
                <w:sz w:val="24"/>
                <w:szCs w:val="24"/>
              </w:rPr>
            </w:pPr>
            <w:r>
              <w:rPr>
                <w:rFonts w:ascii="Times New Roman" w:hAnsi="Times New Roman" w:cs="Times New Roman"/>
                <w:kern w:val="2"/>
                <w:sz w:val="24"/>
                <w:szCs w:val="24"/>
              </w:rPr>
              <w:t>矿5</w:t>
            </w:r>
          </w:p>
        </w:tc>
        <w:tc>
          <w:tcPr>
            <w:tcW w:w="1000" w:type="pct"/>
            <w:gridSpan w:val="2"/>
            <w:vAlign w:val="center"/>
          </w:tcPr>
          <w:p w14:paraId="15E2B4F3">
            <w:pPr>
              <w:widowControl/>
              <w:autoSpaceDN w:val="0"/>
              <w:jc w:val="center"/>
              <w:textAlignment w:val="center"/>
              <w:rPr>
                <w:rFonts w:ascii="Times New Roman" w:hAnsi="Times New Roman" w:cs="Times New Roman"/>
                <w:snapToGrid w:val="0"/>
                <w:kern w:val="0"/>
                <w:sz w:val="24"/>
              </w:rPr>
            </w:pPr>
            <w:r>
              <w:rPr>
                <w:rFonts w:ascii="Times New Roman" w:hAnsi="Times New Roman" w:cs="Times New Roman"/>
                <w:kern w:val="0"/>
                <w:sz w:val="24"/>
              </w:rPr>
              <w:t>3101161.55</w:t>
            </w:r>
          </w:p>
        </w:tc>
        <w:tc>
          <w:tcPr>
            <w:tcW w:w="1048" w:type="pct"/>
            <w:vAlign w:val="center"/>
          </w:tcPr>
          <w:p w14:paraId="2C5820CC">
            <w:pPr>
              <w:widowControl/>
              <w:autoSpaceDN w:val="0"/>
              <w:jc w:val="center"/>
              <w:textAlignment w:val="center"/>
              <w:rPr>
                <w:rFonts w:ascii="Times New Roman" w:hAnsi="Times New Roman" w:cs="Times New Roman"/>
                <w:snapToGrid w:val="0"/>
                <w:kern w:val="0"/>
                <w:sz w:val="24"/>
              </w:rPr>
            </w:pPr>
            <w:r>
              <w:rPr>
                <w:rFonts w:ascii="Times New Roman" w:hAnsi="Times New Roman" w:cs="Times New Roman"/>
                <w:kern w:val="0"/>
                <w:sz w:val="24"/>
              </w:rPr>
              <w:t>35424485.47</w:t>
            </w:r>
          </w:p>
        </w:tc>
        <w:tc>
          <w:tcPr>
            <w:tcW w:w="1227" w:type="pct"/>
            <w:vAlign w:val="center"/>
          </w:tcPr>
          <w:p w14:paraId="297BE8B3">
            <w:pPr>
              <w:jc w:val="center"/>
              <w:rPr>
                <w:rFonts w:ascii="Times New Roman" w:hAnsi="Times New Roman" w:cs="Times New Roman"/>
                <w:snapToGrid w:val="0"/>
                <w:kern w:val="0"/>
                <w:sz w:val="24"/>
              </w:rPr>
            </w:pPr>
            <w:r>
              <w:rPr>
                <w:rFonts w:ascii="Times New Roman" w:hAnsi="Times New Roman" w:cs="Times New Roman"/>
                <w:sz w:val="24"/>
              </w:rPr>
              <w:t>104°13′55.677"</w:t>
            </w:r>
          </w:p>
        </w:tc>
        <w:tc>
          <w:tcPr>
            <w:tcW w:w="1264" w:type="pct"/>
            <w:vAlign w:val="center"/>
          </w:tcPr>
          <w:p w14:paraId="2156F365">
            <w:pPr>
              <w:jc w:val="center"/>
              <w:rPr>
                <w:rFonts w:ascii="Times New Roman" w:hAnsi="Times New Roman" w:cs="Times New Roman"/>
                <w:snapToGrid w:val="0"/>
                <w:kern w:val="0"/>
                <w:sz w:val="24"/>
              </w:rPr>
            </w:pPr>
            <w:r>
              <w:rPr>
                <w:rFonts w:ascii="Times New Roman" w:hAnsi="Times New Roman" w:cs="Times New Roman"/>
                <w:sz w:val="24"/>
              </w:rPr>
              <w:t>28°01′20.630"</w:t>
            </w:r>
          </w:p>
        </w:tc>
      </w:tr>
      <w:tr w14:paraId="5453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459" w:type="pct"/>
            <w:vAlign w:val="center"/>
          </w:tcPr>
          <w:p w14:paraId="4CCBE46D">
            <w:pPr>
              <w:pStyle w:val="75"/>
              <w:jc w:val="center"/>
              <w:rPr>
                <w:rFonts w:ascii="Times New Roman" w:hAnsi="Times New Roman" w:cs="Times New Roman"/>
                <w:snapToGrid w:val="0"/>
                <w:sz w:val="24"/>
                <w:szCs w:val="24"/>
              </w:rPr>
            </w:pPr>
            <w:r>
              <w:rPr>
                <w:rFonts w:ascii="Times New Roman" w:hAnsi="Times New Roman" w:cs="Times New Roman"/>
                <w:kern w:val="2"/>
                <w:sz w:val="24"/>
                <w:szCs w:val="24"/>
              </w:rPr>
              <w:t>矿6</w:t>
            </w:r>
          </w:p>
        </w:tc>
        <w:tc>
          <w:tcPr>
            <w:tcW w:w="1000" w:type="pct"/>
            <w:gridSpan w:val="2"/>
            <w:vAlign w:val="center"/>
          </w:tcPr>
          <w:p w14:paraId="4B5D8F67">
            <w:pPr>
              <w:widowControl/>
              <w:autoSpaceDN w:val="0"/>
              <w:jc w:val="center"/>
              <w:textAlignment w:val="center"/>
              <w:rPr>
                <w:rFonts w:ascii="Times New Roman" w:hAnsi="Times New Roman" w:cs="Times New Roman"/>
                <w:snapToGrid w:val="0"/>
                <w:sz w:val="24"/>
              </w:rPr>
            </w:pPr>
            <w:r>
              <w:rPr>
                <w:rFonts w:ascii="Times New Roman" w:hAnsi="Times New Roman" w:cs="Times New Roman"/>
                <w:kern w:val="0"/>
                <w:sz w:val="24"/>
              </w:rPr>
              <w:t>3101226.14</w:t>
            </w:r>
          </w:p>
        </w:tc>
        <w:tc>
          <w:tcPr>
            <w:tcW w:w="1048" w:type="pct"/>
            <w:vAlign w:val="center"/>
          </w:tcPr>
          <w:p w14:paraId="06A02C04">
            <w:pPr>
              <w:widowControl/>
              <w:autoSpaceDN w:val="0"/>
              <w:jc w:val="center"/>
              <w:textAlignment w:val="center"/>
              <w:rPr>
                <w:rFonts w:ascii="Times New Roman" w:hAnsi="Times New Roman" w:cs="Times New Roman"/>
                <w:snapToGrid w:val="0"/>
                <w:sz w:val="24"/>
              </w:rPr>
            </w:pPr>
            <w:r>
              <w:rPr>
                <w:rFonts w:ascii="Times New Roman" w:hAnsi="Times New Roman" w:cs="Times New Roman"/>
                <w:kern w:val="0"/>
                <w:sz w:val="24"/>
              </w:rPr>
              <w:t>35424459.49</w:t>
            </w:r>
          </w:p>
        </w:tc>
        <w:tc>
          <w:tcPr>
            <w:tcW w:w="1227" w:type="pct"/>
            <w:vAlign w:val="center"/>
          </w:tcPr>
          <w:p w14:paraId="3F72C7A4">
            <w:pPr>
              <w:jc w:val="center"/>
              <w:rPr>
                <w:rFonts w:ascii="Times New Roman" w:hAnsi="Times New Roman" w:cs="Times New Roman"/>
                <w:snapToGrid w:val="0"/>
                <w:sz w:val="24"/>
              </w:rPr>
            </w:pPr>
            <w:r>
              <w:rPr>
                <w:rFonts w:ascii="Times New Roman" w:hAnsi="Times New Roman" w:cs="Times New Roman"/>
                <w:sz w:val="24"/>
              </w:rPr>
              <w:t>104°13′54.711"</w:t>
            </w:r>
          </w:p>
        </w:tc>
        <w:tc>
          <w:tcPr>
            <w:tcW w:w="1264" w:type="pct"/>
            <w:vAlign w:val="center"/>
          </w:tcPr>
          <w:p w14:paraId="0B931BFB">
            <w:pPr>
              <w:jc w:val="center"/>
              <w:rPr>
                <w:rFonts w:ascii="Times New Roman" w:hAnsi="Times New Roman" w:cs="Times New Roman"/>
                <w:snapToGrid w:val="0"/>
                <w:sz w:val="24"/>
              </w:rPr>
            </w:pPr>
            <w:r>
              <w:rPr>
                <w:rFonts w:ascii="Times New Roman" w:hAnsi="Times New Roman" w:cs="Times New Roman"/>
                <w:sz w:val="24"/>
              </w:rPr>
              <w:t>28°01′22.722"</w:t>
            </w:r>
          </w:p>
        </w:tc>
      </w:tr>
      <w:tr w14:paraId="550B9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459" w:type="pct"/>
            <w:vAlign w:val="center"/>
          </w:tcPr>
          <w:p w14:paraId="4360667B">
            <w:pPr>
              <w:pStyle w:val="75"/>
              <w:jc w:val="center"/>
              <w:rPr>
                <w:rFonts w:ascii="Times New Roman" w:hAnsi="Times New Roman" w:cs="Times New Roman"/>
                <w:snapToGrid w:val="0"/>
                <w:sz w:val="24"/>
                <w:szCs w:val="24"/>
              </w:rPr>
            </w:pPr>
            <w:r>
              <w:rPr>
                <w:rFonts w:ascii="Times New Roman" w:hAnsi="Times New Roman" w:cs="Times New Roman"/>
                <w:kern w:val="2"/>
                <w:sz w:val="24"/>
                <w:szCs w:val="24"/>
              </w:rPr>
              <w:t>矿7</w:t>
            </w:r>
          </w:p>
        </w:tc>
        <w:tc>
          <w:tcPr>
            <w:tcW w:w="1000" w:type="pct"/>
            <w:gridSpan w:val="2"/>
            <w:vAlign w:val="center"/>
          </w:tcPr>
          <w:p w14:paraId="7AFF339C">
            <w:pPr>
              <w:widowControl/>
              <w:autoSpaceDN w:val="0"/>
              <w:jc w:val="center"/>
              <w:textAlignment w:val="center"/>
              <w:rPr>
                <w:rFonts w:ascii="Times New Roman" w:hAnsi="Times New Roman" w:cs="Times New Roman"/>
                <w:kern w:val="0"/>
                <w:sz w:val="24"/>
              </w:rPr>
            </w:pPr>
            <w:r>
              <w:rPr>
                <w:rFonts w:ascii="Times New Roman" w:hAnsi="Times New Roman" w:cs="Times New Roman"/>
                <w:kern w:val="0"/>
                <w:sz w:val="24"/>
              </w:rPr>
              <w:t>3101245.81</w:t>
            </w:r>
          </w:p>
        </w:tc>
        <w:tc>
          <w:tcPr>
            <w:tcW w:w="1048" w:type="pct"/>
            <w:vAlign w:val="center"/>
          </w:tcPr>
          <w:p w14:paraId="6B0A9D84">
            <w:pPr>
              <w:widowControl/>
              <w:autoSpaceDN w:val="0"/>
              <w:jc w:val="center"/>
              <w:textAlignment w:val="center"/>
              <w:rPr>
                <w:rFonts w:ascii="Times New Roman" w:hAnsi="Times New Roman" w:cs="Times New Roman"/>
                <w:kern w:val="0"/>
                <w:sz w:val="24"/>
              </w:rPr>
            </w:pPr>
            <w:r>
              <w:rPr>
                <w:rFonts w:ascii="Times New Roman" w:hAnsi="Times New Roman" w:cs="Times New Roman"/>
                <w:kern w:val="0"/>
                <w:sz w:val="24"/>
              </w:rPr>
              <w:t>35424468.19</w:t>
            </w:r>
          </w:p>
        </w:tc>
        <w:tc>
          <w:tcPr>
            <w:tcW w:w="1227" w:type="pct"/>
            <w:vAlign w:val="center"/>
          </w:tcPr>
          <w:p w14:paraId="6F7622A8">
            <w:pPr>
              <w:jc w:val="center"/>
              <w:rPr>
                <w:rFonts w:ascii="Times New Roman" w:hAnsi="Times New Roman" w:cs="Times New Roman"/>
                <w:kern w:val="0"/>
                <w:sz w:val="24"/>
              </w:rPr>
            </w:pPr>
            <w:r>
              <w:rPr>
                <w:rFonts w:ascii="Times New Roman" w:hAnsi="Times New Roman" w:cs="Times New Roman"/>
                <w:sz w:val="24"/>
              </w:rPr>
              <w:t>104°13′55.025"</w:t>
            </w:r>
          </w:p>
        </w:tc>
        <w:tc>
          <w:tcPr>
            <w:tcW w:w="1264" w:type="pct"/>
            <w:vAlign w:val="center"/>
          </w:tcPr>
          <w:p w14:paraId="44878F1A">
            <w:pPr>
              <w:jc w:val="center"/>
              <w:rPr>
                <w:rFonts w:ascii="Times New Roman" w:hAnsi="Times New Roman" w:cs="Times New Roman"/>
                <w:kern w:val="0"/>
                <w:sz w:val="24"/>
              </w:rPr>
            </w:pPr>
            <w:r>
              <w:rPr>
                <w:rFonts w:ascii="Times New Roman" w:hAnsi="Times New Roman" w:cs="Times New Roman"/>
                <w:sz w:val="24"/>
              </w:rPr>
              <w:t>28°01′23.363"</w:t>
            </w:r>
          </w:p>
        </w:tc>
      </w:tr>
      <w:tr w14:paraId="1197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459" w:type="pct"/>
            <w:vAlign w:val="center"/>
          </w:tcPr>
          <w:p w14:paraId="477C163A">
            <w:pPr>
              <w:pStyle w:val="75"/>
              <w:jc w:val="center"/>
              <w:rPr>
                <w:rFonts w:ascii="Times New Roman" w:hAnsi="Times New Roman" w:cs="Times New Roman"/>
                <w:snapToGrid w:val="0"/>
                <w:sz w:val="24"/>
                <w:szCs w:val="24"/>
              </w:rPr>
            </w:pPr>
            <w:r>
              <w:rPr>
                <w:rFonts w:ascii="Times New Roman" w:hAnsi="Times New Roman" w:cs="Times New Roman"/>
                <w:kern w:val="2"/>
                <w:sz w:val="24"/>
                <w:szCs w:val="24"/>
              </w:rPr>
              <w:t>矿8</w:t>
            </w:r>
          </w:p>
        </w:tc>
        <w:tc>
          <w:tcPr>
            <w:tcW w:w="1000" w:type="pct"/>
            <w:gridSpan w:val="2"/>
            <w:vAlign w:val="center"/>
          </w:tcPr>
          <w:p w14:paraId="6E3A3A39">
            <w:pPr>
              <w:widowControl/>
              <w:autoSpaceDN w:val="0"/>
              <w:jc w:val="center"/>
              <w:textAlignment w:val="center"/>
              <w:rPr>
                <w:rFonts w:ascii="Times New Roman" w:hAnsi="Times New Roman" w:cs="Times New Roman"/>
                <w:kern w:val="0"/>
                <w:sz w:val="24"/>
              </w:rPr>
            </w:pPr>
            <w:r>
              <w:rPr>
                <w:rFonts w:ascii="Times New Roman" w:hAnsi="Times New Roman" w:cs="Times New Roman"/>
                <w:kern w:val="0"/>
                <w:sz w:val="24"/>
              </w:rPr>
              <w:t>3101237.53</w:t>
            </w:r>
          </w:p>
        </w:tc>
        <w:tc>
          <w:tcPr>
            <w:tcW w:w="1048" w:type="pct"/>
            <w:vAlign w:val="center"/>
          </w:tcPr>
          <w:p w14:paraId="560E10BE">
            <w:pPr>
              <w:widowControl/>
              <w:autoSpaceDN w:val="0"/>
              <w:jc w:val="center"/>
              <w:textAlignment w:val="center"/>
              <w:rPr>
                <w:rFonts w:ascii="Times New Roman" w:hAnsi="Times New Roman" w:cs="Times New Roman"/>
                <w:kern w:val="0"/>
                <w:sz w:val="24"/>
              </w:rPr>
            </w:pPr>
            <w:r>
              <w:rPr>
                <w:rFonts w:ascii="Times New Roman" w:hAnsi="Times New Roman" w:cs="Times New Roman"/>
                <w:kern w:val="0"/>
                <w:sz w:val="24"/>
              </w:rPr>
              <w:t>35424549.11</w:t>
            </w:r>
          </w:p>
        </w:tc>
        <w:tc>
          <w:tcPr>
            <w:tcW w:w="1227" w:type="pct"/>
            <w:vAlign w:val="center"/>
          </w:tcPr>
          <w:p w14:paraId="6638E5C2">
            <w:pPr>
              <w:jc w:val="center"/>
              <w:rPr>
                <w:rFonts w:ascii="Times New Roman" w:hAnsi="Times New Roman" w:cs="Times New Roman"/>
                <w:kern w:val="0"/>
                <w:sz w:val="24"/>
              </w:rPr>
            </w:pPr>
            <w:r>
              <w:rPr>
                <w:rFonts w:ascii="Times New Roman" w:hAnsi="Times New Roman" w:cs="Times New Roman"/>
                <w:sz w:val="24"/>
              </w:rPr>
              <w:t>104°13′57.989"</w:t>
            </w:r>
          </w:p>
        </w:tc>
        <w:tc>
          <w:tcPr>
            <w:tcW w:w="1264" w:type="pct"/>
            <w:vAlign w:val="center"/>
          </w:tcPr>
          <w:p w14:paraId="0F0CC3D6">
            <w:pPr>
              <w:jc w:val="center"/>
              <w:rPr>
                <w:rFonts w:ascii="Times New Roman" w:hAnsi="Times New Roman" w:cs="Times New Roman"/>
                <w:kern w:val="0"/>
                <w:sz w:val="24"/>
              </w:rPr>
            </w:pPr>
            <w:r>
              <w:rPr>
                <w:rFonts w:ascii="Times New Roman" w:hAnsi="Times New Roman" w:cs="Times New Roman"/>
                <w:sz w:val="24"/>
              </w:rPr>
              <w:t>28°01′23.111"</w:t>
            </w:r>
          </w:p>
        </w:tc>
      </w:tr>
      <w:tr w14:paraId="1F6B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459" w:type="pct"/>
            <w:vAlign w:val="center"/>
          </w:tcPr>
          <w:p w14:paraId="470F0F4E">
            <w:pPr>
              <w:pStyle w:val="75"/>
              <w:jc w:val="center"/>
              <w:rPr>
                <w:rFonts w:ascii="Times New Roman" w:hAnsi="Times New Roman" w:cs="Times New Roman"/>
                <w:snapToGrid w:val="0"/>
                <w:sz w:val="24"/>
                <w:szCs w:val="24"/>
              </w:rPr>
            </w:pPr>
            <w:r>
              <w:rPr>
                <w:rFonts w:ascii="Times New Roman" w:hAnsi="Times New Roman" w:cs="Times New Roman"/>
                <w:kern w:val="2"/>
                <w:sz w:val="24"/>
                <w:szCs w:val="24"/>
              </w:rPr>
              <w:t>矿9</w:t>
            </w:r>
          </w:p>
        </w:tc>
        <w:tc>
          <w:tcPr>
            <w:tcW w:w="1000" w:type="pct"/>
            <w:gridSpan w:val="2"/>
            <w:vAlign w:val="center"/>
          </w:tcPr>
          <w:p w14:paraId="46E0BB5C">
            <w:pPr>
              <w:widowControl/>
              <w:autoSpaceDN w:val="0"/>
              <w:jc w:val="center"/>
              <w:textAlignment w:val="center"/>
              <w:rPr>
                <w:rFonts w:ascii="Times New Roman" w:hAnsi="Times New Roman" w:cs="Times New Roman"/>
                <w:kern w:val="0"/>
                <w:sz w:val="24"/>
              </w:rPr>
            </w:pPr>
            <w:r>
              <w:rPr>
                <w:rFonts w:ascii="Times New Roman" w:hAnsi="Times New Roman" w:cs="Times New Roman"/>
                <w:kern w:val="0"/>
                <w:sz w:val="24"/>
              </w:rPr>
              <w:t>3101491.53</w:t>
            </w:r>
          </w:p>
        </w:tc>
        <w:tc>
          <w:tcPr>
            <w:tcW w:w="1048" w:type="pct"/>
            <w:vAlign w:val="center"/>
          </w:tcPr>
          <w:p w14:paraId="3976C06B">
            <w:pPr>
              <w:widowControl/>
              <w:autoSpaceDN w:val="0"/>
              <w:jc w:val="center"/>
              <w:textAlignment w:val="center"/>
              <w:rPr>
                <w:rFonts w:ascii="Times New Roman" w:hAnsi="Times New Roman" w:cs="Times New Roman"/>
                <w:kern w:val="0"/>
                <w:sz w:val="24"/>
              </w:rPr>
            </w:pPr>
            <w:r>
              <w:rPr>
                <w:rFonts w:ascii="Times New Roman" w:hAnsi="Times New Roman" w:cs="Times New Roman"/>
                <w:kern w:val="0"/>
                <w:sz w:val="24"/>
              </w:rPr>
              <w:t>35424681.11</w:t>
            </w:r>
          </w:p>
        </w:tc>
        <w:tc>
          <w:tcPr>
            <w:tcW w:w="1227" w:type="pct"/>
            <w:vAlign w:val="center"/>
          </w:tcPr>
          <w:p w14:paraId="3D554580">
            <w:pPr>
              <w:jc w:val="center"/>
              <w:rPr>
                <w:rFonts w:ascii="Times New Roman" w:hAnsi="Times New Roman" w:cs="Times New Roman"/>
                <w:kern w:val="0"/>
                <w:sz w:val="24"/>
              </w:rPr>
            </w:pPr>
            <w:r>
              <w:rPr>
                <w:rFonts w:ascii="Times New Roman" w:hAnsi="Times New Roman" w:cs="Times New Roman"/>
                <w:sz w:val="24"/>
              </w:rPr>
              <w:t>104°14′02.762"</w:t>
            </w:r>
          </w:p>
        </w:tc>
        <w:tc>
          <w:tcPr>
            <w:tcW w:w="1264" w:type="pct"/>
            <w:vAlign w:val="center"/>
          </w:tcPr>
          <w:p w14:paraId="200FE689">
            <w:pPr>
              <w:jc w:val="center"/>
              <w:rPr>
                <w:rFonts w:ascii="Times New Roman" w:hAnsi="Times New Roman" w:cs="Times New Roman"/>
                <w:kern w:val="0"/>
                <w:sz w:val="24"/>
              </w:rPr>
            </w:pPr>
            <w:r>
              <w:rPr>
                <w:rFonts w:ascii="Times New Roman" w:hAnsi="Times New Roman" w:cs="Times New Roman"/>
                <w:sz w:val="24"/>
              </w:rPr>
              <w:t>28°01′31.388"</w:t>
            </w:r>
          </w:p>
        </w:tc>
      </w:tr>
      <w:tr w14:paraId="2F10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459" w:type="pct"/>
            <w:vAlign w:val="center"/>
          </w:tcPr>
          <w:p w14:paraId="119DC859">
            <w:pPr>
              <w:pStyle w:val="75"/>
              <w:jc w:val="center"/>
              <w:rPr>
                <w:rFonts w:ascii="Times New Roman" w:hAnsi="Times New Roman" w:cs="Times New Roman"/>
                <w:snapToGrid w:val="0"/>
                <w:sz w:val="24"/>
                <w:szCs w:val="24"/>
              </w:rPr>
            </w:pPr>
            <w:r>
              <w:rPr>
                <w:rFonts w:ascii="Times New Roman" w:hAnsi="Times New Roman" w:cs="Times New Roman"/>
                <w:kern w:val="2"/>
                <w:sz w:val="24"/>
                <w:szCs w:val="24"/>
              </w:rPr>
              <w:t>矿10</w:t>
            </w:r>
          </w:p>
        </w:tc>
        <w:tc>
          <w:tcPr>
            <w:tcW w:w="1000" w:type="pct"/>
            <w:gridSpan w:val="2"/>
            <w:vAlign w:val="center"/>
          </w:tcPr>
          <w:p w14:paraId="0B6F0076">
            <w:pPr>
              <w:widowControl/>
              <w:autoSpaceDN w:val="0"/>
              <w:jc w:val="center"/>
              <w:textAlignment w:val="center"/>
              <w:rPr>
                <w:rFonts w:ascii="Times New Roman" w:hAnsi="Times New Roman" w:cs="Times New Roman"/>
                <w:kern w:val="0"/>
                <w:sz w:val="24"/>
              </w:rPr>
            </w:pPr>
            <w:r>
              <w:rPr>
                <w:rFonts w:ascii="Times New Roman" w:hAnsi="Times New Roman" w:cs="Times New Roman"/>
                <w:kern w:val="0"/>
                <w:sz w:val="24"/>
              </w:rPr>
              <w:t>3101394.53</w:t>
            </w:r>
          </w:p>
        </w:tc>
        <w:tc>
          <w:tcPr>
            <w:tcW w:w="1048" w:type="pct"/>
            <w:vAlign w:val="center"/>
          </w:tcPr>
          <w:p w14:paraId="38EF8CE2">
            <w:pPr>
              <w:widowControl/>
              <w:autoSpaceDN w:val="0"/>
              <w:jc w:val="center"/>
              <w:textAlignment w:val="center"/>
              <w:rPr>
                <w:rFonts w:ascii="Times New Roman" w:hAnsi="Times New Roman" w:cs="Times New Roman"/>
                <w:kern w:val="0"/>
                <w:sz w:val="24"/>
              </w:rPr>
            </w:pPr>
            <w:r>
              <w:rPr>
                <w:rFonts w:ascii="Times New Roman" w:hAnsi="Times New Roman" w:cs="Times New Roman"/>
                <w:kern w:val="0"/>
                <w:sz w:val="24"/>
              </w:rPr>
              <w:t>35424953.11</w:t>
            </w:r>
          </w:p>
        </w:tc>
        <w:tc>
          <w:tcPr>
            <w:tcW w:w="1227" w:type="pct"/>
            <w:vAlign w:val="center"/>
          </w:tcPr>
          <w:p w14:paraId="3AC70B8A">
            <w:pPr>
              <w:jc w:val="center"/>
              <w:rPr>
                <w:rFonts w:ascii="Times New Roman" w:hAnsi="Times New Roman" w:cs="Times New Roman"/>
                <w:kern w:val="0"/>
                <w:sz w:val="24"/>
              </w:rPr>
            </w:pPr>
            <w:r>
              <w:rPr>
                <w:rFonts w:ascii="Times New Roman" w:hAnsi="Times New Roman" w:cs="Times New Roman"/>
                <w:sz w:val="24"/>
              </w:rPr>
              <w:t>104°14′12.741"</w:t>
            </w:r>
          </w:p>
        </w:tc>
        <w:tc>
          <w:tcPr>
            <w:tcW w:w="1264" w:type="pct"/>
            <w:vAlign w:val="center"/>
          </w:tcPr>
          <w:p w14:paraId="01E66C6D">
            <w:pPr>
              <w:jc w:val="center"/>
              <w:rPr>
                <w:rFonts w:ascii="Times New Roman" w:hAnsi="Times New Roman" w:cs="Times New Roman"/>
                <w:kern w:val="0"/>
                <w:sz w:val="24"/>
              </w:rPr>
            </w:pPr>
            <w:r>
              <w:rPr>
                <w:rFonts w:ascii="Times New Roman" w:hAnsi="Times New Roman" w:cs="Times New Roman"/>
                <w:sz w:val="24"/>
              </w:rPr>
              <w:t>28°01′28.293"</w:t>
            </w:r>
          </w:p>
        </w:tc>
      </w:tr>
      <w:tr w14:paraId="63055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459" w:type="pct"/>
            <w:vAlign w:val="center"/>
          </w:tcPr>
          <w:p w14:paraId="44E92D1F">
            <w:pPr>
              <w:pStyle w:val="75"/>
              <w:jc w:val="center"/>
              <w:rPr>
                <w:rFonts w:ascii="Times New Roman" w:hAnsi="Times New Roman" w:cs="Times New Roman"/>
                <w:snapToGrid w:val="0"/>
                <w:sz w:val="24"/>
                <w:szCs w:val="24"/>
              </w:rPr>
            </w:pPr>
            <w:r>
              <w:rPr>
                <w:rFonts w:ascii="Times New Roman" w:hAnsi="Times New Roman" w:cs="Times New Roman"/>
                <w:kern w:val="2"/>
                <w:sz w:val="24"/>
                <w:szCs w:val="24"/>
              </w:rPr>
              <w:t>矿11</w:t>
            </w:r>
          </w:p>
        </w:tc>
        <w:tc>
          <w:tcPr>
            <w:tcW w:w="1000" w:type="pct"/>
            <w:gridSpan w:val="2"/>
            <w:vAlign w:val="center"/>
          </w:tcPr>
          <w:p w14:paraId="2F3F12D0">
            <w:pPr>
              <w:widowControl/>
              <w:autoSpaceDN w:val="0"/>
              <w:jc w:val="center"/>
              <w:textAlignment w:val="center"/>
              <w:rPr>
                <w:rFonts w:ascii="Times New Roman" w:hAnsi="Times New Roman" w:cs="Times New Roman"/>
                <w:kern w:val="0"/>
                <w:sz w:val="24"/>
              </w:rPr>
            </w:pPr>
            <w:r>
              <w:rPr>
                <w:rFonts w:ascii="Times New Roman" w:hAnsi="Times New Roman" w:cs="Times New Roman"/>
                <w:kern w:val="0"/>
                <w:sz w:val="24"/>
              </w:rPr>
              <w:t>3101166.12</w:t>
            </w:r>
          </w:p>
        </w:tc>
        <w:tc>
          <w:tcPr>
            <w:tcW w:w="1048" w:type="pct"/>
            <w:vAlign w:val="center"/>
          </w:tcPr>
          <w:p w14:paraId="4665B49F">
            <w:pPr>
              <w:widowControl/>
              <w:autoSpaceDN w:val="0"/>
              <w:jc w:val="center"/>
              <w:textAlignment w:val="center"/>
              <w:rPr>
                <w:rFonts w:ascii="Times New Roman" w:hAnsi="Times New Roman" w:cs="Times New Roman"/>
                <w:kern w:val="0"/>
                <w:sz w:val="24"/>
              </w:rPr>
            </w:pPr>
            <w:r>
              <w:rPr>
                <w:rFonts w:ascii="Times New Roman" w:hAnsi="Times New Roman" w:cs="Times New Roman"/>
                <w:kern w:val="0"/>
                <w:sz w:val="24"/>
              </w:rPr>
              <w:t>35424852.46</w:t>
            </w:r>
          </w:p>
        </w:tc>
        <w:tc>
          <w:tcPr>
            <w:tcW w:w="1227" w:type="pct"/>
            <w:vAlign w:val="center"/>
          </w:tcPr>
          <w:p w14:paraId="6CEBAD57">
            <w:pPr>
              <w:jc w:val="center"/>
              <w:rPr>
                <w:rFonts w:ascii="Times New Roman" w:hAnsi="Times New Roman" w:cs="Times New Roman"/>
                <w:kern w:val="0"/>
                <w:sz w:val="24"/>
              </w:rPr>
            </w:pPr>
            <w:r>
              <w:rPr>
                <w:rFonts w:ascii="Times New Roman" w:hAnsi="Times New Roman" w:cs="Times New Roman"/>
                <w:sz w:val="24"/>
              </w:rPr>
              <w:t>104°14′09.109"</w:t>
            </w:r>
          </w:p>
        </w:tc>
        <w:tc>
          <w:tcPr>
            <w:tcW w:w="1264" w:type="pct"/>
            <w:vAlign w:val="center"/>
          </w:tcPr>
          <w:p w14:paraId="5FB916E4">
            <w:pPr>
              <w:jc w:val="center"/>
              <w:rPr>
                <w:rFonts w:ascii="Times New Roman" w:hAnsi="Times New Roman" w:cs="Times New Roman"/>
                <w:kern w:val="0"/>
                <w:sz w:val="24"/>
              </w:rPr>
            </w:pPr>
            <w:r>
              <w:rPr>
                <w:rFonts w:ascii="Times New Roman" w:hAnsi="Times New Roman" w:cs="Times New Roman"/>
                <w:sz w:val="24"/>
              </w:rPr>
              <w:t>28°01′20.853"</w:t>
            </w:r>
          </w:p>
        </w:tc>
      </w:tr>
      <w:tr w14:paraId="1653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459" w:type="pct"/>
            <w:vAlign w:val="center"/>
          </w:tcPr>
          <w:p w14:paraId="58955C5A">
            <w:pPr>
              <w:pStyle w:val="75"/>
              <w:jc w:val="center"/>
              <w:rPr>
                <w:rFonts w:ascii="Times New Roman" w:hAnsi="Times New Roman" w:cs="Times New Roman"/>
                <w:snapToGrid w:val="0"/>
                <w:sz w:val="24"/>
                <w:szCs w:val="24"/>
              </w:rPr>
            </w:pPr>
            <w:r>
              <w:rPr>
                <w:rFonts w:ascii="Times New Roman" w:hAnsi="Times New Roman" w:cs="Times New Roman"/>
                <w:kern w:val="2"/>
                <w:sz w:val="24"/>
                <w:szCs w:val="24"/>
              </w:rPr>
              <w:t>矿12</w:t>
            </w:r>
          </w:p>
        </w:tc>
        <w:tc>
          <w:tcPr>
            <w:tcW w:w="1000" w:type="pct"/>
            <w:gridSpan w:val="2"/>
            <w:vAlign w:val="center"/>
          </w:tcPr>
          <w:p w14:paraId="21044ABE">
            <w:pPr>
              <w:widowControl/>
              <w:autoSpaceDN w:val="0"/>
              <w:jc w:val="center"/>
              <w:textAlignment w:val="center"/>
              <w:rPr>
                <w:rFonts w:ascii="Times New Roman" w:hAnsi="Times New Roman" w:cs="Times New Roman"/>
                <w:kern w:val="0"/>
                <w:sz w:val="24"/>
              </w:rPr>
            </w:pPr>
            <w:r>
              <w:rPr>
                <w:rFonts w:ascii="Times New Roman" w:hAnsi="Times New Roman" w:cs="Times New Roman"/>
                <w:kern w:val="0"/>
                <w:sz w:val="24"/>
              </w:rPr>
              <w:t>3101176.37</w:t>
            </w:r>
          </w:p>
        </w:tc>
        <w:tc>
          <w:tcPr>
            <w:tcW w:w="1048" w:type="pct"/>
            <w:vAlign w:val="center"/>
          </w:tcPr>
          <w:p w14:paraId="0BEEC570">
            <w:pPr>
              <w:widowControl/>
              <w:autoSpaceDN w:val="0"/>
              <w:jc w:val="center"/>
              <w:textAlignment w:val="center"/>
              <w:rPr>
                <w:rFonts w:ascii="Times New Roman" w:hAnsi="Times New Roman" w:cs="Times New Roman"/>
                <w:kern w:val="0"/>
                <w:sz w:val="24"/>
              </w:rPr>
            </w:pPr>
            <w:r>
              <w:rPr>
                <w:rFonts w:ascii="Times New Roman" w:hAnsi="Times New Roman" w:cs="Times New Roman"/>
                <w:kern w:val="0"/>
                <w:sz w:val="24"/>
              </w:rPr>
              <w:t>35424787.43</w:t>
            </w:r>
          </w:p>
        </w:tc>
        <w:tc>
          <w:tcPr>
            <w:tcW w:w="1227" w:type="pct"/>
            <w:vAlign w:val="center"/>
          </w:tcPr>
          <w:p w14:paraId="47E3479B">
            <w:pPr>
              <w:jc w:val="center"/>
              <w:rPr>
                <w:rFonts w:ascii="Times New Roman" w:hAnsi="Times New Roman" w:cs="Times New Roman"/>
                <w:kern w:val="0"/>
                <w:sz w:val="24"/>
              </w:rPr>
            </w:pPr>
            <w:r>
              <w:rPr>
                <w:rFonts w:ascii="Times New Roman" w:hAnsi="Times New Roman" w:cs="Times New Roman"/>
                <w:sz w:val="24"/>
              </w:rPr>
              <w:t>104°14′06.726"</w:t>
            </w:r>
          </w:p>
        </w:tc>
        <w:tc>
          <w:tcPr>
            <w:tcW w:w="1264" w:type="pct"/>
            <w:vAlign w:val="center"/>
          </w:tcPr>
          <w:p w14:paraId="31C36D11">
            <w:pPr>
              <w:jc w:val="center"/>
              <w:rPr>
                <w:rFonts w:ascii="Times New Roman" w:hAnsi="Times New Roman" w:cs="Times New Roman"/>
                <w:kern w:val="0"/>
                <w:sz w:val="24"/>
              </w:rPr>
            </w:pPr>
            <w:r>
              <w:rPr>
                <w:rFonts w:ascii="Times New Roman" w:hAnsi="Times New Roman" w:cs="Times New Roman"/>
                <w:sz w:val="24"/>
              </w:rPr>
              <w:t>28°01′21.173"</w:t>
            </w:r>
          </w:p>
        </w:tc>
      </w:tr>
      <w:tr w14:paraId="72D8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459" w:type="pct"/>
            <w:vAlign w:val="center"/>
          </w:tcPr>
          <w:p w14:paraId="0FDC47EC">
            <w:pPr>
              <w:pStyle w:val="75"/>
              <w:jc w:val="center"/>
              <w:rPr>
                <w:rFonts w:ascii="Times New Roman" w:hAnsi="Times New Roman" w:cs="Times New Roman"/>
                <w:snapToGrid w:val="0"/>
                <w:sz w:val="24"/>
                <w:szCs w:val="24"/>
              </w:rPr>
            </w:pPr>
            <w:r>
              <w:rPr>
                <w:rFonts w:ascii="Times New Roman" w:hAnsi="Times New Roman" w:cs="Times New Roman"/>
                <w:kern w:val="2"/>
                <w:sz w:val="24"/>
                <w:szCs w:val="24"/>
              </w:rPr>
              <w:t>矿13</w:t>
            </w:r>
          </w:p>
        </w:tc>
        <w:tc>
          <w:tcPr>
            <w:tcW w:w="1000" w:type="pct"/>
            <w:gridSpan w:val="2"/>
            <w:vAlign w:val="center"/>
          </w:tcPr>
          <w:p w14:paraId="54F4FB76">
            <w:pPr>
              <w:widowControl/>
              <w:autoSpaceDN w:val="0"/>
              <w:jc w:val="center"/>
              <w:textAlignment w:val="center"/>
              <w:rPr>
                <w:rFonts w:ascii="Times New Roman" w:hAnsi="Times New Roman" w:cs="Times New Roman"/>
                <w:kern w:val="0"/>
                <w:sz w:val="24"/>
              </w:rPr>
            </w:pPr>
            <w:r>
              <w:rPr>
                <w:rFonts w:ascii="Times New Roman" w:hAnsi="Times New Roman" w:cs="Times New Roman"/>
                <w:kern w:val="0"/>
                <w:sz w:val="24"/>
              </w:rPr>
              <w:t>3100906.32</w:t>
            </w:r>
          </w:p>
        </w:tc>
        <w:tc>
          <w:tcPr>
            <w:tcW w:w="1048" w:type="pct"/>
            <w:vAlign w:val="center"/>
          </w:tcPr>
          <w:p w14:paraId="62DE0EC5">
            <w:pPr>
              <w:widowControl/>
              <w:autoSpaceDN w:val="0"/>
              <w:jc w:val="center"/>
              <w:textAlignment w:val="center"/>
              <w:rPr>
                <w:rFonts w:ascii="Times New Roman" w:hAnsi="Times New Roman" w:cs="Times New Roman"/>
                <w:kern w:val="0"/>
                <w:sz w:val="24"/>
              </w:rPr>
            </w:pPr>
            <w:r>
              <w:rPr>
                <w:rFonts w:ascii="Times New Roman" w:hAnsi="Times New Roman" w:cs="Times New Roman"/>
                <w:kern w:val="0"/>
                <w:sz w:val="24"/>
              </w:rPr>
              <w:t>35424679.80</w:t>
            </w:r>
          </w:p>
        </w:tc>
        <w:tc>
          <w:tcPr>
            <w:tcW w:w="1227" w:type="pct"/>
            <w:vAlign w:val="center"/>
          </w:tcPr>
          <w:p w14:paraId="532161A6">
            <w:pPr>
              <w:jc w:val="center"/>
              <w:rPr>
                <w:rFonts w:ascii="Times New Roman" w:hAnsi="Times New Roman" w:cs="Times New Roman"/>
                <w:kern w:val="0"/>
                <w:sz w:val="24"/>
              </w:rPr>
            </w:pPr>
            <w:r>
              <w:rPr>
                <w:rFonts w:ascii="Times New Roman" w:hAnsi="Times New Roman" w:cs="Times New Roman"/>
                <w:sz w:val="24"/>
              </w:rPr>
              <w:t>104°14′02.848"</w:t>
            </w:r>
          </w:p>
        </w:tc>
        <w:tc>
          <w:tcPr>
            <w:tcW w:w="1264" w:type="pct"/>
            <w:vAlign w:val="center"/>
          </w:tcPr>
          <w:p w14:paraId="2017D548">
            <w:pPr>
              <w:jc w:val="center"/>
              <w:rPr>
                <w:rFonts w:ascii="Times New Roman" w:hAnsi="Times New Roman" w:cs="Times New Roman"/>
                <w:kern w:val="0"/>
                <w:sz w:val="24"/>
              </w:rPr>
            </w:pPr>
            <w:r>
              <w:rPr>
                <w:rFonts w:ascii="Times New Roman" w:hAnsi="Times New Roman" w:cs="Times New Roman"/>
                <w:sz w:val="24"/>
              </w:rPr>
              <w:t>28°01′12.379"</w:t>
            </w:r>
          </w:p>
        </w:tc>
      </w:tr>
      <w:tr w14:paraId="18EC6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459" w:type="pct"/>
            <w:vAlign w:val="center"/>
          </w:tcPr>
          <w:p w14:paraId="166876F0">
            <w:pPr>
              <w:pStyle w:val="75"/>
              <w:jc w:val="center"/>
              <w:rPr>
                <w:rFonts w:ascii="Times New Roman" w:hAnsi="Times New Roman" w:cs="Times New Roman"/>
                <w:snapToGrid w:val="0"/>
                <w:sz w:val="24"/>
                <w:szCs w:val="24"/>
              </w:rPr>
            </w:pPr>
            <w:r>
              <w:rPr>
                <w:rFonts w:ascii="Times New Roman" w:hAnsi="Times New Roman" w:cs="Times New Roman"/>
                <w:kern w:val="2"/>
                <w:sz w:val="24"/>
                <w:szCs w:val="24"/>
              </w:rPr>
              <w:t>矿14</w:t>
            </w:r>
          </w:p>
        </w:tc>
        <w:tc>
          <w:tcPr>
            <w:tcW w:w="1000" w:type="pct"/>
            <w:gridSpan w:val="2"/>
            <w:vAlign w:val="center"/>
          </w:tcPr>
          <w:p w14:paraId="706225EE">
            <w:pPr>
              <w:widowControl/>
              <w:autoSpaceDN w:val="0"/>
              <w:jc w:val="center"/>
              <w:textAlignment w:val="center"/>
              <w:rPr>
                <w:rFonts w:ascii="Times New Roman" w:hAnsi="Times New Roman" w:cs="Times New Roman"/>
                <w:kern w:val="0"/>
                <w:sz w:val="24"/>
              </w:rPr>
            </w:pPr>
            <w:r>
              <w:rPr>
                <w:rFonts w:ascii="Times New Roman" w:hAnsi="Times New Roman" w:cs="Times New Roman"/>
                <w:kern w:val="0"/>
                <w:sz w:val="24"/>
              </w:rPr>
              <w:t>3100893.76</w:t>
            </w:r>
          </w:p>
        </w:tc>
        <w:tc>
          <w:tcPr>
            <w:tcW w:w="1048" w:type="pct"/>
            <w:vAlign w:val="center"/>
          </w:tcPr>
          <w:p w14:paraId="4F28C31B">
            <w:pPr>
              <w:widowControl/>
              <w:autoSpaceDN w:val="0"/>
              <w:jc w:val="center"/>
              <w:textAlignment w:val="center"/>
              <w:rPr>
                <w:rFonts w:ascii="Times New Roman" w:hAnsi="Times New Roman" w:cs="Times New Roman"/>
                <w:kern w:val="0"/>
                <w:sz w:val="24"/>
              </w:rPr>
            </w:pPr>
            <w:r>
              <w:rPr>
                <w:rFonts w:ascii="Times New Roman" w:hAnsi="Times New Roman" w:cs="Times New Roman"/>
                <w:kern w:val="0"/>
                <w:sz w:val="24"/>
              </w:rPr>
              <w:t>35424497.48</w:t>
            </w:r>
          </w:p>
        </w:tc>
        <w:tc>
          <w:tcPr>
            <w:tcW w:w="1227" w:type="pct"/>
            <w:vAlign w:val="center"/>
          </w:tcPr>
          <w:p w14:paraId="7743B0BD">
            <w:pPr>
              <w:jc w:val="center"/>
              <w:rPr>
                <w:rFonts w:ascii="Times New Roman" w:hAnsi="Times New Roman" w:cs="Times New Roman"/>
                <w:kern w:val="0"/>
                <w:sz w:val="24"/>
              </w:rPr>
            </w:pPr>
            <w:r>
              <w:rPr>
                <w:rFonts w:ascii="Times New Roman" w:hAnsi="Times New Roman" w:cs="Times New Roman"/>
                <w:sz w:val="24"/>
              </w:rPr>
              <w:t>104°13′56.178"</w:t>
            </w:r>
          </w:p>
        </w:tc>
        <w:tc>
          <w:tcPr>
            <w:tcW w:w="1264" w:type="pct"/>
            <w:vAlign w:val="center"/>
          </w:tcPr>
          <w:p w14:paraId="4E2587F8">
            <w:pPr>
              <w:jc w:val="center"/>
              <w:rPr>
                <w:rFonts w:ascii="Times New Roman" w:hAnsi="Times New Roman" w:cs="Times New Roman"/>
                <w:kern w:val="0"/>
                <w:sz w:val="24"/>
              </w:rPr>
            </w:pPr>
            <w:r>
              <w:rPr>
                <w:rFonts w:ascii="Times New Roman" w:hAnsi="Times New Roman" w:cs="Times New Roman"/>
                <w:sz w:val="24"/>
              </w:rPr>
              <w:t>28°01′11.934"</w:t>
            </w:r>
          </w:p>
        </w:tc>
      </w:tr>
      <w:tr w14:paraId="5AD69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854" w:type="pct"/>
            <w:gridSpan w:val="2"/>
            <w:vAlign w:val="center"/>
          </w:tcPr>
          <w:p w14:paraId="0A327B0C">
            <w:pPr>
              <w:jc w:val="center"/>
              <w:rPr>
                <w:rFonts w:ascii="Times New Roman" w:hAnsi="Times New Roman" w:cs="Times New Roman"/>
                <w:snapToGrid w:val="0"/>
                <w:sz w:val="24"/>
              </w:rPr>
            </w:pPr>
            <w:r>
              <w:rPr>
                <w:rFonts w:ascii="Times New Roman" w:hAnsi="Times New Roman" w:cs="Times New Roman"/>
                <w:snapToGrid w:val="0"/>
                <w:sz w:val="24"/>
              </w:rPr>
              <w:t>开采深度</w:t>
            </w:r>
          </w:p>
        </w:tc>
        <w:tc>
          <w:tcPr>
            <w:tcW w:w="4145" w:type="pct"/>
            <w:gridSpan w:val="4"/>
            <w:vAlign w:val="center"/>
          </w:tcPr>
          <w:p w14:paraId="1143056E">
            <w:pPr>
              <w:jc w:val="center"/>
              <w:rPr>
                <w:rFonts w:ascii="Times New Roman" w:hAnsi="Times New Roman" w:cs="Times New Roman"/>
                <w:kern w:val="0"/>
                <w:sz w:val="24"/>
              </w:rPr>
            </w:pPr>
            <w:r>
              <w:rPr>
                <w:rFonts w:ascii="Times New Roman" w:hAnsi="Times New Roman" w:cs="Times New Roman"/>
                <w:kern w:val="0"/>
                <w:sz w:val="24"/>
              </w:rPr>
              <w:t>940～752m</w:t>
            </w:r>
          </w:p>
        </w:tc>
      </w:tr>
      <w:tr w14:paraId="7634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854" w:type="pct"/>
            <w:gridSpan w:val="2"/>
            <w:vAlign w:val="center"/>
          </w:tcPr>
          <w:p w14:paraId="6B8D9B95">
            <w:pPr>
              <w:pStyle w:val="75"/>
              <w:jc w:val="center"/>
              <w:rPr>
                <w:rFonts w:ascii="Times New Roman" w:hAnsi="Times New Roman" w:cs="Times New Roman"/>
                <w:snapToGrid w:val="0"/>
                <w:sz w:val="24"/>
                <w:szCs w:val="24"/>
              </w:rPr>
            </w:pPr>
            <w:r>
              <w:rPr>
                <w:rFonts w:ascii="Times New Roman" w:hAnsi="Times New Roman" w:cs="Times New Roman"/>
                <w:snapToGrid w:val="0"/>
                <w:sz w:val="24"/>
                <w:szCs w:val="24"/>
              </w:rPr>
              <w:t>矿区面积</w:t>
            </w:r>
          </w:p>
        </w:tc>
        <w:tc>
          <w:tcPr>
            <w:tcW w:w="4145" w:type="pct"/>
            <w:gridSpan w:val="4"/>
            <w:vAlign w:val="center"/>
          </w:tcPr>
          <w:p w14:paraId="0A8D891B">
            <w:pPr>
              <w:jc w:val="center"/>
              <w:rPr>
                <w:rFonts w:ascii="Times New Roman" w:hAnsi="Times New Roman" w:cs="Times New Roman"/>
                <w:kern w:val="0"/>
                <w:sz w:val="24"/>
              </w:rPr>
            </w:pPr>
            <w:r>
              <w:rPr>
                <w:rFonts w:ascii="Times New Roman" w:hAnsi="Times New Roman" w:cs="Times New Roman"/>
                <w:kern w:val="0"/>
                <w:sz w:val="24"/>
              </w:rPr>
              <w:t>0.1816km</w:t>
            </w:r>
            <w:r>
              <w:rPr>
                <w:rFonts w:ascii="Times New Roman" w:hAnsi="Times New Roman" w:cs="Times New Roman"/>
                <w:kern w:val="0"/>
                <w:sz w:val="24"/>
                <w:vertAlign w:val="superscript"/>
              </w:rPr>
              <w:t>2</w:t>
            </w:r>
          </w:p>
        </w:tc>
      </w:tr>
    </w:tbl>
    <w:p w14:paraId="786AC549">
      <w:pPr>
        <w:numPr>
          <w:ilvl w:val="0"/>
          <w:numId w:val="4"/>
        </w:numPr>
        <w:adjustRightInd w:val="0"/>
        <w:snapToGrid w:val="0"/>
        <w:spacing w:before="156" w:beforeLines="50" w:line="360" w:lineRule="auto"/>
        <w:ind w:firstLine="562" w:firstLineChars="200"/>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设计范围</w:t>
      </w:r>
    </w:p>
    <w:p w14:paraId="5104F86C">
      <w:pPr>
        <w:adjustRightInd w:val="0"/>
        <w:snapToGrid w:val="0"/>
        <w:spacing w:line="360" w:lineRule="auto"/>
        <w:ind w:firstLine="560" w:firstLineChars="200"/>
        <w:rPr>
          <w:rFonts w:hint="default"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该矿山为新建矿山，林地使用手续由于林地指标有限，分为两期办理；一期办理矿区西侧及南侧123.6亩林地手续，二期办理矿区西侧及北侧116.2亩林地手续。因此</w:t>
      </w:r>
      <w:r>
        <w:rPr>
          <w:rFonts w:ascii="Times New Roman" w:hAnsi="Times New Roman" w:cs="Times New Roman"/>
          <w:color w:val="000000" w:themeColor="text1"/>
          <w:sz w:val="28"/>
          <w:szCs w:val="28"/>
          <w:lang w:val="en-GB"/>
          <w14:textFill>
            <w14:solidFill>
              <w14:schemeClr w14:val="tx1"/>
            </w14:solidFill>
          </w14:textFill>
        </w:rPr>
        <w:t>《盐津县桃子坝采石场90万t/a露天采矿工程初步设计（</w:t>
      </w:r>
      <w:r>
        <w:rPr>
          <w:rFonts w:ascii="Times New Roman" w:hAnsi="Times New Roman" w:cs="Times New Roman"/>
          <w:color w:val="000000" w:themeColor="text1"/>
          <w:sz w:val="28"/>
          <w:szCs w:val="28"/>
          <w14:textFill>
            <w14:solidFill>
              <w14:schemeClr w14:val="tx1"/>
            </w14:solidFill>
          </w14:textFill>
        </w:rPr>
        <w:t>代可研</w:t>
      </w:r>
      <w:r>
        <w:rPr>
          <w:rFonts w:ascii="Times New Roman" w:hAnsi="Times New Roman" w:cs="Times New Roman"/>
          <w:color w:val="000000" w:themeColor="text1"/>
          <w:sz w:val="28"/>
          <w:szCs w:val="28"/>
          <w:lang w:val="en-GB"/>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设计范围为矿区范围内一期林地范围，矿区北侧尚未办理林地手续的范围待取得林地使用手续后再重新进行设计。</w:t>
      </w:r>
    </w:p>
    <w:p w14:paraId="436BD863">
      <w:pPr>
        <w:adjustRightInd w:val="0"/>
        <w:snapToGrid w:val="0"/>
        <w:spacing w:line="360" w:lineRule="auto"/>
        <w:ind w:firstLine="560" w:firstLineChars="200"/>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采矿许可证矿区面积：0.1816km</w:t>
      </w:r>
      <w:r>
        <w:rPr>
          <w:rFonts w:ascii="Times New Roman" w:hAnsi="Times New Roman" w:cs="Times New Roman"/>
          <w:color w:val="000000" w:themeColor="text1"/>
          <w:sz w:val="28"/>
          <w:szCs w:val="28"/>
          <w:vertAlign w:val="superscript"/>
          <w14:textFill>
            <w14:solidFill>
              <w14:schemeClr w14:val="tx1"/>
            </w14:solidFill>
          </w14:textFill>
        </w:rPr>
        <w:t>2</w:t>
      </w:r>
      <w:r>
        <w:rPr>
          <w:rFonts w:ascii="Times New Roman" w:hAnsi="Times New Roman" w:cs="Times New Roman"/>
          <w:color w:val="000000" w:themeColor="text1"/>
          <w:sz w:val="28"/>
          <w:szCs w:val="28"/>
          <w14:textFill>
            <w14:solidFill>
              <w14:schemeClr w14:val="tx1"/>
            </w14:solidFill>
          </w14:textFill>
        </w:rPr>
        <w:t>，开采标高940m</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752m，</w:t>
      </w:r>
      <w:r>
        <w:rPr>
          <w:rFonts w:hint="eastAsia" w:ascii="Times New Roman" w:hAnsi="Times New Roman" w:cs="Times New Roman"/>
          <w:bCs/>
          <w:color w:val="000000" w:themeColor="text1"/>
          <w:sz w:val="28"/>
          <w:szCs w:val="28"/>
          <w14:textFill>
            <w14:solidFill>
              <w14:schemeClr w14:val="tx1"/>
            </w14:solidFill>
          </w14:textFill>
        </w:rPr>
        <w:t>设计</w:t>
      </w:r>
      <w:r>
        <w:rPr>
          <w:rFonts w:ascii="Times New Roman" w:hAnsi="Times New Roman" w:cs="Times New Roman"/>
          <w:bCs/>
          <w:color w:val="000000" w:themeColor="text1"/>
          <w:sz w:val="28"/>
          <w:szCs w:val="28"/>
          <w14:textFill>
            <w14:solidFill>
              <w14:schemeClr w14:val="tx1"/>
            </w14:solidFill>
          </w14:textFill>
        </w:rPr>
        <w:t>矿区范围内一期林地范围面积为58990.33m</w:t>
      </w:r>
      <w:r>
        <w:rPr>
          <w:rFonts w:ascii="Times New Roman" w:hAnsi="Times New Roman" w:cs="Times New Roman"/>
          <w:bCs/>
          <w:color w:val="000000" w:themeColor="text1"/>
          <w:sz w:val="28"/>
          <w:szCs w:val="28"/>
          <w:vertAlign w:val="superscript"/>
          <w14:textFill>
            <w14:solidFill>
              <w14:schemeClr w14:val="tx1"/>
            </w14:solidFill>
          </w14:textFill>
        </w:rPr>
        <w:t>2</w:t>
      </w:r>
      <w:r>
        <w:rPr>
          <w:rFonts w:ascii="Times New Roman" w:hAnsi="Times New Roman" w:cs="Times New Roman"/>
          <w:bCs/>
          <w:color w:val="000000" w:themeColor="text1"/>
          <w:sz w:val="28"/>
          <w:szCs w:val="28"/>
          <w14:textFill>
            <w14:solidFill>
              <w14:schemeClr w14:val="tx1"/>
            </w14:solidFill>
          </w14:textFill>
        </w:rPr>
        <w:t>，设计标高为752m</w:t>
      </w:r>
      <w:r>
        <w:rPr>
          <w:rFonts w:hint="eastAsia" w:ascii="Times New Roman" w:hAnsi="Times New Roman" w:cs="Times New Roman"/>
          <w:bCs/>
          <w:color w:val="000000" w:themeColor="text1"/>
          <w:sz w:val="28"/>
          <w:szCs w:val="28"/>
          <w14:textFill>
            <w14:solidFill>
              <w14:schemeClr w14:val="tx1"/>
            </w14:solidFill>
          </w14:textFill>
        </w:rPr>
        <w:t>～</w:t>
      </w:r>
      <w:r>
        <w:rPr>
          <w:rFonts w:ascii="Times New Roman" w:hAnsi="Times New Roman" w:cs="Times New Roman"/>
          <w:bCs/>
          <w:color w:val="000000" w:themeColor="text1"/>
          <w:sz w:val="28"/>
          <w:szCs w:val="28"/>
          <w14:textFill>
            <w14:solidFill>
              <w14:schemeClr w14:val="tx1"/>
            </w14:solidFill>
          </w14:textFill>
        </w:rPr>
        <w:t>852m。具体范围见附图《矿区现状及周边关系图》。</w:t>
      </w:r>
    </w:p>
    <w:p w14:paraId="1DADB507">
      <w:pPr>
        <w:numPr>
          <w:ilvl w:val="0"/>
          <w:numId w:val="4"/>
        </w:numPr>
        <w:adjustRightInd w:val="0"/>
        <w:snapToGrid w:val="0"/>
        <w:spacing w:line="360" w:lineRule="auto"/>
        <w:ind w:firstLine="562" w:firstLineChars="200"/>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评价范围</w:t>
      </w:r>
    </w:p>
    <w:p w14:paraId="66414596">
      <w:pPr>
        <w:adjustRightInd w:val="0"/>
        <w:snapToGrid w:val="0"/>
        <w:spacing w:line="360" w:lineRule="auto"/>
        <w:ind w:firstLine="560" w:firstLineChars="200"/>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根据《盐津开源矿业有限公司盐津县桃子坝采石场90万t/a露天采矿工程初步设计（代可研）》评价范围为</w:t>
      </w:r>
      <w:r>
        <w:rPr>
          <w:rFonts w:ascii="Times New Roman" w:hAnsi="Times New Roman" w:cs="Times New Roman"/>
          <w:color w:val="000000" w:themeColor="text1"/>
          <w:sz w:val="28"/>
          <w:szCs w:val="36"/>
          <w14:textFill>
            <w14:solidFill>
              <w14:schemeClr w14:val="tx1"/>
            </w14:solidFill>
          </w14:textFill>
        </w:rPr>
        <w:t>矿山</w:t>
      </w:r>
      <w:r>
        <w:rPr>
          <w:rFonts w:ascii="Times New Roman" w:hAnsi="Times New Roman" w:cs="Times New Roman"/>
          <w:bCs/>
          <w:color w:val="000000" w:themeColor="text1"/>
          <w:sz w:val="28"/>
          <w:szCs w:val="28"/>
          <w14:textFill>
            <w14:solidFill>
              <w14:schemeClr w14:val="tx1"/>
            </w14:solidFill>
          </w14:textFill>
        </w:rPr>
        <w:t>总平面布置、开拓运输、采矿工艺、</w:t>
      </w:r>
      <w:r>
        <w:rPr>
          <w:rFonts w:hint="eastAsia" w:ascii="Times New Roman" w:hAnsi="Times New Roman" w:cs="Times New Roman"/>
          <w:bCs/>
          <w:color w:val="000000" w:themeColor="text1"/>
          <w:sz w:val="28"/>
          <w:szCs w:val="28"/>
          <w14:textFill>
            <w14:solidFill>
              <w14:schemeClr w14:val="tx1"/>
            </w14:solidFill>
          </w14:textFill>
        </w:rPr>
        <w:t>临时排土场、</w:t>
      </w:r>
      <w:r>
        <w:rPr>
          <w:rFonts w:ascii="Times New Roman" w:hAnsi="Times New Roman" w:cs="Times New Roman"/>
          <w:bCs/>
          <w:color w:val="000000" w:themeColor="text1"/>
          <w:sz w:val="28"/>
          <w:szCs w:val="28"/>
          <w14:textFill>
            <w14:solidFill>
              <w14:schemeClr w14:val="tx1"/>
            </w14:solidFill>
          </w14:textFill>
        </w:rPr>
        <w:t>防排水及周边环境等方面的安全设施及安全管理。预评价范围与设计范围一致。</w:t>
      </w:r>
    </w:p>
    <w:p w14:paraId="3BF68759">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本次评价范围不包括</w:t>
      </w:r>
      <w:r>
        <w:rPr>
          <w:rFonts w:ascii="Times New Roman" w:hAnsi="Times New Roman" w:cs="Times New Roman"/>
          <w:bCs/>
          <w:color w:val="000000" w:themeColor="text1"/>
          <w:sz w:val="28"/>
          <w:szCs w:val="28"/>
          <w14:textFill>
            <w14:solidFill>
              <w14:schemeClr w14:val="tx1"/>
            </w14:solidFill>
          </w14:textFill>
        </w:rPr>
        <w:t>破碎站、爆破器材储存及运输、矿山加油设施、供配电设施、职业病及防治、环保、地质灾害评估问题。但评价报告中会涉及相关内容，企业应执行国家相关</w:t>
      </w:r>
      <w:r>
        <w:rPr>
          <w:rFonts w:hint="eastAsia" w:ascii="Times New Roman" w:hAnsi="Times New Roman" w:cs="Times New Roman"/>
          <w:bCs/>
          <w:color w:val="000000" w:themeColor="text1"/>
          <w:sz w:val="28"/>
          <w:szCs w:val="28"/>
          <w14:textFill>
            <w14:solidFill>
              <w14:schemeClr w14:val="tx1"/>
            </w14:solidFill>
          </w14:textFill>
        </w:rPr>
        <w:t>法律法规</w:t>
      </w:r>
      <w:r>
        <w:rPr>
          <w:rFonts w:ascii="Times New Roman" w:hAnsi="Times New Roman" w:cs="Times New Roman"/>
          <w:bCs/>
          <w:color w:val="000000" w:themeColor="text1"/>
          <w:sz w:val="28"/>
          <w:szCs w:val="28"/>
          <w14:textFill>
            <w14:solidFill>
              <w14:schemeClr w14:val="tx1"/>
            </w14:solidFill>
          </w14:textFill>
        </w:rPr>
        <w:t>、标准和规范要求</w:t>
      </w:r>
      <w:r>
        <w:rPr>
          <w:rFonts w:ascii="Times New Roman" w:hAnsi="Times New Roman" w:eastAsia="宋体" w:cs="Times New Roman"/>
          <w:color w:val="000000" w:themeColor="text1"/>
          <w:sz w:val="28"/>
          <w:szCs w:val="28"/>
          <w:lang w:val="en-GB"/>
          <w14:textFill>
            <w14:solidFill>
              <w14:schemeClr w14:val="tx1"/>
            </w14:solidFill>
          </w14:textFill>
        </w:rPr>
        <w:t>。</w:t>
      </w:r>
    </w:p>
    <w:p w14:paraId="58A9A251">
      <w:pPr>
        <w:pStyle w:val="3"/>
        <w:adjustRightInd w:val="0"/>
        <w:snapToGrid w:val="0"/>
        <w:rPr>
          <w:rFonts w:ascii="Times New Roman" w:hAnsi="Times New Roman" w:cs="Times New Roman"/>
          <w:b/>
          <w:bCs w:val="0"/>
          <w:color w:val="000000" w:themeColor="text1"/>
          <w:lang w:val="en-GB"/>
          <w14:textFill>
            <w14:solidFill>
              <w14:schemeClr w14:val="tx1"/>
            </w14:solidFill>
          </w14:textFill>
        </w:rPr>
      </w:pPr>
      <w:bookmarkStart w:id="20" w:name="_Toc8589"/>
      <w:bookmarkStart w:id="21" w:name="_Toc13841"/>
      <w:r>
        <w:rPr>
          <w:rFonts w:ascii="Times New Roman" w:hAnsi="Times New Roman" w:cs="Times New Roman"/>
          <w:b/>
          <w:bCs w:val="0"/>
          <w:color w:val="000000" w:themeColor="text1"/>
          <w:lang w:val="en-GB"/>
          <w14:textFill>
            <w14:solidFill>
              <w14:schemeClr w14:val="tx1"/>
            </w14:solidFill>
          </w14:textFill>
        </w:rPr>
        <w:t>1.2 评价依据</w:t>
      </w:r>
      <w:bookmarkEnd w:id="20"/>
      <w:bookmarkEnd w:id="21"/>
    </w:p>
    <w:p w14:paraId="338EED45">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1.2.1 法律法规</w:t>
      </w:r>
    </w:p>
    <w:p w14:paraId="450E67DC">
      <w:pPr>
        <w:pStyle w:val="5"/>
        <w:adjustRightInd w:val="0"/>
        <w:snapToGrid w:val="0"/>
        <w:spacing w:line="360" w:lineRule="auto"/>
        <w:ind w:firstLine="560"/>
        <w:rPr>
          <w:rFonts w:ascii="Times New Roman" w:hAnsi="Times New Roman" w:cs="Times New Roman"/>
          <w:color w:val="000000" w:themeColor="text1"/>
          <w:lang w:val="en-GB"/>
          <w14:textFill>
            <w14:solidFill>
              <w14:schemeClr w14:val="tx1"/>
            </w14:solidFill>
          </w14:textFill>
        </w:rPr>
      </w:pPr>
      <w:r>
        <w:rPr>
          <w:rFonts w:ascii="Times New Roman" w:hAnsi="Times New Roman" w:cs="Times New Roman"/>
          <w:color w:val="000000" w:themeColor="text1"/>
          <w:lang w:val="en-GB"/>
          <w14:textFill>
            <w14:solidFill>
              <w14:schemeClr w14:val="tx1"/>
            </w14:solidFill>
          </w14:textFill>
        </w:rPr>
        <w:t>1.2.1.1 法律</w:t>
      </w:r>
    </w:p>
    <w:p w14:paraId="12DD0646">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1）《中华人民共和国矿产资源法》（中华人民共和国主席令36号公布，1986年10月1日施行，根据1996年8月29日第八届全国人民代表大会常务委员会第二十一次会议《关于修改〈中华人民共和国矿产资源法〉的决定》第一次修正，根据2009年8月27日第十一届全国人民代表大会常务委员会第十次会议第二次修正）；</w:t>
      </w:r>
    </w:p>
    <w:p w14:paraId="75210718">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（2）《中华人民共和国矿山安全法》（中华人民共和国主席令第</w:t>
      </w:r>
      <w:r>
        <w:rPr>
          <w:rFonts w:ascii="Times New Roman" w:hAnsi="Times New Roman" w:eastAsia="宋体" w:cs="Times New Roman"/>
          <w:color w:val="000000" w:themeColor="text1"/>
          <w:sz w:val="28"/>
          <w:szCs w:val="28"/>
          <w14:textFill>
            <w14:solidFill>
              <w14:schemeClr w14:val="tx1"/>
            </w14:solidFill>
          </w14:textFill>
        </w:rPr>
        <w:t>88</w:t>
      </w:r>
      <w:r>
        <w:rPr>
          <w:rFonts w:ascii="Times New Roman" w:hAnsi="Times New Roman" w:eastAsia="宋体" w:cs="Times New Roman"/>
          <w:color w:val="000000" w:themeColor="text1"/>
          <w:sz w:val="28"/>
          <w:szCs w:val="28"/>
          <w:lang w:val="en-GB"/>
          <w14:textFill>
            <w14:solidFill>
              <w14:schemeClr w14:val="tx1"/>
            </w14:solidFill>
          </w14:textFill>
        </w:rPr>
        <w:t>号发布，根据2009年8月27日中华人民共和国主席令第18号《全国人民代表大会常务委员会关于修改部分法律的决定》修正，自公布之日起施行）；</w:t>
      </w:r>
    </w:p>
    <w:p w14:paraId="661DF28F">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3）《中华人民共和国劳动法》（1994年7月5日第八届全国人民代表大会常务委员会第八次会议通过，1994年7月5日中华人民共和国主席令第28号公布，1995年1月1日起施行，根据2009年8月27日第十一届全国人民代表大会常务委员会第十次会议《关于修改部分法律的决定》第一次修正，根据2018年12月29日第十三届全国人民代表大会常务委员会第七次会议《关于修改〈中华人民共和国劳动法〉等七部法律的决定》第二次修正）；</w:t>
      </w:r>
    </w:p>
    <w:p w14:paraId="69220656">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（4）《中华人民共和国突发事件应对法》（中华人民共和国第十届全国人民代表大会常务委员会第二十九次会议于2007年8月30日通过，中华人民共和国主席令第69号公布，2007年11月1日起施行）；</w:t>
      </w:r>
    </w:p>
    <w:p w14:paraId="385C8A86">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5）《中华人民共和国消防法》（1998年4月29日第九届全国人民代表大会常务委员会第二次会议通过2008年10月28日第十一届全国人民代表大会常务委员会第五次会议修订根据2019年4月23日第十三届全国人民代表大会常务委员会第十次会议《关于修改〈中华人民共和国建筑 法〉等八部法律的决定》第一次修正根据2021年4月29日第十三届全国人民代表大会常务委员会第二十八次会议《关于修改〈中华人民共和国道路交通安全法〉等八部法律的决定》第二次修正）；</w:t>
      </w:r>
    </w:p>
    <w:p w14:paraId="5184CFA4">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6</w:t>
      </w:r>
      <w:r>
        <w:rPr>
          <w:rFonts w:ascii="Times New Roman" w:hAnsi="Times New Roman" w:eastAsia="宋体" w:cs="Times New Roman"/>
          <w:color w:val="000000" w:themeColor="text1"/>
          <w:sz w:val="28"/>
          <w:szCs w:val="28"/>
          <w:lang w:val="en-GB"/>
          <w14:textFill>
            <w14:solidFill>
              <w14:schemeClr w14:val="tx1"/>
            </w14:solidFill>
          </w14:textFill>
        </w:rPr>
        <w:t>）《中华人民共和国安全生产法》（中华人民共和国主席令第88号，2021年6月10日第十三届全国人民代表大会常务委员会第二十九次会议《关于修改〈中华人民共和国安全生产法〉的决定》第三次修正，自2021年9月1日起施行）；</w:t>
      </w:r>
    </w:p>
    <w:p w14:paraId="2232EE14">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7</w:t>
      </w:r>
      <w:r>
        <w:rPr>
          <w:rFonts w:ascii="Times New Roman" w:hAnsi="Times New Roman" w:eastAsia="宋体" w:cs="Times New Roman"/>
          <w:color w:val="000000" w:themeColor="text1"/>
          <w:sz w:val="28"/>
          <w:szCs w:val="28"/>
          <w:lang w:val="en-GB"/>
          <w14:textFill>
            <w14:solidFill>
              <w14:schemeClr w14:val="tx1"/>
            </w14:solidFill>
          </w14:textFill>
        </w:rPr>
        <w:t>）《中华人民共和国特种设备安全法》（中华人民共和国主席令第4号，2014年1月1日起施行）；</w:t>
      </w:r>
    </w:p>
    <w:p w14:paraId="3D93E33D">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8</w:t>
      </w:r>
      <w:r>
        <w:rPr>
          <w:rFonts w:ascii="Times New Roman" w:hAnsi="Times New Roman" w:eastAsia="宋体" w:cs="Times New Roman"/>
          <w:color w:val="000000" w:themeColor="text1"/>
          <w:sz w:val="28"/>
          <w:szCs w:val="28"/>
          <w:lang w:val="en-GB"/>
          <w14:textFill>
            <w14:solidFill>
              <w14:schemeClr w14:val="tx1"/>
            </w14:solidFill>
          </w14:textFill>
        </w:rPr>
        <w:t>）《中华人民共和国环境保护法》（中华人民共和国主席令第9号，2015年1月1日起施行）；</w:t>
      </w:r>
    </w:p>
    <w:p w14:paraId="328332DB">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9</w:t>
      </w:r>
      <w:r>
        <w:rPr>
          <w:rFonts w:ascii="Times New Roman" w:hAnsi="Times New Roman" w:eastAsia="宋体" w:cs="Times New Roman"/>
          <w:color w:val="000000" w:themeColor="text1"/>
          <w:sz w:val="28"/>
          <w:szCs w:val="28"/>
          <w:lang w:val="en-GB"/>
          <w14:textFill>
            <w14:solidFill>
              <w14:schemeClr w14:val="tx1"/>
            </w14:solidFill>
          </w14:textFill>
        </w:rPr>
        <w:t>）《中华人民共和国职业病防治法》（中华人民共和国主席令第60号公布，2002年5月1日起施行，2018年12月29日第十三届全国人民代表大会常务委员会第七次会议《关于修改等七部法律的决定》第四次修正，2018年12月30日起施行）。</w:t>
      </w:r>
    </w:p>
    <w:p w14:paraId="7DBCBC2C">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10</w:t>
      </w:r>
      <w:r>
        <w:rPr>
          <w:rFonts w:ascii="Times New Roman" w:hAnsi="Times New Roman" w:eastAsia="宋体" w:cs="Times New Roman"/>
          <w:color w:val="000000" w:themeColor="text1"/>
          <w:sz w:val="28"/>
          <w:szCs w:val="28"/>
          <w:lang w:val="en-GB"/>
          <w14:textFill>
            <w14:solidFill>
              <w14:schemeClr w14:val="tx1"/>
            </w14:solidFill>
          </w14:textFill>
        </w:rPr>
        <w:t>）《中华人民共和国公路法》（2017年11月4日第十二届全国人民代表大会常务委员会第三十次会议修改通过，中华人民共和国主席令第81号发布，自2017年11月5日施行）；</w:t>
      </w:r>
    </w:p>
    <w:p w14:paraId="68160DFA">
      <w:pPr>
        <w:pStyle w:val="5"/>
        <w:adjustRightInd w:val="0"/>
        <w:snapToGrid w:val="0"/>
        <w:spacing w:line="360" w:lineRule="auto"/>
        <w:ind w:firstLine="560"/>
        <w:rPr>
          <w:rFonts w:ascii="Times New Roman" w:hAnsi="Times New Roman" w:cs="Times New Roman"/>
          <w:color w:val="000000" w:themeColor="text1"/>
          <w:lang w:val="en-GB"/>
          <w14:textFill>
            <w14:solidFill>
              <w14:schemeClr w14:val="tx1"/>
            </w14:solidFill>
          </w14:textFill>
        </w:rPr>
      </w:pPr>
      <w:r>
        <w:rPr>
          <w:rFonts w:ascii="Times New Roman" w:hAnsi="Times New Roman" w:cs="Times New Roman"/>
          <w:color w:val="000000" w:themeColor="text1"/>
          <w:lang w:val="en-GB"/>
          <w14:textFill>
            <w14:solidFill>
              <w14:schemeClr w14:val="tx1"/>
            </w14:solidFill>
          </w14:textFill>
        </w:rPr>
        <w:t>1.2.1.2 法规</w:t>
      </w:r>
    </w:p>
    <w:p w14:paraId="4BE4D27D">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（1）《中华人民共和国矿山安全法实施条例》（1996年10月30日，中华人民共和国劳动部令第4号发布，自发布之日起施行）；</w:t>
      </w:r>
    </w:p>
    <w:p w14:paraId="4B594A7E">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（2）《安全生产许可证条例》（中华人民共和国国务院令第653号，根据2014年7月29日《国务院关于修改部分行政法规的决定》第二次修订）；</w:t>
      </w:r>
    </w:p>
    <w:p w14:paraId="69B53EC8">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（3）《建设工程安全生产管理条例》（中华人民共和国国务院令第393号，2004年2月1日起施行）；</w:t>
      </w:r>
    </w:p>
    <w:p w14:paraId="65BFF59F">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（4）《地质灾害防治条例》（中华人民共和国国务院令第394号，2004年3月1日起施行）；</w:t>
      </w:r>
    </w:p>
    <w:p w14:paraId="54B4F613">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（5）《生产安全事故报告和调查处理条例》（国务院493号令，2007年6月1日起施行）；</w:t>
      </w:r>
    </w:p>
    <w:p w14:paraId="352CC038">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（6）《特种设备安全监察条例》（中华人民共和国国务院令第549号，2009年5月1日起施行）；</w:t>
      </w:r>
    </w:p>
    <w:p w14:paraId="1BA6B2C1">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（7）《工伤保险条例》（中华人民共和国国务院令586号，2011年1月1日起施行）；</w:t>
      </w:r>
    </w:p>
    <w:p w14:paraId="4EEB7179">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（8）《公路安全保护条例》（中华人民共和国国务院令第593号，2011年7月1日起施行）；</w:t>
      </w:r>
    </w:p>
    <w:p w14:paraId="20C7926F">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9</w:t>
      </w:r>
      <w:r>
        <w:rPr>
          <w:rFonts w:ascii="Times New Roman" w:hAnsi="Times New Roman" w:eastAsia="宋体" w:cs="Times New Roman"/>
          <w:color w:val="000000" w:themeColor="text1"/>
          <w:sz w:val="28"/>
          <w:szCs w:val="28"/>
          <w:lang w:val="en-GB"/>
          <w14:textFill>
            <w14:solidFill>
              <w14:schemeClr w14:val="tx1"/>
            </w14:solidFill>
          </w14:textFill>
        </w:rPr>
        <w:t>）《生产安全事故应急条例》（中华人民共和国国务院令第708号，2019年4月1日起施行）；</w:t>
      </w:r>
    </w:p>
    <w:p w14:paraId="7DF78D5C">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（10）《电力设施保护条例》（1987年9月15日国务院发布 根据1998年01月07日《国务院关于修改电力设施保护条例的决定》修订 根据2011年01月08日《国务院关于废止和修改部分行政法规的决定》第二次修订，1987年9月15日起施行）；</w:t>
      </w:r>
    </w:p>
    <w:p w14:paraId="50EA484F">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（11）《电力设施保护条例实施细则》（国家经济贸易委员会、中华人民共和国公安部发布，1999年3月18日起施行）。</w:t>
      </w:r>
    </w:p>
    <w:p w14:paraId="40AB8A52">
      <w:pPr>
        <w:pStyle w:val="5"/>
        <w:adjustRightInd w:val="0"/>
        <w:snapToGrid w:val="0"/>
        <w:spacing w:line="360" w:lineRule="auto"/>
        <w:ind w:firstLine="560"/>
        <w:rPr>
          <w:rFonts w:ascii="Times New Roman" w:hAnsi="Times New Roman" w:cs="Times New Roman"/>
          <w:color w:val="000000" w:themeColor="text1"/>
          <w:lang w:val="en-GB"/>
          <w14:textFill>
            <w14:solidFill>
              <w14:schemeClr w14:val="tx1"/>
            </w14:solidFill>
          </w14:textFill>
        </w:rPr>
      </w:pPr>
      <w:r>
        <w:rPr>
          <w:rFonts w:ascii="Times New Roman" w:hAnsi="Times New Roman" w:cs="Times New Roman"/>
          <w:color w:val="000000" w:themeColor="text1"/>
          <w:lang w:val="en-GB"/>
          <w14:textFill>
            <w14:solidFill>
              <w14:schemeClr w14:val="tx1"/>
            </w14:solidFill>
          </w14:textFill>
        </w:rPr>
        <w:t>1.2.1.3 部门规章及政府规范性文件</w:t>
      </w:r>
    </w:p>
    <w:p w14:paraId="19B6DD0B">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（1）《安全生产事故隐患排查治理暂行规定》（原国家安全生产监督管理总局令16号，2008年2月1日起施行）；</w:t>
      </w:r>
    </w:p>
    <w:p w14:paraId="676431C0">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（2）《国务院关于进一步加强企业安全生产的通知》（国发〔2010〕23号，2010年7月19日发布）；</w:t>
      </w:r>
    </w:p>
    <w:p w14:paraId="10A25B86">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（3）《企业安全生产费用提取和使用管理办法》（财资〔2022〕136号，2022年11月21日公布实施）；</w:t>
      </w:r>
    </w:p>
    <w:p w14:paraId="0A3C8C80">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（4）《国家安全监管总局关于印发金属非金属矿山建设项目安全评价报告编写提纲的通知》（安监总管一〔2016〕49号，2016年5月30日发布）；</w:t>
      </w:r>
    </w:p>
    <w:p w14:paraId="05A4CCE1">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（5）《国家安全监管总局关于加快推进国家和区域矿山应急救援队建设的意见》（安监总应急50号，2012年4月12日发布）；</w:t>
      </w:r>
    </w:p>
    <w:p w14:paraId="177C44CB">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（6）《工作场所职业卫生监督管理规定》（国家安监总局令第47号，2012年6月1日起施行）；</w:t>
      </w:r>
    </w:p>
    <w:p w14:paraId="7085F68E">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（7）国家安全监管总局《关于发布金属非金属矿山禁止使用的设备及工艺目录（第二批）的通知》（安监总管13号，2015年2月13日发布）；</w:t>
      </w:r>
    </w:p>
    <w:p w14:paraId="6C2F742C">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（8）《建设项目安全设施“三同时”监督管理办法》（2010年12月14日国家安全监管总局令第36号公布，自2011年2月1日起施行，根据2015年4月2日国家安全监管总局令第77号修改，自2015年5月1日起施行）；</w:t>
      </w:r>
    </w:p>
    <w:p w14:paraId="267A1FAB">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（9）《非煤矿矿山企业安全生产许可证实施办法》（2009年6月8日国家安全监管总局令第20号公布，自公布之日起施行，根据2015年5月26日国家安全监管总局令第78号修改，自2015年7月1日起施行）；</w:t>
      </w:r>
    </w:p>
    <w:p w14:paraId="3934BB3C">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w:t>
      </w:r>
      <w:r>
        <w:rPr>
          <w:rFonts w:ascii="Times New Roman" w:hAnsi="Times New Roman" w:eastAsia="宋体" w:cs="Times New Roman"/>
          <w:sz w:val="28"/>
          <w:szCs w:val="28"/>
        </w:rPr>
        <w:t>10</w:t>
      </w:r>
      <w:r>
        <w:rPr>
          <w:rFonts w:ascii="Times New Roman" w:hAnsi="Times New Roman" w:eastAsia="宋体" w:cs="Times New Roman"/>
          <w:sz w:val="28"/>
          <w:szCs w:val="28"/>
          <w:lang w:val="en-GB"/>
        </w:rPr>
        <w:t>）《特种作业人员安全技术考核管理规定》（国家安全监管总局令第30号，2013年8月29日国家安全监管总局令第63号第一次修正，2015年5月29日国家安全监管总局令第80号第二次修正）；</w:t>
      </w:r>
    </w:p>
    <w:p w14:paraId="6BDBC9E0">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（1</w:t>
      </w:r>
      <w:r>
        <w:rPr>
          <w:rFonts w:ascii="Times New Roman" w:hAnsi="Times New Roman" w:eastAsia="宋体" w:cs="Times New Roman"/>
          <w:sz w:val="28"/>
          <w:szCs w:val="28"/>
        </w:rPr>
        <w:t>1</w:t>
      </w:r>
      <w:r>
        <w:rPr>
          <w:rFonts w:ascii="Times New Roman" w:hAnsi="Times New Roman" w:eastAsia="宋体" w:cs="Times New Roman"/>
          <w:sz w:val="28"/>
          <w:szCs w:val="28"/>
          <w:lang w:val="en-GB"/>
        </w:rPr>
        <w:t>）《安全生产培训管理办法》（2012年1月19日国家安全监管总局令第44号公布，自2012年3月1日起施行，2015年5月29日国家安全监管总局令第80号修订，自2015年7月1日起施行）；</w:t>
      </w:r>
    </w:p>
    <w:p w14:paraId="37B04591">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（1</w:t>
      </w:r>
      <w:r>
        <w:rPr>
          <w:rFonts w:ascii="Times New Roman" w:hAnsi="Times New Roman" w:eastAsia="宋体" w:cs="Times New Roman"/>
          <w:sz w:val="28"/>
          <w:szCs w:val="28"/>
        </w:rPr>
        <w:t>2</w:t>
      </w:r>
      <w:r>
        <w:rPr>
          <w:rFonts w:ascii="Times New Roman" w:hAnsi="Times New Roman" w:eastAsia="宋体" w:cs="Times New Roman"/>
          <w:sz w:val="28"/>
          <w:szCs w:val="28"/>
          <w:lang w:val="en-GB"/>
        </w:rPr>
        <w:t>）《生产经营单位安全培训规定》（2006年1月17日原国家安全生产监督管理总局令第3号公布，自公布之日起施行，2015年5月29日原国家安全生产监督管理总局第80号令修订，自2015年7月1日起施行）；</w:t>
      </w:r>
    </w:p>
    <w:p w14:paraId="032B3D0B">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（13）</w:t>
      </w:r>
      <w:r>
        <w:rPr>
          <w:rFonts w:hint="eastAsia" w:ascii="Times New Roman" w:hAnsi="Times New Roman" w:eastAsia="宋体" w:cs="Times New Roman"/>
          <w:sz w:val="28"/>
          <w:szCs w:val="28"/>
          <w:lang w:val="en-GB"/>
        </w:rPr>
        <w:t>《</w:t>
      </w:r>
      <w:r>
        <w:rPr>
          <w:rFonts w:ascii="Times New Roman" w:hAnsi="Times New Roman" w:eastAsia="宋体" w:cs="Times New Roman"/>
          <w:sz w:val="28"/>
          <w:szCs w:val="28"/>
          <w:lang w:val="en-GB"/>
        </w:rPr>
        <w:t>国家安全监管总局关于废止和修改非煤矿矿山领域九部规章的决定》（原国家安全生产监督管理总局令第78号，2015年7月1日起施行）；</w:t>
      </w:r>
    </w:p>
    <w:p w14:paraId="557B196B">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（1</w:t>
      </w:r>
      <w:r>
        <w:rPr>
          <w:rFonts w:ascii="Times New Roman" w:hAnsi="Times New Roman" w:eastAsia="宋体" w:cs="Times New Roman"/>
          <w:sz w:val="28"/>
          <w:szCs w:val="28"/>
        </w:rPr>
        <w:t>4</w:t>
      </w:r>
      <w:r>
        <w:rPr>
          <w:rFonts w:ascii="Times New Roman" w:hAnsi="Times New Roman" w:eastAsia="宋体" w:cs="Times New Roman"/>
          <w:sz w:val="28"/>
          <w:szCs w:val="28"/>
          <w:lang w:val="en-GB"/>
        </w:rPr>
        <w:t>）《国家安全监管总局关于废止和修改劳动防护用品和安全培训等领域十部规章的决定》（原国家安全生产监督管理总局令第80号，2015年7月1日起施行）；</w:t>
      </w:r>
    </w:p>
    <w:p w14:paraId="77D513C4">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（1</w:t>
      </w:r>
      <w:r>
        <w:rPr>
          <w:rFonts w:ascii="Times New Roman" w:hAnsi="Times New Roman" w:eastAsia="宋体" w:cs="Times New Roman"/>
          <w:sz w:val="28"/>
          <w:szCs w:val="28"/>
        </w:rPr>
        <w:t>5</w:t>
      </w:r>
      <w:r>
        <w:rPr>
          <w:rFonts w:ascii="Times New Roman" w:hAnsi="Times New Roman" w:eastAsia="宋体" w:cs="Times New Roman"/>
          <w:sz w:val="28"/>
          <w:szCs w:val="28"/>
          <w:lang w:val="en-GB"/>
        </w:rPr>
        <w:t>）《金属非金属矿山建设项目安全设施目录（试行）》（2015年3月16日原国家安全生产监督管理总局令第75号令公布，自2015年7月1日起施行）；</w:t>
      </w:r>
    </w:p>
    <w:p w14:paraId="53B3F6CE">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w:t>
      </w:r>
      <w:r>
        <w:rPr>
          <w:rFonts w:ascii="Times New Roman" w:hAnsi="Times New Roman" w:eastAsia="宋体" w:cs="Times New Roman"/>
          <w:sz w:val="28"/>
          <w:szCs w:val="28"/>
        </w:rPr>
        <w:t>16</w:t>
      </w:r>
      <w:r>
        <w:rPr>
          <w:rFonts w:ascii="Times New Roman" w:hAnsi="Times New Roman" w:eastAsia="宋体" w:cs="Times New Roman"/>
          <w:sz w:val="28"/>
          <w:szCs w:val="28"/>
          <w:lang w:val="en-GB"/>
        </w:rPr>
        <w:t>）《国家安全监管总局办公厅关于印发用人单位劳动防护用品管理规范的通知》（安监总厅安健〔2015〕124号，2015年12月29日发布）；</w:t>
      </w:r>
    </w:p>
    <w:p w14:paraId="0D4314DC">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（1</w:t>
      </w:r>
      <w:r>
        <w:rPr>
          <w:rFonts w:ascii="Times New Roman" w:hAnsi="Times New Roman" w:eastAsia="宋体" w:cs="Times New Roman"/>
          <w:sz w:val="28"/>
          <w:szCs w:val="28"/>
        </w:rPr>
        <w:t>7</w:t>
      </w:r>
      <w:r>
        <w:rPr>
          <w:rFonts w:ascii="Times New Roman" w:hAnsi="Times New Roman" w:eastAsia="宋体" w:cs="Times New Roman"/>
          <w:sz w:val="28"/>
          <w:szCs w:val="28"/>
          <w:lang w:val="en-GB"/>
        </w:rPr>
        <w:t>）《国家安全监管总局关于印发金属非金属矿山建设项目安全设施设计重大变更范围的通知》（安监总管一〔2016〕18号，2016年3月7日起施行）；</w:t>
      </w:r>
    </w:p>
    <w:p w14:paraId="616319D2">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w:t>
      </w:r>
      <w:r>
        <w:rPr>
          <w:rFonts w:ascii="Times New Roman" w:hAnsi="Times New Roman" w:eastAsia="宋体" w:cs="Times New Roman"/>
          <w:sz w:val="28"/>
          <w:szCs w:val="28"/>
        </w:rPr>
        <w:t>18</w:t>
      </w:r>
      <w:r>
        <w:rPr>
          <w:rFonts w:ascii="Times New Roman" w:hAnsi="Times New Roman" w:eastAsia="宋体" w:cs="Times New Roman"/>
          <w:sz w:val="28"/>
          <w:szCs w:val="28"/>
          <w:lang w:val="en-GB"/>
        </w:rPr>
        <w:t>）《国家安全监管总局办公厅关于强化遏制非煤矿山重特大事故工作举措的通知》（安监总厅管一函〔2016〕230号，2016年12月8日施行）；</w:t>
      </w:r>
    </w:p>
    <w:p w14:paraId="0E79F5BD">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19）《生产安全事故应急预案管理办法》（2009年原国家安全生产监督管理总局令第88号公布，自2009年5月1日起施行，2019年7月11日《应急管理部关于修改〈生产安全事故应急预案管理办法〉的决定》修改，自2019年9月1日起施行）；</w:t>
      </w:r>
    </w:p>
    <w:p w14:paraId="65779F82">
      <w:pPr>
        <w:adjustRightInd w:val="0"/>
        <w:snapToGrid w:val="0"/>
        <w:spacing w:line="360" w:lineRule="auto"/>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（20）《国家矿山安全监察局关于印发加强非煤矿山重点地区安全生产工作方案的通知》（矿安〔2021〕123号）；</w:t>
      </w:r>
    </w:p>
    <w:p w14:paraId="66DD605C">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rPr>
        <w:t>（21）《国家矿山安全监察局关于印发〈关于加强非煤矿山安全生产工作的指导意见〉的通知》（矿安〔2022〕4号）</w:t>
      </w:r>
      <w:r>
        <w:rPr>
          <w:rFonts w:ascii="Times New Roman" w:hAnsi="Times New Roman" w:eastAsia="宋体" w:cs="Times New Roman"/>
          <w:sz w:val="28"/>
          <w:szCs w:val="28"/>
          <w:lang w:val="en-GB"/>
        </w:rPr>
        <w:t>；</w:t>
      </w:r>
    </w:p>
    <w:p w14:paraId="186EBF11">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（2</w:t>
      </w:r>
      <w:r>
        <w:rPr>
          <w:rFonts w:ascii="Times New Roman" w:hAnsi="Times New Roman" w:eastAsia="宋体" w:cs="Times New Roman"/>
          <w:sz w:val="28"/>
          <w:szCs w:val="28"/>
        </w:rPr>
        <w:t>2</w:t>
      </w:r>
      <w:r>
        <w:rPr>
          <w:rFonts w:ascii="Times New Roman" w:hAnsi="Times New Roman" w:eastAsia="宋体" w:cs="Times New Roman"/>
          <w:sz w:val="28"/>
          <w:szCs w:val="28"/>
          <w:lang w:val="en-GB"/>
        </w:rPr>
        <w:t>）《</w:t>
      </w:r>
      <w:r>
        <w:rPr>
          <w:rFonts w:ascii="Times New Roman" w:hAnsi="Times New Roman" w:eastAsia="宋体" w:cs="Times New Roman"/>
          <w:sz w:val="28"/>
          <w:szCs w:val="28"/>
        </w:rPr>
        <w:t>国家矿山安全监察局关于印发〈金属非金属矿山重大事故隐患判定标准〉的通知</w:t>
      </w:r>
      <w:r>
        <w:rPr>
          <w:rFonts w:ascii="Times New Roman" w:hAnsi="Times New Roman" w:eastAsia="宋体" w:cs="Times New Roman"/>
          <w:sz w:val="28"/>
          <w:szCs w:val="28"/>
          <w:lang w:val="en-GB"/>
        </w:rPr>
        <w:t>》（</w:t>
      </w:r>
      <w:r>
        <w:rPr>
          <w:rFonts w:ascii="Times New Roman" w:hAnsi="Times New Roman" w:eastAsia="宋体" w:cs="Times New Roman"/>
          <w:sz w:val="28"/>
          <w:szCs w:val="28"/>
        </w:rPr>
        <w:t>矿安88号，自2022年9月1日起施行</w:t>
      </w:r>
      <w:r>
        <w:rPr>
          <w:rFonts w:ascii="Times New Roman" w:hAnsi="Times New Roman" w:eastAsia="宋体" w:cs="Times New Roman"/>
          <w:sz w:val="28"/>
          <w:szCs w:val="28"/>
          <w:lang w:val="en-GB"/>
        </w:rPr>
        <w:t>）；</w:t>
      </w:r>
    </w:p>
    <w:p w14:paraId="53E7E447">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（23）《应急管理部 国家矿山安全监察局关于印发〈“十四五”矿山安全生产规划〉的通知》（应急﹝2022﹞64号）；</w:t>
      </w:r>
    </w:p>
    <w:p w14:paraId="67AD80D8">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（24）《国家矿山安全监察局关于印发执行安全标志管理的矿用产品目录的通知》（矿安﹝2022﹞123号）。</w:t>
      </w:r>
    </w:p>
    <w:p w14:paraId="62E195CA">
      <w:pPr>
        <w:pStyle w:val="5"/>
        <w:adjustRightInd w:val="0"/>
        <w:snapToGrid w:val="0"/>
        <w:spacing w:line="360" w:lineRule="auto"/>
        <w:ind w:firstLine="560"/>
        <w:rPr>
          <w:rFonts w:ascii="Times New Roman" w:hAnsi="Times New Roman" w:cs="Times New Roman"/>
          <w:color w:val="000000" w:themeColor="text1"/>
          <w:lang w:val="en-GB"/>
          <w14:textFill>
            <w14:solidFill>
              <w14:schemeClr w14:val="tx1"/>
            </w14:solidFill>
          </w14:textFill>
        </w:rPr>
      </w:pPr>
      <w:r>
        <w:rPr>
          <w:rFonts w:ascii="Times New Roman" w:hAnsi="Times New Roman" w:cs="Times New Roman"/>
          <w:color w:val="000000" w:themeColor="text1"/>
          <w:lang w:val="en-GB"/>
          <w14:textFill>
            <w14:solidFill>
              <w14:schemeClr w14:val="tx1"/>
            </w14:solidFill>
          </w14:textFill>
        </w:rPr>
        <w:t>1.2.1.4 地方性法规、规章及政府规范性文件</w:t>
      </w:r>
    </w:p>
    <w:p w14:paraId="1414E4B5">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（1）《云南省实施〈中华人民共和国矿山安全法〉办法》（根据1997年12月3日发布的《云南省人民代表大会常务委员会关于修订15件地方性法规的决定》修正，自1997年12月3日公布之日起施行）；</w:t>
      </w:r>
    </w:p>
    <w:p w14:paraId="7BE010C3">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（2）《云南省安全评价机构管理办法》（2006年11月9日由云南省安全生产监督管理局颁布，自2006年12月1日起实施）；</w:t>
      </w:r>
    </w:p>
    <w:p w14:paraId="74EB89BE">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3</w:t>
      </w:r>
      <w:r>
        <w:rPr>
          <w:rFonts w:ascii="Times New Roman" w:hAnsi="Times New Roman" w:eastAsia="宋体" w:cs="Times New Roman"/>
          <w:color w:val="000000" w:themeColor="text1"/>
          <w:sz w:val="28"/>
          <w:szCs w:val="28"/>
          <w:lang w:val="en-GB"/>
          <w14:textFill>
            <w14:solidFill>
              <w14:schemeClr w14:val="tx1"/>
            </w14:solidFill>
          </w14:textFill>
        </w:rPr>
        <w:t>）《云南省安全生产条例》（云南省第十二届人民代表大会常务委员会公告（第63号）2017年11月30日云南省第十二届人大常委会第三十八次会议修订，2018年1月1日起正式实施）；</w:t>
      </w:r>
    </w:p>
    <w:p w14:paraId="53F30BB5">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4</w:t>
      </w:r>
      <w:r>
        <w:rPr>
          <w:rFonts w:ascii="Times New Roman" w:hAnsi="Times New Roman" w:eastAsia="宋体" w:cs="Times New Roman"/>
          <w:color w:val="000000" w:themeColor="text1"/>
          <w:sz w:val="28"/>
          <w:szCs w:val="28"/>
          <w:lang w:val="en-GB"/>
          <w14:textFill>
            <w14:solidFill>
              <w14:schemeClr w14:val="tx1"/>
            </w14:solidFill>
          </w14:textFill>
        </w:rPr>
        <w:t>）《云南省安全生产监督管理局关于进一步加强安全评价监管工作的通知》（云安监管[2016]48号，2016年7月21日发布，自发布之日起实施）；</w:t>
      </w:r>
    </w:p>
    <w:p w14:paraId="495AFEEB">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5</w:t>
      </w:r>
      <w:r>
        <w:rPr>
          <w:rFonts w:ascii="Times New Roman" w:hAnsi="Times New Roman" w:eastAsia="宋体" w:cs="Times New Roman"/>
          <w:color w:val="000000" w:themeColor="text1"/>
          <w:sz w:val="28"/>
          <w:szCs w:val="28"/>
          <w:lang w:val="en-GB"/>
          <w14:textFill>
            <w14:solidFill>
              <w14:schemeClr w14:val="tx1"/>
            </w14:solidFill>
          </w14:textFill>
        </w:rPr>
        <w:t>）《云南省安全生产监督管理局关于进一步加强非煤矿山和尾矿库安全生产行政许可工作的通知》（云安监管[2009]35号，2009年3月10日发布，自发布之日起实施）；</w:t>
      </w:r>
    </w:p>
    <w:p w14:paraId="03B60975">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6</w:t>
      </w:r>
      <w:r>
        <w:rPr>
          <w:rFonts w:ascii="Times New Roman" w:hAnsi="Times New Roman" w:eastAsia="宋体" w:cs="Times New Roman"/>
          <w:color w:val="000000" w:themeColor="text1"/>
          <w:sz w:val="28"/>
          <w:szCs w:val="28"/>
          <w:lang w:val="en-GB"/>
          <w14:textFill>
            <w14:solidFill>
              <w14:schemeClr w14:val="tx1"/>
            </w14:solidFill>
          </w14:textFill>
        </w:rPr>
        <w:t>）《关于调整下放非煤矿山安全生产行政许可事项的通知》（云安监管〔2017〕2号，自2017年2月1日起执行）；</w:t>
      </w:r>
    </w:p>
    <w:p w14:paraId="75C61915">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7</w:t>
      </w:r>
      <w:r>
        <w:rPr>
          <w:rFonts w:ascii="Times New Roman" w:hAnsi="Times New Roman" w:eastAsia="宋体" w:cs="Times New Roman"/>
          <w:color w:val="000000" w:themeColor="text1"/>
          <w:sz w:val="28"/>
          <w:szCs w:val="28"/>
          <w:lang w:val="en-GB"/>
          <w14:textFill>
            <w14:solidFill>
              <w14:schemeClr w14:val="tx1"/>
            </w14:solidFill>
          </w14:textFill>
        </w:rPr>
        <w:t>）《云南省人民政府关于促进非煤矿山转型升级的实施意见》（云政发〔2015〕38号，2015年7月1日发布，自发布之日起实施）；</w:t>
      </w:r>
    </w:p>
    <w:p w14:paraId="6A1B94DD">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8</w:t>
      </w:r>
      <w:r>
        <w:rPr>
          <w:rFonts w:ascii="Times New Roman" w:hAnsi="Times New Roman" w:eastAsia="宋体" w:cs="Times New Roman"/>
          <w:color w:val="000000" w:themeColor="text1"/>
          <w:sz w:val="28"/>
          <w:szCs w:val="28"/>
          <w:lang w:val="en-GB"/>
          <w14:textFill>
            <w14:solidFill>
              <w14:schemeClr w14:val="tx1"/>
            </w14:solidFill>
          </w14:textFill>
        </w:rPr>
        <w:t>）《云南省安全生产应急预案管理实施办法》（云南省安全监督管理局公告[2017]39号，2016年12月14日省安全监督管理局第7次局长办公会通过公布，自2017年4月30日施行）；</w:t>
      </w:r>
    </w:p>
    <w:p w14:paraId="6B035DA2">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9</w:t>
      </w: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sz w:val="28"/>
          <w:szCs w:val="28"/>
        </w:rPr>
        <w:t>《云南省电力设施保护条例》（2007年9月29日云南省第十届人民代表大会常务委员会第三十一次会议通过）（省人大常委会公告第61号，自2008年1月1日起施行）。</w:t>
      </w:r>
    </w:p>
    <w:p w14:paraId="4686A037">
      <w:pPr>
        <w:pStyle w:val="4"/>
        <w:adjustRightInd w:val="0"/>
        <w:snapToGrid w:val="0"/>
        <w:spacing w:line="360" w:lineRule="auto"/>
        <w:ind w:firstLine="562"/>
        <w:rPr>
          <w:rFonts w:ascii="Times New Roman" w:hAnsi="Times New Roman" w:eastAsia="宋体" w:cs="Times New Roman"/>
          <w:b/>
          <w:color w:val="000000" w:themeColor="text1"/>
          <w:szCs w:val="28"/>
          <w:lang w:val="en-GB"/>
          <w14:textFill>
            <w14:solidFill>
              <w14:schemeClr w14:val="tx1"/>
            </w14:solidFill>
          </w14:textFill>
        </w:rPr>
      </w:pPr>
      <w:r>
        <w:rPr>
          <w:rFonts w:ascii="Times New Roman" w:hAnsi="Times New Roman" w:eastAsia="宋体" w:cs="Times New Roman"/>
          <w:b/>
          <w:color w:val="000000" w:themeColor="text1"/>
          <w:szCs w:val="28"/>
          <w:lang w:val="en-GB"/>
          <w14:textFill>
            <w14:solidFill>
              <w14:schemeClr w14:val="tx1"/>
            </w14:solidFill>
          </w14:textFill>
        </w:rPr>
        <w:t>1.2.2 标准规范</w:t>
      </w:r>
    </w:p>
    <w:p w14:paraId="19880C55">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（1）《企业职工伤亡事故分类》（GB/T 6441-1986）；</w:t>
      </w:r>
    </w:p>
    <w:p w14:paraId="16FBE208">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（2）《厂矿道路设计规范》（GBJ22-1987）；</w:t>
      </w:r>
    </w:p>
    <w:p w14:paraId="6E4F4025">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（3）《机械安全 防止人体部位挤压的最小间距》（GB/T 12265-2021）；</w:t>
      </w:r>
    </w:p>
    <w:p w14:paraId="4E5A409F">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（4）《生产设备安全卫生设计总则》（GB5083-1999）；</w:t>
      </w:r>
    </w:p>
    <w:p w14:paraId="76CA6837">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w:t>
      </w:r>
      <w:r>
        <w:rPr>
          <w:rFonts w:ascii="Times New Roman" w:hAnsi="Times New Roman" w:eastAsia="宋体" w:cs="Times New Roman"/>
          <w:sz w:val="28"/>
          <w:szCs w:val="28"/>
        </w:rPr>
        <w:t>5</w:t>
      </w:r>
      <w:r>
        <w:rPr>
          <w:rFonts w:ascii="Times New Roman" w:hAnsi="Times New Roman" w:eastAsia="宋体" w:cs="Times New Roman"/>
          <w:sz w:val="28"/>
          <w:szCs w:val="28"/>
          <w:lang w:val="en-GB"/>
        </w:rPr>
        <w:t>）《机械安全 防护装置 固定式和活动式防护装置的设计与制造一般要求》（GB/T8196-2018）；</w:t>
      </w:r>
    </w:p>
    <w:p w14:paraId="6FE36101">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w:t>
      </w:r>
      <w:r>
        <w:rPr>
          <w:rFonts w:ascii="Times New Roman" w:hAnsi="Times New Roman" w:eastAsia="宋体" w:cs="Times New Roman"/>
          <w:sz w:val="28"/>
          <w:szCs w:val="28"/>
        </w:rPr>
        <w:t>6</w:t>
      </w:r>
      <w:r>
        <w:rPr>
          <w:rFonts w:ascii="Times New Roman" w:hAnsi="Times New Roman" w:eastAsia="宋体" w:cs="Times New Roman"/>
          <w:sz w:val="28"/>
          <w:szCs w:val="28"/>
          <w:lang w:val="en-GB"/>
        </w:rPr>
        <w:t>）《建筑灭火器配置设计规范》（GB50140-2005）；</w:t>
      </w:r>
    </w:p>
    <w:p w14:paraId="00947EB6">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w:t>
      </w:r>
      <w:r>
        <w:rPr>
          <w:rFonts w:ascii="Times New Roman" w:hAnsi="Times New Roman" w:eastAsia="宋体" w:cs="Times New Roman"/>
          <w:sz w:val="28"/>
          <w:szCs w:val="28"/>
        </w:rPr>
        <w:t>7</w:t>
      </w:r>
      <w:r>
        <w:rPr>
          <w:rFonts w:ascii="Times New Roman" w:hAnsi="Times New Roman" w:eastAsia="宋体" w:cs="Times New Roman"/>
          <w:sz w:val="28"/>
          <w:szCs w:val="28"/>
          <w:lang w:val="en-GB"/>
        </w:rPr>
        <w:t>）《安全评价通则》（AQ8001-2007）；</w:t>
      </w:r>
    </w:p>
    <w:p w14:paraId="6422F2BF">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w:t>
      </w:r>
      <w:r>
        <w:rPr>
          <w:rFonts w:ascii="Times New Roman" w:hAnsi="Times New Roman" w:eastAsia="宋体" w:cs="Times New Roman"/>
          <w:sz w:val="28"/>
          <w:szCs w:val="28"/>
        </w:rPr>
        <w:t>8</w:t>
      </w:r>
      <w:r>
        <w:rPr>
          <w:rFonts w:ascii="Times New Roman" w:hAnsi="Times New Roman" w:eastAsia="宋体" w:cs="Times New Roman"/>
          <w:sz w:val="28"/>
          <w:szCs w:val="28"/>
          <w:lang w:val="en-GB"/>
        </w:rPr>
        <w:t>）《安全预评价导则》（AQ8002-2007）；</w:t>
      </w:r>
    </w:p>
    <w:p w14:paraId="0B9CFE8B">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（9）《金属非金属矿山安全规程》（GB16423-2020）；</w:t>
      </w:r>
    </w:p>
    <w:p w14:paraId="51AC8879">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（1</w:t>
      </w:r>
      <w:r>
        <w:rPr>
          <w:rFonts w:ascii="Times New Roman" w:hAnsi="Times New Roman" w:eastAsia="宋体" w:cs="Times New Roman"/>
          <w:sz w:val="28"/>
          <w:szCs w:val="28"/>
        </w:rPr>
        <w:t>0</w:t>
      </w:r>
      <w:r>
        <w:rPr>
          <w:rFonts w:ascii="Times New Roman" w:hAnsi="Times New Roman" w:eastAsia="宋体" w:cs="Times New Roman"/>
          <w:sz w:val="28"/>
          <w:szCs w:val="28"/>
          <w:lang w:val="en-GB"/>
        </w:rPr>
        <w:t>）《</w:t>
      </w:r>
      <w:r>
        <w:rPr>
          <w:rFonts w:hint="eastAsia" w:ascii="Times New Roman" w:hAnsi="Times New Roman" w:eastAsia="宋体" w:cs="Times New Roman"/>
          <w:sz w:val="28"/>
          <w:szCs w:val="28"/>
          <w:lang w:val="en-GB"/>
        </w:rPr>
        <w:t>工作场所有害因素职业接触限值 第1部分：化学有害因素</w:t>
      </w:r>
      <w:r>
        <w:rPr>
          <w:rFonts w:ascii="Times New Roman" w:hAnsi="Times New Roman" w:eastAsia="宋体" w:cs="Times New Roman"/>
          <w:sz w:val="28"/>
          <w:szCs w:val="28"/>
          <w:lang w:val="en-GB"/>
        </w:rPr>
        <w:t>》</w:t>
      </w:r>
      <w:r>
        <w:rPr>
          <w:rFonts w:hint="eastAsia" w:ascii="Times New Roman" w:hAnsi="Times New Roman" w:eastAsia="宋体" w:cs="Times New Roman"/>
          <w:sz w:val="28"/>
          <w:szCs w:val="28"/>
          <w:lang w:val="en-GB"/>
        </w:rPr>
        <w:t>GBZ 2.1-2019</w:t>
      </w:r>
      <w:r>
        <w:rPr>
          <w:rFonts w:ascii="Times New Roman" w:hAnsi="Times New Roman" w:eastAsia="宋体" w:cs="Times New Roman"/>
          <w:sz w:val="28"/>
          <w:szCs w:val="28"/>
          <w:lang w:val="en-GB"/>
        </w:rPr>
        <w:t>1部分：化学有害因素（GBZ2.1-2019）；</w:t>
      </w:r>
    </w:p>
    <w:p w14:paraId="1A1B625E">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w:t>
      </w:r>
      <w:r>
        <w:rPr>
          <w:rFonts w:ascii="Times New Roman" w:hAnsi="Times New Roman" w:eastAsia="宋体" w:cs="Times New Roman"/>
          <w:sz w:val="28"/>
          <w:szCs w:val="28"/>
        </w:rPr>
        <w:t>11</w:t>
      </w:r>
      <w:r>
        <w:rPr>
          <w:rFonts w:ascii="Times New Roman" w:hAnsi="Times New Roman" w:eastAsia="宋体" w:cs="Times New Roman"/>
          <w:sz w:val="28"/>
          <w:szCs w:val="28"/>
          <w:lang w:val="en-GB"/>
        </w:rPr>
        <w:t>）《</w:t>
      </w:r>
      <w:r>
        <w:rPr>
          <w:rFonts w:hint="eastAsia" w:ascii="Times New Roman" w:hAnsi="Times New Roman" w:eastAsia="宋体" w:cs="Times New Roman"/>
          <w:sz w:val="28"/>
          <w:szCs w:val="28"/>
          <w:lang w:val="en-GB"/>
        </w:rPr>
        <w:t>工作场所有害因素职业接触限值 第1部分：化学有害因素</w:t>
      </w:r>
      <w:r>
        <w:rPr>
          <w:rFonts w:ascii="Times New Roman" w:hAnsi="Times New Roman" w:eastAsia="宋体" w:cs="Times New Roman"/>
          <w:sz w:val="28"/>
          <w:szCs w:val="28"/>
          <w:lang w:val="en-GB"/>
        </w:rPr>
        <w:t>》</w:t>
      </w:r>
      <w:r>
        <w:rPr>
          <w:rFonts w:hint="eastAsia" w:ascii="Times New Roman" w:hAnsi="Times New Roman" w:eastAsia="宋体" w:cs="Times New Roman"/>
          <w:sz w:val="28"/>
          <w:szCs w:val="28"/>
          <w:lang w:val="en-GB"/>
        </w:rPr>
        <w:t>GBZ 2.1-2019</w:t>
      </w:r>
      <w:r>
        <w:rPr>
          <w:rFonts w:ascii="Times New Roman" w:hAnsi="Times New Roman" w:eastAsia="宋体" w:cs="Times New Roman"/>
          <w:sz w:val="28"/>
          <w:szCs w:val="28"/>
          <w:lang w:val="en-GB"/>
        </w:rPr>
        <w:t>2部分：物理因素（GBZ2.2-2007）；</w:t>
      </w:r>
    </w:p>
    <w:p w14:paraId="3B957970">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（1</w:t>
      </w:r>
      <w:r>
        <w:rPr>
          <w:rFonts w:ascii="Times New Roman" w:hAnsi="Times New Roman" w:eastAsia="宋体" w:cs="Times New Roman"/>
          <w:sz w:val="28"/>
          <w:szCs w:val="28"/>
        </w:rPr>
        <w:t>2</w:t>
      </w:r>
      <w:r>
        <w:rPr>
          <w:rFonts w:ascii="Times New Roman" w:hAnsi="Times New Roman" w:eastAsia="宋体" w:cs="Times New Roman"/>
          <w:sz w:val="28"/>
          <w:szCs w:val="28"/>
          <w:lang w:val="en-GB"/>
        </w:rPr>
        <w:t>）《安全标志及其使用导则》（GB2894-2008）；</w:t>
      </w:r>
    </w:p>
    <w:p w14:paraId="1038826F">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（1</w:t>
      </w:r>
      <w:r>
        <w:rPr>
          <w:rFonts w:ascii="Times New Roman" w:hAnsi="Times New Roman" w:eastAsia="宋体" w:cs="Times New Roman"/>
          <w:sz w:val="28"/>
          <w:szCs w:val="28"/>
        </w:rPr>
        <w:t>3</w:t>
      </w:r>
      <w:r>
        <w:rPr>
          <w:rFonts w:ascii="Times New Roman" w:hAnsi="Times New Roman" w:eastAsia="宋体" w:cs="Times New Roman"/>
          <w:sz w:val="28"/>
          <w:szCs w:val="28"/>
          <w:lang w:val="en-GB"/>
        </w:rPr>
        <w:t>）《高处作业分级》（GB/T3608-2008）；</w:t>
      </w:r>
    </w:p>
    <w:p w14:paraId="57333BD3">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（1</w:t>
      </w:r>
      <w:r>
        <w:rPr>
          <w:rFonts w:ascii="Times New Roman" w:hAnsi="Times New Roman" w:eastAsia="宋体" w:cs="Times New Roman"/>
          <w:sz w:val="28"/>
          <w:szCs w:val="28"/>
        </w:rPr>
        <w:t>4</w:t>
      </w:r>
      <w:r>
        <w:rPr>
          <w:rFonts w:ascii="Times New Roman" w:hAnsi="Times New Roman" w:eastAsia="宋体" w:cs="Times New Roman"/>
          <w:sz w:val="28"/>
          <w:szCs w:val="28"/>
          <w:lang w:val="en-GB"/>
        </w:rPr>
        <w:t>）《工业企业厂内铁路、道路运输安全规程》（GB4387-2008）；</w:t>
      </w:r>
    </w:p>
    <w:p w14:paraId="17BF1C5A">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（1</w:t>
      </w:r>
      <w:r>
        <w:rPr>
          <w:rFonts w:ascii="Times New Roman" w:hAnsi="Times New Roman" w:eastAsia="宋体" w:cs="Times New Roman"/>
          <w:sz w:val="28"/>
          <w:szCs w:val="28"/>
        </w:rPr>
        <w:t>5</w:t>
      </w:r>
      <w:r>
        <w:rPr>
          <w:rFonts w:ascii="Times New Roman" w:hAnsi="Times New Roman" w:eastAsia="宋体" w:cs="Times New Roman"/>
          <w:sz w:val="28"/>
          <w:szCs w:val="28"/>
          <w:lang w:val="en-GB"/>
        </w:rPr>
        <w:t>）《生产过程安全卫生要求总则》（GB/T12801-2008）；</w:t>
      </w:r>
    </w:p>
    <w:p w14:paraId="2E8FF4D0">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（1</w:t>
      </w:r>
      <w:r>
        <w:rPr>
          <w:rFonts w:ascii="Times New Roman" w:hAnsi="Times New Roman" w:eastAsia="宋体" w:cs="Times New Roman"/>
          <w:sz w:val="28"/>
          <w:szCs w:val="28"/>
        </w:rPr>
        <w:t>6</w:t>
      </w:r>
      <w:r>
        <w:rPr>
          <w:rFonts w:ascii="Times New Roman" w:hAnsi="Times New Roman" w:eastAsia="宋体" w:cs="Times New Roman"/>
          <w:sz w:val="28"/>
          <w:szCs w:val="28"/>
          <w:lang w:val="en-GB"/>
        </w:rPr>
        <w:t>）《矿山安全标志》（GB/T 14161-2008）；</w:t>
      </w:r>
    </w:p>
    <w:p w14:paraId="01861315">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（1</w:t>
      </w:r>
      <w:r>
        <w:rPr>
          <w:rFonts w:ascii="Times New Roman" w:hAnsi="Times New Roman" w:eastAsia="宋体" w:cs="Times New Roman"/>
          <w:sz w:val="28"/>
          <w:szCs w:val="28"/>
        </w:rPr>
        <w:t>7</w:t>
      </w:r>
      <w:r>
        <w:rPr>
          <w:rFonts w:ascii="Times New Roman" w:hAnsi="Times New Roman" w:eastAsia="宋体" w:cs="Times New Roman"/>
          <w:sz w:val="28"/>
          <w:szCs w:val="28"/>
          <w:lang w:val="en-GB"/>
        </w:rPr>
        <w:t>）《安全色》（GB2893-2008）；</w:t>
      </w:r>
    </w:p>
    <w:p w14:paraId="57EEA2B4">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w:t>
      </w:r>
      <w:r>
        <w:rPr>
          <w:rFonts w:ascii="Times New Roman" w:hAnsi="Times New Roman" w:eastAsia="宋体" w:cs="Times New Roman"/>
          <w:sz w:val="28"/>
          <w:szCs w:val="28"/>
        </w:rPr>
        <w:t>18</w:t>
      </w:r>
      <w:r>
        <w:rPr>
          <w:rFonts w:ascii="Times New Roman" w:hAnsi="Times New Roman" w:eastAsia="宋体" w:cs="Times New Roman"/>
          <w:sz w:val="28"/>
          <w:szCs w:val="28"/>
          <w:lang w:val="en-GB"/>
        </w:rPr>
        <w:t>）《生产过程危险和有害因素分类与代码》（GB/T13861-2022）；</w:t>
      </w:r>
    </w:p>
    <w:p w14:paraId="793BCA0F">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w:t>
      </w:r>
      <w:r>
        <w:rPr>
          <w:rFonts w:ascii="Times New Roman" w:hAnsi="Times New Roman" w:eastAsia="宋体" w:cs="Times New Roman"/>
          <w:sz w:val="28"/>
          <w:szCs w:val="28"/>
        </w:rPr>
        <w:t>19</w:t>
      </w:r>
      <w:r>
        <w:rPr>
          <w:rFonts w:ascii="Times New Roman" w:hAnsi="Times New Roman" w:eastAsia="宋体" w:cs="Times New Roman"/>
          <w:sz w:val="28"/>
          <w:szCs w:val="28"/>
          <w:lang w:val="en-GB"/>
        </w:rPr>
        <w:t>）《机械安全 防止上下肢触及危险区的安全距离》（GB/T 23821-2022）；</w:t>
      </w:r>
    </w:p>
    <w:p w14:paraId="1086DEE4">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w:t>
      </w:r>
      <w:r>
        <w:rPr>
          <w:rFonts w:ascii="Times New Roman" w:hAnsi="Times New Roman" w:eastAsia="宋体" w:cs="Times New Roman"/>
          <w:sz w:val="28"/>
          <w:szCs w:val="28"/>
        </w:rPr>
        <w:t>2</w:t>
      </w:r>
      <w:r>
        <w:rPr>
          <w:rFonts w:ascii="Times New Roman" w:hAnsi="Times New Roman" w:eastAsia="宋体" w:cs="Times New Roman"/>
          <w:sz w:val="28"/>
          <w:szCs w:val="28"/>
          <w:lang w:val="en-GB"/>
        </w:rPr>
        <w:t>0）《建筑抗震设计规范》（GB 50011-2010[2016年版]）（2016年版）；</w:t>
      </w:r>
    </w:p>
    <w:p w14:paraId="78F20750">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（2</w:t>
      </w:r>
      <w:r>
        <w:rPr>
          <w:rFonts w:ascii="Times New Roman" w:hAnsi="Times New Roman" w:eastAsia="宋体" w:cs="Times New Roman"/>
          <w:sz w:val="28"/>
          <w:szCs w:val="28"/>
        </w:rPr>
        <w:t>1</w:t>
      </w:r>
      <w:r>
        <w:rPr>
          <w:rFonts w:ascii="Times New Roman" w:hAnsi="Times New Roman" w:eastAsia="宋体" w:cs="Times New Roman"/>
          <w:sz w:val="28"/>
          <w:szCs w:val="28"/>
          <w:lang w:val="en-GB"/>
        </w:rPr>
        <w:t>）《建筑物防雷设计规范》（GB50057-2010）；</w:t>
      </w:r>
    </w:p>
    <w:p w14:paraId="4BDFB2CD">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（2</w:t>
      </w:r>
      <w:r>
        <w:rPr>
          <w:rFonts w:ascii="Times New Roman" w:hAnsi="Times New Roman" w:eastAsia="宋体" w:cs="Times New Roman"/>
          <w:sz w:val="28"/>
          <w:szCs w:val="28"/>
        </w:rPr>
        <w:t>2</w:t>
      </w:r>
      <w:r>
        <w:rPr>
          <w:rFonts w:ascii="Times New Roman" w:hAnsi="Times New Roman" w:eastAsia="宋体" w:cs="Times New Roman"/>
          <w:sz w:val="28"/>
          <w:szCs w:val="28"/>
          <w:lang w:val="en-GB"/>
        </w:rPr>
        <w:t>）《工业企业总平面设计规范》（GB50187-2012）；</w:t>
      </w:r>
    </w:p>
    <w:p w14:paraId="267C21F4">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w:t>
      </w:r>
      <w:r>
        <w:rPr>
          <w:rFonts w:ascii="Times New Roman" w:hAnsi="Times New Roman" w:eastAsia="宋体" w:cs="Times New Roman"/>
          <w:sz w:val="28"/>
          <w:szCs w:val="28"/>
        </w:rPr>
        <w:t>23</w:t>
      </w:r>
      <w:r>
        <w:rPr>
          <w:rFonts w:ascii="Times New Roman" w:hAnsi="Times New Roman" w:eastAsia="宋体" w:cs="Times New Roman"/>
          <w:sz w:val="28"/>
          <w:szCs w:val="28"/>
          <w:lang w:val="en-GB"/>
        </w:rPr>
        <w:t>）《20kV及以下变电所设计规范》（GB 50053-2013）；</w:t>
      </w:r>
    </w:p>
    <w:p w14:paraId="5242B084">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（2</w:t>
      </w:r>
      <w:r>
        <w:rPr>
          <w:rFonts w:ascii="Times New Roman" w:hAnsi="Times New Roman" w:eastAsia="宋体" w:cs="Times New Roman"/>
          <w:sz w:val="28"/>
          <w:szCs w:val="28"/>
        </w:rPr>
        <w:t>4</w:t>
      </w:r>
      <w:r>
        <w:rPr>
          <w:rFonts w:ascii="Times New Roman" w:hAnsi="Times New Roman" w:eastAsia="宋体" w:cs="Times New Roman"/>
          <w:sz w:val="28"/>
          <w:szCs w:val="28"/>
          <w:lang w:val="en-GB"/>
        </w:rPr>
        <w:t>）《用电安全导则》（GB/T13869-2017）；</w:t>
      </w:r>
    </w:p>
    <w:p w14:paraId="33A2F7C4">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（2</w:t>
      </w:r>
      <w:r>
        <w:rPr>
          <w:rFonts w:ascii="Times New Roman" w:hAnsi="Times New Roman" w:eastAsia="宋体" w:cs="Times New Roman"/>
          <w:sz w:val="28"/>
          <w:szCs w:val="28"/>
        </w:rPr>
        <w:t>5</w:t>
      </w:r>
      <w:r>
        <w:rPr>
          <w:rFonts w:ascii="Times New Roman" w:hAnsi="Times New Roman" w:eastAsia="宋体" w:cs="Times New Roman"/>
          <w:sz w:val="28"/>
          <w:szCs w:val="28"/>
          <w:lang w:val="en-GB"/>
        </w:rPr>
        <w:t>）《矿山电力设计标准》（GB 50070-2020）；</w:t>
      </w:r>
    </w:p>
    <w:p w14:paraId="4D3A2491">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（2</w:t>
      </w:r>
      <w:r>
        <w:rPr>
          <w:rFonts w:ascii="Times New Roman" w:hAnsi="Times New Roman" w:eastAsia="宋体" w:cs="Times New Roman"/>
          <w:sz w:val="28"/>
          <w:szCs w:val="28"/>
        </w:rPr>
        <w:t>6</w:t>
      </w:r>
      <w:r>
        <w:rPr>
          <w:rFonts w:ascii="Times New Roman" w:hAnsi="Times New Roman" w:eastAsia="宋体" w:cs="Times New Roman"/>
          <w:sz w:val="28"/>
          <w:szCs w:val="28"/>
          <w:lang w:val="en-GB"/>
        </w:rPr>
        <w:t>）《建筑工程抗震设防分类标准》（GB 50223-2008）；</w:t>
      </w:r>
    </w:p>
    <w:p w14:paraId="38C58E71">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（2</w:t>
      </w:r>
      <w:r>
        <w:rPr>
          <w:rFonts w:ascii="Times New Roman" w:hAnsi="Times New Roman" w:eastAsia="宋体" w:cs="Times New Roman"/>
          <w:sz w:val="28"/>
          <w:szCs w:val="28"/>
        </w:rPr>
        <w:t>7</w:t>
      </w:r>
      <w:r>
        <w:rPr>
          <w:rFonts w:ascii="Times New Roman" w:hAnsi="Times New Roman" w:eastAsia="宋体" w:cs="Times New Roman"/>
          <w:sz w:val="28"/>
          <w:szCs w:val="28"/>
          <w:lang w:val="en-GB"/>
        </w:rPr>
        <w:t>）《建筑设计防火规范》（GB 50016-2014[2018年版]）（2018年版）；</w:t>
      </w:r>
    </w:p>
    <w:p w14:paraId="7331EF7D">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（2</w:t>
      </w:r>
      <w:r>
        <w:rPr>
          <w:rFonts w:ascii="Times New Roman" w:hAnsi="Times New Roman" w:eastAsia="宋体" w:cs="Times New Roman"/>
          <w:sz w:val="28"/>
          <w:szCs w:val="28"/>
        </w:rPr>
        <w:t>8</w:t>
      </w:r>
      <w:r>
        <w:rPr>
          <w:rFonts w:ascii="Times New Roman" w:hAnsi="Times New Roman" w:eastAsia="宋体" w:cs="Times New Roman"/>
          <w:sz w:val="28"/>
          <w:szCs w:val="28"/>
          <w:lang w:val="en-GB"/>
        </w:rPr>
        <w:t>）《危险化学品重大危险源辨识》（GB18218-2018）；</w:t>
      </w:r>
    </w:p>
    <w:p w14:paraId="3A6CD5FA">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w:t>
      </w:r>
      <w:r>
        <w:rPr>
          <w:rFonts w:ascii="Times New Roman" w:hAnsi="Times New Roman" w:eastAsia="宋体" w:cs="Times New Roman"/>
          <w:sz w:val="28"/>
          <w:szCs w:val="28"/>
        </w:rPr>
        <w:t>29</w:t>
      </w:r>
      <w:r>
        <w:rPr>
          <w:rFonts w:ascii="Times New Roman" w:hAnsi="Times New Roman" w:eastAsia="宋体" w:cs="Times New Roman"/>
          <w:sz w:val="28"/>
          <w:szCs w:val="28"/>
          <w:lang w:val="en-GB"/>
        </w:rPr>
        <w:t>）《非煤露天矿边坡工程技术规范》（GB51016-201</w:t>
      </w:r>
      <w:r>
        <w:rPr>
          <w:rFonts w:ascii="Times New Roman" w:hAnsi="Times New Roman" w:eastAsia="宋体" w:cs="Times New Roman"/>
          <w:sz w:val="28"/>
          <w:szCs w:val="28"/>
        </w:rPr>
        <w:t>4</w:t>
      </w:r>
      <w:r>
        <w:rPr>
          <w:rFonts w:ascii="Times New Roman" w:hAnsi="Times New Roman" w:eastAsia="宋体" w:cs="Times New Roman"/>
          <w:sz w:val="28"/>
          <w:szCs w:val="28"/>
          <w:lang w:val="en-GB"/>
        </w:rPr>
        <w:t>）；</w:t>
      </w:r>
    </w:p>
    <w:p w14:paraId="4119C5C6">
      <w:pPr>
        <w:adjustRightInd w:val="0"/>
        <w:snapToGrid w:val="0"/>
        <w:spacing w:line="360" w:lineRule="auto"/>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（30）《中国地震动参数区划图》（GB18306-2015）；</w:t>
      </w:r>
    </w:p>
    <w:p w14:paraId="16E472F7">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（3</w:t>
      </w:r>
      <w:r>
        <w:rPr>
          <w:rFonts w:ascii="Times New Roman" w:hAnsi="Times New Roman" w:eastAsia="宋体" w:cs="Times New Roman"/>
          <w:sz w:val="28"/>
          <w:szCs w:val="28"/>
        </w:rPr>
        <w:t>1</w:t>
      </w:r>
      <w:r>
        <w:rPr>
          <w:rFonts w:ascii="Times New Roman" w:hAnsi="Times New Roman" w:eastAsia="宋体" w:cs="Times New Roman"/>
          <w:sz w:val="28"/>
          <w:szCs w:val="28"/>
          <w:lang w:val="en-GB"/>
        </w:rPr>
        <w:t>）《金属非金属露天矿山高陡边坡安全监测技术规范》（AQ/T 2063-2018）；</w:t>
      </w:r>
    </w:p>
    <w:p w14:paraId="22D709E4">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w:t>
      </w:r>
      <w:r>
        <w:rPr>
          <w:rFonts w:ascii="Times New Roman" w:hAnsi="Times New Roman" w:eastAsia="宋体" w:cs="Times New Roman"/>
          <w:sz w:val="28"/>
          <w:szCs w:val="28"/>
        </w:rPr>
        <w:t>32</w:t>
      </w:r>
      <w:r>
        <w:rPr>
          <w:rFonts w:ascii="Times New Roman" w:hAnsi="Times New Roman" w:eastAsia="宋体" w:cs="Times New Roman"/>
          <w:sz w:val="28"/>
          <w:szCs w:val="28"/>
          <w:lang w:val="en-GB"/>
        </w:rPr>
        <w:t>）《爆破安全规程》（</w:t>
      </w:r>
      <w:r>
        <w:rPr>
          <w:rFonts w:ascii="Times New Roman" w:hAnsi="Times New Roman" w:eastAsia="宋体" w:cs="Times New Roman"/>
          <w:sz w:val="28"/>
          <w:szCs w:val="28"/>
          <w:shd w:val="clear" w:color="auto" w:fill="FFFFFF"/>
          <w:lang w:val="en-GB"/>
        </w:rPr>
        <w:t>GB 6722-2014/XG1-2016</w:t>
      </w:r>
      <w:r>
        <w:rPr>
          <w:rFonts w:ascii="Times New Roman" w:hAnsi="Times New Roman" w:eastAsia="宋体" w:cs="Times New Roman"/>
          <w:sz w:val="28"/>
          <w:szCs w:val="28"/>
          <w:lang w:val="en-GB"/>
        </w:rPr>
        <w:t>）；</w:t>
      </w:r>
    </w:p>
    <w:p w14:paraId="31F9BAAD">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rPr>
        <w:t>（33）《个体防护装备配备规范 第1部分：总则》（GB 39800.1-2020）；</w:t>
      </w:r>
    </w:p>
    <w:p w14:paraId="06AD6A1F">
      <w:pPr>
        <w:adjustRightInd w:val="0"/>
        <w:snapToGrid w:val="0"/>
        <w:spacing w:line="360" w:lineRule="auto"/>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lang w:val="en-GB"/>
        </w:rPr>
        <w:t>（</w:t>
      </w:r>
      <w:r>
        <w:rPr>
          <w:rFonts w:ascii="Times New Roman" w:hAnsi="Times New Roman" w:eastAsia="宋体" w:cs="Times New Roman"/>
          <w:sz w:val="28"/>
          <w:szCs w:val="28"/>
        </w:rPr>
        <w:t>34</w:t>
      </w:r>
      <w:r>
        <w:rPr>
          <w:rFonts w:ascii="Times New Roman" w:hAnsi="Times New Roman" w:eastAsia="宋体" w:cs="Times New Roman"/>
          <w:sz w:val="28"/>
          <w:szCs w:val="28"/>
          <w:lang w:val="en-GB"/>
        </w:rPr>
        <w:t>）《个体防护装备配备规范 第4部分：非煤矿山》</w:t>
      </w:r>
      <w:r>
        <w:rPr>
          <w:rFonts w:ascii="Times New Roman" w:hAnsi="Times New Roman" w:eastAsia="宋体" w:cs="Times New Roman"/>
          <w:sz w:val="28"/>
          <w:szCs w:val="28"/>
        </w:rPr>
        <w:t>（</w:t>
      </w:r>
      <w:r>
        <w:rPr>
          <w:rFonts w:ascii="Times New Roman" w:hAnsi="Times New Roman" w:eastAsia="宋体" w:cs="Times New Roman"/>
          <w:sz w:val="28"/>
          <w:szCs w:val="28"/>
          <w:lang w:val="en-GB"/>
        </w:rPr>
        <w:t>GB 39800.4-2020</w:t>
      </w:r>
      <w:r>
        <w:rPr>
          <w:rFonts w:hint="eastAsia" w:ascii="Times New Roman" w:hAnsi="Times New Roman" w:eastAsia="宋体" w:cs="Times New Roman"/>
          <w:sz w:val="28"/>
          <w:szCs w:val="28"/>
          <w:lang w:val="en-GB"/>
        </w:rPr>
        <w:t>）</w:t>
      </w:r>
      <w:r>
        <w:rPr>
          <w:rFonts w:ascii="Times New Roman" w:hAnsi="Times New Roman" w:eastAsia="宋体" w:cs="Times New Roman"/>
          <w:sz w:val="28"/>
          <w:szCs w:val="28"/>
          <w:lang w:val="en-GB"/>
        </w:rPr>
        <w:t>；</w:t>
      </w:r>
    </w:p>
    <w:p w14:paraId="21409265">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w:t>
      </w:r>
      <w:r>
        <w:rPr>
          <w:rFonts w:ascii="Times New Roman" w:hAnsi="Times New Roman" w:eastAsia="宋体" w:cs="Times New Roman"/>
          <w:sz w:val="28"/>
          <w:szCs w:val="28"/>
        </w:rPr>
        <w:t>35</w:t>
      </w:r>
      <w:r>
        <w:rPr>
          <w:rFonts w:ascii="Times New Roman" w:hAnsi="Times New Roman" w:eastAsia="宋体" w:cs="Times New Roman"/>
          <w:sz w:val="28"/>
          <w:szCs w:val="28"/>
          <w:lang w:val="en-GB"/>
        </w:rPr>
        <w:t>）《生产经营单位生产安全事故应急预案编制导则》（GB/T 29639-2020）；</w:t>
      </w:r>
    </w:p>
    <w:p w14:paraId="327E9AFB">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（3</w:t>
      </w:r>
      <w:r>
        <w:rPr>
          <w:rFonts w:ascii="Times New Roman" w:hAnsi="Times New Roman" w:eastAsia="宋体" w:cs="Times New Roman"/>
          <w:sz w:val="28"/>
          <w:szCs w:val="28"/>
        </w:rPr>
        <w:t>6</w:t>
      </w:r>
      <w:r>
        <w:rPr>
          <w:rFonts w:ascii="Times New Roman" w:hAnsi="Times New Roman" w:eastAsia="宋体" w:cs="Times New Roman"/>
          <w:sz w:val="28"/>
          <w:szCs w:val="28"/>
          <w:lang w:val="en-GB"/>
        </w:rPr>
        <w:t>）《生产安全事故应急演练基本规范》（AQ/T9007-2019）；</w:t>
      </w:r>
    </w:p>
    <w:p w14:paraId="09409964">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（3</w:t>
      </w:r>
      <w:r>
        <w:rPr>
          <w:rFonts w:ascii="Times New Roman" w:hAnsi="Times New Roman" w:eastAsia="宋体" w:cs="Times New Roman"/>
          <w:sz w:val="28"/>
          <w:szCs w:val="28"/>
        </w:rPr>
        <w:t>7</w:t>
      </w:r>
      <w:r>
        <w:rPr>
          <w:rFonts w:ascii="Times New Roman" w:hAnsi="Times New Roman" w:eastAsia="宋体" w:cs="Times New Roman"/>
          <w:sz w:val="28"/>
          <w:szCs w:val="28"/>
          <w:lang w:val="en-GB"/>
        </w:rPr>
        <w:t>）《生产经营单位生产安全事故应急预案评估指南》（AQ/T 9011-2019）：</w:t>
      </w:r>
    </w:p>
    <w:p w14:paraId="39243BC7">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sz w:val="28"/>
          <w:szCs w:val="28"/>
          <w:lang w:val="en-GB"/>
        </w:rPr>
        <w:t>（3</w:t>
      </w:r>
      <w:r>
        <w:rPr>
          <w:rFonts w:ascii="Times New Roman" w:hAnsi="Times New Roman" w:eastAsia="宋体" w:cs="Times New Roman"/>
          <w:sz w:val="28"/>
          <w:szCs w:val="28"/>
        </w:rPr>
        <w:t>8</w:t>
      </w:r>
      <w:r>
        <w:rPr>
          <w:rFonts w:ascii="Times New Roman" w:hAnsi="Times New Roman" w:eastAsia="宋体" w:cs="Times New Roman"/>
          <w:sz w:val="28"/>
          <w:szCs w:val="28"/>
          <w:lang w:val="en-GB"/>
        </w:rPr>
        <w:t>）《3～110kV高压配电装置设计规范》（GB 50060-2008）。</w:t>
      </w:r>
    </w:p>
    <w:p w14:paraId="3038AFBC">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1.2.3 建设项目技术资料</w:t>
      </w:r>
    </w:p>
    <w:p w14:paraId="23A2A249">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（1）项目安全预评价委托书；</w:t>
      </w:r>
    </w:p>
    <w:p w14:paraId="14014267">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（2）资料真实性承诺书；</w:t>
      </w:r>
    </w:p>
    <w:p w14:paraId="081D78FE">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（3）营业执照；</w:t>
      </w:r>
    </w:p>
    <w:p w14:paraId="021FE4F4">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（4）采矿许可证；</w:t>
      </w:r>
    </w:p>
    <w:p w14:paraId="6576C1AF">
      <w:pPr>
        <w:adjustRightInd w:val="0"/>
        <w:snapToGrid w:val="0"/>
        <w:spacing w:line="360" w:lineRule="auto"/>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5）</w:t>
      </w:r>
      <w:r>
        <w:rPr>
          <w:rFonts w:ascii="Times New Roman" w:hAnsi="Times New Roman" w:eastAsia="宋体" w:cs="Times New Roman"/>
          <w:color w:val="000000" w:themeColor="text1"/>
          <w:sz w:val="28"/>
          <w:szCs w:val="28"/>
          <w:lang w:val="en-GB"/>
          <w14:textFill>
            <w14:solidFill>
              <w14:schemeClr w14:val="tx1"/>
            </w14:solidFill>
          </w14:textFill>
        </w:rPr>
        <w:t>《盐津县桃子坝采石场90万t/a露天采矿工程初步设计（</w:t>
      </w:r>
      <w:r>
        <w:rPr>
          <w:rFonts w:ascii="Times New Roman" w:hAnsi="Times New Roman" w:eastAsia="宋体" w:cs="Times New Roman"/>
          <w:color w:val="000000" w:themeColor="text1"/>
          <w:sz w:val="28"/>
          <w:szCs w:val="28"/>
          <w14:textFill>
            <w14:solidFill>
              <w14:schemeClr w14:val="tx1"/>
            </w14:solidFill>
          </w14:textFill>
        </w:rPr>
        <w:t>代可研</w:t>
      </w: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cs="Times New Roman"/>
          <w:sz w:val="28"/>
          <w:szCs w:val="28"/>
        </w:rPr>
        <w:t>（云南德成设计规划有限公司，2023年07月）；</w:t>
      </w:r>
    </w:p>
    <w:p w14:paraId="359DED82">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（6）盐自然资复</w:t>
      </w:r>
      <w:r>
        <w:rPr>
          <w:rFonts w:hint="eastAsia" w:ascii="Times New Roman" w:hAnsi="Times New Roman" w:eastAsia="宋体" w:cs="Times New Roman"/>
          <w:color w:val="000000" w:themeColor="text1"/>
          <w:sz w:val="28"/>
          <w:szCs w:val="28"/>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2022</w:t>
      </w:r>
      <w:r>
        <w:rPr>
          <w:rFonts w:hint="eastAsia" w:ascii="Times New Roman" w:hAnsi="Times New Roman" w:eastAsia="宋体" w:cs="Times New Roman"/>
          <w:color w:val="000000" w:themeColor="text1"/>
          <w:sz w:val="28"/>
          <w:szCs w:val="28"/>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14号《关于〈云南省盐津县桃子坝采石场建筑石料用灰岩矿详查地质报告〉矿产资源储量评审备案的复函》；</w:t>
      </w:r>
    </w:p>
    <w:p w14:paraId="2A0E652E">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（7）云方圆中正矿评储字</w:t>
      </w:r>
      <w:r>
        <w:rPr>
          <w:rFonts w:hint="eastAsia" w:ascii="Times New Roman" w:hAnsi="Times New Roman" w:eastAsia="宋体" w:cs="Times New Roman"/>
          <w:color w:val="000000" w:themeColor="text1"/>
          <w:sz w:val="28"/>
          <w:szCs w:val="28"/>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2022</w:t>
      </w:r>
      <w:r>
        <w:rPr>
          <w:rFonts w:hint="eastAsia" w:ascii="Times New Roman" w:hAnsi="Times New Roman" w:eastAsia="宋体" w:cs="Times New Roman"/>
          <w:color w:val="000000" w:themeColor="text1"/>
          <w:sz w:val="28"/>
          <w:szCs w:val="28"/>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02号《云南省盐津县桃子坝采石场建筑石料用灰岩矿详查地质报告》评审意见书；</w:t>
      </w:r>
    </w:p>
    <w:p w14:paraId="43C5DE79">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（8）《云南省盐津县桃子坝采石场建筑石料用灰岩矿详查地质报告》（昭通亿融科技信息有限公司2022年1月）；</w:t>
      </w:r>
    </w:p>
    <w:p w14:paraId="24C51991">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（9）盐津县盐井镇人民政府《关于盐津县桃子坝采石场（新立）采矿权附近道路的情况说明》（盐井政通[2023]23号）；</w:t>
      </w:r>
    </w:p>
    <w:p w14:paraId="1969F5B5">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10</w:t>
      </w:r>
      <w:r>
        <w:rPr>
          <w:rFonts w:ascii="Times New Roman" w:hAnsi="Times New Roman" w:eastAsia="宋体" w:cs="Times New Roman"/>
          <w:color w:val="000000" w:themeColor="text1"/>
          <w:sz w:val="28"/>
          <w:szCs w:val="28"/>
          <w:lang w:val="en-GB"/>
          <w14:textFill>
            <w14:solidFill>
              <w14:schemeClr w14:val="tx1"/>
            </w14:solidFill>
          </w14:textFill>
        </w:rPr>
        <w:t>）</w:t>
      </w:r>
      <w:r>
        <w:rPr>
          <w:rFonts w:hint="eastAsia" w:ascii="Times New Roman" w:hAnsi="Times New Roman" w:eastAsia="宋体" w:cs="Times New Roman"/>
          <w:color w:val="000000" w:themeColor="text1"/>
          <w:sz w:val="28"/>
          <w:szCs w:val="28"/>
          <w:lang w:val="en-GB"/>
          <w14:textFill>
            <w14:solidFill>
              <w14:schemeClr w14:val="tx1"/>
            </w14:solidFill>
          </w14:textFill>
        </w:rPr>
        <w:t>房屋租赁合同</w:t>
      </w:r>
      <w:r>
        <w:rPr>
          <w:rFonts w:ascii="Times New Roman" w:hAnsi="Times New Roman" w:eastAsia="宋体" w:cs="Times New Roman"/>
          <w:color w:val="000000" w:themeColor="text1"/>
          <w:sz w:val="28"/>
          <w:szCs w:val="28"/>
          <w:lang w:val="en-GB"/>
          <w14:textFill>
            <w14:solidFill>
              <w14:schemeClr w14:val="tx1"/>
            </w14:solidFill>
          </w14:textFill>
        </w:rPr>
        <w:t>；</w:t>
      </w:r>
    </w:p>
    <w:p w14:paraId="516EA5D9">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11</w:t>
      </w:r>
      <w:r>
        <w:rPr>
          <w:rFonts w:ascii="Times New Roman" w:hAnsi="Times New Roman" w:eastAsia="宋体" w:cs="Times New Roman"/>
          <w:color w:val="000000" w:themeColor="text1"/>
          <w:sz w:val="28"/>
          <w:szCs w:val="28"/>
          <w:lang w:val="en-GB"/>
          <w14:textFill>
            <w14:solidFill>
              <w14:schemeClr w14:val="tx1"/>
            </w14:solidFill>
          </w14:textFill>
        </w:rPr>
        <w:t>）电力设施搬迁批复；</w:t>
      </w:r>
    </w:p>
    <w:p w14:paraId="0B919131">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12</w:t>
      </w:r>
      <w:r>
        <w:rPr>
          <w:rFonts w:ascii="Times New Roman" w:hAnsi="Times New Roman" w:eastAsia="宋体" w:cs="Times New Roman"/>
          <w:color w:val="000000" w:themeColor="text1"/>
          <w:sz w:val="28"/>
          <w:szCs w:val="28"/>
          <w:lang w:val="en-GB"/>
          <w14:textFill>
            <w14:solidFill>
              <w14:schemeClr w14:val="tx1"/>
            </w14:solidFill>
          </w14:textFill>
        </w:rPr>
        <w:t>）矿山提供的其他安全技术资料。</w:t>
      </w:r>
    </w:p>
    <w:p w14:paraId="139FB4D1">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1.2.4 其他评价依据</w:t>
      </w:r>
    </w:p>
    <w:p w14:paraId="7C0C9233">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（1）《现代采矿手册》（上、中、下册），冶金工业出版，2010年～2012年；</w:t>
      </w:r>
    </w:p>
    <w:p w14:paraId="14D31673">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（2）《采矿设计手册》，中国建筑工业出版社，1987；</w:t>
      </w:r>
    </w:p>
    <w:p w14:paraId="42A10572">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（3）《露天采矿设计手册》，煤炭工业出版社，1987；</w:t>
      </w:r>
    </w:p>
    <w:p w14:paraId="227C0BCD">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（4）《矿山安全性评价与安全事故的预防及处理实务全书》，中国商业出版社，2001；</w:t>
      </w:r>
    </w:p>
    <w:p w14:paraId="300C2E81">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（5）《金属非金属矿开采安全》，中国劳动出版社，1992；</w:t>
      </w:r>
    </w:p>
    <w:p w14:paraId="33B0D295">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（6）《安全工程师手册》，四川人民出版社，1995；</w:t>
      </w:r>
    </w:p>
    <w:p w14:paraId="30C87FCC">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（7）《矿山安全监察手册》，劳动人事出版社，1990；</w:t>
      </w:r>
    </w:p>
    <w:p w14:paraId="1EC9D8F9">
      <w:pPr>
        <w:adjustRightInd w:val="0"/>
        <w:snapToGrid w:val="0"/>
        <w:spacing w:line="360" w:lineRule="auto"/>
        <w:ind w:firstLine="560" w:firstLineChars="200"/>
        <w:rPr>
          <w:rFonts w:ascii="Times New Roman" w:hAnsi="Times New Roman" w:eastAsia="宋体" w:cs="Times New Roman"/>
          <w:color w:val="000000" w:themeColor="text1"/>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（8）《安全评价》（第三版），国家安全生产监督管理局编，煤炭工业出版社，2006。</w:t>
      </w:r>
    </w:p>
    <w:p w14:paraId="2D4DF8D3">
      <w:pPr>
        <w:pStyle w:val="3"/>
        <w:adjustRightInd w:val="0"/>
        <w:snapToGrid w:val="0"/>
        <w:rPr>
          <w:rFonts w:ascii="Times New Roman" w:hAnsi="Times New Roman" w:cs="Times New Roman"/>
          <w:b/>
          <w:bCs w:val="0"/>
          <w:color w:val="000000" w:themeColor="text1"/>
          <w:lang w:val="en-GB"/>
          <w14:textFill>
            <w14:solidFill>
              <w14:schemeClr w14:val="tx1"/>
            </w14:solidFill>
          </w14:textFill>
        </w:rPr>
      </w:pPr>
      <w:bookmarkStart w:id="22" w:name="_Toc29424"/>
      <w:bookmarkStart w:id="23" w:name="_Toc13103"/>
      <w:r>
        <w:rPr>
          <w:rFonts w:ascii="Times New Roman" w:hAnsi="Times New Roman" w:cs="Times New Roman"/>
          <w:b/>
          <w:bCs w:val="0"/>
          <w:color w:val="000000" w:themeColor="text1"/>
          <w:lang w:val="en-GB"/>
          <w14:textFill>
            <w14:solidFill>
              <w14:schemeClr w14:val="tx1"/>
            </w14:solidFill>
          </w14:textFill>
        </w:rPr>
        <w:t>1.3 安全预评价原则</w:t>
      </w:r>
      <w:bookmarkEnd w:id="22"/>
      <w:bookmarkEnd w:id="23"/>
    </w:p>
    <w:p w14:paraId="17A7B59B">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《安全评价通则》第2条规定，安全评价基本原则是具备国家规定资质的安全评价机构科学、公正和合法</w:t>
      </w:r>
      <w:r>
        <w:rPr>
          <w:rFonts w:hint="eastAsia" w:ascii="Times New Roman" w:hAnsi="Times New Roman" w:eastAsia="宋体" w:cs="Times New Roman"/>
          <w:color w:val="000000" w:themeColor="text1"/>
          <w:sz w:val="28"/>
          <w:szCs w:val="28"/>
          <w:lang w:val="en-GB"/>
          <w14:textFill>
            <w14:solidFill>
              <w14:schemeClr w14:val="tx1"/>
            </w14:solidFill>
          </w14:textFill>
        </w:rPr>
        <w:t>地</w:t>
      </w:r>
      <w:r>
        <w:rPr>
          <w:rFonts w:ascii="Times New Roman" w:hAnsi="Times New Roman" w:eastAsia="宋体" w:cs="Times New Roman"/>
          <w:color w:val="000000" w:themeColor="text1"/>
          <w:sz w:val="28"/>
          <w:szCs w:val="28"/>
          <w:lang w:val="en-GB"/>
          <w14:textFill>
            <w14:solidFill>
              <w14:schemeClr w14:val="tx1"/>
            </w14:solidFill>
          </w14:textFill>
        </w:rPr>
        <w:t>自主开展安全预评价。</w:t>
      </w:r>
    </w:p>
    <w:p w14:paraId="4E1DB9A9">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本报告将按国家现行有关劳动安全的</w:t>
      </w:r>
      <w:r>
        <w:rPr>
          <w:rFonts w:hint="eastAsia" w:ascii="Times New Roman" w:hAnsi="Times New Roman" w:eastAsia="宋体" w:cs="Times New Roman"/>
          <w:color w:val="000000" w:themeColor="text1"/>
          <w:sz w:val="28"/>
          <w:szCs w:val="28"/>
          <w:lang w:val="en-GB"/>
          <w14:textFill>
            <w14:solidFill>
              <w14:schemeClr w14:val="tx1"/>
            </w14:solidFill>
          </w14:textFill>
        </w:rPr>
        <w:t>法律法规</w:t>
      </w:r>
      <w:r>
        <w:rPr>
          <w:rFonts w:ascii="Times New Roman" w:hAnsi="Times New Roman" w:eastAsia="宋体" w:cs="Times New Roman"/>
          <w:color w:val="000000" w:themeColor="text1"/>
          <w:sz w:val="28"/>
          <w:szCs w:val="28"/>
          <w:lang w:val="en-GB"/>
          <w14:textFill>
            <w14:solidFill>
              <w14:schemeClr w14:val="tx1"/>
            </w14:solidFill>
          </w14:textFill>
        </w:rPr>
        <w:t>和标准要求对该项目进行安全评价，同时遵循下列原则：</w:t>
      </w:r>
    </w:p>
    <w:p w14:paraId="6F9547B5">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（1）严格执行国家现行有关</w:t>
      </w:r>
      <w:r>
        <w:rPr>
          <w:rFonts w:hint="eastAsia" w:ascii="Times New Roman" w:hAnsi="Times New Roman" w:eastAsia="宋体" w:cs="Times New Roman"/>
          <w:color w:val="000000" w:themeColor="text1"/>
          <w:sz w:val="28"/>
          <w:szCs w:val="28"/>
          <w:lang w:val="en-GB"/>
          <w14:textFill>
            <w14:solidFill>
              <w14:schemeClr w14:val="tx1"/>
            </w14:solidFill>
          </w14:textFill>
        </w:rPr>
        <w:t>法律法规</w:t>
      </w:r>
      <w:r>
        <w:rPr>
          <w:rFonts w:ascii="Times New Roman" w:hAnsi="Times New Roman" w:eastAsia="宋体" w:cs="Times New Roman"/>
          <w:color w:val="000000" w:themeColor="text1"/>
          <w:sz w:val="28"/>
          <w:szCs w:val="28"/>
          <w:lang w:val="en-GB"/>
          <w14:textFill>
            <w14:solidFill>
              <w14:schemeClr w14:val="tx1"/>
            </w14:solidFill>
          </w14:textFill>
        </w:rPr>
        <w:t>、标准和规范的要求，对该企业申请安全生产许可证应具备的安全生产条件进行科学、公正、合法、自主的评价；</w:t>
      </w:r>
    </w:p>
    <w:p w14:paraId="7982EE01">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（2）执行行业现行有关法规、标准、规范和政策的要求；</w:t>
      </w:r>
    </w:p>
    <w:p w14:paraId="16F11A7A">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（3）采用适用、可靠的评价技术和评价方法，保证评价的针对性，确保评价质量；</w:t>
      </w:r>
    </w:p>
    <w:p w14:paraId="59AE2F71">
      <w:pPr>
        <w:adjustRightInd w:val="0"/>
        <w:snapToGrid w:val="0"/>
        <w:spacing w:line="360" w:lineRule="auto"/>
        <w:ind w:firstLine="560" w:firstLineChars="200"/>
        <w:rPr>
          <w:rFonts w:ascii="Times New Roman" w:hAnsi="Times New Roman" w:eastAsia="宋体" w:cs="Times New Roman"/>
          <w:color w:val="000000" w:themeColor="text1"/>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（4）恪守职业道德，遵循诚实守信的原则，对被评价企业的技术资料和商业运作保密。</w:t>
      </w:r>
    </w:p>
    <w:p w14:paraId="0182FA93">
      <w:pPr>
        <w:pStyle w:val="3"/>
        <w:adjustRightInd w:val="0"/>
        <w:snapToGrid w:val="0"/>
        <w:rPr>
          <w:rFonts w:ascii="Times New Roman" w:hAnsi="Times New Roman" w:cs="Times New Roman"/>
          <w:b/>
          <w:bCs w:val="0"/>
          <w:color w:val="000000" w:themeColor="text1"/>
          <w:lang w:val="en-GB"/>
          <w14:textFill>
            <w14:solidFill>
              <w14:schemeClr w14:val="tx1"/>
            </w14:solidFill>
          </w14:textFill>
        </w:rPr>
      </w:pPr>
      <w:bookmarkStart w:id="24" w:name="_Toc8424"/>
      <w:bookmarkStart w:id="25" w:name="_Toc16232"/>
      <w:r>
        <w:rPr>
          <w:rFonts w:ascii="Times New Roman" w:hAnsi="Times New Roman" w:cs="Times New Roman"/>
          <w:b/>
          <w:bCs w:val="0"/>
          <w:color w:val="000000" w:themeColor="text1"/>
          <w:lang w:val="en-GB"/>
          <w14:textFill>
            <w14:solidFill>
              <w14:schemeClr w14:val="tx1"/>
            </w14:solidFill>
          </w14:textFill>
        </w:rPr>
        <w:t>1.4 评价内容</w:t>
      </w:r>
      <w:bookmarkEnd w:id="24"/>
      <w:bookmarkEnd w:id="25"/>
    </w:p>
    <w:p w14:paraId="3ADF7D03">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评价主要内容包括：</w:t>
      </w:r>
    </w:p>
    <w:p w14:paraId="679A2FB1">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（1）辨识建设项目投产运行后在运行过程中存在的主要危险有害因素，并分析其可能导致发生事故的诱发因素、可能性及严重程度。</w:t>
      </w:r>
    </w:p>
    <w:p w14:paraId="41A3126D">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（2）评价初步设计（代可研）报告中危险有害因素预防和控制措施的可靠性，以及与有关安全生产</w:t>
      </w:r>
      <w:r>
        <w:rPr>
          <w:rFonts w:hint="eastAsia" w:ascii="Times New Roman" w:hAnsi="Times New Roman" w:eastAsia="宋体" w:cs="Times New Roman"/>
          <w:color w:val="000000" w:themeColor="text1"/>
          <w:sz w:val="28"/>
          <w:szCs w:val="28"/>
          <w:lang w:val="en-GB"/>
          <w14:textFill>
            <w14:solidFill>
              <w14:schemeClr w14:val="tx1"/>
            </w14:solidFill>
          </w14:textFill>
        </w:rPr>
        <w:t>法律法规</w:t>
      </w:r>
      <w:r>
        <w:rPr>
          <w:rFonts w:ascii="Times New Roman" w:hAnsi="Times New Roman" w:eastAsia="宋体" w:cs="Times New Roman"/>
          <w:color w:val="000000" w:themeColor="text1"/>
          <w:sz w:val="28"/>
          <w:szCs w:val="28"/>
          <w:lang w:val="en-GB"/>
          <w14:textFill>
            <w14:solidFill>
              <w14:schemeClr w14:val="tx1"/>
            </w14:solidFill>
          </w14:textFill>
        </w:rPr>
        <w:t>、规章、规范性文件和标准的符合性。</w:t>
      </w:r>
    </w:p>
    <w:p w14:paraId="0DDA38D1">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（3）提出消除未受控危险有害因素的安全对策措施及建议。</w:t>
      </w:r>
    </w:p>
    <w:p w14:paraId="3CD78AB5">
      <w:pPr>
        <w:adjustRightInd w:val="0"/>
        <w:snapToGrid w:val="0"/>
        <w:spacing w:line="360" w:lineRule="auto"/>
        <w:ind w:firstLine="560" w:firstLineChars="200"/>
        <w:rPr>
          <w:rFonts w:ascii="Times New Roman" w:hAnsi="Times New Roman" w:eastAsia="宋体" w:cs="Times New Roman"/>
          <w:color w:val="000000" w:themeColor="text1"/>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（4）做出安全预评价结论。</w:t>
      </w:r>
    </w:p>
    <w:p w14:paraId="4CA32AD4">
      <w:pPr>
        <w:pStyle w:val="3"/>
        <w:adjustRightInd w:val="0"/>
        <w:snapToGrid w:val="0"/>
        <w:rPr>
          <w:rFonts w:ascii="Times New Roman" w:hAnsi="Times New Roman" w:cs="Times New Roman"/>
          <w:b/>
          <w:bCs w:val="0"/>
          <w:color w:val="000000" w:themeColor="text1"/>
          <w:lang w:val="en-GB"/>
          <w14:textFill>
            <w14:solidFill>
              <w14:schemeClr w14:val="tx1"/>
            </w14:solidFill>
          </w14:textFill>
        </w:rPr>
      </w:pPr>
      <w:bookmarkStart w:id="26" w:name="_Toc27378"/>
      <w:bookmarkStart w:id="27" w:name="_Toc31697"/>
      <w:r>
        <w:rPr>
          <w:rFonts w:ascii="Times New Roman" w:hAnsi="Times New Roman" w:cs="Times New Roman"/>
          <w:b/>
          <w:bCs w:val="0"/>
          <w:color w:val="000000" w:themeColor="text1"/>
          <w:lang w:val="en-GB"/>
          <w14:textFill>
            <w14:solidFill>
              <w14:schemeClr w14:val="tx1"/>
            </w14:solidFill>
          </w14:textFill>
        </w:rPr>
        <w:t>1.5 评价程序</w:t>
      </w:r>
      <w:bookmarkEnd w:id="26"/>
      <w:bookmarkEnd w:id="27"/>
    </w:p>
    <w:p w14:paraId="40CA5C97">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评价工作程序按《安全评价通则》AQ8001-2007及《安全预评价导则》AQ8002-2007的要求开展工作，包括：前期准备，辨识与分析危险、有害因素，划分评价单元，定性、定量评价，提出安全对策措施建议，</w:t>
      </w:r>
      <w:r>
        <w:rPr>
          <w:rFonts w:hint="eastAsia" w:ascii="Times New Roman" w:hAnsi="Times New Roman" w:eastAsia="宋体" w:cs="Times New Roman"/>
          <w:color w:val="000000" w:themeColor="text1"/>
          <w:sz w:val="28"/>
          <w:szCs w:val="28"/>
          <w:lang w:val="en-GB"/>
          <w14:textFill>
            <w14:solidFill>
              <w14:schemeClr w14:val="tx1"/>
            </w14:solidFill>
          </w14:textFill>
        </w:rPr>
        <w:t>作出评价</w:t>
      </w:r>
      <w:r>
        <w:rPr>
          <w:rFonts w:ascii="Times New Roman" w:hAnsi="Times New Roman" w:eastAsia="宋体" w:cs="Times New Roman"/>
          <w:color w:val="000000" w:themeColor="text1"/>
          <w:sz w:val="28"/>
          <w:szCs w:val="28"/>
          <w:lang w:val="en-GB"/>
          <w14:textFill>
            <w14:solidFill>
              <w14:schemeClr w14:val="tx1"/>
            </w14:solidFill>
          </w14:textFill>
        </w:rPr>
        <w:t>结论，编制安全预评价报告。具体预评价程序如图1.5-1所示。</w:t>
      </w:r>
    </w:p>
    <w:p w14:paraId="5B6B1C74">
      <w:pPr>
        <w:adjustRightInd w:val="0"/>
        <w:snapToGrid w:val="0"/>
        <w:spacing w:after="120" w:line="360" w:lineRule="auto"/>
        <w:jc w:val="center"/>
        <w:rPr>
          <w:rFonts w:ascii="Times New Roman" w:hAnsi="Times New Roman" w:eastAsia="宋体" w:cs="Times New Roman"/>
          <w:sz w:val="28"/>
          <w:szCs w:val="28"/>
          <w:lang w:val="en-GB"/>
        </w:rPr>
      </w:pPr>
      <w:bookmarkStart w:id="28" w:name="_Toc30217"/>
      <w:r>
        <w:rPr>
          <w:rFonts w:ascii="Times New Roman" w:hAnsi="Times New Roman" w:cs="Times New Roman"/>
        </w:rPr>
        <mc:AlternateContent>
          <mc:Choice Requires="wpg">
            <w:drawing>
              <wp:inline distT="0" distB="0" distL="114300" distR="114300">
                <wp:extent cx="2400300" cy="4276725"/>
                <wp:effectExtent l="4445" t="5080" r="14605" b="4445"/>
                <wp:docPr id="51" name="组合 51"/>
                <wp:cNvGraphicFramePr/>
                <a:graphic xmlns:a="http://schemas.openxmlformats.org/drawingml/2006/main">
                  <a:graphicData uri="http://schemas.microsoft.com/office/word/2010/wordprocessingGroup">
                    <wpg:wgp>
                      <wpg:cNvGrpSpPr>
                        <a:grpSpLocks noRot="1"/>
                      </wpg:cNvGrpSpPr>
                      <wpg:grpSpPr>
                        <a:xfrm>
                          <a:off x="0" y="0"/>
                          <a:ext cx="2400300" cy="4276725"/>
                          <a:chOff x="0" y="0"/>
                          <a:chExt cx="3780" cy="8332"/>
                        </a:xfrm>
                      </wpg:grpSpPr>
                      <wps:wsp>
                        <wps:cNvPr id="17" name="文本框 17"/>
                        <wps:cNvSpPr txBox="1"/>
                        <wps:spPr>
                          <a:xfrm>
                            <a:off x="0" y="1092"/>
                            <a:ext cx="3780"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AF6A49">
                              <w:pPr>
                                <w:jc w:val="center"/>
                              </w:pPr>
                              <w:r>
                                <w:rPr>
                                  <w:rFonts w:hint="eastAsia"/>
                                </w:rPr>
                                <w:t>辨识与分析危险、有害因素</w:t>
                              </w:r>
                            </w:p>
                          </w:txbxContent>
                        </wps:txbx>
                        <wps:bodyPr upright="1"/>
                      </wps:wsp>
                      <wps:wsp>
                        <wps:cNvPr id="20" name="文本框 20"/>
                        <wps:cNvSpPr txBox="1"/>
                        <wps:spPr>
                          <a:xfrm>
                            <a:off x="0" y="0"/>
                            <a:ext cx="3780"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43032A2">
                              <w:pPr>
                                <w:jc w:val="center"/>
                              </w:pPr>
                              <w:r>
                                <w:rPr>
                                  <w:rFonts w:hint="eastAsia"/>
                                </w:rPr>
                                <w:t>前期准备</w:t>
                              </w:r>
                            </w:p>
                          </w:txbxContent>
                        </wps:txbx>
                        <wps:bodyPr upright="1"/>
                      </wps:wsp>
                      <wps:wsp>
                        <wps:cNvPr id="21" name="文本框 21"/>
                        <wps:cNvSpPr txBox="1"/>
                        <wps:spPr>
                          <a:xfrm>
                            <a:off x="0" y="2184"/>
                            <a:ext cx="3780"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2D5D571">
                              <w:pPr>
                                <w:jc w:val="center"/>
                              </w:pPr>
                              <w:r>
                                <w:rPr>
                                  <w:rFonts w:hint="eastAsia"/>
                                </w:rPr>
                                <w:t>划分评价单元</w:t>
                              </w:r>
                            </w:p>
                          </w:txbxContent>
                        </wps:txbx>
                        <wps:bodyPr upright="1"/>
                      </wps:wsp>
                      <wps:wsp>
                        <wps:cNvPr id="22" name="文本框 22"/>
                        <wps:cNvSpPr txBox="1"/>
                        <wps:spPr>
                          <a:xfrm>
                            <a:off x="0" y="3276"/>
                            <a:ext cx="3780"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82B2DD5">
                              <w:pPr>
                                <w:jc w:val="center"/>
                              </w:pPr>
                              <w:r>
                                <w:rPr>
                                  <w:rFonts w:hint="eastAsia"/>
                                </w:rPr>
                                <w:t>选择评价方法</w:t>
                              </w:r>
                            </w:p>
                          </w:txbxContent>
                        </wps:txbx>
                        <wps:bodyPr upright="1"/>
                      </wps:wsp>
                      <wps:wsp>
                        <wps:cNvPr id="23" name="文本框 23"/>
                        <wps:cNvSpPr txBox="1"/>
                        <wps:spPr>
                          <a:xfrm>
                            <a:off x="0" y="4368"/>
                            <a:ext cx="3780"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4E8B75F">
                              <w:pPr>
                                <w:jc w:val="center"/>
                              </w:pPr>
                              <w:r>
                                <w:rPr>
                                  <w:rFonts w:hint="eastAsia"/>
                                </w:rPr>
                                <w:t>定性、定量评价</w:t>
                              </w:r>
                            </w:p>
                          </w:txbxContent>
                        </wps:txbx>
                        <wps:bodyPr upright="1"/>
                      </wps:wsp>
                      <wps:wsp>
                        <wps:cNvPr id="24" name="文本框 24"/>
                        <wps:cNvSpPr txBox="1"/>
                        <wps:spPr>
                          <a:xfrm>
                            <a:off x="0" y="5460"/>
                            <a:ext cx="3780"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1B4E756">
                              <w:pPr>
                                <w:jc w:val="center"/>
                              </w:pPr>
                              <w:r>
                                <w:rPr>
                                  <w:rFonts w:hint="eastAsia"/>
                                </w:rPr>
                                <w:t>提出安全对策措施建议</w:t>
                              </w:r>
                            </w:p>
                          </w:txbxContent>
                        </wps:txbx>
                        <wps:bodyPr upright="1"/>
                      </wps:wsp>
                      <wps:wsp>
                        <wps:cNvPr id="25" name="直接连接符 25"/>
                        <wps:cNvCnPr/>
                        <wps:spPr>
                          <a:xfrm>
                            <a:off x="1980" y="624"/>
                            <a:ext cx="0" cy="468"/>
                          </a:xfrm>
                          <a:prstGeom prst="line">
                            <a:avLst/>
                          </a:prstGeom>
                          <a:ln w="9525" cap="flat" cmpd="sng">
                            <a:solidFill>
                              <a:srgbClr val="000000"/>
                            </a:solidFill>
                            <a:prstDash val="solid"/>
                            <a:headEnd type="none" w="med" len="med"/>
                            <a:tailEnd type="triangle" w="med" len="med"/>
                          </a:ln>
                        </wps:spPr>
                        <wps:bodyPr/>
                      </wps:wsp>
                      <wps:wsp>
                        <wps:cNvPr id="26" name="直接连接符 26"/>
                        <wps:cNvCnPr/>
                        <wps:spPr>
                          <a:xfrm>
                            <a:off x="1980" y="1716"/>
                            <a:ext cx="0" cy="468"/>
                          </a:xfrm>
                          <a:prstGeom prst="line">
                            <a:avLst/>
                          </a:prstGeom>
                          <a:ln w="9525" cap="flat" cmpd="sng">
                            <a:solidFill>
                              <a:srgbClr val="000000"/>
                            </a:solidFill>
                            <a:prstDash val="solid"/>
                            <a:headEnd type="none" w="med" len="med"/>
                            <a:tailEnd type="triangle" w="med" len="med"/>
                          </a:ln>
                        </wps:spPr>
                        <wps:bodyPr/>
                      </wps:wsp>
                      <wps:wsp>
                        <wps:cNvPr id="27" name="直接连接符 27"/>
                        <wps:cNvCnPr/>
                        <wps:spPr>
                          <a:xfrm>
                            <a:off x="1980" y="2808"/>
                            <a:ext cx="0" cy="468"/>
                          </a:xfrm>
                          <a:prstGeom prst="line">
                            <a:avLst/>
                          </a:prstGeom>
                          <a:ln w="9525" cap="flat" cmpd="sng">
                            <a:solidFill>
                              <a:srgbClr val="000000"/>
                            </a:solidFill>
                            <a:prstDash val="solid"/>
                            <a:headEnd type="none" w="med" len="med"/>
                            <a:tailEnd type="triangle" w="med" len="med"/>
                          </a:ln>
                        </wps:spPr>
                        <wps:bodyPr/>
                      </wps:wsp>
                      <wps:wsp>
                        <wps:cNvPr id="28" name="直接连接符 28"/>
                        <wps:cNvCnPr/>
                        <wps:spPr>
                          <a:xfrm>
                            <a:off x="1980" y="3900"/>
                            <a:ext cx="0" cy="468"/>
                          </a:xfrm>
                          <a:prstGeom prst="line">
                            <a:avLst/>
                          </a:prstGeom>
                          <a:ln w="9525" cap="flat" cmpd="sng">
                            <a:solidFill>
                              <a:srgbClr val="000000"/>
                            </a:solidFill>
                            <a:prstDash val="solid"/>
                            <a:headEnd type="none" w="med" len="med"/>
                            <a:tailEnd type="triangle" w="med" len="med"/>
                          </a:ln>
                        </wps:spPr>
                        <wps:bodyPr/>
                      </wps:wsp>
                      <wps:wsp>
                        <wps:cNvPr id="29" name="直接连接符 29"/>
                        <wps:cNvCnPr/>
                        <wps:spPr>
                          <a:xfrm>
                            <a:off x="1980" y="4992"/>
                            <a:ext cx="0" cy="468"/>
                          </a:xfrm>
                          <a:prstGeom prst="line">
                            <a:avLst/>
                          </a:prstGeom>
                          <a:ln w="9525" cap="flat" cmpd="sng">
                            <a:solidFill>
                              <a:srgbClr val="000000"/>
                            </a:solidFill>
                            <a:prstDash val="solid"/>
                            <a:headEnd type="none" w="med" len="med"/>
                            <a:tailEnd type="triangle" w="med" len="med"/>
                          </a:ln>
                        </wps:spPr>
                        <wps:bodyPr/>
                      </wps:wsp>
                      <wps:wsp>
                        <wps:cNvPr id="30" name="文本框 30"/>
                        <wps:cNvSpPr txBox="1"/>
                        <wps:spPr>
                          <a:xfrm>
                            <a:off x="0" y="6616"/>
                            <a:ext cx="3780"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E7ABE58">
                              <w:pPr>
                                <w:jc w:val="center"/>
                              </w:pPr>
                              <w:r>
                                <w:rPr>
                                  <w:rFonts w:hint="eastAsia"/>
                                </w:rPr>
                                <w:t>做出评价结论</w:t>
                              </w:r>
                            </w:p>
                          </w:txbxContent>
                        </wps:txbx>
                        <wps:bodyPr upright="1"/>
                      </wps:wsp>
                      <wps:wsp>
                        <wps:cNvPr id="31" name="文本框 31"/>
                        <wps:cNvSpPr txBox="1"/>
                        <wps:spPr>
                          <a:xfrm>
                            <a:off x="0" y="7708"/>
                            <a:ext cx="3780"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A8A6814">
                              <w:pPr>
                                <w:jc w:val="center"/>
                              </w:pPr>
                              <w:r>
                                <w:rPr>
                                  <w:rFonts w:hint="eastAsia"/>
                                </w:rPr>
                                <w:t>编制安全预评价报告</w:t>
                              </w:r>
                            </w:p>
                          </w:txbxContent>
                        </wps:txbx>
                        <wps:bodyPr upright="1"/>
                      </wps:wsp>
                      <wps:wsp>
                        <wps:cNvPr id="32" name="直接连接符 32"/>
                        <wps:cNvCnPr/>
                        <wps:spPr>
                          <a:xfrm>
                            <a:off x="1980" y="6148"/>
                            <a:ext cx="0" cy="468"/>
                          </a:xfrm>
                          <a:prstGeom prst="line">
                            <a:avLst/>
                          </a:prstGeom>
                          <a:ln w="9525" cap="flat" cmpd="sng">
                            <a:solidFill>
                              <a:srgbClr val="000000"/>
                            </a:solidFill>
                            <a:prstDash val="solid"/>
                            <a:headEnd type="none" w="med" len="med"/>
                            <a:tailEnd type="triangle" w="med" len="med"/>
                          </a:ln>
                        </wps:spPr>
                        <wps:bodyPr/>
                      </wps:wsp>
                      <wps:wsp>
                        <wps:cNvPr id="33" name="直接连接符 33"/>
                        <wps:cNvCnPr/>
                        <wps:spPr>
                          <a:xfrm>
                            <a:off x="1980" y="7240"/>
                            <a:ext cx="0" cy="468"/>
                          </a:xfrm>
                          <a:prstGeom prst="line">
                            <a:avLst/>
                          </a:prstGeom>
                          <a:ln w="9525" cap="flat" cmpd="sng">
                            <a:solidFill>
                              <a:srgbClr val="000000"/>
                            </a:solidFill>
                            <a:prstDash val="solid"/>
                            <a:headEnd type="none" w="med" len="med"/>
                            <a:tailEnd type="triangle" w="med" len="med"/>
                          </a:ln>
                        </wps:spPr>
                        <wps:bodyPr/>
                      </wps:wsp>
                    </wpg:wgp>
                  </a:graphicData>
                </a:graphic>
              </wp:inline>
            </w:drawing>
          </mc:Choice>
          <mc:Fallback>
            <w:pict>
              <v:group id="_x0000_s1026" o:spid="_x0000_s1026" o:spt="203" style="height:336.75pt;width:189pt;" coordsize="3780,8332" o:gfxdata="UEsDBAoAAAAAAIdO4kAAAAAAAAAAAAAAAAAEAAAAZHJzL1BLAwQUAAAACACHTuJAS4hx4NYAAAAF&#10;AQAADwAAAGRycy9kb3ducmV2LnhtbE2PT0vDQBDF74LfYZmCN7uJoX9IsylS1FMRbAXxNk2mSWh2&#10;NmS3SfvtHb3Uy4PHG977Tba+2FYN1PvGsYF4GoEiLlzZcGXgc//6uATlA3KJrWMycCUP6/z+LsO0&#10;dCN/0LALlZIS9ikaqEPoUq19UZNFP3UdsWRH11sMYvtKlz2OUm5b/RRFc22xYVmosaNNTcVpd7YG&#10;3kYcn5P4Zdiejpvr9372/rWNyZiHSRytQAW6hNsx/OILOuTCdHBnLr1qDcgj4U8lSxZLsQcD80Uy&#10;A51n+j99/gNQSwMEFAAAAAgAh07iQC340CESBAAA9iMAAA4AAABkcnMvZTJvRG9jLnhtbO1azW7U&#10;MBC+I/EOVu40f9vsbtQtEpT2gqCi8ABu4vyIxLZst7u9I+CEOHEBIXGAE0duHHgaWh6DsZNmt+mu&#10;1N0CKtrsIXK89sQz82U838RbdydlgY6JkDmjI8vdcCxEaMTinKYj69nT3TsDC0mFaYwLRsnIOiHS&#10;urt9+9bWmIfEYxkrYiIQCKEyHPORlSnFQ9uWUUZKLDcYJxT+TJgosYJbkdqxwGOQXha25ziBPWYi&#10;5oJFREro3an+tGqJ4ioCWZLkEdlh0VFJqKqkClJgBSrJLOfS2jarTRISqcdJIolCxcgCTZW5wkOg&#10;faiv9vYWDlOBeZZH9RLwVZbQ0qnEOYWHNqJ2sMLoSOSXRJV5JJhkidqIWGlXihiLgBau07LNnmBH&#10;3OiShuOUN0YHR7WsvrLY6NHxvkB5PLI2XQtRXILHz76/+Pn2NYIOsM6YpyEM2hP8gO+LSkVoPmTR&#10;c4koe8LApGag3R6p79PptEkiSj0ddEYT44CTxgFkolAEnV7PcXwHfBPBfz2vH/S9zcpFUQZ+vDQv&#10;yh7UM/3+oJ428H1Pz7FxWD3SLKxZyJgDbOXUlvJ6tjzIMCfGRVKbqbal2z+35em7V6cfvp5+eomg&#10;z5jTjNO2RGpyj4HStZllKGsDz7WU6wyNWjg8N9ZU5cDrXdAYh1xItUdYiXRjZAl4Dww88fFDqSrj&#10;nA/RPpGsyOPdvCjMjUgP7xcCHWN4Z3bNr5Z+YVhB0XhkDTfBQyjCEAgSeAGhWXIAk6Sped6FGXJW&#10;sGN+8wTrhe1gmVULMBL0MByWuSLCtDKC4wc0RuqEA14pxClLL6YksYUKAmFNt8xIhfPiKiMBLQUF&#10;0Gh4VH7QLTU5nIAY3Txk8Qn47IiLPM1mMG/QVA3567DyAOLVKzqFFfTVKwT4LQ+rOgJ2mArXFVNN&#10;2J/BVBOSVsKU5w5MPOpCFQStdYWVNydUmQ1MB9OVYOVDPlAF9S5arS2s/Dmw8q+1A/b8YNDBas0T&#10;q94cWJk9bOVotdkLutxq3fN1oEY1pX7/7fTN518/PsL17OsXVNHaGlz36b6oc/gFFNAdanYLnLhm&#10;etPM6pwrVzGs4byXGGCRA0fSJGoBA/z3bG7VxEiJHNO0WMD45vO4iryBjQ2/A572rwhbsBAAJpVZ&#10;HgBu320lQR0CLnL+G4aAphJ01g4Bs/WgJUKAN3Ba+UqHgBuNAKinL9gEjB+XjwH+EEqkEMy6XeA/&#10;2QWGCxEwnKEuS8SA3rBdDO5iwE2OAT64p124hb7rFG6DoJ0IdN8D1u17gD+ndgt914FVv9/OLjpY&#10;rR2smtptO2etvqwun7EEbq/LWf8j3uo3ZdZLCJgtti6RsfTh036Xs/6RyoU5zwDHQcwRh/roij5v&#10;MntvKh3T4zrb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BBgAAW0NvbnRlbnRfVHlwZXNdLnhtbFBLAQIUAAoAAAAAAIdO4kAAAAAAAAAAAAAA&#10;AAAGAAAAAAAAAAAAEAAAAGMFAABfcmVscy9QSwECFAAUAAAACACHTuJAihRmPNEAAACUAQAACwAA&#10;AAAAAAABACAAAACHBQAAX3JlbHMvLnJlbHNQSwECFAAKAAAAAACHTuJAAAAAAAAAAAAAAAAABAAA&#10;AAAAAAAAABAAAAAAAAAAZHJzL1BLAQIUABQAAAAIAIdO4kBLiHHg1gAAAAUBAAAPAAAAAAAAAAEA&#10;IAAAACIAAABkcnMvZG93bnJldi54bWxQSwECFAAUAAAACACHTuJALfjQIRIEAAD2IwAADgAAAAAA&#10;AAABACAAAAAlAQAAZHJzL2Uyb0RvYy54bWxQSwUGAAAAAAYABgBZAQAAqQcAAAAA&#10;">
                <o:lock v:ext="edit" rotation="t" aspectratio="f"/>
                <v:shape id="_x0000_s1026" o:spid="_x0000_s1026" o:spt="202" type="#_x0000_t202" style="position:absolute;left:0;top:1092;height:624;width:3780;" fillcolor="#FFFFFF" filled="t" stroked="t" coordsize="21600,21600" o:gfxdata="UEsDBAoAAAAAAIdO4kAAAAAAAAAAAAAAAAAEAAAAZHJzL1BLAwQUAAAACACHTuJA9q1HrbwAAADb&#10;AAAADwAAAGRycy9kb3ducmV2LnhtbEVPTWvCQBC9F/wPyxR6KXWTWoxGVw+FFnvTWPQ6ZMckNDsb&#10;d7eJ/vuuUPA2j/c5y/XFtKIn5xvLCtJxAoK4tLrhSsH3/uNlBsIHZI2tZVJwJQ/r1ehhibm2A++o&#10;L0IlYgj7HBXUIXS5lL6syaAf2444cifrDIYIXSW1wyGGm1a+JslUGmw4NtTY0XtN5U/xaxTM3jb9&#10;0X9Ntodyemrn4TnrP89OqafHNFmACHQJd/G/e6Pj/Axuv8QD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atR62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3BAF6A49">
                        <w:pPr>
                          <w:jc w:val="center"/>
                        </w:pPr>
                        <w:r>
                          <w:rPr>
                            <w:rFonts w:hint="eastAsia"/>
                          </w:rPr>
                          <w:t>辨识与分析危险、有害因素</w:t>
                        </w:r>
                      </w:p>
                    </w:txbxContent>
                  </v:textbox>
                </v:shape>
                <v:shape id="_x0000_s1026" o:spid="_x0000_s1026" o:spt="202" type="#_x0000_t202" style="position:absolute;left:0;top:0;height:624;width:3780;"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643032A2">
                        <w:pPr>
                          <w:jc w:val="center"/>
                        </w:pPr>
                        <w:r>
                          <w:rPr>
                            <w:rFonts w:hint="eastAsia"/>
                          </w:rPr>
                          <w:t>前期准备</w:t>
                        </w:r>
                      </w:p>
                    </w:txbxContent>
                  </v:textbox>
                </v:shape>
                <v:shape id="_x0000_s1026" o:spid="_x0000_s1026" o:spt="202" type="#_x0000_t202" style="position:absolute;left:0;top:2184;height:624;width:3780;" fillcolor="#FFFFFF" filled="t" stroked="t" coordsize="21600,21600" o:gfxdata="UEsDBAoAAAAAAIdO4kAAAAAAAAAAAAAAAAAEAAAAZHJzL1BLAwQUAAAACACHTuJA2GSw/74AAADb&#10;AAAADwAAAGRycy9kb3ducmV2LnhtbEWPT2sCMRTE74V+h/AKvRTNroq160YPQou91bXY62Pz9g9u&#10;XtYkXfXbNwXB4zAzv2Hy9cV0YiDnW8sK0nECgri0uuVawff+fbQA4QOyxs4yKbiSh/Xq8SHHTNsz&#10;72goQi0ihH2GCpoQ+kxKXzZk0I9tTxy9yjqDIUpXS+3wHOGmk5MkmUuDLceFBnvaNFQei1+jYDHb&#10;Dj/+c/p1KOdV9xZeXoePk1Pq+SlNliACXcI9fGtvtYJJ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GSw/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2D5D571">
                        <w:pPr>
                          <w:jc w:val="center"/>
                        </w:pPr>
                        <w:r>
                          <w:rPr>
                            <w:rFonts w:hint="eastAsia"/>
                          </w:rPr>
                          <w:t>划分评价单元</w:t>
                        </w:r>
                      </w:p>
                    </w:txbxContent>
                  </v:textbox>
                </v:shape>
                <v:shape id="_x0000_s1026" o:spid="_x0000_s1026" o:spt="202" type="#_x0000_t202" style="position:absolute;left:0;top:3276;height:624;width:3780;"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82B2DD5">
                        <w:pPr>
                          <w:jc w:val="center"/>
                        </w:pPr>
                        <w:r>
                          <w:rPr>
                            <w:rFonts w:hint="eastAsia"/>
                          </w:rPr>
                          <w:t>选择评价方法</w:t>
                        </w:r>
                      </w:p>
                    </w:txbxContent>
                  </v:textbox>
                </v:shape>
                <v:shape id="_x0000_s1026" o:spid="_x0000_s1026" o:spt="202" type="#_x0000_t202" style="position:absolute;left:0;top:4368;height:624;width:3780;" fillcolor="#FFFFFF" filled="t" stroked="t" coordsize="21600,21600" o:gfxdata="UEsDBAoAAAAAAIdO4kAAAAAAAAAAAAAAAAAEAAAAZHJzL1BLAwQUAAAACACHTuJAR/qLE70AAADb&#10;AAAADwAAAGRycy9kb3ducmV2LnhtbEWPT4vCMBTE74LfITzBi6ypf3DdrtGDoLg3V0Wvj+bZFpuX&#10;msSq334jCHscZuY3zGzxMJVoyPnSsoJBPwFBnFldcq7gsF99TEH4gKyxskwKnuRhMW+3Zphqe+df&#10;anYhFxHCPkUFRQh1KqXPCjLo+7Ymjt7ZOoMhSpdL7fAe4aaSwySZSIMlx4UCa1oWlF12N6NgOt40&#10;J/8z2h6zybn6Cr3PZn11SnU7g+QbRKBH+A+/2xutYDiC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osT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64E8B75F">
                        <w:pPr>
                          <w:jc w:val="center"/>
                        </w:pPr>
                        <w:r>
                          <w:rPr>
                            <w:rFonts w:hint="eastAsia"/>
                          </w:rPr>
                          <w:t>定性、定量评价</w:t>
                        </w:r>
                      </w:p>
                    </w:txbxContent>
                  </v:textbox>
                </v:shape>
                <v:shape id="_x0000_s1026" o:spid="_x0000_s1026" o:spt="202" type="#_x0000_t202" style="position:absolute;left:0;top:5460;height:624;width:3780;"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1B4E756">
                        <w:pPr>
                          <w:jc w:val="center"/>
                        </w:pPr>
                        <w:r>
                          <w:rPr>
                            <w:rFonts w:hint="eastAsia"/>
                          </w:rPr>
                          <w:t>提出安全对策措施建议</w:t>
                        </w:r>
                      </w:p>
                    </w:txbxContent>
                  </v:textbox>
                </v:shape>
                <v:line id="_x0000_s1026" o:spid="_x0000_s1026" o:spt="20" style="position:absolute;left:1980;top:624;height:468;width:0;" filled="f" stroked="t" coordsize="21600,21600" o:gfxdata="UEsDBAoAAAAAAIdO4kAAAAAAAAAAAAAAAAAEAAAAZHJzL1BLAwQUAAAACACHTuJAt7KVjr8AAADb&#10;AAAADwAAAGRycy9kb3ducmV2LnhtbEWPT2vCQBTE7wW/w/IEb3UTwRJS1xwKKQVtxT9IvT2yzyQ0&#10;+zbsrpp+e7dQ8DjMzG+YRTGYTlzJ+daygnSagCCurG65VnDYl88ZCB+QNXaWScEveSiWo6cF5tre&#10;eEvXXahFhLDPUUETQp9L6auGDPqp7Ymjd7bOYIjS1VI7vEW46eQsSV6kwZbjQoM9vTVU/ewuRsF2&#10;Xa6y4+oyVO70nn7tN+vPb58pNRmnySuIQEN4hP/bH1rBbA5/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eylY6/&#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1980;top:1716;height:468;width:0;" filled="f" stroked="t" coordsize="21600,21600" o:gfxdata="UEsDBAoAAAAAAIdO4kAAAAAAAAAAAAAAAAAEAAAAZHJzL1BLAwQUAAAACACHTuJAR2AL+b4AAADb&#10;AAAADwAAAGRycy9kb3ducmV2LnhtbEWPzYvCMBTE78L+D+EteNO0HqRUowfBRfBj8QPR26N5tmWb&#10;l5JE7f73mwXB4zAzv2Gm88404kHO15YVpMMEBHFhdc2lgtNxOchA+ICssbFMCn7Jw3z20Ztiru2T&#10;9/Q4hFJECPscFVQhtLmUvqjIoB/aljh6N+sMhihdKbXDZ4SbRo6SZCwN1hwXKmxpUVHxc7gbBfvN&#10;cp2d1/eucNevdHf83mwvPlOq/5kmExCBuvAOv9orrWA0hv8v8QfI2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2AL+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_x0000_s1026" o:spid="_x0000_s1026" o:spt="20" style="position:absolute;left:1980;top:2808;height:468;width:0;" filled="f" stroked="t" coordsize="21600,21600" o:gfxdata="UEsDBAoAAAAAAIdO4kAAAAAAAAAAAAAAAAAEAAAAZHJzL1BLAwQUAAAACACHTuJAKCyuYr8AAADb&#10;AAAADwAAAGRycy9kb3ducmV2LnhtbEWPT2vCQBTE7wW/w/IEb3UTDzakrjkUUgrain+Qentkn0lo&#10;9m3YXTX99m6h4HGYmd8wi2IwnbiS861lBek0AUFcWd1yreCwL58zED4ga+wsk4Jf8lAsR08LzLW9&#10;8Zauu1CLCGGfo4ImhD6X0lcNGfRT2xNH72ydwRClq6V2eItw08lZksylwZbjQoM9vTVU/ewuRsF2&#10;Xa6y4+oyVO70nn7tN+vPb58pNRmnySuIQEN4hP/bH1rB7AX+vsQfIJ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gsrmK/&#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1980;top:3900;height:468;width:0;" filled="f" stroked="t" coordsize="21600,21600" o:gfxdata="UEsDBAoAAAAAAIdO4kAAAAAAAAAAAAAAAAAEAAAAZHJzL1BLAwQUAAAACACHTuJAWbM6ELwAAADb&#10;AAAADwAAAGRycy9kb3ducmV2LnhtbEVPz2vCMBS+D/Y/hDfwNtN6kFKNHgaK0LpRFdluj+atLTYv&#10;JYm2+++Xw2DHj+/3ejuZXjzI+c6ygnSegCCure64UXA5714zED4ga+wtk4If8rDdPD+tMdd25Ioe&#10;p9CIGMI+RwVtCEMupa9bMujndiCO3Ld1BkOErpHa4RjDTS8XSbKUBjuODS0O9NZSfTvdjYKq3BXZ&#10;tbhPtfvap+/nj/L46TOlZi9psgIRaAr/4j/3QStYxLHxS/wBcv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mzOhC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_x0000_s1026" o:spid="_x0000_s1026" o:spt="20" style="position:absolute;left:1980;top:4992;height:468;width:0;" filled="f" stroked="t" coordsize="21600,21600" o:gfxdata="UEsDBAoAAAAAAIdO4kAAAAAAAAAAAAAAAAAEAAAAZHJzL1BLAwQUAAAACACHTuJANv+fi78AAADb&#10;AAAADwAAAGRycy9kb3ducmV2LnhtbEWPT2vCQBTE7wW/w/IEb3UTD5KmrjkUUgrain+Qentkn0lo&#10;9m3YXTX99l2h4HGYmd8wi2IwnbiS861lBek0AUFcWd1yreCwL58zED4ga+wsk4Jf8lAsR08LzLW9&#10;8Zauu1CLCGGfo4ImhD6X0lcNGfRT2xNH72ydwRClq6V2eItw08lZksylwZbjQoM9vTVU/ewuRsF2&#10;Xa6y4+oyVO70nn7tN+vPb58pNRmnySuIQEN4hP/bH1rB7AXuX+IPkM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b/n4u/&#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_x0000_s1026" o:spid="_x0000_s1026" o:spt="202" type="#_x0000_t202" style="position:absolute;left:0;top:6616;height:624;width:378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7E7ABE58">
                        <w:pPr>
                          <w:jc w:val="center"/>
                        </w:pPr>
                        <w:r>
                          <w:rPr>
                            <w:rFonts w:hint="eastAsia"/>
                          </w:rPr>
                          <w:t>做出评价结论</w:t>
                        </w:r>
                      </w:p>
                    </w:txbxContent>
                  </v:textbox>
                </v:shape>
                <v:shape id="_x0000_s1026" o:spid="_x0000_s1026" o:spt="202" type="#_x0000_t202" style="position:absolute;left:0;top:7708;height:624;width:3780;" fillcolor="#FFFFFF" filled="t" stroked="t" coordsize="21600,21600" o:gfxdata="UEsDBAoAAAAAAIdO4kAAAAAAAAAAAAAAAAAEAAAAZHJzL1BLAwQUAAAACACHTuJAXb0mIr4AAADb&#10;AAAADwAAAGRycy9kb3ducmV2LnhtbEWPzWsCMRTE7wX/h/AEL0Wzq8WP7UYPBcXeWit6fWzeftDN&#10;yzaJq/73TaHgcZiZ3zD55mZa0ZPzjWUF6SQBQVxY3XCl4Pi1HS9B+ICssbVMCu7kYbMePOWYaXvl&#10;T+oPoRIRwj5DBXUIXSalL2oy6Ce2I45eaZ3BEKWrpHZ4jXDTymmSzKXBhuNCjR291VR8Hy5GwfJl&#10;35/9++zjVMzLdhWeF/3uxyk1GqbJK4hAt/AI/7f3WsEshb8v8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b0mI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A8A6814">
                        <w:pPr>
                          <w:jc w:val="center"/>
                        </w:pPr>
                        <w:r>
                          <w:rPr>
                            <w:rFonts w:hint="eastAsia"/>
                          </w:rPr>
                          <w:t>编制安全预评价报告</w:t>
                        </w:r>
                      </w:p>
                    </w:txbxContent>
                  </v:textbox>
                </v:shape>
                <v:line id="_x0000_s1026" o:spid="_x0000_s1026" o:spt="20" style="position:absolute;left:1980;top:6148;height:468;width:0;" filled="f" stroked="t" coordsize="21600,21600" o:gfxdata="UEsDBAoAAAAAAIdO4kAAAAAAAAAAAAAAAAAEAAAAZHJzL1BLAwQUAAAACACHTuJAvYKbJ78AAADb&#10;AAAADwAAAGRycy9kb3ducmV2LnhtbEWPT2vCQBTE7wW/w/IEb3UThRJS1xwKKQVtxT9IvT2yzyQ0&#10;+zbsrpp+e7dQ8DjMzG+YRTGYTlzJ+daygnSagCCurG65VnDYl88ZCB+QNXaWScEveSiWo6cF5tre&#10;eEvXXahFhLDPUUETQp9L6auGDPqp7Ymjd7bOYIjS1VI7vEW46eQsSV6kwZbjQoM9vTVU/ewuRsF2&#10;Xa6y4+oyVO70nn7tN+vPb58pNRmnySuIQEN4hP/bH1rBfAZ/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2Cmye/&#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1980;top:7240;height:468;width:0;" filled="f" stroked="t" coordsize="21600,21600" o:gfxdata="UEsDBAoAAAAAAIdO4kAAAAAAAAAAAAAAAAAEAAAAZHJzL1BLAwQUAAAACACHTuJA0s4+vL4AAADb&#10;AAAADwAAAGRycy9kb3ducmV2LnhtbEWPQWvCQBSE74L/YXmCN91EoY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s4+v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w10:wrap type="none"/>
                <w10:anchorlock/>
              </v:group>
            </w:pict>
          </mc:Fallback>
        </mc:AlternateContent>
      </w:r>
    </w:p>
    <w:p w14:paraId="53205393">
      <w:pPr>
        <w:adjustRightInd w:val="0"/>
        <w:snapToGrid w:val="0"/>
        <w:jc w:val="center"/>
        <w:rPr>
          <w:rFonts w:ascii="Times New Roman" w:hAnsi="Times New Roman" w:eastAsia="宋体" w:cs="Times New Roman"/>
          <w:bCs/>
          <w:sz w:val="24"/>
          <w:szCs w:val="24"/>
          <w:lang w:val="en-GB"/>
        </w:rPr>
      </w:pPr>
      <w:r>
        <w:rPr>
          <w:rFonts w:ascii="Times New Roman" w:hAnsi="Times New Roman" w:eastAsia="宋体" w:cs="Times New Roman"/>
          <w:bCs/>
          <w:sz w:val="24"/>
          <w:szCs w:val="24"/>
          <w:lang w:val="en-GB"/>
        </w:rPr>
        <w:t xml:space="preserve">图1.5-1 </w:t>
      </w:r>
      <w:r>
        <w:rPr>
          <w:rFonts w:ascii="Times New Roman" w:hAnsi="Times New Roman" w:eastAsia="宋体" w:cs="Times New Roman"/>
          <w:bCs/>
          <w:sz w:val="24"/>
          <w:szCs w:val="24"/>
        </w:rPr>
        <w:t xml:space="preserve"> </w:t>
      </w:r>
      <w:r>
        <w:rPr>
          <w:rFonts w:ascii="Times New Roman" w:hAnsi="Times New Roman" w:eastAsia="宋体" w:cs="Times New Roman"/>
          <w:bCs/>
          <w:sz w:val="24"/>
          <w:szCs w:val="24"/>
          <w:lang w:val="en-GB"/>
        </w:rPr>
        <w:t>安全评价程序图</w:t>
      </w:r>
    </w:p>
    <w:p w14:paraId="6562643A">
      <w:pPr>
        <w:pStyle w:val="3"/>
        <w:adjustRightInd w:val="0"/>
        <w:snapToGrid w:val="0"/>
        <w:spacing w:before="312" w:beforeLines="100"/>
        <w:rPr>
          <w:rFonts w:ascii="Times New Roman" w:hAnsi="Times New Roman" w:cs="Times New Roman"/>
          <w:b/>
          <w:bCs w:val="0"/>
          <w:color w:val="000000" w:themeColor="text1"/>
          <w:lang w:val="en-GB"/>
          <w14:textFill>
            <w14:solidFill>
              <w14:schemeClr w14:val="tx1"/>
            </w14:solidFill>
          </w14:textFill>
        </w:rPr>
      </w:pPr>
      <w:bookmarkStart w:id="29" w:name="_Toc19438"/>
      <w:r>
        <w:rPr>
          <w:rFonts w:ascii="Times New Roman" w:hAnsi="Times New Roman" w:cs="Times New Roman"/>
          <w:b/>
          <w:bCs w:val="0"/>
          <w:color w:val="000000" w:themeColor="text1"/>
          <w:lang w:val="en-GB"/>
          <w14:textFill>
            <w14:solidFill>
              <w14:schemeClr w14:val="tx1"/>
            </w14:solidFill>
          </w14:textFill>
        </w:rPr>
        <w:t>1.6 评价报告声明</w:t>
      </w:r>
      <w:bookmarkEnd w:id="28"/>
      <w:bookmarkEnd w:id="29"/>
    </w:p>
    <w:p w14:paraId="4D30D5B5">
      <w:pPr>
        <w:adjustRightInd w:val="0"/>
        <w:snapToGrid w:val="0"/>
        <w:spacing w:line="360" w:lineRule="auto"/>
        <w:ind w:firstLine="560" w:firstLineChars="200"/>
        <w:rPr>
          <w:rFonts w:ascii="Times New Roman" w:hAnsi="Times New Roman" w:eastAsia="宋体" w:cs="Times New Roman"/>
          <w:color w:val="000000" w:themeColor="text1"/>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本评价报告受盐津开源矿业有限公司委托，依据《安全评价通则》规范要求，为该企业生产指导及履行安全设施“三同时”手续而编制的，专属委托方使用。自评价基准日起，除按规定上报各级应急管理部门外，我公司不会将本评价报告内容向其他任何单位和个人提供，也不会将本评价报告的全部或部分内容，在媒体上或以其他形式公开发表（安全评价技术研究成果除外）。</w:t>
      </w:r>
      <w:r>
        <w:rPr>
          <w:rFonts w:ascii="Times New Roman" w:hAnsi="Times New Roman" w:eastAsia="宋体" w:cs="Times New Roman"/>
          <w:color w:val="000000" w:themeColor="text1"/>
          <w:lang w:val="en-GB"/>
          <w14:textFill>
            <w14:solidFill>
              <w14:schemeClr w14:val="tx1"/>
            </w14:solidFill>
          </w14:textFill>
        </w:rPr>
        <w:br w:type="page"/>
      </w:r>
    </w:p>
    <w:p w14:paraId="00F47A59">
      <w:pPr>
        <w:pStyle w:val="2"/>
        <w:adjustRightInd w:val="0"/>
        <w:snapToGrid w:val="0"/>
        <w:spacing w:beforeLines="0" w:afterLines="0"/>
        <w:rPr>
          <w:rFonts w:ascii="Times New Roman" w:hAnsi="Times New Roman" w:cs="Times New Roman"/>
          <w:b/>
          <w:bCs w:val="0"/>
          <w:color w:val="000000" w:themeColor="text1"/>
          <w:lang w:val="en-GB"/>
          <w14:textFill>
            <w14:solidFill>
              <w14:schemeClr w14:val="tx1"/>
            </w14:solidFill>
          </w14:textFill>
        </w:rPr>
      </w:pPr>
      <w:bookmarkStart w:id="30" w:name="_Toc31452"/>
      <w:bookmarkStart w:id="31" w:name="_Toc16636"/>
      <w:r>
        <w:rPr>
          <w:rFonts w:ascii="Times New Roman" w:hAnsi="Times New Roman" w:cs="Times New Roman"/>
          <w:b/>
          <w:bCs w:val="0"/>
          <w:color w:val="000000" w:themeColor="text1"/>
          <w:lang w:val="en-GB"/>
          <w14:textFill>
            <w14:solidFill>
              <w14:schemeClr w14:val="tx1"/>
            </w14:solidFill>
          </w14:textFill>
        </w:rPr>
        <w:t>2.建设项目概述</w:t>
      </w:r>
      <w:bookmarkEnd w:id="30"/>
      <w:bookmarkEnd w:id="31"/>
    </w:p>
    <w:p w14:paraId="18102021">
      <w:pPr>
        <w:pStyle w:val="3"/>
        <w:adjustRightInd w:val="0"/>
        <w:snapToGrid w:val="0"/>
        <w:rPr>
          <w:rFonts w:ascii="Times New Roman" w:hAnsi="Times New Roman" w:cs="Times New Roman"/>
          <w:b/>
          <w:bCs w:val="0"/>
          <w:color w:val="000000" w:themeColor="text1"/>
          <w:lang w:val="en-GB"/>
          <w14:textFill>
            <w14:solidFill>
              <w14:schemeClr w14:val="tx1"/>
            </w14:solidFill>
          </w14:textFill>
        </w:rPr>
      </w:pPr>
      <w:bookmarkStart w:id="32" w:name="_Toc2781"/>
      <w:bookmarkStart w:id="33" w:name="_Toc7037"/>
      <w:r>
        <w:rPr>
          <w:rFonts w:ascii="Times New Roman" w:hAnsi="Times New Roman" w:cs="Times New Roman"/>
          <w:b/>
          <w:bCs w:val="0"/>
          <w:color w:val="000000" w:themeColor="text1"/>
          <w:lang w:val="en-GB"/>
          <w14:textFill>
            <w14:solidFill>
              <w14:schemeClr w14:val="tx1"/>
            </w14:solidFill>
          </w14:textFill>
        </w:rPr>
        <w:t>2.1 建设单位概况</w:t>
      </w:r>
      <w:bookmarkEnd w:id="32"/>
      <w:bookmarkEnd w:id="33"/>
    </w:p>
    <w:p w14:paraId="365EE392">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2.1.1 建设单位简介</w:t>
      </w:r>
    </w:p>
    <w:p w14:paraId="54E73F0D">
      <w:pPr>
        <w:adjustRightInd w:val="0"/>
        <w:snapToGrid w:val="0"/>
        <w:spacing w:line="360" w:lineRule="auto"/>
        <w:ind w:firstLine="560" w:firstLineChars="200"/>
        <w:rPr>
          <w:rFonts w:ascii="Times New Roman" w:hAnsi="Times New Roman" w:eastAsia="宋体" w:cs="Times New Roman"/>
          <w:sz w:val="28"/>
          <w:szCs w:val="28"/>
        </w:rPr>
      </w:pPr>
      <w:bookmarkStart w:id="34" w:name="_Hlk18094819"/>
      <w:r>
        <w:rPr>
          <w:rFonts w:ascii="Times New Roman" w:hAnsi="Times New Roman" w:eastAsia="宋体" w:cs="Times New Roman"/>
          <w:sz w:val="28"/>
          <w:szCs w:val="28"/>
        </w:rPr>
        <w:t>盐津开源矿业有限公司成立于2022年4月21日，营业执照证号：91530623MA7M11Q46D，住所位于云南省昭通市盐津县盐井镇桃子村玄麻窝，法定代表人为徐帆，注册资金990万元，公司类型为有限责任公司（自然人投资或控股），经营范围包括矿产资源（非煤矿山）开采、道路货物运输（不含危险货物）、非金属矿及制品销售、建筑材料销售。</w:t>
      </w:r>
    </w:p>
    <w:p w14:paraId="5235AF11">
      <w:pPr>
        <w:pStyle w:val="39"/>
        <w:snapToGrid w:val="0"/>
        <w:spacing w:line="360" w:lineRule="auto"/>
        <w:ind w:firstLine="560" w:firstLineChars="200"/>
        <w:rPr>
          <w:rFonts w:hint="default" w:ascii="Times New Roman" w:cs="Times New Roman"/>
          <w:sz w:val="28"/>
          <w:szCs w:val="28"/>
        </w:rPr>
      </w:pPr>
      <w:r>
        <w:rPr>
          <w:rFonts w:hint="default" w:ascii="Times New Roman" w:cs="Times New Roman"/>
          <w:sz w:val="28"/>
          <w:szCs w:val="28"/>
        </w:rPr>
        <w:t>盐津县桃子坝采石场为新建采石场，采矿权人：盐津开源矿业有限公司，证号：C5306232023067150155188，开采矿种：建筑石料用灰矿，开采方式：露天开采，生产规模：90万t/a，矿区面积：0.1816km2，开采标高940m</w:t>
      </w:r>
      <w:r>
        <w:rPr>
          <w:rFonts w:ascii="Times New Roman" w:cs="Times New Roman"/>
          <w:sz w:val="28"/>
          <w:szCs w:val="28"/>
        </w:rPr>
        <w:t>～</w:t>
      </w:r>
      <w:r>
        <w:rPr>
          <w:rFonts w:hint="default" w:ascii="Times New Roman" w:cs="Times New Roman"/>
          <w:sz w:val="28"/>
          <w:szCs w:val="28"/>
        </w:rPr>
        <w:t>752m，有效期自2023年6月8日至2033年3月25日。</w:t>
      </w:r>
    </w:p>
    <w:p w14:paraId="241965EE">
      <w:pPr>
        <w:pStyle w:val="39"/>
        <w:snapToGrid w:val="0"/>
        <w:spacing w:line="360" w:lineRule="auto"/>
        <w:ind w:firstLine="560" w:firstLineChars="200"/>
        <w:rPr>
          <w:rFonts w:hint="default" w:ascii="Times New Roman" w:cs="Times New Roman"/>
          <w:sz w:val="28"/>
          <w:szCs w:val="28"/>
        </w:rPr>
      </w:pPr>
      <w:r>
        <w:rPr>
          <w:rFonts w:hint="default" w:ascii="Times New Roman" w:cs="Times New Roman"/>
          <w:sz w:val="28"/>
          <w:szCs w:val="28"/>
        </w:rPr>
        <w:t>盐津开源矿业有限公司于2023年07月委托云南德成规划设计有限公司编制了《盐津县桃子坝采石场90万t／a露天采矿工程初步设计（代可研）》。该矿山为新建矿山，林地使用手续由于林地指标有限，分为两期办理；一期办理矿区西侧及南侧123.6亩林地手续，二期办理矿区西侧及北侧116.2亩林地手续。因此《盐盐津县桃子坝采石场90万t/a露天采矿工程初步设计（代可研）》设计范围为矿区范围内一期林地范围，矿区北侧尚未办理林地手续的范围待取得林地使用手续后再重新进行设计，设计范围面积为58990.33m</w:t>
      </w:r>
      <w:r>
        <w:rPr>
          <w:rFonts w:hint="default" w:ascii="Times New Roman" w:cs="Times New Roman"/>
          <w:sz w:val="28"/>
          <w:szCs w:val="28"/>
          <w:vertAlign w:val="superscript"/>
        </w:rPr>
        <w:t>2</w:t>
      </w:r>
      <w:r>
        <w:rPr>
          <w:rFonts w:hint="default" w:ascii="Times New Roman" w:cs="Times New Roman"/>
          <w:sz w:val="28"/>
          <w:szCs w:val="28"/>
        </w:rPr>
        <w:t>，设计标高为752m</w:t>
      </w:r>
      <w:r>
        <w:rPr>
          <w:rFonts w:ascii="Times New Roman" w:cs="Times New Roman"/>
          <w:sz w:val="28"/>
          <w:szCs w:val="28"/>
        </w:rPr>
        <w:t>～</w:t>
      </w:r>
      <w:r>
        <w:rPr>
          <w:rFonts w:hint="default" w:ascii="Times New Roman" w:cs="Times New Roman"/>
          <w:sz w:val="28"/>
          <w:szCs w:val="28"/>
        </w:rPr>
        <w:t>852m。</w:t>
      </w:r>
      <w:r>
        <w:rPr>
          <w:rFonts w:hint="default" w:ascii="Times New Roman" w:cs="Times New Roman"/>
          <w:snapToGrid w:val="0"/>
          <w:kern w:val="0"/>
          <w:sz w:val="28"/>
          <w:szCs w:val="28"/>
        </w:rPr>
        <w:t>矿山设计</w:t>
      </w:r>
      <w:r>
        <w:rPr>
          <w:rFonts w:hint="default" w:ascii="Times New Roman" w:cs="Times New Roman"/>
          <w:sz w:val="28"/>
          <w:szCs w:val="28"/>
        </w:rPr>
        <w:t>采用露天开采，采用自上而下分台阶式开采，根据露天采场的布置情况，露天采场总体上采用由北向南的开采顺序</w:t>
      </w:r>
      <w:r>
        <w:rPr>
          <w:rFonts w:hint="default" w:ascii="Times New Roman" w:cs="Times New Roman"/>
          <w:kern w:val="0"/>
          <w:sz w:val="28"/>
          <w:szCs w:val="28"/>
        </w:rPr>
        <w:t>，</w:t>
      </w:r>
      <w:r>
        <w:rPr>
          <w:rFonts w:hint="default" w:ascii="Times New Roman" w:cs="Times New Roman"/>
          <w:sz w:val="28"/>
          <w:szCs w:val="28"/>
        </w:rPr>
        <w:t>矿山开采矿石为石灰岩矿。</w:t>
      </w:r>
    </w:p>
    <w:p w14:paraId="68DDC6D0">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根据</w:t>
      </w:r>
      <w:r>
        <w:rPr>
          <w:rFonts w:ascii="Times New Roman" w:hAnsi="Times New Roman" w:eastAsia="宋体" w:cs="Times New Roman"/>
          <w:sz w:val="28"/>
          <w:szCs w:val="28"/>
          <w:lang w:val="en-GB"/>
        </w:rPr>
        <w:t>《建设项目安全设施“三同时”监督管理办法》（安监总局令[2010]36号，安监总局令[2015]77号修订）的相关规定，</w:t>
      </w:r>
      <w:r>
        <w:rPr>
          <w:rFonts w:ascii="Times New Roman" w:hAnsi="Times New Roman" w:eastAsia="宋体" w:cs="Times New Roman"/>
          <w:color w:val="000000" w:themeColor="text1"/>
          <w:sz w:val="28"/>
          <w:szCs w:val="28"/>
          <w:lang w:val="en-GB"/>
          <w14:textFill>
            <w14:solidFill>
              <w14:schemeClr w14:val="tx1"/>
            </w14:solidFill>
          </w14:textFill>
        </w:rPr>
        <w:t>该项目属于</w:t>
      </w:r>
      <w:r>
        <w:rPr>
          <w:rFonts w:ascii="Times New Roman" w:hAnsi="Times New Roman" w:eastAsia="宋体" w:cs="Times New Roman"/>
          <w:color w:val="000000" w:themeColor="text1"/>
          <w:sz w:val="28"/>
          <w:szCs w:val="28"/>
          <w14:textFill>
            <w14:solidFill>
              <w14:schemeClr w14:val="tx1"/>
            </w14:solidFill>
          </w14:textFill>
        </w:rPr>
        <w:t>新建</w:t>
      </w:r>
      <w:r>
        <w:rPr>
          <w:rFonts w:ascii="Times New Roman" w:hAnsi="Times New Roman" w:eastAsia="宋体" w:cs="Times New Roman"/>
          <w:color w:val="000000" w:themeColor="text1"/>
          <w:sz w:val="28"/>
          <w:szCs w:val="28"/>
          <w:lang w:val="en-GB"/>
          <w14:textFill>
            <w14:solidFill>
              <w14:schemeClr w14:val="tx1"/>
            </w14:solidFill>
          </w14:textFill>
        </w:rPr>
        <w:t>项目，</w:t>
      </w:r>
      <w:r>
        <w:rPr>
          <w:rFonts w:ascii="Times New Roman" w:hAnsi="Times New Roman" w:eastAsia="宋体" w:cs="Times New Roman"/>
          <w:snapToGrid w:val="0"/>
          <w:color w:val="000000" w:themeColor="text1"/>
          <w:kern w:val="0"/>
          <w:sz w:val="28"/>
          <w:szCs w:val="28"/>
          <w14:textFill>
            <w14:solidFill>
              <w14:schemeClr w14:val="tx1"/>
            </w14:solidFill>
          </w14:textFill>
        </w:rPr>
        <w:t>盐津开源矿业有限公司依法</w:t>
      </w:r>
      <w:r>
        <w:rPr>
          <w:rFonts w:ascii="Times New Roman" w:hAnsi="Times New Roman" w:eastAsia="宋体" w:cs="Times New Roman"/>
          <w:color w:val="000000" w:themeColor="text1"/>
          <w:sz w:val="28"/>
          <w:szCs w:val="28"/>
          <w14:textFill>
            <w14:solidFill>
              <w14:schemeClr w14:val="tx1"/>
            </w14:solidFill>
          </w14:textFill>
        </w:rPr>
        <w:t>开展</w:t>
      </w:r>
      <w:r>
        <w:rPr>
          <w:rFonts w:ascii="Times New Roman" w:hAnsi="Times New Roman" w:eastAsia="宋体" w:cs="Times New Roman"/>
          <w:color w:val="000000" w:themeColor="text1"/>
          <w:sz w:val="28"/>
          <w:szCs w:val="28"/>
          <w:lang w:val="en-GB"/>
          <w14:textFill>
            <w14:solidFill>
              <w14:schemeClr w14:val="tx1"/>
            </w14:solidFill>
          </w14:textFill>
        </w:rPr>
        <w:t>建设项目安全设施的“三同时”</w:t>
      </w:r>
      <w:r>
        <w:rPr>
          <w:rFonts w:ascii="Times New Roman" w:hAnsi="Times New Roman" w:eastAsia="宋体" w:cs="Times New Roman"/>
          <w:color w:val="000000" w:themeColor="text1"/>
          <w:sz w:val="28"/>
          <w:szCs w:val="28"/>
          <w14:textFill>
            <w14:solidFill>
              <w14:schemeClr w14:val="tx1"/>
            </w14:solidFill>
          </w14:textFill>
        </w:rPr>
        <w:t>手续</w:t>
      </w:r>
      <w:r>
        <w:rPr>
          <w:rFonts w:ascii="Times New Roman" w:hAnsi="Times New Roman" w:eastAsia="宋体" w:cs="Times New Roman"/>
          <w:color w:val="000000" w:themeColor="text1"/>
          <w:sz w:val="28"/>
          <w:szCs w:val="28"/>
          <w:lang w:val="en-GB"/>
          <w14:textFill>
            <w14:solidFill>
              <w14:schemeClr w14:val="tx1"/>
            </w14:solidFill>
          </w14:textFill>
        </w:rPr>
        <w:t>，委托我公司依据《安全评价通则》规范要求，为该企业生产指导及履行安全设施“三同时”手续而编制《盐津县桃子坝采石场90万t／a露天采矿工程安全预评价报告》，专属委托方使用。</w:t>
      </w:r>
      <w:bookmarkEnd w:id="34"/>
    </w:p>
    <w:p w14:paraId="2FCA97B2">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企业已取得的主要证照信息如下：</w:t>
      </w:r>
    </w:p>
    <w:p w14:paraId="03308ECE">
      <w:pPr>
        <w:adjustRightInd w:val="0"/>
        <w:snapToGrid w:val="0"/>
        <w:spacing w:line="360" w:lineRule="auto"/>
        <w:ind w:firstLine="562" w:firstLineChars="200"/>
        <w:rPr>
          <w:rFonts w:ascii="Times New Roman" w:hAnsi="Times New Roman" w:eastAsia="宋体" w:cs="Times New Roman"/>
          <w:b/>
          <w:color w:val="000000" w:themeColor="text1"/>
          <w:sz w:val="28"/>
          <w:szCs w:val="28"/>
          <w:lang w:val="en-GB"/>
          <w14:textFill>
            <w14:solidFill>
              <w14:schemeClr w14:val="tx1"/>
            </w14:solidFill>
          </w14:textFill>
        </w:rPr>
      </w:pPr>
      <w:r>
        <w:rPr>
          <w:rFonts w:ascii="Times New Roman" w:hAnsi="Times New Roman" w:eastAsia="宋体" w:cs="Times New Roman"/>
          <w:b/>
          <w:color w:val="000000" w:themeColor="text1"/>
          <w:sz w:val="28"/>
          <w:szCs w:val="28"/>
          <w:lang w:val="en-GB"/>
          <w14:textFill>
            <w14:solidFill>
              <w14:schemeClr w14:val="tx1"/>
            </w14:solidFill>
          </w14:textFill>
        </w:rPr>
        <w:t>（1）营业执照：</w:t>
      </w:r>
    </w:p>
    <w:p w14:paraId="2C5E4DFD">
      <w:pPr>
        <w:adjustRightInd w:val="0"/>
        <w:snapToGrid w:val="0"/>
        <w:spacing w:line="360" w:lineRule="auto"/>
        <w:ind w:firstLine="560" w:firstLineChars="200"/>
        <w:rPr>
          <w:rFonts w:ascii="Times New Roman" w:hAnsi="Times New Roman" w:eastAsia="宋体" w:cs="Times New Roman"/>
          <w:snapToGrid w:val="0"/>
          <w:kern w:val="0"/>
          <w:sz w:val="28"/>
          <w:szCs w:val="28"/>
        </w:rPr>
      </w:pPr>
      <w:r>
        <w:rPr>
          <w:rFonts w:ascii="Times New Roman" w:hAnsi="Times New Roman" w:eastAsia="宋体" w:cs="Times New Roman"/>
          <w:snapToGrid w:val="0"/>
          <w:kern w:val="0"/>
          <w:sz w:val="28"/>
          <w:szCs w:val="28"/>
        </w:rPr>
        <w:t>统一社会信用代码：91530623MA7M11Q46D</w:t>
      </w:r>
    </w:p>
    <w:p w14:paraId="49CA0FF1">
      <w:pPr>
        <w:adjustRightInd w:val="0"/>
        <w:snapToGrid w:val="0"/>
        <w:spacing w:line="360" w:lineRule="auto"/>
        <w:ind w:firstLine="560" w:firstLineChars="200"/>
        <w:rPr>
          <w:rFonts w:ascii="Times New Roman" w:hAnsi="Times New Roman" w:eastAsia="宋体" w:cs="Times New Roman"/>
          <w:snapToGrid w:val="0"/>
          <w:kern w:val="0"/>
          <w:sz w:val="28"/>
          <w:szCs w:val="28"/>
        </w:rPr>
      </w:pPr>
      <w:r>
        <w:rPr>
          <w:rFonts w:ascii="Times New Roman" w:hAnsi="Times New Roman" w:eastAsia="宋体" w:cs="Times New Roman"/>
          <w:snapToGrid w:val="0"/>
          <w:kern w:val="0"/>
          <w:sz w:val="28"/>
          <w:szCs w:val="28"/>
        </w:rPr>
        <w:t>名  称：</w:t>
      </w:r>
      <w:r>
        <w:rPr>
          <w:rFonts w:ascii="Times New Roman" w:hAnsi="Times New Roman" w:eastAsia="宋体" w:cs="Times New Roman"/>
          <w:bCs/>
          <w:sz w:val="28"/>
          <w:szCs w:val="28"/>
        </w:rPr>
        <w:t>盐津开源矿业有限公司</w:t>
      </w:r>
    </w:p>
    <w:p w14:paraId="32573ECA">
      <w:pPr>
        <w:adjustRightInd w:val="0"/>
        <w:snapToGrid w:val="0"/>
        <w:spacing w:line="360" w:lineRule="auto"/>
        <w:ind w:firstLine="560" w:firstLineChars="200"/>
        <w:rPr>
          <w:rFonts w:ascii="Times New Roman" w:hAnsi="Times New Roman" w:eastAsia="宋体" w:cs="Times New Roman"/>
          <w:snapToGrid w:val="0"/>
          <w:kern w:val="0"/>
          <w:sz w:val="28"/>
          <w:szCs w:val="28"/>
        </w:rPr>
      </w:pPr>
      <w:r>
        <w:rPr>
          <w:rFonts w:ascii="Times New Roman" w:hAnsi="Times New Roman" w:eastAsia="宋体" w:cs="Times New Roman"/>
          <w:snapToGrid w:val="0"/>
          <w:kern w:val="0"/>
          <w:sz w:val="28"/>
          <w:szCs w:val="28"/>
        </w:rPr>
        <w:t>类  型：有限责任公司分公司（自然人投资或控股）</w:t>
      </w:r>
    </w:p>
    <w:p w14:paraId="59CA4092">
      <w:pPr>
        <w:adjustRightInd w:val="0"/>
        <w:snapToGrid w:val="0"/>
        <w:spacing w:line="360" w:lineRule="auto"/>
        <w:ind w:firstLine="560" w:firstLineChars="200"/>
        <w:rPr>
          <w:rFonts w:ascii="Times New Roman" w:hAnsi="Times New Roman" w:eastAsia="宋体" w:cs="Times New Roman"/>
          <w:snapToGrid w:val="0"/>
          <w:kern w:val="0"/>
          <w:sz w:val="28"/>
          <w:szCs w:val="28"/>
        </w:rPr>
      </w:pPr>
      <w:r>
        <w:rPr>
          <w:rFonts w:ascii="Times New Roman" w:hAnsi="Times New Roman" w:eastAsia="宋体" w:cs="Times New Roman"/>
          <w:snapToGrid w:val="0"/>
          <w:kern w:val="0"/>
          <w:sz w:val="28"/>
          <w:szCs w:val="28"/>
        </w:rPr>
        <w:t>负责人：徐帆</w:t>
      </w:r>
    </w:p>
    <w:p w14:paraId="2707450E">
      <w:pPr>
        <w:adjustRightInd w:val="0"/>
        <w:snapToGrid w:val="0"/>
        <w:spacing w:line="360" w:lineRule="auto"/>
        <w:ind w:firstLine="560" w:firstLineChars="200"/>
        <w:rPr>
          <w:rFonts w:ascii="Times New Roman" w:hAnsi="Times New Roman" w:eastAsia="宋体" w:cs="Times New Roman"/>
          <w:snapToGrid w:val="0"/>
          <w:kern w:val="0"/>
          <w:sz w:val="28"/>
          <w:szCs w:val="28"/>
        </w:rPr>
      </w:pPr>
      <w:r>
        <w:rPr>
          <w:rFonts w:ascii="Times New Roman" w:hAnsi="Times New Roman" w:eastAsia="宋体" w:cs="Times New Roman"/>
          <w:snapToGrid w:val="0"/>
          <w:kern w:val="0"/>
          <w:sz w:val="28"/>
          <w:szCs w:val="28"/>
        </w:rPr>
        <w:t>成立日期：2022年04月21日</w:t>
      </w:r>
    </w:p>
    <w:p w14:paraId="20738E47">
      <w:pPr>
        <w:adjustRightInd w:val="0"/>
        <w:snapToGrid w:val="0"/>
        <w:spacing w:line="360" w:lineRule="auto"/>
        <w:ind w:firstLine="560" w:firstLineChars="200"/>
        <w:rPr>
          <w:rFonts w:ascii="Times New Roman" w:hAnsi="Times New Roman" w:eastAsia="宋体" w:cs="Times New Roman"/>
          <w:snapToGrid w:val="0"/>
          <w:kern w:val="0"/>
          <w:sz w:val="28"/>
          <w:szCs w:val="28"/>
        </w:rPr>
      </w:pPr>
      <w:r>
        <w:rPr>
          <w:rFonts w:ascii="Times New Roman" w:hAnsi="Times New Roman" w:eastAsia="宋体" w:cs="Times New Roman"/>
          <w:snapToGrid w:val="0"/>
          <w:kern w:val="0"/>
          <w:sz w:val="28"/>
          <w:szCs w:val="28"/>
        </w:rPr>
        <w:t>住  所：云南省昭通市盐津县盐井镇桃子村玄麻窝</w:t>
      </w:r>
    </w:p>
    <w:p w14:paraId="06627146">
      <w:pPr>
        <w:adjustRightInd w:val="0"/>
        <w:snapToGrid w:val="0"/>
        <w:spacing w:line="360" w:lineRule="auto"/>
        <w:ind w:firstLine="560" w:firstLineChars="200"/>
        <w:rPr>
          <w:rFonts w:ascii="Times New Roman" w:hAnsi="Times New Roman" w:eastAsia="宋体" w:cs="Times New Roman"/>
          <w:snapToGrid w:val="0"/>
          <w:kern w:val="0"/>
          <w:sz w:val="28"/>
          <w:szCs w:val="28"/>
        </w:rPr>
      </w:pPr>
      <w:r>
        <w:rPr>
          <w:rFonts w:ascii="Times New Roman" w:hAnsi="Times New Roman" w:eastAsia="宋体" w:cs="Times New Roman"/>
          <w:snapToGrid w:val="0"/>
          <w:kern w:val="0"/>
          <w:sz w:val="28"/>
          <w:szCs w:val="28"/>
        </w:rPr>
        <w:t>经营范围：许可项目，矿产资源（非煤矿山）开采，道路货物运输（不含危险货物）（依法须经批准的项目，经相关部门批准后方可开</w:t>
      </w:r>
      <w:r>
        <w:rPr>
          <w:rFonts w:hint="eastAsia" w:ascii="Times New Roman" w:hAnsi="Times New Roman" w:eastAsia="宋体" w:cs="Times New Roman"/>
          <w:snapToGrid w:val="0"/>
          <w:kern w:val="0"/>
          <w:sz w:val="28"/>
          <w:szCs w:val="28"/>
        </w:rPr>
        <w:t>展</w:t>
      </w:r>
      <w:r>
        <w:rPr>
          <w:rFonts w:ascii="Times New Roman" w:hAnsi="Times New Roman" w:eastAsia="宋体" w:cs="Times New Roman"/>
          <w:snapToGrid w:val="0"/>
          <w:kern w:val="0"/>
          <w:sz w:val="28"/>
          <w:szCs w:val="28"/>
        </w:rPr>
        <w:t>经营活动，具体</w:t>
      </w:r>
      <w:r>
        <w:rPr>
          <w:rFonts w:hint="eastAsia" w:ascii="Times New Roman" w:hAnsi="Times New Roman" w:eastAsia="宋体" w:cs="Times New Roman"/>
          <w:snapToGrid w:val="0"/>
          <w:kern w:val="0"/>
          <w:sz w:val="28"/>
          <w:szCs w:val="28"/>
        </w:rPr>
        <w:t>经营项目</w:t>
      </w:r>
      <w:r>
        <w:rPr>
          <w:rFonts w:ascii="Times New Roman" w:hAnsi="Times New Roman" w:eastAsia="宋体" w:cs="Times New Roman"/>
          <w:snapToGrid w:val="0"/>
          <w:kern w:val="0"/>
          <w:sz w:val="28"/>
          <w:szCs w:val="28"/>
        </w:rPr>
        <w:t>以审批结果为准）一般项目：</w:t>
      </w:r>
      <w:r>
        <w:rPr>
          <w:rFonts w:hint="eastAsia" w:ascii="Times New Roman" w:hAnsi="Times New Roman" w:eastAsia="宋体" w:cs="Times New Roman"/>
          <w:snapToGrid w:val="0"/>
          <w:kern w:val="0"/>
          <w:sz w:val="28"/>
          <w:szCs w:val="28"/>
        </w:rPr>
        <w:t>非金属矿</w:t>
      </w:r>
      <w:r>
        <w:rPr>
          <w:rFonts w:ascii="Times New Roman" w:hAnsi="Times New Roman" w:eastAsia="宋体" w:cs="Times New Roman"/>
          <w:snapToGrid w:val="0"/>
          <w:kern w:val="0"/>
          <w:sz w:val="28"/>
          <w:szCs w:val="28"/>
        </w:rPr>
        <w:t>及制品销售，建筑材料销售（除依法乘经批准的项目外，凭营业执照依法自主开展经营活动）。</w:t>
      </w:r>
    </w:p>
    <w:p w14:paraId="4EB56CCE">
      <w:pPr>
        <w:adjustRightInd w:val="0"/>
        <w:snapToGrid w:val="0"/>
        <w:spacing w:line="360" w:lineRule="auto"/>
        <w:ind w:firstLine="560" w:firstLineChars="200"/>
        <w:rPr>
          <w:rFonts w:ascii="Times New Roman" w:hAnsi="Times New Roman" w:eastAsia="宋体" w:cs="Times New Roman"/>
          <w:snapToGrid w:val="0"/>
          <w:kern w:val="0"/>
          <w:sz w:val="28"/>
          <w:szCs w:val="28"/>
        </w:rPr>
      </w:pPr>
      <w:r>
        <w:rPr>
          <w:rFonts w:ascii="Times New Roman" w:hAnsi="Times New Roman" w:eastAsia="宋体" w:cs="Times New Roman"/>
          <w:snapToGrid w:val="0"/>
          <w:kern w:val="0"/>
          <w:sz w:val="28"/>
          <w:szCs w:val="28"/>
        </w:rPr>
        <w:t>登记日期：2022年04月21日</w:t>
      </w:r>
    </w:p>
    <w:p w14:paraId="7179B042">
      <w:pPr>
        <w:adjustRightInd w:val="0"/>
        <w:snapToGrid w:val="0"/>
        <w:spacing w:line="360" w:lineRule="auto"/>
        <w:ind w:firstLine="560" w:firstLineChars="200"/>
        <w:rPr>
          <w:rFonts w:ascii="Times New Roman" w:hAnsi="Times New Roman" w:eastAsia="宋体" w:cs="Times New Roman"/>
          <w:snapToGrid w:val="0"/>
          <w:kern w:val="0"/>
          <w:sz w:val="28"/>
          <w:szCs w:val="28"/>
        </w:rPr>
      </w:pPr>
      <w:r>
        <w:rPr>
          <w:rFonts w:ascii="Times New Roman" w:hAnsi="Times New Roman" w:eastAsia="宋体" w:cs="Times New Roman"/>
          <w:snapToGrid w:val="0"/>
          <w:kern w:val="0"/>
          <w:sz w:val="28"/>
          <w:szCs w:val="28"/>
        </w:rPr>
        <w:t>登记机关：盐津县市场监督管理局</w:t>
      </w:r>
    </w:p>
    <w:p w14:paraId="4B56B87F">
      <w:pPr>
        <w:adjustRightInd w:val="0"/>
        <w:snapToGrid w:val="0"/>
        <w:spacing w:line="360" w:lineRule="auto"/>
        <w:ind w:firstLine="562" w:firstLineChars="200"/>
        <w:rPr>
          <w:rFonts w:ascii="Times New Roman" w:hAnsi="Times New Roman" w:eastAsia="宋体" w:cs="Times New Roman"/>
          <w:b/>
          <w:color w:val="000000" w:themeColor="text1"/>
          <w:sz w:val="28"/>
          <w:szCs w:val="28"/>
          <w:lang w:val="en-GB"/>
          <w14:textFill>
            <w14:solidFill>
              <w14:schemeClr w14:val="tx1"/>
            </w14:solidFill>
          </w14:textFill>
        </w:rPr>
      </w:pPr>
      <w:r>
        <w:rPr>
          <w:rFonts w:ascii="Times New Roman" w:hAnsi="Times New Roman" w:eastAsia="宋体" w:cs="Times New Roman"/>
          <w:b/>
          <w:color w:val="000000" w:themeColor="text1"/>
          <w:sz w:val="28"/>
          <w:szCs w:val="28"/>
          <w:lang w:val="en-GB"/>
          <w14:textFill>
            <w14:solidFill>
              <w14:schemeClr w14:val="tx1"/>
            </w14:solidFill>
          </w14:textFill>
        </w:rPr>
        <w:t>（2）采矿许可证：</w:t>
      </w:r>
    </w:p>
    <w:p w14:paraId="4D3D9272">
      <w:pPr>
        <w:adjustRightInd w:val="0"/>
        <w:snapToGrid w:val="0"/>
        <w:spacing w:line="360" w:lineRule="auto"/>
        <w:ind w:firstLine="560" w:firstLineChars="200"/>
        <w:rPr>
          <w:rFonts w:ascii="Times New Roman" w:hAnsi="Times New Roman" w:eastAsia="宋体" w:cs="Times New Roman"/>
          <w:snapToGrid w:val="0"/>
          <w:kern w:val="0"/>
          <w:sz w:val="28"/>
          <w:szCs w:val="28"/>
        </w:rPr>
      </w:pPr>
      <w:r>
        <w:rPr>
          <w:rFonts w:ascii="Times New Roman" w:hAnsi="Times New Roman" w:eastAsia="宋体" w:cs="Times New Roman"/>
          <w:snapToGrid w:val="0"/>
          <w:kern w:val="0"/>
          <w:sz w:val="28"/>
          <w:szCs w:val="28"/>
        </w:rPr>
        <w:t>证号：C5306232023067150155188</w:t>
      </w:r>
    </w:p>
    <w:p w14:paraId="6201A073">
      <w:pPr>
        <w:adjustRightInd w:val="0"/>
        <w:snapToGrid w:val="0"/>
        <w:spacing w:line="360" w:lineRule="auto"/>
        <w:ind w:firstLine="560" w:firstLineChars="200"/>
        <w:rPr>
          <w:rFonts w:ascii="Times New Roman" w:hAnsi="Times New Roman" w:eastAsia="宋体" w:cs="Times New Roman"/>
          <w:snapToGrid w:val="0"/>
          <w:kern w:val="0"/>
          <w:sz w:val="28"/>
          <w:szCs w:val="28"/>
        </w:rPr>
      </w:pPr>
      <w:r>
        <w:rPr>
          <w:rFonts w:ascii="Times New Roman" w:hAnsi="Times New Roman" w:eastAsia="宋体" w:cs="Times New Roman"/>
          <w:snapToGrid w:val="0"/>
          <w:kern w:val="0"/>
          <w:sz w:val="28"/>
          <w:szCs w:val="28"/>
        </w:rPr>
        <w:t>采矿权人：盐津开源矿业有限公司</w:t>
      </w:r>
    </w:p>
    <w:p w14:paraId="43DB248C">
      <w:pPr>
        <w:adjustRightInd w:val="0"/>
        <w:snapToGrid w:val="0"/>
        <w:spacing w:line="360" w:lineRule="auto"/>
        <w:ind w:firstLine="560" w:firstLineChars="200"/>
        <w:rPr>
          <w:rFonts w:ascii="Times New Roman" w:hAnsi="Times New Roman" w:eastAsia="宋体" w:cs="Times New Roman"/>
          <w:snapToGrid w:val="0"/>
          <w:kern w:val="0"/>
          <w:sz w:val="28"/>
          <w:szCs w:val="28"/>
        </w:rPr>
      </w:pPr>
      <w:r>
        <w:rPr>
          <w:rFonts w:ascii="Times New Roman" w:hAnsi="Times New Roman" w:eastAsia="宋体" w:cs="Times New Roman"/>
          <w:snapToGrid w:val="0"/>
          <w:kern w:val="0"/>
          <w:sz w:val="28"/>
          <w:szCs w:val="28"/>
        </w:rPr>
        <w:t>地    址：盐津县盐井镇桃子村玄麻窝</w:t>
      </w:r>
    </w:p>
    <w:p w14:paraId="25814A26">
      <w:pPr>
        <w:adjustRightInd w:val="0"/>
        <w:snapToGrid w:val="0"/>
        <w:spacing w:line="360" w:lineRule="auto"/>
        <w:ind w:firstLine="560" w:firstLineChars="200"/>
        <w:rPr>
          <w:rFonts w:ascii="Times New Roman" w:hAnsi="Times New Roman" w:eastAsia="宋体" w:cs="Times New Roman"/>
          <w:snapToGrid w:val="0"/>
          <w:kern w:val="0"/>
          <w:sz w:val="28"/>
          <w:szCs w:val="28"/>
        </w:rPr>
      </w:pPr>
      <w:r>
        <w:rPr>
          <w:rFonts w:ascii="Times New Roman" w:hAnsi="Times New Roman" w:eastAsia="宋体" w:cs="Times New Roman"/>
          <w:snapToGrid w:val="0"/>
          <w:kern w:val="0"/>
          <w:sz w:val="28"/>
          <w:szCs w:val="28"/>
        </w:rPr>
        <w:t>矿山名称：盐津县盐井镇桃子坝采石场（新立）采矿权</w:t>
      </w:r>
    </w:p>
    <w:p w14:paraId="1429AF4E">
      <w:pPr>
        <w:adjustRightInd w:val="0"/>
        <w:snapToGrid w:val="0"/>
        <w:spacing w:line="360" w:lineRule="auto"/>
        <w:ind w:firstLine="560" w:firstLineChars="200"/>
        <w:rPr>
          <w:rFonts w:ascii="Times New Roman" w:hAnsi="Times New Roman" w:eastAsia="宋体" w:cs="Times New Roman"/>
          <w:snapToGrid w:val="0"/>
          <w:kern w:val="0"/>
          <w:sz w:val="28"/>
          <w:szCs w:val="28"/>
        </w:rPr>
      </w:pPr>
      <w:r>
        <w:rPr>
          <w:rFonts w:ascii="Times New Roman" w:hAnsi="Times New Roman" w:eastAsia="宋体" w:cs="Times New Roman"/>
          <w:snapToGrid w:val="0"/>
          <w:kern w:val="0"/>
          <w:sz w:val="28"/>
          <w:szCs w:val="28"/>
        </w:rPr>
        <w:t>经济类型：其他有限责任</w:t>
      </w:r>
    </w:p>
    <w:p w14:paraId="30598697">
      <w:pPr>
        <w:adjustRightInd w:val="0"/>
        <w:snapToGrid w:val="0"/>
        <w:spacing w:line="360" w:lineRule="auto"/>
        <w:ind w:firstLine="560" w:firstLineChars="200"/>
        <w:rPr>
          <w:rFonts w:ascii="Times New Roman" w:hAnsi="Times New Roman" w:eastAsia="宋体" w:cs="Times New Roman"/>
          <w:snapToGrid w:val="0"/>
          <w:kern w:val="0"/>
          <w:sz w:val="28"/>
          <w:szCs w:val="28"/>
        </w:rPr>
      </w:pPr>
      <w:r>
        <w:rPr>
          <w:rFonts w:ascii="Times New Roman" w:hAnsi="Times New Roman" w:eastAsia="宋体" w:cs="Times New Roman"/>
          <w:snapToGrid w:val="0"/>
          <w:kern w:val="0"/>
          <w:sz w:val="28"/>
          <w:szCs w:val="28"/>
        </w:rPr>
        <w:t>开采矿种：建筑石料用灰岩</w:t>
      </w:r>
    </w:p>
    <w:p w14:paraId="3FCA7DBF">
      <w:pPr>
        <w:adjustRightInd w:val="0"/>
        <w:snapToGrid w:val="0"/>
        <w:spacing w:line="360" w:lineRule="auto"/>
        <w:ind w:firstLine="560" w:firstLineChars="200"/>
        <w:rPr>
          <w:rFonts w:ascii="Times New Roman" w:hAnsi="Times New Roman" w:eastAsia="宋体" w:cs="Times New Roman"/>
          <w:snapToGrid w:val="0"/>
          <w:kern w:val="0"/>
          <w:sz w:val="28"/>
          <w:szCs w:val="28"/>
        </w:rPr>
      </w:pPr>
      <w:r>
        <w:rPr>
          <w:rFonts w:ascii="Times New Roman" w:hAnsi="Times New Roman" w:eastAsia="宋体" w:cs="Times New Roman"/>
          <w:snapToGrid w:val="0"/>
          <w:kern w:val="0"/>
          <w:sz w:val="28"/>
          <w:szCs w:val="28"/>
        </w:rPr>
        <w:t>开采方式：露天开采</w:t>
      </w:r>
    </w:p>
    <w:p w14:paraId="5CF3A402">
      <w:pPr>
        <w:adjustRightInd w:val="0"/>
        <w:snapToGrid w:val="0"/>
        <w:spacing w:line="360" w:lineRule="auto"/>
        <w:ind w:firstLine="560" w:firstLineChars="200"/>
        <w:rPr>
          <w:rFonts w:ascii="Times New Roman" w:hAnsi="Times New Roman" w:eastAsia="宋体" w:cs="Times New Roman"/>
          <w:snapToGrid w:val="0"/>
          <w:kern w:val="0"/>
          <w:sz w:val="28"/>
          <w:szCs w:val="28"/>
        </w:rPr>
      </w:pPr>
      <w:r>
        <w:rPr>
          <w:rFonts w:ascii="Times New Roman" w:hAnsi="Times New Roman" w:eastAsia="宋体" w:cs="Times New Roman"/>
          <w:snapToGrid w:val="0"/>
          <w:kern w:val="0"/>
          <w:sz w:val="28"/>
          <w:szCs w:val="28"/>
        </w:rPr>
        <w:t>生产规模：90万吨/年</w:t>
      </w:r>
    </w:p>
    <w:p w14:paraId="7DB916B8">
      <w:pPr>
        <w:adjustRightInd w:val="0"/>
        <w:snapToGrid w:val="0"/>
        <w:spacing w:line="360" w:lineRule="auto"/>
        <w:ind w:firstLine="560" w:firstLineChars="200"/>
        <w:rPr>
          <w:rFonts w:ascii="Times New Roman" w:hAnsi="Times New Roman" w:eastAsia="宋体" w:cs="Times New Roman"/>
          <w:snapToGrid w:val="0"/>
          <w:kern w:val="0"/>
          <w:sz w:val="28"/>
          <w:szCs w:val="28"/>
        </w:rPr>
      </w:pPr>
      <w:r>
        <w:rPr>
          <w:rFonts w:ascii="Times New Roman" w:hAnsi="Times New Roman" w:eastAsia="宋体" w:cs="Times New Roman"/>
          <w:snapToGrid w:val="0"/>
          <w:kern w:val="0"/>
          <w:sz w:val="28"/>
          <w:szCs w:val="28"/>
        </w:rPr>
        <w:t>矿区面积：0.1816平方公里</w:t>
      </w:r>
    </w:p>
    <w:p w14:paraId="22765987">
      <w:pPr>
        <w:adjustRightInd w:val="0"/>
        <w:snapToGrid w:val="0"/>
        <w:spacing w:line="360" w:lineRule="auto"/>
        <w:ind w:firstLine="560" w:firstLineChars="200"/>
        <w:rPr>
          <w:rFonts w:ascii="Times New Roman" w:hAnsi="Times New Roman" w:eastAsia="宋体" w:cs="Times New Roman"/>
          <w:snapToGrid w:val="0"/>
          <w:kern w:val="0"/>
          <w:sz w:val="28"/>
          <w:szCs w:val="28"/>
        </w:rPr>
      </w:pPr>
      <w:r>
        <w:rPr>
          <w:rFonts w:ascii="Times New Roman" w:hAnsi="Times New Roman" w:eastAsia="宋体" w:cs="Times New Roman"/>
          <w:snapToGrid w:val="0"/>
          <w:kern w:val="0"/>
          <w:sz w:val="28"/>
          <w:szCs w:val="28"/>
        </w:rPr>
        <w:t>有效期：2023年6月8日至2033年3月25日</w:t>
      </w:r>
    </w:p>
    <w:p w14:paraId="12A3B5B3">
      <w:pPr>
        <w:adjustRightInd w:val="0"/>
        <w:snapToGrid w:val="0"/>
        <w:spacing w:line="360" w:lineRule="auto"/>
        <w:ind w:firstLine="560" w:firstLineChars="200"/>
        <w:rPr>
          <w:rFonts w:ascii="Times New Roman" w:hAnsi="Times New Roman" w:eastAsia="宋体" w:cs="Times New Roman"/>
          <w:snapToGrid w:val="0"/>
          <w:kern w:val="0"/>
          <w:sz w:val="28"/>
          <w:szCs w:val="28"/>
        </w:rPr>
      </w:pPr>
      <w:r>
        <w:rPr>
          <w:rFonts w:ascii="Times New Roman" w:hAnsi="Times New Roman" w:eastAsia="宋体" w:cs="Times New Roman"/>
          <w:snapToGrid w:val="0"/>
          <w:kern w:val="0"/>
          <w:sz w:val="28"/>
          <w:szCs w:val="28"/>
        </w:rPr>
        <w:t>发证机关：盐津县自然资源局</w:t>
      </w:r>
    </w:p>
    <w:p w14:paraId="08601529">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2.1.2 矿区地理位置及交通情况</w:t>
      </w:r>
    </w:p>
    <w:p w14:paraId="7A90A28F">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盐津开源矿业有限公司盐津县桃子坝采石场位于盐津县城179°方向，直平距约10km，在盐津县盐井镇桃子坝村境内。矿区地理坐标（2000国家大地坐标系）极值为东经104°13′51.067″～104°14′12.741″，北纬28°01′12.379″～28°01′31.388″。矿区面积0.1816km2，开采标高940m～752m，由14个拐点圈定，矿区范围拐点坐标详见</w:t>
      </w:r>
      <w:r>
        <w:rPr>
          <w:rFonts w:hint="eastAsia" w:ascii="Times New Roman" w:hAnsi="Times New Roman" w:eastAsia="宋体" w:cs="Times New Roman"/>
          <w:sz w:val="28"/>
          <w:szCs w:val="21"/>
        </w:rPr>
        <w:t>表</w:t>
      </w:r>
      <w:r>
        <w:rPr>
          <w:rFonts w:ascii="Times New Roman" w:hAnsi="Times New Roman" w:eastAsia="宋体" w:cs="Times New Roman"/>
          <w:sz w:val="28"/>
          <w:szCs w:val="21"/>
        </w:rPr>
        <w:t>1.1-1。</w:t>
      </w:r>
    </w:p>
    <w:p w14:paraId="5518FBA0">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盐津至大坡上乡村公路从矿区通过，矿区至桃子坝村委会公路里程约3km，至盐津县城公路里程约13km，至昭通约142km，交通较为方便。</w:t>
      </w:r>
    </w:p>
    <w:p w14:paraId="728E5484">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2.1.3 矿区周边环境</w:t>
      </w:r>
    </w:p>
    <w:p w14:paraId="11601920">
      <w:pPr>
        <w:adjustRightInd w:val="0"/>
        <w:snapToGrid w:val="0"/>
        <w:spacing w:line="360" w:lineRule="auto"/>
        <w:ind w:firstLine="560" w:firstLineChars="200"/>
        <w:rPr>
          <w:rFonts w:ascii="Times New Roman" w:hAnsi="Times New Roman" w:cs="Times New Roman"/>
          <w:color w:val="000000" w:themeColor="text1"/>
          <w:sz w:val="28"/>
          <w:szCs w:val="28"/>
          <w14:textFill>
            <w14:solidFill>
              <w14:schemeClr w14:val="tx1"/>
            </w14:solidFill>
          </w14:textFill>
        </w:rPr>
      </w:pPr>
      <w:bookmarkStart w:id="35" w:name="_Hlk93053657"/>
      <w:r>
        <w:rPr>
          <w:rFonts w:ascii="Times New Roman" w:hAnsi="Times New Roman" w:cs="Times New Roman"/>
          <w:color w:val="000000" w:themeColor="text1"/>
          <w:sz w:val="28"/>
          <w:szCs w:val="28"/>
          <w14:textFill>
            <w14:solidFill>
              <w14:schemeClr w14:val="tx1"/>
            </w14:solidFill>
          </w14:textFill>
        </w:rPr>
        <w:t>根据现场调查，矿区北侧为马店村，民房距离矿界最近200m，距离</w:t>
      </w:r>
      <w:r>
        <w:rPr>
          <w:rFonts w:hint="eastAsia" w:ascii="Times New Roman" w:hAnsi="Times New Roman" w:cs="Times New Roman"/>
          <w:color w:val="000000" w:themeColor="text1"/>
          <w:sz w:val="28"/>
          <w:szCs w:val="28"/>
          <w14:textFill>
            <w14:solidFill>
              <w14:schemeClr w14:val="tx1"/>
            </w14:solidFill>
          </w14:textFill>
        </w:rPr>
        <w:t>设计</w:t>
      </w:r>
      <w:r>
        <w:rPr>
          <w:rFonts w:ascii="Times New Roman" w:hAnsi="Times New Roman" w:cs="Times New Roman"/>
          <w:color w:val="000000" w:themeColor="text1"/>
          <w:sz w:val="28"/>
          <w:szCs w:val="28"/>
          <w14:textFill>
            <w14:solidFill>
              <w14:schemeClr w14:val="tx1"/>
            </w14:solidFill>
          </w14:textFill>
        </w:rPr>
        <w:t>的露天开采境界范围约470m，爆破影响范围可控。</w:t>
      </w:r>
    </w:p>
    <w:p w14:paraId="589E98F9">
      <w:pPr>
        <w:adjustRightInd w:val="0"/>
        <w:snapToGrid w:val="0"/>
        <w:spacing w:line="360" w:lineRule="auto"/>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矿区南侧为玄麻窝村，距离</w:t>
      </w:r>
      <w:r>
        <w:rPr>
          <w:rFonts w:hint="eastAsia" w:ascii="Times New Roman" w:hAnsi="Times New Roman" w:cs="Times New Roman"/>
          <w:color w:val="000000" w:themeColor="text1"/>
          <w:sz w:val="28"/>
          <w:szCs w:val="28"/>
          <w14:textFill>
            <w14:solidFill>
              <w14:schemeClr w14:val="tx1"/>
            </w14:solidFill>
          </w14:textFill>
        </w:rPr>
        <w:t>设计</w:t>
      </w:r>
      <w:r>
        <w:rPr>
          <w:rFonts w:ascii="Times New Roman" w:hAnsi="Times New Roman" w:cs="Times New Roman"/>
          <w:color w:val="000000" w:themeColor="text1"/>
          <w:sz w:val="28"/>
          <w:szCs w:val="28"/>
          <w14:textFill>
            <w14:solidFill>
              <w14:schemeClr w14:val="tx1"/>
            </w14:solidFill>
          </w14:textFill>
        </w:rPr>
        <w:t>露天开采境界范围较近，距离最近民房100m，在300m爆破境界范围内存在17户民房，均已签订</w:t>
      </w:r>
      <w:r>
        <w:rPr>
          <w:rFonts w:hint="eastAsia" w:ascii="Times New Roman" w:hAnsi="Times New Roman" w:cs="Times New Roman"/>
          <w:color w:val="000000" w:themeColor="text1"/>
          <w:sz w:val="28"/>
          <w:szCs w:val="28"/>
          <w14:textFill>
            <w14:solidFill>
              <w14:schemeClr w14:val="tx1"/>
            </w14:solidFill>
          </w14:textFill>
        </w:rPr>
        <w:t>房屋租赁合同</w:t>
      </w:r>
      <w:r>
        <w:rPr>
          <w:rFonts w:ascii="Times New Roman" w:hAnsi="Times New Roman" w:cs="Times New Roman"/>
          <w:color w:val="000000" w:themeColor="text1"/>
          <w:sz w:val="28"/>
          <w:szCs w:val="28"/>
          <w14:textFill>
            <w14:solidFill>
              <w14:schemeClr w14:val="tx1"/>
            </w14:solidFill>
          </w14:textFill>
        </w:rPr>
        <w:t>（见附件11），矿山生产期间不住人，爆破影响范围可控。</w:t>
      </w:r>
    </w:p>
    <w:p w14:paraId="2AB842CC">
      <w:pPr>
        <w:adjustRightInd w:val="0"/>
        <w:snapToGrid w:val="0"/>
        <w:spacing w:line="360" w:lineRule="auto"/>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矿区西侧360m处有内六铁路手扒岩隧道通过，根据《中国铁路成都局集团有限公司宜宾工电段关于盐津开源矿业有限公司盐津县桃子坝采石场爆破开采事宜的复函》（宜工电安函</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2023</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115号），距离铁路隧道斜距500m范围内不进行爆破作业，采用机械开采，斜距500m外采用爆破开采（详见附件9及附图2《矿区现状及周边关系图》），符合《铁路安全管理条例》第三十四条的规定。</w:t>
      </w:r>
    </w:p>
    <w:p w14:paraId="2A1C5A08">
      <w:pPr>
        <w:adjustRightInd w:val="0"/>
        <w:snapToGrid w:val="0"/>
        <w:spacing w:line="360" w:lineRule="auto"/>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矿区北侧及南侧有乡村公路通过，根据盐津县盐井镇人民政府《关于盐津县桃子坝采石场（新立）采矿权附近道路的情况说明》（盐井政通[2023]23号）（详见附件10），该道路属于村村通道路，不属于县道及乡道。允许盐津县桃子坝采石场（新立）采矿权在道路边（采矿权以内）进行爆破作业时，对该村村通道路进行临时交通管制。</w:t>
      </w:r>
    </w:p>
    <w:p w14:paraId="29ED6FBA">
      <w:pPr>
        <w:adjustRightInd w:val="0"/>
        <w:snapToGrid w:val="0"/>
        <w:spacing w:line="360" w:lineRule="auto"/>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矿区西侧530m处为关河，穿过河流为G247国道麻水线，距离较远，爆破开采影响范围可控。</w:t>
      </w:r>
    </w:p>
    <w:p w14:paraId="0C2246BC">
      <w:pPr>
        <w:adjustRightInd w:val="0"/>
        <w:snapToGrid w:val="0"/>
        <w:spacing w:line="360" w:lineRule="auto"/>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矿区东侧600m处为大坡上村，爆破开采影响范围可控，矿山爆破作业对其无影响。</w:t>
      </w:r>
    </w:p>
    <w:p w14:paraId="6E0B2A4F">
      <w:pPr>
        <w:adjustRightInd w:val="0"/>
        <w:snapToGrid w:val="0"/>
        <w:spacing w:line="360" w:lineRule="auto"/>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矿区范围内有一条10KV高压线（花农线坪上支线）穿过，矿山已申请对该线路进行搬迁，盐津县供电局已同意进行搬迁，同时允许矿山在高压线100m范围外进行爆破作业（详见附件12）</w:t>
      </w:r>
    </w:p>
    <w:p w14:paraId="76BE2D48">
      <w:pPr>
        <w:adjustRightInd w:val="0"/>
        <w:snapToGrid w:val="0"/>
        <w:spacing w:line="360" w:lineRule="auto"/>
        <w:ind w:firstLine="560" w:firstLineChars="200"/>
        <w:rPr>
          <w:rFonts w:ascii="Times New Roman" w:hAnsi="Times New Roman" w:cs="Times New Roman"/>
          <w:color w:val="000000" w:themeColor="text1"/>
          <w:sz w:val="28"/>
          <w:szCs w:val="28"/>
          <w14:textFill>
            <w14:solidFill>
              <w14:schemeClr w14:val="tx1"/>
            </w14:solidFill>
          </w14:textFill>
        </w:rPr>
        <w:sectPr>
          <w:headerReference r:id="rId8" w:type="default"/>
          <w:footerReference r:id="rId9" w:type="default"/>
          <w:pgSz w:w="11906" w:h="16838"/>
          <w:pgMar w:top="1417" w:right="1134" w:bottom="1134" w:left="1587" w:header="851" w:footer="992" w:gutter="0"/>
          <w:pgNumType w:start="1"/>
          <w:cols w:space="0" w:num="1"/>
          <w:docGrid w:type="lines" w:linePitch="312" w:charSpace="0"/>
        </w:sectPr>
      </w:pPr>
      <w:r>
        <w:rPr>
          <w:rFonts w:ascii="Times New Roman" w:hAnsi="Times New Roman" w:cs="Times New Roman"/>
          <w:color w:val="000000" w:themeColor="text1"/>
          <w:sz w:val="28"/>
          <w:szCs w:val="28"/>
          <w14:textFill>
            <w14:solidFill>
              <w14:schemeClr w14:val="tx1"/>
            </w14:solidFill>
          </w14:textFill>
        </w:rPr>
        <w:t>矿区采矿权范围符合矿产资源规划，不在矿产资源规划禁止区、限制区范围；不占用基本农田，不在地质公园、自然保护区、地质遗迹范围内；不与建设项目区压覆重叠，不涉及公益林，不与生态保护红线范围重叠；开采范围内</w:t>
      </w:r>
      <w:bookmarkEnd w:id="35"/>
      <w:r>
        <w:rPr>
          <w:rFonts w:ascii="Times New Roman" w:hAnsi="Times New Roman" w:cs="Times New Roman"/>
          <w:color w:val="000000" w:themeColor="text1"/>
          <w:sz w:val="28"/>
          <w:szCs w:val="28"/>
          <w14:textFill>
            <w14:solidFill>
              <w14:schemeClr w14:val="tx1"/>
            </w14:solidFill>
          </w14:textFill>
        </w:rPr>
        <w:t>无其他探矿权、采矿权设置，不存在矿权重叠、交叉，权属无争议。</w:t>
      </w:r>
    </w:p>
    <w:p w14:paraId="2C3D4940">
      <w:pPr>
        <w:pStyle w:val="3"/>
        <w:adjustRightInd w:val="0"/>
        <w:snapToGrid w:val="0"/>
        <w:rPr>
          <w:rFonts w:ascii="Times New Roman" w:hAnsi="Times New Roman" w:cs="Times New Roman"/>
          <w:b/>
          <w:bCs w:val="0"/>
          <w:color w:val="000000" w:themeColor="text1"/>
          <w:lang w:val="en-GB"/>
          <w14:textFill>
            <w14:solidFill>
              <w14:schemeClr w14:val="tx1"/>
            </w14:solidFill>
          </w14:textFill>
        </w:rPr>
      </w:pPr>
      <w:bookmarkStart w:id="36" w:name="_Toc3372"/>
      <w:bookmarkStart w:id="37" w:name="_Toc24922"/>
      <w:r>
        <w:rPr>
          <w:rFonts w:ascii="Times New Roman" w:hAnsi="Times New Roman" w:cs="Times New Roman"/>
          <w:b/>
          <w:bCs w:val="0"/>
          <w:color w:val="000000" w:themeColor="text1"/>
          <w:lang w:val="en-GB"/>
          <w14:textFill>
            <w14:solidFill>
              <w14:schemeClr w14:val="tx1"/>
            </w14:solidFill>
          </w14:textFill>
        </w:rPr>
        <w:t>2.2 自然环境及经济概况</w:t>
      </w:r>
      <w:bookmarkEnd w:id="36"/>
      <w:bookmarkEnd w:id="37"/>
    </w:p>
    <w:p w14:paraId="0176CD19">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2.2.1 地形地貌</w:t>
      </w:r>
    </w:p>
    <w:p w14:paraId="26C0F9E4">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属高原中山侵蚀、溶蚀地貌，地形切割中等，地势总体东部高、西部低，地形最高点位于矿区外围东部山坡，海拔1080m；最低点位于矿外围西北部山坡，海拔674m，相对高差最大达406m（矿区范围内地势北东部高、西北部低，地形最高点位于矿10拐点处，海拔937m；最低点</w:t>
      </w:r>
      <w:r>
        <w:rPr>
          <w:rFonts w:hint="eastAsia" w:ascii="Times New Roman" w:hAnsi="Times New Roman" w:eastAsia="宋体" w:cs="Times New Roman"/>
          <w:sz w:val="28"/>
          <w:szCs w:val="21"/>
        </w:rPr>
        <w:t>位于</w:t>
      </w:r>
      <w:r>
        <w:rPr>
          <w:rFonts w:ascii="Times New Roman" w:hAnsi="Times New Roman" w:eastAsia="宋体" w:cs="Times New Roman"/>
          <w:sz w:val="28"/>
          <w:szCs w:val="21"/>
        </w:rPr>
        <w:t>矿9拐点南西侧谷地，海拔752m，相对高差最大达185m），区域最低侵蚀基准面在矿区西北部，海拔680m，地形坡度一般25～45°，局部平缓或陡峻。植被稀疏</w:t>
      </w:r>
      <w:r>
        <w:rPr>
          <w:rFonts w:hint="eastAsia" w:ascii="Times New Roman" w:hAnsi="Times New Roman" w:eastAsia="宋体" w:cs="Times New Roman"/>
          <w:sz w:val="28"/>
          <w:szCs w:val="21"/>
        </w:rPr>
        <w:t>－</w:t>
      </w:r>
      <w:r>
        <w:rPr>
          <w:rFonts w:ascii="Times New Roman" w:hAnsi="Times New Roman" w:eastAsia="宋体" w:cs="Times New Roman"/>
          <w:sz w:val="28"/>
          <w:szCs w:val="21"/>
        </w:rPr>
        <w:t>较密，以灌木杂草为主，地形地貌条件中等。</w:t>
      </w:r>
    </w:p>
    <w:p w14:paraId="477B51A3">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2.2.2 水文、气象</w:t>
      </w:r>
    </w:p>
    <w:p w14:paraId="3AD0AA60">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属中亚热带与温带共存的季风立体气候。由于地貌类型多样，地形复杂，地势起伏大，气候差异大。形成沟谷热、半山暖、山区凉、高山寒的立体气候。年平均气温17.2℃，年平均无霜期328天，最冷月份1月平均气温6.9℃，最低气温-4℃；最热月份7月，平均气温26.2℃，最高气温40℃。年降雨量781.2～1576.4mm，年均降水量1220mm</w:t>
      </w:r>
      <w:r>
        <w:rPr>
          <w:rFonts w:hint="eastAsia" w:ascii="Times New Roman" w:hAnsi="Times New Roman" w:eastAsia="宋体" w:cs="Times New Roman"/>
          <w:sz w:val="28"/>
          <w:szCs w:val="21"/>
        </w:rPr>
        <w:t>，</w:t>
      </w:r>
      <w:r>
        <w:rPr>
          <w:rFonts w:ascii="Times New Roman" w:hAnsi="Times New Roman" w:eastAsia="宋体" w:cs="Times New Roman"/>
          <w:sz w:val="28"/>
          <w:szCs w:val="21"/>
        </w:rPr>
        <w:t>雨季一般平均日降雨量18mm，日最大降雨量153.7mm，主要雨期为每年5～9月，占全年降雨量的82%。年日照841.7～1170.9h，相对湿度81%。全年以北风为主，平均风速4～6m/s，最大风速17m/s。</w:t>
      </w:r>
    </w:p>
    <w:p w14:paraId="26C1C390">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地表水系不发育，位于当地侵蚀基准面以上，地表坡形有利于大气降水的排泄，矿床充水主要为季节性大气降雨的下渗，区内的大气降水大部分向矿区西部自然排泄，流至横江（横江在水富汇入金沙江），部分渗入地下成为地下水。区内地表水系属金沙江流域横江支流长江水系。</w:t>
      </w:r>
    </w:p>
    <w:p w14:paraId="0E9FDF63">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2.2.3 地震烈度</w:t>
      </w:r>
    </w:p>
    <w:p w14:paraId="059C412C">
      <w:pPr>
        <w:adjustRightInd w:val="0"/>
        <w:snapToGrid w:val="0"/>
        <w:spacing w:line="360" w:lineRule="auto"/>
        <w:ind w:firstLine="560" w:firstLineChars="200"/>
        <w:rPr>
          <w:rFonts w:ascii="Times New Roman" w:hAnsi="Times New Roman" w:eastAsia="宋体" w:cs="Times New Roman"/>
          <w:sz w:val="28"/>
          <w:szCs w:val="21"/>
          <w:lang w:val="en-GB"/>
        </w:rPr>
      </w:pPr>
      <w:r>
        <w:rPr>
          <w:rFonts w:ascii="Times New Roman" w:hAnsi="Times New Roman" w:eastAsia="宋体" w:cs="Times New Roman"/>
          <w:sz w:val="28"/>
          <w:szCs w:val="21"/>
          <w:lang w:val="en-GB"/>
        </w:rPr>
        <w:t>根据《建筑抗震设计规范》（</w:t>
      </w:r>
      <w:r>
        <w:rPr>
          <w:rFonts w:hint="eastAsia" w:ascii="Times New Roman" w:hAnsi="Times New Roman" w:eastAsia="宋体" w:cs="Times New Roman"/>
          <w:sz w:val="28"/>
          <w:szCs w:val="21"/>
          <w:lang w:val="en-GB"/>
        </w:rPr>
        <w:t>GB 50011-2010[2016年版]</w:t>
      </w:r>
      <w:r>
        <w:rPr>
          <w:rFonts w:ascii="Times New Roman" w:hAnsi="Times New Roman" w:eastAsia="宋体" w:cs="Times New Roman"/>
          <w:sz w:val="28"/>
          <w:szCs w:val="21"/>
          <w:lang w:val="en-GB"/>
        </w:rPr>
        <w:t>），本区抗震设防烈度为7度，设计基本地震加速度值为0.10g，所属设计地震分组为第三组；根据《中国地震动参数区划图》（GB 18306-2015），本区地震动峰值加速度为0.10g，反应谱特征周期为0.45s，区域地壳稳定性属次稳定区。据实地调查，区内现状无滑坡、崩塌、泥石流、地裂等地质灾害的隐患。</w:t>
      </w:r>
    </w:p>
    <w:p w14:paraId="72219C24">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14:textFill>
            <w14:solidFill>
              <w14:schemeClr w14:val="tx1"/>
            </w14:solidFill>
          </w14:textFill>
        </w:rPr>
        <w:t xml:space="preserve">2.2.4 </w:t>
      </w:r>
      <w:r>
        <w:rPr>
          <w:rFonts w:ascii="Times New Roman" w:hAnsi="Times New Roman" w:eastAsia="宋体" w:cs="Times New Roman"/>
          <w:b/>
          <w:bCs w:val="0"/>
          <w:color w:val="000000" w:themeColor="text1"/>
          <w:lang w:val="en-GB"/>
          <w14:textFill>
            <w14:solidFill>
              <w14:schemeClr w14:val="tx1"/>
            </w14:solidFill>
          </w14:textFill>
        </w:rPr>
        <w:t>经济概况</w:t>
      </w:r>
    </w:p>
    <w:p w14:paraId="3FAA7791">
      <w:pPr>
        <w:adjustRightInd w:val="0"/>
        <w:snapToGrid w:val="0"/>
        <w:spacing w:line="360" w:lineRule="auto"/>
        <w:ind w:firstLine="560" w:firstLineChars="200"/>
        <w:rPr>
          <w:rFonts w:ascii="Times New Roman" w:hAnsi="Times New Roman" w:eastAsia="宋体" w:cs="Times New Roman"/>
          <w:sz w:val="28"/>
          <w:szCs w:val="21"/>
        </w:rPr>
      </w:pPr>
      <w:bookmarkStart w:id="38" w:name="_Toc14679"/>
      <w:r>
        <w:rPr>
          <w:rFonts w:ascii="Times New Roman" w:hAnsi="Times New Roman" w:eastAsia="宋体" w:cs="Times New Roman"/>
          <w:sz w:val="28"/>
          <w:szCs w:val="21"/>
        </w:rPr>
        <w:t>盐津县为云南省昭通市下辖县，在东经103°59′18″～104°27′50″、北纬27°49′11″～28°24′38″之间，总面积2091.5平方公里。盐井镇位于盐津县境中部，处于全县政治、经济、文化的中心位置。东与四川省筠连县孔雀乡接壤，南靠庙坝镇、柿子镇，西接豆沙镇、中和镇，北与中和镇、落雁乡、牛寨乡毗邻。地势四周高、中间低，关河南入北出。昆水公路、内昆铁路从南至北穿越过境。全镇国土面积234平方公里，耕地面积2575公顷，其中水田面积212公顷。主产玉米、麦类、薯类，水资源以关河（横江）为主，经济林果主要有蚕桑、藤梨、茶叶、竹类、黄柏、杜仲、干果等。畜牧业资源以生猪、乌骨鸡为主，还有牛、羊等其他畜牧业，矿产资源主要有无烟煤、石灰石、铁等。</w:t>
      </w:r>
    </w:p>
    <w:p w14:paraId="5D1750C5">
      <w:pPr>
        <w:pStyle w:val="3"/>
        <w:adjustRightInd w:val="0"/>
        <w:snapToGrid w:val="0"/>
        <w:rPr>
          <w:rFonts w:ascii="Times New Roman" w:hAnsi="Times New Roman" w:cs="Times New Roman"/>
          <w:b/>
          <w:bCs w:val="0"/>
          <w:color w:val="000000" w:themeColor="text1"/>
          <w:lang w:val="en-GB"/>
          <w14:textFill>
            <w14:solidFill>
              <w14:schemeClr w14:val="tx1"/>
            </w14:solidFill>
          </w14:textFill>
        </w:rPr>
      </w:pPr>
      <w:bookmarkStart w:id="39" w:name="_Toc5436"/>
      <w:r>
        <w:rPr>
          <w:rFonts w:ascii="Times New Roman" w:hAnsi="Times New Roman" w:cs="Times New Roman"/>
          <w:b/>
          <w:bCs w:val="0"/>
          <w:color w:val="000000" w:themeColor="text1"/>
          <w:lang w:val="en-GB"/>
          <w14:textFill>
            <w14:solidFill>
              <w14:schemeClr w14:val="tx1"/>
            </w14:solidFill>
          </w14:textFill>
        </w:rPr>
        <w:t>2.3 建设项目地质概况</w:t>
      </w:r>
      <w:bookmarkEnd w:id="38"/>
      <w:bookmarkEnd w:id="39"/>
    </w:p>
    <w:p w14:paraId="40AD946C">
      <w:pPr>
        <w:keepNext/>
        <w:keepLines/>
        <w:adjustRightInd w:val="0"/>
        <w:snapToGrid w:val="0"/>
        <w:spacing w:line="360" w:lineRule="auto"/>
        <w:ind w:firstLine="560"/>
        <w:rPr>
          <w:rFonts w:ascii="Times New Roman" w:hAnsi="Times New Roman" w:cs="Times New Roman"/>
        </w:rPr>
      </w:pPr>
      <w:bookmarkStart w:id="40" w:name="_Hlk93053807"/>
      <w:r>
        <w:rPr>
          <w:rFonts w:ascii="Times New Roman" w:hAnsi="Times New Roman" w:eastAsia="宋体" w:cs="Times New Roman"/>
          <w:sz w:val="28"/>
          <w:szCs w:val="21"/>
        </w:rPr>
        <w:t>矿山地质资料主要依据昭通亿融科技信息有限公司于2022年01月编制的《云南省盐津县桃子坝采石场建筑石料用灰岩矿详查地质报告》。</w:t>
      </w:r>
      <w:bookmarkEnd w:id="40"/>
    </w:p>
    <w:p w14:paraId="52C0E364">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2.3.1 矿区地质</w:t>
      </w:r>
    </w:p>
    <w:p w14:paraId="4E940445">
      <w:pPr>
        <w:keepNext/>
        <w:keepLines/>
        <w:adjustRightInd w:val="0"/>
        <w:snapToGrid w:val="0"/>
        <w:spacing w:line="360" w:lineRule="auto"/>
        <w:ind w:firstLine="560" w:firstLineChars="200"/>
        <w:outlineLvl w:val="3"/>
        <w:rPr>
          <w:rFonts w:ascii="Times New Roman" w:hAnsi="Times New Roman" w:eastAsia="黑体" w:cs="Times New Roman"/>
          <w:sz w:val="28"/>
          <w:szCs w:val="28"/>
        </w:rPr>
      </w:pPr>
      <w:r>
        <w:rPr>
          <w:rFonts w:ascii="Times New Roman" w:hAnsi="Times New Roman" w:eastAsia="黑体" w:cs="Times New Roman"/>
          <w:sz w:val="28"/>
          <w:szCs w:val="28"/>
        </w:rPr>
        <w:t>2.3.1.1 矿区地质特征</w:t>
      </w:r>
    </w:p>
    <w:p w14:paraId="67469B5E">
      <w:pPr>
        <w:adjustRightInd w:val="0"/>
        <w:snapToGrid w:val="0"/>
        <w:spacing w:line="360" w:lineRule="auto"/>
        <w:ind w:firstLine="562" w:firstLineChars="200"/>
        <w:rPr>
          <w:rFonts w:ascii="Times New Roman" w:hAnsi="Times New Roman" w:eastAsia="宋体" w:cs="Times New Roman"/>
          <w:b/>
          <w:bCs/>
          <w:sz w:val="28"/>
          <w:szCs w:val="21"/>
        </w:rPr>
      </w:pPr>
      <w:bookmarkStart w:id="41" w:name="_Toc29148210"/>
      <w:bookmarkStart w:id="42" w:name="_Toc6114"/>
      <w:r>
        <w:rPr>
          <w:rFonts w:ascii="Times New Roman" w:hAnsi="Times New Roman" w:eastAsia="宋体" w:cs="Times New Roman"/>
          <w:b/>
          <w:bCs/>
          <w:sz w:val="28"/>
          <w:szCs w:val="21"/>
        </w:rPr>
        <w:t>一、</w:t>
      </w:r>
      <w:bookmarkEnd w:id="41"/>
      <w:bookmarkEnd w:id="42"/>
      <w:r>
        <w:rPr>
          <w:rFonts w:ascii="Times New Roman" w:hAnsi="Times New Roman" w:cs="Times New Roman"/>
          <w:b/>
          <w:bCs/>
          <w:sz w:val="28"/>
          <w:szCs w:val="28"/>
        </w:rPr>
        <w:t>地层</w:t>
      </w:r>
    </w:p>
    <w:p w14:paraId="305F55E3">
      <w:pPr>
        <w:adjustRightInd w:val="0"/>
        <w:snapToGrid w:val="0"/>
        <w:spacing w:line="360" w:lineRule="auto"/>
        <w:ind w:firstLine="560" w:firstLineChars="200"/>
        <w:rPr>
          <w:rFonts w:ascii="Times New Roman" w:hAnsi="Times New Roman" w:eastAsia="宋体" w:cs="Times New Roman"/>
          <w:sz w:val="28"/>
          <w:szCs w:val="21"/>
        </w:rPr>
      </w:pPr>
      <w:bookmarkStart w:id="43" w:name="_Toc21286"/>
      <w:bookmarkStart w:id="44" w:name="_Toc29148211"/>
      <w:bookmarkStart w:id="45" w:name="_Toc50592425"/>
      <w:r>
        <w:rPr>
          <w:rFonts w:ascii="Times New Roman" w:hAnsi="Times New Roman" w:eastAsia="宋体" w:cs="Times New Roman"/>
          <w:sz w:val="28"/>
          <w:szCs w:val="21"/>
        </w:rPr>
        <w:t>矿区出露地层由老至新有二叠系中统茅口组（P</w:t>
      </w:r>
      <w:r>
        <w:rPr>
          <w:rFonts w:ascii="Times New Roman" w:hAnsi="Times New Roman" w:eastAsia="宋体" w:cs="Times New Roman"/>
          <w:sz w:val="28"/>
          <w:szCs w:val="21"/>
          <w:vertAlign w:val="subscript"/>
        </w:rPr>
        <w:t>2</w:t>
      </w:r>
      <w:r>
        <w:rPr>
          <w:rFonts w:ascii="Times New Roman" w:hAnsi="Times New Roman" w:eastAsia="宋体" w:cs="Times New Roman"/>
          <w:sz w:val="28"/>
          <w:szCs w:val="21"/>
        </w:rPr>
        <w:t>m）、第四系残坡积层（Q</w:t>
      </w:r>
      <w:r>
        <w:rPr>
          <w:rFonts w:ascii="Times New Roman" w:hAnsi="Times New Roman" w:eastAsia="宋体" w:cs="Times New Roman"/>
          <w:sz w:val="28"/>
          <w:szCs w:val="21"/>
          <w:vertAlign w:val="superscript"/>
        </w:rPr>
        <w:t>el＋dl</w:t>
      </w:r>
      <w:r>
        <w:rPr>
          <w:rFonts w:ascii="Times New Roman" w:hAnsi="Times New Roman" w:eastAsia="宋体" w:cs="Times New Roman"/>
          <w:sz w:val="28"/>
          <w:szCs w:val="21"/>
        </w:rPr>
        <w:t>），其岩性如下：</w:t>
      </w:r>
    </w:p>
    <w:p w14:paraId="25D4EB75">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1、二叠系中统茅口组（P</w:t>
      </w:r>
      <w:r>
        <w:rPr>
          <w:rFonts w:ascii="Times New Roman" w:hAnsi="Times New Roman" w:eastAsia="宋体" w:cs="Times New Roman"/>
          <w:sz w:val="28"/>
          <w:szCs w:val="21"/>
          <w:vertAlign w:val="subscript"/>
        </w:rPr>
        <w:t>2</w:t>
      </w:r>
      <w:r>
        <w:rPr>
          <w:rFonts w:ascii="Times New Roman" w:hAnsi="Times New Roman" w:eastAsia="宋体" w:cs="Times New Roman"/>
          <w:sz w:val="28"/>
          <w:szCs w:val="21"/>
        </w:rPr>
        <w:t>m）</w:t>
      </w:r>
    </w:p>
    <w:p w14:paraId="6305493B">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分布于整个矿区及外围一定区域，岩性为灰至深灰色含生物碎屑细晶、微</w:t>
      </w:r>
      <w:r>
        <w:rPr>
          <w:rFonts w:hint="eastAsia" w:ascii="Times New Roman" w:hAnsi="Times New Roman" w:eastAsia="宋体" w:cs="Times New Roman"/>
          <w:sz w:val="28"/>
          <w:szCs w:val="21"/>
        </w:rPr>
        <w:t>－</w:t>
      </w:r>
      <w:r>
        <w:rPr>
          <w:rFonts w:ascii="Times New Roman" w:hAnsi="Times New Roman" w:eastAsia="宋体" w:cs="Times New Roman"/>
          <w:sz w:val="28"/>
          <w:szCs w:val="21"/>
        </w:rPr>
        <w:t>泥晶、亮晶砂屑灰岩。厚度360～410m，平均厚度385m。与下伏二叠系中统栖霞组（P</w:t>
      </w:r>
      <w:r>
        <w:rPr>
          <w:rFonts w:ascii="Times New Roman" w:hAnsi="Times New Roman" w:eastAsia="宋体" w:cs="Times New Roman"/>
          <w:sz w:val="28"/>
          <w:szCs w:val="21"/>
          <w:vertAlign w:val="subscript"/>
        </w:rPr>
        <w:t>2</w:t>
      </w:r>
      <w:r>
        <w:rPr>
          <w:rFonts w:ascii="Times New Roman" w:hAnsi="Times New Roman" w:eastAsia="宋体" w:cs="Times New Roman"/>
          <w:sz w:val="28"/>
          <w:szCs w:val="21"/>
        </w:rPr>
        <w:t>q）地层呈假整合接触，为矿体含矿层位。</w:t>
      </w:r>
    </w:p>
    <w:p w14:paraId="0BA85C6F">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2、第四系残坡积层（Q</w:t>
      </w:r>
      <w:r>
        <w:rPr>
          <w:rFonts w:ascii="Times New Roman" w:hAnsi="Times New Roman" w:eastAsia="宋体" w:cs="Times New Roman"/>
          <w:sz w:val="28"/>
          <w:szCs w:val="21"/>
          <w:vertAlign w:val="superscript"/>
        </w:rPr>
        <w:t>el＋dl</w:t>
      </w:r>
      <w:r>
        <w:rPr>
          <w:rFonts w:ascii="Times New Roman" w:hAnsi="Times New Roman" w:eastAsia="宋体" w:cs="Times New Roman"/>
          <w:sz w:val="28"/>
          <w:szCs w:val="21"/>
        </w:rPr>
        <w:t>）</w:t>
      </w:r>
    </w:p>
    <w:p w14:paraId="75E4C4D1">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出露于矿区地表，为深灰色、褐红色、灰黑色残破积粘土、含砾粘土，厚度1～8m</w:t>
      </w:r>
      <w:r>
        <w:rPr>
          <w:rFonts w:hint="eastAsia" w:ascii="Times New Roman" w:hAnsi="Times New Roman" w:eastAsia="宋体" w:cs="Times New Roman"/>
          <w:sz w:val="28"/>
          <w:szCs w:val="21"/>
        </w:rPr>
        <w:t>，</w:t>
      </w:r>
      <w:r>
        <w:rPr>
          <w:rFonts w:ascii="Times New Roman" w:hAnsi="Times New Roman" w:eastAsia="宋体" w:cs="Times New Roman"/>
          <w:sz w:val="28"/>
          <w:szCs w:val="21"/>
        </w:rPr>
        <w:t>与下伏地层呈不整合接触。</w:t>
      </w:r>
    </w:p>
    <w:p w14:paraId="1D07445A">
      <w:pPr>
        <w:adjustRightInd w:val="0"/>
        <w:snapToGrid w:val="0"/>
        <w:spacing w:line="360" w:lineRule="auto"/>
        <w:ind w:firstLine="562" w:firstLineChars="200"/>
        <w:rPr>
          <w:rFonts w:ascii="Times New Roman" w:hAnsi="Times New Roman" w:eastAsia="宋体" w:cs="Times New Roman"/>
          <w:b/>
          <w:bCs/>
          <w:sz w:val="28"/>
          <w:szCs w:val="21"/>
        </w:rPr>
      </w:pPr>
      <w:r>
        <w:rPr>
          <w:rFonts w:ascii="Times New Roman" w:hAnsi="Times New Roman" w:eastAsia="宋体" w:cs="Times New Roman"/>
          <w:b/>
          <w:bCs/>
          <w:sz w:val="28"/>
          <w:szCs w:val="21"/>
        </w:rPr>
        <w:t>二、构造</w:t>
      </w:r>
      <w:bookmarkEnd w:id="43"/>
      <w:bookmarkEnd w:id="44"/>
    </w:p>
    <w:bookmarkEnd w:id="45"/>
    <w:p w14:paraId="66785A63">
      <w:pPr>
        <w:adjustRightInd w:val="0"/>
        <w:snapToGrid w:val="0"/>
        <w:spacing w:line="360" w:lineRule="auto"/>
        <w:ind w:firstLine="560" w:firstLineChars="200"/>
        <w:rPr>
          <w:rFonts w:ascii="Times New Roman" w:hAnsi="Times New Roman" w:eastAsia="宋体" w:cs="Times New Roman"/>
          <w:sz w:val="28"/>
          <w:szCs w:val="21"/>
        </w:rPr>
      </w:pPr>
      <w:bookmarkStart w:id="46" w:name="_Toc11265"/>
      <w:r>
        <w:rPr>
          <w:rFonts w:ascii="Times New Roman" w:hAnsi="Times New Roman" w:eastAsia="宋体" w:cs="Times New Roman"/>
          <w:sz w:val="28"/>
          <w:szCs w:val="21"/>
        </w:rPr>
        <w:t>矿区位于大田坝向斜东端，区内构造简单，未发现次级断裂及褶皱构造，但岩石节理、裂隙较发育，未见</w:t>
      </w:r>
      <w:r>
        <w:rPr>
          <w:rFonts w:hint="eastAsia" w:ascii="Times New Roman" w:hAnsi="Times New Roman" w:eastAsia="宋体" w:cs="Times New Roman"/>
          <w:sz w:val="28"/>
          <w:szCs w:val="21"/>
        </w:rPr>
        <w:t>其他构造</w:t>
      </w:r>
      <w:r>
        <w:rPr>
          <w:rFonts w:ascii="Times New Roman" w:hAnsi="Times New Roman" w:eastAsia="宋体" w:cs="Times New Roman"/>
          <w:sz w:val="28"/>
          <w:szCs w:val="21"/>
        </w:rPr>
        <w:t>痕迹。主要发育2组节理，其产状为：J1 35°∠85°；J2 105°∠60°。矿区总体为一近西倾斜的单斜构造，地层产状270～290°∠30～40°。区内矿体（层）沿走向南西—北东长约620m，沿倾向北西宽约310m。矿区地质构造复杂程度为简单类型。</w:t>
      </w:r>
    </w:p>
    <w:p w14:paraId="1E047EBA">
      <w:pPr>
        <w:adjustRightInd w:val="0"/>
        <w:snapToGrid w:val="0"/>
        <w:spacing w:line="360" w:lineRule="auto"/>
        <w:ind w:firstLine="562" w:firstLineChars="200"/>
        <w:rPr>
          <w:rFonts w:ascii="Times New Roman" w:hAnsi="Times New Roman" w:eastAsia="宋体" w:cs="Times New Roman"/>
          <w:b/>
          <w:bCs/>
          <w:sz w:val="28"/>
          <w:szCs w:val="21"/>
        </w:rPr>
      </w:pPr>
      <w:r>
        <w:rPr>
          <w:rFonts w:ascii="Times New Roman" w:hAnsi="Times New Roman" w:eastAsia="宋体" w:cs="Times New Roman"/>
          <w:b/>
          <w:bCs/>
          <w:sz w:val="28"/>
          <w:szCs w:val="21"/>
        </w:rPr>
        <w:t>三、岩浆岩</w:t>
      </w:r>
    </w:p>
    <w:p w14:paraId="5EC564C4">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矿区范围内未发现侵入岩体和喷发岩体，岩浆活动不发育。</w:t>
      </w:r>
    </w:p>
    <w:bookmarkEnd w:id="46"/>
    <w:p w14:paraId="16ABF4D7">
      <w:pPr>
        <w:keepNext/>
        <w:keepLines/>
        <w:adjustRightInd w:val="0"/>
        <w:snapToGrid w:val="0"/>
        <w:spacing w:line="360" w:lineRule="auto"/>
        <w:ind w:firstLine="560" w:firstLineChars="200"/>
        <w:outlineLvl w:val="3"/>
        <w:rPr>
          <w:rFonts w:ascii="Times New Roman" w:hAnsi="Times New Roman" w:eastAsia="黑体" w:cs="Times New Roman"/>
          <w:sz w:val="28"/>
          <w:szCs w:val="28"/>
        </w:rPr>
      </w:pPr>
      <w:r>
        <w:rPr>
          <w:rFonts w:ascii="Times New Roman" w:hAnsi="Times New Roman" w:eastAsia="黑体" w:cs="Times New Roman"/>
          <w:sz w:val="28"/>
          <w:szCs w:val="28"/>
        </w:rPr>
        <w:t>2.3.1.2 矿体特征</w:t>
      </w:r>
    </w:p>
    <w:p w14:paraId="7932B556">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1、矿体（层）赋存于二叠系中统茅口组（P</w:t>
      </w:r>
      <w:r>
        <w:rPr>
          <w:rFonts w:ascii="Times New Roman" w:hAnsi="Times New Roman" w:eastAsia="宋体" w:cs="Times New Roman"/>
          <w:sz w:val="28"/>
          <w:szCs w:val="21"/>
          <w:vertAlign w:val="subscript"/>
        </w:rPr>
        <w:t>2</w:t>
      </w:r>
      <w:r>
        <w:rPr>
          <w:rFonts w:ascii="Times New Roman" w:hAnsi="Times New Roman" w:eastAsia="宋体" w:cs="Times New Roman"/>
          <w:sz w:val="28"/>
          <w:szCs w:val="21"/>
        </w:rPr>
        <w:t>m）地层中，共一个矿体，由ZK101、ZK201、ZK202、ZK301、ZK302等5个钻孔控制。矿体局部出露于地表，基本被第四系残坡积层（Q</w:t>
      </w:r>
      <w:r>
        <w:rPr>
          <w:rFonts w:ascii="Times New Roman" w:hAnsi="Times New Roman" w:eastAsia="宋体" w:cs="Times New Roman"/>
          <w:sz w:val="28"/>
          <w:szCs w:val="21"/>
          <w:vertAlign w:val="superscript"/>
        </w:rPr>
        <w:t>el＋dl</w:t>
      </w:r>
      <w:r>
        <w:rPr>
          <w:rFonts w:ascii="Times New Roman" w:hAnsi="Times New Roman" w:eastAsia="宋体" w:cs="Times New Roman"/>
          <w:sz w:val="28"/>
          <w:szCs w:val="21"/>
        </w:rPr>
        <w:t>）所覆盖。岩性为灰至深灰色生物碎屑灰岩，呈厚层状、块状产出，矿体分布于整个矿区范围并延出矿区范围外。矿体埋深0～185m，厚度360～410m，平均厚度385m，厚度变化系数9.2%，属于厚度变化稳定型矿体。矿区内矿体（层）沿走向南西—北东长约620m，沿倾向北西宽310m，纵横向延伸均较稳定，所有岩石除第四系表土外均为矿体。岩石较为完整，矿层层位稳定，节理裂隙较发育，岩溶较发育，岩溶形态主要是溶沟、溶洞。岩石表面多溶隙、溶沟等形态，顺层发育，规模较小。</w:t>
      </w:r>
    </w:p>
    <w:p w14:paraId="77B3842D">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2、矿区内矿体（层）产状270～290°∠30～40°，Cao含量53.71%～55.75%，平均值54.86%，饱和单轴抗压强度36.5～63.3MPa，围岩（第四系残坡积层）单轴抗压强度0.68～0.92MPa；坚固性为</w:t>
      </w:r>
      <w:r>
        <w:rPr>
          <w:rFonts w:hint="eastAsia" w:ascii="Times New Roman" w:hAnsi="Times New Roman" w:eastAsia="宋体" w:cs="Times New Roman"/>
          <w:sz w:val="28"/>
          <w:szCs w:val="21"/>
        </w:rPr>
        <w:t>5%～8%</w:t>
      </w:r>
      <w:r>
        <w:rPr>
          <w:rFonts w:ascii="Times New Roman" w:hAnsi="Times New Roman" w:eastAsia="宋体" w:cs="Times New Roman"/>
          <w:sz w:val="28"/>
          <w:szCs w:val="21"/>
        </w:rPr>
        <w:t>；压碎值为</w:t>
      </w:r>
      <w:r>
        <w:rPr>
          <w:rFonts w:hint="eastAsia" w:ascii="Times New Roman" w:hAnsi="Times New Roman" w:eastAsia="宋体" w:cs="Times New Roman"/>
          <w:sz w:val="28"/>
          <w:szCs w:val="21"/>
        </w:rPr>
        <w:t>7%～11%</w:t>
      </w:r>
      <w:r>
        <w:rPr>
          <w:rFonts w:ascii="Times New Roman" w:hAnsi="Times New Roman" w:eastAsia="宋体" w:cs="Times New Roman"/>
          <w:sz w:val="28"/>
          <w:szCs w:val="21"/>
        </w:rPr>
        <w:t>。</w:t>
      </w:r>
    </w:p>
    <w:p w14:paraId="46C25514">
      <w:pPr>
        <w:keepNext/>
        <w:keepLines/>
        <w:adjustRightInd w:val="0"/>
        <w:snapToGrid w:val="0"/>
        <w:spacing w:line="360" w:lineRule="auto"/>
        <w:ind w:firstLine="560" w:firstLineChars="200"/>
        <w:outlineLvl w:val="3"/>
        <w:rPr>
          <w:rFonts w:ascii="Times New Roman" w:hAnsi="Times New Roman" w:eastAsia="黑体" w:cs="Times New Roman"/>
          <w:sz w:val="28"/>
          <w:szCs w:val="28"/>
        </w:rPr>
      </w:pPr>
      <w:r>
        <w:rPr>
          <w:rFonts w:ascii="Times New Roman" w:hAnsi="Times New Roman" w:eastAsia="宋体" w:cs="Times New Roman"/>
          <w:sz w:val="28"/>
          <w:szCs w:val="28"/>
        </w:rPr>
        <w:t xml:space="preserve">2.3.1.3 </w:t>
      </w:r>
      <w:r>
        <w:rPr>
          <w:rFonts w:ascii="Times New Roman" w:hAnsi="Times New Roman" w:eastAsia="黑体" w:cs="Times New Roman"/>
          <w:sz w:val="28"/>
          <w:szCs w:val="28"/>
        </w:rPr>
        <w:t>矿石特征</w:t>
      </w:r>
    </w:p>
    <w:p w14:paraId="6DC01B6A">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1、矿物组成与结构构造</w:t>
      </w:r>
    </w:p>
    <w:p w14:paraId="73011F61">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矿区石灰岩为一套浅海相碳酸盐岩，属于沉积岩。</w:t>
      </w:r>
    </w:p>
    <w:p w14:paraId="6EC3DD39">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石矿物组成：为方解石，薄片中无色，正交下具珍珠晕彩高级白干涉色，微晶方解石充填生物碎屑腔体，泥晶方解石胶结（方解石含量占40%～55%），主要呈泥晶～微晶状，粒径0.01～0.005mm，为泥晶～微晶结构、生物碎屑结构。生物碎屑主要为珊瑚、有孔虫、鲕、蜓及藻屑等，均为微晶方解石充填（生物碎屑含量占40%～45%）。胶结物为后期方解石，主要呈细脉状及团块沿裂隙分布（后期方解石含量占3%～13%）。铁质矿物为褐黑色，呈星点状分布于方解石中（铁质矿物含量占2%）。</w:t>
      </w:r>
    </w:p>
    <w:p w14:paraId="3F1C942D">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结构构造：岩石主要由泥晶～微晶方解石及生物碎屑组成。可见铁质及后期方解石分布。</w:t>
      </w:r>
    </w:p>
    <w:p w14:paraId="45E4F7AE">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2、矿石化学成分</w:t>
      </w:r>
    </w:p>
    <w:p w14:paraId="38ED558A">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勘察共取9件化学分析样（化学全分析5件，内、外检2件，覆盖层1件，岩溶充填物1件），由四川省地矿局区域地质调查队测试中心与中国地质科学院矿产综合利用研究所分析测试中心化验。根据化学分析检验，参照《矿产地质勘查规范 建筑用石料类》（DZ/T0341-2020）规范，综合分析能够满足建筑石料用灰岩化学成分一般要求。</w:t>
      </w:r>
    </w:p>
    <w:p w14:paraId="69547BCA">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3、矿石物理力学性能</w:t>
      </w:r>
    </w:p>
    <w:p w14:paraId="24BD390D">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此次勘查共取18组矿石物理力学性能样，由四川省地矿局区域地质调查队测试中心及中铁二院成都工程检测有限责任公司进行检测。经检测饱和单轴抗压强度36.5～63.3MPa；围岩单轴抗压强度0.68～0.92MPa；坚固性为</w:t>
      </w:r>
      <w:r>
        <w:rPr>
          <w:rFonts w:hint="eastAsia" w:ascii="Times New Roman" w:hAnsi="Times New Roman" w:eastAsia="宋体" w:cs="Times New Roman"/>
          <w:sz w:val="28"/>
          <w:szCs w:val="21"/>
        </w:rPr>
        <w:t>5%～8%</w:t>
      </w:r>
      <w:r>
        <w:rPr>
          <w:rFonts w:ascii="Times New Roman" w:hAnsi="Times New Roman" w:eastAsia="宋体" w:cs="Times New Roman"/>
          <w:sz w:val="28"/>
          <w:szCs w:val="21"/>
        </w:rPr>
        <w:t>；压碎值为</w:t>
      </w:r>
      <w:r>
        <w:rPr>
          <w:rFonts w:hint="eastAsia" w:ascii="Times New Roman" w:hAnsi="Times New Roman" w:eastAsia="宋体" w:cs="Times New Roman"/>
          <w:sz w:val="28"/>
          <w:szCs w:val="21"/>
        </w:rPr>
        <w:t>7%～11%</w:t>
      </w:r>
      <w:r>
        <w:rPr>
          <w:rFonts w:ascii="Times New Roman" w:hAnsi="Times New Roman" w:eastAsia="宋体" w:cs="Times New Roman"/>
          <w:sz w:val="28"/>
          <w:szCs w:val="21"/>
        </w:rPr>
        <w:t>。物理性能测试能够满足《矿产地质勘查规范 建筑用石料类》（DZ/T0341-2020）规范的等级指标Ⅱ的要求。</w:t>
      </w:r>
    </w:p>
    <w:p w14:paraId="6CECEDD2">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4、矿石放射性分析</w:t>
      </w:r>
    </w:p>
    <w:p w14:paraId="62543879">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本次勘查共取3组放射性分析样。由核工业二八〇研究所分析测试中心及云南建材研发测试中心进行检测，检测结果内照射指数（IRa）为0.07～0.33，外照射指数（Ir）为＜0.04～0.21。未超过《建筑材料放射性核素限量》(GB/6566-2010</w:t>
      </w:r>
      <w:r>
        <w:rPr>
          <w:rFonts w:hint="eastAsia" w:ascii="Times New Roman" w:hAnsi="Times New Roman" w:eastAsia="宋体" w:cs="Times New Roman"/>
          <w:sz w:val="28"/>
          <w:szCs w:val="21"/>
        </w:rPr>
        <w:t>）</w:t>
      </w:r>
      <w:r>
        <w:rPr>
          <w:rFonts w:ascii="Times New Roman" w:hAnsi="Times New Roman" w:eastAsia="宋体" w:cs="Times New Roman"/>
          <w:sz w:val="28"/>
          <w:szCs w:val="21"/>
        </w:rPr>
        <w:t>内照射指数（IRa）≤1.0、外照射指数（Ir）≤1.0的标准。</w:t>
      </w:r>
    </w:p>
    <w:p w14:paraId="3075FD9F">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5、风（氧）化特征</w:t>
      </w:r>
    </w:p>
    <w:p w14:paraId="58FAD407">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经调查，区内矿体地表0～3m内风氧化程度中等。岩石较破碎</w:t>
      </w:r>
      <w:r>
        <w:rPr>
          <w:rFonts w:hint="eastAsia" w:ascii="Times New Roman" w:hAnsi="Times New Roman" w:eastAsia="宋体" w:cs="Times New Roman"/>
          <w:sz w:val="28"/>
          <w:szCs w:val="21"/>
        </w:rPr>
        <w:t>，</w:t>
      </w:r>
      <w:r>
        <w:rPr>
          <w:rFonts w:ascii="Times New Roman" w:hAnsi="Times New Roman" w:eastAsia="宋体" w:cs="Times New Roman"/>
          <w:sz w:val="28"/>
          <w:szCs w:val="21"/>
        </w:rPr>
        <w:t>节理、裂隙较发育。</w:t>
      </w:r>
    </w:p>
    <w:p w14:paraId="45C2A07A">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6、矿石类型</w:t>
      </w:r>
    </w:p>
    <w:p w14:paraId="6C7EA984">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矿区矿石自然类型为浅海相石灰岩，矿床工业类型属建筑石料用石灰岩；矿石结构致密，质地均匀，力学强度高，为较好的建筑石料。</w:t>
      </w:r>
    </w:p>
    <w:p w14:paraId="25EE4324">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7、矿体（层）围岩和夹石</w:t>
      </w:r>
    </w:p>
    <w:p w14:paraId="44C6A299">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矿区二叠系中统茅口组（P</w:t>
      </w:r>
      <w:r>
        <w:rPr>
          <w:rFonts w:ascii="Times New Roman" w:hAnsi="Times New Roman" w:eastAsia="宋体" w:cs="Times New Roman"/>
          <w:sz w:val="28"/>
          <w:szCs w:val="21"/>
          <w:vertAlign w:val="subscript"/>
        </w:rPr>
        <w:t>2</w:t>
      </w:r>
      <w:r>
        <w:rPr>
          <w:rFonts w:ascii="Times New Roman" w:hAnsi="Times New Roman" w:eastAsia="宋体" w:cs="Times New Roman"/>
          <w:sz w:val="28"/>
          <w:szCs w:val="21"/>
        </w:rPr>
        <w:t>m）灰岩上覆岩层为二叠系上统峨眉山玄武岩组（P</w:t>
      </w:r>
      <w:r>
        <w:rPr>
          <w:rFonts w:ascii="Times New Roman" w:hAnsi="Times New Roman" w:eastAsia="宋体" w:cs="Times New Roman"/>
          <w:sz w:val="28"/>
          <w:szCs w:val="21"/>
          <w:vertAlign w:val="subscript"/>
        </w:rPr>
        <w:t>3</w:t>
      </w:r>
      <w:r>
        <w:rPr>
          <w:rFonts w:ascii="Times New Roman" w:hAnsi="Times New Roman" w:eastAsia="宋体" w:cs="Times New Roman"/>
          <w:sz w:val="28"/>
          <w:szCs w:val="21"/>
        </w:rPr>
        <w:t>β）浅绿灰、绿黑色致密状玄武岩；下伏岩层为二叠系中统栖霞组（P</w:t>
      </w:r>
      <w:r>
        <w:rPr>
          <w:rFonts w:ascii="Times New Roman" w:hAnsi="Times New Roman" w:eastAsia="宋体" w:cs="Times New Roman"/>
          <w:sz w:val="28"/>
          <w:szCs w:val="21"/>
          <w:vertAlign w:val="subscript"/>
        </w:rPr>
        <w:t>2</w:t>
      </w:r>
      <w:r>
        <w:rPr>
          <w:rFonts w:ascii="Times New Roman" w:hAnsi="Times New Roman" w:eastAsia="宋体" w:cs="Times New Roman"/>
          <w:sz w:val="28"/>
          <w:szCs w:val="21"/>
        </w:rPr>
        <w:t>q）浅灰、灰黑色灰岩夹生物碎屑灰岩，厚度67～290m。矿区拟采二叠系中统茅口组（P</w:t>
      </w:r>
      <w:r>
        <w:rPr>
          <w:rFonts w:ascii="Times New Roman" w:hAnsi="Times New Roman" w:eastAsia="宋体" w:cs="Times New Roman"/>
          <w:sz w:val="28"/>
          <w:szCs w:val="21"/>
          <w:vertAlign w:val="subscript"/>
        </w:rPr>
        <w:t>2</w:t>
      </w:r>
      <w:r>
        <w:rPr>
          <w:rFonts w:ascii="Times New Roman" w:hAnsi="Times New Roman" w:eastAsia="宋体" w:cs="Times New Roman"/>
          <w:sz w:val="28"/>
          <w:szCs w:val="21"/>
        </w:rPr>
        <w:t>m）灰岩较厚，其围岩均为二叠系中统茅口组（P</w:t>
      </w:r>
      <w:r>
        <w:rPr>
          <w:rFonts w:ascii="Times New Roman" w:hAnsi="Times New Roman" w:eastAsia="宋体" w:cs="Times New Roman"/>
          <w:sz w:val="28"/>
          <w:szCs w:val="21"/>
          <w:vertAlign w:val="subscript"/>
        </w:rPr>
        <w:t>2</w:t>
      </w:r>
      <w:r>
        <w:rPr>
          <w:rFonts w:ascii="Times New Roman" w:hAnsi="Times New Roman" w:eastAsia="宋体" w:cs="Times New Roman"/>
          <w:sz w:val="28"/>
          <w:szCs w:val="21"/>
        </w:rPr>
        <w:t>m）灰岩。另外，矿体地表赋存第四系深灰色、褐红色、灰黑色残破积粘土、含砾粘土，厚度1～8m。</w:t>
      </w:r>
    </w:p>
    <w:p w14:paraId="781E0F49">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拟开采范围内二叠系中统茅口组（P</w:t>
      </w:r>
      <w:r>
        <w:rPr>
          <w:rFonts w:ascii="Times New Roman" w:hAnsi="Times New Roman" w:eastAsia="宋体" w:cs="Times New Roman"/>
          <w:sz w:val="28"/>
          <w:szCs w:val="21"/>
          <w:vertAlign w:val="subscript"/>
        </w:rPr>
        <w:t>2</w:t>
      </w:r>
      <w:r>
        <w:rPr>
          <w:rFonts w:ascii="Times New Roman" w:hAnsi="Times New Roman" w:eastAsia="宋体" w:cs="Times New Roman"/>
          <w:sz w:val="28"/>
          <w:szCs w:val="21"/>
        </w:rPr>
        <w:t>m）灰岩，质纯无夹石。</w:t>
      </w:r>
    </w:p>
    <w:p w14:paraId="7C2FD0D1">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8、矿床内共（伴）生矿产</w:t>
      </w:r>
    </w:p>
    <w:p w14:paraId="15F6D8DF">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根据化验检测结果未见有价值的共（伴）生矿产。</w:t>
      </w:r>
    </w:p>
    <w:p w14:paraId="2C435E37">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9、矿床成因</w:t>
      </w:r>
    </w:p>
    <w:p w14:paraId="0D244BE1">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根据矿石成分、矿物组合、矿体形态及赋存规律等资料分析，该区矿床属非金属矿床。石灰岩为浅海相碳酸盐岩，由湖海中所沉积的碳酸钙在失去水分后，紧压胶结而形成，属于沉积岩。矿体（层）严格受地层、岩性控制。矿区及周边岩性为产出基本稳定的二叠系中统茅口组（P</w:t>
      </w:r>
      <w:r>
        <w:rPr>
          <w:rFonts w:ascii="Times New Roman" w:hAnsi="Times New Roman" w:eastAsia="宋体" w:cs="Times New Roman"/>
          <w:sz w:val="28"/>
          <w:szCs w:val="21"/>
          <w:vertAlign w:val="subscript"/>
        </w:rPr>
        <w:t>2</w:t>
      </w:r>
      <w:r>
        <w:rPr>
          <w:rFonts w:ascii="Times New Roman" w:hAnsi="Times New Roman" w:eastAsia="宋体" w:cs="Times New Roman"/>
          <w:sz w:val="28"/>
          <w:szCs w:val="21"/>
        </w:rPr>
        <w:t>m）灰至深灰色生物碎屑灰岩，岩石较破碎</w:t>
      </w:r>
      <w:r>
        <w:rPr>
          <w:rFonts w:hint="eastAsia" w:ascii="Times New Roman" w:hAnsi="Times New Roman" w:eastAsia="宋体" w:cs="Times New Roman"/>
          <w:sz w:val="28"/>
          <w:szCs w:val="21"/>
        </w:rPr>
        <w:t>，</w:t>
      </w:r>
      <w:r>
        <w:rPr>
          <w:rFonts w:ascii="Times New Roman" w:hAnsi="Times New Roman" w:eastAsia="宋体" w:cs="Times New Roman"/>
          <w:sz w:val="28"/>
          <w:szCs w:val="21"/>
        </w:rPr>
        <w:t>节理裂隙较发育；岩石呈厚层状、块状产出，具细晶、微</w:t>
      </w:r>
      <w:r>
        <w:rPr>
          <w:rFonts w:hint="eastAsia" w:ascii="Times New Roman" w:hAnsi="Times New Roman" w:eastAsia="宋体" w:cs="Times New Roman"/>
          <w:sz w:val="28"/>
          <w:szCs w:val="21"/>
        </w:rPr>
        <w:t>－</w:t>
      </w:r>
      <w:r>
        <w:rPr>
          <w:rFonts w:ascii="Times New Roman" w:hAnsi="Times New Roman" w:eastAsia="宋体" w:cs="Times New Roman"/>
          <w:sz w:val="28"/>
          <w:szCs w:val="21"/>
        </w:rPr>
        <w:t>泥晶或砂屑结构。矿物成分变化不大，矿石可作为建筑石料。矿体分布于整个矿区范围并延出矿区范围外，区域延伸较好，远景资源储量比较充足。</w:t>
      </w:r>
    </w:p>
    <w:p w14:paraId="50AAE43A">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矿床成因属于浅海相碳酸盐岩沉积矿床。</w:t>
      </w:r>
    </w:p>
    <w:p w14:paraId="4CFE32F4">
      <w:pPr>
        <w:pStyle w:val="5"/>
        <w:adjustRightInd w:val="0"/>
        <w:snapToGrid w:val="0"/>
        <w:spacing w:line="360" w:lineRule="auto"/>
        <w:ind w:firstLine="560"/>
        <w:rPr>
          <w:rFonts w:ascii="Times New Roman" w:hAnsi="Times New Roman" w:cs="Times New Roman"/>
        </w:rPr>
      </w:pPr>
      <w:r>
        <w:rPr>
          <w:rFonts w:ascii="Times New Roman" w:hAnsi="Times New Roman" w:cs="Times New Roman"/>
        </w:rPr>
        <w:t>2.3.1.4 矿石开采、加工技术性能</w:t>
      </w:r>
    </w:p>
    <w:p w14:paraId="5DEA920A">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（1）矿石物理性质</w:t>
      </w:r>
    </w:p>
    <w:p w14:paraId="2B5B98BF">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矿山开采的石灰岩，矿石坚硬而性脆，容易破碎。根据四川省地矿局区域地质调查队测试中心检测，矿石体重为2.59～2.70t/m</w:t>
      </w:r>
      <w:r>
        <w:rPr>
          <w:rFonts w:ascii="Times New Roman" w:hAnsi="Times New Roman" w:eastAsia="宋体" w:cs="Times New Roman"/>
          <w:sz w:val="28"/>
          <w:szCs w:val="21"/>
          <w:vertAlign w:val="superscript"/>
        </w:rPr>
        <w:t>3</w:t>
      </w:r>
      <w:r>
        <w:rPr>
          <w:rFonts w:ascii="Times New Roman" w:hAnsi="Times New Roman" w:eastAsia="宋体" w:cs="Times New Roman"/>
          <w:sz w:val="28"/>
          <w:szCs w:val="21"/>
        </w:rPr>
        <w:t>（g/cm</w:t>
      </w:r>
      <w:r>
        <w:rPr>
          <w:rFonts w:ascii="Times New Roman" w:hAnsi="Times New Roman" w:eastAsia="宋体" w:cs="Times New Roman"/>
          <w:sz w:val="28"/>
          <w:szCs w:val="21"/>
          <w:vertAlign w:val="superscript"/>
        </w:rPr>
        <w:t>3</w:t>
      </w:r>
      <w:r>
        <w:rPr>
          <w:rFonts w:ascii="Times New Roman" w:hAnsi="Times New Roman" w:eastAsia="宋体" w:cs="Times New Roman"/>
          <w:sz w:val="28"/>
          <w:szCs w:val="21"/>
        </w:rPr>
        <w:t>）〔平均值2.67t/m</w:t>
      </w:r>
      <w:r>
        <w:rPr>
          <w:rFonts w:ascii="Times New Roman" w:hAnsi="Times New Roman" w:eastAsia="宋体" w:cs="Times New Roman"/>
          <w:sz w:val="28"/>
          <w:szCs w:val="21"/>
          <w:vertAlign w:val="superscript"/>
        </w:rPr>
        <w:t>3</w:t>
      </w:r>
      <w:r>
        <w:rPr>
          <w:rFonts w:ascii="Times New Roman" w:hAnsi="Times New Roman" w:eastAsia="宋体" w:cs="Times New Roman"/>
          <w:sz w:val="28"/>
          <w:szCs w:val="21"/>
        </w:rPr>
        <w:t>（g/cm</w:t>
      </w:r>
      <w:r>
        <w:rPr>
          <w:rFonts w:ascii="Times New Roman" w:hAnsi="Times New Roman" w:eastAsia="宋体" w:cs="Times New Roman"/>
          <w:sz w:val="28"/>
          <w:szCs w:val="21"/>
          <w:vertAlign w:val="superscript"/>
        </w:rPr>
        <w:t>3</w:t>
      </w:r>
      <w:r>
        <w:rPr>
          <w:rFonts w:ascii="Times New Roman" w:hAnsi="Times New Roman" w:eastAsia="宋体" w:cs="Times New Roman"/>
          <w:sz w:val="28"/>
          <w:szCs w:val="21"/>
        </w:rPr>
        <w:t>）〕，饱和单轴抗压强度为58.7～63.3MPa，质地较坚硬，可作为建筑用石料。</w:t>
      </w:r>
    </w:p>
    <w:p w14:paraId="3F729880">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（2）矿石加工技术性能</w:t>
      </w:r>
    </w:p>
    <w:p w14:paraId="05C70B5D">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此次勘查共取3件样品送云南建材研发测试中心进行加工技术性能测试，测试结果为：含泥量（按质量计）</w:t>
      </w:r>
      <w:r>
        <w:rPr>
          <w:rFonts w:hint="eastAsia" w:ascii="Times New Roman" w:hAnsi="Times New Roman" w:eastAsia="宋体" w:cs="Times New Roman"/>
          <w:sz w:val="28"/>
          <w:szCs w:val="21"/>
        </w:rPr>
        <w:t>0.5%～0.9%</w:t>
      </w:r>
      <w:r>
        <w:rPr>
          <w:rFonts w:ascii="Times New Roman" w:hAnsi="Times New Roman" w:eastAsia="宋体" w:cs="Times New Roman"/>
          <w:sz w:val="28"/>
          <w:szCs w:val="21"/>
        </w:rPr>
        <w:t>；泥块含量（按质量计）0.1%；针、片状颗粒总含量0.1%；压碎指标</w:t>
      </w:r>
      <w:r>
        <w:rPr>
          <w:rFonts w:hint="eastAsia" w:ascii="Times New Roman" w:hAnsi="Times New Roman" w:eastAsia="宋体" w:cs="Times New Roman"/>
          <w:sz w:val="28"/>
          <w:szCs w:val="21"/>
        </w:rPr>
        <w:t>8%～9%</w:t>
      </w:r>
      <w:r>
        <w:rPr>
          <w:rFonts w:ascii="Times New Roman" w:hAnsi="Times New Roman" w:eastAsia="宋体" w:cs="Times New Roman"/>
          <w:sz w:val="28"/>
          <w:szCs w:val="21"/>
        </w:rPr>
        <w:t>；坚固性（质量损失）2%；松散堆积密度1620kg/m³；紧密堆积密度1860～1880kg/m³；云母0；有机物为合格；依据各项检测报告化验结果，矿石能够满足《矿产地质勘查规范 建筑用石料类》（DZ/T0341-2020）的标准。</w:t>
      </w:r>
    </w:p>
    <w:p w14:paraId="65BCC96A">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矿石采用两级联合式破碎工艺，集破碎、筛分于一体，破碎后的矿石经皮带运输分为不同的级别堆放，然后经装载机或汽车运输到堆料场。</w:t>
      </w:r>
    </w:p>
    <w:p w14:paraId="37EF3FC7">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石中有害元素含量均低于工业要求指标，属于较佳产品，经用破碎成碎石（砟料）、砂料后销售，主要用于交通（公路等）建筑石料。矿石易开采、易加工，以其为原料生产的产品质量稳定，且生产过程中无有害成分危及人员、生产设备，矿石加工技术性能较好。</w:t>
      </w:r>
    </w:p>
    <w:p w14:paraId="53A0D4F5">
      <w:pPr>
        <w:pStyle w:val="4"/>
        <w:adjustRightInd w:val="0"/>
        <w:snapToGrid w:val="0"/>
        <w:spacing w:line="360" w:lineRule="auto"/>
        <w:ind w:firstLine="562"/>
        <w:rPr>
          <w:rFonts w:ascii="Times New Roman" w:hAnsi="Times New Roman" w:eastAsia="宋体" w:cs="Times New Roman"/>
          <w:b/>
          <w:bCs w:val="0"/>
          <w:color w:val="000000" w:themeColor="text1"/>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2.3.</w:t>
      </w:r>
      <w:r>
        <w:rPr>
          <w:rFonts w:ascii="Times New Roman" w:hAnsi="Times New Roman" w:eastAsia="宋体" w:cs="Times New Roman"/>
          <w:b/>
          <w:bCs w:val="0"/>
          <w:color w:val="000000" w:themeColor="text1"/>
          <w14:textFill>
            <w14:solidFill>
              <w14:schemeClr w14:val="tx1"/>
            </w14:solidFill>
          </w14:textFill>
        </w:rPr>
        <w:t>2</w:t>
      </w:r>
      <w:r>
        <w:rPr>
          <w:rFonts w:ascii="Times New Roman" w:hAnsi="Times New Roman" w:eastAsia="宋体" w:cs="Times New Roman"/>
          <w:b/>
          <w:bCs w:val="0"/>
          <w:color w:val="000000" w:themeColor="text1"/>
          <w:lang w:val="en-GB"/>
          <w14:textFill>
            <w14:solidFill>
              <w14:schemeClr w14:val="tx1"/>
            </w14:solidFill>
          </w14:textFill>
        </w:rPr>
        <w:t xml:space="preserve"> </w:t>
      </w:r>
      <w:r>
        <w:rPr>
          <w:rFonts w:ascii="Times New Roman" w:hAnsi="Times New Roman" w:eastAsia="宋体" w:cs="Times New Roman"/>
          <w:b/>
          <w:bCs w:val="0"/>
          <w:color w:val="000000" w:themeColor="text1"/>
          <w14:textFill>
            <w14:solidFill>
              <w14:schemeClr w14:val="tx1"/>
            </w14:solidFill>
          </w14:textFill>
        </w:rPr>
        <w:t>开采技术条件</w:t>
      </w:r>
    </w:p>
    <w:p w14:paraId="75C053F0">
      <w:pPr>
        <w:keepNext/>
        <w:keepLines/>
        <w:adjustRightInd w:val="0"/>
        <w:snapToGrid w:val="0"/>
        <w:spacing w:line="360" w:lineRule="auto"/>
        <w:ind w:firstLine="560" w:firstLineChars="200"/>
        <w:outlineLvl w:val="3"/>
        <w:rPr>
          <w:rFonts w:ascii="Times New Roman" w:hAnsi="Times New Roman" w:eastAsia="黑体" w:cs="Times New Roman"/>
          <w:sz w:val="28"/>
          <w:szCs w:val="28"/>
        </w:rPr>
      </w:pPr>
      <w:r>
        <w:rPr>
          <w:rFonts w:ascii="Times New Roman" w:hAnsi="Times New Roman" w:eastAsia="黑体" w:cs="Times New Roman"/>
          <w:sz w:val="28"/>
          <w:szCs w:val="28"/>
        </w:rPr>
        <w:t>2.3.2.1水文地质条件</w:t>
      </w:r>
    </w:p>
    <w:p w14:paraId="120DDA34">
      <w:pPr>
        <w:adjustRightInd w:val="0"/>
        <w:snapToGrid w:val="0"/>
        <w:spacing w:line="360" w:lineRule="auto"/>
        <w:ind w:firstLine="562" w:firstLineChars="200"/>
        <w:rPr>
          <w:rFonts w:ascii="Times New Roman" w:hAnsi="Times New Roman" w:eastAsia="宋体" w:cs="Times New Roman"/>
          <w:b/>
          <w:bCs/>
          <w:sz w:val="28"/>
          <w:szCs w:val="21"/>
        </w:rPr>
      </w:pPr>
      <w:r>
        <w:rPr>
          <w:rFonts w:ascii="Times New Roman" w:hAnsi="Times New Roman" w:eastAsia="宋体" w:cs="Times New Roman"/>
          <w:b/>
          <w:bCs/>
          <w:sz w:val="28"/>
          <w:szCs w:val="21"/>
        </w:rPr>
        <w:t>一、矿区水文地质条件</w:t>
      </w:r>
    </w:p>
    <w:p w14:paraId="38F6FFCF">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1、矿区含水组特征</w:t>
      </w:r>
    </w:p>
    <w:p w14:paraId="51CEC933">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矿区区域属构造侵蚀、溶蚀中山地貌。根据地下水赋存条件、水理性质、富水性和水力性质，区内地下水可划分为两种类型。</w:t>
      </w:r>
    </w:p>
    <w:p w14:paraId="437BA6F1">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（1）第四系孔隙水含水层</w:t>
      </w:r>
    </w:p>
    <w:p w14:paraId="7C801A27">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为直接充水含水层，分布于矿区地表，为深灰色、褐红色、灰黑色残破积粘土、含砾粘土，厚度1～8m，结构松散，孔隙度大，透水性强，含水层薄，水位埋藏浅，其直接接受大气降水的补给。属季节性大气降水短期含水层，在调查时未发现有地表泉水点。其含水层赋水性与空隙、裂隙发育程度及连通性密切相关，由于矿区内的第四系松散堆积层孔隙较大，地形坡度较大，堆积层难以长久赋存雨水，富水性弱，对采矿活动无较大充水影响。</w:t>
      </w:r>
    </w:p>
    <w:p w14:paraId="79BE4DA1">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（2）岩溶裂隙含水层</w:t>
      </w:r>
    </w:p>
    <w:p w14:paraId="48260B41">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为直接充水含水层，分布于矿区二叠系中统茅口组（P</w:t>
      </w:r>
      <w:r>
        <w:rPr>
          <w:rFonts w:ascii="Times New Roman" w:hAnsi="Times New Roman" w:eastAsia="宋体" w:cs="Times New Roman"/>
          <w:sz w:val="28"/>
          <w:szCs w:val="21"/>
          <w:vertAlign w:val="subscript"/>
        </w:rPr>
        <w:t>2</w:t>
      </w:r>
      <w:r>
        <w:rPr>
          <w:rFonts w:ascii="Times New Roman" w:hAnsi="Times New Roman" w:eastAsia="宋体" w:cs="Times New Roman"/>
          <w:sz w:val="28"/>
          <w:szCs w:val="21"/>
        </w:rPr>
        <w:t>m）灰岩，厚度360～410m。含水层以岩石中的节理裂隙、溶蚀孔隙及地下溶洞为地下水的赋存场所及运移通道，富水性及透水性取决于节理裂隙、溶蚀孔隙的分布与连通情况，具各向异性，地下水径流模数6—11.2 L/s.km</w:t>
      </w:r>
      <w:r>
        <w:rPr>
          <w:rFonts w:ascii="Times New Roman" w:hAnsi="Times New Roman" w:eastAsia="宋体" w:cs="Times New Roman"/>
          <w:sz w:val="28"/>
          <w:szCs w:val="21"/>
          <w:vertAlign w:val="superscript"/>
        </w:rPr>
        <w:t>2</w:t>
      </w:r>
      <w:r>
        <w:rPr>
          <w:rFonts w:ascii="Times New Roman" w:hAnsi="Times New Roman" w:eastAsia="宋体" w:cs="Times New Roman"/>
          <w:sz w:val="28"/>
          <w:szCs w:val="21"/>
        </w:rPr>
        <w:t>，富水性中等～强，水化学类型为HCO</w:t>
      </w:r>
      <w:r>
        <w:rPr>
          <w:rFonts w:ascii="Times New Roman" w:hAnsi="Times New Roman" w:eastAsia="宋体" w:cs="Times New Roman"/>
          <w:sz w:val="28"/>
          <w:szCs w:val="21"/>
          <w:vertAlign w:val="subscript"/>
        </w:rPr>
        <w:t>3</w:t>
      </w:r>
      <w:r>
        <w:rPr>
          <w:rFonts w:ascii="Times New Roman" w:hAnsi="Times New Roman" w:eastAsia="宋体" w:cs="Times New Roman"/>
          <w:sz w:val="28"/>
          <w:szCs w:val="21"/>
        </w:rPr>
        <w:t>-Ca型。岩溶水补给来源主要为大气降水及孔隙水下渗，沿节理裂隙与溶蚀孔隙运移。矿区（开采区）位置较高，地下水埋深较大，区内含水层富水性较弱。</w:t>
      </w:r>
    </w:p>
    <w:p w14:paraId="06D30CB1">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2、补给、径流、排泄条件</w:t>
      </w:r>
    </w:p>
    <w:p w14:paraId="03D46236">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矿区位于长江水系的金沙江支流横江流域，属于水文地质单元补给区，矿床最低拟设开采标高高于当地侵蚀基准面（标高680m）。</w:t>
      </w:r>
      <w:r>
        <w:rPr>
          <w:rFonts w:hint="eastAsia" w:ascii="Times New Roman" w:hAnsi="Times New Roman" w:eastAsia="宋体" w:cs="Times New Roman"/>
          <w:sz w:val="28"/>
          <w:szCs w:val="21"/>
        </w:rPr>
        <w:t>矿</w:t>
      </w:r>
      <w:r>
        <w:rPr>
          <w:rFonts w:ascii="Times New Roman" w:hAnsi="Times New Roman" w:eastAsia="宋体" w:cs="Times New Roman"/>
          <w:sz w:val="28"/>
          <w:szCs w:val="21"/>
        </w:rPr>
        <w:t>区最低拟设开采标高为752m，开采的矿体出露标高为937m～752m，全部分布于侵蚀基准面以上。</w:t>
      </w:r>
    </w:p>
    <w:p w14:paraId="49CD7EDB">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矿区为斜坡地形，地势总体东高西低，矿体分布在较高地带，富水性较弱。</w:t>
      </w:r>
    </w:p>
    <w:p w14:paraId="127E46A8">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地势较高，地表水排泄通畅；区内岩溶裂隙较发育，沟系不发育，地表水贫乏，矿区主要靠大气降水通过地表径流汇入，其汇水量随季节变化。矿区地下水的补给主要是大气降水补给，接受降水后由于采场位于相对较高部位，且地形坡度较大，矿区内矿石透水性能好，从矿区由东向西自然排泄，具有雨季补给，雨季排泄的特点，交替循环强烈，地表水难以滞留存储，对采矿无较大充水影响，矿区水文地质条件简单。</w:t>
      </w:r>
    </w:p>
    <w:p w14:paraId="3B81D5EF">
      <w:pPr>
        <w:adjustRightInd w:val="0"/>
        <w:snapToGrid w:val="0"/>
        <w:spacing w:line="360" w:lineRule="auto"/>
        <w:ind w:firstLine="562" w:firstLineChars="200"/>
        <w:rPr>
          <w:rFonts w:ascii="Times New Roman" w:hAnsi="Times New Roman" w:eastAsia="宋体" w:cs="Times New Roman"/>
          <w:b/>
          <w:bCs/>
          <w:sz w:val="28"/>
          <w:szCs w:val="21"/>
        </w:rPr>
      </w:pPr>
      <w:r>
        <w:rPr>
          <w:rFonts w:ascii="Times New Roman" w:hAnsi="Times New Roman" w:eastAsia="宋体" w:cs="Times New Roman"/>
          <w:b/>
          <w:bCs/>
          <w:sz w:val="28"/>
          <w:szCs w:val="21"/>
        </w:rPr>
        <w:t>二、矿床充水来源及水文地质勘查类型分析</w:t>
      </w:r>
    </w:p>
    <w:p w14:paraId="79DE9B98">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矿区内矿床充水来源主要有以下两种：</w:t>
      </w:r>
    </w:p>
    <w:p w14:paraId="5461A37A">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1、大气降水</w:t>
      </w:r>
    </w:p>
    <w:p w14:paraId="383F8E52">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矿区地下水的补给来源主要是大气降水，浅部地层中的裂隙是大气降水补给地下水的主要通道。矿区大气降水一部分通过岩石裂隙、岩溶下渗补给地下水，另一部分通过地表径流的形式自然排泄。</w:t>
      </w:r>
    </w:p>
    <w:p w14:paraId="2156ED01">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根据矿区内矿床主要充水含水层的空间特征，应属以大气降水充水为主的矿床。</w:t>
      </w:r>
    </w:p>
    <w:p w14:paraId="39B28B19">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2、岩溶裂隙含水层</w:t>
      </w:r>
    </w:p>
    <w:p w14:paraId="261297CD">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矿区分布的二叠系中统茅口组（P</w:t>
      </w:r>
      <w:r>
        <w:rPr>
          <w:rFonts w:ascii="Times New Roman" w:hAnsi="Times New Roman" w:eastAsia="宋体" w:cs="Times New Roman"/>
          <w:sz w:val="28"/>
          <w:szCs w:val="21"/>
          <w:vertAlign w:val="subscript"/>
        </w:rPr>
        <w:t>2</w:t>
      </w:r>
      <w:r>
        <w:rPr>
          <w:rFonts w:ascii="Times New Roman" w:hAnsi="Times New Roman" w:eastAsia="宋体" w:cs="Times New Roman"/>
          <w:sz w:val="28"/>
          <w:szCs w:val="21"/>
        </w:rPr>
        <w:t>m）灰岩，节理裂隙、岩溶较发育，岩石裂隙、岩溶是地下水富集及径流重要通道。</w:t>
      </w:r>
    </w:p>
    <w:p w14:paraId="3D4426C2">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3、地下、地表水对矿床开采的影响</w:t>
      </w:r>
    </w:p>
    <w:p w14:paraId="2A0BC5F1">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床最低拟设开采标高和资源量估算最低标高为752m，矿区当地侵蚀基准面在矿区西北部，海拔680m，地下水位埋深低于最低拟设开采标高，地下水对矿床开采无较大影响。矿床拟为山坡露天开采，大气降水为矿坑充水主要来源，充水量与大气降水的强度、采场大小、地形条件相关，充水方式为大气降水通过坡流沿采场边帮和直接降水汇入采场内。</w:t>
      </w:r>
    </w:p>
    <w:p w14:paraId="25A78809">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矿山拟采用山坡露天开采，大气降水可通过露天采场裂隙渗漏或自然排泄，不会滞留于露天采场内。另外应在采场周围构筑截水沟，防止大气降水通过坡流汇入矿坑。</w:t>
      </w:r>
    </w:p>
    <w:p w14:paraId="098AFC68">
      <w:pPr>
        <w:adjustRightInd w:val="0"/>
        <w:snapToGrid w:val="0"/>
        <w:spacing w:line="360" w:lineRule="auto"/>
        <w:ind w:firstLine="562" w:firstLineChars="200"/>
        <w:rPr>
          <w:rFonts w:ascii="Times New Roman" w:hAnsi="Times New Roman" w:eastAsia="宋体" w:cs="Times New Roman"/>
          <w:b/>
          <w:bCs/>
          <w:sz w:val="28"/>
          <w:szCs w:val="21"/>
        </w:rPr>
      </w:pPr>
      <w:r>
        <w:rPr>
          <w:rFonts w:ascii="Times New Roman" w:hAnsi="Times New Roman" w:eastAsia="宋体" w:cs="Times New Roman"/>
          <w:b/>
          <w:bCs/>
          <w:sz w:val="28"/>
          <w:szCs w:val="21"/>
        </w:rPr>
        <w:t>三、矿山供水水源地</w:t>
      </w:r>
    </w:p>
    <w:p w14:paraId="4FA7945B">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矿山生活用水引自矿区东部的大坡上居民用水水源，取水点标高1234m</w:t>
      </w:r>
      <w:r>
        <w:rPr>
          <w:rFonts w:hint="eastAsia" w:ascii="Times New Roman" w:hAnsi="Times New Roman" w:eastAsia="宋体" w:cs="Times New Roman"/>
          <w:sz w:val="28"/>
          <w:szCs w:val="21"/>
        </w:rPr>
        <w:t>，</w:t>
      </w:r>
      <w:r>
        <w:rPr>
          <w:rFonts w:ascii="Times New Roman" w:hAnsi="Times New Roman" w:eastAsia="宋体" w:cs="Times New Roman"/>
          <w:sz w:val="28"/>
          <w:szCs w:val="21"/>
        </w:rPr>
        <w:t>距矿区约0.9km。</w:t>
      </w:r>
    </w:p>
    <w:p w14:paraId="3D38175C">
      <w:pPr>
        <w:adjustRightInd w:val="0"/>
        <w:snapToGrid w:val="0"/>
        <w:spacing w:line="360" w:lineRule="auto"/>
        <w:ind w:firstLine="562" w:firstLineChars="200"/>
        <w:rPr>
          <w:rFonts w:ascii="Times New Roman" w:hAnsi="Times New Roman" w:eastAsia="宋体" w:cs="Times New Roman"/>
          <w:b/>
          <w:bCs/>
          <w:sz w:val="28"/>
          <w:szCs w:val="21"/>
        </w:rPr>
      </w:pPr>
      <w:r>
        <w:rPr>
          <w:rFonts w:ascii="Times New Roman" w:hAnsi="Times New Roman" w:eastAsia="宋体" w:cs="Times New Roman"/>
          <w:b/>
          <w:bCs/>
          <w:sz w:val="28"/>
          <w:szCs w:val="21"/>
        </w:rPr>
        <w:t>四、露天采场涌水量预测</w:t>
      </w:r>
    </w:p>
    <w:p w14:paraId="2674504F">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床开采方式拟为山坡露天开采，地下水对矿床无较大充水影响，季节性大气降雨是未来矿坑充水的主要来源。采坑充水因素主要来源于大气降水，故采用水均衡法估算露天采矿场内的大气降水量。计算公式如下：</w:t>
      </w:r>
    </w:p>
    <w:p w14:paraId="43104AF3">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Q</w:t>
      </w:r>
      <w:r>
        <w:rPr>
          <w:rFonts w:ascii="Times New Roman" w:hAnsi="Times New Roman" w:eastAsia="宋体" w:cs="Times New Roman"/>
          <w:sz w:val="28"/>
          <w:szCs w:val="21"/>
          <w:vertAlign w:val="subscript"/>
        </w:rPr>
        <w:t>1</w:t>
      </w:r>
      <w:r>
        <w:rPr>
          <w:rFonts w:ascii="Times New Roman" w:hAnsi="Times New Roman" w:eastAsia="宋体" w:cs="Times New Roman"/>
          <w:sz w:val="28"/>
          <w:szCs w:val="21"/>
        </w:rPr>
        <w:t>=X*F</w:t>
      </w:r>
      <w:r>
        <w:rPr>
          <w:rFonts w:ascii="Times New Roman" w:hAnsi="Times New Roman" w:eastAsia="宋体" w:cs="Times New Roman"/>
          <w:sz w:val="28"/>
          <w:szCs w:val="21"/>
          <w:vertAlign w:val="subscript"/>
        </w:rPr>
        <w:t>1</w:t>
      </w:r>
      <w:r>
        <w:rPr>
          <w:rFonts w:ascii="Times New Roman" w:hAnsi="Times New Roman" w:eastAsia="宋体" w:cs="Times New Roman"/>
          <w:sz w:val="28"/>
          <w:szCs w:val="21"/>
        </w:rPr>
        <w:t>/t</w:t>
      </w:r>
    </w:p>
    <w:p w14:paraId="06B5811F">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式中：</w:t>
      </w:r>
    </w:p>
    <w:p w14:paraId="522E0E09">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Q</w:t>
      </w:r>
      <w:r>
        <w:rPr>
          <w:rFonts w:ascii="Times New Roman" w:hAnsi="Times New Roman" w:eastAsia="宋体" w:cs="Times New Roman"/>
          <w:sz w:val="28"/>
          <w:szCs w:val="21"/>
          <w:vertAlign w:val="subscript"/>
        </w:rPr>
        <w:t>1</w:t>
      </w:r>
      <w:r>
        <w:rPr>
          <w:rFonts w:ascii="Times New Roman" w:hAnsi="Times New Roman" w:eastAsia="宋体" w:cs="Times New Roman"/>
          <w:sz w:val="28"/>
          <w:szCs w:val="21"/>
        </w:rPr>
        <w:t>——直接降落在露天采坑内的大气降水量，m</w:t>
      </w:r>
      <w:r>
        <w:rPr>
          <w:rFonts w:ascii="Times New Roman" w:hAnsi="Times New Roman" w:eastAsia="宋体" w:cs="Times New Roman"/>
          <w:sz w:val="28"/>
          <w:szCs w:val="21"/>
          <w:vertAlign w:val="superscript"/>
        </w:rPr>
        <w:t>3</w:t>
      </w:r>
      <w:r>
        <w:rPr>
          <w:rFonts w:ascii="Times New Roman" w:hAnsi="Times New Roman" w:eastAsia="宋体" w:cs="Times New Roman"/>
          <w:sz w:val="28"/>
          <w:szCs w:val="21"/>
        </w:rPr>
        <w:t>/d；</w:t>
      </w:r>
    </w:p>
    <w:p w14:paraId="7BC38480">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X——年均降水量，m</w:t>
      </w:r>
      <w:r>
        <w:rPr>
          <w:rFonts w:ascii="Times New Roman" w:hAnsi="Times New Roman" w:eastAsia="宋体" w:cs="Times New Roman"/>
          <w:sz w:val="28"/>
          <w:szCs w:val="21"/>
          <w:vertAlign w:val="superscript"/>
        </w:rPr>
        <w:t>3</w:t>
      </w:r>
      <w:r>
        <w:rPr>
          <w:rFonts w:ascii="Times New Roman" w:hAnsi="Times New Roman" w:eastAsia="宋体" w:cs="Times New Roman"/>
          <w:sz w:val="28"/>
          <w:szCs w:val="21"/>
        </w:rPr>
        <w:t>。为1220mm（1.22m）；</w:t>
      </w:r>
    </w:p>
    <w:p w14:paraId="4F115B24">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F</w:t>
      </w:r>
      <w:r>
        <w:rPr>
          <w:rFonts w:ascii="Times New Roman" w:hAnsi="Times New Roman" w:eastAsia="宋体" w:cs="Times New Roman"/>
          <w:sz w:val="28"/>
          <w:szCs w:val="21"/>
          <w:vertAlign w:val="subscript"/>
        </w:rPr>
        <w:t>1</w:t>
      </w:r>
      <w:r>
        <w:rPr>
          <w:rFonts w:ascii="Times New Roman" w:hAnsi="Times New Roman" w:eastAsia="宋体" w:cs="Times New Roman"/>
          <w:sz w:val="28"/>
          <w:szCs w:val="21"/>
        </w:rPr>
        <w:t>——露天采矿场面积，m</w:t>
      </w:r>
      <w:r>
        <w:rPr>
          <w:rFonts w:ascii="Times New Roman" w:hAnsi="Times New Roman" w:eastAsia="宋体" w:cs="Times New Roman"/>
          <w:sz w:val="28"/>
          <w:szCs w:val="21"/>
          <w:vertAlign w:val="superscript"/>
        </w:rPr>
        <w:t>2</w:t>
      </w:r>
      <w:r>
        <w:rPr>
          <w:rFonts w:ascii="Times New Roman" w:hAnsi="Times New Roman" w:eastAsia="宋体" w:cs="Times New Roman"/>
          <w:sz w:val="28"/>
          <w:szCs w:val="21"/>
        </w:rPr>
        <w:t>。为181618m</w:t>
      </w:r>
      <w:r>
        <w:rPr>
          <w:rFonts w:ascii="Times New Roman" w:hAnsi="Times New Roman" w:eastAsia="宋体" w:cs="Times New Roman"/>
          <w:sz w:val="28"/>
          <w:szCs w:val="21"/>
          <w:vertAlign w:val="superscript"/>
        </w:rPr>
        <w:t>2</w:t>
      </w:r>
      <w:r>
        <w:rPr>
          <w:rFonts w:ascii="Times New Roman" w:hAnsi="Times New Roman" w:eastAsia="宋体" w:cs="Times New Roman"/>
          <w:sz w:val="28"/>
          <w:szCs w:val="21"/>
        </w:rPr>
        <w:t>；</w:t>
      </w:r>
    </w:p>
    <w:p w14:paraId="5975B605">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T——一年时间，d为365天；</w:t>
      </w:r>
    </w:p>
    <w:p w14:paraId="4541F5F2">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则：</w:t>
      </w:r>
    </w:p>
    <w:p w14:paraId="4D1DF421">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Q</w:t>
      </w:r>
      <w:r>
        <w:rPr>
          <w:rFonts w:ascii="Times New Roman" w:hAnsi="Times New Roman" w:eastAsia="宋体" w:cs="Times New Roman"/>
          <w:sz w:val="28"/>
          <w:szCs w:val="21"/>
          <w:vertAlign w:val="subscript"/>
        </w:rPr>
        <w:t>1</w:t>
      </w:r>
      <w:r>
        <w:rPr>
          <w:rFonts w:ascii="Times New Roman" w:hAnsi="Times New Roman" w:eastAsia="宋体" w:cs="Times New Roman"/>
          <w:sz w:val="28"/>
          <w:szCs w:val="21"/>
        </w:rPr>
        <w:t>=1.22×181618÷365=607.05（m</w:t>
      </w:r>
      <w:r>
        <w:rPr>
          <w:rFonts w:ascii="Times New Roman" w:hAnsi="Times New Roman" w:eastAsia="宋体" w:cs="Times New Roman"/>
          <w:sz w:val="28"/>
          <w:szCs w:val="21"/>
          <w:vertAlign w:val="superscript"/>
        </w:rPr>
        <w:t>3</w:t>
      </w:r>
      <w:r>
        <w:rPr>
          <w:rFonts w:ascii="Times New Roman" w:hAnsi="Times New Roman" w:eastAsia="宋体" w:cs="Times New Roman"/>
          <w:sz w:val="28"/>
          <w:szCs w:val="21"/>
        </w:rPr>
        <w:t>/d）</w:t>
      </w:r>
    </w:p>
    <w:p w14:paraId="2B042BD1">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即采坑涌水量为607.05m</w:t>
      </w:r>
      <w:r>
        <w:rPr>
          <w:rFonts w:ascii="Times New Roman" w:hAnsi="Times New Roman" w:eastAsia="宋体" w:cs="Times New Roman"/>
          <w:sz w:val="28"/>
          <w:szCs w:val="21"/>
          <w:vertAlign w:val="superscript"/>
        </w:rPr>
        <w:t>3</w:t>
      </w:r>
      <w:r>
        <w:rPr>
          <w:rFonts w:ascii="Times New Roman" w:hAnsi="Times New Roman" w:eastAsia="宋体" w:cs="Times New Roman"/>
          <w:sz w:val="28"/>
          <w:szCs w:val="21"/>
        </w:rPr>
        <w:t>/d。</w:t>
      </w:r>
    </w:p>
    <w:p w14:paraId="1340C804">
      <w:pPr>
        <w:adjustRightInd w:val="0"/>
        <w:snapToGrid w:val="0"/>
        <w:spacing w:line="360" w:lineRule="auto"/>
        <w:ind w:firstLine="562" w:firstLineChars="200"/>
        <w:rPr>
          <w:rFonts w:ascii="Times New Roman" w:hAnsi="Times New Roman" w:eastAsia="宋体" w:cs="Times New Roman"/>
          <w:b/>
          <w:bCs/>
          <w:sz w:val="28"/>
          <w:szCs w:val="21"/>
        </w:rPr>
      </w:pPr>
      <w:r>
        <w:rPr>
          <w:rFonts w:ascii="Times New Roman" w:hAnsi="Times New Roman" w:eastAsia="宋体" w:cs="Times New Roman"/>
          <w:b/>
          <w:bCs/>
          <w:sz w:val="28"/>
          <w:szCs w:val="21"/>
        </w:rPr>
        <w:t>五、水文地质条件小结</w:t>
      </w:r>
    </w:p>
    <w:p w14:paraId="23C613B7">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矿床拟采用露天开采，地下水埋藏较深，对矿床无较大充水影响；矿床充水主要为季节性大气降雨的下渗，开采范围内裂隙水可通过采场边坡及斜坡自然排泄。地表水及地下水对采矿活动无较大影响。</w:t>
      </w:r>
    </w:p>
    <w:p w14:paraId="1DC23171">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因此，矿区水文地质勘查类型属以岩溶裂隙含水层直接充水为主的简单类型。</w:t>
      </w:r>
    </w:p>
    <w:p w14:paraId="222BF0A8">
      <w:pPr>
        <w:keepNext/>
        <w:keepLines/>
        <w:adjustRightInd w:val="0"/>
        <w:snapToGrid w:val="0"/>
        <w:spacing w:line="360" w:lineRule="auto"/>
        <w:ind w:firstLine="560" w:firstLineChars="200"/>
        <w:outlineLvl w:val="3"/>
        <w:rPr>
          <w:rFonts w:ascii="Times New Roman" w:hAnsi="Times New Roman" w:eastAsia="黑体" w:cs="Times New Roman"/>
          <w:sz w:val="28"/>
          <w:szCs w:val="28"/>
        </w:rPr>
      </w:pPr>
      <w:r>
        <w:rPr>
          <w:rFonts w:ascii="Times New Roman" w:hAnsi="Times New Roman" w:eastAsia="黑体" w:cs="Times New Roman"/>
          <w:sz w:val="28"/>
          <w:szCs w:val="28"/>
        </w:rPr>
        <w:t>2.3.2.2工程地质条件</w:t>
      </w:r>
    </w:p>
    <w:p w14:paraId="2DFF751E">
      <w:pPr>
        <w:adjustRightInd w:val="0"/>
        <w:snapToGrid w:val="0"/>
        <w:spacing w:line="360" w:lineRule="auto"/>
        <w:ind w:firstLine="562" w:firstLineChars="200"/>
        <w:rPr>
          <w:rFonts w:ascii="Times New Roman" w:hAnsi="Times New Roman" w:eastAsia="宋体" w:cs="Times New Roman"/>
          <w:b/>
          <w:bCs/>
          <w:sz w:val="28"/>
          <w:szCs w:val="21"/>
        </w:rPr>
      </w:pPr>
      <w:r>
        <w:rPr>
          <w:rFonts w:ascii="Times New Roman" w:hAnsi="Times New Roman" w:eastAsia="宋体" w:cs="Times New Roman"/>
          <w:b/>
          <w:bCs/>
          <w:sz w:val="28"/>
          <w:szCs w:val="21"/>
        </w:rPr>
        <w:t>一、工程地质现状</w:t>
      </w:r>
    </w:p>
    <w:p w14:paraId="5CFC8F08">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矿区工程地质岩组主要由松软岩组和层状岩类较坚硬岩组组成：</w:t>
      </w:r>
    </w:p>
    <w:p w14:paraId="7E27BFBF">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1、松软岩组：主要为矿区第四系深灰色、褐红色、灰黑色残破积粘土、含砾粘土，厚度1～8m，该岩组孔隙度大，压缩性较高，结构松散，稳定性差，力学强度低且不均匀，为松软岩层。主要分布于矿区裸露岩石间，易受季节性降雨冲蚀，但厚度不大，对未来矿山开采影响不大，构、建筑物布置于该松散层时应特别注意基础和边坡的稳定性。</w:t>
      </w:r>
    </w:p>
    <w:p w14:paraId="0C316911">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2、较坚硬岩组：为矿区</w:t>
      </w:r>
      <w:r>
        <w:rPr>
          <w:rFonts w:hint="eastAsia" w:ascii="Times New Roman" w:hAnsi="Times New Roman" w:eastAsia="宋体" w:cs="Times New Roman"/>
          <w:sz w:val="28"/>
          <w:szCs w:val="21"/>
        </w:rPr>
        <w:t>出</w:t>
      </w:r>
      <w:r>
        <w:rPr>
          <w:rFonts w:ascii="Times New Roman" w:hAnsi="Times New Roman" w:eastAsia="宋体" w:cs="Times New Roman"/>
          <w:sz w:val="28"/>
          <w:szCs w:val="21"/>
        </w:rPr>
        <w:t>露的二叠系中统茅口组（P2m）灰岩。岩性为灰至深灰色生物碎屑灰岩，呈厚层状、块状产出，厚度360～410m，饱和单轴抗压强度为58.7～63.3MPa，节理裂隙、岩溶较发育。岩石完整性为中等，基本质量等级Ⅱ～Ⅲ级。该岩组岩石总体强度较高，稳固性较好，为良好工程地质岩体，但节理裂隙、岩溶较发育，矿山开采应选择合适的边坡角和加强对不良工程地质现象的监控、治理，防止边坡垮塌（滑坡）、岩溶塌陷等，造成危害。</w:t>
      </w:r>
    </w:p>
    <w:p w14:paraId="1C96DF87">
      <w:pPr>
        <w:adjustRightInd w:val="0"/>
        <w:snapToGrid w:val="0"/>
        <w:spacing w:line="360" w:lineRule="auto"/>
        <w:ind w:firstLine="562" w:firstLineChars="200"/>
        <w:rPr>
          <w:rFonts w:ascii="Times New Roman" w:hAnsi="Times New Roman" w:eastAsia="宋体" w:cs="Times New Roman"/>
          <w:b/>
          <w:bCs/>
          <w:sz w:val="28"/>
          <w:szCs w:val="21"/>
        </w:rPr>
      </w:pPr>
      <w:r>
        <w:rPr>
          <w:rFonts w:ascii="Times New Roman" w:hAnsi="Times New Roman" w:eastAsia="宋体" w:cs="Times New Roman"/>
          <w:b/>
          <w:bCs/>
          <w:sz w:val="28"/>
          <w:szCs w:val="21"/>
        </w:rPr>
        <w:t>二、露天采场边坡稳定性评价</w:t>
      </w:r>
    </w:p>
    <w:p w14:paraId="21A58DFC">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据矿体及其围岩工程地质条件，影响矿体露天开采边坡稳定性的岩石主要是矿体本身。采场边坡的角度留设非常重要，选用50°的边坡角，通过类比，露天边坡属于较稳定型边坡。施工时要严格按照设计进行，才能确保边坡稳定。</w:t>
      </w:r>
    </w:p>
    <w:p w14:paraId="5E612CB0">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采场北东侧、南西侧边坡坡向与地层（矿层）倾向斜交，边坡稳定性分析化为次稳定区；东侧边坡坡向与地层（矿层）倾向基本一致，边坡稳定性分析化为次不稳定区；西侧边坡坡向与地层（矿层）倾向基本相反，边坡稳定性分析化为稳定区。</w:t>
      </w:r>
    </w:p>
    <w:p w14:paraId="3C454B0B">
      <w:pPr>
        <w:adjustRightInd w:val="0"/>
        <w:snapToGrid w:val="0"/>
        <w:spacing w:line="360" w:lineRule="auto"/>
        <w:ind w:firstLine="562" w:firstLineChars="200"/>
        <w:rPr>
          <w:rFonts w:ascii="Times New Roman" w:hAnsi="Times New Roman" w:eastAsia="宋体" w:cs="Times New Roman"/>
          <w:b/>
          <w:bCs/>
          <w:sz w:val="28"/>
          <w:szCs w:val="21"/>
        </w:rPr>
      </w:pPr>
      <w:r>
        <w:rPr>
          <w:rFonts w:ascii="Times New Roman" w:hAnsi="Times New Roman" w:eastAsia="宋体" w:cs="Times New Roman"/>
          <w:b/>
          <w:bCs/>
          <w:sz w:val="28"/>
          <w:szCs w:val="21"/>
        </w:rPr>
        <w:t>三、工程地质条件预测评价</w:t>
      </w:r>
    </w:p>
    <w:p w14:paraId="1E025E6A">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地层及地质构造简单，岩石以石灰岩为主，节理裂隙、岩溶较发育，岩体物理力学性质较好，稳固性较好；开采形成边坡后，边坡较陡，边坡包括第四系松散层、矿层等。第四系松散较薄，对开采影响不大。由于矿层性脆，节理裂隙、岩溶较发育，若边坡角选择不当，可能出现掉块、垮塌（滑坡）、岩溶塌陷现象。建议矿山在未来开采过程中要注意经验积累，及时调整边坡角大小，在结构面发育等稳定性较差地段要做削坡和护坡处理。未来矿山开采过程中可能诱发和加剧的工程地质问题是掉块、垮塌（滑坡）、岩溶塌陷等，应选择适当的边坡角，并采取必要的边坡治理、防岩溶塌陷事故措施。</w:t>
      </w:r>
    </w:p>
    <w:p w14:paraId="0FA9CA2C">
      <w:pPr>
        <w:adjustRightInd w:val="0"/>
        <w:snapToGrid w:val="0"/>
        <w:spacing w:line="360" w:lineRule="auto"/>
        <w:ind w:firstLine="562" w:firstLineChars="200"/>
        <w:rPr>
          <w:rFonts w:ascii="Times New Roman" w:hAnsi="Times New Roman" w:eastAsia="宋体" w:cs="Times New Roman"/>
          <w:b/>
          <w:bCs/>
          <w:sz w:val="28"/>
          <w:szCs w:val="21"/>
        </w:rPr>
      </w:pPr>
      <w:r>
        <w:rPr>
          <w:rFonts w:ascii="Times New Roman" w:hAnsi="Times New Roman" w:eastAsia="宋体" w:cs="Times New Roman"/>
          <w:b/>
          <w:bCs/>
          <w:sz w:val="28"/>
          <w:szCs w:val="21"/>
        </w:rPr>
        <w:t>四、工程地质条件小结</w:t>
      </w:r>
    </w:p>
    <w:p w14:paraId="16331251">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工程地质岩组主要为松软岩组和层状岩类较坚硬岩组，岩石以石灰岩为主，强度较高，总体评价其完整性和稳定性较好，但岩石节理裂隙、岩溶较发育，矿山开采过程中可能发生的工程地质问题有垮塌（滑坡）、岩溶塌陷、掉石等，应选择适当的边坡角，并采取必要的边坡治理、防岩溶塌陷事故措施。以避免发生采场边坡垮塌（滑坡）、岩溶塌陷、掉石等，威胁施工人员、公路运输及设备安全。</w:t>
      </w:r>
    </w:p>
    <w:p w14:paraId="48DC7907">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因此，矿床工程地质勘查类型属以层状岩类较坚硬岩组为主的中等类型。</w:t>
      </w:r>
    </w:p>
    <w:p w14:paraId="27BCDC4E">
      <w:pPr>
        <w:keepNext/>
        <w:keepLines/>
        <w:adjustRightInd w:val="0"/>
        <w:snapToGrid w:val="0"/>
        <w:spacing w:line="360" w:lineRule="auto"/>
        <w:ind w:firstLine="560" w:firstLineChars="200"/>
        <w:outlineLvl w:val="3"/>
        <w:rPr>
          <w:rFonts w:ascii="Times New Roman" w:hAnsi="Times New Roman" w:eastAsia="黑体" w:cs="Times New Roman"/>
          <w:sz w:val="28"/>
          <w:szCs w:val="28"/>
        </w:rPr>
      </w:pPr>
      <w:r>
        <w:rPr>
          <w:rFonts w:ascii="Times New Roman" w:hAnsi="Times New Roman" w:eastAsia="黑体" w:cs="Times New Roman"/>
          <w:sz w:val="28"/>
          <w:szCs w:val="28"/>
        </w:rPr>
        <w:t>2.3.2.3环境地质条件</w:t>
      </w:r>
    </w:p>
    <w:p w14:paraId="50709962">
      <w:pPr>
        <w:adjustRightInd w:val="0"/>
        <w:snapToGrid w:val="0"/>
        <w:spacing w:line="360" w:lineRule="auto"/>
        <w:ind w:firstLine="562" w:firstLineChars="200"/>
        <w:rPr>
          <w:rFonts w:ascii="Times New Roman" w:hAnsi="Times New Roman" w:eastAsia="宋体" w:cs="Times New Roman"/>
          <w:b/>
          <w:bCs/>
          <w:sz w:val="28"/>
          <w:szCs w:val="21"/>
        </w:rPr>
      </w:pPr>
      <w:r>
        <w:rPr>
          <w:rFonts w:ascii="Times New Roman" w:hAnsi="Times New Roman" w:eastAsia="宋体" w:cs="Times New Roman"/>
          <w:b/>
          <w:bCs/>
          <w:sz w:val="28"/>
          <w:szCs w:val="21"/>
        </w:rPr>
        <w:t>一、矿区环境地质现状评价</w:t>
      </w:r>
    </w:p>
    <w:p w14:paraId="4AFD345A">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1、区域稳定性及地震</w:t>
      </w:r>
    </w:p>
    <w:p w14:paraId="5435411C">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昭通市位于我国地震活动最强的南北向地震带东翼，境内地震活动频繁，断裂密布，地质构造复杂，近百年来发生过破坏性地震三十多次。地震烈度区划规定地震设防烈度之高为全国少有。基本上是小震大灾，大震巨灾，每次地震都具有频度高、强度大、分布广、灾害重的特点。</w:t>
      </w:r>
    </w:p>
    <w:p w14:paraId="3EF4E261">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根据《建筑抗震设计规范》（</w:t>
      </w:r>
      <w:r>
        <w:rPr>
          <w:rFonts w:hint="eastAsia" w:ascii="Times New Roman" w:hAnsi="Times New Roman" w:eastAsia="宋体" w:cs="Times New Roman"/>
          <w:sz w:val="28"/>
          <w:szCs w:val="21"/>
        </w:rPr>
        <w:t>GB 50011-2010[2016年版]</w:t>
      </w:r>
      <w:r>
        <w:rPr>
          <w:rFonts w:ascii="Times New Roman" w:hAnsi="Times New Roman" w:eastAsia="宋体" w:cs="Times New Roman"/>
          <w:sz w:val="28"/>
          <w:szCs w:val="21"/>
        </w:rPr>
        <w:t>），本区抗震设防烈度为7度，设计基本地震加速度值为0.10g，所属设计地震分组为第三组；根据《中国地震动参数区划图》（GB 18306-2015）</w:t>
      </w:r>
      <w:r>
        <w:rPr>
          <w:rFonts w:hint="eastAsia" w:ascii="Times New Roman" w:hAnsi="Times New Roman" w:eastAsia="宋体" w:cs="Times New Roman"/>
          <w:sz w:val="28"/>
          <w:szCs w:val="21"/>
        </w:rPr>
        <w:t>，</w:t>
      </w:r>
      <w:r>
        <w:rPr>
          <w:rFonts w:ascii="Times New Roman" w:hAnsi="Times New Roman" w:eastAsia="宋体" w:cs="Times New Roman"/>
          <w:sz w:val="28"/>
          <w:szCs w:val="21"/>
        </w:rPr>
        <w:t>本区地震动峰值加速度为0.10g，反应谱特征周期为0.45s</w:t>
      </w:r>
      <w:r>
        <w:rPr>
          <w:rFonts w:hint="eastAsia" w:ascii="Times New Roman" w:hAnsi="Times New Roman" w:eastAsia="宋体" w:cs="Times New Roman"/>
          <w:sz w:val="28"/>
          <w:szCs w:val="21"/>
        </w:rPr>
        <w:t>，</w:t>
      </w:r>
      <w:r>
        <w:rPr>
          <w:rFonts w:ascii="Times New Roman" w:hAnsi="Times New Roman" w:eastAsia="宋体" w:cs="Times New Roman"/>
          <w:sz w:val="28"/>
          <w:szCs w:val="21"/>
        </w:rPr>
        <w:t>区域地壳稳定性属次稳定区。</w:t>
      </w:r>
    </w:p>
    <w:p w14:paraId="060BE8F8">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2、社会环境与自然地理环境</w:t>
      </w:r>
    </w:p>
    <w:p w14:paraId="086C9300">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经向当地居民了解该区域历史上未发生过泥石流灾害。</w:t>
      </w:r>
    </w:p>
    <w:p w14:paraId="6422F306">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该矿为新立矿山，工业场地尚未建设。矿区附近300m范围内分布有民房。未来矿山开采产生的噪音、粉尘对环境影响不大。矿山未来开采对区内植被和地形地貌会造成一定</w:t>
      </w:r>
      <w:r>
        <w:rPr>
          <w:rFonts w:hint="eastAsia" w:ascii="Times New Roman" w:hAnsi="Times New Roman" w:eastAsia="宋体" w:cs="Times New Roman"/>
          <w:sz w:val="28"/>
          <w:szCs w:val="21"/>
        </w:rPr>
        <w:t>地</w:t>
      </w:r>
      <w:r>
        <w:rPr>
          <w:rFonts w:ascii="Times New Roman" w:hAnsi="Times New Roman" w:eastAsia="宋体" w:cs="Times New Roman"/>
          <w:sz w:val="28"/>
          <w:szCs w:val="21"/>
        </w:rPr>
        <w:t>破坏。区内植被较发育，矿区及附近地区没有需要保护的古建筑物、古文物、名胜古迹及地质遗迹和稀有动植物。</w:t>
      </w:r>
    </w:p>
    <w:p w14:paraId="0CD73E28">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矿区岩石物质成分稳定，有害物质含量少且不易分解，矿山的采矿活动，对矿区水环境无较大负面影响。</w:t>
      </w:r>
    </w:p>
    <w:p w14:paraId="7085DA15">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3、矿石中有害组分及对环境的影响</w:t>
      </w:r>
    </w:p>
    <w:p w14:paraId="0F4EAF9D">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根据矿石放射性分检测报告，矿石内照射指数（IRa）为0.07～0.33，外照射指数（Ir）为＜0.04～0.21。未超过《建筑材料放射性核素限量》(GB/6566-2010</w:t>
      </w:r>
      <w:r>
        <w:rPr>
          <w:rFonts w:hint="eastAsia" w:ascii="Times New Roman" w:hAnsi="Times New Roman" w:eastAsia="宋体" w:cs="Times New Roman"/>
          <w:sz w:val="28"/>
          <w:szCs w:val="21"/>
        </w:rPr>
        <w:t>）</w:t>
      </w:r>
      <w:r>
        <w:rPr>
          <w:rFonts w:ascii="Times New Roman" w:hAnsi="Times New Roman" w:eastAsia="宋体" w:cs="Times New Roman"/>
          <w:sz w:val="28"/>
          <w:szCs w:val="21"/>
        </w:rPr>
        <w:t>内照射指数（IRa）≤1.0、外照射指数（Ir）≤1.0的标准。</w:t>
      </w:r>
    </w:p>
    <w:p w14:paraId="18EA4BC0">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矿石有害元素及有害气体含量低，开采过程中不会对周边空气、环境和水源等造成污染和危害。</w:t>
      </w:r>
    </w:p>
    <w:p w14:paraId="0C340169">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4、矿山开采对地质环境的影响</w:t>
      </w:r>
    </w:p>
    <w:p w14:paraId="5E9BF1E1">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矿山拟采用露天开采方式开采，采矿会使原有地形发生改变，对地质环境造成一定的负面影响。采矿工程对地质环境的破坏形式主要是对原生地形地貌的破坏，主要表现为：</w:t>
      </w:r>
    </w:p>
    <w:p w14:paraId="62B36327">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（1）改变了原有自然地形地貌，形成露采边坡，边坡应力重新分布，出现卸荷裂隙，可能引发滑坡、崩塌等地质灾害。</w:t>
      </w:r>
    </w:p>
    <w:p w14:paraId="4367D96B">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（2）弃土、弃渣堆放不合理，可能引发泥石流。</w:t>
      </w:r>
    </w:p>
    <w:p w14:paraId="2004E70E">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（3）采矿爆破影响，可能产生飞石，或使坡体中结构面贯通，产生滑坡、崩塌等地质灾害。</w:t>
      </w:r>
    </w:p>
    <w:p w14:paraId="5C3F5095">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（4）采矿过程和运输造成灰尘飞扬，对矿区附近的地质环境造成一定的影响。</w:t>
      </w:r>
    </w:p>
    <w:p w14:paraId="4C7F1C20">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（5）运输：装卸、运输过程中产生的泄漏和扬尘，造成局部及运输沿线的污染和有碍视觉景观、行车安全。</w:t>
      </w:r>
    </w:p>
    <w:p w14:paraId="3D3EA45D">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（6）造成部分水土流失。</w:t>
      </w:r>
    </w:p>
    <w:p w14:paraId="0D137DD4">
      <w:pPr>
        <w:adjustRightInd w:val="0"/>
        <w:snapToGrid w:val="0"/>
        <w:spacing w:line="360" w:lineRule="auto"/>
        <w:ind w:firstLine="562" w:firstLineChars="200"/>
        <w:rPr>
          <w:rFonts w:ascii="Times New Roman" w:hAnsi="Times New Roman" w:eastAsia="宋体" w:cs="Times New Roman"/>
          <w:b/>
          <w:bCs/>
          <w:sz w:val="28"/>
          <w:szCs w:val="21"/>
        </w:rPr>
      </w:pPr>
      <w:r>
        <w:rPr>
          <w:rFonts w:ascii="Times New Roman" w:hAnsi="Times New Roman" w:eastAsia="宋体" w:cs="Times New Roman"/>
          <w:b/>
          <w:bCs/>
          <w:sz w:val="28"/>
          <w:szCs w:val="21"/>
        </w:rPr>
        <w:t>二、矿区环境地质预测评价</w:t>
      </w:r>
    </w:p>
    <w:p w14:paraId="0093E2C3">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山剥采施工将会破坏山体的自然稳定性，采场边坡过高或边坡角过大，可能诱发崩塌和滑坡等地质灾害。采矿、制灰废弃土、渣、石堆置不当，受雨水冲刷可能诱发滑坡、泥石流等地质灾害，危害矿山交通系统、破碎系统和住宿区。</w:t>
      </w:r>
    </w:p>
    <w:p w14:paraId="292BDBBA">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山开采要做到按设计开采，并对采空区及时进行覆土整平，根据矿区实际进行种草植树，以减轻水土流失，逐步恢复自然景观。剥采作业要遵循由上至下分台阶进行，严格控制坡高和边坡角，防止因边坡过陡或过高诱发采场边坡崩塌和滑坡。矿山应设置专门的排土场，剥采、制灰产生的废渣、土应集中堆放于排土场（废石场）内，并修筑可靠的拦砂坝进行挡护。开采过程中对不稳定地段进行削坡减荷处理。露天开采易产生粉尘，对环境造成影响，应进行洒水降尘。</w:t>
      </w:r>
    </w:p>
    <w:p w14:paraId="1A0B9215">
      <w:pPr>
        <w:adjustRightInd w:val="0"/>
        <w:snapToGrid w:val="0"/>
        <w:spacing w:line="360" w:lineRule="auto"/>
        <w:ind w:firstLine="562" w:firstLineChars="200"/>
        <w:rPr>
          <w:rFonts w:ascii="Times New Roman" w:hAnsi="Times New Roman" w:eastAsia="宋体" w:cs="Times New Roman"/>
          <w:b/>
          <w:bCs/>
          <w:sz w:val="28"/>
          <w:szCs w:val="21"/>
        </w:rPr>
      </w:pPr>
      <w:r>
        <w:rPr>
          <w:rFonts w:ascii="Times New Roman" w:hAnsi="Times New Roman" w:eastAsia="宋体" w:cs="Times New Roman"/>
          <w:b/>
          <w:bCs/>
          <w:sz w:val="28"/>
          <w:szCs w:val="21"/>
        </w:rPr>
        <w:t>三、环境地质条件小结</w:t>
      </w:r>
    </w:p>
    <w:p w14:paraId="22978958">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根据《建筑抗震设计规范》（</w:t>
      </w:r>
      <w:r>
        <w:rPr>
          <w:rFonts w:hint="eastAsia" w:ascii="Times New Roman" w:hAnsi="Times New Roman" w:eastAsia="宋体" w:cs="Times New Roman"/>
          <w:sz w:val="28"/>
          <w:szCs w:val="21"/>
        </w:rPr>
        <w:t>GB 50011-2010[2016年版]</w:t>
      </w:r>
      <w:r>
        <w:rPr>
          <w:rFonts w:ascii="Times New Roman" w:hAnsi="Times New Roman" w:eastAsia="宋体" w:cs="Times New Roman"/>
          <w:sz w:val="28"/>
          <w:szCs w:val="21"/>
        </w:rPr>
        <w:t>），本区抗震设防烈度为7度，设计基本地震加速度值为0.10g，所属设计地震分组为第三组；根据《中国地震动参数区划图》（GB 18306-2015）</w:t>
      </w:r>
      <w:r>
        <w:rPr>
          <w:rFonts w:hint="eastAsia" w:ascii="Times New Roman" w:hAnsi="Times New Roman" w:eastAsia="宋体" w:cs="Times New Roman"/>
          <w:sz w:val="28"/>
          <w:szCs w:val="21"/>
        </w:rPr>
        <w:t>，</w:t>
      </w:r>
      <w:r>
        <w:rPr>
          <w:rFonts w:ascii="Times New Roman" w:hAnsi="Times New Roman" w:eastAsia="宋体" w:cs="Times New Roman"/>
          <w:sz w:val="28"/>
          <w:szCs w:val="21"/>
        </w:rPr>
        <w:t>本区地震动峰值加速度为0.10g，反应谱特征周期为0.45s，区域地壳稳定性属次稳定区；矿区采场处于水文地质单元的补给、排泄区，水文地质条件为一般；矿区山高坡陡，围岩岩性组合简单，岩体风化程度一般，节理裂隙、岩溶较发育，工程地质条件中等；由于地形较陡，采场外力作用较多；矿区及附近无污染源，矿石及废土石</w:t>
      </w:r>
      <w:r>
        <w:rPr>
          <w:rFonts w:hint="eastAsia" w:ascii="Times New Roman" w:hAnsi="Times New Roman" w:eastAsia="宋体" w:cs="Times New Roman"/>
          <w:sz w:val="28"/>
          <w:szCs w:val="21"/>
        </w:rPr>
        <w:t>成分</w:t>
      </w:r>
      <w:r>
        <w:rPr>
          <w:rFonts w:ascii="Times New Roman" w:hAnsi="Times New Roman" w:eastAsia="宋体" w:cs="Times New Roman"/>
          <w:sz w:val="28"/>
          <w:szCs w:val="21"/>
        </w:rPr>
        <w:t>稳定；矿石开采对环境有一定影响，轻度污染，若边坡角选择不当，可能有掉块、垮塌（滑坡）等次生地质灾害，受开采等外力作用影响较大。</w:t>
      </w:r>
    </w:p>
    <w:p w14:paraId="3EF32BE6">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因此，矿区环境地质勘查类型属以次生环境地质问题为主的中等类型。</w:t>
      </w:r>
    </w:p>
    <w:p w14:paraId="0FA55595">
      <w:pPr>
        <w:keepNext/>
        <w:keepLines/>
        <w:adjustRightInd w:val="0"/>
        <w:snapToGrid w:val="0"/>
        <w:spacing w:line="360" w:lineRule="auto"/>
        <w:ind w:firstLine="560" w:firstLineChars="200"/>
        <w:outlineLvl w:val="3"/>
        <w:rPr>
          <w:rFonts w:ascii="Times New Roman" w:hAnsi="Times New Roman" w:eastAsia="黑体" w:cs="Times New Roman"/>
          <w:sz w:val="28"/>
          <w:szCs w:val="28"/>
        </w:rPr>
      </w:pPr>
      <w:r>
        <w:rPr>
          <w:rFonts w:ascii="Times New Roman" w:hAnsi="Times New Roman" w:eastAsia="黑体" w:cs="Times New Roman"/>
          <w:sz w:val="28"/>
          <w:szCs w:val="28"/>
        </w:rPr>
        <w:t>2.3.2.4开采技术条件小节</w:t>
      </w:r>
    </w:p>
    <w:p w14:paraId="1E15ECCA">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1、矿床水文地质勘查类型属以岩溶裂隙含水层直接充水为主的简单类型。</w:t>
      </w:r>
    </w:p>
    <w:p w14:paraId="26F7B2EE">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2、矿床工程地质勘查类型属以层状岩类较坚硬岩组为主的中等类型。</w:t>
      </w:r>
    </w:p>
    <w:p w14:paraId="4BE059C0">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3、区内地质环境较脆弱，随着矿山的开采，易导致环境变差。为此，要加强对采场边坡的变形监测、废石（土、渣）管理等，采取有效的防治措施，防止岩（土、渣）体产生较大规模的开裂变形、滑坡、崩塌、泥石流而造成伤害和环境恶化，矿区环境地质勘查类型属以次生环境地质问题为主的中等类型。</w:t>
      </w:r>
    </w:p>
    <w:p w14:paraId="7132C82D">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综上所述，矿床开采技术条件勘查类型属工程地质和环境地质复合问题的中等类型（Ⅱ-4）。</w:t>
      </w:r>
    </w:p>
    <w:p w14:paraId="384CBCD1">
      <w:pPr>
        <w:pStyle w:val="3"/>
        <w:adjustRightInd w:val="0"/>
        <w:snapToGrid w:val="0"/>
        <w:rPr>
          <w:rFonts w:ascii="Times New Roman" w:hAnsi="Times New Roman" w:cs="Times New Roman"/>
          <w:b/>
          <w:bCs w:val="0"/>
          <w:color w:val="000000" w:themeColor="text1"/>
          <w:szCs w:val="30"/>
          <w:lang w:val="en-GB"/>
          <w14:textFill>
            <w14:solidFill>
              <w14:schemeClr w14:val="tx1"/>
            </w14:solidFill>
          </w14:textFill>
        </w:rPr>
      </w:pPr>
      <w:bookmarkStart w:id="47" w:name="_Toc7746"/>
      <w:bookmarkStart w:id="48" w:name="_Toc30612"/>
      <w:r>
        <w:rPr>
          <w:rFonts w:ascii="Times New Roman" w:hAnsi="Times New Roman" w:cs="Times New Roman"/>
          <w:b/>
          <w:bCs w:val="0"/>
          <w:color w:val="000000" w:themeColor="text1"/>
          <w:szCs w:val="30"/>
          <w:lang w:val="en-GB"/>
          <w14:textFill>
            <w14:solidFill>
              <w14:schemeClr w14:val="tx1"/>
            </w14:solidFill>
          </w14:textFill>
        </w:rPr>
        <w:t>2.4 建设方案概况</w:t>
      </w:r>
      <w:bookmarkEnd w:id="47"/>
      <w:bookmarkEnd w:id="48"/>
    </w:p>
    <w:p w14:paraId="4D7C547E">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本次预评价报告主要依据2023年7月云南德成规划设计有限公司编制的《盐津县桃子坝采石场90万t/a露天采矿工程初步设计（代可研）》，以下项目建设方案均依据该设计中所设计的方案进行描述。</w:t>
      </w:r>
    </w:p>
    <w:p w14:paraId="5AB2993C">
      <w:pPr>
        <w:pStyle w:val="4"/>
        <w:adjustRightInd w:val="0"/>
        <w:snapToGrid w:val="0"/>
        <w:spacing w:line="360" w:lineRule="auto"/>
        <w:ind w:firstLine="562"/>
        <w:rPr>
          <w:rFonts w:ascii="Times New Roman" w:hAnsi="Times New Roman" w:eastAsia="宋体" w:cs="Times New Roman"/>
          <w:b/>
          <w:bCs w:val="0"/>
          <w:color w:val="000000" w:themeColor="text1"/>
          <w:szCs w:val="28"/>
          <w:lang w:val="en-GB"/>
          <w14:textFill>
            <w14:solidFill>
              <w14:schemeClr w14:val="tx1"/>
            </w14:solidFill>
          </w14:textFill>
        </w:rPr>
      </w:pPr>
      <w:r>
        <w:rPr>
          <w:rFonts w:ascii="Times New Roman" w:hAnsi="Times New Roman" w:eastAsia="宋体" w:cs="Times New Roman"/>
          <w:b/>
          <w:bCs w:val="0"/>
          <w:color w:val="000000" w:themeColor="text1"/>
          <w:szCs w:val="28"/>
          <w:lang w:val="en-GB"/>
          <w14:textFill>
            <w14:solidFill>
              <w14:schemeClr w14:val="tx1"/>
            </w14:solidFill>
          </w14:textFill>
        </w:rPr>
        <w:t>2.4.1 矿山现状</w:t>
      </w:r>
    </w:p>
    <w:p w14:paraId="2B31FF3C">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该矿山为新建矿山，矿区未进行开采，目前矿山开采区域山坡稳定，未发现滑坡、崩（坍）塌等地质灾害。</w:t>
      </w:r>
    </w:p>
    <w:p w14:paraId="5D59F3E0">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（1）供水</w:t>
      </w:r>
    </w:p>
    <w:p w14:paraId="37847644">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矿区生活用水引自当地供水管网的自来水，生产用水水源取自附近沟溪水，供水能力可以满足生产及生活的需要。</w:t>
      </w:r>
    </w:p>
    <w:p w14:paraId="30098B7D">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（2）供电</w:t>
      </w:r>
    </w:p>
    <w:p w14:paraId="76722A70">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矿区供电主要由盐津县盐井镇10kV电网接入，供电线路已架通至矿区，输入电压10kV，供电能力可以满足</w:t>
      </w:r>
      <w:r>
        <w:rPr>
          <w:rFonts w:hint="eastAsia" w:ascii="Times New Roman" w:hAnsi="Times New Roman" w:eastAsia="宋体" w:cs="Times New Roman"/>
          <w:sz w:val="28"/>
          <w:szCs w:val="21"/>
        </w:rPr>
        <w:t>设计</w:t>
      </w:r>
      <w:r>
        <w:rPr>
          <w:rFonts w:ascii="Times New Roman" w:hAnsi="Times New Roman" w:eastAsia="宋体" w:cs="Times New Roman"/>
          <w:sz w:val="28"/>
          <w:szCs w:val="21"/>
        </w:rPr>
        <w:t>的用电需求。</w:t>
      </w:r>
    </w:p>
    <w:p w14:paraId="2180A0B7">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（3）外部条件</w:t>
      </w:r>
    </w:p>
    <w:p w14:paraId="7C13D71C">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矿区西侧及南侧有乡村公路通过，公路宽度约为4～6m，坡度在</w:t>
      </w:r>
      <w:r>
        <w:rPr>
          <w:rFonts w:hint="eastAsia" w:ascii="Times New Roman" w:hAnsi="Times New Roman" w:eastAsia="宋体" w:cs="Times New Roman"/>
          <w:sz w:val="28"/>
          <w:szCs w:val="21"/>
        </w:rPr>
        <w:t>3%～6%</w:t>
      </w:r>
      <w:r>
        <w:rPr>
          <w:rFonts w:ascii="Times New Roman" w:hAnsi="Times New Roman" w:eastAsia="宋体" w:cs="Times New Roman"/>
          <w:sz w:val="28"/>
          <w:szCs w:val="21"/>
        </w:rPr>
        <w:t>范围内，</w:t>
      </w:r>
      <w:r>
        <w:rPr>
          <w:rFonts w:ascii="Times New Roman" w:hAnsi="Times New Roman" w:cs="Times New Roman"/>
          <w:sz w:val="28"/>
          <w:szCs w:val="28"/>
        </w:rPr>
        <w:t>交通运输较为便利，</w:t>
      </w:r>
      <w:r>
        <w:rPr>
          <w:rFonts w:ascii="Times New Roman" w:hAnsi="Times New Roman" w:eastAsia="宋体" w:cs="Times New Roman"/>
          <w:sz w:val="28"/>
          <w:szCs w:val="21"/>
        </w:rPr>
        <w:t>可满足大中小型汽车的通行。</w:t>
      </w:r>
    </w:p>
    <w:p w14:paraId="400BEAD1">
      <w:pPr>
        <w:pStyle w:val="4"/>
        <w:adjustRightInd w:val="0"/>
        <w:snapToGrid w:val="0"/>
        <w:spacing w:before="156" w:beforeLines="50"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2.4.2 建设规模及工作制度</w:t>
      </w:r>
    </w:p>
    <w:p w14:paraId="35A1EE49">
      <w:pPr>
        <w:pStyle w:val="5"/>
        <w:adjustRightInd w:val="0"/>
        <w:snapToGrid w:val="0"/>
        <w:spacing w:line="360" w:lineRule="auto"/>
        <w:ind w:firstLine="560"/>
        <w:rPr>
          <w:rFonts w:ascii="Times New Roman" w:hAnsi="Times New Roman" w:cs="Times New Roman"/>
          <w:color w:val="000000" w:themeColor="text1"/>
          <w:lang w:val="en-GB"/>
          <w14:textFill>
            <w14:solidFill>
              <w14:schemeClr w14:val="tx1"/>
            </w14:solidFill>
          </w14:textFill>
        </w:rPr>
      </w:pPr>
      <w:bookmarkStart w:id="49" w:name="_Toc117847193"/>
      <w:bookmarkStart w:id="50" w:name="_Toc100376796"/>
      <w:bookmarkStart w:id="51" w:name="_Toc20551"/>
      <w:bookmarkStart w:id="52" w:name="_Toc16072"/>
      <w:bookmarkStart w:id="53" w:name="_Toc100376797"/>
      <w:r>
        <w:rPr>
          <w:rFonts w:ascii="Times New Roman" w:hAnsi="Times New Roman" w:cs="Times New Roman"/>
          <w:color w:val="000000" w:themeColor="text1"/>
          <w14:textFill>
            <w14:solidFill>
              <w14:schemeClr w14:val="tx1"/>
            </w14:solidFill>
          </w14:textFill>
        </w:rPr>
        <w:t>2.4.2.1</w:t>
      </w:r>
      <w:bookmarkEnd w:id="49"/>
      <w:bookmarkEnd w:id="50"/>
      <w:bookmarkEnd w:id="51"/>
      <w:bookmarkEnd w:id="52"/>
      <w:r>
        <w:rPr>
          <w:rFonts w:ascii="Times New Roman" w:hAnsi="Times New Roman" w:cs="Times New Roman"/>
          <w:color w:val="000000" w:themeColor="text1"/>
          <w:lang w:val="en-GB"/>
          <w14:textFill>
            <w14:solidFill>
              <w14:schemeClr w14:val="tx1"/>
            </w14:solidFill>
          </w14:textFill>
        </w:rPr>
        <w:t>矿床资源储量</w:t>
      </w:r>
    </w:p>
    <w:p w14:paraId="16453EF4">
      <w:pPr>
        <w:adjustRightInd w:val="0"/>
        <w:snapToGrid w:val="0"/>
        <w:spacing w:line="360" w:lineRule="auto"/>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根据《云南省盐津县桃子坝采石场建筑石料用灰岩矿详查地质报告》及云方圆中正矿评储字</w:t>
      </w:r>
      <w:r>
        <w:rPr>
          <w:rFonts w:hint="eastAsia" w:ascii="Times New Roman" w:hAnsi="Times New Roman" w:eastAsia="宋体" w:cs="Times New Roman"/>
          <w:sz w:val="28"/>
          <w:szCs w:val="28"/>
        </w:rPr>
        <w:t>〔</w:t>
      </w:r>
      <w:r>
        <w:rPr>
          <w:rFonts w:ascii="Times New Roman" w:hAnsi="Times New Roman" w:eastAsia="宋体" w:cs="Times New Roman"/>
          <w:sz w:val="28"/>
          <w:szCs w:val="28"/>
        </w:rPr>
        <w:t>2022</w:t>
      </w:r>
      <w:r>
        <w:rPr>
          <w:rFonts w:hint="eastAsia" w:ascii="Times New Roman" w:hAnsi="Times New Roman" w:eastAsia="宋体" w:cs="Times New Roman"/>
          <w:sz w:val="28"/>
          <w:szCs w:val="28"/>
        </w:rPr>
        <w:t>〕</w:t>
      </w:r>
      <w:r>
        <w:rPr>
          <w:rFonts w:ascii="Times New Roman" w:hAnsi="Times New Roman" w:eastAsia="宋体" w:cs="Times New Roman"/>
          <w:sz w:val="28"/>
          <w:szCs w:val="28"/>
        </w:rPr>
        <w:t>02号《云南省盐津县桃子坝采石场建筑石料用灰岩矿详查地质报告》评审意见书，</w:t>
      </w:r>
      <w:r>
        <w:rPr>
          <w:rFonts w:hint="eastAsia" w:ascii="Times New Roman" w:hAnsi="Times New Roman" w:eastAsia="宋体" w:cs="Times New Roman"/>
          <w:sz w:val="28"/>
          <w:szCs w:val="28"/>
        </w:rPr>
        <w:t>截至2022年</w:t>
      </w:r>
      <w:r>
        <w:rPr>
          <w:rFonts w:ascii="Times New Roman" w:hAnsi="Times New Roman" w:eastAsia="宋体" w:cs="Times New Roman"/>
          <w:sz w:val="28"/>
          <w:szCs w:val="28"/>
        </w:rPr>
        <w:t>1月31日，矿区范围内保有源量504.60万m</w:t>
      </w:r>
      <w:r>
        <w:rPr>
          <w:rFonts w:ascii="Times New Roman" w:hAnsi="Times New Roman" w:eastAsia="宋体" w:cs="Times New Roman"/>
          <w:sz w:val="28"/>
          <w:szCs w:val="28"/>
          <w:vertAlign w:val="superscript"/>
        </w:rPr>
        <w:t>3</w:t>
      </w:r>
      <w:r>
        <w:rPr>
          <w:rFonts w:ascii="Times New Roman" w:hAnsi="Times New Roman" w:eastAsia="宋体" w:cs="Times New Roman"/>
          <w:sz w:val="28"/>
          <w:szCs w:val="28"/>
        </w:rPr>
        <w:t>（1347.20万t），其中控制资源量：矿石量235.5万m³（628.8万t），推断资源量：矿石量269.1万m³（718.4万t）。</w:t>
      </w:r>
    </w:p>
    <w:p w14:paraId="48CACB11">
      <w:pPr>
        <w:adjustRightInd w:val="0"/>
        <w:snapToGrid w:val="0"/>
        <w:spacing w:line="360" w:lineRule="auto"/>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以上资源储量经盐自然资复</w:t>
      </w:r>
      <w:r>
        <w:rPr>
          <w:rFonts w:hint="eastAsia" w:ascii="Times New Roman" w:hAnsi="Times New Roman" w:eastAsia="宋体" w:cs="Times New Roman"/>
          <w:sz w:val="28"/>
          <w:szCs w:val="28"/>
        </w:rPr>
        <w:t>〔</w:t>
      </w:r>
      <w:r>
        <w:rPr>
          <w:rFonts w:ascii="Times New Roman" w:hAnsi="Times New Roman" w:eastAsia="宋体" w:cs="Times New Roman"/>
          <w:sz w:val="28"/>
          <w:szCs w:val="28"/>
        </w:rPr>
        <w:t>2022</w:t>
      </w:r>
      <w:r>
        <w:rPr>
          <w:rFonts w:hint="eastAsia" w:ascii="Times New Roman" w:hAnsi="Times New Roman" w:eastAsia="宋体" w:cs="Times New Roman"/>
          <w:sz w:val="28"/>
          <w:szCs w:val="28"/>
        </w:rPr>
        <w:t>〕</w:t>
      </w:r>
      <w:r>
        <w:rPr>
          <w:rFonts w:ascii="Times New Roman" w:hAnsi="Times New Roman" w:eastAsia="宋体" w:cs="Times New Roman"/>
          <w:sz w:val="28"/>
          <w:szCs w:val="28"/>
        </w:rPr>
        <w:t>14号《关于〈云南省盐津县桃子坝采石场建筑石料用灰岩矿详查地质报告〉矿产资源储量评审备案的复函》登记备案。</w:t>
      </w:r>
    </w:p>
    <w:p w14:paraId="792EEC86">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根据露天境界的圈定及各开采台阶资源量计算，开采设计利用资源量为257.50万m³（687.53万t），暂未设计利用资源量247.10万m³（659.67万t）。</w:t>
      </w:r>
    </w:p>
    <w:p w14:paraId="1316B184">
      <w:pPr>
        <w:adjustRightInd w:val="0"/>
        <w:snapToGrid w:val="0"/>
        <w:spacing w:line="360" w:lineRule="auto"/>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设计可采资源量为设计利用资源</w:t>
      </w:r>
      <w:r>
        <w:rPr>
          <w:rFonts w:hint="eastAsia" w:ascii="Times New Roman" w:hAnsi="Times New Roman" w:eastAsia="宋体" w:cs="Times New Roman"/>
          <w:sz w:val="28"/>
          <w:szCs w:val="28"/>
        </w:rPr>
        <w:t>－</w:t>
      </w:r>
      <w:r>
        <w:rPr>
          <w:rFonts w:ascii="Times New Roman" w:hAnsi="Times New Roman" w:eastAsia="宋体" w:cs="Times New Roman"/>
          <w:sz w:val="28"/>
          <w:szCs w:val="28"/>
        </w:rPr>
        <w:t>设计损失量，露天开采损失率为5%，因此设计可采资源量为244.63万m</w:t>
      </w:r>
      <w:r>
        <w:rPr>
          <w:rFonts w:ascii="Times New Roman" w:hAnsi="Times New Roman" w:eastAsia="宋体" w:cs="Times New Roman"/>
          <w:sz w:val="28"/>
          <w:szCs w:val="28"/>
          <w:vertAlign w:val="superscript"/>
        </w:rPr>
        <w:t>3</w:t>
      </w:r>
      <w:r>
        <w:rPr>
          <w:rFonts w:ascii="Times New Roman" w:hAnsi="Times New Roman" w:eastAsia="宋体" w:cs="Times New Roman"/>
          <w:sz w:val="28"/>
          <w:szCs w:val="28"/>
        </w:rPr>
        <w:t>（653.15万t）。</w:t>
      </w:r>
    </w:p>
    <w:p w14:paraId="792009BE">
      <w:pPr>
        <w:adjustRightInd w:val="0"/>
        <w:snapToGrid w:val="0"/>
        <w:spacing w:line="360" w:lineRule="auto"/>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矿种为灰岩矿，贫化率为0，因此采出矿石量为244.63万m</w:t>
      </w:r>
      <w:r>
        <w:rPr>
          <w:rFonts w:ascii="Times New Roman" w:hAnsi="Times New Roman" w:eastAsia="宋体" w:cs="Times New Roman"/>
          <w:sz w:val="28"/>
          <w:szCs w:val="28"/>
          <w:vertAlign w:val="superscript"/>
        </w:rPr>
        <w:t>3</w:t>
      </w:r>
      <w:r>
        <w:rPr>
          <w:rFonts w:ascii="Times New Roman" w:hAnsi="Times New Roman" w:eastAsia="宋体" w:cs="Times New Roman"/>
          <w:sz w:val="28"/>
          <w:szCs w:val="28"/>
        </w:rPr>
        <w:t>（653.15万t）。</w:t>
      </w:r>
    </w:p>
    <w:p w14:paraId="50EE101A">
      <w:pPr>
        <w:pStyle w:val="5"/>
        <w:adjustRightInd w:val="0"/>
        <w:snapToGrid w:val="0"/>
        <w:spacing w:line="360" w:lineRule="auto"/>
        <w:ind w:firstLine="560"/>
        <w:rPr>
          <w:rFonts w:ascii="Times New Roman" w:hAnsi="Times New Roman" w:cs="Times New Roman"/>
          <w:color w:val="000000" w:themeColor="text1"/>
          <w:lang w:val="en-GB"/>
          <w14:textFill>
            <w14:solidFill>
              <w14:schemeClr w14:val="tx1"/>
            </w14:solidFill>
          </w14:textFill>
        </w:rPr>
      </w:pPr>
      <w:r>
        <w:rPr>
          <w:rFonts w:ascii="Times New Roman" w:hAnsi="Times New Roman" w:cs="Times New Roman"/>
          <w:color w:val="000000" w:themeColor="text1"/>
          <w14:textFill>
            <w14:solidFill>
              <w14:schemeClr w14:val="tx1"/>
            </w14:solidFill>
          </w14:textFill>
        </w:rPr>
        <w:t>2.4.2.2</w:t>
      </w:r>
      <w:r>
        <w:rPr>
          <w:rFonts w:ascii="Times New Roman" w:hAnsi="Times New Roman" w:cs="Times New Roman"/>
          <w:color w:val="000000" w:themeColor="text1"/>
          <w:lang w:val="en-GB"/>
          <w14:textFill>
            <w14:solidFill>
              <w14:schemeClr w14:val="tx1"/>
            </w14:solidFill>
          </w14:textFill>
        </w:rPr>
        <w:t>建设规模</w:t>
      </w:r>
    </w:p>
    <w:p w14:paraId="1CD42D09">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根据矿区范围内矿床地质特征、矿体赋存条件，结合市场需求情况，根据生产能力的验证及矿山生产组织实施能力，</w:t>
      </w:r>
      <w:r>
        <w:rPr>
          <w:rFonts w:hint="eastAsia" w:ascii="Times New Roman" w:hAnsi="Times New Roman" w:eastAsia="宋体" w:cs="Times New Roman"/>
          <w:sz w:val="28"/>
          <w:szCs w:val="21"/>
        </w:rPr>
        <w:t>设计</w:t>
      </w:r>
      <w:r>
        <w:rPr>
          <w:rFonts w:ascii="Times New Roman" w:hAnsi="Times New Roman" w:eastAsia="宋体" w:cs="Times New Roman"/>
          <w:sz w:val="28"/>
          <w:szCs w:val="21"/>
        </w:rPr>
        <w:t>生产规模为90.0万t/a（33.71万m</w:t>
      </w:r>
      <w:r>
        <w:rPr>
          <w:rFonts w:ascii="Times New Roman" w:hAnsi="Times New Roman" w:eastAsia="宋体" w:cs="Times New Roman"/>
          <w:sz w:val="28"/>
          <w:szCs w:val="21"/>
          <w:vertAlign w:val="superscript"/>
        </w:rPr>
        <w:t>3</w:t>
      </w:r>
      <w:r>
        <w:rPr>
          <w:rFonts w:ascii="Times New Roman" w:hAnsi="Times New Roman" w:eastAsia="宋体" w:cs="Times New Roman"/>
          <w:sz w:val="28"/>
          <w:szCs w:val="21"/>
        </w:rPr>
        <w:t>/a）原矿。</w:t>
      </w:r>
    </w:p>
    <w:p w14:paraId="4802AC3F">
      <w:pPr>
        <w:pStyle w:val="5"/>
        <w:adjustRightInd w:val="0"/>
        <w:snapToGrid w:val="0"/>
        <w:spacing w:line="360" w:lineRule="auto"/>
        <w:ind w:firstLine="560"/>
        <w:rPr>
          <w:rFonts w:ascii="Times New Roman" w:hAnsi="Times New Roman" w:cs="Times New Roman"/>
          <w:color w:val="000000" w:themeColor="text1"/>
          <w:lang w:val="en-GB"/>
          <w14:textFill>
            <w14:solidFill>
              <w14:schemeClr w14:val="tx1"/>
            </w14:solidFill>
          </w14:textFill>
        </w:rPr>
      </w:pPr>
      <w:r>
        <w:rPr>
          <w:rFonts w:ascii="Times New Roman" w:hAnsi="Times New Roman" w:cs="Times New Roman"/>
          <w:color w:val="000000" w:themeColor="text1"/>
          <w14:textFill>
            <w14:solidFill>
              <w14:schemeClr w14:val="tx1"/>
            </w14:solidFill>
          </w14:textFill>
        </w:rPr>
        <w:t>2.4.2.3</w:t>
      </w:r>
      <w:r>
        <w:rPr>
          <w:rFonts w:ascii="Times New Roman" w:hAnsi="Times New Roman" w:cs="Times New Roman"/>
          <w:color w:val="000000" w:themeColor="text1"/>
          <w:lang w:val="en-GB"/>
          <w14:textFill>
            <w14:solidFill>
              <w14:schemeClr w14:val="tx1"/>
            </w14:solidFill>
          </w14:textFill>
        </w:rPr>
        <w:t xml:space="preserve"> </w:t>
      </w:r>
      <w:bookmarkStart w:id="54" w:name="OLE_LINK23"/>
      <w:bookmarkStart w:id="55" w:name="OLE_LINK24"/>
      <w:r>
        <w:rPr>
          <w:rFonts w:ascii="Times New Roman" w:hAnsi="Times New Roman" w:cs="Times New Roman"/>
          <w:color w:val="000000" w:themeColor="text1"/>
          <w:lang w:val="en-GB"/>
          <w14:textFill>
            <w14:solidFill>
              <w14:schemeClr w14:val="tx1"/>
            </w14:solidFill>
          </w14:textFill>
        </w:rPr>
        <w:t>工作制度</w:t>
      </w:r>
    </w:p>
    <w:p w14:paraId="138C8483">
      <w:pPr>
        <w:adjustRightInd w:val="0"/>
        <w:snapToGrid w:val="0"/>
        <w:spacing w:line="360" w:lineRule="auto"/>
        <w:ind w:firstLine="560" w:firstLineChars="200"/>
        <w:rPr>
          <w:rFonts w:ascii="Times New Roman" w:hAnsi="Times New Roman" w:eastAsia="宋体" w:cs="Times New Roman"/>
          <w:sz w:val="28"/>
          <w:szCs w:val="21"/>
          <w:lang w:val="en-GB"/>
        </w:rPr>
      </w:pPr>
      <w:r>
        <w:rPr>
          <w:rFonts w:ascii="Times New Roman" w:hAnsi="Times New Roman" w:eastAsia="宋体" w:cs="Times New Roman"/>
          <w:sz w:val="28"/>
          <w:szCs w:val="21"/>
          <w:lang w:val="en-GB"/>
        </w:rPr>
        <w:t>矿山为小型露天矿山，采用间断工作制，采剥作业年工作300天，剥采日工作1班，班工作8小时。</w:t>
      </w:r>
    </w:p>
    <w:p w14:paraId="54C2CE14">
      <w:pPr>
        <w:pStyle w:val="5"/>
        <w:adjustRightInd w:val="0"/>
        <w:snapToGrid w:val="0"/>
        <w:spacing w:line="360" w:lineRule="auto"/>
        <w:ind w:firstLine="560"/>
        <w:rPr>
          <w:rFonts w:ascii="Times New Roman" w:hAnsi="Times New Roman" w:cs="Times New Roman"/>
          <w:color w:val="000000" w:themeColor="text1"/>
          <w:lang w:val="en-GB"/>
          <w14:textFill>
            <w14:solidFill>
              <w14:schemeClr w14:val="tx1"/>
            </w14:solidFill>
          </w14:textFill>
        </w:rPr>
      </w:pPr>
      <w:r>
        <w:rPr>
          <w:rFonts w:ascii="Times New Roman" w:hAnsi="Times New Roman" w:cs="Times New Roman"/>
          <w:color w:val="000000" w:themeColor="text1"/>
          <w14:textFill>
            <w14:solidFill>
              <w14:schemeClr w14:val="tx1"/>
            </w14:solidFill>
          </w14:textFill>
        </w:rPr>
        <w:t>2.4.2.4</w:t>
      </w:r>
      <w:r>
        <w:rPr>
          <w:rFonts w:ascii="Times New Roman" w:hAnsi="Times New Roman" w:cs="Times New Roman"/>
          <w:color w:val="000000" w:themeColor="text1"/>
          <w:lang w:val="en-GB"/>
          <w14:textFill>
            <w14:solidFill>
              <w14:schemeClr w14:val="tx1"/>
            </w14:solidFill>
          </w14:textFill>
        </w:rPr>
        <w:t xml:space="preserve"> 矿山服务年限</w:t>
      </w:r>
    </w:p>
    <w:p w14:paraId="2733A99F">
      <w:pPr>
        <w:adjustRightInd w:val="0"/>
        <w:snapToGrid w:val="0"/>
        <w:spacing w:line="360" w:lineRule="auto"/>
        <w:ind w:firstLine="560" w:firstLineChars="200"/>
        <w:rPr>
          <w:rFonts w:ascii="Times New Roman" w:hAnsi="Times New Roman" w:eastAsia="宋体" w:cs="Times New Roman"/>
          <w:sz w:val="28"/>
          <w:szCs w:val="21"/>
          <w:lang w:val="en-GB"/>
        </w:rPr>
      </w:pPr>
      <w:r>
        <w:rPr>
          <w:rFonts w:ascii="Times New Roman" w:hAnsi="Times New Roman" w:eastAsia="宋体" w:cs="Times New Roman"/>
          <w:sz w:val="28"/>
          <w:szCs w:val="21"/>
          <w:lang w:val="en-GB"/>
        </w:rPr>
        <w:t>根据设计圈定的矿区内可采出矿石总量为653.15万t，基建副产矿石量18.85万t，矿山年生产能力90.0万t/a，由此可以得出矿山生产服务年限约7.05a。</w:t>
      </w:r>
    </w:p>
    <w:p w14:paraId="3131F837">
      <w:pPr>
        <w:adjustRightInd w:val="0"/>
        <w:snapToGrid w:val="0"/>
        <w:spacing w:line="360" w:lineRule="auto"/>
        <w:ind w:firstLine="560" w:firstLineChars="200"/>
        <w:rPr>
          <w:rFonts w:ascii="Times New Roman" w:hAnsi="Times New Roman" w:eastAsia="宋体" w:cs="Times New Roman"/>
          <w:sz w:val="28"/>
          <w:szCs w:val="21"/>
          <w:lang w:val="en-GB"/>
        </w:rPr>
      </w:pPr>
      <w:r>
        <w:rPr>
          <w:rFonts w:ascii="Times New Roman" w:hAnsi="Times New Roman" w:eastAsia="宋体" w:cs="Times New Roman"/>
          <w:sz w:val="28"/>
          <w:szCs w:val="21"/>
          <w:lang w:val="en-GB"/>
        </w:rPr>
        <w:t>T=Q/A</w:t>
      </w:r>
    </w:p>
    <w:p w14:paraId="538C353E">
      <w:pPr>
        <w:adjustRightInd w:val="0"/>
        <w:snapToGrid w:val="0"/>
        <w:spacing w:line="360" w:lineRule="auto"/>
        <w:ind w:firstLine="560" w:firstLineChars="200"/>
        <w:rPr>
          <w:rFonts w:ascii="Times New Roman" w:hAnsi="Times New Roman" w:eastAsia="宋体" w:cs="Times New Roman"/>
          <w:sz w:val="28"/>
          <w:szCs w:val="21"/>
          <w:lang w:val="en-GB"/>
        </w:rPr>
      </w:pPr>
      <w:r>
        <w:rPr>
          <w:rFonts w:ascii="Times New Roman" w:hAnsi="Times New Roman" w:eastAsia="宋体" w:cs="Times New Roman"/>
          <w:sz w:val="28"/>
          <w:szCs w:val="21"/>
          <w:lang w:val="en-GB"/>
        </w:rPr>
        <w:t>式中：</w:t>
      </w:r>
    </w:p>
    <w:p w14:paraId="00C8F06E">
      <w:pPr>
        <w:adjustRightInd w:val="0"/>
        <w:snapToGrid w:val="0"/>
        <w:spacing w:line="360" w:lineRule="auto"/>
        <w:ind w:firstLine="560" w:firstLineChars="200"/>
        <w:rPr>
          <w:rFonts w:ascii="Times New Roman" w:hAnsi="Times New Roman" w:eastAsia="宋体" w:cs="Times New Roman"/>
          <w:sz w:val="28"/>
          <w:szCs w:val="21"/>
          <w:lang w:val="en-GB"/>
        </w:rPr>
      </w:pPr>
      <w:r>
        <w:rPr>
          <w:rFonts w:ascii="Times New Roman" w:hAnsi="Times New Roman" w:eastAsia="宋体" w:cs="Times New Roman"/>
          <w:sz w:val="28"/>
          <w:szCs w:val="21"/>
          <w:lang w:val="en-GB"/>
        </w:rPr>
        <w:t>T—矿山服务年限（年）</w:t>
      </w:r>
    </w:p>
    <w:p w14:paraId="66D4BF09">
      <w:pPr>
        <w:adjustRightInd w:val="0"/>
        <w:snapToGrid w:val="0"/>
        <w:spacing w:line="360" w:lineRule="auto"/>
        <w:ind w:firstLine="560" w:firstLineChars="200"/>
        <w:rPr>
          <w:rFonts w:ascii="Times New Roman" w:hAnsi="Times New Roman" w:eastAsia="宋体" w:cs="Times New Roman"/>
          <w:sz w:val="28"/>
          <w:szCs w:val="21"/>
          <w:lang w:val="en-GB"/>
        </w:rPr>
      </w:pPr>
      <w:r>
        <w:rPr>
          <w:rFonts w:ascii="Times New Roman" w:hAnsi="Times New Roman" w:eastAsia="宋体" w:cs="Times New Roman"/>
          <w:sz w:val="28"/>
          <w:szCs w:val="21"/>
          <w:lang w:val="en-GB"/>
        </w:rPr>
        <w:t>Q—设计采出矿石储量（653.15-18.85=634.30万t）</w:t>
      </w:r>
    </w:p>
    <w:p w14:paraId="156B7FFD">
      <w:pPr>
        <w:adjustRightInd w:val="0"/>
        <w:snapToGrid w:val="0"/>
        <w:spacing w:line="360" w:lineRule="auto"/>
        <w:ind w:firstLine="560" w:firstLineChars="200"/>
        <w:rPr>
          <w:rFonts w:ascii="Times New Roman" w:hAnsi="Times New Roman" w:eastAsia="宋体" w:cs="Times New Roman"/>
          <w:sz w:val="28"/>
          <w:szCs w:val="21"/>
          <w:lang w:val="en-GB"/>
        </w:rPr>
      </w:pPr>
      <w:r>
        <w:rPr>
          <w:rFonts w:ascii="Times New Roman" w:hAnsi="Times New Roman" w:eastAsia="宋体" w:cs="Times New Roman"/>
          <w:sz w:val="28"/>
          <w:szCs w:val="21"/>
          <w:lang w:val="en-GB"/>
        </w:rPr>
        <w:t>A—矿山生产能力（90.0万t/a）</w:t>
      </w:r>
    </w:p>
    <w:p w14:paraId="274B2FBF">
      <w:pPr>
        <w:adjustRightInd w:val="0"/>
        <w:snapToGrid w:val="0"/>
        <w:spacing w:line="360" w:lineRule="auto"/>
        <w:ind w:firstLine="560" w:firstLineChars="200"/>
        <w:rPr>
          <w:rFonts w:ascii="Times New Roman" w:hAnsi="Times New Roman" w:eastAsia="宋体" w:cs="Times New Roman"/>
          <w:sz w:val="28"/>
          <w:szCs w:val="21"/>
          <w:lang w:val="en-GB"/>
        </w:rPr>
      </w:pPr>
      <w:r>
        <w:rPr>
          <w:rFonts w:ascii="Times New Roman" w:hAnsi="Times New Roman" w:eastAsia="宋体" w:cs="Times New Roman"/>
          <w:sz w:val="28"/>
          <w:szCs w:val="21"/>
          <w:lang w:val="en-GB"/>
        </w:rPr>
        <w:t>经计算，T=7.05年。</w:t>
      </w:r>
    </w:p>
    <w:bookmarkEnd w:id="53"/>
    <w:bookmarkEnd w:id="54"/>
    <w:bookmarkEnd w:id="55"/>
    <w:p w14:paraId="3BB3A60F">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2.4.3 总图运输</w:t>
      </w:r>
    </w:p>
    <w:p w14:paraId="1B3D29EB">
      <w:pPr>
        <w:pStyle w:val="5"/>
        <w:adjustRightInd w:val="0"/>
        <w:snapToGrid w:val="0"/>
        <w:spacing w:line="360" w:lineRule="auto"/>
        <w:ind w:firstLine="560"/>
        <w:rPr>
          <w:rFonts w:ascii="Times New Roman" w:hAnsi="Times New Roman" w:cs="Times New Roman"/>
          <w:b/>
          <w:color w:val="000000" w:themeColor="text1"/>
          <w14:textFill>
            <w14:solidFill>
              <w14:schemeClr w14:val="tx1"/>
            </w14:solidFill>
          </w14:textFill>
        </w:rPr>
      </w:pPr>
      <w:r>
        <w:rPr>
          <w:rFonts w:ascii="Times New Roman" w:hAnsi="Times New Roman" w:cs="Times New Roman"/>
          <w:color w:val="000000" w:themeColor="text1"/>
          <w:lang w:val="en-GB"/>
          <w14:textFill>
            <w14:solidFill>
              <w14:schemeClr w14:val="tx1"/>
            </w14:solidFill>
          </w14:textFill>
        </w:rPr>
        <w:t>2.4.3.1 总平面布置</w:t>
      </w:r>
    </w:p>
    <w:p w14:paraId="434EA304">
      <w:pPr>
        <w:adjustRightInd w:val="0"/>
        <w:snapToGrid w:val="0"/>
        <w:spacing w:line="360" w:lineRule="auto"/>
        <w:ind w:firstLine="560" w:firstLineChars="200"/>
        <w:rPr>
          <w:rFonts w:ascii="Times New Roman" w:hAnsi="Times New Roman" w:eastAsia="宋体" w:cs="Times New Roman"/>
          <w:sz w:val="28"/>
          <w:szCs w:val="21"/>
        </w:rPr>
      </w:pPr>
      <w:bookmarkStart w:id="56" w:name="_Hlk129347644"/>
      <w:r>
        <w:rPr>
          <w:rFonts w:ascii="Times New Roman" w:hAnsi="Times New Roman" w:eastAsia="宋体" w:cs="Times New Roman"/>
          <w:sz w:val="28"/>
          <w:szCs w:val="21"/>
        </w:rPr>
        <w:t>本次矿山工程设计将由以下内容组成：</w:t>
      </w:r>
    </w:p>
    <w:p w14:paraId="6A6CBBE7">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1、露天采矿工业场地：粗碎站、成品料仓、破碎筛分车间、综合仓库、值班室、变电室等。破碎站布置在采场北侧，距离采场60m；成品料仓、破碎筛分车间位于破碎站西侧，紧邻破碎站。</w:t>
      </w:r>
    </w:p>
    <w:p w14:paraId="42186212">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2、地表辅助设施主要由办公区、生活区、值班室、配电房以及矿区运输道路组成。拟建办公区布置在矿区北侧，距离采场约400m，机修、仓库等布置在工业场地附近，配电室布置在破碎站附近，详见总平面布置图。</w:t>
      </w:r>
    </w:p>
    <w:p w14:paraId="1880551F">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 xml:space="preserve">3、爆破器材库 </w:t>
      </w:r>
    </w:p>
    <w:p w14:paraId="61F6CE5A">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矿区不设置爆破器材库，矿山跟当地民爆公司签订协议，爆破器材保管及使用由民爆公司负责。</w:t>
      </w:r>
    </w:p>
    <w:p w14:paraId="2A559F0E">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4、矿区供水：矿区生活用水由当地供水管网供给，由矿山自行架设供水设施供水，饮用水可采用桶装矿泉水，生产用水从周边较近取水点抽水。</w:t>
      </w:r>
    </w:p>
    <w:p w14:paraId="734054F9">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5、矿区供电：</w:t>
      </w:r>
    </w:p>
    <w:p w14:paraId="22E40AC6">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矿区供电主要由盐井镇桃子坝村10kV电网接入，输入电压10kV，矿区安装容量：1212kW，有功功率924.2kW，年耗电量为：195.1万kWh，供电能力可以满足</w:t>
      </w:r>
      <w:r>
        <w:rPr>
          <w:rFonts w:hint="eastAsia" w:ascii="Times New Roman" w:hAnsi="Times New Roman" w:eastAsia="宋体" w:cs="Times New Roman"/>
          <w:sz w:val="28"/>
          <w:szCs w:val="21"/>
        </w:rPr>
        <w:t>设计</w:t>
      </w:r>
      <w:r>
        <w:rPr>
          <w:rFonts w:ascii="Times New Roman" w:hAnsi="Times New Roman" w:eastAsia="宋体" w:cs="Times New Roman"/>
          <w:sz w:val="28"/>
          <w:szCs w:val="21"/>
        </w:rPr>
        <w:t>的用电需求。供电系统主要供于矿石破碎加工生产线、辅助和生活用电，矿山采矿设备均采用柴油为动力，白班工作制，采场无需照明，开采作业无需用电。</w:t>
      </w:r>
      <w:bookmarkEnd w:id="56"/>
    </w:p>
    <w:p w14:paraId="2C8D4F17">
      <w:pPr>
        <w:pStyle w:val="5"/>
        <w:adjustRightInd w:val="0"/>
        <w:snapToGrid w:val="0"/>
        <w:spacing w:line="360" w:lineRule="auto"/>
        <w:ind w:firstLine="560"/>
        <w:rPr>
          <w:rFonts w:ascii="Times New Roman" w:hAnsi="Times New Roman" w:cs="Times New Roman"/>
          <w:color w:val="000000" w:themeColor="text1"/>
          <w:lang w:val="en-GB"/>
          <w14:textFill>
            <w14:solidFill>
              <w14:schemeClr w14:val="tx1"/>
            </w14:solidFill>
          </w14:textFill>
        </w:rPr>
      </w:pPr>
      <w:r>
        <w:rPr>
          <w:rFonts w:ascii="Times New Roman" w:hAnsi="Times New Roman" w:cs="Times New Roman"/>
          <w:color w:val="000000" w:themeColor="text1"/>
          <w:lang w:val="en-GB"/>
          <w14:textFill>
            <w14:solidFill>
              <w14:schemeClr w14:val="tx1"/>
            </w14:solidFill>
          </w14:textFill>
        </w:rPr>
        <w:t>2.4.3.2 运输</w:t>
      </w:r>
    </w:p>
    <w:p w14:paraId="7F9EFF5C">
      <w:pPr>
        <w:adjustRightInd w:val="0"/>
        <w:snapToGrid w:val="0"/>
        <w:spacing w:line="360" w:lineRule="auto"/>
        <w:ind w:firstLine="560" w:firstLineChars="200"/>
        <w:rPr>
          <w:rFonts w:ascii="Times New Roman" w:hAnsi="Times New Roman" w:eastAsia="宋体" w:cs="Times New Roman"/>
          <w:sz w:val="28"/>
          <w:szCs w:val="21"/>
        </w:rPr>
      </w:pPr>
      <w:bookmarkStart w:id="57" w:name="_Toc232567809"/>
      <w:r>
        <w:rPr>
          <w:rFonts w:ascii="Times New Roman" w:hAnsi="Times New Roman" w:eastAsia="宋体" w:cs="Times New Roman"/>
          <w:sz w:val="28"/>
          <w:szCs w:val="21"/>
        </w:rPr>
        <w:t>1、</w:t>
      </w:r>
      <w:bookmarkEnd w:id="57"/>
      <w:r>
        <w:rPr>
          <w:rFonts w:ascii="Times New Roman" w:hAnsi="Times New Roman" w:eastAsia="宋体" w:cs="Times New Roman"/>
          <w:sz w:val="28"/>
          <w:szCs w:val="21"/>
        </w:rPr>
        <w:t>运输量</w:t>
      </w:r>
    </w:p>
    <w:p w14:paraId="249B6390">
      <w:pPr>
        <w:adjustRightInd w:val="0"/>
        <w:snapToGrid w:val="0"/>
        <w:spacing w:line="360" w:lineRule="auto"/>
        <w:ind w:firstLine="560" w:firstLineChars="200"/>
        <w:rPr>
          <w:rFonts w:ascii="Times New Roman" w:hAnsi="Times New Roman" w:eastAsia="宋体" w:cs="Times New Roman"/>
          <w:sz w:val="28"/>
          <w:szCs w:val="21"/>
          <w:lang w:val="zh-CN"/>
        </w:rPr>
      </w:pPr>
      <w:r>
        <w:rPr>
          <w:rFonts w:ascii="Times New Roman" w:hAnsi="Times New Roman" w:eastAsia="宋体" w:cs="Times New Roman"/>
          <w:sz w:val="28"/>
          <w:szCs w:val="21"/>
          <w:lang w:val="zh-CN"/>
        </w:rPr>
        <w:t>露天年产矿石量90.0万t（实方33.71万m</w:t>
      </w:r>
      <w:r>
        <w:rPr>
          <w:rFonts w:ascii="Times New Roman" w:hAnsi="Times New Roman" w:eastAsia="宋体" w:cs="Times New Roman"/>
          <w:sz w:val="28"/>
          <w:szCs w:val="21"/>
          <w:vertAlign w:val="superscript"/>
          <w:lang w:val="zh-CN"/>
        </w:rPr>
        <w:t>3</w:t>
      </w:r>
      <w:r>
        <w:rPr>
          <w:rFonts w:ascii="Times New Roman" w:hAnsi="Times New Roman" w:eastAsia="宋体" w:cs="Times New Roman"/>
          <w:sz w:val="28"/>
          <w:szCs w:val="21"/>
          <w:lang w:val="zh-CN"/>
        </w:rPr>
        <w:t>/a），废石产量3.36万t/a（实方1.87万m</w:t>
      </w:r>
      <w:r>
        <w:rPr>
          <w:rFonts w:ascii="Times New Roman" w:hAnsi="Times New Roman" w:eastAsia="宋体" w:cs="Times New Roman"/>
          <w:sz w:val="28"/>
          <w:szCs w:val="21"/>
          <w:vertAlign w:val="superscript"/>
          <w:lang w:val="zh-CN"/>
        </w:rPr>
        <w:t>3</w:t>
      </w:r>
      <w:r>
        <w:rPr>
          <w:rFonts w:ascii="Times New Roman" w:hAnsi="Times New Roman" w:eastAsia="宋体" w:cs="Times New Roman"/>
          <w:sz w:val="28"/>
          <w:szCs w:val="21"/>
          <w:lang w:val="zh-CN"/>
        </w:rPr>
        <w:t>/a）。</w:t>
      </w:r>
    </w:p>
    <w:p w14:paraId="72E813A6">
      <w:pPr>
        <w:adjustRightInd w:val="0"/>
        <w:snapToGrid w:val="0"/>
        <w:spacing w:line="360" w:lineRule="auto"/>
        <w:ind w:firstLine="560" w:firstLineChars="200"/>
        <w:rPr>
          <w:rFonts w:ascii="Times New Roman" w:hAnsi="Times New Roman" w:eastAsia="宋体" w:cs="Times New Roman"/>
          <w:sz w:val="28"/>
          <w:szCs w:val="21"/>
        </w:rPr>
      </w:pPr>
      <w:bookmarkStart w:id="58" w:name="_Toc232567810"/>
      <w:r>
        <w:rPr>
          <w:rFonts w:ascii="Times New Roman" w:hAnsi="Times New Roman" w:eastAsia="宋体" w:cs="Times New Roman"/>
          <w:sz w:val="28"/>
          <w:szCs w:val="21"/>
        </w:rPr>
        <w:t>2、运输方式选择</w:t>
      </w:r>
    </w:p>
    <w:p w14:paraId="51B16496">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（1）外部运输方式</w:t>
      </w:r>
    </w:p>
    <w:p w14:paraId="08C34354">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外部运输采用公路运输，以公路运输进出矿区。企业所有进出矿区的物资运输均考虑委托地方运输。</w:t>
      </w:r>
    </w:p>
    <w:p w14:paraId="47FD0C6D">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（2）内部运输方式</w:t>
      </w:r>
    </w:p>
    <w:p w14:paraId="2CEC8CB6">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企业内部主要运输物资及运输方式如下：</w:t>
      </w:r>
    </w:p>
    <w:p w14:paraId="4995F792">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①原矿：从露天采场运至破碎站，由30t自卸式汽车一次完成，不需二次倒运。</w:t>
      </w:r>
    </w:p>
    <w:p w14:paraId="622DA7E4">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②废石：从露天采场由挖掘机铲装，由30t自卸式汽车运输至临时排土场。</w:t>
      </w:r>
    </w:p>
    <w:p w14:paraId="19E50B49">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各种材料及备品备件：从仓库运至露天采场，每日运量不等，采用矿山自备汽车根据需要分送。</w:t>
      </w:r>
    </w:p>
    <w:p w14:paraId="1F9F2371">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生活物资：矿区所需的各种生活物资，均依托县、乡市场供给。</w:t>
      </w:r>
      <w:bookmarkEnd w:id="58"/>
    </w:p>
    <w:p w14:paraId="673CC6A8">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2.4.4 开采范围和顺序</w:t>
      </w:r>
    </w:p>
    <w:p w14:paraId="4F1D3522">
      <w:pPr>
        <w:pStyle w:val="5"/>
        <w:adjustRightInd w:val="0"/>
        <w:snapToGrid w:val="0"/>
        <w:spacing w:line="360" w:lineRule="auto"/>
        <w:ind w:firstLine="560"/>
        <w:rPr>
          <w:rFonts w:ascii="Times New Roman" w:hAnsi="Times New Roman" w:cs="Times New Roman"/>
          <w:color w:val="000000" w:themeColor="text1"/>
          <w:lang w:val="en-GB"/>
          <w14:textFill>
            <w14:solidFill>
              <w14:schemeClr w14:val="tx1"/>
            </w14:solidFill>
          </w14:textFill>
        </w:rPr>
      </w:pPr>
      <w:r>
        <w:rPr>
          <w:rFonts w:ascii="Times New Roman" w:hAnsi="Times New Roman" w:cs="Times New Roman"/>
          <w:color w:val="000000" w:themeColor="text1"/>
          <w:lang w:val="en-GB"/>
          <w14:textFill>
            <w14:solidFill>
              <w14:schemeClr w14:val="tx1"/>
            </w14:solidFill>
          </w14:textFill>
        </w:rPr>
        <w:t>2.4.4.1 开采范围</w:t>
      </w:r>
    </w:p>
    <w:p w14:paraId="6D703DB0">
      <w:pPr>
        <w:adjustRightInd w:val="0"/>
        <w:snapToGrid w:val="0"/>
        <w:spacing w:line="360" w:lineRule="auto"/>
        <w:ind w:firstLine="560" w:firstLineChars="200"/>
        <w:rPr>
          <w:rFonts w:ascii="Times New Roman" w:hAnsi="Times New Roman" w:eastAsia="宋体" w:cs="Times New Roman"/>
          <w:sz w:val="28"/>
          <w:szCs w:val="21"/>
          <w:lang w:val="zh-CN" w:eastAsia="zh-TW"/>
        </w:rPr>
      </w:pPr>
      <w:r>
        <w:rPr>
          <w:rFonts w:ascii="Times New Roman" w:hAnsi="Times New Roman" w:eastAsia="宋体" w:cs="Times New Roman"/>
          <w:sz w:val="28"/>
          <w:szCs w:val="21"/>
          <w:lang w:val="zh-CN" w:eastAsia="zh-TW"/>
        </w:rPr>
        <w:t>该矿山为新建矿山，林地使用手续由于林地指标有限，分为两期办理；一期办理矿区西侧及南侧123.6亩林地手续，二期办理矿区西侧及北侧116.2亩林地手续。因此</w:t>
      </w:r>
      <w:r>
        <w:rPr>
          <w:rFonts w:hint="eastAsia" w:ascii="Times New Roman" w:hAnsi="Times New Roman" w:eastAsia="宋体" w:cs="Times New Roman"/>
          <w:sz w:val="28"/>
          <w:szCs w:val="21"/>
          <w:lang w:val="zh-CN" w:eastAsia="zh-TW"/>
        </w:rPr>
        <w:t>设计</w:t>
      </w:r>
      <w:r>
        <w:rPr>
          <w:rFonts w:ascii="Times New Roman" w:hAnsi="Times New Roman" w:eastAsia="宋体" w:cs="Times New Roman"/>
          <w:sz w:val="28"/>
          <w:szCs w:val="21"/>
          <w:lang w:val="zh-CN" w:eastAsia="zh-TW"/>
        </w:rPr>
        <w:t>范围为矿区范围内一期林地范围，矿区北侧尚未办理林地手续的范围待取得林地使用手续后再重新进行设计。</w:t>
      </w:r>
    </w:p>
    <w:p w14:paraId="1078AD29">
      <w:pPr>
        <w:adjustRightInd w:val="0"/>
        <w:snapToGrid w:val="0"/>
        <w:spacing w:line="360" w:lineRule="auto"/>
        <w:ind w:firstLine="560" w:firstLineChars="200"/>
        <w:rPr>
          <w:rFonts w:ascii="Times New Roman" w:hAnsi="Times New Roman" w:eastAsia="宋体" w:cs="Times New Roman"/>
          <w:sz w:val="28"/>
          <w:szCs w:val="21"/>
          <w:lang w:val="zh-CN" w:eastAsia="zh-TW"/>
        </w:rPr>
      </w:pPr>
      <w:r>
        <w:rPr>
          <w:rFonts w:hint="eastAsia" w:ascii="Times New Roman" w:hAnsi="Times New Roman" w:eastAsia="宋体" w:cs="Times New Roman"/>
          <w:sz w:val="28"/>
          <w:szCs w:val="21"/>
          <w:lang w:val="zh-CN" w:eastAsia="zh-TW"/>
        </w:rPr>
        <w:t>设计</w:t>
      </w:r>
      <w:r>
        <w:rPr>
          <w:rFonts w:ascii="Times New Roman" w:hAnsi="Times New Roman" w:eastAsia="宋体" w:cs="Times New Roman"/>
          <w:sz w:val="28"/>
          <w:szCs w:val="21"/>
          <w:lang w:val="zh-CN" w:eastAsia="zh-TW"/>
        </w:rPr>
        <w:t>范围面积为58990.33m</w:t>
      </w:r>
      <w:r>
        <w:rPr>
          <w:rFonts w:ascii="Times New Roman" w:hAnsi="Times New Roman" w:eastAsia="宋体" w:cs="Times New Roman"/>
          <w:sz w:val="28"/>
          <w:szCs w:val="21"/>
          <w:vertAlign w:val="superscript"/>
          <w:lang w:val="zh-CN" w:eastAsia="zh-TW"/>
        </w:rPr>
        <w:t>2</w:t>
      </w:r>
      <w:r>
        <w:rPr>
          <w:rFonts w:ascii="Times New Roman" w:hAnsi="Times New Roman" w:eastAsia="宋体" w:cs="Times New Roman"/>
          <w:sz w:val="28"/>
          <w:szCs w:val="21"/>
          <w:lang w:val="zh-CN" w:eastAsia="zh-TW"/>
        </w:rPr>
        <w:t>，设计标高为752m</w:t>
      </w:r>
      <w:r>
        <w:rPr>
          <w:rFonts w:hint="eastAsia" w:ascii="Times New Roman" w:hAnsi="Times New Roman" w:eastAsia="宋体" w:cs="Times New Roman"/>
          <w:sz w:val="28"/>
          <w:szCs w:val="21"/>
          <w:lang w:val="zh-CN" w:eastAsia="zh-TW"/>
        </w:rPr>
        <w:t>～</w:t>
      </w:r>
      <w:r>
        <w:rPr>
          <w:rFonts w:ascii="Times New Roman" w:hAnsi="Times New Roman" w:eastAsia="宋体" w:cs="Times New Roman"/>
          <w:sz w:val="28"/>
          <w:szCs w:val="21"/>
          <w:lang w:val="zh-CN" w:eastAsia="zh-TW"/>
        </w:rPr>
        <w:t>852m。具体范围见附图2《矿区现状及周边关系图》。</w:t>
      </w:r>
    </w:p>
    <w:p w14:paraId="757FF8AF">
      <w:pPr>
        <w:adjustRightInd w:val="0"/>
        <w:snapToGrid w:val="0"/>
        <w:spacing w:line="360" w:lineRule="auto"/>
        <w:ind w:firstLine="560" w:firstLineChars="200"/>
        <w:rPr>
          <w:rFonts w:ascii="Times New Roman" w:hAnsi="Times New Roman" w:eastAsia="宋体" w:cs="Times New Roman"/>
          <w:sz w:val="28"/>
          <w:szCs w:val="21"/>
          <w:lang w:val="zh-CN" w:eastAsia="zh-TW"/>
        </w:rPr>
      </w:pPr>
      <w:r>
        <w:rPr>
          <w:rFonts w:ascii="Times New Roman" w:hAnsi="Times New Roman" w:eastAsia="宋体" w:cs="Times New Roman"/>
          <w:sz w:val="28"/>
          <w:szCs w:val="21"/>
          <w:lang w:val="zh-CN" w:eastAsia="zh-TW"/>
        </w:rPr>
        <w:t>开采对象主要为矿区范围内目前保有的参加储量计算、登记备案灰岩矿体。</w:t>
      </w:r>
    </w:p>
    <w:p w14:paraId="35A9EB44">
      <w:pPr>
        <w:pStyle w:val="5"/>
        <w:adjustRightInd w:val="0"/>
        <w:snapToGrid w:val="0"/>
        <w:spacing w:line="360" w:lineRule="auto"/>
        <w:ind w:firstLine="560"/>
        <w:rPr>
          <w:rFonts w:ascii="Times New Roman" w:hAnsi="Times New Roman" w:cs="Times New Roman"/>
          <w:color w:val="000000" w:themeColor="text1"/>
          <w:lang w:val="en-GB"/>
          <w14:textFill>
            <w14:solidFill>
              <w14:schemeClr w14:val="tx1"/>
            </w14:solidFill>
          </w14:textFill>
        </w:rPr>
      </w:pPr>
      <w:r>
        <w:rPr>
          <w:rFonts w:ascii="Times New Roman" w:hAnsi="Times New Roman" w:cs="Times New Roman"/>
          <w:color w:val="000000" w:themeColor="text1"/>
          <w:lang w:val="en-GB"/>
          <w14:textFill>
            <w14:solidFill>
              <w14:schemeClr w14:val="tx1"/>
            </w14:solidFill>
          </w14:textFill>
        </w:rPr>
        <w:t>2.4.4.2 开采顺序</w:t>
      </w:r>
    </w:p>
    <w:p w14:paraId="5A1068E2">
      <w:pPr>
        <w:adjustRightInd w:val="0"/>
        <w:snapToGrid w:val="0"/>
        <w:spacing w:line="360" w:lineRule="auto"/>
        <w:ind w:firstLine="560" w:firstLineChars="200"/>
        <w:rPr>
          <w:rFonts w:ascii="Times New Roman" w:hAnsi="Times New Roman" w:eastAsia="宋体" w:cs="Times New Roman"/>
          <w:sz w:val="28"/>
          <w:szCs w:val="20"/>
          <w:lang w:bidi="ar"/>
        </w:rPr>
      </w:pPr>
      <w:bookmarkStart w:id="59" w:name="_Hlk129348955"/>
      <w:r>
        <w:rPr>
          <w:rFonts w:ascii="Times New Roman" w:hAnsi="Times New Roman" w:eastAsia="宋体" w:cs="Times New Roman"/>
          <w:sz w:val="28"/>
          <w:szCs w:val="20"/>
          <w:lang w:bidi="ar"/>
        </w:rPr>
        <w:t>采用自上而下分台阶开采，根据露天采场的布置情况，露天采场总体上采用由北向南</w:t>
      </w:r>
      <w:r>
        <w:rPr>
          <w:rFonts w:hint="eastAsia" w:ascii="Times New Roman" w:hAnsi="Times New Roman" w:eastAsia="宋体" w:cs="Times New Roman"/>
          <w:sz w:val="28"/>
          <w:szCs w:val="20"/>
          <w:lang w:bidi="ar"/>
        </w:rPr>
        <w:t>地</w:t>
      </w:r>
      <w:r>
        <w:rPr>
          <w:rFonts w:ascii="Times New Roman" w:hAnsi="Times New Roman" w:eastAsia="宋体" w:cs="Times New Roman"/>
          <w:sz w:val="28"/>
          <w:szCs w:val="20"/>
          <w:lang w:bidi="ar"/>
        </w:rPr>
        <w:t>开采顺序。</w:t>
      </w:r>
      <w:bookmarkEnd w:id="59"/>
    </w:p>
    <w:p w14:paraId="504BD0BF">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2.4.5 开拓运输</w:t>
      </w:r>
    </w:p>
    <w:p w14:paraId="565A0D4A">
      <w:pPr>
        <w:pStyle w:val="5"/>
        <w:adjustRightInd w:val="0"/>
        <w:snapToGrid w:val="0"/>
        <w:spacing w:line="360" w:lineRule="auto"/>
        <w:ind w:firstLine="56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GB"/>
          <w14:textFill>
            <w14:solidFill>
              <w14:schemeClr w14:val="tx1"/>
            </w14:solidFill>
          </w14:textFill>
        </w:rPr>
        <w:t>2.4.</w:t>
      </w:r>
      <w:r>
        <w:rPr>
          <w:rFonts w:ascii="Times New Roman" w:hAnsi="Times New Roman" w:cs="Times New Roman"/>
          <w:color w:val="000000" w:themeColor="text1"/>
          <w14:textFill>
            <w14:solidFill>
              <w14:schemeClr w14:val="tx1"/>
            </w14:solidFill>
          </w14:textFill>
        </w:rPr>
        <w:t>5</w:t>
      </w:r>
      <w:r>
        <w:rPr>
          <w:rFonts w:ascii="Times New Roman" w:hAnsi="Times New Roman" w:cs="Times New Roman"/>
          <w:color w:val="000000" w:themeColor="text1"/>
          <w:lang w:val="en-GB"/>
          <w14:textFill>
            <w14:solidFill>
              <w14:schemeClr w14:val="tx1"/>
            </w14:solidFill>
          </w14:textFill>
        </w:rPr>
        <w:t xml:space="preserve">.1 </w:t>
      </w:r>
      <w:r>
        <w:rPr>
          <w:rFonts w:ascii="Times New Roman" w:hAnsi="Times New Roman" w:cs="Times New Roman"/>
          <w:color w:val="000000" w:themeColor="text1"/>
          <w14:textFill>
            <w14:solidFill>
              <w14:schemeClr w14:val="tx1"/>
            </w14:solidFill>
          </w14:textFill>
        </w:rPr>
        <w:t>开拓运输方案</w:t>
      </w:r>
    </w:p>
    <w:p w14:paraId="31536B70">
      <w:pPr>
        <w:adjustRightInd w:val="0"/>
        <w:snapToGrid w:val="0"/>
        <w:spacing w:line="360" w:lineRule="auto"/>
        <w:ind w:firstLine="560" w:firstLineChars="200"/>
        <w:rPr>
          <w:rFonts w:ascii="Times New Roman" w:hAnsi="Times New Roman" w:eastAsia="宋体" w:cs="Times New Roman"/>
          <w:sz w:val="28"/>
          <w:szCs w:val="21"/>
        </w:rPr>
      </w:pPr>
      <w:bookmarkStart w:id="60" w:name="_Hlk85640429"/>
      <w:r>
        <w:rPr>
          <w:rFonts w:ascii="Times New Roman" w:hAnsi="Times New Roman" w:eastAsia="宋体" w:cs="Times New Roman"/>
          <w:sz w:val="28"/>
          <w:szCs w:val="21"/>
        </w:rPr>
        <w:t>根据矿体开采技术条件、矿山地形条件及工业场地的布置，设计采用公路开拓汽车运输方案。</w:t>
      </w:r>
    </w:p>
    <w:p w14:paraId="582D751C">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山开采内部运输主要是矿石及生产辅助材料的运输。矿石运输采用挖掘机铲装，由运输车辆运至破碎站，露天剥离废石由汽车运往临时排土场。材料、设备运输由运输车辆运入工作地点，外部运输主要是成品的运输，可由社会运输力量承担。</w:t>
      </w:r>
    </w:p>
    <w:p w14:paraId="6B82AF5F">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开拓运输线路布置：新建运输公路起点位于破碎站进料平台，起点标高+784m（K0+000），终点位于矿区836m平台，标高+836m（K0+700），公路里程为700m（K0+000～K0+700），详见开拓运输总体布置图。</w:t>
      </w:r>
    </w:p>
    <w:p w14:paraId="64D6B19F">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1、道路等级：</w:t>
      </w:r>
    </w:p>
    <w:p w14:paraId="305F934D">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根据《厂矿道路设计规范》（GBJ22-87），</w:t>
      </w:r>
      <w:r>
        <w:rPr>
          <w:rFonts w:hint="eastAsia" w:ascii="Times New Roman" w:hAnsi="Times New Roman" w:eastAsia="宋体" w:cs="Times New Roman"/>
          <w:sz w:val="28"/>
          <w:szCs w:val="21"/>
        </w:rPr>
        <w:t>设计</w:t>
      </w:r>
      <w:r>
        <w:rPr>
          <w:rFonts w:ascii="Times New Roman" w:hAnsi="Times New Roman" w:eastAsia="宋体" w:cs="Times New Roman"/>
          <w:sz w:val="28"/>
          <w:szCs w:val="21"/>
        </w:rPr>
        <w:t>道路等级为三级。</w:t>
      </w:r>
    </w:p>
    <w:p w14:paraId="167A0B2A">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2、设计道路</w:t>
      </w:r>
    </w:p>
    <w:p w14:paraId="09BBEB4F">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新建运输公路起点位于破碎站进料平台，起点标高+784m（K0+000），终点位于矿区836m平台，标高+836m（K0+700），公路里程为700m（K0+000～K0+700），详见开拓运输总体布置图。</w:t>
      </w:r>
    </w:p>
    <w:p w14:paraId="422A3810">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新建运输公路按露天矿山三级道路标准设计，泥结碎石路面，单车道，路基宽6.5m，路面宽4m，道路最大纵坡9%，平均纵坡7.43%，最小转弯半径15m，最小竖曲线半径200m，最大纵坡限制长度150m，缓坡段3%，长度60m；错车道设置在缓坡段，间距200m，长度20m，宽度8m；道路邻边坡一侧，设置土质安全</w:t>
      </w:r>
      <w:r>
        <w:rPr>
          <w:rFonts w:hint="eastAsia" w:ascii="Times New Roman" w:hAnsi="Times New Roman" w:eastAsia="宋体" w:cs="Times New Roman"/>
          <w:sz w:val="28"/>
          <w:szCs w:val="21"/>
        </w:rPr>
        <w:t>车挡</w:t>
      </w:r>
      <w:r>
        <w:rPr>
          <w:rFonts w:ascii="Times New Roman" w:hAnsi="Times New Roman" w:eastAsia="宋体" w:cs="Times New Roman"/>
          <w:sz w:val="28"/>
          <w:szCs w:val="21"/>
        </w:rPr>
        <w:t>，</w:t>
      </w:r>
      <w:r>
        <w:rPr>
          <w:rFonts w:hint="eastAsia" w:ascii="Times New Roman" w:hAnsi="Times New Roman" w:eastAsia="宋体" w:cs="Times New Roman"/>
          <w:sz w:val="28"/>
          <w:szCs w:val="21"/>
        </w:rPr>
        <w:t>车挡</w:t>
      </w:r>
      <w:r>
        <w:rPr>
          <w:rFonts w:ascii="Times New Roman" w:hAnsi="Times New Roman" w:eastAsia="宋体" w:cs="Times New Roman"/>
          <w:sz w:val="28"/>
          <w:szCs w:val="21"/>
        </w:rPr>
        <w:t>设置为梯形，底宽1.5m，顶宽0.5m，高度为1.0m。公路内侧修筑排水沟，排水沟为矩形断面宽0.5m，深0.5m。</w:t>
      </w:r>
      <w:bookmarkEnd w:id="60"/>
    </w:p>
    <w:p w14:paraId="6BD4C5DD">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2.4.6 采</w:t>
      </w:r>
      <w:r>
        <w:rPr>
          <w:rFonts w:hint="eastAsia" w:ascii="Times New Roman" w:hAnsi="Times New Roman" w:eastAsia="宋体" w:cs="Times New Roman"/>
          <w:b/>
          <w:bCs w:val="0"/>
          <w:color w:val="000000" w:themeColor="text1"/>
          <w:lang w:val="en-US" w:eastAsia="zh-CN"/>
          <w14:textFill>
            <w14:solidFill>
              <w14:schemeClr w14:val="tx1"/>
            </w14:solidFill>
          </w14:textFill>
        </w:rPr>
        <w:t>剥</w:t>
      </w:r>
      <w:r>
        <w:rPr>
          <w:rFonts w:ascii="Times New Roman" w:hAnsi="Times New Roman" w:eastAsia="宋体" w:cs="Times New Roman"/>
          <w:b/>
          <w:bCs w:val="0"/>
          <w:color w:val="000000" w:themeColor="text1"/>
          <w:lang w:val="en-GB"/>
          <w14:textFill>
            <w14:solidFill>
              <w14:schemeClr w14:val="tx1"/>
            </w14:solidFill>
          </w14:textFill>
        </w:rPr>
        <w:t>工艺</w:t>
      </w:r>
    </w:p>
    <w:p w14:paraId="47DE217A">
      <w:pPr>
        <w:adjustRightInd w:val="0"/>
        <w:snapToGrid w:val="0"/>
        <w:spacing w:line="360" w:lineRule="auto"/>
        <w:ind w:firstLine="560" w:firstLineChars="200"/>
        <w:rPr>
          <w:rFonts w:ascii="Times New Roman" w:hAnsi="Times New Roman" w:eastAsia="宋体" w:cs="Times New Roman"/>
          <w:sz w:val="28"/>
          <w:szCs w:val="21"/>
        </w:rPr>
      </w:pPr>
      <w:r>
        <w:rPr>
          <w:rFonts w:hint="eastAsia" w:ascii="Times New Roman" w:hAnsi="Times New Roman" w:eastAsia="宋体" w:cs="Times New Roman"/>
          <w:sz w:val="28"/>
          <w:szCs w:val="21"/>
        </w:rPr>
        <w:t>根据《中国铁路成都局集团有限公司宜宾工电段关于盐津开源矿业有限公司盐津县桃子坝采石场爆破开采事宜的复函》（宜工电安函[2023]115号），距离铁路隧道斜距500m范围内不进行爆破作业，采用机械开采，斜距500m外采用爆破开采（见附件9及附图2《矿区现状及周边关系图》），因此本次设计将距离铁路隧道斜距500m范围划为机械开采区域，斜距500m外采用爆破开采。机械开采区域范围见下表：</w:t>
      </w:r>
    </w:p>
    <w:p w14:paraId="38317370">
      <w:pPr>
        <w:adjustRightInd w:val="0"/>
        <w:snapToGrid w:val="0"/>
        <w:ind w:firstLine="482" w:firstLineChars="200"/>
        <w:jc w:val="center"/>
        <w:rPr>
          <w:rFonts w:ascii="Times New Roman" w:hAnsi="Times New Roman" w:eastAsia="宋体" w:cs="Times New Roman"/>
          <w:b/>
          <w:bCs/>
          <w:color w:val="000000" w:themeColor="text1"/>
          <w:sz w:val="24"/>
          <w:szCs w:val="24"/>
          <w:lang w:val="en-GB"/>
          <w14:textFill>
            <w14:solidFill>
              <w14:schemeClr w14:val="tx1"/>
            </w14:solidFill>
          </w14:textFill>
        </w:rPr>
      </w:pPr>
      <w:r>
        <w:rPr>
          <w:rFonts w:hint="eastAsia" w:ascii="Times New Roman" w:hAnsi="Times New Roman" w:eastAsia="宋体" w:cs="Times New Roman"/>
          <w:b/>
          <w:bCs/>
          <w:color w:val="000000" w:themeColor="text1"/>
          <w:sz w:val="24"/>
          <w:szCs w:val="24"/>
          <w:lang w:val="en-GB"/>
          <w14:textFill>
            <w14:solidFill>
              <w14:schemeClr w14:val="tx1"/>
            </w14:solidFill>
          </w14:textFill>
        </w:rPr>
        <w:t>表</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2</w:t>
      </w:r>
      <w:r>
        <w:rPr>
          <w:rFonts w:ascii="Times New Roman" w:hAnsi="Times New Roman" w:eastAsia="宋体" w:cs="Times New Roman"/>
          <w:b/>
          <w:bCs/>
          <w:color w:val="000000" w:themeColor="text1"/>
          <w:sz w:val="24"/>
          <w:szCs w:val="24"/>
          <w:lang w:val="en-GB"/>
          <w14:textFill>
            <w14:solidFill>
              <w14:schemeClr w14:val="tx1"/>
            </w14:solidFill>
          </w14:textFill>
        </w:rPr>
        <w:t>.</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4</w:t>
      </w:r>
      <w:r>
        <w:rPr>
          <w:rFonts w:hint="eastAsia" w:ascii="Times New Roman" w:hAnsi="Times New Roman" w:eastAsia="宋体" w:cs="Times New Roman"/>
          <w:b/>
          <w:bCs/>
          <w:color w:val="000000" w:themeColor="text1"/>
          <w:sz w:val="24"/>
          <w:szCs w:val="24"/>
          <w:lang w:val="en-GB"/>
          <w14:textFill>
            <w14:solidFill>
              <w14:schemeClr w14:val="tx1"/>
            </w14:solidFill>
          </w14:textFill>
        </w:rPr>
        <w:t>-</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1</w:t>
      </w:r>
      <w:r>
        <w:rPr>
          <w:rFonts w:ascii="Times New Roman" w:hAnsi="Times New Roman" w:eastAsia="宋体" w:cs="Times New Roman"/>
          <w:b/>
          <w:bCs/>
          <w:color w:val="000000" w:themeColor="text1"/>
          <w:sz w:val="24"/>
          <w:szCs w:val="24"/>
          <w:lang w:val="en-GB"/>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lang w:val="en-GB"/>
          <w14:textFill>
            <w14:solidFill>
              <w14:schemeClr w14:val="tx1"/>
            </w14:solidFill>
          </w14:textFill>
        </w:rPr>
        <w:t>机械开采区域范围拐点坐标表</w:t>
      </w:r>
    </w:p>
    <w:tbl>
      <w:tblPr>
        <w:tblStyle w:val="31"/>
        <w:tblW w:w="82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39"/>
        <w:gridCol w:w="3119"/>
        <w:gridCol w:w="3969"/>
      </w:tblGrid>
      <w:tr w14:paraId="35501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Header/>
          <w:jc w:val="center"/>
        </w:trPr>
        <w:tc>
          <w:tcPr>
            <w:tcW w:w="1139" w:type="dxa"/>
            <w:vMerge w:val="restart"/>
            <w:vAlign w:val="center"/>
          </w:tcPr>
          <w:p w14:paraId="23A5B725">
            <w:pPr>
              <w:adjustRightInd w:val="0"/>
              <w:snapToGrid w:val="0"/>
              <w:jc w:val="center"/>
              <w:rPr>
                <w:sz w:val="24"/>
                <w:szCs w:val="21"/>
              </w:rPr>
            </w:pPr>
            <w:r>
              <w:rPr>
                <w:sz w:val="24"/>
                <w:szCs w:val="21"/>
              </w:rPr>
              <w:t>拐点号</w:t>
            </w:r>
          </w:p>
        </w:tc>
        <w:tc>
          <w:tcPr>
            <w:tcW w:w="7088" w:type="dxa"/>
            <w:gridSpan w:val="2"/>
            <w:vAlign w:val="center"/>
          </w:tcPr>
          <w:p w14:paraId="0DAD5A8D">
            <w:pPr>
              <w:adjustRightInd w:val="0"/>
              <w:snapToGrid w:val="0"/>
              <w:jc w:val="center"/>
              <w:rPr>
                <w:sz w:val="24"/>
                <w:szCs w:val="21"/>
              </w:rPr>
            </w:pPr>
            <w:r>
              <w:rPr>
                <w:sz w:val="24"/>
                <w:szCs w:val="21"/>
              </w:rPr>
              <w:t>（2000国家大地坐标系）</w:t>
            </w:r>
          </w:p>
        </w:tc>
      </w:tr>
      <w:tr w14:paraId="3B364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1139" w:type="dxa"/>
            <w:vMerge w:val="continue"/>
            <w:vAlign w:val="center"/>
          </w:tcPr>
          <w:p w14:paraId="170DFBF1">
            <w:pPr>
              <w:adjustRightInd w:val="0"/>
              <w:snapToGrid w:val="0"/>
              <w:jc w:val="center"/>
              <w:rPr>
                <w:sz w:val="24"/>
                <w:szCs w:val="21"/>
              </w:rPr>
            </w:pPr>
          </w:p>
        </w:tc>
        <w:tc>
          <w:tcPr>
            <w:tcW w:w="3119" w:type="dxa"/>
            <w:vAlign w:val="center"/>
          </w:tcPr>
          <w:p w14:paraId="402181D7">
            <w:pPr>
              <w:adjustRightInd w:val="0"/>
              <w:snapToGrid w:val="0"/>
              <w:jc w:val="center"/>
              <w:rPr>
                <w:sz w:val="24"/>
                <w:szCs w:val="21"/>
              </w:rPr>
            </w:pPr>
            <w:r>
              <w:rPr>
                <w:sz w:val="24"/>
                <w:szCs w:val="21"/>
              </w:rPr>
              <w:t>X</w:t>
            </w:r>
          </w:p>
        </w:tc>
        <w:tc>
          <w:tcPr>
            <w:tcW w:w="3969" w:type="dxa"/>
            <w:vAlign w:val="center"/>
          </w:tcPr>
          <w:p w14:paraId="3DFCA52C">
            <w:pPr>
              <w:adjustRightInd w:val="0"/>
              <w:snapToGrid w:val="0"/>
              <w:jc w:val="center"/>
              <w:rPr>
                <w:sz w:val="24"/>
                <w:szCs w:val="21"/>
              </w:rPr>
            </w:pPr>
            <w:r>
              <w:rPr>
                <w:sz w:val="24"/>
                <w:szCs w:val="21"/>
              </w:rPr>
              <w:t>Y</w:t>
            </w:r>
          </w:p>
        </w:tc>
      </w:tr>
      <w:tr w14:paraId="489A8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39" w:type="dxa"/>
            <w:vAlign w:val="center"/>
          </w:tcPr>
          <w:p w14:paraId="030DD179">
            <w:pPr>
              <w:adjustRightInd w:val="0"/>
              <w:snapToGrid w:val="0"/>
              <w:jc w:val="center"/>
              <w:rPr>
                <w:sz w:val="24"/>
                <w:szCs w:val="21"/>
              </w:rPr>
            </w:pPr>
            <w:r>
              <w:rPr>
                <w:sz w:val="24"/>
                <w:szCs w:val="21"/>
              </w:rPr>
              <w:t>矿1</w:t>
            </w:r>
          </w:p>
        </w:tc>
        <w:tc>
          <w:tcPr>
            <w:tcW w:w="3119" w:type="dxa"/>
            <w:vAlign w:val="center"/>
          </w:tcPr>
          <w:p w14:paraId="14149E76">
            <w:pPr>
              <w:adjustRightInd w:val="0"/>
              <w:snapToGrid w:val="0"/>
              <w:jc w:val="center"/>
              <w:rPr>
                <w:sz w:val="24"/>
                <w:szCs w:val="21"/>
              </w:rPr>
            </w:pPr>
            <w:r>
              <w:rPr>
                <w:sz w:val="24"/>
                <w:szCs w:val="21"/>
              </w:rPr>
              <w:t>3100935.60</w:t>
            </w:r>
          </w:p>
        </w:tc>
        <w:tc>
          <w:tcPr>
            <w:tcW w:w="3969" w:type="dxa"/>
            <w:vAlign w:val="center"/>
          </w:tcPr>
          <w:p w14:paraId="50CDB973">
            <w:pPr>
              <w:adjustRightInd w:val="0"/>
              <w:snapToGrid w:val="0"/>
              <w:jc w:val="center"/>
              <w:rPr>
                <w:sz w:val="24"/>
                <w:szCs w:val="21"/>
              </w:rPr>
            </w:pPr>
            <w:r>
              <w:rPr>
                <w:sz w:val="24"/>
                <w:szCs w:val="21"/>
              </w:rPr>
              <w:t>35424358.11</w:t>
            </w:r>
          </w:p>
        </w:tc>
      </w:tr>
      <w:tr w14:paraId="6805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39" w:type="dxa"/>
            <w:tcBorders>
              <w:bottom w:val="single" w:color="auto" w:sz="4" w:space="0"/>
            </w:tcBorders>
            <w:vAlign w:val="center"/>
          </w:tcPr>
          <w:p w14:paraId="3CF16DD0">
            <w:pPr>
              <w:adjustRightInd w:val="0"/>
              <w:snapToGrid w:val="0"/>
              <w:jc w:val="center"/>
              <w:rPr>
                <w:sz w:val="24"/>
                <w:szCs w:val="21"/>
              </w:rPr>
            </w:pPr>
            <w:r>
              <w:rPr>
                <w:sz w:val="24"/>
                <w:szCs w:val="21"/>
              </w:rPr>
              <w:t>矿2</w:t>
            </w:r>
          </w:p>
        </w:tc>
        <w:tc>
          <w:tcPr>
            <w:tcW w:w="3119" w:type="dxa"/>
            <w:vAlign w:val="center"/>
          </w:tcPr>
          <w:p w14:paraId="23520B00">
            <w:pPr>
              <w:adjustRightInd w:val="0"/>
              <w:snapToGrid w:val="0"/>
              <w:jc w:val="center"/>
              <w:rPr>
                <w:sz w:val="24"/>
                <w:szCs w:val="21"/>
              </w:rPr>
            </w:pPr>
            <w:r>
              <w:rPr>
                <w:sz w:val="24"/>
                <w:szCs w:val="21"/>
              </w:rPr>
              <w:t>3101111.77</w:t>
            </w:r>
          </w:p>
        </w:tc>
        <w:tc>
          <w:tcPr>
            <w:tcW w:w="3969" w:type="dxa"/>
            <w:vAlign w:val="center"/>
          </w:tcPr>
          <w:p w14:paraId="16B032DE">
            <w:pPr>
              <w:adjustRightInd w:val="0"/>
              <w:snapToGrid w:val="0"/>
              <w:jc w:val="center"/>
              <w:rPr>
                <w:sz w:val="24"/>
                <w:szCs w:val="21"/>
              </w:rPr>
            </w:pPr>
            <w:r>
              <w:rPr>
                <w:sz w:val="24"/>
                <w:szCs w:val="21"/>
              </w:rPr>
              <w:t>35424416.58</w:t>
            </w:r>
          </w:p>
        </w:tc>
      </w:tr>
      <w:tr w14:paraId="35A92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39" w:type="dxa"/>
            <w:tcBorders>
              <w:left w:val="single" w:color="auto" w:sz="4" w:space="0"/>
            </w:tcBorders>
            <w:vAlign w:val="center"/>
          </w:tcPr>
          <w:p w14:paraId="1DCD450A">
            <w:pPr>
              <w:adjustRightInd w:val="0"/>
              <w:snapToGrid w:val="0"/>
              <w:jc w:val="center"/>
              <w:rPr>
                <w:sz w:val="24"/>
                <w:szCs w:val="21"/>
              </w:rPr>
            </w:pPr>
            <w:r>
              <w:rPr>
                <w:sz w:val="24"/>
                <w:szCs w:val="21"/>
              </w:rPr>
              <w:t>矿3</w:t>
            </w:r>
          </w:p>
        </w:tc>
        <w:tc>
          <w:tcPr>
            <w:tcW w:w="3119" w:type="dxa"/>
            <w:vAlign w:val="center"/>
          </w:tcPr>
          <w:p w14:paraId="186AF38B">
            <w:pPr>
              <w:adjustRightInd w:val="0"/>
              <w:snapToGrid w:val="0"/>
              <w:jc w:val="center"/>
              <w:rPr>
                <w:sz w:val="24"/>
                <w:szCs w:val="21"/>
              </w:rPr>
            </w:pPr>
            <w:r>
              <w:rPr>
                <w:sz w:val="24"/>
                <w:szCs w:val="21"/>
              </w:rPr>
              <w:t>3101106.98</w:t>
            </w:r>
          </w:p>
        </w:tc>
        <w:tc>
          <w:tcPr>
            <w:tcW w:w="3969" w:type="dxa"/>
            <w:vAlign w:val="center"/>
          </w:tcPr>
          <w:p w14:paraId="21806966">
            <w:pPr>
              <w:adjustRightInd w:val="0"/>
              <w:snapToGrid w:val="0"/>
              <w:jc w:val="center"/>
              <w:rPr>
                <w:sz w:val="24"/>
                <w:szCs w:val="21"/>
              </w:rPr>
            </w:pPr>
            <w:r>
              <w:rPr>
                <w:sz w:val="24"/>
                <w:szCs w:val="21"/>
              </w:rPr>
              <w:t>35424431.51</w:t>
            </w:r>
          </w:p>
        </w:tc>
      </w:tr>
      <w:tr w14:paraId="7E87F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39" w:type="dxa"/>
            <w:vAlign w:val="center"/>
          </w:tcPr>
          <w:p w14:paraId="4BBB86F9">
            <w:pPr>
              <w:adjustRightInd w:val="0"/>
              <w:snapToGrid w:val="0"/>
              <w:jc w:val="center"/>
              <w:rPr>
                <w:sz w:val="24"/>
                <w:szCs w:val="21"/>
              </w:rPr>
            </w:pPr>
            <w:r>
              <w:rPr>
                <w:sz w:val="24"/>
                <w:szCs w:val="21"/>
              </w:rPr>
              <w:t>矿4</w:t>
            </w:r>
          </w:p>
        </w:tc>
        <w:tc>
          <w:tcPr>
            <w:tcW w:w="3119" w:type="dxa"/>
            <w:vAlign w:val="center"/>
          </w:tcPr>
          <w:p w14:paraId="59CFCA66">
            <w:pPr>
              <w:adjustRightInd w:val="0"/>
              <w:snapToGrid w:val="0"/>
              <w:jc w:val="center"/>
              <w:rPr>
                <w:sz w:val="24"/>
                <w:szCs w:val="21"/>
              </w:rPr>
            </w:pPr>
            <w:r>
              <w:rPr>
                <w:sz w:val="24"/>
                <w:szCs w:val="21"/>
              </w:rPr>
              <w:t>3101113.41</w:t>
            </w:r>
          </w:p>
        </w:tc>
        <w:tc>
          <w:tcPr>
            <w:tcW w:w="3969" w:type="dxa"/>
            <w:vAlign w:val="center"/>
          </w:tcPr>
          <w:p w14:paraId="5854007E">
            <w:pPr>
              <w:adjustRightInd w:val="0"/>
              <w:snapToGrid w:val="0"/>
              <w:jc w:val="center"/>
              <w:rPr>
                <w:sz w:val="24"/>
                <w:szCs w:val="21"/>
              </w:rPr>
            </w:pPr>
            <w:r>
              <w:rPr>
                <w:sz w:val="24"/>
                <w:szCs w:val="21"/>
              </w:rPr>
              <w:t>35424443.52</w:t>
            </w:r>
          </w:p>
        </w:tc>
      </w:tr>
      <w:tr w14:paraId="0EFDB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39" w:type="dxa"/>
            <w:vAlign w:val="center"/>
          </w:tcPr>
          <w:p w14:paraId="2156A00F">
            <w:pPr>
              <w:adjustRightInd w:val="0"/>
              <w:snapToGrid w:val="0"/>
              <w:jc w:val="center"/>
              <w:rPr>
                <w:sz w:val="24"/>
                <w:szCs w:val="21"/>
              </w:rPr>
            </w:pPr>
            <w:r>
              <w:rPr>
                <w:sz w:val="24"/>
                <w:szCs w:val="21"/>
              </w:rPr>
              <w:t>采1</w:t>
            </w:r>
          </w:p>
        </w:tc>
        <w:tc>
          <w:tcPr>
            <w:tcW w:w="3119" w:type="dxa"/>
            <w:vAlign w:val="center"/>
          </w:tcPr>
          <w:p w14:paraId="678751A8">
            <w:pPr>
              <w:adjustRightInd w:val="0"/>
              <w:snapToGrid w:val="0"/>
              <w:jc w:val="center"/>
              <w:rPr>
                <w:sz w:val="24"/>
                <w:szCs w:val="21"/>
              </w:rPr>
            </w:pPr>
            <w:r>
              <w:rPr>
                <w:sz w:val="24"/>
                <w:szCs w:val="21"/>
              </w:rPr>
              <w:t>3101121.48</w:t>
            </w:r>
          </w:p>
        </w:tc>
        <w:tc>
          <w:tcPr>
            <w:tcW w:w="3969" w:type="dxa"/>
            <w:vAlign w:val="center"/>
          </w:tcPr>
          <w:p w14:paraId="73101A8B">
            <w:pPr>
              <w:adjustRightInd w:val="0"/>
              <w:snapToGrid w:val="0"/>
              <w:jc w:val="center"/>
              <w:rPr>
                <w:sz w:val="24"/>
                <w:szCs w:val="21"/>
              </w:rPr>
            </w:pPr>
            <w:r>
              <w:rPr>
                <w:sz w:val="24"/>
                <w:szCs w:val="21"/>
              </w:rPr>
              <w:t>35424450.56</w:t>
            </w:r>
          </w:p>
        </w:tc>
      </w:tr>
      <w:tr w14:paraId="2AA64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39" w:type="dxa"/>
            <w:vAlign w:val="center"/>
          </w:tcPr>
          <w:p w14:paraId="3F77C870">
            <w:pPr>
              <w:adjustRightInd w:val="0"/>
              <w:snapToGrid w:val="0"/>
              <w:jc w:val="center"/>
              <w:rPr>
                <w:sz w:val="24"/>
                <w:szCs w:val="21"/>
              </w:rPr>
            </w:pPr>
            <w:r>
              <w:rPr>
                <w:sz w:val="24"/>
                <w:szCs w:val="21"/>
              </w:rPr>
              <w:t>采2</w:t>
            </w:r>
          </w:p>
        </w:tc>
        <w:tc>
          <w:tcPr>
            <w:tcW w:w="3119" w:type="dxa"/>
            <w:vAlign w:val="center"/>
          </w:tcPr>
          <w:p w14:paraId="464F1FF7">
            <w:pPr>
              <w:adjustRightInd w:val="0"/>
              <w:snapToGrid w:val="0"/>
              <w:jc w:val="center"/>
              <w:rPr>
                <w:sz w:val="24"/>
                <w:szCs w:val="21"/>
              </w:rPr>
            </w:pPr>
            <w:r>
              <w:rPr>
                <w:sz w:val="24"/>
                <w:szCs w:val="21"/>
              </w:rPr>
              <w:t>3100924.19</w:t>
            </w:r>
          </w:p>
        </w:tc>
        <w:tc>
          <w:tcPr>
            <w:tcW w:w="3969" w:type="dxa"/>
            <w:vAlign w:val="center"/>
          </w:tcPr>
          <w:p w14:paraId="0A9DF52D">
            <w:pPr>
              <w:adjustRightInd w:val="0"/>
              <w:snapToGrid w:val="0"/>
              <w:jc w:val="center"/>
              <w:rPr>
                <w:sz w:val="24"/>
                <w:szCs w:val="21"/>
              </w:rPr>
            </w:pPr>
            <w:r>
              <w:rPr>
                <w:sz w:val="24"/>
                <w:szCs w:val="21"/>
              </w:rPr>
              <w:t>35424396.12</w:t>
            </w:r>
          </w:p>
        </w:tc>
      </w:tr>
      <w:tr w14:paraId="43F4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39" w:type="dxa"/>
            <w:vAlign w:val="center"/>
          </w:tcPr>
          <w:p w14:paraId="654F3E2A">
            <w:pPr>
              <w:adjustRightInd w:val="0"/>
              <w:snapToGrid w:val="0"/>
              <w:jc w:val="center"/>
              <w:rPr>
                <w:sz w:val="24"/>
                <w:szCs w:val="21"/>
              </w:rPr>
            </w:pPr>
            <w:r>
              <w:rPr>
                <w:sz w:val="24"/>
                <w:szCs w:val="21"/>
              </w:rPr>
              <w:t>面积</w:t>
            </w:r>
          </w:p>
        </w:tc>
        <w:tc>
          <w:tcPr>
            <w:tcW w:w="7088" w:type="dxa"/>
            <w:gridSpan w:val="2"/>
            <w:vAlign w:val="center"/>
          </w:tcPr>
          <w:p w14:paraId="6964B027">
            <w:pPr>
              <w:adjustRightInd w:val="0"/>
              <w:snapToGrid w:val="0"/>
              <w:jc w:val="center"/>
              <w:rPr>
                <w:sz w:val="24"/>
                <w:szCs w:val="21"/>
              </w:rPr>
            </w:pPr>
            <w:r>
              <w:rPr>
                <w:sz w:val="24"/>
                <w:szCs w:val="21"/>
              </w:rPr>
              <w:t>6589.5㎡</w:t>
            </w:r>
          </w:p>
        </w:tc>
      </w:tr>
    </w:tbl>
    <w:p w14:paraId="21B05E0B">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eastAsia="宋体" w:cs="Times New Roman"/>
          <w:color w:val="000000" w:themeColor="text1"/>
          <w:sz w:val="28"/>
          <w:szCs w:val="28"/>
          <w:lang w:val="en-GB"/>
          <w14:textFill>
            <w14:solidFill>
              <w14:schemeClr w14:val="tx1"/>
            </w14:solidFill>
          </w14:textFill>
        </w:rPr>
        <w:t>机械开采区域内采用挖掘机加装破碎锤进行开采，工作台阶高度为6.0m，2个工作台阶靠帮时合并为1个台阶，靠帮台阶高度为12m，自上向下逐台开采。</w:t>
      </w:r>
    </w:p>
    <w:p w14:paraId="35741ACD">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eastAsia="宋体" w:cs="Times New Roman"/>
          <w:color w:val="000000" w:themeColor="text1"/>
          <w:sz w:val="28"/>
          <w:szCs w:val="28"/>
          <w:lang w:val="en-GB"/>
          <w14:textFill>
            <w14:solidFill>
              <w14:schemeClr w14:val="tx1"/>
            </w14:solidFill>
          </w14:textFill>
        </w:rPr>
        <w:t>爆破开采区域</w:t>
      </w:r>
      <w:r>
        <w:rPr>
          <w:rFonts w:ascii="Times New Roman" w:hAnsi="Times New Roman" w:eastAsia="宋体" w:cs="Times New Roman"/>
          <w:color w:val="000000" w:themeColor="text1"/>
          <w:sz w:val="28"/>
          <w:szCs w:val="28"/>
          <w:lang w:val="en-GB"/>
          <w14:textFill>
            <w14:solidFill>
              <w14:schemeClr w14:val="tx1"/>
            </w14:solidFill>
          </w14:textFill>
        </w:rPr>
        <w:t>采用中深孔爆破，多排孔</w:t>
      </w:r>
      <w:r>
        <w:rPr>
          <w:rFonts w:hint="eastAsia" w:ascii="Times New Roman" w:hAnsi="Times New Roman" w:eastAsia="宋体" w:cs="Times New Roman"/>
          <w:color w:val="000000" w:themeColor="text1"/>
          <w:sz w:val="28"/>
          <w:szCs w:val="28"/>
          <w:lang w:val="en-GB"/>
          <w14:textFill>
            <w14:solidFill>
              <w14:schemeClr w14:val="tx1"/>
            </w14:solidFill>
          </w14:textFill>
        </w:rPr>
        <w:t>逐孔</w:t>
      </w:r>
      <w:r>
        <w:rPr>
          <w:rFonts w:ascii="Times New Roman" w:hAnsi="Times New Roman" w:eastAsia="宋体" w:cs="Times New Roman"/>
          <w:color w:val="000000" w:themeColor="text1"/>
          <w:sz w:val="28"/>
          <w:szCs w:val="28"/>
          <w:lang w:val="en-GB"/>
          <w14:textFill>
            <w14:solidFill>
              <w14:schemeClr w14:val="tx1"/>
            </w14:solidFill>
          </w14:textFill>
        </w:rPr>
        <w:t>爆破，数码电子雷管起爆，然后进行铲装运输。</w:t>
      </w:r>
    </w:p>
    <w:p w14:paraId="15CEF45E">
      <w:pPr>
        <w:pStyle w:val="5"/>
        <w:adjustRightInd w:val="0"/>
        <w:snapToGrid w:val="0"/>
        <w:spacing w:line="360" w:lineRule="auto"/>
        <w:ind w:firstLine="560"/>
        <w:rPr>
          <w:rFonts w:ascii="Times New Roman" w:hAnsi="Times New Roman" w:cs="Times New Roman"/>
          <w:color w:val="000000" w:themeColor="text1"/>
          <w:lang w:val="en-GB"/>
          <w14:textFill>
            <w14:solidFill>
              <w14:schemeClr w14:val="tx1"/>
            </w14:solidFill>
          </w14:textFill>
        </w:rPr>
      </w:pPr>
      <w:r>
        <w:rPr>
          <w:rFonts w:ascii="Times New Roman" w:hAnsi="Times New Roman" w:cs="Times New Roman"/>
          <w:color w:val="000000" w:themeColor="text1"/>
          <w:lang w:val="en-GB"/>
          <w14:textFill>
            <w14:solidFill>
              <w14:schemeClr w14:val="tx1"/>
            </w14:solidFill>
          </w14:textFill>
        </w:rPr>
        <w:t>2.4.6.1 剥离</w:t>
      </w:r>
    </w:p>
    <w:p w14:paraId="612235E5">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矿体直接出露地表，上覆杂草及少量废土，采用挖机进行剥离，进行简单处理即可。</w:t>
      </w:r>
    </w:p>
    <w:p w14:paraId="0E72D748">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依据露天境界圈定结果，矿山剥离量为13.16万m³，剥离杂草废土，由汽车运输至临时排土场，部分用于铺设矿山公路垫层及平整工业场地，其余待后期采空区进行复垦使用。</w:t>
      </w:r>
    </w:p>
    <w:p w14:paraId="24A3DFD8">
      <w:pPr>
        <w:pStyle w:val="5"/>
        <w:adjustRightInd w:val="0"/>
        <w:snapToGrid w:val="0"/>
        <w:spacing w:line="360" w:lineRule="auto"/>
        <w:ind w:firstLine="560"/>
        <w:rPr>
          <w:rFonts w:ascii="Times New Roman" w:hAnsi="Times New Roman" w:cs="Times New Roman"/>
          <w:color w:val="000000" w:themeColor="text1"/>
          <w:lang w:val="en-GB"/>
          <w14:textFill>
            <w14:solidFill>
              <w14:schemeClr w14:val="tx1"/>
            </w14:solidFill>
          </w14:textFill>
        </w:rPr>
      </w:pPr>
      <w:r>
        <w:rPr>
          <w:rFonts w:ascii="Times New Roman" w:hAnsi="Times New Roman" w:cs="Times New Roman"/>
          <w:color w:val="000000" w:themeColor="text1"/>
          <w:lang w:val="en-GB"/>
          <w14:textFill>
            <w14:solidFill>
              <w14:schemeClr w14:val="tx1"/>
            </w14:solidFill>
          </w14:textFill>
        </w:rPr>
        <w:t>2.4.6.2 开段沟位置</w:t>
      </w:r>
    </w:p>
    <w:p w14:paraId="730439C3">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新水平准备时，根据矿山地形地质条件，剥离浮土层完成后，沿地形等高线布置开挖单壁沟，单壁沟宽度为24m。</w:t>
      </w:r>
    </w:p>
    <w:p w14:paraId="2CC000DC">
      <w:pPr>
        <w:pStyle w:val="5"/>
        <w:adjustRightInd w:val="0"/>
        <w:snapToGrid w:val="0"/>
        <w:spacing w:line="360" w:lineRule="auto"/>
        <w:ind w:firstLine="56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2.4.6.3 最小工作平台宽度</w:t>
      </w:r>
    </w:p>
    <w:p w14:paraId="5DD53383">
      <w:pPr>
        <w:adjustRightInd w:val="0"/>
        <w:snapToGrid w:val="0"/>
        <w:spacing w:line="360" w:lineRule="auto"/>
        <w:ind w:firstLine="560" w:firstLineChars="200"/>
        <w:rPr>
          <w:rFonts w:ascii="Times New Roman" w:hAnsi="Times New Roman" w:eastAsia="宋体" w:cs="Times New Roman"/>
          <w:sz w:val="28"/>
          <w:szCs w:val="20"/>
          <w:lang w:bidi="ar"/>
        </w:rPr>
      </w:pPr>
      <w:r>
        <w:rPr>
          <w:rFonts w:ascii="Times New Roman" w:hAnsi="Times New Roman" w:eastAsia="宋体" w:cs="Times New Roman"/>
          <w:sz w:val="28"/>
          <w:szCs w:val="20"/>
          <w:lang w:bidi="ar"/>
        </w:rPr>
        <w:t>设计采用30t自卸汽车配合进行采剥作业，其初始或最小工作平台宽度应满足矿山采装、运输设备的正常作业要求，平台底平面尽可能保持平直，与公路连接转弯应满足运输最小曲率半径要求，采场工作平台内应满足30t自卸汽车调车要求。</w:t>
      </w:r>
      <w:r>
        <w:rPr>
          <w:rFonts w:hint="eastAsia" w:ascii="Times New Roman" w:hAnsi="Times New Roman" w:eastAsia="宋体" w:cs="Times New Roman"/>
          <w:sz w:val="28"/>
          <w:szCs w:val="20"/>
          <w:lang w:bidi="ar"/>
        </w:rPr>
        <w:t>设计</w:t>
      </w:r>
      <w:r>
        <w:rPr>
          <w:rFonts w:ascii="Times New Roman" w:hAnsi="Times New Roman" w:eastAsia="宋体" w:cs="Times New Roman"/>
          <w:sz w:val="28"/>
          <w:szCs w:val="20"/>
          <w:lang w:bidi="ar"/>
        </w:rPr>
        <w:t>采用折返式调车，其初始或最小工作平台宽度按下式进行计算，根据计算结果，最小工作平台宽度为24m。</w:t>
      </w:r>
    </w:p>
    <w:p w14:paraId="56B256DC">
      <w:pPr>
        <w:pStyle w:val="5"/>
        <w:adjustRightInd w:val="0"/>
        <w:snapToGrid w:val="0"/>
        <w:spacing w:line="360" w:lineRule="auto"/>
        <w:ind w:firstLine="560"/>
        <w:rPr>
          <w:rFonts w:ascii="Times New Roman" w:hAnsi="Times New Roman" w:cs="Times New Roman"/>
          <w:color w:val="000000" w:themeColor="text1"/>
          <w:lang w:val="en-GB"/>
          <w14:textFill>
            <w14:solidFill>
              <w14:schemeClr w14:val="tx1"/>
            </w14:solidFill>
          </w14:textFill>
        </w:rPr>
      </w:pPr>
      <w:r>
        <w:rPr>
          <w:rFonts w:ascii="Times New Roman" w:hAnsi="Times New Roman" w:cs="Times New Roman"/>
          <w:color w:val="000000" w:themeColor="text1"/>
          <w:lang w:val="en-GB"/>
          <w14:textFill>
            <w14:solidFill>
              <w14:schemeClr w14:val="tx1"/>
            </w14:solidFill>
          </w14:textFill>
        </w:rPr>
        <w:t>2.4.6.</w:t>
      </w:r>
      <w:r>
        <w:rPr>
          <w:rFonts w:ascii="Times New Roman" w:hAnsi="Times New Roman" w:cs="Times New Roman"/>
          <w:color w:val="000000" w:themeColor="text1"/>
          <w14:textFill>
            <w14:solidFill>
              <w14:schemeClr w14:val="tx1"/>
            </w14:solidFill>
          </w14:textFill>
        </w:rPr>
        <w:t>4</w:t>
      </w:r>
      <w:r>
        <w:rPr>
          <w:rFonts w:ascii="Times New Roman" w:hAnsi="Times New Roman" w:cs="Times New Roman"/>
          <w:color w:val="000000" w:themeColor="text1"/>
          <w:lang w:val="en-GB"/>
          <w14:textFill>
            <w14:solidFill>
              <w14:schemeClr w14:val="tx1"/>
            </w14:solidFill>
          </w14:textFill>
        </w:rPr>
        <w:t xml:space="preserve"> </w:t>
      </w:r>
      <w:r>
        <w:rPr>
          <w:rFonts w:ascii="Times New Roman" w:hAnsi="Times New Roman" w:cs="Times New Roman"/>
        </w:rPr>
        <w:t>工作线布置方式及工作面推进方向</w:t>
      </w:r>
    </w:p>
    <w:p w14:paraId="0E5182C9">
      <w:pPr>
        <w:adjustRightInd w:val="0"/>
        <w:snapToGrid w:val="0"/>
        <w:spacing w:line="360" w:lineRule="auto"/>
        <w:ind w:firstLine="560" w:firstLineChars="200"/>
        <w:rPr>
          <w:rFonts w:ascii="Times New Roman" w:hAnsi="Times New Roman" w:eastAsia="宋体" w:cs="Times New Roman"/>
          <w:sz w:val="28"/>
          <w:szCs w:val="21"/>
        </w:rPr>
      </w:pPr>
      <w:bookmarkStart w:id="61" w:name="_Hlk86956060"/>
      <w:bookmarkStart w:id="62" w:name="_Hlk129349156"/>
      <w:r>
        <w:rPr>
          <w:rFonts w:ascii="Times New Roman" w:hAnsi="Times New Roman" w:eastAsia="宋体" w:cs="Times New Roman"/>
          <w:sz w:val="28"/>
          <w:szCs w:val="21"/>
        </w:rPr>
        <w:t>采用工作线纵向布置方式，即沿地形等高线东西向布置，垂直地形等高线由北向南移动，平行推进，采掘带宽度12m。</w:t>
      </w:r>
    </w:p>
    <w:p w14:paraId="1AFF578C">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工作面沿地形东西向布置，由东向西方向推进。</w:t>
      </w:r>
    </w:p>
    <w:p w14:paraId="304597D9">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首采工作面布置：根据矿山地形地质条件，结合矿山生产实际情况，首采段设置在824m水平，基建结束形成824m基建平台、836m剥离平台，824m设置两个工作面采矿，两个工作面间距大于60m。工作面平台高度为12m，工作线长度60m，平台宽度25m。</w:t>
      </w:r>
      <w:bookmarkEnd w:id="61"/>
    </w:p>
    <w:bookmarkEnd w:id="62"/>
    <w:p w14:paraId="54CA8C34">
      <w:pPr>
        <w:pStyle w:val="5"/>
        <w:adjustRightInd w:val="0"/>
        <w:snapToGrid w:val="0"/>
        <w:spacing w:line="360" w:lineRule="auto"/>
        <w:ind w:firstLine="560"/>
        <w:rPr>
          <w:rFonts w:ascii="Times New Roman" w:hAnsi="Times New Roman" w:cs="Times New Roman"/>
        </w:rPr>
      </w:pPr>
      <w:r>
        <w:rPr>
          <w:rFonts w:ascii="Times New Roman" w:hAnsi="Times New Roman" w:cs="Times New Roman"/>
        </w:rPr>
        <w:t>2.4.6.5 开采顺序</w:t>
      </w:r>
    </w:p>
    <w:p w14:paraId="378F0CB2">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矿山采用露天开采，自上而下</w:t>
      </w:r>
      <w:r>
        <w:rPr>
          <w:rFonts w:hint="eastAsia" w:ascii="Times New Roman" w:hAnsi="Times New Roman" w:eastAsia="宋体" w:cs="Times New Roman"/>
          <w:color w:val="000000" w:themeColor="text1"/>
          <w:sz w:val="28"/>
          <w:szCs w:val="28"/>
          <w:lang w:val="en-GB"/>
          <w14:textFill>
            <w14:solidFill>
              <w14:schemeClr w14:val="tx1"/>
            </w14:solidFill>
          </w14:textFill>
        </w:rPr>
        <w:t>地</w:t>
      </w:r>
      <w:r>
        <w:rPr>
          <w:rFonts w:ascii="Times New Roman" w:hAnsi="Times New Roman" w:eastAsia="宋体" w:cs="Times New Roman"/>
          <w:color w:val="000000" w:themeColor="text1"/>
          <w:sz w:val="28"/>
          <w:szCs w:val="28"/>
          <w:lang w:val="en-GB"/>
          <w14:textFill>
            <w14:solidFill>
              <w14:schemeClr w14:val="tx1"/>
            </w14:solidFill>
          </w14:textFill>
        </w:rPr>
        <w:t>开采顺序。剥离作业采用挖掘机直接在836m水平上部进行，在824m开采水平采用穿孔爆破开采矿石。824m水平开采结束后，再向下开采812m水平的矿石，后续台阶的以此类推进行，自上而下分台阶开采。新台阶的准备：当上一台阶开采即将结束时，提前准备好下一工作台阶，以保证采矿工作能连续正常进行和新水平的延伸。</w:t>
      </w:r>
    </w:p>
    <w:p w14:paraId="717F4F69">
      <w:pPr>
        <w:pStyle w:val="5"/>
        <w:adjustRightInd w:val="0"/>
        <w:snapToGrid w:val="0"/>
        <w:spacing w:line="360" w:lineRule="auto"/>
        <w:ind w:firstLine="560"/>
        <w:rPr>
          <w:rFonts w:ascii="Times New Roman" w:hAnsi="Times New Roman" w:cs="Times New Roman"/>
        </w:rPr>
      </w:pPr>
      <w:r>
        <w:rPr>
          <w:rFonts w:ascii="Times New Roman" w:hAnsi="Times New Roman" w:cs="Times New Roman"/>
        </w:rPr>
        <w:t>2.4.6.6 采矿工艺</w:t>
      </w:r>
    </w:p>
    <w:p w14:paraId="5DB7C53E">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根据开采矿段矿岩的物理力学性质及矿岩的结构、构造，结合现场边坡的稳定情况，灰岩矿体埋藏浅，矿岩坚硬，设计采用中深孔微差爆破进行开采。凿岩采用KQD-100露天潜孔钻机</w:t>
      </w:r>
      <w:r>
        <w:rPr>
          <w:rFonts w:hint="eastAsia"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lang w:val="en-GB"/>
          <w14:textFill>
            <w14:solidFill>
              <w14:schemeClr w14:val="tx1"/>
            </w14:solidFill>
          </w14:textFill>
        </w:rPr>
        <w:t>配收尘系统</w:t>
      </w:r>
      <w:r>
        <w:rPr>
          <w:rFonts w:hint="eastAsia"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lang w:val="en-GB"/>
          <w14:textFill>
            <w14:solidFill>
              <w14:schemeClr w14:val="tx1"/>
            </w14:solidFill>
          </w14:textFill>
        </w:rPr>
        <w:t>，钻孔直径为100mm；爆破采用中深孔微差爆破技术，炸药选用2</w:t>
      </w:r>
      <w:r>
        <w:rPr>
          <w:rFonts w:ascii="Times New Roman" w:hAnsi="Times New Roman" w:eastAsia="宋体" w:cs="Times New Roman"/>
          <w:color w:val="000000" w:themeColor="text1"/>
          <w:sz w:val="28"/>
          <w:szCs w:val="28"/>
          <w:vertAlign w:val="superscript"/>
          <w:lang w:val="en-GB"/>
          <w14:textFill>
            <w14:solidFill>
              <w14:schemeClr w14:val="tx1"/>
            </w14:solidFill>
          </w14:textFill>
        </w:rPr>
        <w:t>#</w:t>
      </w:r>
      <w:r>
        <w:rPr>
          <w:rFonts w:ascii="Times New Roman" w:hAnsi="Times New Roman" w:eastAsia="宋体" w:cs="Times New Roman"/>
          <w:color w:val="000000" w:themeColor="text1"/>
          <w:sz w:val="28"/>
          <w:szCs w:val="28"/>
          <w:lang w:val="en-GB"/>
          <w14:textFill>
            <w14:solidFill>
              <w14:schemeClr w14:val="tx1"/>
            </w14:solidFill>
          </w14:textFill>
        </w:rPr>
        <w:t>露天硝铵炸药，</w:t>
      </w:r>
      <w:r>
        <w:rPr>
          <w:rFonts w:hint="eastAsia" w:ascii="宋体" w:hAnsi="宋体"/>
          <w:kern w:val="28"/>
          <w:sz w:val="28"/>
          <w:szCs w:val="28"/>
        </w:rPr>
        <w:t>数码雷管起爆</w:t>
      </w:r>
      <w:r>
        <w:rPr>
          <w:rFonts w:ascii="Times New Roman" w:hAnsi="Times New Roman" w:eastAsia="宋体" w:cs="Times New Roman"/>
          <w:color w:val="000000" w:themeColor="text1"/>
          <w:sz w:val="28"/>
          <w:szCs w:val="28"/>
          <w:lang w:val="en-GB"/>
          <w14:textFill>
            <w14:solidFill>
              <w14:schemeClr w14:val="tx1"/>
            </w14:solidFill>
          </w14:textFill>
        </w:rPr>
        <w:t>。矿石采用挖掘机铲装至汽车，由汽车运输至破碎站。</w:t>
      </w:r>
    </w:p>
    <w:p w14:paraId="066319CE">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当矿岩块度大于500mm时，采用挖掘机加装破碎锤进行二次破碎，严禁采用二次爆破进行破碎。</w:t>
      </w:r>
    </w:p>
    <w:p w14:paraId="4F58FE9C">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采场开采台阶边坡参素如下：</w:t>
      </w:r>
    </w:p>
    <w:p w14:paraId="2A302907">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采场顶部标高：852m；</w:t>
      </w:r>
    </w:p>
    <w:p w14:paraId="4C2DCFE3">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采场底部标高：752m；</w:t>
      </w:r>
    </w:p>
    <w:p w14:paraId="4DFA38AB">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台阶高度：12m；</w:t>
      </w:r>
    </w:p>
    <w:p w14:paraId="37BAA9C0">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eastAsia="宋体" w:cs="Times New Roman"/>
          <w:color w:val="000000" w:themeColor="text1"/>
          <w:sz w:val="28"/>
          <w:szCs w:val="28"/>
          <w14:textFill>
            <w14:solidFill>
              <w14:schemeClr w14:val="tx1"/>
            </w14:solidFill>
          </w14:textFill>
        </w:rPr>
        <w:t>工作</w:t>
      </w:r>
      <w:r>
        <w:rPr>
          <w:rFonts w:ascii="Times New Roman" w:hAnsi="Times New Roman" w:eastAsia="宋体" w:cs="Times New Roman"/>
          <w:color w:val="000000" w:themeColor="text1"/>
          <w:sz w:val="28"/>
          <w:szCs w:val="28"/>
          <w:lang w:val="en-GB"/>
          <w14:textFill>
            <w14:solidFill>
              <w14:schemeClr w14:val="tx1"/>
            </w14:solidFill>
          </w14:textFill>
        </w:rPr>
        <w:t>台阶坡面角：60°</w:t>
      </w:r>
    </w:p>
    <w:p w14:paraId="6F8AF414">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安全平台宽度：4m；</w:t>
      </w:r>
    </w:p>
    <w:p w14:paraId="6DB49F4F">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清扫平台宽度：6m；</w:t>
      </w:r>
    </w:p>
    <w:p w14:paraId="4B60D3D3">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终了台阶边坡角：60°</w:t>
      </w:r>
      <w:r>
        <w:rPr>
          <w:rFonts w:hint="eastAsia" w:ascii="Times New Roman" w:hAnsi="Times New Roman" w:eastAsia="宋体" w:cs="Times New Roman"/>
          <w:color w:val="000000" w:themeColor="text1"/>
          <w:sz w:val="28"/>
          <w:szCs w:val="28"/>
          <w14:textFill>
            <w14:solidFill>
              <w14:schemeClr w14:val="tx1"/>
            </w14:solidFill>
          </w14:textFill>
        </w:rPr>
        <w:t>；</w:t>
      </w:r>
    </w:p>
    <w:p w14:paraId="579C9171">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最终边坡角：43°～49°；</w:t>
      </w:r>
    </w:p>
    <w:p w14:paraId="048F4A39">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最小工作平台宽度：24m。</w:t>
      </w:r>
    </w:p>
    <w:p w14:paraId="79C8514B">
      <w:pPr>
        <w:pStyle w:val="5"/>
        <w:adjustRightInd w:val="0"/>
        <w:snapToGrid w:val="0"/>
        <w:spacing w:line="360" w:lineRule="auto"/>
        <w:ind w:firstLine="560"/>
        <w:rPr>
          <w:rFonts w:ascii="Times New Roman" w:hAnsi="Times New Roman" w:cs="Times New Roman"/>
        </w:rPr>
      </w:pPr>
      <w:r>
        <w:rPr>
          <w:rFonts w:ascii="Times New Roman" w:hAnsi="Times New Roman" w:cs="Times New Roman"/>
        </w:rPr>
        <w:t>2.4.6.7 穿孔爆破</w:t>
      </w:r>
    </w:p>
    <w:p w14:paraId="1E5A53E3">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本矿山采用爆破开采，穿孔采用KQD-100露天潜孔钻机</w:t>
      </w:r>
      <w:r>
        <w:rPr>
          <w:rFonts w:hint="eastAsia"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lang w:val="en-GB"/>
          <w14:textFill>
            <w14:solidFill>
              <w14:schemeClr w14:val="tx1"/>
            </w14:solidFill>
          </w14:textFill>
        </w:rPr>
        <w:t>配收尘系统</w:t>
      </w:r>
      <w:r>
        <w:rPr>
          <w:rFonts w:hint="eastAsia"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lang w:val="en-GB"/>
          <w14:textFill>
            <w14:solidFill>
              <w14:schemeClr w14:val="tx1"/>
            </w14:solidFill>
          </w14:textFill>
        </w:rPr>
        <w:t>，钻孔直径为100mm。爆破采用中深孔微差爆破技术，炸药选用2</w:t>
      </w:r>
      <w:r>
        <w:rPr>
          <w:rFonts w:ascii="Times New Roman" w:hAnsi="Times New Roman" w:eastAsia="宋体" w:cs="Times New Roman"/>
          <w:color w:val="000000" w:themeColor="text1"/>
          <w:sz w:val="28"/>
          <w:szCs w:val="28"/>
          <w:vertAlign w:val="superscript"/>
          <w:lang w:val="en-GB"/>
          <w14:textFill>
            <w14:solidFill>
              <w14:schemeClr w14:val="tx1"/>
            </w14:solidFill>
          </w14:textFill>
        </w:rPr>
        <w:t>#</w:t>
      </w:r>
      <w:r>
        <w:rPr>
          <w:rFonts w:ascii="Times New Roman" w:hAnsi="Times New Roman" w:eastAsia="宋体" w:cs="Times New Roman"/>
          <w:color w:val="000000" w:themeColor="text1"/>
          <w:sz w:val="28"/>
          <w:szCs w:val="28"/>
          <w:lang w:val="en-GB"/>
          <w14:textFill>
            <w14:solidFill>
              <w14:schemeClr w14:val="tx1"/>
            </w14:solidFill>
          </w14:textFill>
        </w:rPr>
        <w:t>露天硝铵炸药，</w:t>
      </w:r>
      <w:r>
        <w:rPr>
          <w:rFonts w:hint="eastAsia" w:ascii="宋体" w:hAnsi="宋体"/>
          <w:kern w:val="28"/>
          <w:sz w:val="28"/>
          <w:szCs w:val="28"/>
        </w:rPr>
        <w:t>数码雷管起爆</w:t>
      </w:r>
      <w:r>
        <w:rPr>
          <w:rFonts w:ascii="Times New Roman" w:hAnsi="Times New Roman" w:eastAsia="宋体" w:cs="Times New Roman"/>
          <w:color w:val="000000" w:themeColor="text1"/>
          <w:sz w:val="28"/>
          <w:szCs w:val="28"/>
          <w:lang w:val="en-GB"/>
          <w14:textFill>
            <w14:solidFill>
              <w14:schemeClr w14:val="tx1"/>
            </w14:solidFill>
          </w14:textFill>
        </w:rPr>
        <w:t>，在爆破作业中需要做好各种防范措施，并派遣专人在300m爆破警戒范围上站岗放哨，发出明确的爆破警戒信号和解除爆破警戒信号。</w:t>
      </w:r>
    </w:p>
    <w:p w14:paraId="6B007BE1">
      <w:pPr>
        <w:adjustRightInd w:val="0"/>
        <w:snapToGrid w:val="0"/>
        <w:spacing w:line="360" w:lineRule="auto"/>
        <w:ind w:firstLine="562" w:firstLineChars="200"/>
        <w:rPr>
          <w:rFonts w:ascii="Times New Roman" w:hAnsi="Times New Roman" w:eastAsia="宋体" w:cs="Times New Roman"/>
          <w:b/>
          <w:bCs/>
          <w:color w:val="000000" w:themeColor="text1"/>
          <w:sz w:val="28"/>
          <w:szCs w:val="28"/>
          <w:lang w:val="en-GB"/>
          <w14:textFill>
            <w14:solidFill>
              <w14:schemeClr w14:val="tx1"/>
            </w14:solidFill>
          </w14:textFill>
        </w:rPr>
      </w:pPr>
      <w:r>
        <w:rPr>
          <w:rFonts w:ascii="Times New Roman" w:hAnsi="Times New Roman" w:eastAsia="宋体" w:cs="Times New Roman"/>
          <w:b/>
          <w:bCs/>
          <w:color w:val="000000" w:themeColor="text1"/>
          <w:sz w:val="28"/>
          <w:szCs w:val="28"/>
          <w14:textFill>
            <w14:solidFill>
              <w14:schemeClr w14:val="tx1"/>
            </w14:solidFill>
          </w14:textFill>
        </w:rPr>
        <w:t>一、</w:t>
      </w:r>
      <w:r>
        <w:rPr>
          <w:rFonts w:ascii="Times New Roman" w:hAnsi="Times New Roman" w:eastAsia="宋体" w:cs="Times New Roman"/>
          <w:b/>
          <w:bCs/>
          <w:color w:val="000000" w:themeColor="text1"/>
          <w:sz w:val="28"/>
          <w:szCs w:val="28"/>
          <w:lang w:val="en-GB"/>
          <w14:textFill>
            <w14:solidFill>
              <w14:schemeClr w14:val="tx1"/>
            </w14:solidFill>
          </w14:textFill>
        </w:rPr>
        <w:t>钻孔形式和炮孔布孔方式</w:t>
      </w:r>
    </w:p>
    <w:p w14:paraId="21BD0201">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1、</w:t>
      </w:r>
      <w:r>
        <w:rPr>
          <w:rFonts w:ascii="Times New Roman" w:hAnsi="Times New Roman" w:eastAsia="宋体" w:cs="Times New Roman"/>
          <w:color w:val="000000" w:themeColor="text1"/>
          <w:sz w:val="28"/>
          <w:szCs w:val="28"/>
          <w:lang w:val="en-GB"/>
          <w14:textFill>
            <w14:solidFill>
              <w14:schemeClr w14:val="tx1"/>
            </w14:solidFill>
          </w14:textFill>
        </w:rPr>
        <w:t>钻孔方式：采用中深孔潜孔钻机钻孔，炮孔倾角90°。</w:t>
      </w:r>
    </w:p>
    <w:p w14:paraId="0EF53C59">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2、</w:t>
      </w:r>
      <w:r>
        <w:rPr>
          <w:rFonts w:ascii="Times New Roman" w:hAnsi="Times New Roman" w:eastAsia="宋体" w:cs="Times New Roman"/>
          <w:color w:val="000000" w:themeColor="text1"/>
          <w:sz w:val="28"/>
          <w:szCs w:val="28"/>
          <w:lang w:val="en-GB"/>
          <w14:textFill>
            <w14:solidFill>
              <w14:schemeClr w14:val="tx1"/>
            </w14:solidFill>
          </w14:textFill>
        </w:rPr>
        <w:t>布孔方式：采用多排梅花形布孔方式，一次爆破量较少时用单排孔。</w:t>
      </w:r>
    </w:p>
    <w:p w14:paraId="51C95DAF">
      <w:pPr>
        <w:adjustRightInd w:val="0"/>
        <w:snapToGrid w:val="0"/>
        <w:spacing w:line="360" w:lineRule="auto"/>
        <w:ind w:firstLine="562" w:firstLineChars="200"/>
        <w:rPr>
          <w:rFonts w:ascii="Times New Roman" w:hAnsi="Times New Roman" w:eastAsia="宋体" w:cs="Times New Roman"/>
          <w:b/>
          <w:bCs/>
          <w:color w:val="000000" w:themeColor="text1"/>
          <w:sz w:val="28"/>
          <w:szCs w:val="28"/>
          <w:lang w:val="en-GB"/>
          <w14:textFill>
            <w14:solidFill>
              <w14:schemeClr w14:val="tx1"/>
            </w14:solidFill>
          </w14:textFill>
        </w:rPr>
      </w:pPr>
      <w:r>
        <w:rPr>
          <w:rFonts w:ascii="Times New Roman" w:hAnsi="Times New Roman" w:eastAsia="宋体" w:cs="Times New Roman"/>
          <w:b/>
          <w:bCs/>
          <w:color w:val="000000" w:themeColor="text1"/>
          <w:sz w:val="28"/>
          <w:szCs w:val="28"/>
          <w14:textFill>
            <w14:solidFill>
              <w14:schemeClr w14:val="tx1"/>
            </w14:solidFill>
          </w14:textFill>
        </w:rPr>
        <w:t>二、</w:t>
      </w:r>
      <w:r>
        <w:rPr>
          <w:rFonts w:ascii="Times New Roman" w:hAnsi="Times New Roman" w:eastAsia="宋体" w:cs="Times New Roman"/>
          <w:b/>
          <w:bCs/>
          <w:color w:val="000000" w:themeColor="text1"/>
          <w:sz w:val="28"/>
          <w:szCs w:val="28"/>
          <w:lang w:val="en-GB"/>
          <w14:textFill>
            <w14:solidFill>
              <w14:schemeClr w14:val="tx1"/>
            </w14:solidFill>
          </w14:textFill>
        </w:rPr>
        <w:t>爆破参数</w:t>
      </w:r>
    </w:p>
    <w:p w14:paraId="0CC9B6E4">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1、</w:t>
      </w:r>
      <w:r>
        <w:rPr>
          <w:rFonts w:ascii="Times New Roman" w:hAnsi="Times New Roman" w:eastAsia="宋体" w:cs="Times New Roman"/>
          <w:color w:val="000000" w:themeColor="text1"/>
          <w:sz w:val="28"/>
          <w:szCs w:val="28"/>
          <w:lang w:val="en-GB"/>
          <w14:textFill>
            <w14:solidFill>
              <w14:schemeClr w14:val="tx1"/>
            </w14:solidFill>
          </w14:textFill>
        </w:rPr>
        <w:t>孔径和孔深</w:t>
      </w:r>
    </w:p>
    <w:p w14:paraId="2980E332">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孔径：</w:t>
      </w:r>
      <w:r>
        <w:rPr>
          <w:rFonts w:hint="eastAsia" w:ascii="Times New Roman" w:hAnsi="Times New Roman" w:eastAsia="宋体" w:cs="Times New Roman"/>
          <w:color w:val="000000" w:themeColor="text1"/>
          <w:sz w:val="28"/>
          <w:szCs w:val="28"/>
          <w:lang w:val="en-GB"/>
          <w14:textFill>
            <w14:solidFill>
              <w14:schemeClr w14:val="tx1"/>
            </w14:solidFill>
          </w14:textFill>
        </w:rPr>
        <w:t>设计</w:t>
      </w:r>
      <w:r>
        <w:rPr>
          <w:rFonts w:ascii="Times New Roman" w:hAnsi="Times New Roman" w:eastAsia="宋体" w:cs="Times New Roman"/>
          <w:color w:val="000000" w:themeColor="text1"/>
          <w:sz w:val="28"/>
          <w:szCs w:val="28"/>
          <w:lang w:val="en-GB"/>
          <w14:textFill>
            <w14:solidFill>
              <w14:schemeClr w14:val="tx1"/>
            </w14:solidFill>
          </w14:textFill>
        </w:rPr>
        <w:t>选用KQD-100露天潜孔钻机(配收尘系统)，炮孔直径d=100mm；</w:t>
      </w:r>
    </w:p>
    <w:p w14:paraId="377AF4B6">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孔深：</w:t>
      </w:r>
    </w:p>
    <w:p w14:paraId="74460AB3">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m:oMath>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L=H+h=12+1.0=13</m:t>
        </m:r>
      </m:oMath>
      <w:r>
        <w:rPr>
          <w:rFonts w:ascii="Times New Roman" w:hAnsi="Times New Roman" w:eastAsia="宋体" w:cs="Times New Roman"/>
          <w:color w:val="000000" w:themeColor="text1"/>
          <w:sz w:val="28"/>
          <w:szCs w:val="28"/>
          <w:lang w:val="en-GB"/>
          <w14:textFill>
            <w14:solidFill>
              <w14:schemeClr w14:val="tx1"/>
            </w14:solidFill>
          </w14:textFill>
        </w:rPr>
        <w:t>m；</w:t>
      </w:r>
    </w:p>
    <w:p w14:paraId="018E23E3">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超钻深度取h=1.0m；</w:t>
      </w:r>
    </w:p>
    <w:p w14:paraId="0865BA54">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1</w:t>
      </w:r>
      <w:r>
        <w:rPr>
          <w:rFonts w:ascii="Times New Roman" w:hAnsi="Times New Roman" w:eastAsia="宋体" w:cs="Times New Roman"/>
          <w:color w:val="000000" w:themeColor="text1"/>
          <w:sz w:val="28"/>
          <w:szCs w:val="28"/>
          <w:lang w:val="en-GB"/>
          <w14:textFill>
            <w14:solidFill>
              <w14:schemeClr w14:val="tx1"/>
            </w14:solidFill>
          </w14:textFill>
        </w:rPr>
        <w:t>）底盘最小抵抗线W</w:t>
      </w:r>
    </w:p>
    <w:p w14:paraId="5E78234B">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垂直孔第一排孔底盘最小抵抗线W</w:t>
      </w:r>
      <w:r>
        <w:rPr>
          <w:rFonts w:ascii="Times New Roman" w:hAnsi="Times New Roman" w:eastAsia="宋体" w:cs="Times New Roman"/>
          <w:color w:val="000000" w:themeColor="text1"/>
          <w:sz w:val="28"/>
          <w:szCs w:val="28"/>
          <w:vertAlign w:val="subscript"/>
          <w:lang w:val="en-GB"/>
          <w14:textFill>
            <w14:solidFill>
              <w14:schemeClr w14:val="tx1"/>
            </w14:solidFill>
          </w14:textFill>
        </w:rPr>
        <w:t>1</w:t>
      </w:r>
      <w:r>
        <w:rPr>
          <w:rFonts w:ascii="Times New Roman" w:hAnsi="Times New Roman" w:eastAsia="宋体" w:cs="Times New Roman"/>
          <w:color w:val="000000" w:themeColor="text1"/>
          <w:sz w:val="28"/>
          <w:szCs w:val="28"/>
          <w:lang w:val="en-GB"/>
          <w14:textFill>
            <w14:solidFill>
              <w14:schemeClr w14:val="tx1"/>
            </w14:solidFill>
          </w14:textFill>
        </w:rPr>
        <w:t>：</w:t>
      </w:r>
    </w:p>
    <w:p w14:paraId="497CA5AE">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根据钻孔作业的安全条件W</w:t>
      </w:r>
      <w:r>
        <w:rPr>
          <w:rFonts w:ascii="Times New Roman" w:hAnsi="Times New Roman" w:eastAsia="宋体" w:cs="Times New Roman"/>
          <w:color w:val="000000" w:themeColor="text1"/>
          <w:sz w:val="28"/>
          <w:szCs w:val="28"/>
          <w:vertAlign w:val="subscript"/>
          <w:lang w:val="en-GB"/>
          <w14:textFill>
            <w14:solidFill>
              <w14:schemeClr w14:val="tx1"/>
            </w14:solidFill>
          </w14:textFill>
        </w:rPr>
        <w:t>1</w:t>
      </w:r>
      <w:r>
        <w:rPr>
          <w:rFonts w:ascii="Times New Roman" w:hAnsi="Times New Roman" w:eastAsia="宋体" w:cs="Times New Roman"/>
          <w:color w:val="000000" w:themeColor="text1"/>
          <w:sz w:val="28"/>
          <w:szCs w:val="28"/>
          <w:lang w:val="en-GB"/>
          <w14:textFill>
            <w14:solidFill>
              <w14:schemeClr w14:val="tx1"/>
            </w14:solidFill>
          </w14:textFill>
        </w:rPr>
        <w:t>≥HCtgα+B</w:t>
      </w:r>
    </w:p>
    <w:p w14:paraId="5EC9D24E">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式中：W</w:t>
      </w:r>
      <w:r>
        <w:rPr>
          <w:rFonts w:ascii="Times New Roman" w:hAnsi="Times New Roman" w:eastAsia="宋体" w:cs="Times New Roman"/>
          <w:color w:val="000000" w:themeColor="text1"/>
          <w:sz w:val="28"/>
          <w:szCs w:val="28"/>
          <w:vertAlign w:val="subscript"/>
          <w:lang w:val="en-GB"/>
          <w14:textFill>
            <w14:solidFill>
              <w14:schemeClr w14:val="tx1"/>
            </w14:solidFill>
          </w14:textFill>
        </w:rPr>
        <w:t>1</w:t>
      </w:r>
      <w:r>
        <w:rPr>
          <w:rFonts w:ascii="Times New Roman" w:hAnsi="Times New Roman" w:eastAsia="宋体" w:cs="Times New Roman"/>
          <w:color w:val="000000" w:themeColor="text1"/>
          <w:sz w:val="28"/>
          <w:szCs w:val="28"/>
          <w:lang w:val="en-GB"/>
          <w14:textFill>
            <w14:solidFill>
              <w14:schemeClr w14:val="tx1"/>
            </w14:solidFill>
          </w14:textFill>
        </w:rPr>
        <w:t>—底盘抵抗线，m；</w:t>
      </w:r>
    </w:p>
    <w:p w14:paraId="2D572698">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H—台阶高度，取12m；</w:t>
      </w:r>
    </w:p>
    <w:p w14:paraId="0E9EA926">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α—工作</w:t>
      </w:r>
      <w:r>
        <w:rPr>
          <w:rFonts w:hint="eastAsia" w:ascii="Times New Roman" w:hAnsi="Times New Roman" w:eastAsia="宋体" w:cs="Times New Roman"/>
          <w:color w:val="000000" w:themeColor="text1"/>
          <w:sz w:val="28"/>
          <w:szCs w:val="28"/>
          <w:lang w:val="en-GB"/>
          <w14:textFill>
            <w14:solidFill>
              <w14:schemeClr w14:val="tx1"/>
            </w14:solidFill>
          </w14:textFill>
        </w:rPr>
        <w:t>台阶</w:t>
      </w:r>
      <w:r>
        <w:rPr>
          <w:rFonts w:ascii="Times New Roman" w:hAnsi="Times New Roman" w:eastAsia="宋体" w:cs="Times New Roman"/>
          <w:color w:val="000000" w:themeColor="text1"/>
          <w:sz w:val="28"/>
          <w:szCs w:val="28"/>
          <w:lang w:val="en-GB"/>
          <w14:textFill>
            <w14:solidFill>
              <w14:schemeClr w14:val="tx1"/>
            </w14:solidFill>
          </w14:textFill>
        </w:rPr>
        <w:t>坡面角，取75°；</w:t>
      </w:r>
    </w:p>
    <w:p w14:paraId="02A64BB0">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B—从钻孔中心至坡顶线的安全距离，取2.5m。</w:t>
      </w:r>
    </w:p>
    <w:p w14:paraId="2010FA68">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经计算得出W</w:t>
      </w:r>
      <w:r>
        <w:rPr>
          <w:rFonts w:ascii="Times New Roman" w:hAnsi="Times New Roman" w:eastAsia="宋体" w:cs="Times New Roman"/>
          <w:color w:val="000000" w:themeColor="text1"/>
          <w:sz w:val="28"/>
          <w:szCs w:val="28"/>
          <w:vertAlign w:val="subscript"/>
          <w:lang w:val="en-GB"/>
          <w14:textFill>
            <w14:solidFill>
              <w14:schemeClr w14:val="tx1"/>
            </w14:solidFill>
          </w14:textFill>
        </w:rPr>
        <w:t>1</w:t>
      </w:r>
      <w:r>
        <w:rPr>
          <w:rFonts w:ascii="Times New Roman" w:hAnsi="Times New Roman" w:eastAsia="宋体" w:cs="Times New Roman"/>
          <w:color w:val="000000" w:themeColor="text1"/>
          <w:sz w:val="28"/>
          <w:szCs w:val="28"/>
          <w:lang w:val="en-GB"/>
          <w14:textFill>
            <w14:solidFill>
              <w14:schemeClr w14:val="tx1"/>
            </w14:solidFill>
          </w14:textFill>
        </w:rPr>
        <w:t>=6.0m。</w:t>
      </w:r>
    </w:p>
    <w:p w14:paraId="14F77D77">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平常底盘抵抗线和炮孔直径成正比，按W与d的关系W=（25～45）d，根据矿石岩性，</w:t>
      </w:r>
      <w:r>
        <w:rPr>
          <w:rFonts w:hint="eastAsia" w:ascii="Times New Roman" w:hAnsi="Times New Roman" w:eastAsia="宋体" w:cs="Times New Roman"/>
          <w:color w:val="000000" w:themeColor="text1"/>
          <w:sz w:val="28"/>
          <w:szCs w:val="28"/>
          <w:lang w:val="en-GB"/>
          <w14:textFill>
            <w14:solidFill>
              <w14:schemeClr w14:val="tx1"/>
            </w14:solidFill>
          </w14:textFill>
        </w:rPr>
        <w:t>设计</w:t>
      </w:r>
      <w:r>
        <w:rPr>
          <w:rFonts w:ascii="Times New Roman" w:hAnsi="Times New Roman" w:eastAsia="宋体" w:cs="Times New Roman"/>
          <w:color w:val="000000" w:themeColor="text1"/>
          <w:sz w:val="28"/>
          <w:szCs w:val="28"/>
          <w:lang w:val="en-GB"/>
          <w14:textFill>
            <w14:solidFill>
              <w14:schemeClr w14:val="tx1"/>
            </w14:solidFill>
          </w14:textFill>
        </w:rPr>
        <w:t>取3.5m；</w:t>
      </w:r>
    </w:p>
    <w:p w14:paraId="7D1F3B56">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（2</w:t>
      </w:r>
      <w:r>
        <w:rPr>
          <w:rFonts w:ascii="Times New Roman" w:hAnsi="Times New Roman" w:eastAsia="宋体" w:cs="Times New Roman"/>
          <w:color w:val="000000" w:themeColor="text1"/>
          <w:sz w:val="28"/>
          <w:szCs w:val="28"/>
          <w:lang w:val="en-GB"/>
          <w14:textFill>
            <w14:solidFill>
              <w14:schemeClr w14:val="tx1"/>
            </w14:solidFill>
          </w14:textFill>
        </w:rPr>
        <w:t>）孔距a和排距b</w:t>
      </w:r>
    </w:p>
    <w:p w14:paraId="14D40B4D">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孔距：</w:t>
      </w:r>
      <m:oMath>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a=</m:t>
        </m:r>
        <m:sSub>
          <m:sSubPr>
            <m:ctrlPr>
              <w:rPr>
                <w:rFonts w:ascii="Cambria Math" w:hAnsi="Cambria Math" w:eastAsia="宋体" w:cs="Times New Roman"/>
                <w:color w:val="000000" w:themeColor="text1"/>
                <w:sz w:val="28"/>
                <w:szCs w:val="28"/>
                <w:lang w:val="en-GB"/>
                <w14:textFill>
                  <w14:solidFill>
                    <w14:schemeClr w14:val="tx1"/>
                  </w14:solidFill>
                </w14:textFill>
              </w:rPr>
            </m:ctrlPr>
          </m:sSubPr>
          <m:e>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m</m:t>
            </m:r>
            <m:ctrlPr>
              <w:rPr>
                <w:rFonts w:ascii="Cambria Math" w:hAnsi="Cambria Math" w:eastAsia="宋体" w:cs="Times New Roman"/>
                <w:color w:val="000000" w:themeColor="text1"/>
                <w:sz w:val="28"/>
                <w:szCs w:val="28"/>
                <w:lang w:val="en-GB"/>
                <w14:textFill>
                  <w14:solidFill>
                    <w14:schemeClr w14:val="tx1"/>
                  </w14:solidFill>
                </w14:textFill>
              </w:rPr>
            </m:ctrlPr>
          </m:e>
          <m:sub>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1</m:t>
            </m:r>
            <m:ctrlPr>
              <w:rPr>
                <w:rFonts w:ascii="Cambria Math" w:hAnsi="Cambria Math" w:eastAsia="宋体" w:cs="Times New Roman"/>
                <w:color w:val="000000" w:themeColor="text1"/>
                <w:sz w:val="28"/>
                <w:szCs w:val="28"/>
                <w:lang w:val="en-GB"/>
                <w14:textFill>
                  <w14:solidFill>
                    <w14:schemeClr w14:val="tx1"/>
                  </w14:solidFill>
                </w14:textFill>
              </w:rPr>
            </m:ctrlPr>
          </m:sub>
        </m:sSub>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W=1×3.5=3.5m；</m:t>
        </m:r>
      </m:oMath>
    </w:p>
    <w:p w14:paraId="13696510">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排距：</w:t>
      </w:r>
      <m:oMath>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b=</m:t>
        </m:r>
        <m:sSub>
          <m:sSubPr>
            <m:ctrlPr>
              <w:rPr>
                <w:rFonts w:ascii="Cambria Math" w:hAnsi="Cambria Math" w:eastAsia="宋体" w:cs="Times New Roman"/>
                <w:color w:val="000000" w:themeColor="text1"/>
                <w:sz w:val="28"/>
                <w:szCs w:val="28"/>
                <w:lang w:val="en-GB"/>
                <w14:textFill>
                  <w14:solidFill>
                    <w14:schemeClr w14:val="tx1"/>
                  </w14:solidFill>
                </w14:textFill>
              </w:rPr>
            </m:ctrlPr>
          </m:sSubPr>
          <m:e>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m</m:t>
            </m:r>
            <m:ctrlPr>
              <w:rPr>
                <w:rFonts w:ascii="Cambria Math" w:hAnsi="Cambria Math" w:eastAsia="宋体" w:cs="Times New Roman"/>
                <w:color w:val="000000" w:themeColor="text1"/>
                <w:sz w:val="28"/>
                <w:szCs w:val="28"/>
                <w:lang w:val="en-GB"/>
                <w14:textFill>
                  <w14:solidFill>
                    <w14:schemeClr w14:val="tx1"/>
                  </w14:solidFill>
                </w14:textFill>
              </w:rPr>
            </m:ctrlPr>
          </m:e>
          <m:sub>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2</m:t>
            </m:r>
            <m:ctrlPr>
              <w:rPr>
                <w:rFonts w:ascii="Cambria Math" w:hAnsi="Cambria Math" w:eastAsia="宋体" w:cs="Times New Roman"/>
                <w:color w:val="000000" w:themeColor="text1"/>
                <w:sz w:val="28"/>
                <w:szCs w:val="28"/>
                <w:lang w:val="en-GB"/>
                <w14:textFill>
                  <w14:solidFill>
                    <w14:schemeClr w14:val="tx1"/>
                  </w14:solidFill>
                </w14:textFill>
              </w:rPr>
            </m:ctrlPr>
          </m:sub>
        </m:sSub>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 xml:space="preserve">W=0.9×3.5=3.15 </m:t>
        </m:r>
      </m:oMath>
      <w:r>
        <w:rPr>
          <w:rFonts w:ascii="Times New Roman" w:hAnsi="Times New Roman" w:eastAsia="宋体" w:cs="Times New Roman"/>
          <w:color w:val="000000" w:themeColor="text1"/>
          <w:sz w:val="28"/>
          <w:szCs w:val="28"/>
          <w:lang w:val="en-GB"/>
          <w14:textFill>
            <w14:solidFill>
              <w14:schemeClr w14:val="tx1"/>
            </w14:solidFill>
          </w14:textFill>
        </w:rPr>
        <w:t>m；</w:t>
      </w:r>
    </w:p>
    <w:p w14:paraId="0A39CB7E">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式中</w:t>
      </w:r>
      <w:r>
        <w:rPr>
          <w:rFonts w:ascii="Times New Roman" w:hAnsi="Times New Roman" w:eastAsia="宋体" w:cs="Times New Roman"/>
          <w:color w:val="000000" w:themeColor="text1"/>
          <w:sz w:val="28"/>
          <w:szCs w:val="28"/>
          <w:lang w:val="en-GB"/>
          <w14:textFill>
            <w14:solidFill>
              <w14:schemeClr w14:val="tx1"/>
            </w14:solidFill>
          </w14:textFill>
        </w:rPr>
        <w:object>
          <v:shape id="_x0000_i1025" o:spt="75" type="#_x0000_t75" style="height:18.15pt;width:14.9pt;" o:ole="t" filled="f" o:preferrelative="t" stroked="f" coordsize="21600,21600">
            <v:path/>
            <v:fill on="f" focussize="0,0"/>
            <v:stroke on="f" joinstyle="miter"/>
            <v:imagedata r:id="rId14" o:title=""/>
            <o:lock v:ext="edit" aspectratio="t"/>
            <w10:wrap type="none"/>
            <w10:anchorlock/>
          </v:shape>
          <o:OLEObject Type="Embed" ProgID="Equation.3" ShapeID="_x0000_i1025" DrawAspect="Content" ObjectID="_1468075725" r:id="rId13">
            <o:LockedField>false</o:LockedField>
          </o:OLEObject>
        </w:object>
      </w: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lang w:val="en-GB"/>
          <w14:textFill>
            <w14:solidFill>
              <w14:schemeClr w14:val="tx1"/>
            </w14:solidFill>
          </w14:textFill>
        </w:rPr>
        <w:object>
          <v:shape id="_x0000_i1026" o:spt="75" type="#_x0000_t75" style="height:18.15pt;width:17.5pt;" o:ole="t" filled="f" o:preferrelative="t" stroked="f" coordsize="21600,21600">
            <v:path/>
            <v:fill on="f" focussize="0,0"/>
            <v:stroke on="f" joinstyle="miter"/>
            <v:imagedata r:id="rId16" o:title=""/>
            <o:lock v:ext="edit" aspectratio="t"/>
            <w10:wrap type="none"/>
            <w10:anchorlock/>
          </v:shape>
          <o:OLEObject Type="Embed" ProgID="Equation.3" ShapeID="_x0000_i1026" DrawAspect="Content" ObjectID="_1468075726" r:id="rId15">
            <o:LockedField>false</o:LockedField>
          </o:OLEObject>
        </w:object>
      </w:r>
      <w:r>
        <w:rPr>
          <w:rFonts w:ascii="Times New Roman" w:hAnsi="Times New Roman" w:eastAsia="宋体" w:cs="Times New Roman"/>
          <w:color w:val="000000" w:themeColor="text1"/>
          <w:sz w:val="28"/>
          <w:szCs w:val="28"/>
          <w:lang w:val="en-GB"/>
          <w14:textFill>
            <w14:solidFill>
              <w14:schemeClr w14:val="tx1"/>
            </w14:solidFill>
          </w14:textFill>
        </w:rPr>
        <w:t>—为邻近系数，取</w:t>
      </w:r>
      <w:r>
        <w:rPr>
          <w:rFonts w:ascii="Times New Roman" w:hAnsi="Times New Roman" w:eastAsia="宋体" w:cs="Times New Roman"/>
          <w:color w:val="000000" w:themeColor="text1"/>
          <w:sz w:val="28"/>
          <w:szCs w:val="28"/>
          <w:lang w:val="en-GB"/>
          <w14:textFill>
            <w14:solidFill>
              <w14:schemeClr w14:val="tx1"/>
            </w14:solidFill>
          </w14:textFill>
        </w:rPr>
        <w:object>
          <v:shape id="_x0000_i1027" o:spt="75" type="#_x0000_t75" style="height:18.15pt;width:14.9pt;" o:ole="t" filled="f" o:preferrelative="t" stroked="f" coordsize="21600,21600">
            <v:path/>
            <v:fill on="f" focussize="0,0"/>
            <v:stroke on="f" joinstyle="miter"/>
            <v:imagedata r:id="rId18" o:title=""/>
            <o:lock v:ext="edit" aspectratio="t"/>
            <w10:wrap type="none"/>
            <w10:anchorlock/>
          </v:shape>
          <o:OLEObject Type="Embed" ProgID="Equation.3" ShapeID="_x0000_i1027" DrawAspect="Content" ObjectID="_1468075727" r:id="rId17">
            <o:LockedField>false</o:LockedField>
          </o:OLEObject>
        </w:object>
      </w:r>
      <w:r>
        <w:rPr>
          <w:rFonts w:ascii="Times New Roman" w:hAnsi="Times New Roman" w:eastAsia="宋体" w:cs="Times New Roman"/>
          <w:color w:val="000000" w:themeColor="text1"/>
          <w:sz w:val="28"/>
          <w:szCs w:val="28"/>
          <w:lang w:val="en-GB"/>
          <w14:textFill>
            <w14:solidFill>
              <w14:schemeClr w14:val="tx1"/>
            </w14:solidFill>
          </w14:textFill>
        </w:rPr>
        <w:t>= 1、</w:t>
      </w:r>
      <w:r>
        <w:rPr>
          <w:rFonts w:ascii="Times New Roman" w:hAnsi="Times New Roman" w:eastAsia="宋体" w:cs="Times New Roman"/>
          <w:color w:val="000000" w:themeColor="text1"/>
          <w:sz w:val="28"/>
          <w:szCs w:val="28"/>
          <w:lang w:val="en-GB"/>
          <w14:textFill>
            <w14:solidFill>
              <w14:schemeClr w14:val="tx1"/>
            </w14:solidFill>
          </w14:textFill>
        </w:rPr>
        <w:object>
          <v:shape id="_x0000_i1028" o:spt="75" type="#_x0000_t75" style="height:18.15pt;width:17.5pt;" o:ole="t" filled="f" o:preferrelative="t" stroked="f" coordsize="21600,21600">
            <v:path/>
            <v:fill on="f" focussize="0,0"/>
            <v:stroke on="f" joinstyle="miter"/>
            <v:imagedata r:id="rId20" o:title=""/>
            <o:lock v:ext="edit" aspectratio="t"/>
            <w10:wrap type="none"/>
            <w10:anchorlock/>
          </v:shape>
          <o:OLEObject Type="Embed" ProgID="Equation.3" ShapeID="_x0000_i1028" DrawAspect="Content" ObjectID="_1468075728" r:id="rId19">
            <o:LockedField>false</o:LockedField>
          </o:OLEObject>
        </w:object>
      </w:r>
      <w:r>
        <w:rPr>
          <w:rFonts w:ascii="Times New Roman" w:hAnsi="Times New Roman" w:eastAsia="宋体" w:cs="Times New Roman"/>
          <w:color w:val="000000" w:themeColor="text1"/>
          <w:sz w:val="28"/>
          <w:szCs w:val="28"/>
          <w:lang w:val="en-GB"/>
          <w14:textFill>
            <w14:solidFill>
              <w14:schemeClr w14:val="tx1"/>
            </w14:solidFill>
          </w14:textFill>
        </w:rPr>
        <w:t>=0.9；</w:t>
      </w:r>
    </w:p>
    <w:p w14:paraId="61EBA0BC">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为便于炮孔布置，故取孔距为：a=4m，排距为：b=3m。</w:t>
      </w:r>
    </w:p>
    <w:p w14:paraId="55255922">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3</w:t>
      </w:r>
      <w:r>
        <w:rPr>
          <w:rFonts w:ascii="Times New Roman" w:hAnsi="Times New Roman" w:eastAsia="宋体" w:cs="Times New Roman"/>
          <w:color w:val="000000" w:themeColor="text1"/>
          <w:sz w:val="28"/>
          <w:szCs w:val="28"/>
          <w:lang w:val="en-GB"/>
          <w14:textFill>
            <w14:solidFill>
              <w14:schemeClr w14:val="tx1"/>
            </w14:solidFill>
          </w14:textFill>
        </w:rPr>
        <w:t>）装药长度l</w:t>
      </w:r>
      <w:r>
        <w:rPr>
          <w:rFonts w:ascii="Times New Roman" w:hAnsi="Times New Roman" w:eastAsia="宋体" w:cs="Times New Roman"/>
          <w:color w:val="000000" w:themeColor="text1"/>
          <w:sz w:val="28"/>
          <w:szCs w:val="28"/>
          <w:vertAlign w:val="subscript"/>
          <w:lang w:val="en-GB"/>
          <w14:textFill>
            <w14:solidFill>
              <w14:schemeClr w14:val="tx1"/>
            </w14:solidFill>
          </w14:textFill>
        </w:rPr>
        <w:t>1</w:t>
      </w:r>
      <w:r>
        <w:rPr>
          <w:rFonts w:ascii="Times New Roman" w:hAnsi="Times New Roman" w:eastAsia="宋体" w:cs="Times New Roman"/>
          <w:color w:val="000000" w:themeColor="text1"/>
          <w:sz w:val="28"/>
          <w:szCs w:val="28"/>
          <w:lang w:val="en-GB"/>
          <w14:textFill>
            <w14:solidFill>
              <w14:schemeClr w14:val="tx1"/>
            </w14:solidFill>
          </w14:textFill>
        </w:rPr>
        <w:t>和填塞长度l</w:t>
      </w:r>
      <w:r>
        <w:rPr>
          <w:rFonts w:ascii="Times New Roman" w:hAnsi="Times New Roman" w:eastAsia="宋体" w:cs="Times New Roman"/>
          <w:color w:val="000000" w:themeColor="text1"/>
          <w:sz w:val="28"/>
          <w:szCs w:val="28"/>
          <w:vertAlign w:val="subscript"/>
          <w:lang w:val="en-GB"/>
          <w14:textFill>
            <w14:solidFill>
              <w14:schemeClr w14:val="tx1"/>
            </w14:solidFill>
          </w14:textFill>
        </w:rPr>
        <w:t>2</w:t>
      </w:r>
    </w:p>
    <w:p w14:paraId="67D4E8C4">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填塞长度：L</w:t>
      </w:r>
      <w:r>
        <w:rPr>
          <w:rFonts w:ascii="Times New Roman" w:hAnsi="Times New Roman" w:eastAsia="宋体" w:cs="Times New Roman"/>
          <w:color w:val="000000" w:themeColor="text1"/>
          <w:sz w:val="28"/>
          <w:szCs w:val="28"/>
          <w:vertAlign w:val="subscript"/>
          <w:lang w:val="en-GB"/>
          <w14:textFill>
            <w14:solidFill>
              <w14:schemeClr w14:val="tx1"/>
            </w14:solidFill>
          </w14:textFill>
        </w:rPr>
        <w:t>2</w:t>
      </w:r>
    </w:p>
    <w:p w14:paraId="3607E315">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按</w:t>
      </w:r>
      <w:r>
        <w:rPr>
          <w:rFonts w:ascii="Times New Roman" w:hAnsi="Times New Roman" w:eastAsia="宋体" w:cs="Times New Roman"/>
          <w:color w:val="000000" w:themeColor="text1"/>
          <w:sz w:val="28"/>
          <w:szCs w:val="28"/>
          <w:lang w:val="en-GB"/>
          <w14:textFill>
            <w14:solidFill>
              <w14:schemeClr w14:val="tx1"/>
            </w14:solidFill>
          </w14:textFill>
        </w:rPr>
        <w:object>
          <v:shape id="_x0000_i1029" o:spt="75" type="#_x0000_t75" style="height:18.15pt;width:47.35pt;" o:ole="t" filled="f" o:preferrelative="t" stroked="f" coordsize="21600,21600">
            <v:path/>
            <v:fill on="f" focussize="0,0"/>
            <v:stroke on="f" joinstyle="miter"/>
            <v:imagedata r:id="rId22" o:title=""/>
            <o:lock v:ext="edit" aspectratio="t"/>
            <w10:wrap type="none"/>
            <w10:anchorlock/>
          </v:shape>
          <o:OLEObject Type="Embed" ProgID="Equation.3" ShapeID="_x0000_i1029" DrawAspect="Content" ObjectID="_1468075729" r:id="rId21">
            <o:LockedField>false</o:LockedField>
          </o:OLEObject>
        </w:object>
      </w:r>
      <w:r>
        <w:rPr>
          <w:rFonts w:ascii="Times New Roman" w:hAnsi="Times New Roman" w:eastAsia="宋体" w:cs="Times New Roman"/>
          <w:color w:val="000000" w:themeColor="text1"/>
          <w:sz w:val="28"/>
          <w:szCs w:val="28"/>
          <w:lang w:val="en-GB"/>
          <w14:textFill>
            <w14:solidFill>
              <w14:schemeClr w14:val="tx1"/>
            </w14:solidFill>
          </w14:textFill>
        </w:rPr>
        <w:t>公式计算：</w:t>
      </w:r>
    </w:p>
    <w:p w14:paraId="539677B5">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m:oMath>
        <m:sSub>
          <m:sSubPr>
            <m:ctrlPr>
              <w:rPr>
                <w:rFonts w:ascii="Cambria Math" w:hAnsi="Cambria Math" w:eastAsia="宋体" w:cs="Times New Roman"/>
                <w:color w:val="000000" w:themeColor="text1"/>
                <w:sz w:val="28"/>
                <w:szCs w:val="28"/>
                <w:lang w:val="en-GB"/>
                <w14:textFill>
                  <w14:solidFill>
                    <w14:schemeClr w14:val="tx1"/>
                  </w14:solidFill>
                </w14:textFill>
              </w:rPr>
            </m:ctrlPr>
          </m:sSubPr>
          <m:e>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L</m:t>
            </m:r>
            <m:ctrlPr>
              <w:rPr>
                <w:rFonts w:ascii="Cambria Math" w:hAnsi="Cambria Math" w:eastAsia="宋体" w:cs="Times New Roman"/>
                <w:color w:val="000000" w:themeColor="text1"/>
                <w:sz w:val="28"/>
                <w:szCs w:val="28"/>
                <w:lang w:val="en-GB"/>
                <w14:textFill>
                  <w14:solidFill>
                    <w14:schemeClr w14:val="tx1"/>
                  </w14:solidFill>
                </w14:textFill>
              </w:rPr>
            </m:ctrlPr>
          </m:e>
          <m:sub>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2</m:t>
            </m:r>
            <m:ctrlPr>
              <w:rPr>
                <w:rFonts w:ascii="Cambria Math" w:hAnsi="Cambria Math" w:eastAsia="宋体" w:cs="Times New Roman"/>
                <w:color w:val="000000" w:themeColor="text1"/>
                <w:sz w:val="28"/>
                <w:szCs w:val="28"/>
                <w:lang w:val="en-GB"/>
                <w14:textFill>
                  <w14:solidFill>
                    <w14:schemeClr w14:val="tx1"/>
                  </w14:solidFill>
                </w14:textFill>
              </w:rPr>
            </m:ctrlPr>
          </m:sub>
        </m:sSub>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=ZW=0.8×3.5=2.8</m:t>
        </m:r>
      </m:oMath>
      <w:r>
        <w:rPr>
          <w:rFonts w:ascii="Times New Roman" w:hAnsi="Times New Roman" w:eastAsia="宋体" w:cs="Times New Roman"/>
          <w:color w:val="000000" w:themeColor="text1"/>
          <w:sz w:val="28"/>
          <w:szCs w:val="28"/>
          <w:lang w:val="en-GB"/>
          <w14:textFill>
            <w14:solidFill>
              <w14:schemeClr w14:val="tx1"/>
            </w14:solidFill>
          </w14:textFill>
        </w:rPr>
        <w:t>m，取3m；</w:t>
      </w:r>
    </w:p>
    <w:p w14:paraId="0249FCF3">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式中L</w:t>
      </w:r>
      <w:r>
        <w:rPr>
          <w:rFonts w:ascii="Times New Roman" w:hAnsi="Times New Roman" w:eastAsia="宋体" w:cs="Times New Roman"/>
          <w:color w:val="000000" w:themeColor="text1"/>
          <w:sz w:val="28"/>
          <w:szCs w:val="28"/>
          <w:vertAlign w:val="subscript"/>
          <w:lang w:val="en-GB"/>
          <w14:textFill>
            <w14:solidFill>
              <w14:schemeClr w14:val="tx1"/>
            </w14:solidFill>
          </w14:textFill>
        </w:rPr>
        <w:t>2</w:t>
      </w:r>
      <w:r>
        <w:rPr>
          <w:rFonts w:ascii="Times New Roman" w:hAnsi="Times New Roman" w:eastAsia="宋体" w:cs="Times New Roman"/>
          <w:color w:val="000000" w:themeColor="text1"/>
          <w:sz w:val="28"/>
          <w:szCs w:val="28"/>
          <w:lang w:val="en-GB"/>
          <w14:textFill>
            <w14:solidFill>
              <w14:schemeClr w14:val="tx1"/>
            </w14:solidFill>
          </w14:textFill>
        </w:rPr>
        <w:t>—堵塞长度，m；</w:t>
      </w:r>
    </w:p>
    <w:p w14:paraId="031D0BAB">
      <w:pPr>
        <w:adjustRightInd w:val="0"/>
        <w:snapToGrid w:val="0"/>
        <w:spacing w:line="360" w:lineRule="auto"/>
        <w:ind w:firstLine="1120" w:firstLineChars="4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Z—堵塞系数，取Z=0.7-0.8；</w:t>
      </w:r>
    </w:p>
    <w:p w14:paraId="71BA2C45">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装药长度：L</w:t>
      </w:r>
      <w:r>
        <w:rPr>
          <w:rFonts w:ascii="Times New Roman" w:hAnsi="Times New Roman" w:eastAsia="宋体" w:cs="Times New Roman"/>
          <w:color w:val="000000" w:themeColor="text1"/>
          <w:sz w:val="28"/>
          <w:szCs w:val="28"/>
          <w:vertAlign w:val="subscript"/>
          <w:lang w:val="en-GB"/>
          <w14:textFill>
            <w14:solidFill>
              <w14:schemeClr w14:val="tx1"/>
            </w14:solidFill>
          </w14:textFill>
        </w:rPr>
        <w:t>1</w:t>
      </w:r>
      <w:r>
        <w:rPr>
          <w:rFonts w:ascii="Times New Roman" w:hAnsi="Times New Roman" w:eastAsia="宋体" w:cs="Times New Roman"/>
          <w:color w:val="000000" w:themeColor="text1"/>
          <w:sz w:val="28"/>
          <w:szCs w:val="28"/>
          <w:lang w:val="en-GB"/>
          <w14:textFill>
            <w14:solidFill>
              <w14:schemeClr w14:val="tx1"/>
            </w14:solidFill>
          </w14:textFill>
        </w:rPr>
        <w:t>=L-L</w:t>
      </w:r>
      <w:r>
        <w:rPr>
          <w:rFonts w:ascii="Times New Roman" w:hAnsi="Times New Roman" w:eastAsia="宋体" w:cs="Times New Roman"/>
          <w:color w:val="000000" w:themeColor="text1"/>
          <w:sz w:val="28"/>
          <w:szCs w:val="28"/>
          <w:vertAlign w:val="subscript"/>
          <w:lang w:val="en-GB"/>
          <w14:textFill>
            <w14:solidFill>
              <w14:schemeClr w14:val="tx1"/>
            </w14:solidFill>
          </w14:textFill>
        </w:rPr>
        <w:t>2</w:t>
      </w:r>
      <w:r>
        <w:rPr>
          <w:rFonts w:ascii="Times New Roman" w:hAnsi="Times New Roman" w:eastAsia="宋体" w:cs="Times New Roman"/>
          <w:color w:val="000000" w:themeColor="text1"/>
          <w:sz w:val="28"/>
          <w:szCs w:val="28"/>
          <w:lang w:val="en-GB"/>
          <w14:textFill>
            <w14:solidFill>
              <w14:schemeClr w14:val="tx1"/>
            </w14:solidFill>
          </w14:textFill>
        </w:rPr>
        <w:t>=13-3.0=10m。</w:t>
      </w:r>
    </w:p>
    <w:p w14:paraId="1E182F15">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4</w:t>
      </w:r>
      <w:r>
        <w:rPr>
          <w:rFonts w:ascii="Times New Roman" w:hAnsi="Times New Roman" w:eastAsia="宋体" w:cs="Times New Roman"/>
          <w:color w:val="000000" w:themeColor="text1"/>
          <w:sz w:val="28"/>
          <w:szCs w:val="28"/>
          <w:lang w:val="en-GB"/>
          <w14:textFill>
            <w14:solidFill>
              <w14:schemeClr w14:val="tx1"/>
            </w14:solidFill>
          </w14:textFill>
        </w:rPr>
        <w:t>）炸药单耗q和每孔装药量Q</w:t>
      </w:r>
    </w:p>
    <w:p w14:paraId="586500DD">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影响因素：岩石坚固性，炸药种类，施工技术，自由面数量。根据类似矿山设计爆破单耗选取为q=0.42kg/m</w:t>
      </w:r>
      <w:r>
        <w:rPr>
          <w:rFonts w:ascii="Times New Roman" w:hAnsi="Times New Roman" w:eastAsia="宋体" w:cs="Times New Roman"/>
          <w:color w:val="000000" w:themeColor="text1"/>
          <w:sz w:val="28"/>
          <w:szCs w:val="28"/>
          <w:lang w:val="en-GB"/>
          <w14:textFill>
            <w14:solidFill>
              <w14:schemeClr w14:val="tx1"/>
            </w14:solidFill>
          </w14:textFill>
        </w:rPr>
        <w:object>
          <v:shape id="_x0000_i1030" o:spt="75" type="#_x0000_t75" style="height:14.9pt;width:5.85pt;" o:ole="t" filled="f" o:preferrelative="t" stroked="f" coordsize="21600,21600">
            <v:path/>
            <v:fill on="f" focussize="0,0"/>
            <v:stroke on="f" joinstyle="miter"/>
            <v:imagedata r:id="rId24" o:title=""/>
            <o:lock v:ext="edit" aspectratio="t"/>
            <w10:wrap type="none"/>
            <w10:anchorlock/>
          </v:shape>
          <o:OLEObject Type="Embed" ProgID="Equation.3" ShapeID="_x0000_i1030" DrawAspect="Content" ObjectID="_1468075730" r:id="rId23">
            <o:LockedField>false</o:LockedField>
          </o:OLEObject>
        </w:object>
      </w:r>
      <w:r>
        <w:rPr>
          <w:rFonts w:ascii="Times New Roman" w:hAnsi="Times New Roman" w:eastAsia="宋体" w:cs="Times New Roman"/>
          <w:color w:val="000000" w:themeColor="text1"/>
          <w:sz w:val="28"/>
          <w:szCs w:val="28"/>
          <w:lang w:val="en-GB"/>
          <w14:textFill>
            <w14:solidFill>
              <w14:schemeClr w14:val="tx1"/>
            </w14:solidFill>
          </w14:textFill>
        </w:rPr>
        <w:t>；</w:t>
      </w:r>
    </w:p>
    <w:p w14:paraId="26B92C81">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单孔装药量：</w:t>
      </w:r>
    </w:p>
    <w:p w14:paraId="76F3EF97">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m:oMath>
        <m:sSub>
          <m:sSubPr>
            <m:ctrlPr>
              <w:rPr>
                <w:rFonts w:ascii="Cambria Math" w:hAnsi="Cambria Math" w:eastAsia="宋体" w:cs="Times New Roman"/>
                <w:color w:val="000000" w:themeColor="text1"/>
                <w:sz w:val="28"/>
                <w:szCs w:val="28"/>
                <w:lang w:val="en-GB"/>
                <w14:textFill>
                  <w14:solidFill>
                    <w14:schemeClr w14:val="tx1"/>
                  </w14:solidFill>
                </w14:textFill>
              </w:rPr>
            </m:ctrlPr>
          </m:sSubPr>
          <m:e>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Q</m:t>
            </m:r>
            <m:ctrlPr>
              <w:rPr>
                <w:rFonts w:ascii="Cambria Math" w:hAnsi="Cambria Math" w:eastAsia="宋体" w:cs="Times New Roman"/>
                <w:color w:val="000000" w:themeColor="text1"/>
                <w:sz w:val="28"/>
                <w:szCs w:val="28"/>
                <w:lang w:val="en-GB"/>
                <w14:textFill>
                  <w14:solidFill>
                    <w14:schemeClr w14:val="tx1"/>
                  </w14:solidFill>
                </w14:textFill>
              </w:rPr>
            </m:ctrlPr>
          </m:e>
          <m:sub>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1</m:t>
            </m:r>
            <m:ctrlPr>
              <w:rPr>
                <w:rFonts w:ascii="Cambria Math" w:hAnsi="Cambria Math" w:eastAsia="宋体" w:cs="Times New Roman"/>
                <w:color w:val="000000" w:themeColor="text1"/>
                <w:sz w:val="28"/>
                <w:szCs w:val="28"/>
                <w:lang w:val="en-GB"/>
                <w14:textFill>
                  <w14:solidFill>
                    <w14:schemeClr w14:val="tx1"/>
                  </w14:solidFill>
                </w14:textFill>
              </w:rPr>
            </m:ctrlPr>
          </m:sub>
        </m:sSub>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=qaWH=0.42×4×3.5×12=70.56</m:t>
        </m:r>
      </m:oMath>
      <w:r>
        <w:rPr>
          <w:rFonts w:ascii="Times New Roman" w:hAnsi="Times New Roman" w:eastAsia="宋体" w:cs="Times New Roman"/>
          <w:color w:val="000000" w:themeColor="text1"/>
          <w:sz w:val="28"/>
          <w:szCs w:val="28"/>
          <w:lang w:val="en-GB"/>
          <w14:textFill>
            <w14:solidFill>
              <w14:schemeClr w14:val="tx1"/>
            </w14:solidFill>
          </w14:textFill>
        </w:rPr>
        <w:t>kg；</w:t>
      </w:r>
    </w:p>
    <w:p w14:paraId="12952A62">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式中</w:t>
      </w:r>
      <w:r>
        <w:rPr>
          <w:rFonts w:ascii="Times New Roman" w:hAnsi="Times New Roman" w:eastAsia="宋体" w:cs="Times New Roman"/>
          <w:color w:val="000000" w:themeColor="text1"/>
          <w:sz w:val="28"/>
          <w:szCs w:val="28"/>
          <w:lang w:val="en-GB"/>
          <w14:textFill>
            <w14:solidFill>
              <w14:schemeClr w14:val="tx1"/>
            </w14:solidFill>
          </w14:textFill>
        </w:rPr>
        <w:object>
          <v:shape id="_x0000_i1031" o:spt="75" type="#_x0000_t75" style="height:18.15pt;width:14.9pt;" o:ole="t" filled="f" o:preferrelative="t" stroked="f" coordsize="21600,21600">
            <v:path/>
            <v:fill on="f" focussize="0,0"/>
            <v:stroke on="f" joinstyle="miter"/>
            <v:imagedata r:id="rId26" o:title=""/>
            <o:lock v:ext="edit" aspectratio="t"/>
            <w10:wrap type="none"/>
            <w10:anchorlock/>
          </v:shape>
          <o:OLEObject Type="Embed" ProgID="Equation.3" ShapeID="_x0000_i1031" DrawAspect="Content" ObjectID="_1468075731" r:id="rId25">
            <o:LockedField>false</o:LockedField>
          </o:OLEObject>
        </w:object>
      </w:r>
      <w:r>
        <w:rPr>
          <w:rFonts w:ascii="Times New Roman" w:hAnsi="Times New Roman" w:eastAsia="宋体" w:cs="Times New Roman"/>
          <w:color w:val="000000" w:themeColor="text1"/>
          <w:sz w:val="28"/>
          <w:szCs w:val="28"/>
          <w:lang w:val="en-GB"/>
          <w14:textFill>
            <w14:solidFill>
              <w14:schemeClr w14:val="tx1"/>
            </w14:solidFill>
          </w14:textFill>
        </w:rPr>
        <w:t>—单孔装药量，kg；</w:t>
      </w:r>
    </w:p>
    <w:p w14:paraId="6C4D1006">
      <w:pPr>
        <w:adjustRightInd w:val="0"/>
        <w:snapToGrid w:val="0"/>
        <w:spacing w:line="360" w:lineRule="auto"/>
        <w:ind w:firstLine="1120" w:firstLineChars="4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object>
          <v:shape id="_x0000_i1032" o:spt="75" type="#_x0000_t75" style="height:11.7pt;width:10.4pt;" o:ole="t" filled="f" o:preferrelative="t" stroked="f" coordsize="21600,21600">
            <v:path/>
            <v:fill on="f" focussize="0,0"/>
            <v:stroke on="f" joinstyle="miter"/>
            <v:imagedata r:id="rId28" o:title=""/>
            <o:lock v:ext="edit" aspectratio="t"/>
            <w10:wrap type="none"/>
            <w10:anchorlock/>
          </v:shape>
          <o:OLEObject Type="Embed" ProgID="Equation.3" ShapeID="_x0000_i1032" DrawAspect="Content" ObjectID="_1468075732" r:id="rId27">
            <o:LockedField>false</o:LockedField>
          </o:OLEObject>
        </w:object>
      </w:r>
      <w:r>
        <w:rPr>
          <w:rFonts w:ascii="Times New Roman" w:hAnsi="Times New Roman" w:eastAsia="宋体" w:cs="Times New Roman"/>
          <w:color w:val="000000" w:themeColor="text1"/>
          <w:sz w:val="28"/>
          <w:szCs w:val="28"/>
          <w:lang w:val="en-GB"/>
          <w14:textFill>
            <w14:solidFill>
              <w14:schemeClr w14:val="tx1"/>
            </w14:solidFill>
          </w14:textFill>
        </w:rPr>
        <w:t>—炸药单耗，kg/m</w:t>
      </w:r>
      <w:r>
        <w:rPr>
          <w:rFonts w:ascii="Times New Roman" w:hAnsi="Times New Roman" w:eastAsia="宋体" w:cs="Times New Roman"/>
          <w:color w:val="000000" w:themeColor="text1"/>
          <w:sz w:val="28"/>
          <w:szCs w:val="28"/>
          <w:lang w:val="en-GB"/>
          <w14:textFill>
            <w14:solidFill>
              <w14:schemeClr w14:val="tx1"/>
            </w14:solidFill>
          </w14:textFill>
        </w:rPr>
        <w:object>
          <v:shape id="_x0000_i1033" o:spt="75" type="#_x0000_t75" style="height:14.9pt;width:5.85pt;" o:ole="t" filled="f" o:preferrelative="t" stroked="f" coordsize="21600,21600">
            <v:path/>
            <v:fill on="f" focussize="0,0"/>
            <v:stroke on="f" joinstyle="miter"/>
            <v:imagedata r:id="rId24" o:title=""/>
            <o:lock v:ext="edit" aspectratio="t"/>
            <w10:wrap type="none"/>
            <w10:anchorlock/>
          </v:shape>
          <o:OLEObject Type="Embed" ProgID="Equation.3" ShapeID="_x0000_i1033" DrawAspect="Content" ObjectID="_1468075733" r:id="rId29">
            <o:LockedField>false</o:LockedField>
          </o:OLEObject>
        </w:object>
      </w:r>
      <w:r>
        <w:rPr>
          <w:rFonts w:ascii="Times New Roman" w:hAnsi="Times New Roman" w:eastAsia="宋体" w:cs="Times New Roman"/>
          <w:color w:val="000000" w:themeColor="text1"/>
          <w:sz w:val="28"/>
          <w:szCs w:val="28"/>
          <w:lang w:val="en-GB"/>
          <w14:textFill>
            <w14:solidFill>
              <w14:schemeClr w14:val="tx1"/>
            </w14:solidFill>
          </w14:textFill>
        </w:rPr>
        <w:t>，设计取q=0.42kg/m</w:t>
      </w:r>
      <w:r>
        <w:rPr>
          <w:rFonts w:ascii="Times New Roman" w:hAnsi="Times New Roman" w:eastAsia="宋体" w:cs="Times New Roman"/>
          <w:color w:val="000000" w:themeColor="text1"/>
          <w:sz w:val="28"/>
          <w:szCs w:val="28"/>
          <w:lang w:val="en-GB"/>
          <w14:textFill>
            <w14:solidFill>
              <w14:schemeClr w14:val="tx1"/>
            </w14:solidFill>
          </w14:textFill>
        </w:rPr>
        <w:object>
          <v:shape id="_x0000_i1034" o:spt="75" type="#_x0000_t75" style="height:14.9pt;width:5.85pt;" o:ole="t" filled="f" o:preferrelative="t" stroked="f" coordsize="21600,21600">
            <v:path/>
            <v:fill on="f" focussize="0,0"/>
            <v:stroke on="f" joinstyle="miter"/>
            <v:imagedata r:id="rId24" o:title=""/>
            <o:lock v:ext="edit" aspectratio="t"/>
            <w10:wrap type="none"/>
            <w10:anchorlock/>
          </v:shape>
          <o:OLEObject Type="Embed" ProgID="Equation.3" ShapeID="_x0000_i1034" DrawAspect="Content" ObjectID="_1468075734" r:id="rId30">
            <o:LockedField>false</o:LockedField>
          </o:OLEObject>
        </w:object>
      </w:r>
      <w:r>
        <w:rPr>
          <w:rFonts w:ascii="Times New Roman" w:hAnsi="Times New Roman" w:eastAsia="宋体" w:cs="Times New Roman"/>
          <w:color w:val="000000" w:themeColor="text1"/>
          <w:sz w:val="28"/>
          <w:szCs w:val="28"/>
          <w:lang w:val="en-GB"/>
          <w14:textFill>
            <w14:solidFill>
              <w14:schemeClr w14:val="tx1"/>
            </w14:solidFill>
          </w14:textFill>
        </w:rPr>
        <w:t>；</w:t>
      </w:r>
    </w:p>
    <w:p w14:paraId="02681316">
      <w:pPr>
        <w:adjustRightInd w:val="0"/>
        <w:snapToGrid w:val="0"/>
        <w:spacing w:line="360" w:lineRule="auto"/>
        <w:ind w:firstLine="1120" w:firstLineChars="4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object>
          <v:shape id="_x0000_i1035" o:spt="75" type="#_x0000_t75" style="height:12.95pt;width:12.95pt;" o:ole="t" filled="f" o:preferrelative="t" stroked="f" coordsize="21600,21600">
            <v:path/>
            <v:fill on="f" focussize="0,0"/>
            <v:stroke on="f" joinstyle="miter"/>
            <v:imagedata r:id="rId32" o:title=""/>
            <o:lock v:ext="edit" aspectratio="t"/>
            <w10:wrap type="none"/>
            <w10:anchorlock/>
          </v:shape>
          <o:OLEObject Type="Embed" ProgID="Equation.3" ShapeID="_x0000_i1035" DrawAspect="Content" ObjectID="_1468075735" r:id="rId31">
            <o:LockedField>false</o:LockedField>
          </o:OLEObject>
        </w:object>
      </w:r>
      <w:r>
        <w:rPr>
          <w:rFonts w:ascii="Times New Roman" w:hAnsi="Times New Roman" w:eastAsia="宋体" w:cs="Times New Roman"/>
          <w:color w:val="000000" w:themeColor="text1"/>
          <w:sz w:val="28"/>
          <w:szCs w:val="28"/>
          <w:lang w:val="en-GB"/>
          <w14:textFill>
            <w14:solidFill>
              <w14:schemeClr w14:val="tx1"/>
            </w14:solidFill>
          </w14:textFill>
        </w:rPr>
        <w:t>—抵抗线长度，m，W=3.5m；</w:t>
      </w:r>
    </w:p>
    <w:p w14:paraId="283A8F1A">
      <w:pPr>
        <w:adjustRightInd w:val="0"/>
        <w:snapToGrid w:val="0"/>
        <w:spacing w:line="360" w:lineRule="auto"/>
        <w:ind w:firstLine="1120" w:firstLineChars="4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object>
          <v:shape id="_x0000_i1036" o:spt="75" type="#_x0000_t75" style="height:11.7pt;width:12.95pt;" o:ole="t" filled="f" o:preferrelative="t" stroked="f" coordsize="21600,21600">
            <v:path/>
            <v:fill on="f" focussize="0,0"/>
            <v:stroke on="f" joinstyle="miter"/>
            <v:imagedata r:id="rId34" o:title=""/>
            <o:lock v:ext="edit" aspectratio="t"/>
            <w10:wrap type="none"/>
            <w10:anchorlock/>
          </v:shape>
          <o:OLEObject Type="Embed" ProgID="Equation.3" ShapeID="_x0000_i1036" DrawAspect="Content" ObjectID="_1468075736" r:id="rId33">
            <o:LockedField>false</o:LockedField>
          </o:OLEObject>
        </w:object>
      </w:r>
      <w:r>
        <w:rPr>
          <w:rFonts w:ascii="Times New Roman" w:hAnsi="Times New Roman" w:eastAsia="宋体" w:cs="Times New Roman"/>
          <w:color w:val="000000" w:themeColor="text1"/>
          <w:sz w:val="28"/>
          <w:szCs w:val="28"/>
          <w:lang w:val="en-GB"/>
          <w14:textFill>
            <w14:solidFill>
              <w14:schemeClr w14:val="tx1"/>
            </w14:solidFill>
          </w14:textFill>
        </w:rPr>
        <w:t>—台阶高度，m，H= 12m。</w:t>
      </w:r>
    </w:p>
    <w:p w14:paraId="4B0F1963">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5</w:t>
      </w:r>
      <w:r>
        <w:rPr>
          <w:rFonts w:ascii="Times New Roman" w:hAnsi="Times New Roman" w:eastAsia="宋体" w:cs="Times New Roman"/>
          <w:color w:val="000000" w:themeColor="text1"/>
          <w:sz w:val="28"/>
          <w:szCs w:val="28"/>
          <w:lang w:val="en-GB"/>
          <w14:textFill>
            <w14:solidFill>
              <w14:schemeClr w14:val="tx1"/>
            </w14:solidFill>
          </w14:textFill>
        </w:rPr>
        <w:t>）装药量验算</w:t>
      </w:r>
    </w:p>
    <w:p w14:paraId="617A6238">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bookmarkStart w:id="63" w:name="_Hlk39618976"/>
      <m:oMathPara>
        <m:oMath>
          <m:sSubSup>
            <m:sSubSupPr>
              <m:ctrlPr>
                <w:rPr>
                  <w:rFonts w:ascii="Cambria Math" w:hAnsi="Cambria Math" w:eastAsia="宋体" w:cs="Times New Roman"/>
                  <w:color w:val="000000" w:themeColor="text1"/>
                  <w:sz w:val="28"/>
                  <w:szCs w:val="28"/>
                  <w:lang w:val="en-GB"/>
                  <w14:textFill>
                    <w14:solidFill>
                      <w14:schemeClr w14:val="tx1"/>
                    </w14:solidFill>
                  </w14:textFill>
                </w:rPr>
              </m:ctrlPr>
            </m:sSubSupPr>
            <m:e>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Q</m:t>
              </m:r>
              <m:ctrlPr>
                <w:rPr>
                  <w:rFonts w:ascii="Cambria Math" w:hAnsi="Cambria Math" w:eastAsia="宋体" w:cs="Times New Roman"/>
                  <w:color w:val="000000" w:themeColor="text1"/>
                  <w:sz w:val="28"/>
                  <w:szCs w:val="28"/>
                  <w:lang w:val="en-GB"/>
                  <w14:textFill>
                    <w14:solidFill>
                      <w14:schemeClr w14:val="tx1"/>
                    </w14:solidFill>
                  </w14:textFill>
                </w:rPr>
              </m:ctrlPr>
            </m:e>
            <m:sub>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1</m:t>
              </m:r>
              <m:ctrlPr>
                <w:rPr>
                  <w:rFonts w:ascii="Cambria Math" w:hAnsi="Cambria Math" w:eastAsia="宋体" w:cs="Times New Roman"/>
                  <w:color w:val="000000" w:themeColor="text1"/>
                  <w:sz w:val="28"/>
                  <w:szCs w:val="28"/>
                  <w:lang w:val="en-GB"/>
                  <w14:textFill>
                    <w14:solidFill>
                      <w14:schemeClr w14:val="tx1"/>
                    </w14:solidFill>
                  </w14:textFill>
                </w:rPr>
              </m:ctrlPr>
            </m:sub>
            <m:sup>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m:t>
              </m:r>
              <m:ctrlPr>
                <w:rPr>
                  <w:rFonts w:ascii="Cambria Math" w:hAnsi="Cambria Math" w:eastAsia="宋体" w:cs="Times New Roman"/>
                  <w:color w:val="000000" w:themeColor="text1"/>
                  <w:sz w:val="28"/>
                  <w:szCs w:val="28"/>
                  <w:lang w:val="en-GB"/>
                  <w14:textFill>
                    <w14:solidFill>
                      <w14:schemeClr w14:val="tx1"/>
                    </w14:solidFill>
                  </w14:textFill>
                </w:rPr>
              </m:ctrlPr>
            </m:sup>
          </m:sSubSup>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m:t>
          </m:r>
          <m:f>
            <m:fPr>
              <m:ctrlPr>
                <w:rPr>
                  <w:rFonts w:ascii="Cambria Math" w:hAnsi="Cambria Math" w:eastAsia="宋体" w:cs="Times New Roman"/>
                  <w:color w:val="000000" w:themeColor="text1"/>
                  <w:sz w:val="28"/>
                  <w:szCs w:val="28"/>
                  <w:lang w:val="en-GB"/>
                  <w14:textFill>
                    <w14:solidFill>
                      <w14:schemeClr w14:val="tx1"/>
                    </w14:solidFill>
                  </w14:textFill>
                </w:rPr>
              </m:ctrlPr>
            </m:fPr>
            <m:num>
              <m:sSub>
                <m:sSubPr>
                  <m:ctrlPr>
                    <w:rPr>
                      <w:rFonts w:ascii="Cambria Math" w:hAnsi="Cambria Math" w:eastAsia="宋体" w:cs="Times New Roman"/>
                      <w:color w:val="000000" w:themeColor="text1"/>
                      <w:sz w:val="28"/>
                      <w:szCs w:val="28"/>
                      <w:lang w:val="en-GB"/>
                      <w14:textFill>
                        <w14:solidFill>
                          <w14:schemeClr w14:val="tx1"/>
                        </w14:solidFill>
                      </w14:textFill>
                    </w:rPr>
                  </m:ctrlPr>
                </m:sSubPr>
                <m:e>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L</m:t>
                  </m:r>
                  <m:ctrlPr>
                    <w:rPr>
                      <w:rFonts w:ascii="Cambria Math" w:hAnsi="Cambria Math" w:eastAsia="宋体" w:cs="Times New Roman"/>
                      <w:color w:val="000000" w:themeColor="text1"/>
                      <w:sz w:val="28"/>
                      <w:szCs w:val="28"/>
                      <w:lang w:val="en-GB"/>
                      <w14:textFill>
                        <w14:solidFill>
                          <w14:schemeClr w14:val="tx1"/>
                        </w14:solidFill>
                      </w14:textFill>
                    </w:rPr>
                  </m:ctrlPr>
                </m:e>
                <m:sub>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1</m:t>
                  </m:r>
                  <m:ctrlPr>
                    <w:rPr>
                      <w:rFonts w:ascii="Cambria Math" w:hAnsi="Cambria Math" w:eastAsia="宋体" w:cs="Times New Roman"/>
                      <w:color w:val="000000" w:themeColor="text1"/>
                      <w:sz w:val="28"/>
                      <w:szCs w:val="28"/>
                      <w:lang w:val="en-GB"/>
                      <w14:textFill>
                        <w14:solidFill>
                          <w14:schemeClr w14:val="tx1"/>
                        </w14:solidFill>
                      </w14:textFill>
                    </w:rPr>
                  </m:ctrlPr>
                </m:sub>
              </m:sSub>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π</m:t>
              </m:r>
              <m:sSup>
                <m:sSupPr>
                  <m:ctrlPr>
                    <w:rPr>
                      <w:rFonts w:ascii="Cambria Math" w:hAnsi="Cambria Math" w:eastAsia="宋体" w:cs="Times New Roman"/>
                      <w:color w:val="000000" w:themeColor="text1"/>
                      <w:sz w:val="28"/>
                      <w:szCs w:val="28"/>
                      <w:lang w:val="en-GB"/>
                      <w14:textFill>
                        <w14:solidFill>
                          <w14:schemeClr w14:val="tx1"/>
                        </w14:solidFill>
                      </w14:textFill>
                    </w:rPr>
                  </m:ctrlPr>
                </m:sSupPr>
                <m:e>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d</m:t>
                  </m:r>
                  <m:ctrlPr>
                    <w:rPr>
                      <w:rFonts w:ascii="Cambria Math" w:hAnsi="Cambria Math" w:eastAsia="宋体" w:cs="Times New Roman"/>
                      <w:color w:val="000000" w:themeColor="text1"/>
                      <w:sz w:val="28"/>
                      <w:szCs w:val="28"/>
                      <w:lang w:val="en-GB"/>
                      <w14:textFill>
                        <w14:solidFill>
                          <w14:schemeClr w14:val="tx1"/>
                        </w14:solidFill>
                      </w14:textFill>
                    </w:rPr>
                  </m:ctrlPr>
                </m:e>
                <m:sup>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2</m:t>
                  </m:r>
                  <m:ctrlPr>
                    <w:rPr>
                      <w:rFonts w:ascii="Cambria Math" w:hAnsi="Cambria Math" w:eastAsia="宋体" w:cs="Times New Roman"/>
                      <w:color w:val="000000" w:themeColor="text1"/>
                      <w:sz w:val="28"/>
                      <w:szCs w:val="28"/>
                      <w:lang w:val="en-GB"/>
                      <w14:textFill>
                        <w14:solidFill>
                          <w14:schemeClr w14:val="tx1"/>
                        </w14:solidFill>
                      </w14:textFill>
                    </w:rPr>
                  </m:ctrlPr>
                </m:sup>
              </m:sSup>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m:t>
              </m:r>
              <m:ctrlPr>
                <w:rPr>
                  <w:rFonts w:ascii="Cambria Math" w:hAnsi="Cambria Math" w:eastAsia="宋体" w:cs="Times New Roman"/>
                  <w:color w:val="000000" w:themeColor="text1"/>
                  <w:sz w:val="28"/>
                  <w:szCs w:val="28"/>
                  <w:lang w:val="en-GB"/>
                  <w14:textFill>
                    <w14:solidFill>
                      <w14:schemeClr w14:val="tx1"/>
                    </w14:solidFill>
                  </w14:textFill>
                </w:rPr>
              </m:ctrlPr>
            </m:num>
            <m:den>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4</m:t>
              </m:r>
              <m:ctrlPr>
                <w:rPr>
                  <w:rFonts w:ascii="Cambria Math" w:hAnsi="Cambria Math" w:eastAsia="宋体" w:cs="Times New Roman"/>
                  <w:color w:val="000000" w:themeColor="text1"/>
                  <w:sz w:val="28"/>
                  <w:szCs w:val="28"/>
                  <w:lang w:val="en-GB"/>
                  <w14:textFill>
                    <w14:solidFill>
                      <w14:schemeClr w14:val="tx1"/>
                    </w14:solidFill>
                  </w14:textFill>
                </w:rPr>
              </m:ctrlPr>
            </m:den>
          </m:f>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m:t>
          </m:r>
          <m:f>
            <m:fPr>
              <m:ctrlPr>
                <w:rPr>
                  <w:rFonts w:ascii="Cambria Math" w:hAnsi="Cambria Math" w:eastAsia="宋体" w:cs="Times New Roman"/>
                  <w:color w:val="000000" w:themeColor="text1"/>
                  <w:sz w:val="28"/>
                  <w:szCs w:val="28"/>
                  <w:lang w:val="en-GB"/>
                  <w14:textFill>
                    <w14:solidFill>
                      <w14:schemeClr w14:val="tx1"/>
                    </w14:solidFill>
                  </w14:textFill>
                </w:rPr>
              </m:ctrlPr>
            </m:fPr>
            <m:num>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10×3.14×</m:t>
              </m:r>
              <m:sSup>
                <m:sSupPr>
                  <m:ctrlPr>
                    <w:rPr>
                      <w:rFonts w:ascii="Cambria Math" w:hAnsi="Cambria Math" w:eastAsia="宋体" w:cs="Times New Roman"/>
                      <w:color w:val="000000" w:themeColor="text1"/>
                      <w:sz w:val="28"/>
                      <w:szCs w:val="28"/>
                      <w:lang w:val="en-GB"/>
                      <w14:textFill>
                        <w14:solidFill>
                          <w14:schemeClr w14:val="tx1"/>
                        </w14:solidFill>
                      </w14:textFill>
                    </w:rPr>
                  </m:ctrlPr>
                </m:sSupPr>
                <m:e>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0.10</m:t>
                  </m:r>
                  <m:ctrlPr>
                    <w:rPr>
                      <w:rFonts w:ascii="Cambria Math" w:hAnsi="Cambria Math" w:eastAsia="宋体" w:cs="Times New Roman"/>
                      <w:color w:val="000000" w:themeColor="text1"/>
                      <w:sz w:val="28"/>
                      <w:szCs w:val="28"/>
                      <w:lang w:val="en-GB"/>
                      <w14:textFill>
                        <w14:solidFill>
                          <w14:schemeClr w14:val="tx1"/>
                        </w14:solidFill>
                      </w14:textFill>
                    </w:rPr>
                  </m:ctrlPr>
                </m:e>
                <m:sup>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2</m:t>
                  </m:r>
                  <m:ctrlPr>
                    <w:rPr>
                      <w:rFonts w:ascii="Cambria Math" w:hAnsi="Cambria Math" w:eastAsia="宋体" w:cs="Times New Roman"/>
                      <w:color w:val="000000" w:themeColor="text1"/>
                      <w:sz w:val="28"/>
                      <w:szCs w:val="28"/>
                      <w:lang w:val="en-GB"/>
                      <w14:textFill>
                        <w14:solidFill>
                          <w14:schemeClr w14:val="tx1"/>
                        </w14:solidFill>
                      </w14:textFill>
                    </w:rPr>
                  </m:ctrlPr>
                </m:sup>
              </m:sSup>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×950</m:t>
              </m:r>
              <m:ctrlPr>
                <w:rPr>
                  <w:rFonts w:ascii="Cambria Math" w:hAnsi="Cambria Math" w:eastAsia="宋体" w:cs="Times New Roman"/>
                  <w:color w:val="000000" w:themeColor="text1"/>
                  <w:sz w:val="28"/>
                  <w:szCs w:val="28"/>
                  <w:lang w:val="en-GB"/>
                  <w14:textFill>
                    <w14:solidFill>
                      <w14:schemeClr w14:val="tx1"/>
                    </w14:solidFill>
                  </w14:textFill>
                </w:rPr>
              </m:ctrlPr>
            </m:num>
            <m:den>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4</m:t>
              </m:r>
              <m:ctrlPr>
                <w:rPr>
                  <w:rFonts w:ascii="Cambria Math" w:hAnsi="Cambria Math" w:eastAsia="宋体" w:cs="Times New Roman"/>
                  <w:color w:val="000000" w:themeColor="text1"/>
                  <w:sz w:val="28"/>
                  <w:szCs w:val="28"/>
                  <w:lang w:val="en-GB"/>
                  <w14:textFill>
                    <w14:solidFill>
                      <w14:schemeClr w14:val="tx1"/>
                    </w14:solidFill>
                  </w14:textFill>
                </w:rPr>
              </m:ctrlPr>
            </m:den>
          </m:f>
          <m:r>
            <m:rPr>
              <m:nor/>
              <m:sty m:val="p"/>
            </m:rPr>
            <w:rPr>
              <w:rFonts w:ascii="Cambria Math" w:hAnsi="Cambria Math" w:eastAsia="宋体" w:cs="Times New Roman"/>
              <w:b w:val="0"/>
              <w:i w:val="0"/>
              <w:color w:val="000000" w:themeColor="text1"/>
              <w:sz w:val="28"/>
              <w:szCs w:val="28"/>
              <w:lang w:val="en-GB"/>
              <w14:textFill>
                <w14:solidFill>
                  <w14:schemeClr w14:val="tx1"/>
                </w14:solidFill>
              </w14:textFill>
            </w:rPr>
            <m:t>=74.58kg；</m:t>
          </m:r>
        </m:oMath>
      </m:oMathPara>
    </w:p>
    <w:p w14:paraId="53834E0F">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式中：</w:t>
      </w:r>
      <w:r>
        <w:rPr>
          <w:rFonts w:ascii="Times New Roman" w:hAnsi="Times New Roman" w:eastAsia="宋体" w:cs="Times New Roman"/>
          <w:color w:val="000000" w:themeColor="text1"/>
          <w:sz w:val="28"/>
          <w:szCs w:val="28"/>
          <w:lang w:val="en-GB"/>
          <w14:textFill>
            <w14:solidFill>
              <w14:schemeClr w14:val="tx1"/>
            </w14:solidFill>
          </w14:textFill>
        </w:rPr>
        <w:object>
          <v:shape id="_x0000_i1037" o:spt="75" type="#_x0000_t75" style="height:18.15pt;width:14.9pt;" o:ole="t" filled="f" o:preferrelative="t" stroked="f" coordsize="21600,21600">
            <v:path/>
            <v:fill on="f" focussize="0,0"/>
            <v:stroke on="f" joinstyle="miter"/>
            <v:imagedata r:id="rId36" o:title=""/>
            <o:lock v:ext="edit" aspectratio="t"/>
            <w10:wrap type="none"/>
            <w10:anchorlock/>
          </v:shape>
          <o:OLEObject Type="Embed" ProgID="Equation.3" ShapeID="_x0000_i1037" DrawAspect="Content" ObjectID="_1468075737" r:id="rId35">
            <o:LockedField>false</o:LockedField>
          </o:OLEObject>
        </w:object>
      </w:r>
      <w:r>
        <w:rPr>
          <w:rFonts w:ascii="Times New Roman" w:hAnsi="Times New Roman" w:eastAsia="宋体" w:cs="Times New Roman"/>
          <w:color w:val="000000" w:themeColor="text1"/>
          <w:sz w:val="28"/>
          <w:szCs w:val="28"/>
          <w:lang w:val="en-GB"/>
          <w14:textFill>
            <w14:solidFill>
              <w14:schemeClr w14:val="tx1"/>
            </w14:solidFill>
          </w14:textFill>
        </w:rPr>
        <w:t>′—装药量验算值，kg；</w:t>
      </w:r>
    </w:p>
    <w:p w14:paraId="7AA989F6">
      <w:pPr>
        <w:adjustRightInd w:val="0"/>
        <w:snapToGrid w:val="0"/>
        <w:spacing w:line="360" w:lineRule="auto"/>
        <w:ind w:firstLine="1400" w:firstLineChars="5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Δ—装药密度，kg/m</w:t>
      </w:r>
      <w:r>
        <w:rPr>
          <w:rFonts w:ascii="Times New Roman" w:hAnsi="Times New Roman" w:eastAsia="宋体" w:cs="Times New Roman"/>
          <w:color w:val="000000" w:themeColor="text1"/>
          <w:sz w:val="28"/>
          <w:szCs w:val="28"/>
          <w:lang w:val="en-GB"/>
          <w14:textFill>
            <w14:solidFill>
              <w14:schemeClr w14:val="tx1"/>
            </w14:solidFill>
          </w14:textFill>
        </w:rPr>
        <w:object>
          <v:shape id="_x0000_i1038" o:spt="75" type="#_x0000_t75" style="height:14.9pt;width:5.85pt;" o:ole="t" filled="f" o:preferrelative="t" stroked="f" coordsize="21600,21600">
            <v:path/>
            <v:fill on="f" focussize="0,0"/>
            <v:stroke on="f" joinstyle="miter"/>
            <v:imagedata r:id="rId24" o:title=""/>
            <o:lock v:ext="edit" aspectratio="t"/>
            <w10:wrap type="none"/>
            <w10:anchorlock/>
          </v:shape>
          <o:OLEObject Type="Embed" ProgID="Equation.3" ShapeID="_x0000_i1038" DrawAspect="Content" ObjectID="_1468075738" r:id="rId37">
            <o:LockedField>false</o:LockedField>
          </o:OLEObject>
        </w:object>
      </w:r>
      <w:r>
        <w:rPr>
          <w:rFonts w:ascii="Times New Roman" w:hAnsi="Times New Roman" w:eastAsia="宋体" w:cs="Times New Roman"/>
          <w:color w:val="000000" w:themeColor="text1"/>
          <w:sz w:val="28"/>
          <w:szCs w:val="28"/>
          <w:lang w:val="en-GB"/>
          <w14:textFill>
            <w14:solidFill>
              <w14:schemeClr w14:val="tx1"/>
            </w14:solidFill>
          </w14:textFill>
        </w:rPr>
        <w:t>，采用2#岩石炸药，Δ= 950kg/m</w:t>
      </w:r>
      <w:r>
        <w:rPr>
          <w:rFonts w:ascii="Times New Roman" w:hAnsi="Times New Roman" w:eastAsia="宋体" w:cs="Times New Roman"/>
          <w:color w:val="000000" w:themeColor="text1"/>
          <w:sz w:val="28"/>
          <w:szCs w:val="28"/>
          <w:lang w:val="en-GB"/>
          <w14:textFill>
            <w14:solidFill>
              <w14:schemeClr w14:val="tx1"/>
            </w14:solidFill>
          </w14:textFill>
        </w:rPr>
        <w:object>
          <v:shape id="_x0000_i1039" o:spt="75" type="#_x0000_t75" style="height:14.9pt;width:5.85pt;" o:ole="t" filled="f" o:preferrelative="t" stroked="f" coordsize="21600,21600">
            <v:path/>
            <v:fill on="f" focussize="0,0"/>
            <v:stroke on="f" joinstyle="miter"/>
            <v:imagedata r:id="rId24" o:title=""/>
            <o:lock v:ext="edit" aspectratio="t"/>
            <w10:wrap type="none"/>
            <w10:anchorlock/>
          </v:shape>
          <o:OLEObject Type="Embed" ProgID="Equation.3" ShapeID="_x0000_i1039" DrawAspect="Content" ObjectID="_1468075739" r:id="rId38">
            <o:LockedField>false</o:LockedField>
          </o:OLEObject>
        </w:object>
      </w:r>
      <w:r>
        <w:rPr>
          <w:rFonts w:ascii="Times New Roman" w:hAnsi="Times New Roman" w:eastAsia="宋体" w:cs="Times New Roman"/>
          <w:color w:val="000000" w:themeColor="text1"/>
          <w:sz w:val="28"/>
          <w:szCs w:val="28"/>
          <w:lang w:val="en-GB"/>
          <w14:textFill>
            <w14:solidFill>
              <w14:schemeClr w14:val="tx1"/>
            </w14:solidFill>
          </w14:textFill>
        </w:rPr>
        <w:t>；</w:t>
      </w:r>
    </w:p>
    <w:p w14:paraId="5023F11E">
      <w:pPr>
        <w:adjustRightInd w:val="0"/>
        <w:snapToGrid w:val="0"/>
        <w:spacing w:line="360" w:lineRule="auto"/>
        <w:ind w:firstLine="1400" w:firstLineChars="5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object>
          <v:shape id="_x0000_i1040" o:spt="75" type="#_x0000_t75" style="height:18.15pt;width:12.95pt;" o:ole="t" filled="f" o:preferrelative="t" stroked="f" coordsize="21600,21600">
            <v:path/>
            <v:fill on="f" focussize="0,0"/>
            <v:stroke on="f" joinstyle="miter"/>
            <v:imagedata r:id="rId40" o:title=""/>
            <o:lock v:ext="edit" aspectratio="t"/>
            <w10:wrap type="none"/>
            <w10:anchorlock/>
          </v:shape>
          <o:OLEObject Type="Embed" ProgID="Equation.3" ShapeID="_x0000_i1040" DrawAspect="Content" ObjectID="_1468075740" r:id="rId39">
            <o:LockedField>false</o:LockedField>
          </o:OLEObject>
        </w:object>
      </w:r>
      <w:r>
        <w:rPr>
          <w:rFonts w:ascii="Times New Roman" w:hAnsi="Times New Roman" w:eastAsia="宋体" w:cs="Times New Roman"/>
          <w:color w:val="000000" w:themeColor="text1"/>
          <w:sz w:val="28"/>
          <w:szCs w:val="28"/>
          <w:lang w:val="en-GB"/>
          <w14:textFill>
            <w14:solidFill>
              <w14:schemeClr w14:val="tx1"/>
            </w14:solidFill>
          </w14:textFill>
        </w:rPr>
        <w:t>—装药长度，m，</w:t>
      </w:r>
      <w:r>
        <w:rPr>
          <w:rFonts w:ascii="Times New Roman" w:hAnsi="Times New Roman" w:eastAsia="宋体" w:cs="Times New Roman"/>
          <w:color w:val="000000" w:themeColor="text1"/>
          <w:sz w:val="28"/>
          <w:szCs w:val="28"/>
          <w:lang w:val="en-GB"/>
          <w14:textFill>
            <w14:solidFill>
              <w14:schemeClr w14:val="tx1"/>
            </w14:solidFill>
          </w14:textFill>
        </w:rPr>
        <w:object>
          <v:shape id="_x0000_i1041" o:spt="75" type="#_x0000_t75" style="height:18.15pt;width:11.7pt;" o:ole="t" filled="f" o:preferrelative="t" stroked="f" coordsize="21600,21600">
            <v:path/>
            <v:fill on="f" focussize="0,0"/>
            <v:stroke on="f" joinstyle="miter"/>
            <v:imagedata r:id="rId42" o:title=""/>
            <o:lock v:ext="edit" aspectratio="t"/>
            <w10:wrap type="none"/>
            <w10:anchorlock/>
          </v:shape>
          <o:OLEObject Type="Embed" ProgID="Equation.3" ShapeID="_x0000_i1041" DrawAspect="Content" ObjectID="_1468075741" r:id="rId41">
            <o:LockedField>false</o:LockedField>
          </o:OLEObject>
        </w:object>
      </w:r>
      <w:r>
        <w:rPr>
          <w:rFonts w:ascii="Times New Roman" w:hAnsi="Times New Roman" w:eastAsia="宋体" w:cs="Times New Roman"/>
          <w:color w:val="000000" w:themeColor="text1"/>
          <w:sz w:val="28"/>
          <w:szCs w:val="28"/>
          <w:lang w:val="en-GB"/>
          <w14:textFill>
            <w14:solidFill>
              <w14:schemeClr w14:val="tx1"/>
            </w14:solidFill>
          </w14:textFill>
        </w:rPr>
        <w:t>=10m。</w:t>
      </w:r>
    </w:p>
    <w:p w14:paraId="40135E9A">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经验算，所设计药量Q1小于</w:t>
      </w:r>
      <w:r>
        <w:rPr>
          <w:rFonts w:ascii="Times New Roman" w:hAnsi="Times New Roman" w:eastAsia="宋体" w:cs="Times New Roman"/>
          <w:color w:val="000000" w:themeColor="text1"/>
          <w:sz w:val="28"/>
          <w:szCs w:val="28"/>
          <w:lang w:val="en-GB"/>
          <w14:textFill>
            <w14:solidFill>
              <w14:schemeClr w14:val="tx1"/>
            </w14:solidFill>
          </w14:textFill>
        </w:rPr>
        <w:object>
          <v:shape id="_x0000_i1042" o:spt="75" type="#_x0000_t75" style="height:18.15pt;width:14.9pt;" o:ole="t" filled="f" o:preferrelative="t" stroked="f" coordsize="21600,21600">
            <v:path/>
            <v:fill on="f" focussize="0,0"/>
            <v:stroke on="f" joinstyle="miter"/>
            <v:imagedata r:id="rId36" o:title=""/>
            <o:lock v:ext="edit" aspectratio="t"/>
            <w10:wrap type="none"/>
            <w10:anchorlock/>
          </v:shape>
          <o:OLEObject Type="Embed" ProgID="Equation.3" ShapeID="_x0000_i1042" DrawAspect="Content" ObjectID="_1468075742" r:id="rId43">
            <o:LockedField>false</o:LockedField>
          </o:OLEObject>
        </w:object>
      </w:r>
      <w:r>
        <w:rPr>
          <w:rFonts w:ascii="Times New Roman" w:hAnsi="Times New Roman" w:eastAsia="宋体" w:cs="Times New Roman"/>
          <w:color w:val="000000" w:themeColor="text1"/>
          <w:sz w:val="28"/>
          <w:szCs w:val="28"/>
          <w:lang w:val="en-GB"/>
          <w14:textFill>
            <w14:solidFill>
              <w14:schemeClr w14:val="tx1"/>
            </w14:solidFill>
          </w14:textFill>
        </w:rPr>
        <w:t>′，符合设计要求。</w:t>
      </w:r>
    </w:p>
    <w:bookmarkEnd w:id="63"/>
    <w:p w14:paraId="2BAACC4A">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eastAsia="宋体" w:cs="Times New Roman"/>
          <w:color w:val="000000" w:themeColor="text1"/>
          <w:sz w:val="28"/>
          <w:szCs w:val="28"/>
          <w:lang w:val="en-GB"/>
          <w14:textFill>
            <w14:solidFill>
              <w14:schemeClr w14:val="tx1"/>
            </w14:solidFill>
          </w14:textFill>
        </w:rPr>
        <w:t>矿山爆破工作根据矿山实际情况，可选用一般乳化炸药；中深孔爆破应采用起爆器起爆方法以实现一次性起爆。严禁采用裸露药包爆破。爆破起爆网路见炮孔布置及起爆顺序图，装药采用人工装药，</w:t>
      </w:r>
      <w:r>
        <w:rPr>
          <w:rFonts w:ascii="Times New Roman" w:hAnsi="Times New Roman" w:eastAsia="宋体" w:cs="Times New Roman"/>
          <w:color w:val="000000" w:themeColor="text1"/>
          <w:sz w:val="28"/>
          <w:szCs w:val="28"/>
          <w:lang w:val="en-GB"/>
          <w14:textFill>
            <w14:solidFill>
              <w14:schemeClr w14:val="tx1"/>
            </w14:solidFill>
          </w14:textFill>
        </w:rPr>
        <w:t>爆破作业参数见表</w:t>
      </w:r>
      <w:r>
        <w:rPr>
          <w:rFonts w:ascii="Times New Roman" w:hAnsi="Times New Roman" w:eastAsia="宋体" w:cs="Times New Roman"/>
          <w:color w:val="000000" w:themeColor="text1"/>
          <w:sz w:val="28"/>
          <w:szCs w:val="28"/>
          <w14:textFill>
            <w14:solidFill>
              <w14:schemeClr w14:val="tx1"/>
            </w14:solidFill>
          </w14:textFill>
        </w:rPr>
        <w:t>2</w:t>
      </w: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4-</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2</w:t>
      </w:r>
      <w:r>
        <w:rPr>
          <w:rFonts w:ascii="Times New Roman" w:hAnsi="Times New Roman" w:eastAsia="宋体" w:cs="Times New Roman"/>
          <w:color w:val="000000" w:themeColor="text1"/>
          <w:sz w:val="28"/>
          <w:szCs w:val="28"/>
          <w:lang w:val="en-GB"/>
          <w14:textFill>
            <w14:solidFill>
              <w14:schemeClr w14:val="tx1"/>
            </w14:solidFill>
          </w14:textFill>
        </w:rPr>
        <w:t>。</w:t>
      </w:r>
    </w:p>
    <w:p w14:paraId="685AEC4E">
      <w:pPr>
        <w:adjustRightInd w:val="0"/>
        <w:snapToGrid w:val="0"/>
        <w:ind w:firstLine="482" w:firstLineChars="200"/>
        <w:jc w:val="center"/>
        <w:rPr>
          <w:rFonts w:ascii="Times New Roman" w:hAnsi="Times New Roman" w:eastAsia="宋体" w:cs="Times New Roman"/>
          <w:b/>
          <w:bCs/>
          <w:color w:val="000000" w:themeColor="text1"/>
          <w:sz w:val="24"/>
          <w:szCs w:val="24"/>
          <w:lang w:val="en-GB"/>
          <w14:textFill>
            <w14:solidFill>
              <w14:schemeClr w14:val="tx1"/>
            </w14:solidFill>
          </w14:textFill>
        </w:rPr>
      </w:pPr>
      <w:r>
        <w:rPr>
          <w:rFonts w:ascii="Times New Roman" w:hAnsi="Times New Roman" w:eastAsia="宋体" w:cs="Times New Roman"/>
          <w:b/>
          <w:bCs/>
          <w:color w:val="000000" w:themeColor="text1"/>
          <w:sz w:val="24"/>
          <w:szCs w:val="24"/>
          <w:lang w:val="en-GB"/>
          <w14:textFill>
            <w14:solidFill>
              <w14:schemeClr w14:val="tx1"/>
            </w14:solidFill>
          </w14:textFill>
        </w:rPr>
        <w:t>表</w:t>
      </w:r>
      <w:r>
        <w:rPr>
          <w:rFonts w:ascii="Times New Roman" w:hAnsi="Times New Roman" w:eastAsia="宋体" w:cs="Times New Roman"/>
          <w:b/>
          <w:bCs/>
          <w:color w:val="000000" w:themeColor="text1"/>
          <w:sz w:val="24"/>
          <w:szCs w:val="24"/>
          <w14:textFill>
            <w14:solidFill>
              <w14:schemeClr w14:val="tx1"/>
            </w14:solidFill>
          </w14:textFill>
        </w:rPr>
        <w:t>2</w:t>
      </w:r>
      <w:r>
        <w:rPr>
          <w:rFonts w:ascii="Times New Roman" w:hAnsi="Times New Roman" w:eastAsia="宋体" w:cs="Times New Roman"/>
          <w:b/>
          <w:bCs/>
          <w:color w:val="000000" w:themeColor="text1"/>
          <w:sz w:val="24"/>
          <w:szCs w:val="24"/>
          <w:lang w:val="en-GB"/>
          <w14:textFill>
            <w14:solidFill>
              <w14:schemeClr w14:val="tx1"/>
            </w14:solidFill>
          </w14:textFill>
        </w:rPr>
        <w:t>.</w:t>
      </w:r>
      <w:r>
        <w:rPr>
          <w:rFonts w:ascii="Times New Roman" w:hAnsi="Times New Roman" w:eastAsia="宋体" w:cs="Times New Roman"/>
          <w:b/>
          <w:bCs/>
          <w:color w:val="000000" w:themeColor="text1"/>
          <w:sz w:val="24"/>
          <w:szCs w:val="24"/>
          <w14:textFill>
            <w14:solidFill>
              <w14:schemeClr w14:val="tx1"/>
            </w14:solidFill>
          </w14:textFill>
        </w:rPr>
        <w:t>4-</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2</w:t>
      </w:r>
      <w:r>
        <w:rPr>
          <w:rFonts w:ascii="Times New Roman" w:hAnsi="Times New Roman" w:eastAsia="宋体" w:cs="Times New Roman"/>
          <w:b/>
          <w:bCs/>
          <w:color w:val="000000" w:themeColor="text1"/>
          <w:sz w:val="24"/>
          <w:szCs w:val="24"/>
          <w:lang w:val="en-GB"/>
          <w14:textFill>
            <w14:solidFill>
              <w14:schemeClr w14:val="tx1"/>
            </w14:solidFill>
          </w14:textFill>
        </w:rPr>
        <w:t xml:space="preserve">  爆破作业参数计算表</w:t>
      </w:r>
    </w:p>
    <w:tbl>
      <w:tblPr>
        <w:tblStyle w:val="31"/>
        <w:tblW w:w="5000" w:type="pct"/>
        <w:jc w:val="center"/>
        <w:tblLayout w:type="autofit"/>
        <w:tblCellMar>
          <w:top w:w="0" w:type="dxa"/>
          <w:left w:w="108" w:type="dxa"/>
          <w:bottom w:w="0" w:type="dxa"/>
          <w:right w:w="108" w:type="dxa"/>
        </w:tblCellMar>
      </w:tblPr>
      <w:tblGrid>
        <w:gridCol w:w="2083"/>
        <w:gridCol w:w="2967"/>
        <w:gridCol w:w="2081"/>
        <w:gridCol w:w="2270"/>
      </w:tblGrid>
      <w:tr w14:paraId="12F953C7">
        <w:tblPrEx>
          <w:tblCellMar>
            <w:top w:w="0" w:type="dxa"/>
            <w:left w:w="108" w:type="dxa"/>
            <w:bottom w:w="0" w:type="dxa"/>
            <w:right w:w="108" w:type="dxa"/>
          </w:tblCellMar>
        </w:tblPrEx>
        <w:trPr>
          <w:trHeight w:val="340" w:hRule="exact"/>
          <w:jc w:val="center"/>
        </w:trPr>
        <w:tc>
          <w:tcPr>
            <w:tcW w:w="1108" w:type="pct"/>
            <w:tcBorders>
              <w:top w:val="single" w:color="auto" w:sz="4" w:space="0"/>
              <w:left w:val="single" w:color="auto" w:sz="4" w:space="0"/>
              <w:bottom w:val="single" w:color="auto" w:sz="4" w:space="0"/>
              <w:right w:val="single" w:color="auto" w:sz="4" w:space="0"/>
            </w:tcBorders>
            <w:shd w:val="clear" w:color="auto" w:fill="auto"/>
            <w:vAlign w:val="center"/>
          </w:tcPr>
          <w:p w14:paraId="76899DA4">
            <w:pPr>
              <w:adjustRightInd w:val="0"/>
              <w:snapToGrid w:val="0"/>
              <w:spacing w:line="360" w:lineRule="auto"/>
              <w:jc w:val="center"/>
              <w:rPr>
                <w:rFonts w:ascii="Times New Roman" w:hAnsi="Times New Roman" w:eastAsia="宋体" w:cs="Times New Roman"/>
                <w:b/>
                <w:bCs/>
                <w:color w:val="000000" w:themeColor="text1"/>
                <w:szCs w:val="21"/>
                <w:lang w:val="en-GB"/>
                <w14:textFill>
                  <w14:solidFill>
                    <w14:schemeClr w14:val="tx1"/>
                  </w14:solidFill>
                </w14:textFill>
              </w:rPr>
            </w:pPr>
            <w:r>
              <w:rPr>
                <w:rFonts w:ascii="Times New Roman" w:hAnsi="Times New Roman" w:eastAsia="宋体" w:cs="Times New Roman"/>
                <w:b/>
                <w:bCs/>
                <w:color w:val="000000" w:themeColor="text1"/>
                <w:szCs w:val="21"/>
                <w:lang w:val="en-GB"/>
                <w14:textFill>
                  <w14:solidFill>
                    <w14:schemeClr w14:val="tx1"/>
                  </w14:solidFill>
                </w14:textFill>
              </w:rPr>
              <w:t>序号</w:t>
            </w:r>
          </w:p>
        </w:tc>
        <w:tc>
          <w:tcPr>
            <w:tcW w:w="1578" w:type="pct"/>
            <w:tcBorders>
              <w:top w:val="single" w:color="auto" w:sz="4" w:space="0"/>
              <w:left w:val="nil"/>
              <w:bottom w:val="single" w:color="auto" w:sz="4" w:space="0"/>
              <w:right w:val="single" w:color="auto" w:sz="4" w:space="0"/>
            </w:tcBorders>
            <w:shd w:val="clear" w:color="auto" w:fill="auto"/>
            <w:vAlign w:val="center"/>
          </w:tcPr>
          <w:p w14:paraId="3F35D078">
            <w:pPr>
              <w:adjustRightInd w:val="0"/>
              <w:snapToGrid w:val="0"/>
              <w:spacing w:line="360" w:lineRule="auto"/>
              <w:jc w:val="center"/>
              <w:rPr>
                <w:rFonts w:ascii="Times New Roman" w:hAnsi="Times New Roman" w:eastAsia="宋体" w:cs="Times New Roman"/>
                <w:b/>
                <w:bCs/>
                <w:color w:val="000000" w:themeColor="text1"/>
                <w:szCs w:val="21"/>
                <w:lang w:val="en-GB"/>
                <w14:textFill>
                  <w14:solidFill>
                    <w14:schemeClr w14:val="tx1"/>
                  </w14:solidFill>
                </w14:textFill>
              </w:rPr>
            </w:pPr>
            <w:r>
              <w:rPr>
                <w:rFonts w:ascii="Times New Roman" w:hAnsi="Times New Roman" w:eastAsia="宋体" w:cs="Times New Roman"/>
                <w:b/>
                <w:bCs/>
                <w:color w:val="000000" w:themeColor="text1"/>
                <w:szCs w:val="21"/>
                <w:lang w:val="en-GB"/>
                <w14:textFill>
                  <w14:solidFill>
                    <w14:schemeClr w14:val="tx1"/>
                  </w14:solidFill>
                </w14:textFill>
              </w:rPr>
              <w:t>项目</w:t>
            </w:r>
          </w:p>
        </w:tc>
        <w:tc>
          <w:tcPr>
            <w:tcW w:w="1107" w:type="pct"/>
            <w:tcBorders>
              <w:top w:val="single" w:color="auto" w:sz="4" w:space="0"/>
              <w:left w:val="nil"/>
              <w:bottom w:val="single" w:color="auto" w:sz="4" w:space="0"/>
              <w:right w:val="single" w:color="auto" w:sz="4" w:space="0"/>
            </w:tcBorders>
            <w:shd w:val="clear" w:color="auto" w:fill="auto"/>
            <w:vAlign w:val="center"/>
          </w:tcPr>
          <w:p w14:paraId="7B83BD96">
            <w:pPr>
              <w:adjustRightInd w:val="0"/>
              <w:snapToGrid w:val="0"/>
              <w:spacing w:line="360" w:lineRule="auto"/>
              <w:jc w:val="center"/>
              <w:rPr>
                <w:rFonts w:ascii="Times New Roman" w:hAnsi="Times New Roman" w:eastAsia="宋体" w:cs="Times New Roman"/>
                <w:b/>
                <w:bCs/>
                <w:color w:val="000000" w:themeColor="text1"/>
                <w:szCs w:val="21"/>
                <w:lang w:val="en-GB"/>
                <w14:textFill>
                  <w14:solidFill>
                    <w14:schemeClr w14:val="tx1"/>
                  </w14:solidFill>
                </w14:textFill>
              </w:rPr>
            </w:pPr>
            <w:r>
              <w:rPr>
                <w:rFonts w:ascii="Times New Roman" w:hAnsi="Times New Roman" w:eastAsia="宋体" w:cs="Times New Roman"/>
                <w:b/>
                <w:bCs/>
                <w:color w:val="000000" w:themeColor="text1"/>
                <w:szCs w:val="21"/>
                <w:lang w:val="en-GB"/>
                <w14:textFill>
                  <w14:solidFill>
                    <w14:schemeClr w14:val="tx1"/>
                  </w14:solidFill>
                </w14:textFill>
              </w:rPr>
              <w:t>单位</w:t>
            </w:r>
          </w:p>
        </w:tc>
        <w:tc>
          <w:tcPr>
            <w:tcW w:w="1207" w:type="pct"/>
            <w:tcBorders>
              <w:top w:val="single" w:color="auto" w:sz="4" w:space="0"/>
              <w:left w:val="nil"/>
              <w:bottom w:val="single" w:color="auto" w:sz="4" w:space="0"/>
              <w:right w:val="single" w:color="auto" w:sz="4" w:space="0"/>
            </w:tcBorders>
            <w:shd w:val="clear" w:color="auto" w:fill="auto"/>
            <w:vAlign w:val="center"/>
          </w:tcPr>
          <w:p w14:paraId="0C8D50CC">
            <w:pPr>
              <w:adjustRightInd w:val="0"/>
              <w:snapToGrid w:val="0"/>
              <w:spacing w:line="360" w:lineRule="auto"/>
              <w:jc w:val="center"/>
              <w:rPr>
                <w:rFonts w:ascii="Times New Roman" w:hAnsi="Times New Roman" w:eastAsia="宋体" w:cs="Times New Roman"/>
                <w:b/>
                <w:bCs/>
                <w:color w:val="000000" w:themeColor="text1"/>
                <w:szCs w:val="21"/>
                <w:lang w:val="en-GB"/>
                <w14:textFill>
                  <w14:solidFill>
                    <w14:schemeClr w14:val="tx1"/>
                  </w14:solidFill>
                </w14:textFill>
              </w:rPr>
            </w:pPr>
            <w:r>
              <w:rPr>
                <w:rFonts w:ascii="Times New Roman" w:hAnsi="Times New Roman" w:eastAsia="宋体" w:cs="Times New Roman"/>
                <w:b/>
                <w:bCs/>
                <w:color w:val="000000" w:themeColor="text1"/>
                <w:szCs w:val="21"/>
                <w:lang w:val="en-GB"/>
                <w14:textFill>
                  <w14:solidFill>
                    <w14:schemeClr w14:val="tx1"/>
                  </w14:solidFill>
                </w14:textFill>
              </w:rPr>
              <w:t>数量</w:t>
            </w:r>
          </w:p>
        </w:tc>
      </w:tr>
      <w:tr w14:paraId="6A6AC956">
        <w:tblPrEx>
          <w:tblCellMar>
            <w:top w:w="0" w:type="dxa"/>
            <w:left w:w="108" w:type="dxa"/>
            <w:bottom w:w="0" w:type="dxa"/>
            <w:right w:w="108" w:type="dxa"/>
          </w:tblCellMar>
        </w:tblPrEx>
        <w:trPr>
          <w:trHeight w:val="340" w:hRule="exact"/>
          <w:jc w:val="center"/>
        </w:trPr>
        <w:tc>
          <w:tcPr>
            <w:tcW w:w="1108" w:type="pct"/>
            <w:tcBorders>
              <w:top w:val="nil"/>
              <w:left w:val="single" w:color="auto" w:sz="4" w:space="0"/>
              <w:bottom w:val="single" w:color="auto" w:sz="4" w:space="0"/>
              <w:right w:val="single" w:color="auto" w:sz="4" w:space="0"/>
            </w:tcBorders>
            <w:shd w:val="clear" w:color="auto" w:fill="auto"/>
            <w:vAlign w:val="center"/>
          </w:tcPr>
          <w:p w14:paraId="0A5B5ADD">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1</w:t>
            </w:r>
          </w:p>
        </w:tc>
        <w:tc>
          <w:tcPr>
            <w:tcW w:w="1578" w:type="pct"/>
            <w:tcBorders>
              <w:top w:val="nil"/>
              <w:left w:val="nil"/>
              <w:bottom w:val="single" w:color="auto" w:sz="4" w:space="0"/>
              <w:right w:val="single" w:color="auto" w:sz="4" w:space="0"/>
            </w:tcBorders>
            <w:shd w:val="clear" w:color="auto" w:fill="auto"/>
            <w:vAlign w:val="center"/>
          </w:tcPr>
          <w:p w14:paraId="1029E434">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炮孔直径</w:t>
            </w:r>
          </w:p>
        </w:tc>
        <w:tc>
          <w:tcPr>
            <w:tcW w:w="1107" w:type="pct"/>
            <w:tcBorders>
              <w:top w:val="nil"/>
              <w:left w:val="nil"/>
              <w:bottom w:val="single" w:color="auto" w:sz="4" w:space="0"/>
              <w:right w:val="single" w:color="auto" w:sz="4" w:space="0"/>
            </w:tcBorders>
            <w:shd w:val="clear" w:color="auto" w:fill="auto"/>
            <w:vAlign w:val="center"/>
          </w:tcPr>
          <w:p w14:paraId="6ADAE631">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mm</w:t>
            </w:r>
          </w:p>
        </w:tc>
        <w:tc>
          <w:tcPr>
            <w:tcW w:w="1207" w:type="pct"/>
            <w:tcBorders>
              <w:top w:val="nil"/>
              <w:left w:val="nil"/>
              <w:bottom w:val="single" w:color="auto" w:sz="4" w:space="0"/>
              <w:right w:val="single" w:color="auto" w:sz="4" w:space="0"/>
            </w:tcBorders>
            <w:shd w:val="clear" w:color="auto" w:fill="auto"/>
            <w:vAlign w:val="center"/>
          </w:tcPr>
          <w:p w14:paraId="09635761">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100</w:t>
            </w:r>
          </w:p>
        </w:tc>
      </w:tr>
      <w:tr w14:paraId="5C99B6B3">
        <w:tblPrEx>
          <w:tblCellMar>
            <w:top w:w="0" w:type="dxa"/>
            <w:left w:w="108" w:type="dxa"/>
            <w:bottom w:w="0" w:type="dxa"/>
            <w:right w:w="108" w:type="dxa"/>
          </w:tblCellMar>
        </w:tblPrEx>
        <w:trPr>
          <w:trHeight w:val="340" w:hRule="exact"/>
          <w:jc w:val="center"/>
        </w:trPr>
        <w:tc>
          <w:tcPr>
            <w:tcW w:w="1108" w:type="pct"/>
            <w:tcBorders>
              <w:top w:val="nil"/>
              <w:left w:val="single" w:color="auto" w:sz="4" w:space="0"/>
              <w:bottom w:val="single" w:color="auto" w:sz="4" w:space="0"/>
              <w:right w:val="single" w:color="auto" w:sz="4" w:space="0"/>
            </w:tcBorders>
            <w:shd w:val="clear" w:color="auto" w:fill="auto"/>
            <w:vAlign w:val="center"/>
          </w:tcPr>
          <w:p w14:paraId="5D532242">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2</w:t>
            </w:r>
          </w:p>
        </w:tc>
        <w:tc>
          <w:tcPr>
            <w:tcW w:w="1578" w:type="pct"/>
            <w:tcBorders>
              <w:top w:val="nil"/>
              <w:left w:val="nil"/>
              <w:bottom w:val="single" w:color="auto" w:sz="4" w:space="0"/>
              <w:right w:val="single" w:color="auto" w:sz="4" w:space="0"/>
            </w:tcBorders>
            <w:shd w:val="clear" w:color="auto" w:fill="auto"/>
            <w:vAlign w:val="center"/>
          </w:tcPr>
          <w:p w14:paraId="17BD3CB3">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炮孔倾角</w:t>
            </w:r>
          </w:p>
        </w:tc>
        <w:tc>
          <w:tcPr>
            <w:tcW w:w="1107" w:type="pct"/>
            <w:tcBorders>
              <w:top w:val="nil"/>
              <w:left w:val="nil"/>
              <w:bottom w:val="single" w:color="auto" w:sz="4" w:space="0"/>
              <w:right w:val="single" w:color="auto" w:sz="4" w:space="0"/>
            </w:tcBorders>
            <w:shd w:val="clear" w:color="auto" w:fill="auto"/>
            <w:vAlign w:val="center"/>
          </w:tcPr>
          <w:p w14:paraId="1AB5C477">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w:t>
            </w:r>
          </w:p>
        </w:tc>
        <w:tc>
          <w:tcPr>
            <w:tcW w:w="1207" w:type="pct"/>
            <w:tcBorders>
              <w:top w:val="nil"/>
              <w:left w:val="nil"/>
              <w:bottom w:val="single" w:color="auto" w:sz="4" w:space="0"/>
              <w:right w:val="single" w:color="auto" w:sz="4" w:space="0"/>
            </w:tcBorders>
            <w:shd w:val="clear" w:color="auto" w:fill="auto"/>
            <w:vAlign w:val="center"/>
          </w:tcPr>
          <w:p w14:paraId="0E612BBA">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90</w:t>
            </w:r>
          </w:p>
        </w:tc>
      </w:tr>
      <w:tr w14:paraId="285B335C">
        <w:tblPrEx>
          <w:tblCellMar>
            <w:top w:w="0" w:type="dxa"/>
            <w:left w:w="108" w:type="dxa"/>
            <w:bottom w:w="0" w:type="dxa"/>
            <w:right w:w="108" w:type="dxa"/>
          </w:tblCellMar>
        </w:tblPrEx>
        <w:trPr>
          <w:trHeight w:val="340" w:hRule="exact"/>
          <w:jc w:val="center"/>
        </w:trPr>
        <w:tc>
          <w:tcPr>
            <w:tcW w:w="1108" w:type="pct"/>
            <w:tcBorders>
              <w:top w:val="nil"/>
              <w:left w:val="single" w:color="auto" w:sz="4" w:space="0"/>
              <w:bottom w:val="single" w:color="auto" w:sz="4" w:space="0"/>
              <w:right w:val="single" w:color="auto" w:sz="4" w:space="0"/>
            </w:tcBorders>
            <w:shd w:val="clear" w:color="auto" w:fill="auto"/>
            <w:vAlign w:val="center"/>
          </w:tcPr>
          <w:p w14:paraId="293F4ECF">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3</w:t>
            </w:r>
          </w:p>
        </w:tc>
        <w:tc>
          <w:tcPr>
            <w:tcW w:w="1578" w:type="pct"/>
            <w:tcBorders>
              <w:top w:val="nil"/>
              <w:left w:val="nil"/>
              <w:bottom w:val="single" w:color="auto" w:sz="4" w:space="0"/>
              <w:right w:val="single" w:color="auto" w:sz="4" w:space="0"/>
            </w:tcBorders>
            <w:shd w:val="clear" w:color="auto" w:fill="auto"/>
            <w:vAlign w:val="center"/>
          </w:tcPr>
          <w:p w14:paraId="2D3C370D">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炮孔深度</w:t>
            </w:r>
          </w:p>
        </w:tc>
        <w:tc>
          <w:tcPr>
            <w:tcW w:w="1107" w:type="pct"/>
            <w:tcBorders>
              <w:top w:val="nil"/>
              <w:left w:val="nil"/>
              <w:bottom w:val="single" w:color="auto" w:sz="4" w:space="0"/>
              <w:right w:val="single" w:color="auto" w:sz="4" w:space="0"/>
            </w:tcBorders>
            <w:shd w:val="clear" w:color="auto" w:fill="auto"/>
            <w:vAlign w:val="center"/>
          </w:tcPr>
          <w:p w14:paraId="444FAAAD">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m</w:t>
            </w:r>
          </w:p>
        </w:tc>
        <w:tc>
          <w:tcPr>
            <w:tcW w:w="1207" w:type="pct"/>
            <w:tcBorders>
              <w:top w:val="nil"/>
              <w:left w:val="nil"/>
              <w:bottom w:val="single" w:color="auto" w:sz="4" w:space="0"/>
              <w:right w:val="single" w:color="auto" w:sz="4" w:space="0"/>
            </w:tcBorders>
            <w:shd w:val="clear" w:color="auto" w:fill="auto"/>
            <w:vAlign w:val="center"/>
          </w:tcPr>
          <w:p w14:paraId="355D1D59">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13</w:t>
            </w:r>
          </w:p>
        </w:tc>
      </w:tr>
      <w:tr w14:paraId="1A9BB1E4">
        <w:tblPrEx>
          <w:tblCellMar>
            <w:top w:w="0" w:type="dxa"/>
            <w:left w:w="108" w:type="dxa"/>
            <w:bottom w:w="0" w:type="dxa"/>
            <w:right w:w="108" w:type="dxa"/>
          </w:tblCellMar>
        </w:tblPrEx>
        <w:trPr>
          <w:trHeight w:val="340" w:hRule="exact"/>
          <w:jc w:val="center"/>
        </w:trPr>
        <w:tc>
          <w:tcPr>
            <w:tcW w:w="1108" w:type="pct"/>
            <w:tcBorders>
              <w:top w:val="nil"/>
              <w:left w:val="single" w:color="auto" w:sz="4" w:space="0"/>
              <w:bottom w:val="single" w:color="auto" w:sz="4" w:space="0"/>
              <w:right w:val="single" w:color="auto" w:sz="4" w:space="0"/>
            </w:tcBorders>
            <w:shd w:val="clear" w:color="auto" w:fill="auto"/>
            <w:vAlign w:val="center"/>
          </w:tcPr>
          <w:p w14:paraId="63F89E9E">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4</w:t>
            </w:r>
          </w:p>
        </w:tc>
        <w:tc>
          <w:tcPr>
            <w:tcW w:w="1578" w:type="pct"/>
            <w:tcBorders>
              <w:top w:val="nil"/>
              <w:left w:val="nil"/>
              <w:bottom w:val="single" w:color="auto" w:sz="4" w:space="0"/>
              <w:right w:val="single" w:color="auto" w:sz="4" w:space="0"/>
            </w:tcBorders>
            <w:shd w:val="clear" w:color="auto" w:fill="auto"/>
            <w:vAlign w:val="center"/>
          </w:tcPr>
          <w:p w14:paraId="16EFD463">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最小抵抗线</w:t>
            </w:r>
          </w:p>
        </w:tc>
        <w:tc>
          <w:tcPr>
            <w:tcW w:w="1107" w:type="pct"/>
            <w:tcBorders>
              <w:top w:val="nil"/>
              <w:left w:val="nil"/>
              <w:bottom w:val="single" w:color="auto" w:sz="4" w:space="0"/>
              <w:right w:val="single" w:color="auto" w:sz="4" w:space="0"/>
            </w:tcBorders>
            <w:shd w:val="clear" w:color="auto" w:fill="auto"/>
            <w:vAlign w:val="center"/>
          </w:tcPr>
          <w:p w14:paraId="20D1B002">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m</w:t>
            </w:r>
          </w:p>
        </w:tc>
        <w:tc>
          <w:tcPr>
            <w:tcW w:w="1207" w:type="pct"/>
            <w:tcBorders>
              <w:top w:val="nil"/>
              <w:left w:val="nil"/>
              <w:bottom w:val="single" w:color="auto" w:sz="4" w:space="0"/>
              <w:right w:val="single" w:color="auto" w:sz="4" w:space="0"/>
            </w:tcBorders>
            <w:shd w:val="clear" w:color="auto" w:fill="auto"/>
            <w:vAlign w:val="center"/>
          </w:tcPr>
          <w:p w14:paraId="62787CE0">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3.5</w:t>
            </w:r>
          </w:p>
        </w:tc>
      </w:tr>
      <w:tr w14:paraId="3952B4AB">
        <w:tblPrEx>
          <w:tblCellMar>
            <w:top w:w="0" w:type="dxa"/>
            <w:left w:w="108" w:type="dxa"/>
            <w:bottom w:w="0" w:type="dxa"/>
            <w:right w:w="108" w:type="dxa"/>
          </w:tblCellMar>
        </w:tblPrEx>
        <w:trPr>
          <w:trHeight w:val="340" w:hRule="exact"/>
          <w:jc w:val="center"/>
        </w:trPr>
        <w:tc>
          <w:tcPr>
            <w:tcW w:w="1108" w:type="pct"/>
            <w:tcBorders>
              <w:top w:val="nil"/>
              <w:left w:val="single" w:color="auto" w:sz="4" w:space="0"/>
              <w:bottom w:val="single" w:color="auto" w:sz="4" w:space="0"/>
              <w:right w:val="single" w:color="auto" w:sz="4" w:space="0"/>
            </w:tcBorders>
            <w:shd w:val="clear" w:color="auto" w:fill="auto"/>
            <w:vAlign w:val="center"/>
          </w:tcPr>
          <w:p w14:paraId="6BB6C9EF">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5</w:t>
            </w:r>
          </w:p>
        </w:tc>
        <w:tc>
          <w:tcPr>
            <w:tcW w:w="1578" w:type="pct"/>
            <w:tcBorders>
              <w:top w:val="nil"/>
              <w:left w:val="nil"/>
              <w:bottom w:val="single" w:color="auto" w:sz="4" w:space="0"/>
              <w:right w:val="single" w:color="auto" w:sz="4" w:space="0"/>
            </w:tcBorders>
            <w:shd w:val="clear" w:color="auto" w:fill="auto"/>
            <w:vAlign w:val="center"/>
          </w:tcPr>
          <w:p w14:paraId="39CE91E4">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填塞深度</w:t>
            </w:r>
          </w:p>
        </w:tc>
        <w:tc>
          <w:tcPr>
            <w:tcW w:w="1107" w:type="pct"/>
            <w:tcBorders>
              <w:top w:val="nil"/>
              <w:left w:val="nil"/>
              <w:bottom w:val="single" w:color="auto" w:sz="4" w:space="0"/>
              <w:right w:val="single" w:color="auto" w:sz="4" w:space="0"/>
            </w:tcBorders>
            <w:shd w:val="clear" w:color="auto" w:fill="auto"/>
            <w:vAlign w:val="center"/>
          </w:tcPr>
          <w:p w14:paraId="67F37A89">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m</w:t>
            </w:r>
          </w:p>
        </w:tc>
        <w:tc>
          <w:tcPr>
            <w:tcW w:w="1207" w:type="pct"/>
            <w:tcBorders>
              <w:top w:val="nil"/>
              <w:left w:val="nil"/>
              <w:bottom w:val="single" w:color="auto" w:sz="4" w:space="0"/>
              <w:right w:val="single" w:color="auto" w:sz="4" w:space="0"/>
            </w:tcBorders>
            <w:shd w:val="clear" w:color="auto" w:fill="auto"/>
            <w:vAlign w:val="center"/>
          </w:tcPr>
          <w:p w14:paraId="1123D205">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3.0</w:t>
            </w:r>
          </w:p>
        </w:tc>
      </w:tr>
      <w:tr w14:paraId="5776DEE2">
        <w:tblPrEx>
          <w:tblCellMar>
            <w:top w:w="0" w:type="dxa"/>
            <w:left w:w="108" w:type="dxa"/>
            <w:bottom w:w="0" w:type="dxa"/>
            <w:right w:w="108" w:type="dxa"/>
          </w:tblCellMar>
        </w:tblPrEx>
        <w:trPr>
          <w:trHeight w:val="340" w:hRule="exact"/>
          <w:jc w:val="center"/>
        </w:trPr>
        <w:tc>
          <w:tcPr>
            <w:tcW w:w="1108" w:type="pct"/>
            <w:tcBorders>
              <w:top w:val="nil"/>
              <w:left w:val="single" w:color="auto" w:sz="4" w:space="0"/>
              <w:bottom w:val="single" w:color="auto" w:sz="4" w:space="0"/>
              <w:right w:val="single" w:color="auto" w:sz="4" w:space="0"/>
            </w:tcBorders>
            <w:shd w:val="clear" w:color="auto" w:fill="auto"/>
            <w:vAlign w:val="center"/>
          </w:tcPr>
          <w:p w14:paraId="2557CC2B">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6</w:t>
            </w:r>
          </w:p>
        </w:tc>
        <w:tc>
          <w:tcPr>
            <w:tcW w:w="1578" w:type="pct"/>
            <w:tcBorders>
              <w:top w:val="nil"/>
              <w:left w:val="nil"/>
              <w:bottom w:val="single" w:color="auto" w:sz="4" w:space="0"/>
              <w:right w:val="single" w:color="auto" w:sz="4" w:space="0"/>
            </w:tcBorders>
            <w:shd w:val="clear" w:color="auto" w:fill="auto"/>
            <w:vAlign w:val="center"/>
          </w:tcPr>
          <w:p w14:paraId="3D14EB6D">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炮孔间距</w:t>
            </w:r>
          </w:p>
        </w:tc>
        <w:tc>
          <w:tcPr>
            <w:tcW w:w="1107" w:type="pct"/>
            <w:tcBorders>
              <w:top w:val="nil"/>
              <w:left w:val="nil"/>
              <w:bottom w:val="single" w:color="auto" w:sz="4" w:space="0"/>
              <w:right w:val="single" w:color="auto" w:sz="4" w:space="0"/>
            </w:tcBorders>
            <w:shd w:val="clear" w:color="auto" w:fill="auto"/>
            <w:vAlign w:val="center"/>
          </w:tcPr>
          <w:p w14:paraId="6E2A86D1">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m</w:t>
            </w:r>
          </w:p>
        </w:tc>
        <w:tc>
          <w:tcPr>
            <w:tcW w:w="1207" w:type="pct"/>
            <w:tcBorders>
              <w:top w:val="nil"/>
              <w:left w:val="nil"/>
              <w:bottom w:val="single" w:color="auto" w:sz="4" w:space="0"/>
              <w:right w:val="single" w:color="auto" w:sz="4" w:space="0"/>
            </w:tcBorders>
            <w:shd w:val="clear" w:color="auto" w:fill="auto"/>
            <w:vAlign w:val="center"/>
          </w:tcPr>
          <w:p w14:paraId="075BBDBC">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4</w:t>
            </w:r>
          </w:p>
        </w:tc>
      </w:tr>
      <w:tr w14:paraId="7F9AB9D1">
        <w:tblPrEx>
          <w:tblCellMar>
            <w:top w:w="0" w:type="dxa"/>
            <w:left w:w="108" w:type="dxa"/>
            <w:bottom w:w="0" w:type="dxa"/>
            <w:right w:w="108" w:type="dxa"/>
          </w:tblCellMar>
        </w:tblPrEx>
        <w:trPr>
          <w:trHeight w:val="340" w:hRule="exact"/>
          <w:jc w:val="center"/>
        </w:trPr>
        <w:tc>
          <w:tcPr>
            <w:tcW w:w="1108" w:type="pct"/>
            <w:tcBorders>
              <w:top w:val="nil"/>
              <w:left w:val="single" w:color="auto" w:sz="4" w:space="0"/>
              <w:bottom w:val="single" w:color="auto" w:sz="4" w:space="0"/>
              <w:right w:val="single" w:color="auto" w:sz="4" w:space="0"/>
            </w:tcBorders>
            <w:shd w:val="clear" w:color="auto" w:fill="auto"/>
            <w:vAlign w:val="center"/>
          </w:tcPr>
          <w:p w14:paraId="6698EBAD">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7</w:t>
            </w:r>
          </w:p>
        </w:tc>
        <w:tc>
          <w:tcPr>
            <w:tcW w:w="1578" w:type="pct"/>
            <w:tcBorders>
              <w:top w:val="nil"/>
              <w:left w:val="nil"/>
              <w:bottom w:val="single" w:color="auto" w:sz="4" w:space="0"/>
              <w:right w:val="single" w:color="auto" w:sz="4" w:space="0"/>
            </w:tcBorders>
            <w:shd w:val="clear" w:color="auto" w:fill="auto"/>
            <w:vAlign w:val="center"/>
          </w:tcPr>
          <w:p w14:paraId="65640E0C">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炮孔排距</w:t>
            </w:r>
          </w:p>
        </w:tc>
        <w:tc>
          <w:tcPr>
            <w:tcW w:w="1107" w:type="pct"/>
            <w:tcBorders>
              <w:top w:val="nil"/>
              <w:left w:val="nil"/>
              <w:bottom w:val="single" w:color="auto" w:sz="4" w:space="0"/>
              <w:right w:val="single" w:color="auto" w:sz="4" w:space="0"/>
            </w:tcBorders>
            <w:shd w:val="clear" w:color="auto" w:fill="auto"/>
            <w:vAlign w:val="center"/>
          </w:tcPr>
          <w:p w14:paraId="3A2FF3E8">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m</w:t>
            </w:r>
          </w:p>
        </w:tc>
        <w:tc>
          <w:tcPr>
            <w:tcW w:w="1207" w:type="pct"/>
            <w:tcBorders>
              <w:top w:val="nil"/>
              <w:left w:val="nil"/>
              <w:bottom w:val="single" w:color="auto" w:sz="4" w:space="0"/>
              <w:right w:val="single" w:color="auto" w:sz="4" w:space="0"/>
            </w:tcBorders>
            <w:shd w:val="clear" w:color="auto" w:fill="auto"/>
            <w:vAlign w:val="center"/>
          </w:tcPr>
          <w:p w14:paraId="2457950E">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3</w:t>
            </w:r>
          </w:p>
        </w:tc>
      </w:tr>
      <w:tr w14:paraId="1E3450F3">
        <w:tblPrEx>
          <w:tblCellMar>
            <w:top w:w="0" w:type="dxa"/>
            <w:left w:w="108" w:type="dxa"/>
            <w:bottom w:w="0" w:type="dxa"/>
            <w:right w:w="108" w:type="dxa"/>
          </w:tblCellMar>
        </w:tblPrEx>
        <w:trPr>
          <w:trHeight w:val="340" w:hRule="exact"/>
          <w:jc w:val="center"/>
        </w:trPr>
        <w:tc>
          <w:tcPr>
            <w:tcW w:w="1108" w:type="pct"/>
            <w:tcBorders>
              <w:top w:val="nil"/>
              <w:left w:val="single" w:color="auto" w:sz="4" w:space="0"/>
              <w:bottom w:val="single" w:color="auto" w:sz="4" w:space="0"/>
              <w:right w:val="single" w:color="auto" w:sz="4" w:space="0"/>
            </w:tcBorders>
            <w:shd w:val="clear" w:color="auto" w:fill="auto"/>
            <w:vAlign w:val="center"/>
          </w:tcPr>
          <w:p w14:paraId="48D8DDAA">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8</w:t>
            </w:r>
          </w:p>
        </w:tc>
        <w:tc>
          <w:tcPr>
            <w:tcW w:w="1578" w:type="pct"/>
            <w:tcBorders>
              <w:top w:val="nil"/>
              <w:left w:val="nil"/>
              <w:bottom w:val="single" w:color="auto" w:sz="4" w:space="0"/>
              <w:right w:val="single" w:color="auto" w:sz="4" w:space="0"/>
            </w:tcBorders>
            <w:shd w:val="clear" w:color="auto" w:fill="auto"/>
            <w:vAlign w:val="center"/>
          </w:tcPr>
          <w:p w14:paraId="47805012">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每孔装药量</w:t>
            </w:r>
          </w:p>
        </w:tc>
        <w:tc>
          <w:tcPr>
            <w:tcW w:w="1107" w:type="pct"/>
            <w:tcBorders>
              <w:top w:val="nil"/>
              <w:left w:val="nil"/>
              <w:bottom w:val="single" w:color="auto" w:sz="4" w:space="0"/>
              <w:right w:val="single" w:color="auto" w:sz="4" w:space="0"/>
            </w:tcBorders>
            <w:shd w:val="clear" w:color="auto" w:fill="auto"/>
            <w:vAlign w:val="center"/>
          </w:tcPr>
          <w:p w14:paraId="110B06D5">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hint="eastAsia" w:ascii="Times New Roman" w:hAnsi="Times New Roman" w:eastAsia="宋体" w:cs="Times New Roman"/>
                <w:color w:val="000000" w:themeColor="text1"/>
                <w:szCs w:val="21"/>
                <w:lang w:val="en-GB"/>
                <w14:textFill>
                  <w14:solidFill>
                    <w14:schemeClr w14:val="tx1"/>
                  </w14:solidFill>
                </w14:textFill>
              </w:rPr>
              <w:t>kg</w:t>
            </w:r>
            <w:r>
              <w:rPr>
                <w:rFonts w:ascii="Times New Roman" w:hAnsi="Times New Roman" w:eastAsia="宋体" w:cs="Times New Roman"/>
                <w:color w:val="000000" w:themeColor="text1"/>
                <w:szCs w:val="21"/>
                <w:lang w:val="en-GB"/>
                <w14:textFill>
                  <w14:solidFill>
                    <w14:schemeClr w14:val="tx1"/>
                  </w14:solidFill>
                </w14:textFill>
              </w:rPr>
              <w:t>/孔</w:t>
            </w:r>
          </w:p>
        </w:tc>
        <w:tc>
          <w:tcPr>
            <w:tcW w:w="1207" w:type="pct"/>
            <w:tcBorders>
              <w:top w:val="nil"/>
              <w:left w:val="nil"/>
              <w:bottom w:val="single" w:color="auto" w:sz="4" w:space="0"/>
              <w:right w:val="single" w:color="auto" w:sz="4" w:space="0"/>
            </w:tcBorders>
            <w:shd w:val="clear" w:color="auto" w:fill="auto"/>
            <w:vAlign w:val="center"/>
          </w:tcPr>
          <w:p w14:paraId="213D8935">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70.56</w:t>
            </w:r>
          </w:p>
        </w:tc>
      </w:tr>
      <w:tr w14:paraId="296DE5B9">
        <w:tblPrEx>
          <w:tblCellMar>
            <w:top w:w="0" w:type="dxa"/>
            <w:left w:w="108" w:type="dxa"/>
            <w:bottom w:w="0" w:type="dxa"/>
            <w:right w:w="108" w:type="dxa"/>
          </w:tblCellMar>
        </w:tblPrEx>
        <w:trPr>
          <w:trHeight w:val="340" w:hRule="exact"/>
          <w:jc w:val="center"/>
        </w:trPr>
        <w:tc>
          <w:tcPr>
            <w:tcW w:w="1108" w:type="pct"/>
            <w:tcBorders>
              <w:top w:val="nil"/>
              <w:left w:val="single" w:color="auto" w:sz="4" w:space="0"/>
              <w:bottom w:val="single" w:color="auto" w:sz="4" w:space="0"/>
              <w:right w:val="single" w:color="auto" w:sz="4" w:space="0"/>
            </w:tcBorders>
            <w:shd w:val="clear" w:color="auto" w:fill="auto"/>
            <w:vAlign w:val="center"/>
          </w:tcPr>
          <w:p w14:paraId="6136919C">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9</w:t>
            </w:r>
          </w:p>
        </w:tc>
        <w:tc>
          <w:tcPr>
            <w:tcW w:w="1578" w:type="pct"/>
            <w:tcBorders>
              <w:top w:val="nil"/>
              <w:left w:val="nil"/>
              <w:bottom w:val="single" w:color="auto" w:sz="4" w:space="0"/>
              <w:right w:val="single" w:color="auto" w:sz="4" w:space="0"/>
            </w:tcBorders>
            <w:shd w:val="clear" w:color="auto" w:fill="auto"/>
            <w:vAlign w:val="center"/>
          </w:tcPr>
          <w:p w14:paraId="36CD5E03">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单位炸药消耗量</w:t>
            </w:r>
          </w:p>
        </w:tc>
        <w:tc>
          <w:tcPr>
            <w:tcW w:w="1107" w:type="pct"/>
            <w:tcBorders>
              <w:top w:val="nil"/>
              <w:left w:val="nil"/>
              <w:bottom w:val="single" w:color="auto" w:sz="4" w:space="0"/>
              <w:right w:val="single" w:color="auto" w:sz="4" w:space="0"/>
            </w:tcBorders>
            <w:shd w:val="clear" w:color="auto" w:fill="auto"/>
            <w:vAlign w:val="center"/>
          </w:tcPr>
          <w:p w14:paraId="745C3ED2">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kg/m³</w:t>
            </w:r>
          </w:p>
        </w:tc>
        <w:tc>
          <w:tcPr>
            <w:tcW w:w="1207" w:type="pct"/>
            <w:tcBorders>
              <w:top w:val="nil"/>
              <w:left w:val="nil"/>
              <w:bottom w:val="single" w:color="auto" w:sz="4" w:space="0"/>
              <w:right w:val="single" w:color="auto" w:sz="4" w:space="0"/>
            </w:tcBorders>
            <w:shd w:val="clear" w:color="auto" w:fill="auto"/>
            <w:vAlign w:val="center"/>
          </w:tcPr>
          <w:p w14:paraId="361D3357">
            <w:pPr>
              <w:adjustRightInd w:val="0"/>
              <w:snapToGrid w:val="0"/>
              <w:spacing w:line="360" w:lineRule="auto"/>
              <w:jc w:val="center"/>
              <w:rPr>
                <w:rFonts w:ascii="Times New Roman" w:hAnsi="Times New Roman" w:eastAsia="宋体" w:cs="Times New Roman"/>
                <w:color w:val="000000" w:themeColor="text1"/>
                <w:szCs w:val="21"/>
                <w:lang w:val="en-GB"/>
                <w14:textFill>
                  <w14:solidFill>
                    <w14:schemeClr w14:val="tx1"/>
                  </w14:solidFill>
                </w14:textFill>
              </w:rPr>
            </w:pPr>
            <w:r>
              <w:rPr>
                <w:rFonts w:ascii="Times New Roman" w:hAnsi="Times New Roman" w:eastAsia="宋体" w:cs="Times New Roman"/>
                <w:color w:val="000000" w:themeColor="text1"/>
                <w:szCs w:val="21"/>
                <w:lang w:val="en-GB"/>
                <w14:textFill>
                  <w14:solidFill>
                    <w14:schemeClr w14:val="tx1"/>
                  </w14:solidFill>
                </w14:textFill>
              </w:rPr>
              <w:t>0.42</w:t>
            </w:r>
          </w:p>
        </w:tc>
      </w:tr>
    </w:tbl>
    <w:p w14:paraId="1A61B5D6">
      <w:pPr>
        <w:pStyle w:val="5"/>
        <w:adjustRightInd w:val="0"/>
        <w:snapToGrid w:val="0"/>
        <w:spacing w:before="312" w:beforeLines="100" w:line="360" w:lineRule="auto"/>
        <w:ind w:firstLine="560"/>
        <w:rPr>
          <w:rFonts w:ascii="Times New Roman" w:hAnsi="Times New Roman" w:cs="Times New Roman"/>
        </w:rPr>
      </w:pPr>
      <w:r>
        <w:rPr>
          <w:rFonts w:ascii="Times New Roman" w:hAnsi="Times New Roman" w:cs="Times New Roman"/>
        </w:rPr>
        <w:t>2.4.6.8 爆破安全距离</w:t>
      </w:r>
    </w:p>
    <w:p w14:paraId="545348E6">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eastAsia="宋体" w:cs="Times New Roman"/>
          <w:color w:val="000000" w:themeColor="text1"/>
          <w:sz w:val="28"/>
          <w:szCs w:val="28"/>
          <w:lang w:val="en-GB"/>
          <w14:textFill>
            <w14:solidFill>
              <w14:schemeClr w14:val="tx1"/>
            </w14:solidFill>
          </w14:textFill>
        </w:rPr>
        <w:t>根据矿山最大的年采剥总量为90万t，矿石体重2.67t/m³,合33.71万m³，每年工作300天，每天采剥量1123.67m³，每次爆破按15天的平均采剥总量计算为16855.05m³，单位炸药消耗量q=0.42kg/m³，需要炸药量约为Q=7079.12kg；设计两个工作面同时开采，每个工作面一次爆破炸药量为3539.56kg，约50个孔，两个工作面共100个孔，孔距为4m，排距3m，最小工作线长度60m，分4排，每排12-13个孔，交错布置，采用逐孔爆破，单孔装药量70.56kg</w:t>
      </w:r>
      <w:r>
        <w:rPr>
          <w:rFonts w:ascii="Times New Roman" w:hAnsi="Times New Roman" w:eastAsia="宋体" w:cs="Times New Roman"/>
          <w:color w:val="000000" w:themeColor="text1"/>
          <w:sz w:val="28"/>
          <w:szCs w:val="28"/>
          <w:lang w:val="en-GB"/>
          <w14:textFill>
            <w14:solidFill>
              <w14:schemeClr w14:val="tx1"/>
            </w14:solidFill>
          </w14:textFill>
        </w:rPr>
        <w:t>。</w:t>
      </w:r>
    </w:p>
    <w:p w14:paraId="208B0429">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根据《爆破安全规程》</w:t>
      </w:r>
      <w:r>
        <w:rPr>
          <w:rFonts w:hint="eastAsia" w:ascii="Times New Roman" w:hAnsi="Times New Roman" w:eastAsia="宋体" w:cs="Times New Roman"/>
          <w:color w:val="000000" w:themeColor="text1"/>
          <w:sz w:val="28"/>
          <w:szCs w:val="28"/>
          <w:lang w:val="en-GB" w:eastAsia="zh-CN"/>
          <w14:textFill>
            <w14:solidFill>
              <w14:schemeClr w14:val="tx1"/>
            </w14:solidFill>
          </w14:textFill>
        </w:rPr>
        <w:t>（</w:t>
      </w:r>
      <w:r>
        <w:rPr>
          <w:rFonts w:ascii="Times New Roman" w:hAnsi="Times New Roman" w:eastAsia="宋体" w:cs="Times New Roman"/>
          <w:color w:val="000000" w:themeColor="text1"/>
          <w:sz w:val="28"/>
          <w:szCs w:val="28"/>
          <w:lang w:val="en-GB"/>
          <w14:textFill>
            <w14:solidFill>
              <w14:schemeClr w14:val="tx1"/>
            </w14:solidFill>
          </w14:textFill>
        </w:rPr>
        <w:t>GB6722-2014</w:t>
      </w:r>
      <w:r>
        <w:rPr>
          <w:rFonts w:hint="eastAsia" w:ascii="Times New Roman" w:hAnsi="Times New Roman" w:eastAsia="宋体" w:cs="Times New Roman"/>
          <w:color w:val="000000" w:themeColor="text1"/>
          <w:sz w:val="28"/>
          <w:szCs w:val="28"/>
          <w:lang w:val="en-GB" w:eastAsia="zh-CN"/>
          <w14:textFill>
            <w14:solidFill>
              <w14:schemeClr w14:val="tx1"/>
            </w14:solidFill>
          </w14:textFill>
        </w:rPr>
        <w:t>）</w:t>
      </w:r>
      <w:r>
        <w:rPr>
          <w:rFonts w:ascii="Times New Roman" w:hAnsi="Times New Roman" w:eastAsia="宋体" w:cs="Times New Roman"/>
          <w:color w:val="000000" w:themeColor="text1"/>
          <w:sz w:val="28"/>
          <w:szCs w:val="28"/>
          <w:lang w:val="en-GB"/>
          <w14:textFill>
            <w14:solidFill>
              <w14:schemeClr w14:val="tx1"/>
            </w14:solidFill>
          </w14:textFill>
        </w:rPr>
        <w:t>的有关规定，爆炸源与人员及其他保护对象之间的安全距离，按爆破产生的地震波、冲击波和个别分散物等分别核定。</w:t>
      </w:r>
    </w:p>
    <w:p w14:paraId="76C54134">
      <w:pPr>
        <w:adjustRightInd w:val="0"/>
        <w:snapToGrid w:val="0"/>
        <w:spacing w:line="360" w:lineRule="auto"/>
        <w:ind w:firstLine="562" w:firstLineChars="200"/>
        <w:rPr>
          <w:rFonts w:ascii="Times New Roman" w:hAnsi="Times New Roman" w:eastAsia="宋体" w:cs="Times New Roman"/>
          <w:b/>
          <w:bCs/>
          <w:color w:val="000000" w:themeColor="text1"/>
          <w:sz w:val="28"/>
          <w:szCs w:val="28"/>
          <w:lang w:val="en-GB"/>
          <w14:textFill>
            <w14:solidFill>
              <w14:schemeClr w14:val="tx1"/>
            </w14:solidFill>
          </w14:textFill>
        </w:rPr>
      </w:pPr>
      <w:r>
        <w:rPr>
          <w:rFonts w:ascii="Times New Roman" w:hAnsi="Times New Roman" w:eastAsia="宋体" w:cs="Times New Roman"/>
          <w:b/>
          <w:bCs/>
          <w:color w:val="000000" w:themeColor="text1"/>
          <w:sz w:val="28"/>
          <w:szCs w:val="28"/>
          <w14:textFill>
            <w14:solidFill>
              <w14:schemeClr w14:val="tx1"/>
            </w14:solidFill>
          </w14:textFill>
        </w:rPr>
        <w:t>一、</w:t>
      </w:r>
      <w:r>
        <w:rPr>
          <w:rFonts w:ascii="Times New Roman" w:hAnsi="Times New Roman" w:eastAsia="宋体" w:cs="Times New Roman"/>
          <w:b/>
          <w:bCs/>
          <w:color w:val="000000" w:themeColor="text1"/>
          <w:sz w:val="28"/>
          <w:szCs w:val="28"/>
          <w:lang w:val="en-GB"/>
          <w14:textFill>
            <w14:solidFill>
              <w14:schemeClr w14:val="tx1"/>
            </w14:solidFill>
          </w14:textFill>
        </w:rPr>
        <w:t>爆破震动对地面建筑物的安全距离</w:t>
      </w:r>
    </w:p>
    <w:p w14:paraId="4F8604E6">
      <w:pPr>
        <w:adjustRightInd w:val="0"/>
        <w:snapToGrid w:val="0"/>
        <w:spacing w:line="360" w:lineRule="auto"/>
        <w:ind w:firstLine="1400" w:firstLineChars="500"/>
        <w:rPr>
          <w:rFonts w:hint="eastAsia"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矿山建筑设计为砖房结构。按照</w:t>
      </w:r>
      <w:r>
        <w:rPr>
          <w:rFonts w:hint="eastAsia" w:ascii="Times New Roman" w:hAnsi="Times New Roman" w:eastAsia="宋体" w:cs="Times New Roman"/>
          <w:color w:val="000000" w:themeColor="text1"/>
          <w:sz w:val="28"/>
          <w:szCs w:val="28"/>
          <w:lang w:val="en-GB"/>
          <w14:textFill>
            <w14:solidFill>
              <w14:schemeClr w14:val="tx1"/>
            </w14:solidFill>
          </w14:textFill>
        </w:rPr>
        <w:t>《爆破安全规程》（GB6722-2014）</w:t>
      </w:r>
      <w:r>
        <w:rPr>
          <w:rFonts w:ascii="Times New Roman" w:hAnsi="Times New Roman" w:eastAsia="宋体" w:cs="Times New Roman"/>
          <w:color w:val="000000" w:themeColor="text1"/>
          <w:sz w:val="28"/>
          <w:szCs w:val="28"/>
          <w:lang w:val="en-GB"/>
          <w14:textFill>
            <w14:solidFill>
              <w14:schemeClr w14:val="tx1"/>
            </w14:solidFill>
          </w14:textFill>
        </w:rPr>
        <w:t>，</w:t>
      </w:r>
      <w:r>
        <w:rPr>
          <w:rFonts w:hint="eastAsia" w:ascii="Times New Roman" w:hAnsi="Times New Roman" w:eastAsia="宋体" w:cs="Times New Roman"/>
          <w:color w:val="000000" w:themeColor="text1"/>
          <w:sz w:val="28"/>
          <w:szCs w:val="28"/>
          <w:lang w:val="en-GB"/>
          <w14:textFill>
            <w14:solidFill>
              <w14:schemeClr w14:val="tx1"/>
            </w14:solidFill>
          </w14:textFill>
        </w:rPr>
        <w:t>一般砖房的安全震动速度是2.0～2.5cm/s，取2cm/s作为计算依据。</w:t>
      </w:r>
    </w:p>
    <w:p w14:paraId="4A84FB2E">
      <w:pPr>
        <w:adjustRightInd w:val="0"/>
        <w:snapToGrid w:val="0"/>
        <w:spacing w:line="360" w:lineRule="auto"/>
        <w:ind w:firstLine="1400" w:firstLineChars="500"/>
        <w:rPr>
          <w:rFonts w:hint="eastAsia"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eastAsia="宋体" w:cs="Times New Roman"/>
          <w:color w:val="000000" w:themeColor="text1"/>
          <w:sz w:val="28"/>
          <w:szCs w:val="28"/>
          <w:lang w:val="en-GB"/>
          <w14:textFill>
            <w14:solidFill>
              <w14:schemeClr w14:val="tx1"/>
            </w14:solidFill>
          </w14:textFill>
        </w:rPr>
        <w:t>R=（ K/V）1/a.Q1/3</w:t>
      </w:r>
    </w:p>
    <w:p w14:paraId="52F3BD19">
      <w:pPr>
        <w:adjustRightInd w:val="0"/>
        <w:snapToGrid w:val="0"/>
        <w:spacing w:line="360" w:lineRule="auto"/>
        <w:ind w:firstLine="1400" w:firstLineChars="500"/>
        <w:rPr>
          <w:rFonts w:hint="eastAsia"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eastAsia="宋体" w:cs="Times New Roman"/>
          <w:color w:val="000000" w:themeColor="text1"/>
          <w:sz w:val="28"/>
          <w:szCs w:val="28"/>
          <w:lang w:val="en-GB"/>
          <w14:textFill>
            <w14:solidFill>
              <w14:schemeClr w14:val="tx1"/>
            </w14:solidFill>
          </w14:textFill>
        </w:rPr>
        <w:t>式中：R——爆破震动安全距离，m；</w:t>
      </w:r>
    </w:p>
    <w:p w14:paraId="335A812C">
      <w:pPr>
        <w:adjustRightInd w:val="0"/>
        <w:snapToGrid w:val="0"/>
        <w:spacing w:line="360" w:lineRule="auto"/>
        <w:ind w:firstLine="1400" w:firstLineChars="500"/>
        <w:rPr>
          <w:rFonts w:hint="eastAsia"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eastAsia="宋体" w:cs="Times New Roman"/>
          <w:color w:val="000000" w:themeColor="text1"/>
          <w:sz w:val="28"/>
          <w:szCs w:val="28"/>
          <w:lang w:val="en-GB"/>
          <w14:textFill>
            <w14:solidFill>
              <w14:schemeClr w14:val="tx1"/>
            </w14:solidFill>
          </w14:textFill>
        </w:rPr>
        <w:t>Q——微差爆破的起爆段最大药量， kg；</w:t>
      </w:r>
    </w:p>
    <w:p w14:paraId="256BD5CA">
      <w:pPr>
        <w:adjustRightInd w:val="0"/>
        <w:snapToGrid w:val="0"/>
        <w:spacing w:line="360" w:lineRule="auto"/>
        <w:ind w:firstLine="1400" w:firstLineChars="500"/>
        <w:rPr>
          <w:rFonts w:hint="eastAsia"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eastAsia="宋体" w:cs="Times New Roman"/>
          <w:color w:val="000000" w:themeColor="text1"/>
          <w:sz w:val="28"/>
          <w:szCs w:val="28"/>
          <w:lang w:val="en-GB"/>
          <w14:textFill>
            <w14:solidFill>
              <w14:schemeClr w14:val="tx1"/>
            </w14:solidFill>
          </w14:textFill>
        </w:rPr>
        <w:t>V——安全震动速度，2.0cm/s；</w:t>
      </w:r>
    </w:p>
    <w:p w14:paraId="767210C5">
      <w:pPr>
        <w:adjustRightInd w:val="0"/>
        <w:snapToGrid w:val="0"/>
        <w:spacing w:line="360" w:lineRule="auto"/>
        <w:ind w:firstLine="1400" w:firstLineChars="500"/>
        <w:rPr>
          <w:rFonts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eastAsia="宋体" w:cs="Times New Roman"/>
          <w:color w:val="000000" w:themeColor="text1"/>
          <w:sz w:val="28"/>
          <w:szCs w:val="28"/>
          <w:lang w:val="en-GB"/>
          <w14:textFill>
            <w14:solidFill>
              <w14:schemeClr w14:val="tx1"/>
            </w14:solidFill>
          </w14:textFill>
        </w:rPr>
        <w:t>K、 a——与爆破区域地形、地质等条件有关的系数和衰减指数，K取200，a取1.50</w:t>
      </w:r>
      <w:r>
        <w:rPr>
          <w:rFonts w:ascii="Times New Roman" w:hAnsi="Times New Roman" w:eastAsia="宋体" w:cs="Times New Roman"/>
          <w:color w:val="000000" w:themeColor="text1"/>
          <w:sz w:val="28"/>
          <w:szCs w:val="28"/>
          <w:lang w:val="en-GB"/>
          <w14:textFill>
            <w14:solidFill>
              <w14:schemeClr w14:val="tx1"/>
            </w14:solidFill>
          </w14:textFill>
        </w:rPr>
        <w:t>。</w:t>
      </w:r>
    </w:p>
    <w:p w14:paraId="40EBF75D">
      <w:pPr>
        <w:adjustRightInd w:val="0"/>
        <w:snapToGrid w:val="0"/>
        <w:ind w:firstLine="482" w:firstLineChars="200"/>
        <w:jc w:val="center"/>
        <w:rPr>
          <w:rFonts w:ascii="Times New Roman" w:hAnsi="Times New Roman" w:eastAsia="宋体" w:cs="Times New Roman"/>
          <w:b/>
          <w:bCs/>
          <w:color w:val="000000" w:themeColor="text1"/>
          <w:sz w:val="24"/>
          <w:szCs w:val="24"/>
          <w:lang w:val="en-GB"/>
          <w14:textFill>
            <w14:solidFill>
              <w14:schemeClr w14:val="tx1"/>
            </w14:solidFill>
          </w14:textFill>
        </w:rPr>
      </w:pPr>
      <w:r>
        <w:rPr>
          <w:rFonts w:ascii="Times New Roman" w:hAnsi="Times New Roman" w:eastAsia="宋体" w:cs="Times New Roman"/>
          <w:b/>
          <w:bCs/>
          <w:color w:val="000000" w:themeColor="text1"/>
          <w:sz w:val="24"/>
          <w:szCs w:val="24"/>
          <w:lang w:val="en-GB"/>
          <w14:textFill>
            <w14:solidFill>
              <w14:schemeClr w14:val="tx1"/>
            </w14:solidFill>
          </w14:textFill>
        </w:rPr>
        <w:t>表</w:t>
      </w:r>
      <w:r>
        <w:rPr>
          <w:rFonts w:ascii="Times New Roman" w:hAnsi="Times New Roman" w:eastAsia="宋体" w:cs="Times New Roman"/>
          <w:b/>
          <w:bCs/>
          <w:color w:val="000000" w:themeColor="text1"/>
          <w:sz w:val="24"/>
          <w:szCs w:val="24"/>
          <w14:textFill>
            <w14:solidFill>
              <w14:schemeClr w14:val="tx1"/>
            </w14:solidFill>
          </w14:textFill>
        </w:rPr>
        <w:t>2</w:t>
      </w:r>
      <w:r>
        <w:rPr>
          <w:rFonts w:ascii="Times New Roman" w:hAnsi="Times New Roman" w:eastAsia="宋体" w:cs="Times New Roman"/>
          <w:b/>
          <w:bCs/>
          <w:color w:val="000000" w:themeColor="text1"/>
          <w:sz w:val="24"/>
          <w:szCs w:val="24"/>
          <w:lang w:val="en-GB"/>
          <w14:textFill>
            <w14:solidFill>
              <w14:schemeClr w14:val="tx1"/>
            </w14:solidFill>
          </w14:textFill>
        </w:rPr>
        <w:t>.</w:t>
      </w:r>
      <w:r>
        <w:rPr>
          <w:rFonts w:ascii="Times New Roman" w:hAnsi="Times New Roman" w:eastAsia="宋体" w:cs="Times New Roman"/>
          <w:b/>
          <w:bCs/>
          <w:color w:val="000000" w:themeColor="text1"/>
          <w:sz w:val="24"/>
          <w:szCs w:val="24"/>
          <w14:textFill>
            <w14:solidFill>
              <w14:schemeClr w14:val="tx1"/>
            </w14:solidFill>
          </w14:textFill>
        </w:rPr>
        <w:t>4-</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3</w:t>
      </w:r>
      <w:r>
        <w:rPr>
          <w:rFonts w:ascii="Times New Roman" w:hAnsi="Times New Roman" w:eastAsia="宋体" w:cs="Times New Roman"/>
          <w:b/>
          <w:bCs/>
          <w:color w:val="000000" w:themeColor="text1"/>
          <w:sz w:val="24"/>
          <w:szCs w:val="24"/>
          <w:lang w:val="en-GB"/>
          <w14:textFill>
            <w14:solidFill>
              <w14:schemeClr w14:val="tx1"/>
            </w14:solidFill>
          </w14:textFill>
        </w:rPr>
        <w:t xml:space="preserve">  爆破震动安全距离</w:t>
      </w:r>
    </w:p>
    <w:tbl>
      <w:tblPr>
        <w:tblStyle w:val="3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2490"/>
        <w:gridCol w:w="754"/>
        <w:gridCol w:w="1106"/>
        <w:gridCol w:w="1106"/>
        <w:gridCol w:w="1106"/>
        <w:gridCol w:w="1106"/>
        <w:gridCol w:w="976"/>
      </w:tblGrid>
      <w:tr w14:paraId="3218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401" w:type="pct"/>
            <w:shd w:val="clear" w:color="auto" w:fill="auto"/>
            <w:noWrap/>
            <w:vAlign w:val="center"/>
          </w:tcPr>
          <w:p w14:paraId="79CAAAC4">
            <w:pPr>
              <w:widowControl/>
              <w:jc w:val="center"/>
              <w:rPr>
                <w:rFonts w:ascii="Times New Roman" w:hAnsi="Times New Roman" w:eastAsia="宋体" w:cs="Times New Roman"/>
                <w:b/>
                <w:bCs/>
                <w:color w:val="000000" w:themeColor="text1"/>
                <w:sz w:val="21"/>
                <w:szCs w:val="21"/>
                <w:lang w:val="en-GB"/>
                <w14:textFill>
                  <w14:solidFill>
                    <w14:schemeClr w14:val="tx1"/>
                  </w14:solidFill>
                </w14:textFill>
              </w:rPr>
            </w:pPr>
            <w:r>
              <w:rPr>
                <w:rFonts w:hint="eastAsia" w:ascii="宋体" w:hAnsi="宋体" w:cs="宋体"/>
                <w:b/>
                <w:bCs/>
                <w:kern w:val="0"/>
                <w:sz w:val="21"/>
                <w:szCs w:val="21"/>
              </w:rPr>
              <w:t>序号</w:t>
            </w:r>
          </w:p>
        </w:tc>
        <w:tc>
          <w:tcPr>
            <w:tcW w:w="1325" w:type="pct"/>
            <w:shd w:val="clear" w:color="auto" w:fill="auto"/>
            <w:noWrap/>
            <w:vAlign w:val="center"/>
          </w:tcPr>
          <w:p w14:paraId="1CC4667C">
            <w:pPr>
              <w:widowControl/>
              <w:jc w:val="center"/>
              <w:rPr>
                <w:rFonts w:ascii="Times New Roman" w:hAnsi="Times New Roman" w:eastAsia="宋体" w:cs="Times New Roman"/>
                <w:b/>
                <w:bCs/>
                <w:color w:val="000000" w:themeColor="text1"/>
                <w:sz w:val="21"/>
                <w:szCs w:val="21"/>
                <w:lang w:val="en-GB"/>
                <w14:textFill>
                  <w14:solidFill>
                    <w14:schemeClr w14:val="tx1"/>
                  </w14:solidFill>
                </w14:textFill>
              </w:rPr>
            </w:pPr>
            <w:r>
              <w:rPr>
                <w:rFonts w:hint="eastAsia" w:ascii="宋体" w:hAnsi="宋体" w:cs="宋体"/>
                <w:b/>
                <w:bCs/>
                <w:kern w:val="0"/>
                <w:sz w:val="21"/>
                <w:szCs w:val="21"/>
              </w:rPr>
              <w:t>名称</w:t>
            </w:r>
          </w:p>
        </w:tc>
        <w:tc>
          <w:tcPr>
            <w:tcW w:w="401" w:type="pct"/>
            <w:shd w:val="clear" w:color="auto" w:fill="auto"/>
            <w:noWrap/>
            <w:vAlign w:val="center"/>
          </w:tcPr>
          <w:p w14:paraId="44C30233">
            <w:pPr>
              <w:widowControl/>
              <w:jc w:val="center"/>
              <w:rPr>
                <w:rFonts w:ascii="Times New Roman" w:hAnsi="Times New Roman" w:eastAsia="宋体" w:cs="Times New Roman"/>
                <w:b/>
                <w:bCs/>
                <w:color w:val="000000" w:themeColor="text1"/>
                <w:sz w:val="21"/>
                <w:szCs w:val="21"/>
                <w:lang w:val="en-GB"/>
                <w14:textFill>
                  <w14:solidFill>
                    <w14:schemeClr w14:val="tx1"/>
                  </w14:solidFill>
                </w14:textFill>
              </w:rPr>
            </w:pPr>
            <w:r>
              <w:rPr>
                <w:rFonts w:hint="eastAsia" w:ascii="宋体" w:hAnsi="宋体" w:cs="宋体"/>
                <w:b/>
                <w:bCs/>
                <w:kern w:val="0"/>
                <w:sz w:val="21"/>
                <w:szCs w:val="21"/>
              </w:rPr>
              <w:t>单位</w:t>
            </w:r>
          </w:p>
        </w:tc>
        <w:tc>
          <w:tcPr>
            <w:tcW w:w="2871" w:type="pct"/>
            <w:gridSpan w:val="5"/>
            <w:shd w:val="clear" w:color="auto" w:fill="auto"/>
            <w:noWrap/>
            <w:vAlign w:val="center"/>
          </w:tcPr>
          <w:p w14:paraId="7F46A6C7">
            <w:pPr>
              <w:widowControl/>
              <w:jc w:val="center"/>
              <w:rPr>
                <w:rFonts w:ascii="Times New Roman" w:hAnsi="Times New Roman" w:eastAsia="宋体" w:cs="Times New Roman"/>
                <w:b/>
                <w:bCs/>
                <w:color w:val="000000" w:themeColor="text1"/>
                <w:sz w:val="21"/>
                <w:szCs w:val="21"/>
                <w:lang w:val="en-GB"/>
                <w14:textFill>
                  <w14:solidFill>
                    <w14:schemeClr w14:val="tx1"/>
                  </w14:solidFill>
                </w14:textFill>
              </w:rPr>
            </w:pPr>
            <w:r>
              <w:rPr>
                <w:rFonts w:hint="eastAsia" w:ascii="宋体" w:hAnsi="宋体" w:cs="宋体"/>
                <w:b/>
                <w:bCs/>
                <w:kern w:val="0"/>
                <w:sz w:val="21"/>
                <w:szCs w:val="21"/>
              </w:rPr>
              <w:t>数值</w:t>
            </w:r>
          </w:p>
        </w:tc>
      </w:tr>
      <w:tr w14:paraId="0A7A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401" w:type="pct"/>
            <w:shd w:val="clear" w:color="auto" w:fill="auto"/>
            <w:noWrap/>
            <w:vAlign w:val="center"/>
          </w:tcPr>
          <w:p w14:paraId="0F62D5F4">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s="宋体"/>
                <w:kern w:val="0"/>
                <w:sz w:val="21"/>
                <w:szCs w:val="21"/>
              </w:rPr>
              <w:t>1</w:t>
            </w:r>
          </w:p>
        </w:tc>
        <w:tc>
          <w:tcPr>
            <w:tcW w:w="1325" w:type="pct"/>
            <w:shd w:val="clear" w:color="auto" w:fill="auto"/>
            <w:noWrap/>
            <w:vAlign w:val="center"/>
          </w:tcPr>
          <w:p w14:paraId="7AAD61EE">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s="宋体"/>
                <w:kern w:val="0"/>
                <w:sz w:val="21"/>
                <w:szCs w:val="21"/>
              </w:rPr>
              <w:t>起爆段数</w:t>
            </w:r>
          </w:p>
        </w:tc>
        <w:tc>
          <w:tcPr>
            <w:tcW w:w="401" w:type="pct"/>
            <w:shd w:val="clear" w:color="auto" w:fill="auto"/>
            <w:noWrap/>
            <w:vAlign w:val="center"/>
          </w:tcPr>
          <w:p w14:paraId="367ECE9F">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s="宋体"/>
                <w:kern w:val="0"/>
                <w:sz w:val="21"/>
                <w:szCs w:val="21"/>
              </w:rPr>
              <w:t>段</w:t>
            </w:r>
          </w:p>
        </w:tc>
        <w:tc>
          <w:tcPr>
            <w:tcW w:w="588" w:type="pct"/>
            <w:shd w:val="clear" w:color="auto" w:fill="auto"/>
            <w:noWrap/>
            <w:vAlign w:val="top"/>
          </w:tcPr>
          <w:p w14:paraId="53854F16">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3</w:t>
            </w:r>
          </w:p>
        </w:tc>
        <w:tc>
          <w:tcPr>
            <w:tcW w:w="588" w:type="pct"/>
            <w:shd w:val="clear" w:color="auto" w:fill="auto"/>
            <w:noWrap/>
            <w:vAlign w:val="top"/>
          </w:tcPr>
          <w:p w14:paraId="2BE6ED76">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4</w:t>
            </w:r>
          </w:p>
        </w:tc>
        <w:tc>
          <w:tcPr>
            <w:tcW w:w="588" w:type="pct"/>
            <w:shd w:val="clear" w:color="auto" w:fill="auto"/>
            <w:noWrap/>
            <w:vAlign w:val="top"/>
          </w:tcPr>
          <w:p w14:paraId="7358F1E2">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8</w:t>
            </w:r>
          </w:p>
        </w:tc>
        <w:tc>
          <w:tcPr>
            <w:tcW w:w="588" w:type="pct"/>
            <w:vAlign w:val="top"/>
          </w:tcPr>
          <w:p w14:paraId="7940A796">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16</w:t>
            </w:r>
          </w:p>
        </w:tc>
        <w:tc>
          <w:tcPr>
            <w:tcW w:w="515" w:type="pct"/>
            <w:vAlign w:val="top"/>
          </w:tcPr>
          <w:p w14:paraId="22CA01AA">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48</w:t>
            </w:r>
          </w:p>
        </w:tc>
      </w:tr>
      <w:tr w14:paraId="27FB6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401" w:type="pct"/>
            <w:shd w:val="clear" w:color="auto" w:fill="auto"/>
            <w:noWrap/>
            <w:vAlign w:val="center"/>
          </w:tcPr>
          <w:p w14:paraId="6404BBE2">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s="宋体"/>
                <w:kern w:val="0"/>
                <w:sz w:val="21"/>
                <w:szCs w:val="21"/>
              </w:rPr>
              <w:t>2</w:t>
            </w:r>
          </w:p>
        </w:tc>
        <w:tc>
          <w:tcPr>
            <w:tcW w:w="1325" w:type="pct"/>
            <w:shd w:val="clear" w:color="auto" w:fill="auto"/>
            <w:noWrap/>
            <w:vAlign w:val="center"/>
          </w:tcPr>
          <w:p w14:paraId="47E11F83">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s="宋体"/>
                <w:kern w:val="0"/>
                <w:sz w:val="21"/>
                <w:szCs w:val="21"/>
              </w:rPr>
              <w:t>一段起爆炮孔数</w:t>
            </w:r>
          </w:p>
        </w:tc>
        <w:tc>
          <w:tcPr>
            <w:tcW w:w="401" w:type="pct"/>
            <w:shd w:val="clear" w:color="auto" w:fill="auto"/>
            <w:noWrap/>
            <w:vAlign w:val="center"/>
          </w:tcPr>
          <w:p w14:paraId="7B14F171">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s="宋体"/>
                <w:kern w:val="0"/>
                <w:sz w:val="21"/>
                <w:szCs w:val="21"/>
              </w:rPr>
              <w:t>个</w:t>
            </w:r>
          </w:p>
        </w:tc>
        <w:tc>
          <w:tcPr>
            <w:tcW w:w="588" w:type="pct"/>
            <w:shd w:val="clear" w:color="auto" w:fill="auto"/>
            <w:noWrap/>
            <w:vAlign w:val="top"/>
          </w:tcPr>
          <w:p w14:paraId="6B90C1EC">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24</w:t>
            </w:r>
          </w:p>
        </w:tc>
        <w:tc>
          <w:tcPr>
            <w:tcW w:w="588" w:type="pct"/>
            <w:shd w:val="clear" w:color="auto" w:fill="auto"/>
            <w:noWrap/>
            <w:vAlign w:val="top"/>
          </w:tcPr>
          <w:p w14:paraId="03067F6B">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12</w:t>
            </w:r>
          </w:p>
        </w:tc>
        <w:tc>
          <w:tcPr>
            <w:tcW w:w="588" w:type="pct"/>
            <w:shd w:val="clear" w:color="auto" w:fill="auto"/>
            <w:noWrap/>
            <w:vAlign w:val="top"/>
          </w:tcPr>
          <w:p w14:paraId="6F3300B0">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6</w:t>
            </w:r>
          </w:p>
        </w:tc>
        <w:tc>
          <w:tcPr>
            <w:tcW w:w="588" w:type="pct"/>
            <w:vAlign w:val="top"/>
          </w:tcPr>
          <w:p w14:paraId="193E143B">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3</w:t>
            </w:r>
          </w:p>
        </w:tc>
        <w:tc>
          <w:tcPr>
            <w:tcW w:w="515" w:type="pct"/>
            <w:vAlign w:val="top"/>
          </w:tcPr>
          <w:p w14:paraId="78AEAFA4">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1</w:t>
            </w:r>
          </w:p>
        </w:tc>
      </w:tr>
      <w:tr w14:paraId="6F177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401" w:type="pct"/>
            <w:shd w:val="clear" w:color="auto" w:fill="auto"/>
            <w:noWrap/>
            <w:vAlign w:val="center"/>
          </w:tcPr>
          <w:p w14:paraId="350FD113">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s="宋体"/>
                <w:kern w:val="0"/>
                <w:sz w:val="21"/>
                <w:szCs w:val="21"/>
              </w:rPr>
              <w:t>3</w:t>
            </w:r>
          </w:p>
        </w:tc>
        <w:tc>
          <w:tcPr>
            <w:tcW w:w="1325" w:type="pct"/>
            <w:shd w:val="clear" w:color="auto" w:fill="auto"/>
            <w:noWrap/>
            <w:vAlign w:val="center"/>
          </w:tcPr>
          <w:p w14:paraId="60C9C34B">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s="宋体"/>
                <w:kern w:val="0"/>
                <w:sz w:val="21"/>
                <w:szCs w:val="21"/>
              </w:rPr>
              <w:t>单个炮孔最大装药量</w:t>
            </w:r>
          </w:p>
        </w:tc>
        <w:tc>
          <w:tcPr>
            <w:tcW w:w="401" w:type="pct"/>
            <w:shd w:val="clear" w:color="auto" w:fill="auto"/>
            <w:noWrap/>
            <w:vAlign w:val="center"/>
          </w:tcPr>
          <w:p w14:paraId="6AC363B7">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s="宋体"/>
                <w:kern w:val="0"/>
                <w:sz w:val="21"/>
                <w:szCs w:val="21"/>
              </w:rPr>
              <w:t>kg</w:t>
            </w:r>
          </w:p>
        </w:tc>
        <w:tc>
          <w:tcPr>
            <w:tcW w:w="588" w:type="pct"/>
            <w:shd w:val="clear" w:color="auto" w:fill="auto"/>
            <w:noWrap/>
            <w:vAlign w:val="top"/>
          </w:tcPr>
          <w:p w14:paraId="28887FC0">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70.56</w:t>
            </w:r>
          </w:p>
        </w:tc>
        <w:tc>
          <w:tcPr>
            <w:tcW w:w="588" w:type="pct"/>
            <w:shd w:val="clear" w:color="auto" w:fill="auto"/>
            <w:noWrap/>
            <w:vAlign w:val="top"/>
          </w:tcPr>
          <w:p w14:paraId="34E75AEA">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70.56</w:t>
            </w:r>
          </w:p>
        </w:tc>
        <w:tc>
          <w:tcPr>
            <w:tcW w:w="588" w:type="pct"/>
            <w:shd w:val="clear" w:color="auto" w:fill="auto"/>
            <w:noWrap/>
            <w:vAlign w:val="top"/>
          </w:tcPr>
          <w:p w14:paraId="2242F1EC">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70.56</w:t>
            </w:r>
          </w:p>
        </w:tc>
        <w:tc>
          <w:tcPr>
            <w:tcW w:w="588" w:type="pct"/>
            <w:vAlign w:val="top"/>
          </w:tcPr>
          <w:p w14:paraId="18461642">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70.56</w:t>
            </w:r>
          </w:p>
        </w:tc>
        <w:tc>
          <w:tcPr>
            <w:tcW w:w="515" w:type="pct"/>
            <w:vAlign w:val="top"/>
          </w:tcPr>
          <w:p w14:paraId="40DF5A2D">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70.56</w:t>
            </w:r>
          </w:p>
        </w:tc>
      </w:tr>
      <w:tr w14:paraId="3189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401" w:type="pct"/>
            <w:shd w:val="clear" w:color="auto" w:fill="auto"/>
            <w:noWrap/>
            <w:vAlign w:val="center"/>
          </w:tcPr>
          <w:p w14:paraId="06BE1E76">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s="宋体"/>
                <w:kern w:val="0"/>
                <w:sz w:val="21"/>
                <w:szCs w:val="21"/>
              </w:rPr>
              <w:t>4</w:t>
            </w:r>
          </w:p>
        </w:tc>
        <w:tc>
          <w:tcPr>
            <w:tcW w:w="1325" w:type="pct"/>
            <w:shd w:val="clear" w:color="auto" w:fill="auto"/>
            <w:noWrap/>
            <w:vAlign w:val="center"/>
          </w:tcPr>
          <w:p w14:paraId="78263A14">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s="宋体"/>
                <w:kern w:val="0"/>
                <w:sz w:val="21"/>
                <w:szCs w:val="21"/>
              </w:rPr>
              <w:t>一段起爆最大装药量</w:t>
            </w:r>
          </w:p>
        </w:tc>
        <w:tc>
          <w:tcPr>
            <w:tcW w:w="401" w:type="pct"/>
            <w:shd w:val="clear" w:color="auto" w:fill="auto"/>
            <w:noWrap/>
            <w:vAlign w:val="center"/>
          </w:tcPr>
          <w:p w14:paraId="0535A98E">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s="宋体"/>
                <w:kern w:val="0"/>
                <w:sz w:val="21"/>
                <w:szCs w:val="21"/>
              </w:rPr>
              <w:t>kg</w:t>
            </w:r>
          </w:p>
        </w:tc>
        <w:tc>
          <w:tcPr>
            <w:tcW w:w="588" w:type="pct"/>
            <w:shd w:val="clear" w:color="auto" w:fill="auto"/>
            <w:noWrap/>
            <w:vAlign w:val="top"/>
          </w:tcPr>
          <w:p w14:paraId="79548F2E">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1693</w:t>
            </w:r>
          </w:p>
        </w:tc>
        <w:tc>
          <w:tcPr>
            <w:tcW w:w="588" w:type="pct"/>
            <w:shd w:val="clear" w:color="auto" w:fill="auto"/>
            <w:noWrap/>
            <w:vAlign w:val="top"/>
          </w:tcPr>
          <w:p w14:paraId="3F5ACC4D">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847</w:t>
            </w:r>
          </w:p>
        </w:tc>
        <w:tc>
          <w:tcPr>
            <w:tcW w:w="588" w:type="pct"/>
            <w:shd w:val="clear" w:color="auto" w:fill="auto"/>
            <w:noWrap/>
            <w:vAlign w:val="top"/>
          </w:tcPr>
          <w:p w14:paraId="1BB30786">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423</w:t>
            </w:r>
          </w:p>
        </w:tc>
        <w:tc>
          <w:tcPr>
            <w:tcW w:w="588" w:type="pct"/>
            <w:vAlign w:val="top"/>
          </w:tcPr>
          <w:p w14:paraId="38C0AD13">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212</w:t>
            </w:r>
          </w:p>
        </w:tc>
        <w:tc>
          <w:tcPr>
            <w:tcW w:w="515" w:type="pct"/>
            <w:vAlign w:val="top"/>
          </w:tcPr>
          <w:p w14:paraId="05B1223B">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71</w:t>
            </w:r>
          </w:p>
        </w:tc>
      </w:tr>
      <w:tr w14:paraId="0D571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401" w:type="pct"/>
            <w:shd w:val="clear" w:color="auto" w:fill="auto"/>
            <w:noWrap/>
            <w:vAlign w:val="center"/>
          </w:tcPr>
          <w:p w14:paraId="260855B4">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s="宋体"/>
                <w:kern w:val="0"/>
                <w:sz w:val="21"/>
                <w:szCs w:val="21"/>
              </w:rPr>
              <w:t>5</w:t>
            </w:r>
          </w:p>
        </w:tc>
        <w:tc>
          <w:tcPr>
            <w:tcW w:w="1325" w:type="pct"/>
            <w:shd w:val="clear" w:color="auto" w:fill="auto"/>
            <w:noWrap/>
            <w:vAlign w:val="center"/>
          </w:tcPr>
          <w:p w14:paraId="67E34DB1">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s="宋体"/>
                <w:kern w:val="0"/>
                <w:sz w:val="21"/>
                <w:szCs w:val="21"/>
              </w:rPr>
              <w:t>一次爆破总药量</w:t>
            </w:r>
          </w:p>
        </w:tc>
        <w:tc>
          <w:tcPr>
            <w:tcW w:w="401" w:type="pct"/>
            <w:shd w:val="clear" w:color="auto" w:fill="auto"/>
            <w:noWrap/>
            <w:vAlign w:val="center"/>
          </w:tcPr>
          <w:p w14:paraId="096B3167">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s="宋体"/>
                <w:kern w:val="0"/>
                <w:sz w:val="21"/>
                <w:szCs w:val="21"/>
              </w:rPr>
              <w:t>kg</w:t>
            </w:r>
          </w:p>
        </w:tc>
        <w:tc>
          <w:tcPr>
            <w:tcW w:w="588" w:type="pct"/>
            <w:shd w:val="clear" w:color="auto" w:fill="auto"/>
            <w:noWrap/>
            <w:vAlign w:val="top"/>
          </w:tcPr>
          <w:p w14:paraId="23AFE456">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1693</w:t>
            </w:r>
          </w:p>
        </w:tc>
        <w:tc>
          <w:tcPr>
            <w:tcW w:w="588" w:type="pct"/>
            <w:shd w:val="clear" w:color="auto" w:fill="auto"/>
            <w:noWrap/>
            <w:vAlign w:val="top"/>
          </w:tcPr>
          <w:p w14:paraId="73426878">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1693</w:t>
            </w:r>
          </w:p>
        </w:tc>
        <w:tc>
          <w:tcPr>
            <w:tcW w:w="588" w:type="pct"/>
            <w:shd w:val="clear" w:color="auto" w:fill="auto"/>
            <w:noWrap/>
            <w:vAlign w:val="top"/>
          </w:tcPr>
          <w:p w14:paraId="3E73B576">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1693</w:t>
            </w:r>
          </w:p>
        </w:tc>
        <w:tc>
          <w:tcPr>
            <w:tcW w:w="588" w:type="pct"/>
            <w:vAlign w:val="top"/>
          </w:tcPr>
          <w:p w14:paraId="6949F408">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1693</w:t>
            </w:r>
          </w:p>
        </w:tc>
        <w:tc>
          <w:tcPr>
            <w:tcW w:w="515" w:type="pct"/>
            <w:vAlign w:val="top"/>
          </w:tcPr>
          <w:p w14:paraId="7AE54920">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s="宋体"/>
                <w:kern w:val="0"/>
                <w:sz w:val="21"/>
                <w:szCs w:val="21"/>
              </w:rPr>
              <w:t>1693</w:t>
            </w:r>
          </w:p>
        </w:tc>
      </w:tr>
      <w:tr w14:paraId="1845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401" w:type="pct"/>
            <w:shd w:val="clear" w:color="auto" w:fill="auto"/>
            <w:noWrap/>
            <w:vAlign w:val="center"/>
          </w:tcPr>
          <w:p w14:paraId="097F6227">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s="宋体"/>
                <w:kern w:val="0"/>
                <w:sz w:val="21"/>
                <w:szCs w:val="21"/>
              </w:rPr>
              <w:t>6</w:t>
            </w:r>
          </w:p>
        </w:tc>
        <w:tc>
          <w:tcPr>
            <w:tcW w:w="1325" w:type="pct"/>
            <w:shd w:val="clear" w:color="auto" w:fill="auto"/>
            <w:noWrap/>
            <w:vAlign w:val="center"/>
          </w:tcPr>
          <w:p w14:paraId="3A1D6CB8">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s="宋体"/>
                <w:kern w:val="0"/>
                <w:sz w:val="21"/>
                <w:szCs w:val="21"/>
              </w:rPr>
              <w:t>爆破震动安全距离</w:t>
            </w:r>
          </w:p>
        </w:tc>
        <w:tc>
          <w:tcPr>
            <w:tcW w:w="401" w:type="pct"/>
            <w:shd w:val="clear" w:color="auto" w:fill="auto"/>
            <w:noWrap/>
            <w:vAlign w:val="center"/>
          </w:tcPr>
          <w:p w14:paraId="2A80A2F6">
            <w:pPr>
              <w:widowControl/>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s="宋体"/>
                <w:kern w:val="0"/>
                <w:sz w:val="21"/>
                <w:szCs w:val="21"/>
              </w:rPr>
              <w:t>m</w:t>
            </w:r>
          </w:p>
        </w:tc>
        <w:tc>
          <w:tcPr>
            <w:tcW w:w="588" w:type="pct"/>
            <w:shd w:val="clear" w:color="auto" w:fill="auto"/>
            <w:noWrap/>
            <w:vAlign w:val="center"/>
          </w:tcPr>
          <w:p w14:paraId="14BBAFAC">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sz w:val="21"/>
                <w:szCs w:val="21"/>
              </w:rPr>
              <w:t>256.80</w:t>
            </w:r>
          </w:p>
        </w:tc>
        <w:tc>
          <w:tcPr>
            <w:tcW w:w="588" w:type="pct"/>
            <w:shd w:val="clear" w:color="auto" w:fill="auto"/>
            <w:noWrap/>
            <w:vAlign w:val="center"/>
          </w:tcPr>
          <w:p w14:paraId="76EAE1ED">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sz w:val="21"/>
                <w:szCs w:val="21"/>
              </w:rPr>
              <w:t>203.82</w:t>
            </w:r>
          </w:p>
        </w:tc>
        <w:tc>
          <w:tcPr>
            <w:tcW w:w="588" w:type="pct"/>
            <w:shd w:val="clear" w:color="auto" w:fill="auto"/>
            <w:noWrap/>
            <w:vAlign w:val="center"/>
          </w:tcPr>
          <w:p w14:paraId="287D58A9">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sz w:val="21"/>
                <w:szCs w:val="21"/>
              </w:rPr>
              <w:t>161.77</w:t>
            </w:r>
          </w:p>
        </w:tc>
        <w:tc>
          <w:tcPr>
            <w:tcW w:w="588" w:type="pct"/>
            <w:vAlign w:val="center"/>
          </w:tcPr>
          <w:p w14:paraId="287D0443">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sz w:val="21"/>
                <w:szCs w:val="21"/>
              </w:rPr>
              <w:t>128.40</w:t>
            </w:r>
          </w:p>
        </w:tc>
        <w:tc>
          <w:tcPr>
            <w:tcW w:w="515" w:type="pct"/>
            <w:vAlign w:val="center"/>
          </w:tcPr>
          <w:p w14:paraId="4C246017">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sz w:val="21"/>
                <w:szCs w:val="21"/>
              </w:rPr>
              <w:t>89.03</w:t>
            </w:r>
          </w:p>
        </w:tc>
      </w:tr>
    </w:tbl>
    <w:p w14:paraId="129709C4">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bookmarkStart w:id="64" w:name="_Hlk73439529"/>
      <w:r>
        <w:rPr>
          <w:rFonts w:hint="eastAsia" w:ascii="Times New Roman" w:hAnsi="Times New Roman" w:eastAsia="宋体" w:cs="Times New Roman"/>
          <w:color w:val="000000" w:themeColor="text1"/>
          <w:sz w:val="28"/>
          <w:szCs w:val="28"/>
          <w:lang w:val="en-GB"/>
          <w14:textFill>
            <w14:solidFill>
              <w14:schemeClr w14:val="tx1"/>
            </w14:solidFill>
          </w14:textFill>
        </w:rPr>
        <w:t>设计采用逐孔爆破，单孔装药量为70.56kg，爆破震动安全距离R为89.03m，因此爆破震动对100m以外的破碎设备、房屋等建筑影响不大</w:t>
      </w:r>
      <w:r>
        <w:rPr>
          <w:rFonts w:ascii="Times New Roman" w:hAnsi="Times New Roman" w:eastAsia="宋体" w:cs="Times New Roman"/>
          <w:color w:val="000000" w:themeColor="text1"/>
          <w:sz w:val="28"/>
          <w:szCs w:val="28"/>
          <w:lang w:val="en-GB"/>
          <w14:textFill>
            <w14:solidFill>
              <w14:schemeClr w14:val="tx1"/>
            </w14:solidFill>
          </w14:textFill>
        </w:rPr>
        <w:t>。</w:t>
      </w:r>
    </w:p>
    <w:bookmarkEnd w:id="64"/>
    <w:p w14:paraId="4CB87385">
      <w:pPr>
        <w:adjustRightInd w:val="0"/>
        <w:snapToGrid w:val="0"/>
        <w:spacing w:line="360" w:lineRule="auto"/>
        <w:ind w:firstLine="562" w:firstLineChars="200"/>
        <w:rPr>
          <w:rFonts w:ascii="Times New Roman" w:hAnsi="Times New Roman" w:eastAsia="宋体" w:cs="Times New Roman"/>
          <w:b/>
          <w:bCs/>
          <w:color w:val="000000" w:themeColor="text1"/>
          <w:sz w:val="28"/>
          <w:szCs w:val="28"/>
          <w:lang w:val="en-GB"/>
          <w14:textFill>
            <w14:solidFill>
              <w14:schemeClr w14:val="tx1"/>
            </w14:solidFill>
          </w14:textFill>
        </w:rPr>
      </w:pPr>
      <w:r>
        <w:rPr>
          <w:rFonts w:ascii="Times New Roman" w:hAnsi="Times New Roman" w:eastAsia="宋体" w:cs="Times New Roman"/>
          <w:b/>
          <w:bCs/>
          <w:color w:val="000000" w:themeColor="text1"/>
          <w:sz w:val="28"/>
          <w:szCs w:val="28"/>
          <w14:textFill>
            <w14:solidFill>
              <w14:schemeClr w14:val="tx1"/>
            </w14:solidFill>
          </w14:textFill>
        </w:rPr>
        <w:t>二、</w:t>
      </w:r>
      <w:r>
        <w:rPr>
          <w:rFonts w:ascii="Times New Roman" w:hAnsi="Times New Roman" w:eastAsia="宋体" w:cs="Times New Roman"/>
          <w:b/>
          <w:bCs/>
          <w:color w:val="000000" w:themeColor="text1"/>
          <w:sz w:val="28"/>
          <w:szCs w:val="28"/>
          <w:lang w:val="en-GB"/>
          <w14:textFill>
            <w14:solidFill>
              <w14:schemeClr w14:val="tx1"/>
            </w14:solidFill>
          </w14:textFill>
        </w:rPr>
        <w:t>爆破飞石的安全距离</w:t>
      </w:r>
    </w:p>
    <w:p w14:paraId="6B7F7324">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（1）</w:t>
      </w:r>
      <w:r>
        <w:rPr>
          <w:rFonts w:ascii="Times New Roman" w:hAnsi="Times New Roman" w:eastAsia="宋体" w:cs="Times New Roman"/>
          <w:color w:val="000000" w:themeColor="text1"/>
          <w:sz w:val="28"/>
          <w:szCs w:val="28"/>
          <w:lang w:val="en-GB"/>
          <w14:textFill>
            <w14:solidFill>
              <w14:schemeClr w14:val="tx1"/>
            </w14:solidFill>
          </w14:textFill>
        </w:rPr>
        <w:t>参照爆破飞石安全距离公式</w:t>
      </w:r>
    </w:p>
    <w:p w14:paraId="6D4A5F52">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drawing>
          <wp:inline distT="0" distB="0" distL="0" distR="0">
            <wp:extent cx="698500" cy="431165"/>
            <wp:effectExtent l="0" t="0" r="0" b="11430"/>
            <wp:docPr id="58"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6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698500" cy="431165"/>
                    </a:xfrm>
                    <a:prstGeom prst="rect">
                      <a:avLst/>
                    </a:prstGeom>
                    <a:noFill/>
                    <a:ln>
                      <a:noFill/>
                    </a:ln>
                  </pic:spPr>
                </pic:pic>
              </a:graphicData>
            </a:graphic>
          </wp:inline>
        </w:drawing>
      </w:r>
    </w:p>
    <w:p w14:paraId="458C02F0">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式中：</w:t>
      </w:r>
    </w:p>
    <w:p w14:paraId="799F88EF">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R</w:t>
      </w:r>
      <w:r>
        <w:rPr>
          <w:rFonts w:ascii="Times New Roman" w:hAnsi="Times New Roman" w:eastAsia="宋体" w:cs="Times New Roman"/>
          <w:color w:val="000000" w:themeColor="text1"/>
          <w:sz w:val="28"/>
          <w:szCs w:val="28"/>
          <w:vertAlign w:val="subscript"/>
          <w:lang w:val="en-GB"/>
          <w14:textFill>
            <w14:solidFill>
              <w14:schemeClr w14:val="tx1"/>
            </w14:solidFill>
          </w14:textFill>
        </w:rPr>
        <w:t>F</w:t>
      </w:r>
      <w:r>
        <w:rPr>
          <w:rFonts w:ascii="Times New Roman" w:hAnsi="Times New Roman" w:eastAsia="宋体" w:cs="Times New Roman"/>
          <w:color w:val="000000" w:themeColor="text1"/>
          <w:sz w:val="28"/>
          <w:szCs w:val="28"/>
          <w:lang w:val="en-GB"/>
          <w14:textFill>
            <w14:solidFill>
              <w14:schemeClr w14:val="tx1"/>
            </w14:solidFill>
          </w14:textFill>
        </w:rPr>
        <w:t>—爆破飞石允许安全距离，m；</w:t>
      </w:r>
    </w:p>
    <w:p w14:paraId="61A96D3C">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d—炮孔直径，为100mm；</w:t>
      </w:r>
    </w:p>
    <w:p w14:paraId="253108BD">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W′—最小埋深，m，W′=C•sinα+L•cosα=4；</w:t>
      </w:r>
    </w:p>
    <w:p w14:paraId="207BF8A9">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L—堵塞长度，L为3m；</w:t>
      </w:r>
    </w:p>
    <w:p w14:paraId="642B1B5F">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C—孔口至台阶肩线的水平距离，C取4m；</w:t>
      </w:r>
    </w:p>
    <w:p w14:paraId="25C03819">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α—台阶对地平的倾斜角，α取60°。</w:t>
      </w:r>
    </w:p>
    <w:p w14:paraId="5A4E97D0">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经计算，爆破飞石安全距离为97.2m。</w:t>
      </w:r>
    </w:p>
    <w:p w14:paraId="3A11FBC2">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2</w:t>
      </w:r>
      <w:r>
        <w:rPr>
          <w:rFonts w:ascii="Times New Roman" w:hAnsi="Times New Roman" w:eastAsia="宋体" w:cs="Times New Roman"/>
          <w:color w:val="000000" w:themeColor="text1"/>
          <w:sz w:val="28"/>
          <w:szCs w:val="28"/>
          <w:lang w:val="en-GB"/>
          <w14:textFill>
            <w14:solidFill>
              <w14:schemeClr w14:val="tx1"/>
            </w14:solidFill>
          </w14:textFill>
        </w:rPr>
        <w:t>）按照露天台阶爆破经验公式确定爆破飞石安全距离</w:t>
      </w:r>
    </w:p>
    <w:p w14:paraId="7DAB95BA">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R=(1500～1600)×d</w:t>
      </w:r>
    </w:p>
    <w:p w14:paraId="61EF0304">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式中：R—飞石距离，m</w:t>
      </w:r>
    </w:p>
    <w:p w14:paraId="4F013776">
      <w:pPr>
        <w:adjustRightInd w:val="0"/>
        <w:snapToGrid w:val="0"/>
        <w:spacing w:line="360" w:lineRule="auto"/>
        <w:ind w:firstLine="1400" w:firstLineChars="5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d—钻孔直径，100mm</w:t>
      </w:r>
    </w:p>
    <w:p w14:paraId="16FF2749">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经计算，爆破飞石安全距离R=150～160m。</w:t>
      </w:r>
    </w:p>
    <w:p w14:paraId="65EC3BBD">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本矿山为山坡露天矿，根据《爆破安全规程》（GB6722－2014）规定，深孔台阶爆破个别飞散物对人员的安全允许距离不小于200m，沿山坡爆破时，下坡方向的个别飞散物安全允许距离应增大50%，因此设计爆破安全距离确定为上坡方向200m，下坡方向300m。</w:t>
      </w:r>
    </w:p>
    <w:p w14:paraId="5C9B23B2">
      <w:pPr>
        <w:pStyle w:val="5"/>
        <w:adjustRightInd w:val="0"/>
        <w:snapToGrid w:val="0"/>
        <w:spacing w:line="360" w:lineRule="auto"/>
        <w:ind w:firstLine="560"/>
        <w:rPr>
          <w:rFonts w:ascii="Times New Roman" w:hAnsi="Times New Roman" w:cs="Times New Roman"/>
        </w:rPr>
      </w:pPr>
      <w:r>
        <w:rPr>
          <w:rFonts w:ascii="Times New Roman" w:hAnsi="Times New Roman" w:cs="Times New Roman"/>
        </w:rPr>
        <w:t>2.4.6.8 爆破安全</w:t>
      </w:r>
    </w:p>
    <w:p w14:paraId="746EB505">
      <w:pPr>
        <w:adjustRightInd w:val="0"/>
        <w:snapToGrid w:val="0"/>
        <w:spacing w:line="360" w:lineRule="auto"/>
        <w:ind w:firstLine="560" w:firstLineChars="200"/>
        <w:rPr>
          <w:rFonts w:hint="eastAsia"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eastAsia="宋体" w:cs="Times New Roman"/>
          <w:color w:val="000000" w:themeColor="text1"/>
          <w:sz w:val="28"/>
          <w:szCs w:val="28"/>
          <w:lang w:val="en-GB"/>
          <w14:textFill>
            <w14:solidFill>
              <w14:schemeClr w14:val="tx1"/>
            </w14:solidFill>
          </w14:textFill>
        </w:rPr>
        <w:t>为保证人员、公路运输和建筑物安全，采取如下安全措施：</w:t>
      </w:r>
    </w:p>
    <w:p w14:paraId="239539E5">
      <w:pPr>
        <w:adjustRightInd w:val="0"/>
        <w:snapToGrid w:val="0"/>
        <w:spacing w:line="360" w:lineRule="auto"/>
        <w:ind w:firstLine="560" w:firstLineChars="200"/>
        <w:rPr>
          <w:rFonts w:hint="eastAsia"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eastAsia="宋体" w:cs="Times New Roman"/>
          <w:color w:val="000000" w:themeColor="text1"/>
          <w:sz w:val="28"/>
          <w:szCs w:val="28"/>
          <w:lang w:val="en-GB" w:eastAsia="zh-CN"/>
          <w14:textFill>
            <w14:solidFill>
              <w14:schemeClr w14:val="tx1"/>
            </w14:solidFill>
          </w14:textFill>
        </w:rPr>
        <w:t>（</w:t>
      </w:r>
      <w:r>
        <w:rPr>
          <w:rFonts w:hint="eastAsia" w:ascii="Times New Roman" w:hAnsi="Times New Roman" w:eastAsia="宋体" w:cs="Times New Roman"/>
          <w:color w:val="000000" w:themeColor="text1"/>
          <w:sz w:val="28"/>
          <w:szCs w:val="28"/>
          <w:lang w:val="en-GB"/>
          <w14:textFill>
            <w14:solidFill>
              <w14:schemeClr w14:val="tx1"/>
            </w14:solidFill>
          </w14:textFill>
        </w:rPr>
        <w:t>1</w:t>
      </w:r>
      <w:r>
        <w:rPr>
          <w:rFonts w:hint="eastAsia" w:ascii="Times New Roman" w:hAnsi="Times New Roman" w:eastAsia="宋体" w:cs="Times New Roman"/>
          <w:color w:val="000000" w:themeColor="text1"/>
          <w:sz w:val="28"/>
          <w:szCs w:val="28"/>
          <w:lang w:val="en-GB" w:eastAsia="zh-CN"/>
          <w14:textFill>
            <w14:solidFill>
              <w14:schemeClr w14:val="tx1"/>
            </w14:solidFill>
          </w14:textFill>
        </w:rPr>
        <w:t>）</w:t>
      </w:r>
      <w:r>
        <w:rPr>
          <w:rFonts w:hint="eastAsia" w:ascii="Times New Roman" w:hAnsi="Times New Roman" w:eastAsia="宋体" w:cs="Times New Roman"/>
          <w:color w:val="000000" w:themeColor="text1"/>
          <w:sz w:val="28"/>
          <w:szCs w:val="28"/>
          <w:lang w:val="en-GB"/>
          <w14:textFill>
            <w14:solidFill>
              <w14:schemeClr w14:val="tx1"/>
            </w14:solidFill>
          </w14:textFill>
        </w:rPr>
        <w:t>矿区周边有乡村公路通过，爆破前必须在有车辆及人员通过的主要地段布设岗哨，岗哨间应处于相邻岗哨视线范围内，并确保对整个爆破警戒范围控制，并发出明显的音响和视觉信号，进行交通管制，以禁止人员、车辆和牲畜进入警戒范围。</w:t>
      </w:r>
    </w:p>
    <w:p w14:paraId="0DE65D02">
      <w:pPr>
        <w:adjustRightInd w:val="0"/>
        <w:snapToGrid w:val="0"/>
        <w:spacing w:line="360" w:lineRule="auto"/>
        <w:ind w:firstLine="560" w:firstLineChars="200"/>
        <w:rPr>
          <w:rFonts w:hint="eastAsia"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eastAsia="宋体" w:cs="Times New Roman"/>
          <w:color w:val="000000" w:themeColor="text1"/>
          <w:sz w:val="28"/>
          <w:szCs w:val="28"/>
          <w:lang w:val="en-GB" w:eastAsia="zh-CN"/>
          <w14:textFill>
            <w14:solidFill>
              <w14:schemeClr w14:val="tx1"/>
            </w14:solidFill>
          </w14:textFill>
        </w:rPr>
        <w:t>（</w:t>
      </w:r>
      <w:r>
        <w:rPr>
          <w:rFonts w:hint="eastAsia" w:ascii="Times New Roman" w:hAnsi="Times New Roman" w:eastAsia="宋体" w:cs="Times New Roman"/>
          <w:color w:val="000000" w:themeColor="text1"/>
          <w:sz w:val="28"/>
          <w:szCs w:val="28"/>
          <w:lang w:val="en-GB"/>
          <w14:textFill>
            <w14:solidFill>
              <w14:schemeClr w14:val="tx1"/>
            </w14:solidFill>
          </w14:textFill>
        </w:rPr>
        <w:t>2</w:t>
      </w:r>
      <w:r>
        <w:rPr>
          <w:rFonts w:hint="eastAsia" w:ascii="Times New Roman" w:hAnsi="Times New Roman" w:eastAsia="宋体" w:cs="Times New Roman"/>
          <w:color w:val="000000" w:themeColor="text1"/>
          <w:sz w:val="28"/>
          <w:szCs w:val="28"/>
          <w:lang w:val="en-GB" w:eastAsia="zh-CN"/>
          <w14:textFill>
            <w14:solidFill>
              <w14:schemeClr w14:val="tx1"/>
            </w14:solidFill>
          </w14:textFill>
        </w:rPr>
        <w:t>）</w:t>
      </w:r>
      <w:r>
        <w:rPr>
          <w:rFonts w:hint="eastAsia" w:ascii="Times New Roman" w:hAnsi="Times New Roman" w:eastAsia="宋体" w:cs="Times New Roman"/>
          <w:color w:val="000000" w:themeColor="text1"/>
          <w:sz w:val="28"/>
          <w:szCs w:val="28"/>
          <w:lang w:val="en-GB"/>
          <w14:textFill>
            <w14:solidFill>
              <w14:schemeClr w14:val="tx1"/>
            </w14:solidFill>
          </w14:textFill>
        </w:rPr>
        <w:t>爆破采用定时爆破，让职工及过往车辆有规律地避炮，加强职工、附近村民、过往车辆驾驶员安全教育，让职工、村民，过往车辆驾驶员事先知道警戒范围、警戒标志、声响信号的意义。加强爆破作业的管理，按《爆破安全规程》规定，圈定300m的爆破警戒范围，设置醒目警示标志。</w:t>
      </w:r>
    </w:p>
    <w:p w14:paraId="2F76A7FA">
      <w:pPr>
        <w:adjustRightInd w:val="0"/>
        <w:snapToGrid w:val="0"/>
        <w:spacing w:line="360" w:lineRule="auto"/>
        <w:ind w:firstLine="560" w:firstLineChars="200"/>
        <w:rPr>
          <w:rFonts w:hint="eastAsia"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eastAsia="宋体" w:cs="Times New Roman"/>
          <w:color w:val="000000" w:themeColor="text1"/>
          <w:sz w:val="28"/>
          <w:szCs w:val="28"/>
          <w:lang w:val="en-GB" w:eastAsia="zh-CN"/>
          <w14:textFill>
            <w14:solidFill>
              <w14:schemeClr w14:val="tx1"/>
            </w14:solidFill>
          </w14:textFill>
        </w:rPr>
        <w:t>（</w:t>
      </w:r>
      <w:r>
        <w:rPr>
          <w:rFonts w:hint="eastAsia" w:ascii="Times New Roman" w:hAnsi="Times New Roman" w:eastAsia="宋体" w:cs="Times New Roman"/>
          <w:color w:val="000000" w:themeColor="text1"/>
          <w:sz w:val="28"/>
          <w:szCs w:val="28"/>
          <w:lang w:val="en-GB"/>
          <w14:textFill>
            <w14:solidFill>
              <w14:schemeClr w14:val="tx1"/>
            </w14:solidFill>
          </w14:textFill>
        </w:rPr>
        <w:t>3</w:t>
      </w:r>
      <w:r>
        <w:rPr>
          <w:rFonts w:hint="eastAsia" w:ascii="Times New Roman" w:hAnsi="Times New Roman" w:eastAsia="宋体" w:cs="Times New Roman"/>
          <w:color w:val="000000" w:themeColor="text1"/>
          <w:sz w:val="28"/>
          <w:szCs w:val="28"/>
          <w:lang w:val="en-GB" w:eastAsia="zh-CN"/>
          <w14:textFill>
            <w14:solidFill>
              <w14:schemeClr w14:val="tx1"/>
            </w14:solidFill>
          </w14:textFill>
        </w:rPr>
        <w:t>）</w:t>
      </w:r>
      <w:r>
        <w:rPr>
          <w:rFonts w:hint="eastAsia" w:ascii="Times New Roman" w:hAnsi="Times New Roman" w:eastAsia="宋体" w:cs="Times New Roman"/>
          <w:color w:val="000000" w:themeColor="text1"/>
          <w:sz w:val="28"/>
          <w:szCs w:val="28"/>
          <w:lang w:val="en-GB"/>
          <w14:textFill>
            <w14:solidFill>
              <w14:schemeClr w14:val="tx1"/>
            </w14:solidFill>
          </w14:textFill>
        </w:rPr>
        <w:t>开采顺序应根据要保护的边坡及建筑灵活调整；合理选择爆破参数（控制爆破指向，微差雷管小药量进行爆破），爆破前撤出300m警戒范围内的所有人员到安全地带。</w:t>
      </w:r>
    </w:p>
    <w:p w14:paraId="1406E5B7">
      <w:pPr>
        <w:adjustRightInd w:val="0"/>
        <w:snapToGrid w:val="0"/>
        <w:spacing w:line="360" w:lineRule="auto"/>
        <w:ind w:firstLine="560" w:firstLineChars="200"/>
        <w:rPr>
          <w:rFonts w:hint="eastAsia"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eastAsia="宋体" w:cs="Times New Roman"/>
          <w:color w:val="000000" w:themeColor="text1"/>
          <w:sz w:val="28"/>
          <w:szCs w:val="28"/>
          <w:lang w:val="en-GB" w:eastAsia="zh-CN"/>
          <w14:textFill>
            <w14:solidFill>
              <w14:schemeClr w14:val="tx1"/>
            </w14:solidFill>
          </w14:textFill>
        </w:rPr>
        <w:t>（</w:t>
      </w:r>
      <w:r>
        <w:rPr>
          <w:rFonts w:hint="eastAsia" w:ascii="Times New Roman" w:hAnsi="Times New Roman" w:eastAsia="宋体" w:cs="Times New Roman"/>
          <w:color w:val="000000" w:themeColor="text1"/>
          <w:sz w:val="28"/>
          <w:szCs w:val="28"/>
          <w:lang w:val="en-GB"/>
          <w14:textFill>
            <w14:solidFill>
              <w14:schemeClr w14:val="tx1"/>
            </w14:solidFill>
          </w14:textFill>
        </w:rPr>
        <w:t>4</w:t>
      </w:r>
      <w:r>
        <w:rPr>
          <w:rFonts w:hint="eastAsia" w:ascii="Times New Roman" w:hAnsi="Times New Roman" w:eastAsia="宋体" w:cs="Times New Roman"/>
          <w:color w:val="000000" w:themeColor="text1"/>
          <w:sz w:val="28"/>
          <w:szCs w:val="28"/>
          <w:lang w:val="en-GB" w:eastAsia="zh-CN"/>
          <w14:textFill>
            <w14:solidFill>
              <w14:schemeClr w14:val="tx1"/>
            </w14:solidFill>
          </w14:textFill>
        </w:rPr>
        <w:t>）</w:t>
      </w:r>
      <w:r>
        <w:rPr>
          <w:rFonts w:hint="eastAsia" w:ascii="Times New Roman" w:hAnsi="Times New Roman" w:eastAsia="宋体" w:cs="Times New Roman"/>
          <w:color w:val="000000" w:themeColor="text1"/>
          <w:sz w:val="28"/>
          <w:szCs w:val="28"/>
          <w:lang w:val="en-GB"/>
          <w14:textFill>
            <w14:solidFill>
              <w14:schemeClr w14:val="tx1"/>
            </w14:solidFill>
          </w14:textFill>
        </w:rPr>
        <w:t>采场主爆破方向为北方向，禁止指向西方向（内六铁路隧道方向）；爆破时应合理选择爆破参数（控制爆破指向，逐孔、小药量进行爆破），爆破前撤出300m警戒范围内的所有人员到安全地带。</w:t>
      </w:r>
    </w:p>
    <w:p w14:paraId="05B8400E">
      <w:pPr>
        <w:adjustRightInd w:val="0"/>
        <w:snapToGrid w:val="0"/>
        <w:spacing w:line="360" w:lineRule="auto"/>
        <w:ind w:firstLine="560" w:firstLineChars="200"/>
        <w:rPr>
          <w:rFonts w:hint="eastAsia"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eastAsia="宋体" w:cs="Times New Roman"/>
          <w:color w:val="000000" w:themeColor="text1"/>
          <w:sz w:val="28"/>
          <w:szCs w:val="28"/>
          <w:lang w:val="en-GB" w:eastAsia="zh-CN"/>
          <w14:textFill>
            <w14:solidFill>
              <w14:schemeClr w14:val="tx1"/>
            </w14:solidFill>
          </w14:textFill>
        </w:rPr>
        <w:t>（</w:t>
      </w:r>
      <w:r>
        <w:rPr>
          <w:rFonts w:hint="eastAsia" w:ascii="Times New Roman" w:hAnsi="Times New Roman" w:eastAsia="宋体" w:cs="Times New Roman"/>
          <w:color w:val="000000" w:themeColor="text1"/>
          <w:sz w:val="28"/>
          <w:szCs w:val="28"/>
          <w:lang w:val="en-GB"/>
          <w14:textFill>
            <w14:solidFill>
              <w14:schemeClr w14:val="tx1"/>
            </w14:solidFill>
          </w14:textFill>
        </w:rPr>
        <w:t>5</w:t>
      </w:r>
      <w:r>
        <w:rPr>
          <w:rFonts w:hint="eastAsia" w:ascii="Times New Roman" w:hAnsi="Times New Roman" w:eastAsia="宋体" w:cs="Times New Roman"/>
          <w:color w:val="000000" w:themeColor="text1"/>
          <w:sz w:val="28"/>
          <w:szCs w:val="28"/>
          <w:lang w:val="en-GB" w:eastAsia="zh-CN"/>
          <w14:textFill>
            <w14:solidFill>
              <w14:schemeClr w14:val="tx1"/>
            </w14:solidFill>
          </w14:textFill>
        </w:rPr>
        <w:t>）</w:t>
      </w:r>
      <w:r>
        <w:rPr>
          <w:rFonts w:hint="eastAsia" w:ascii="Times New Roman" w:hAnsi="Times New Roman" w:eastAsia="宋体" w:cs="Times New Roman"/>
          <w:color w:val="000000" w:themeColor="text1"/>
          <w:sz w:val="28"/>
          <w:szCs w:val="28"/>
          <w:lang w:val="en-GB"/>
          <w14:textFill>
            <w14:solidFill>
              <w14:schemeClr w14:val="tx1"/>
            </w14:solidFill>
          </w14:textFill>
        </w:rPr>
        <w:t>距离铁路隧道斜距500m范围内不得进行爆破作业，斜距500m外采用爆破开采，爆破指向（爆破的临空面）不得指向铁路隧道方向，爆破实施过程中需对铁路设备进行爆破震动监测。爆破作业应进行试爆，对铁路隧道进行震速测试，确保铁路安全的爆破参数。</w:t>
      </w:r>
    </w:p>
    <w:p w14:paraId="6D2B4F9F">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eastAsia="宋体" w:cs="Times New Roman"/>
          <w:color w:val="000000" w:themeColor="text1"/>
          <w:sz w:val="28"/>
          <w:szCs w:val="28"/>
          <w:lang w:val="en-GB"/>
          <w14:textFill>
            <w14:solidFill>
              <w14:schemeClr w14:val="tx1"/>
            </w14:solidFill>
          </w14:textFill>
        </w:rPr>
        <w:t>总之，严格按照《爆破安全规程》规定及以上措施实施爆破作业，可以保证该露天矿爆破安全</w:t>
      </w:r>
      <w:r>
        <w:rPr>
          <w:rFonts w:ascii="Times New Roman" w:hAnsi="Times New Roman" w:eastAsia="宋体" w:cs="Times New Roman"/>
          <w:color w:val="000000" w:themeColor="text1"/>
          <w:sz w:val="28"/>
          <w:szCs w:val="28"/>
          <w:lang w:val="en-GB"/>
          <w14:textFill>
            <w14:solidFill>
              <w14:schemeClr w14:val="tx1"/>
            </w14:solidFill>
          </w14:textFill>
        </w:rPr>
        <w:t>。</w:t>
      </w:r>
    </w:p>
    <w:p w14:paraId="7A5CD8A5">
      <w:pPr>
        <w:pStyle w:val="5"/>
        <w:adjustRightInd w:val="0"/>
        <w:snapToGrid w:val="0"/>
        <w:spacing w:line="360" w:lineRule="auto"/>
        <w:ind w:firstLine="560"/>
        <w:rPr>
          <w:rFonts w:ascii="Times New Roman" w:hAnsi="Times New Roman" w:cs="Times New Roman"/>
        </w:rPr>
      </w:pPr>
      <w:r>
        <w:rPr>
          <w:rFonts w:ascii="Times New Roman" w:hAnsi="Times New Roman" w:cs="Times New Roman"/>
        </w:rPr>
        <w:t>2.4.6.9 装载运输作业</w:t>
      </w:r>
    </w:p>
    <w:p w14:paraId="34BDE098">
      <w:pPr>
        <w:adjustRightInd w:val="0"/>
        <w:snapToGrid w:val="0"/>
        <w:spacing w:line="360" w:lineRule="auto"/>
        <w:ind w:firstLine="562" w:firstLineChars="200"/>
        <w:rPr>
          <w:rFonts w:ascii="Times New Roman" w:hAnsi="Times New Roman" w:eastAsia="宋体" w:cs="Times New Roman"/>
          <w:b/>
          <w:bCs/>
          <w:color w:val="000000" w:themeColor="text1"/>
          <w:sz w:val="28"/>
          <w:szCs w:val="28"/>
          <w:lang w:val="en-GB"/>
          <w14:textFill>
            <w14:solidFill>
              <w14:schemeClr w14:val="tx1"/>
            </w14:solidFill>
          </w14:textFill>
        </w:rPr>
      </w:pPr>
      <w:r>
        <w:rPr>
          <w:rFonts w:ascii="Times New Roman" w:hAnsi="Times New Roman" w:eastAsia="宋体" w:cs="Times New Roman"/>
          <w:b/>
          <w:bCs/>
          <w:color w:val="000000" w:themeColor="text1"/>
          <w:sz w:val="28"/>
          <w:szCs w:val="28"/>
          <w14:textFill>
            <w14:solidFill>
              <w14:schemeClr w14:val="tx1"/>
            </w14:solidFill>
          </w14:textFill>
        </w:rPr>
        <w:t>一、</w:t>
      </w:r>
      <w:r>
        <w:rPr>
          <w:rFonts w:ascii="Times New Roman" w:hAnsi="Times New Roman" w:eastAsia="宋体" w:cs="Times New Roman"/>
          <w:b/>
          <w:bCs/>
          <w:color w:val="000000" w:themeColor="text1"/>
          <w:sz w:val="28"/>
          <w:szCs w:val="28"/>
          <w:lang w:val="en-GB"/>
          <w14:textFill>
            <w14:solidFill>
              <w14:schemeClr w14:val="tx1"/>
            </w14:solidFill>
          </w14:textFill>
        </w:rPr>
        <w:t>装载运输方式</w:t>
      </w:r>
    </w:p>
    <w:p w14:paraId="256C197B">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矿岩采用挖掘机铲挖、集堆及装车，30t矿用自卸式矿车运输，矿石运至破碎站，装载机配合清理开采现场以及将矿石运至破碎站进料口。</w:t>
      </w:r>
    </w:p>
    <w:p w14:paraId="788038A1">
      <w:pPr>
        <w:adjustRightInd w:val="0"/>
        <w:snapToGrid w:val="0"/>
        <w:spacing w:line="360" w:lineRule="auto"/>
        <w:ind w:firstLine="562" w:firstLineChars="200"/>
        <w:rPr>
          <w:rFonts w:ascii="Times New Roman" w:hAnsi="Times New Roman" w:eastAsia="宋体" w:cs="Times New Roman"/>
          <w:b/>
          <w:bCs/>
          <w:color w:val="000000" w:themeColor="text1"/>
          <w:sz w:val="28"/>
          <w:szCs w:val="28"/>
          <w:lang w:val="en-GB"/>
          <w14:textFill>
            <w14:solidFill>
              <w14:schemeClr w14:val="tx1"/>
            </w14:solidFill>
          </w14:textFill>
        </w:rPr>
      </w:pPr>
      <w:r>
        <w:rPr>
          <w:rFonts w:ascii="Times New Roman" w:hAnsi="Times New Roman" w:eastAsia="宋体" w:cs="Times New Roman"/>
          <w:b/>
          <w:bCs/>
          <w:color w:val="000000" w:themeColor="text1"/>
          <w:sz w:val="28"/>
          <w:szCs w:val="28"/>
          <w14:textFill>
            <w14:solidFill>
              <w14:schemeClr w14:val="tx1"/>
            </w14:solidFill>
          </w14:textFill>
        </w:rPr>
        <w:t>二、</w:t>
      </w:r>
      <w:r>
        <w:rPr>
          <w:rFonts w:ascii="Times New Roman" w:hAnsi="Times New Roman" w:eastAsia="宋体" w:cs="Times New Roman"/>
          <w:b/>
          <w:bCs/>
          <w:color w:val="000000" w:themeColor="text1"/>
          <w:sz w:val="28"/>
          <w:szCs w:val="28"/>
          <w:lang w:val="en-GB"/>
          <w14:textFill>
            <w14:solidFill>
              <w14:schemeClr w14:val="tx1"/>
            </w14:solidFill>
          </w14:textFill>
        </w:rPr>
        <w:t>装载运输设备选型</w:t>
      </w:r>
    </w:p>
    <w:p w14:paraId="7B97D602">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1、</w:t>
      </w:r>
      <w:r>
        <w:rPr>
          <w:rFonts w:ascii="Times New Roman" w:hAnsi="Times New Roman" w:eastAsia="宋体" w:cs="Times New Roman"/>
          <w:color w:val="000000" w:themeColor="text1"/>
          <w:sz w:val="28"/>
          <w:szCs w:val="28"/>
          <w:lang w:val="en-GB"/>
          <w14:textFill>
            <w14:solidFill>
              <w14:schemeClr w14:val="tx1"/>
            </w14:solidFill>
          </w14:textFill>
        </w:rPr>
        <w:t>挖掘机</w:t>
      </w:r>
    </w:p>
    <w:p w14:paraId="2921D350">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设计选用2台小松PC500LC型挖掘机进行铲装作业，年生产能力可达37.44万m</w:t>
      </w:r>
      <w:r>
        <w:rPr>
          <w:rFonts w:ascii="Times New Roman" w:hAnsi="Times New Roman" w:eastAsia="宋体" w:cs="Times New Roman"/>
          <w:color w:val="000000" w:themeColor="text1"/>
          <w:sz w:val="28"/>
          <w:szCs w:val="28"/>
          <w:vertAlign w:val="superscript"/>
          <w:lang w:val="en-GB"/>
          <w14:textFill>
            <w14:solidFill>
              <w14:schemeClr w14:val="tx1"/>
            </w14:solidFill>
          </w14:textFill>
        </w:rPr>
        <w:t>3</w:t>
      </w:r>
      <w:r>
        <w:rPr>
          <w:rFonts w:ascii="Times New Roman" w:hAnsi="Times New Roman" w:eastAsia="宋体" w:cs="Times New Roman"/>
          <w:color w:val="000000" w:themeColor="text1"/>
          <w:sz w:val="28"/>
          <w:szCs w:val="28"/>
          <w:lang w:val="en-GB"/>
          <w14:textFill>
            <w14:solidFill>
              <w14:schemeClr w14:val="tx1"/>
            </w14:solidFill>
          </w14:textFill>
        </w:rPr>
        <w:t>/a（99.96万t/a），可以满足90.0万t/a的生产能力要求。</w:t>
      </w:r>
    </w:p>
    <w:p w14:paraId="3B4DE852">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2、</w:t>
      </w:r>
      <w:r>
        <w:rPr>
          <w:rFonts w:ascii="Times New Roman" w:hAnsi="Times New Roman" w:eastAsia="宋体" w:cs="Times New Roman"/>
          <w:color w:val="000000" w:themeColor="text1"/>
          <w:sz w:val="28"/>
          <w:szCs w:val="28"/>
          <w:lang w:val="en-GB"/>
          <w14:textFill>
            <w14:solidFill>
              <w14:schemeClr w14:val="tx1"/>
            </w14:solidFill>
          </w14:textFill>
        </w:rPr>
        <w:t>汽车</w:t>
      </w:r>
    </w:p>
    <w:p w14:paraId="78200997">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eastAsia="宋体" w:cs="Times New Roman"/>
          <w:color w:val="000000" w:themeColor="text1"/>
          <w:sz w:val="28"/>
          <w:szCs w:val="28"/>
          <w:lang w:val="en-GB"/>
          <w14:textFill>
            <w14:solidFill>
              <w14:schemeClr w14:val="tx1"/>
            </w14:solidFill>
          </w14:textFill>
        </w:rPr>
        <w:t>设计</w:t>
      </w:r>
      <w:r>
        <w:rPr>
          <w:rFonts w:ascii="Times New Roman" w:hAnsi="Times New Roman" w:eastAsia="宋体" w:cs="Times New Roman"/>
          <w:color w:val="000000" w:themeColor="text1"/>
          <w:sz w:val="28"/>
          <w:szCs w:val="28"/>
          <w:lang w:val="en-GB"/>
          <w14:textFill>
            <w14:solidFill>
              <w14:schemeClr w14:val="tx1"/>
            </w14:solidFill>
          </w14:textFill>
        </w:rPr>
        <w:t>矿山最大年运输量约93.90万t，矿岩由采场直接运输至破碎站及排土场平均运距约为0.5km，铲装主要采用小松PC500LC型挖掘机（3m³）。考虑运距及合理的车铲比，运输设备采用</w:t>
      </w:r>
      <w:r>
        <w:rPr>
          <w:rFonts w:ascii="Times New Roman" w:hAnsi="Times New Roman" w:eastAsia="宋体" w:cs="Times New Roman"/>
          <w:color w:val="000000" w:themeColor="text1"/>
          <w:sz w:val="28"/>
          <w:szCs w:val="28"/>
          <w14:textFill>
            <w14:solidFill>
              <w14:schemeClr w14:val="tx1"/>
            </w14:solidFill>
          </w14:textFill>
        </w:rPr>
        <w:t>6辆</w:t>
      </w:r>
      <w:r>
        <w:rPr>
          <w:rFonts w:ascii="Times New Roman" w:hAnsi="Times New Roman" w:eastAsia="宋体" w:cs="Times New Roman"/>
          <w:color w:val="000000" w:themeColor="text1"/>
          <w:sz w:val="28"/>
          <w:szCs w:val="28"/>
          <w:lang w:val="en-GB"/>
          <w14:textFill>
            <w14:solidFill>
              <w14:schemeClr w14:val="tx1"/>
            </w14:solidFill>
          </w14:textFill>
        </w:rPr>
        <w:t>红岩金刚（30t）型自卸式汽车运输。</w:t>
      </w:r>
    </w:p>
    <w:p w14:paraId="16DADDC3">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3、装载机</w:t>
      </w:r>
    </w:p>
    <w:p w14:paraId="45A99A6B">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设计采用2台柳工CLG886H轮式装载机进行铲装等辅助作业，可以满足90.0万t/a的生产能力要求。</w:t>
      </w:r>
    </w:p>
    <w:p w14:paraId="72742D8F">
      <w:pPr>
        <w:pStyle w:val="5"/>
        <w:adjustRightInd w:val="0"/>
        <w:snapToGrid w:val="0"/>
        <w:spacing w:line="360" w:lineRule="auto"/>
        <w:ind w:firstLine="560"/>
        <w:rPr>
          <w:rFonts w:ascii="Times New Roman" w:hAnsi="Times New Roman" w:cs="Times New Roman"/>
        </w:rPr>
      </w:pPr>
      <w:r>
        <w:rPr>
          <w:rFonts w:ascii="Times New Roman" w:hAnsi="Times New Roman" w:cs="Times New Roman"/>
        </w:rPr>
        <w:t>2.4.6.10 矿山主要生产设备</w:t>
      </w:r>
    </w:p>
    <w:p w14:paraId="50761AAB">
      <w:pPr>
        <w:adjustRightInd w:val="0"/>
        <w:snapToGrid w:val="0"/>
        <w:ind w:firstLine="482" w:firstLineChars="200"/>
        <w:jc w:val="center"/>
        <w:rPr>
          <w:rFonts w:ascii="Times New Roman" w:hAnsi="Times New Roman" w:eastAsia="宋体" w:cs="Times New Roman"/>
          <w:b/>
          <w:bCs/>
          <w:color w:val="000000" w:themeColor="text1"/>
          <w:sz w:val="24"/>
          <w:szCs w:val="24"/>
          <w:lang w:val="en-GB"/>
          <w14:textFill>
            <w14:solidFill>
              <w14:schemeClr w14:val="tx1"/>
            </w14:solidFill>
          </w14:textFill>
        </w:rPr>
      </w:pPr>
      <w:r>
        <w:rPr>
          <w:rFonts w:ascii="Times New Roman" w:hAnsi="Times New Roman" w:eastAsia="宋体" w:cs="Times New Roman"/>
          <w:b/>
          <w:bCs/>
          <w:color w:val="000000" w:themeColor="text1"/>
          <w:sz w:val="24"/>
          <w:szCs w:val="24"/>
          <w:lang w:val="en-GB"/>
          <w14:textFill>
            <w14:solidFill>
              <w14:schemeClr w14:val="tx1"/>
            </w14:solidFill>
          </w14:textFill>
        </w:rPr>
        <w:t>表</w:t>
      </w:r>
      <w:r>
        <w:rPr>
          <w:rFonts w:ascii="Times New Roman" w:hAnsi="Times New Roman" w:eastAsia="宋体" w:cs="Times New Roman"/>
          <w:b/>
          <w:bCs/>
          <w:color w:val="000000" w:themeColor="text1"/>
          <w:sz w:val="24"/>
          <w:szCs w:val="24"/>
          <w14:textFill>
            <w14:solidFill>
              <w14:schemeClr w14:val="tx1"/>
            </w14:solidFill>
          </w14:textFill>
        </w:rPr>
        <w:t>2</w:t>
      </w:r>
      <w:r>
        <w:rPr>
          <w:rFonts w:ascii="Times New Roman" w:hAnsi="Times New Roman" w:eastAsia="宋体" w:cs="Times New Roman"/>
          <w:b/>
          <w:bCs/>
          <w:color w:val="000000" w:themeColor="text1"/>
          <w:sz w:val="24"/>
          <w:szCs w:val="24"/>
          <w:lang w:val="en-GB"/>
          <w14:textFill>
            <w14:solidFill>
              <w14:schemeClr w14:val="tx1"/>
            </w14:solidFill>
          </w14:textFill>
        </w:rPr>
        <w:t>.</w:t>
      </w:r>
      <w:r>
        <w:rPr>
          <w:rFonts w:ascii="Times New Roman" w:hAnsi="Times New Roman" w:eastAsia="宋体" w:cs="Times New Roman"/>
          <w:b/>
          <w:bCs/>
          <w:color w:val="000000" w:themeColor="text1"/>
          <w:sz w:val="24"/>
          <w:szCs w:val="24"/>
          <w14:textFill>
            <w14:solidFill>
              <w14:schemeClr w14:val="tx1"/>
            </w14:solidFill>
          </w14:textFill>
        </w:rPr>
        <w:t>4-</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4</w:t>
      </w:r>
      <w:r>
        <w:rPr>
          <w:rFonts w:ascii="Times New Roman" w:hAnsi="Times New Roman" w:eastAsia="宋体" w:cs="Times New Roman"/>
          <w:b/>
          <w:bCs/>
          <w:color w:val="000000" w:themeColor="text1"/>
          <w:sz w:val="24"/>
          <w:szCs w:val="24"/>
          <w:lang w:val="en-GB"/>
          <w14:textFill>
            <w14:solidFill>
              <w14:schemeClr w14:val="tx1"/>
            </w14:solidFill>
          </w14:textFill>
        </w:rPr>
        <w:t xml:space="preserve">  露天开采主要设备表</w:t>
      </w:r>
    </w:p>
    <w:tbl>
      <w:tblPr>
        <w:tblStyle w:val="31"/>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4189"/>
        <w:gridCol w:w="966"/>
        <w:gridCol w:w="755"/>
        <w:gridCol w:w="908"/>
        <w:gridCol w:w="908"/>
        <w:gridCol w:w="981"/>
      </w:tblGrid>
      <w:tr w14:paraId="7C65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5" w:type="pct"/>
            <w:shd w:val="clear" w:color="auto" w:fill="auto"/>
            <w:vAlign w:val="center"/>
          </w:tcPr>
          <w:p w14:paraId="22852E97">
            <w:pPr>
              <w:adjustRightInd w:val="0"/>
              <w:snapToGrid w:val="0"/>
              <w:spacing w:line="360" w:lineRule="auto"/>
              <w:jc w:val="center"/>
              <w:rPr>
                <w:rFonts w:ascii="Times New Roman" w:hAnsi="Times New Roman" w:eastAsia="宋体" w:cs="Times New Roman"/>
                <w:b/>
                <w:bCs/>
                <w:color w:val="000000" w:themeColor="text1"/>
                <w:szCs w:val="21"/>
                <w:lang w:val="en-GB"/>
                <w14:textFill>
                  <w14:solidFill>
                    <w14:schemeClr w14:val="tx1"/>
                  </w14:solidFill>
                </w14:textFill>
              </w:rPr>
            </w:pPr>
            <w:r>
              <w:rPr>
                <w:rFonts w:ascii="Times New Roman" w:hAnsi="Times New Roman" w:eastAsia="宋体" w:cs="Times New Roman"/>
                <w:b/>
                <w:bCs/>
                <w:color w:val="000000" w:themeColor="text1"/>
                <w:szCs w:val="21"/>
                <w:lang w:val="en-GB"/>
                <w14:textFill>
                  <w14:solidFill>
                    <w14:schemeClr w14:val="tx1"/>
                  </w14:solidFill>
                </w14:textFill>
              </w:rPr>
              <w:t>序号</w:t>
            </w:r>
          </w:p>
        </w:tc>
        <w:tc>
          <w:tcPr>
            <w:tcW w:w="2229" w:type="pct"/>
            <w:shd w:val="clear" w:color="auto" w:fill="auto"/>
            <w:vAlign w:val="center"/>
          </w:tcPr>
          <w:p w14:paraId="2ECA6329">
            <w:pPr>
              <w:adjustRightInd w:val="0"/>
              <w:snapToGrid w:val="0"/>
              <w:spacing w:line="360" w:lineRule="auto"/>
              <w:jc w:val="center"/>
              <w:rPr>
                <w:rFonts w:ascii="Times New Roman" w:hAnsi="Times New Roman" w:eastAsia="宋体" w:cs="Times New Roman"/>
                <w:b/>
                <w:bCs/>
                <w:color w:val="000000" w:themeColor="text1"/>
                <w:szCs w:val="21"/>
                <w:lang w:val="en-GB"/>
                <w14:textFill>
                  <w14:solidFill>
                    <w14:schemeClr w14:val="tx1"/>
                  </w14:solidFill>
                </w14:textFill>
              </w:rPr>
            </w:pPr>
            <w:r>
              <w:rPr>
                <w:rFonts w:ascii="Times New Roman" w:hAnsi="Times New Roman" w:eastAsia="宋体" w:cs="Times New Roman"/>
                <w:b/>
                <w:bCs/>
                <w:color w:val="000000" w:themeColor="text1"/>
                <w:szCs w:val="21"/>
                <w:lang w:val="en-GB"/>
                <w14:textFill>
                  <w14:solidFill>
                    <w14:schemeClr w14:val="tx1"/>
                  </w14:solidFill>
                </w14:textFill>
              </w:rPr>
              <w:t>设 备 名 称</w:t>
            </w:r>
          </w:p>
        </w:tc>
        <w:tc>
          <w:tcPr>
            <w:tcW w:w="514" w:type="pct"/>
            <w:shd w:val="clear" w:color="auto" w:fill="auto"/>
            <w:vAlign w:val="center"/>
          </w:tcPr>
          <w:p w14:paraId="7CBD041B">
            <w:pPr>
              <w:adjustRightInd w:val="0"/>
              <w:snapToGrid w:val="0"/>
              <w:spacing w:line="360" w:lineRule="auto"/>
              <w:jc w:val="center"/>
              <w:rPr>
                <w:rFonts w:ascii="Times New Roman" w:hAnsi="Times New Roman" w:eastAsia="宋体" w:cs="Times New Roman"/>
                <w:b/>
                <w:bCs/>
                <w:color w:val="000000" w:themeColor="text1"/>
                <w:szCs w:val="21"/>
                <w:lang w:val="en-GB"/>
                <w14:textFill>
                  <w14:solidFill>
                    <w14:schemeClr w14:val="tx1"/>
                  </w14:solidFill>
                </w14:textFill>
              </w:rPr>
            </w:pPr>
            <w:r>
              <w:rPr>
                <w:rFonts w:ascii="Times New Roman" w:hAnsi="Times New Roman" w:eastAsia="宋体" w:cs="Times New Roman"/>
                <w:b/>
                <w:bCs/>
                <w:color w:val="000000" w:themeColor="text1"/>
                <w:szCs w:val="21"/>
                <w:lang w:val="en-GB"/>
                <w14:textFill>
                  <w14:solidFill>
                    <w14:schemeClr w14:val="tx1"/>
                  </w14:solidFill>
                </w14:textFill>
              </w:rPr>
              <w:t>单位</w:t>
            </w:r>
          </w:p>
        </w:tc>
        <w:tc>
          <w:tcPr>
            <w:tcW w:w="402" w:type="pct"/>
            <w:shd w:val="clear" w:color="auto" w:fill="auto"/>
            <w:vAlign w:val="center"/>
          </w:tcPr>
          <w:p w14:paraId="361F39C4">
            <w:pPr>
              <w:adjustRightInd w:val="0"/>
              <w:snapToGrid w:val="0"/>
              <w:spacing w:line="360" w:lineRule="auto"/>
              <w:jc w:val="center"/>
              <w:rPr>
                <w:rFonts w:ascii="Times New Roman" w:hAnsi="Times New Roman" w:eastAsia="宋体" w:cs="Times New Roman"/>
                <w:b/>
                <w:bCs/>
                <w:color w:val="000000" w:themeColor="text1"/>
                <w:szCs w:val="21"/>
                <w:lang w:val="en-GB"/>
                <w14:textFill>
                  <w14:solidFill>
                    <w14:schemeClr w14:val="tx1"/>
                  </w14:solidFill>
                </w14:textFill>
              </w:rPr>
            </w:pPr>
            <w:r>
              <w:rPr>
                <w:rFonts w:ascii="Times New Roman" w:hAnsi="Times New Roman" w:eastAsia="宋体" w:cs="Times New Roman"/>
                <w:b/>
                <w:bCs/>
                <w:color w:val="000000" w:themeColor="text1"/>
                <w:szCs w:val="21"/>
                <w:lang w:val="en-GB"/>
                <w14:textFill>
                  <w14:solidFill>
                    <w14:schemeClr w14:val="tx1"/>
                  </w14:solidFill>
                </w14:textFill>
              </w:rPr>
              <w:t>生产</w:t>
            </w:r>
          </w:p>
        </w:tc>
        <w:tc>
          <w:tcPr>
            <w:tcW w:w="483" w:type="pct"/>
            <w:shd w:val="clear" w:color="auto" w:fill="auto"/>
            <w:vAlign w:val="center"/>
          </w:tcPr>
          <w:p w14:paraId="7AF60FE6">
            <w:pPr>
              <w:adjustRightInd w:val="0"/>
              <w:snapToGrid w:val="0"/>
              <w:spacing w:line="360" w:lineRule="auto"/>
              <w:jc w:val="center"/>
              <w:rPr>
                <w:rFonts w:ascii="Times New Roman" w:hAnsi="Times New Roman" w:eastAsia="宋体" w:cs="Times New Roman"/>
                <w:b/>
                <w:bCs/>
                <w:color w:val="000000" w:themeColor="text1"/>
                <w:szCs w:val="21"/>
                <w:lang w:val="en-GB"/>
                <w14:textFill>
                  <w14:solidFill>
                    <w14:schemeClr w14:val="tx1"/>
                  </w14:solidFill>
                </w14:textFill>
              </w:rPr>
            </w:pPr>
            <w:r>
              <w:rPr>
                <w:rFonts w:ascii="Times New Roman" w:hAnsi="Times New Roman" w:eastAsia="宋体" w:cs="Times New Roman"/>
                <w:b/>
                <w:bCs/>
                <w:color w:val="000000" w:themeColor="text1"/>
                <w:szCs w:val="21"/>
                <w:lang w:val="en-GB"/>
                <w14:textFill>
                  <w14:solidFill>
                    <w14:schemeClr w14:val="tx1"/>
                  </w14:solidFill>
                </w14:textFill>
              </w:rPr>
              <w:t>备用</w:t>
            </w:r>
          </w:p>
        </w:tc>
        <w:tc>
          <w:tcPr>
            <w:tcW w:w="483" w:type="pct"/>
            <w:shd w:val="clear" w:color="auto" w:fill="auto"/>
            <w:vAlign w:val="center"/>
          </w:tcPr>
          <w:p w14:paraId="3A167D2F">
            <w:pPr>
              <w:adjustRightInd w:val="0"/>
              <w:snapToGrid w:val="0"/>
              <w:spacing w:line="360" w:lineRule="auto"/>
              <w:jc w:val="center"/>
              <w:rPr>
                <w:rFonts w:ascii="Times New Roman" w:hAnsi="Times New Roman" w:eastAsia="宋体" w:cs="Times New Roman"/>
                <w:b/>
                <w:bCs/>
                <w:color w:val="000000" w:themeColor="text1"/>
                <w:szCs w:val="21"/>
                <w:lang w:val="en-GB"/>
                <w14:textFill>
                  <w14:solidFill>
                    <w14:schemeClr w14:val="tx1"/>
                  </w14:solidFill>
                </w14:textFill>
              </w:rPr>
            </w:pPr>
            <w:r>
              <w:rPr>
                <w:rFonts w:ascii="Times New Roman" w:hAnsi="Times New Roman" w:eastAsia="宋体" w:cs="Times New Roman"/>
                <w:b/>
                <w:bCs/>
                <w:color w:val="000000" w:themeColor="text1"/>
                <w:szCs w:val="21"/>
                <w:lang w:val="en-GB"/>
                <w14:textFill>
                  <w14:solidFill>
                    <w14:schemeClr w14:val="tx1"/>
                  </w14:solidFill>
                </w14:textFill>
              </w:rPr>
              <w:t>合计</w:t>
            </w:r>
          </w:p>
        </w:tc>
        <w:tc>
          <w:tcPr>
            <w:tcW w:w="522" w:type="pct"/>
            <w:shd w:val="clear" w:color="auto" w:fill="auto"/>
            <w:vAlign w:val="center"/>
          </w:tcPr>
          <w:p w14:paraId="55019D0E">
            <w:pPr>
              <w:adjustRightInd w:val="0"/>
              <w:snapToGrid w:val="0"/>
              <w:spacing w:line="360" w:lineRule="auto"/>
              <w:jc w:val="center"/>
              <w:rPr>
                <w:rFonts w:ascii="Times New Roman" w:hAnsi="Times New Roman" w:eastAsia="宋体" w:cs="Times New Roman"/>
                <w:b/>
                <w:bCs/>
                <w:color w:val="000000" w:themeColor="text1"/>
                <w:szCs w:val="21"/>
                <w:lang w:val="en-GB"/>
                <w14:textFill>
                  <w14:solidFill>
                    <w14:schemeClr w14:val="tx1"/>
                  </w14:solidFill>
                </w14:textFill>
              </w:rPr>
            </w:pPr>
            <w:r>
              <w:rPr>
                <w:rFonts w:ascii="Times New Roman" w:hAnsi="Times New Roman" w:eastAsia="宋体" w:cs="Times New Roman"/>
                <w:b/>
                <w:bCs/>
                <w:color w:val="000000" w:themeColor="text1"/>
                <w:szCs w:val="21"/>
                <w:lang w:val="en-GB"/>
                <w14:textFill>
                  <w14:solidFill>
                    <w14:schemeClr w14:val="tx1"/>
                  </w14:solidFill>
                </w14:textFill>
              </w:rPr>
              <w:t>备注</w:t>
            </w:r>
          </w:p>
        </w:tc>
      </w:tr>
      <w:tr w14:paraId="5C5A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5" w:type="dxa"/>
            <w:shd w:val="clear" w:color="auto" w:fill="auto"/>
            <w:vAlign w:val="center"/>
          </w:tcPr>
          <w:p w14:paraId="6CF85D26">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1</w:t>
            </w:r>
          </w:p>
        </w:tc>
        <w:tc>
          <w:tcPr>
            <w:tcW w:w="4189" w:type="dxa"/>
            <w:shd w:val="clear" w:color="auto" w:fill="auto"/>
            <w:vAlign w:val="center"/>
          </w:tcPr>
          <w:p w14:paraId="39F86825">
            <w:pPr>
              <w:jc w:val="left"/>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山推SE500LC-9W型挖掘机</w:t>
            </w:r>
          </w:p>
        </w:tc>
        <w:tc>
          <w:tcPr>
            <w:tcW w:w="966" w:type="dxa"/>
            <w:shd w:val="clear" w:color="auto" w:fill="auto"/>
            <w:vAlign w:val="center"/>
          </w:tcPr>
          <w:p w14:paraId="31F48FC0">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台</w:t>
            </w:r>
          </w:p>
        </w:tc>
        <w:tc>
          <w:tcPr>
            <w:tcW w:w="755" w:type="dxa"/>
            <w:shd w:val="clear" w:color="auto" w:fill="auto"/>
            <w:vAlign w:val="center"/>
          </w:tcPr>
          <w:p w14:paraId="5C89433C">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olor w:val="000000"/>
                <w:sz w:val="21"/>
                <w:szCs w:val="21"/>
              </w:rPr>
              <w:t>2</w:t>
            </w:r>
          </w:p>
        </w:tc>
        <w:tc>
          <w:tcPr>
            <w:tcW w:w="908" w:type="dxa"/>
            <w:shd w:val="clear" w:color="auto" w:fill="auto"/>
            <w:vAlign w:val="center"/>
          </w:tcPr>
          <w:p w14:paraId="163D44A9">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olor w:val="000000"/>
                <w:sz w:val="21"/>
                <w:szCs w:val="21"/>
              </w:rPr>
              <w:t>1</w:t>
            </w:r>
          </w:p>
        </w:tc>
        <w:tc>
          <w:tcPr>
            <w:tcW w:w="908" w:type="dxa"/>
            <w:shd w:val="clear" w:color="auto" w:fill="auto"/>
            <w:vAlign w:val="center"/>
          </w:tcPr>
          <w:p w14:paraId="223AC085">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olor w:val="000000"/>
                <w:sz w:val="21"/>
                <w:szCs w:val="21"/>
              </w:rPr>
              <w:t>3</w:t>
            </w:r>
          </w:p>
        </w:tc>
        <w:tc>
          <w:tcPr>
            <w:tcW w:w="981" w:type="dxa"/>
            <w:shd w:val="clear" w:color="auto" w:fill="auto"/>
            <w:vAlign w:val="center"/>
          </w:tcPr>
          <w:p w14:paraId="090D080E">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sz w:val="21"/>
                <w:szCs w:val="21"/>
              </w:rPr>
              <w:t>新增</w:t>
            </w:r>
          </w:p>
        </w:tc>
      </w:tr>
      <w:tr w14:paraId="44530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5" w:type="dxa"/>
            <w:shd w:val="clear" w:color="auto" w:fill="auto"/>
            <w:vAlign w:val="center"/>
          </w:tcPr>
          <w:p w14:paraId="299DB3D2">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2</w:t>
            </w:r>
          </w:p>
        </w:tc>
        <w:tc>
          <w:tcPr>
            <w:tcW w:w="4189" w:type="dxa"/>
            <w:shd w:val="clear" w:color="auto" w:fill="auto"/>
            <w:vAlign w:val="center"/>
          </w:tcPr>
          <w:p w14:paraId="2DAAA752">
            <w:pPr>
              <w:jc w:val="left"/>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sz w:val="21"/>
                <w:szCs w:val="21"/>
              </w:rPr>
              <w:t>临工LG8860轮式装载机</w:t>
            </w:r>
          </w:p>
        </w:tc>
        <w:tc>
          <w:tcPr>
            <w:tcW w:w="966" w:type="dxa"/>
            <w:shd w:val="clear" w:color="auto" w:fill="auto"/>
            <w:vAlign w:val="center"/>
          </w:tcPr>
          <w:p w14:paraId="091E320B">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台</w:t>
            </w:r>
          </w:p>
        </w:tc>
        <w:tc>
          <w:tcPr>
            <w:tcW w:w="755" w:type="dxa"/>
            <w:shd w:val="clear" w:color="auto" w:fill="auto"/>
            <w:vAlign w:val="center"/>
          </w:tcPr>
          <w:p w14:paraId="0A53E254">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olor w:val="000000"/>
                <w:sz w:val="21"/>
                <w:szCs w:val="21"/>
              </w:rPr>
              <w:t>3</w:t>
            </w:r>
          </w:p>
        </w:tc>
        <w:tc>
          <w:tcPr>
            <w:tcW w:w="908" w:type="dxa"/>
            <w:shd w:val="clear" w:color="auto" w:fill="auto"/>
            <w:vAlign w:val="center"/>
          </w:tcPr>
          <w:p w14:paraId="131DD26C">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olor w:val="000000"/>
                <w:sz w:val="21"/>
                <w:szCs w:val="21"/>
              </w:rPr>
              <w:t>1</w:t>
            </w:r>
          </w:p>
        </w:tc>
        <w:tc>
          <w:tcPr>
            <w:tcW w:w="908" w:type="dxa"/>
            <w:shd w:val="clear" w:color="auto" w:fill="auto"/>
            <w:vAlign w:val="center"/>
          </w:tcPr>
          <w:p w14:paraId="5408B869">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olor w:val="000000"/>
                <w:sz w:val="21"/>
                <w:szCs w:val="21"/>
              </w:rPr>
              <w:t>4</w:t>
            </w:r>
          </w:p>
        </w:tc>
        <w:tc>
          <w:tcPr>
            <w:tcW w:w="981" w:type="dxa"/>
            <w:shd w:val="clear" w:color="auto" w:fill="auto"/>
            <w:vAlign w:val="center"/>
          </w:tcPr>
          <w:p w14:paraId="6E1F13A8">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sz w:val="21"/>
                <w:szCs w:val="21"/>
              </w:rPr>
              <w:t>新增</w:t>
            </w:r>
          </w:p>
        </w:tc>
      </w:tr>
      <w:tr w14:paraId="22D36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5" w:type="dxa"/>
            <w:shd w:val="clear" w:color="auto" w:fill="auto"/>
            <w:vAlign w:val="center"/>
          </w:tcPr>
          <w:p w14:paraId="02DA0ED0">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3</w:t>
            </w:r>
          </w:p>
        </w:tc>
        <w:tc>
          <w:tcPr>
            <w:tcW w:w="4189" w:type="dxa"/>
            <w:shd w:val="clear" w:color="auto" w:fill="auto"/>
            <w:vAlign w:val="center"/>
          </w:tcPr>
          <w:p w14:paraId="537ECF7A">
            <w:pPr>
              <w:jc w:val="left"/>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KQD-100露天潜孔钻机(配收尘系统)</w:t>
            </w:r>
          </w:p>
        </w:tc>
        <w:tc>
          <w:tcPr>
            <w:tcW w:w="966" w:type="dxa"/>
            <w:shd w:val="clear" w:color="auto" w:fill="auto"/>
            <w:vAlign w:val="center"/>
          </w:tcPr>
          <w:p w14:paraId="407A6B11">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台</w:t>
            </w:r>
          </w:p>
        </w:tc>
        <w:tc>
          <w:tcPr>
            <w:tcW w:w="755" w:type="dxa"/>
            <w:shd w:val="clear" w:color="auto" w:fill="auto"/>
            <w:vAlign w:val="center"/>
          </w:tcPr>
          <w:p w14:paraId="6542AD06">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1</w:t>
            </w:r>
          </w:p>
        </w:tc>
        <w:tc>
          <w:tcPr>
            <w:tcW w:w="908" w:type="dxa"/>
            <w:shd w:val="clear" w:color="auto" w:fill="auto"/>
            <w:vAlign w:val="center"/>
          </w:tcPr>
          <w:p w14:paraId="2C42A09C">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0</w:t>
            </w:r>
          </w:p>
        </w:tc>
        <w:tc>
          <w:tcPr>
            <w:tcW w:w="908" w:type="dxa"/>
            <w:shd w:val="clear" w:color="auto" w:fill="auto"/>
            <w:vAlign w:val="center"/>
          </w:tcPr>
          <w:p w14:paraId="5635C587">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1</w:t>
            </w:r>
          </w:p>
        </w:tc>
        <w:tc>
          <w:tcPr>
            <w:tcW w:w="981" w:type="dxa"/>
            <w:shd w:val="clear" w:color="auto" w:fill="auto"/>
            <w:vAlign w:val="center"/>
          </w:tcPr>
          <w:p w14:paraId="47EC50D6">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sz w:val="21"/>
                <w:szCs w:val="21"/>
              </w:rPr>
              <w:t>新增</w:t>
            </w:r>
          </w:p>
        </w:tc>
      </w:tr>
      <w:tr w14:paraId="044C1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5" w:type="dxa"/>
            <w:shd w:val="clear" w:color="auto" w:fill="auto"/>
            <w:vAlign w:val="center"/>
          </w:tcPr>
          <w:p w14:paraId="1382BFB3">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4</w:t>
            </w:r>
          </w:p>
        </w:tc>
        <w:tc>
          <w:tcPr>
            <w:tcW w:w="4189" w:type="dxa"/>
            <w:shd w:val="clear" w:color="auto" w:fill="auto"/>
            <w:vAlign w:val="center"/>
          </w:tcPr>
          <w:p w14:paraId="5B76DB3F">
            <w:pPr>
              <w:jc w:val="left"/>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开山LGCY-18/17柴油移动空压机</w:t>
            </w:r>
          </w:p>
        </w:tc>
        <w:tc>
          <w:tcPr>
            <w:tcW w:w="966" w:type="dxa"/>
            <w:shd w:val="clear" w:color="auto" w:fill="auto"/>
            <w:vAlign w:val="center"/>
          </w:tcPr>
          <w:p w14:paraId="20A475BC">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台</w:t>
            </w:r>
          </w:p>
        </w:tc>
        <w:tc>
          <w:tcPr>
            <w:tcW w:w="755" w:type="dxa"/>
            <w:shd w:val="clear" w:color="auto" w:fill="auto"/>
            <w:vAlign w:val="center"/>
          </w:tcPr>
          <w:p w14:paraId="3C3B3870">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1</w:t>
            </w:r>
          </w:p>
        </w:tc>
        <w:tc>
          <w:tcPr>
            <w:tcW w:w="908" w:type="dxa"/>
            <w:shd w:val="clear" w:color="auto" w:fill="auto"/>
            <w:vAlign w:val="center"/>
          </w:tcPr>
          <w:p w14:paraId="142205A1">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0</w:t>
            </w:r>
          </w:p>
        </w:tc>
        <w:tc>
          <w:tcPr>
            <w:tcW w:w="908" w:type="dxa"/>
            <w:shd w:val="clear" w:color="auto" w:fill="auto"/>
            <w:vAlign w:val="center"/>
          </w:tcPr>
          <w:p w14:paraId="1E57C175">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1</w:t>
            </w:r>
          </w:p>
        </w:tc>
        <w:tc>
          <w:tcPr>
            <w:tcW w:w="981" w:type="dxa"/>
            <w:shd w:val="clear" w:color="auto" w:fill="auto"/>
            <w:vAlign w:val="center"/>
          </w:tcPr>
          <w:p w14:paraId="0229881B">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sz w:val="21"/>
                <w:szCs w:val="21"/>
              </w:rPr>
              <w:t>新增</w:t>
            </w:r>
          </w:p>
        </w:tc>
      </w:tr>
      <w:tr w14:paraId="3DD7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5" w:type="dxa"/>
            <w:shd w:val="clear" w:color="auto" w:fill="auto"/>
            <w:vAlign w:val="center"/>
          </w:tcPr>
          <w:p w14:paraId="7EF29013">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5</w:t>
            </w:r>
          </w:p>
        </w:tc>
        <w:tc>
          <w:tcPr>
            <w:tcW w:w="4189" w:type="dxa"/>
            <w:shd w:val="clear" w:color="auto" w:fill="auto"/>
            <w:vAlign w:val="center"/>
          </w:tcPr>
          <w:p w14:paraId="6AB60900">
            <w:pPr>
              <w:jc w:val="left"/>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sz w:val="21"/>
                <w:szCs w:val="21"/>
              </w:rPr>
              <w:t>东风双桥洒水车（20m³）</w:t>
            </w:r>
          </w:p>
        </w:tc>
        <w:tc>
          <w:tcPr>
            <w:tcW w:w="966" w:type="dxa"/>
            <w:shd w:val="clear" w:color="auto" w:fill="auto"/>
            <w:vAlign w:val="center"/>
          </w:tcPr>
          <w:p w14:paraId="39D04DB7">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辆</w:t>
            </w:r>
          </w:p>
        </w:tc>
        <w:tc>
          <w:tcPr>
            <w:tcW w:w="755" w:type="dxa"/>
            <w:shd w:val="clear" w:color="auto" w:fill="auto"/>
            <w:vAlign w:val="center"/>
          </w:tcPr>
          <w:p w14:paraId="72CA0E5F">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1</w:t>
            </w:r>
          </w:p>
        </w:tc>
        <w:tc>
          <w:tcPr>
            <w:tcW w:w="908" w:type="dxa"/>
            <w:shd w:val="clear" w:color="auto" w:fill="auto"/>
            <w:vAlign w:val="center"/>
          </w:tcPr>
          <w:p w14:paraId="5B4EE958">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0</w:t>
            </w:r>
          </w:p>
        </w:tc>
        <w:tc>
          <w:tcPr>
            <w:tcW w:w="908" w:type="dxa"/>
            <w:shd w:val="clear" w:color="auto" w:fill="auto"/>
            <w:vAlign w:val="center"/>
          </w:tcPr>
          <w:p w14:paraId="12583CA4">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1</w:t>
            </w:r>
          </w:p>
        </w:tc>
        <w:tc>
          <w:tcPr>
            <w:tcW w:w="981" w:type="dxa"/>
            <w:shd w:val="clear" w:color="auto" w:fill="auto"/>
            <w:vAlign w:val="center"/>
          </w:tcPr>
          <w:p w14:paraId="5B006656">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sz w:val="21"/>
                <w:szCs w:val="21"/>
              </w:rPr>
              <w:t>新增</w:t>
            </w:r>
          </w:p>
        </w:tc>
      </w:tr>
      <w:tr w14:paraId="3A1C0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5" w:type="dxa"/>
            <w:shd w:val="clear" w:color="auto" w:fill="auto"/>
            <w:vAlign w:val="center"/>
          </w:tcPr>
          <w:p w14:paraId="09891866">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6</w:t>
            </w:r>
          </w:p>
        </w:tc>
        <w:tc>
          <w:tcPr>
            <w:tcW w:w="4189" w:type="dxa"/>
            <w:shd w:val="clear" w:color="auto" w:fill="auto"/>
            <w:vAlign w:val="center"/>
          </w:tcPr>
          <w:p w14:paraId="165534DB">
            <w:pPr>
              <w:jc w:val="left"/>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红岩金刚30t型自卸式汽车</w:t>
            </w:r>
          </w:p>
        </w:tc>
        <w:tc>
          <w:tcPr>
            <w:tcW w:w="966" w:type="dxa"/>
            <w:shd w:val="clear" w:color="auto" w:fill="auto"/>
            <w:vAlign w:val="center"/>
          </w:tcPr>
          <w:p w14:paraId="2C09F1E3">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辆</w:t>
            </w:r>
          </w:p>
        </w:tc>
        <w:tc>
          <w:tcPr>
            <w:tcW w:w="755" w:type="dxa"/>
            <w:shd w:val="clear" w:color="auto" w:fill="auto"/>
            <w:vAlign w:val="center"/>
          </w:tcPr>
          <w:p w14:paraId="33604C95">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olor w:val="000000"/>
                <w:sz w:val="21"/>
                <w:szCs w:val="21"/>
              </w:rPr>
              <w:t>5</w:t>
            </w:r>
          </w:p>
        </w:tc>
        <w:tc>
          <w:tcPr>
            <w:tcW w:w="908" w:type="dxa"/>
            <w:shd w:val="clear" w:color="auto" w:fill="auto"/>
            <w:vAlign w:val="center"/>
          </w:tcPr>
          <w:p w14:paraId="6A04BE8D">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1</w:t>
            </w:r>
          </w:p>
        </w:tc>
        <w:tc>
          <w:tcPr>
            <w:tcW w:w="908" w:type="dxa"/>
            <w:shd w:val="clear" w:color="auto" w:fill="auto"/>
            <w:vAlign w:val="center"/>
          </w:tcPr>
          <w:p w14:paraId="13B7B45A">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color w:val="000000"/>
                <w:sz w:val="21"/>
                <w:szCs w:val="21"/>
              </w:rPr>
              <w:t>6</w:t>
            </w:r>
          </w:p>
        </w:tc>
        <w:tc>
          <w:tcPr>
            <w:tcW w:w="981" w:type="dxa"/>
            <w:shd w:val="clear" w:color="auto" w:fill="auto"/>
            <w:vAlign w:val="center"/>
          </w:tcPr>
          <w:p w14:paraId="518140A3">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sz w:val="21"/>
                <w:szCs w:val="21"/>
              </w:rPr>
              <w:t>新增</w:t>
            </w:r>
          </w:p>
        </w:tc>
      </w:tr>
      <w:tr w14:paraId="6DA78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5" w:type="dxa"/>
            <w:shd w:val="clear" w:color="auto" w:fill="auto"/>
            <w:vAlign w:val="center"/>
          </w:tcPr>
          <w:p w14:paraId="7E78B21B">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7</w:t>
            </w:r>
          </w:p>
        </w:tc>
        <w:tc>
          <w:tcPr>
            <w:tcW w:w="4189" w:type="dxa"/>
            <w:shd w:val="clear" w:color="auto" w:fill="auto"/>
            <w:vAlign w:val="center"/>
          </w:tcPr>
          <w:p w14:paraId="13A647C7">
            <w:pPr>
              <w:jc w:val="left"/>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color w:val="000000"/>
                <w:sz w:val="21"/>
                <w:szCs w:val="21"/>
              </w:rPr>
              <w:t>210液压破碎锤</w:t>
            </w:r>
          </w:p>
        </w:tc>
        <w:tc>
          <w:tcPr>
            <w:tcW w:w="966" w:type="dxa"/>
            <w:shd w:val="clear" w:color="auto" w:fill="auto"/>
            <w:vAlign w:val="center"/>
          </w:tcPr>
          <w:p w14:paraId="3E4299B3">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sz w:val="21"/>
                <w:szCs w:val="21"/>
              </w:rPr>
              <w:t>台</w:t>
            </w:r>
          </w:p>
        </w:tc>
        <w:tc>
          <w:tcPr>
            <w:tcW w:w="755" w:type="dxa"/>
            <w:shd w:val="clear" w:color="auto" w:fill="auto"/>
            <w:vAlign w:val="center"/>
          </w:tcPr>
          <w:p w14:paraId="276CAE11">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sz w:val="21"/>
                <w:szCs w:val="21"/>
              </w:rPr>
              <w:t>1</w:t>
            </w:r>
          </w:p>
        </w:tc>
        <w:tc>
          <w:tcPr>
            <w:tcW w:w="908" w:type="dxa"/>
            <w:shd w:val="clear" w:color="auto" w:fill="auto"/>
            <w:vAlign w:val="center"/>
          </w:tcPr>
          <w:p w14:paraId="1FEB6C77">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sz w:val="21"/>
                <w:szCs w:val="21"/>
              </w:rPr>
              <w:t>1</w:t>
            </w:r>
          </w:p>
        </w:tc>
        <w:tc>
          <w:tcPr>
            <w:tcW w:w="908" w:type="dxa"/>
            <w:shd w:val="clear" w:color="auto" w:fill="auto"/>
            <w:vAlign w:val="center"/>
          </w:tcPr>
          <w:p w14:paraId="4251A097">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ascii="宋体" w:hAnsi="宋体"/>
                <w:sz w:val="21"/>
                <w:szCs w:val="21"/>
              </w:rPr>
              <w:t>2</w:t>
            </w:r>
          </w:p>
        </w:tc>
        <w:tc>
          <w:tcPr>
            <w:tcW w:w="981" w:type="dxa"/>
            <w:shd w:val="clear" w:color="auto" w:fill="auto"/>
            <w:vAlign w:val="center"/>
          </w:tcPr>
          <w:p w14:paraId="1E0D9CB5">
            <w:pPr>
              <w:jc w:val="center"/>
              <w:rPr>
                <w:rFonts w:ascii="Times New Roman" w:hAnsi="Times New Roman" w:eastAsia="宋体" w:cs="Times New Roman"/>
                <w:color w:val="000000" w:themeColor="text1"/>
                <w:sz w:val="21"/>
                <w:szCs w:val="21"/>
                <w:lang w:val="en-GB"/>
                <w14:textFill>
                  <w14:solidFill>
                    <w14:schemeClr w14:val="tx1"/>
                  </w14:solidFill>
                </w14:textFill>
              </w:rPr>
            </w:pPr>
            <w:r>
              <w:rPr>
                <w:rFonts w:hint="eastAsia" w:ascii="宋体" w:hAnsi="宋体"/>
                <w:sz w:val="21"/>
                <w:szCs w:val="21"/>
              </w:rPr>
              <w:t>新增</w:t>
            </w:r>
          </w:p>
        </w:tc>
      </w:tr>
    </w:tbl>
    <w:p w14:paraId="33B53117">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2.4.</w:t>
      </w:r>
      <w:r>
        <w:rPr>
          <w:rFonts w:ascii="Times New Roman" w:hAnsi="Times New Roman" w:eastAsia="宋体" w:cs="Times New Roman"/>
          <w:b/>
          <w:bCs w:val="0"/>
          <w:color w:val="000000" w:themeColor="text1"/>
          <w14:textFill>
            <w14:solidFill>
              <w14:schemeClr w14:val="tx1"/>
            </w14:solidFill>
          </w14:textFill>
        </w:rPr>
        <w:t>7</w:t>
      </w:r>
      <w:r>
        <w:rPr>
          <w:rFonts w:ascii="Times New Roman" w:hAnsi="Times New Roman" w:eastAsia="宋体" w:cs="Times New Roman"/>
          <w:b/>
          <w:bCs w:val="0"/>
          <w:color w:val="000000" w:themeColor="text1"/>
          <w:lang w:val="en-GB"/>
          <w14:textFill>
            <w14:solidFill>
              <w14:schemeClr w14:val="tx1"/>
            </w14:solidFill>
          </w14:textFill>
        </w:rPr>
        <w:t xml:space="preserve"> 矿山供配电系统</w:t>
      </w:r>
    </w:p>
    <w:p w14:paraId="73C4FD90">
      <w:pPr>
        <w:adjustRightInd w:val="0"/>
        <w:snapToGrid w:val="0"/>
        <w:spacing w:line="360" w:lineRule="auto"/>
        <w:ind w:firstLine="560" w:firstLineChars="200"/>
        <w:rPr>
          <w:rFonts w:ascii="Times New Roman" w:hAnsi="Times New Roman" w:eastAsia="宋体" w:cs="Times New Roman"/>
          <w:color w:val="000000" w:themeColor="text1"/>
          <w:sz w:val="28"/>
          <w:szCs w:val="21"/>
          <w14:textFill>
            <w14:solidFill>
              <w14:schemeClr w14:val="tx1"/>
            </w14:solidFill>
          </w14:textFill>
        </w:rPr>
      </w:pPr>
      <w:r>
        <w:rPr>
          <w:rFonts w:hint="eastAsia" w:ascii="Times New Roman" w:hAnsi="Times New Roman" w:eastAsia="宋体" w:cs="Times New Roman"/>
          <w:color w:val="000000" w:themeColor="text1"/>
          <w:sz w:val="28"/>
          <w:szCs w:val="21"/>
          <w14:textFill>
            <w14:solidFill>
              <w14:schemeClr w14:val="tx1"/>
            </w14:solidFill>
          </w14:textFill>
        </w:rPr>
        <w:t>矿区供电主要由盐井镇桃子坝村10kV电网接入，输入电压10kV，矿区安装容量：1212kW，有功功率924.2kW，年耗电量为：195.1万kWh，供电能力可以满足本次设计的用电需求。供电系统主要供于矿石破碎加工生产线、辅助和生活用电，矿山采矿设备均采用柴油为动力，白班工作制，采场无需照明，开采作业无需用电</w:t>
      </w:r>
      <w:r>
        <w:rPr>
          <w:rFonts w:ascii="Times New Roman" w:hAnsi="Times New Roman" w:eastAsia="宋体" w:cs="Times New Roman"/>
          <w:color w:val="000000" w:themeColor="text1"/>
          <w:sz w:val="28"/>
          <w:szCs w:val="21"/>
          <w14:textFill>
            <w14:solidFill>
              <w14:schemeClr w14:val="tx1"/>
            </w14:solidFill>
          </w14:textFill>
        </w:rPr>
        <w:t>。</w:t>
      </w:r>
    </w:p>
    <w:p w14:paraId="697291DB">
      <w:pPr>
        <w:pStyle w:val="5"/>
        <w:adjustRightInd w:val="0"/>
        <w:snapToGrid w:val="0"/>
        <w:spacing w:line="360" w:lineRule="auto"/>
        <w:ind w:firstLine="560"/>
        <w:rPr>
          <w:rFonts w:ascii="Times New Roman" w:hAnsi="Times New Roman" w:cs="Times New Roman"/>
        </w:rPr>
      </w:pPr>
      <w:r>
        <w:rPr>
          <w:rFonts w:ascii="Times New Roman" w:hAnsi="Times New Roman" w:cs="Times New Roman"/>
        </w:rPr>
        <w:t>2.4.7.1 供电</w:t>
      </w:r>
    </w:p>
    <w:p w14:paraId="4CA5FFE0">
      <w:pPr>
        <w:adjustRightInd w:val="0"/>
        <w:snapToGrid w:val="0"/>
        <w:spacing w:line="360" w:lineRule="auto"/>
        <w:ind w:firstLine="560" w:firstLineChars="200"/>
        <w:rPr>
          <w:rFonts w:ascii="Times New Roman" w:hAnsi="Times New Roman" w:eastAsia="宋体" w:cs="Times New Roman"/>
          <w:color w:val="000000" w:themeColor="text1"/>
          <w:sz w:val="28"/>
          <w:szCs w:val="21"/>
          <w14:textFill>
            <w14:solidFill>
              <w14:schemeClr w14:val="tx1"/>
            </w14:solidFill>
          </w14:textFill>
        </w:rPr>
      </w:pPr>
      <w:r>
        <w:rPr>
          <w:rFonts w:ascii="Times New Roman" w:hAnsi="Times New Roman" w:eastAsia="宋体" w:cs="Times New Roman"/>
          <w:color w:val="000000" w:themeColor="text1"/>
          <w:sz w:val="28"/>
          <w:szCs w:val="21"/>
          <w14:textFill>
            <w14:solidFill>
              <w14:schemeClr w14:val="tx1"/>
            </w14:solidFill>
          </w14:textFill>
        </w:rPr>
        <w:t>露天采场90.0万t/a采矿工程及工业场地等安装容量：1212kW，有功功率924.2kW，年耗电量为：195.10万kWh。</w:t>
      </w:r>
    </w:p>
    <w:p w14:paraId="7B0A5044">
      <w:pPr>
        <w:adjustRightInd w:val="0"/>
        <w:snapToGrid w:val="0"/>
        <w:spacing w:line="360" w:lineRule="auto"/>
        <w:ind w:firstLine="560" w:firstLineChars="200"/>
        <w:rPr>
          <w:rFonts w:ascii="Times New Roman" w:hAnsi="Times New Roman" w:eastAsia="宋体" w:cs="Times New Roman"/>
          <w:color w:val="000000" w:themeColor="text1"/>
          <w:sz w:val="28"/>
          <w:szCs w:val="21"/>
          <w14:textFill>
            <w14:solidFill>
              <w14:schemeClr w14:val="tx1"/>
            </w14:solidFill>
          </w14:textFill>
        </w:rPr>
      </w:pPr>
      <w:r>
        <w:rPr>
          <w:rFonts w:ascii="Times New Roman" w:hAnsi="Times New Roman" w:eastAsia="宋体" w:cs="Times New Roman"/>
          <w:color w:val="000000" w:themeColor="text1"/>
          <w:sz w:val="28"/>
          <w:szCs w:val="21"/>
          <w14:textFill>
            <w14:solidFill>
              <w14:schemeClr w14:val="tx1"/>
            </w14:solidFill>
          </w14:textFill>
        </w:rPr>
        <w:t>矿山为中型露天采石场，无一、二级用电负荷，均为三级负荷。</w:t>
      </w:r>
    </w:p>
    <w:p w14:paraId="06FB4528">
      <w:pPr>
        <w:adjustRightInd w:val="0"/>
        <w:snapToGrid w:val="0"/>
        <w:spacing w:line="360" w:lineRule="auto"/>
        <w:ind w:firstLine="560" w:firstLineChars="200"/>
        <w:rPr>
          <w:rFonts w:ascii="Times New Roman" w:hAnsi="Times New Roman" w:eastAsia="宋体" w:cs="Times New Roman"/>
          <w:color w:val="000000" w:themeColor="text1"/>
          <w:sz w:val="28"/>
          <w:szCs w:val="21"/>
          <w14:textFill>
            <w14:solidFill>
              <w14:schemeClr w14:val="tx1"/>
            </w14:solidFill>
          </w14:textFill>
        </w:rPr>
      </w:pPr>
      <w:r>
        <w:rPr>
          <w:rFonts w:ascii="Times New Roman" w:hAnsi="Times New Roman" w:eastAsia="宋体" w:cs="Times New Roman"/>
          <w:color w:val="000000" w:themeColor="text1"/>
          <w:sz w:val="28"/>
          <w:szCs w:val="21"/>
          <w14:textFill>
            <w14:solidFill>
              <w14:schemeClr w14:val="tx1"/>
            </w14:solidFill>
          </w14:textFill>
        </w:rPr>
        <w:t>10kV侧自然功率因数为0.783，需装设电容器作为无功功率补偿装置，补偿容量400kVar，补偿后功率因数提高到0.95，达到国家标准。</w:t>
      </w:r>
    </w:p>
    <w:p w14:paraId="7AA0E236">
      <w:pPr>
        <w:pStyle w:val="5"/>
        <w:adjustRightInd w:val="0"/>
        <w:snapToGrid w:val="0"/>
        <w:spacing w:line="360" w:lineRule="auto"/>
        <w:ind w:firstLine="560"/>
        <w:rPr>
          <w:rFonts w:ascii="Times New Roman" w:hAnsi="Times New Roman" w:cs="Times New Roman"/>
        </w:rPr>
      </w:pPr>
      <w:r>
        <w:rPr>
          <w:rFonts w:ascii="Times New Roman" w:hAnsi="Times New Roman" w:cs="Times New Roman"/>
        </w:rPr>
        <w:t>2.4.7.2 供电电源</w:t>
      </w:r>
    </w:p>
    <w:p w14:paraId="0E5AEA5E">
      <w:pPr>
        <w:adjustRightInd w:val="0"/>
        <w:snapToGrid w:val="0"/>
        <w:spacing w:line="360" w:lineRule="auto"/>
        <w:ind w:firstLine="560" w:firstLineChars="200"/>
        <w:rPr>
          <w:rFonts w:ascii="Times New Roman" w:hAnsi="Times New Roman" w:eastAsia="宋体" w:cs="Times New Roman"/>
          <w:color w:val="000000" w:themeColor="text1"/>
          <w:sz w:val="28"/>
          <w:szCs w:val="21"/>
          <w14:textFill>
            <w14:solidFill>
              <w14:schemeClr w14:val="tx1"/>
            </w14:solidFill>
          </w14:textFill>
        </w:rPr>
      </w:pPr>
      <w:r>
        <w:rPr>
          <w:rFonts w:ascii="Times New Roman" w:hAnsi="Times New Roman" w:eastAsia="宋体" w:cs="Times New Roman"/>
          <w:color w:val="000000" w:themeColor="text1"/>
          <w:sz w:val="28"/>
          <w:szCs w:val="21"/>
          <w14:textFill>
            <w14:solidFill>
              <w14:schemeClr w14:val="tx1"/>
            </w14:solidFill>
          </w14:textFill>
        </w:rPr>
        <w:t>矿区供电主要由盐津县10kV电网接入，输入电压10kV，线路已架通至矿山。根据矿区用电负荷的计算，设计采用1台1250kVA变压器，能满足矿山用电负荷要求。</w:t>
      </w:r>
    </w:p>
    <w:p w14:paraId="7BA23FBF">
      <w:pPr>
        <w:pStyle w:val="5"/>
        <w:adjustRightInd w:val="0"/>
        <w:snapToGrid w:val="0"/>
        <w:spacing w:line="360" w:lineRule="auto"/>
        <w:ind w:firstLine="560"/>
        <w:rPr>
          <w:rFonts w:ascii="Times New Roman" w:hAnsi="Times New Roman" w:cs="Times New Roman"/>
        </w:rPr>
      </w:pPr>
      <w:r>
        <w:rPr>
          <w:rFonts w:ascii="Times New Roman" w:hAnsi="Times New Roman" w:cs="Times New Roman"/>
        </w:rPr>
        <w:t>2.4.7.3 供电系统</w:t>
      </w:r>
    </w:p>
    <w:p w14:paraId="22F2B139">
      <w:pPr>
        <w:adjustRightInd w:val="0"/>
        <w:snapToGrid w:val="0"/>
        <w:spacing w:line="360" w:lineRule="auto"/>
        <w:ind w:firstLine="560" w:firstLineChars="200"/>
        <w:rPr>
          <w:rFonts w:ascii="Times New Roman" w:hAnsi="Times New Roman" w:eastAsia="宋体" w:cs="Times New Roman"/>
          <w:color w:val="000000" w:themeColor="text1"/>
          <w:sz w:val="28"/>
          <w:szCs w:val="21"/>
          <w14:textFill>
            <w14:solidFill>
              <w14:schemeClr w14:val="tx1"/>
            </w14:solidFill>
          </w14:textFill>
        </w:rPr>
      </w:pPr>
      <w:r>
        <w:rPr>
          <w:rFonts w:ascii="Times New Roman" w:hAnsi="Times New Roman" w:eastAsia="宋体" w:cs="Times New Roman"/>
          <w:color w:val="000000" w:themeColor="text1"/>
          <w:sz w:val="28"/>
          <w:szCs w:val="21"/>
          <w14:textFill>
            <w14:solidFill>
              <w14:schemeClr w14:val="tx1"/>
            </w14:solidFill>
          </w14:textFill>
        </w:rPr>
        <w:t>（1）电压等级</w:t>
      </w:r>
    </w:p>
    <w:p w14:paraId="5313162D">
      <w:pPr>
        <w:adjustRightInd w:val="0"/>
        <w:snapToGrid w:val="0"/>
        <w:spacing w:line="360" w:lineRule="auto"/>
        <w:ind w:firstLine="560" w:firstLineChars="200"/>
        <w:rPr>
          <w:rFonts w:ascii="Times New Roman" w:hAnsi="Times New Roman" w:eastAsia="宋体" w:cs="Times New Roman"/>
          <w:color w:val="000000" w:themeColor="text1"/>
          <w:sz w:val="28"/>
          <w:szCs w:val="21"/>
          <w14:textFill>
            <w14:solidFill>
              <w14:schemeClr w14:val="tx1"/>
            </w14:solidFill>
          </w14:textFill>
        </w:rPr>
      </w:pPr>
      <w:r>
        <w:rPr>
          <w:rFonts w:ascii="Times New Roman" w:hAnsi="Times New Roman" w:eastAsia="宋体" w:cs="Times New Roman"/>
          <w:color w:val="000000" w:themeColor="text1"/>
          <w:sz w:val="28"/>
          <w:szCs w:val="21"/>
          <w14:textFill>
            <w14:solidFill>
              <w14:schemeClr w14:val="tx1"/>
            </w14:solidFill>
          </w14:textFill>
        </w:rPr>
        <w:t>供电电压：10kV；配电电压：380V。</w:t>
      </w:r>
    </w:p>
    <w:p w14:paraId="3AF7E1A4">
      <w:pPr>
        <w:adjustRightInd w:val="0"/>
        <w:snapToGrid w:val="0"/>
        <w:spacing w:line="360" w:lineRule="auto"/>
        <w:ind w:firstLine="560" w:firstLineChars="200"/>
        <w:rPr>
          <w:rFonts w:ascii="Times New Roman" w:hAnsi="Times New Roman" w:eastAsia="宋体" w:cs="Times New Roman"/>
          <w:color w:val="000000" w:themeColor="text1"/>
          <w:sz w:val="28"/>
          <w:szCs w:val="21"/>
          <w14:textFill>
            <w14:solidFill>
              <w14:schemeClr w14:val="tx1"/>
            </w14:solidFill>
          </w14:textFill>
        </w:rPr>
      </w:pPr>
      <w:r>
        <w:rPr>
          <w:rFonts w:ascii="Times New Roman" w:hAnsi="Times New Roman" w:eastAsia="宋体" w:cs="Times New Roman"/>
          <w:color w:val="000000" w:themeColor="text1"/>
          <w:sz w:val="28"/>
          <w:szCs w:val="21"/>
          <w14:textFill>
            <w14:solidFill>
              <w14:schemeClr w14:val="tx1"/>
            </w14:solidFill>
          </w14:textFill>
        </w:rPr>
        <w:t>（2）供电系统</w:t>
      </w:r>
    </w:p>
    <w:p w14:paraId="02BAD627">
      <w:pPr>
        <w:adjustRightInd w:val="0"/>
        <w:snapToGrid w:val="0"/>
        <w:spacing w:line="360" w:lineRule="auto"/>
        <w:ind w:firstLine="560" w:firstLineChars="200"/>
        <w:rPr>
          <w:rFonts w:ascii="Times New Roman" w:hAnsi="Times New Roman" w:eastAsia="宋体" w:cs="Times New Roman"/>
          <w:color w:val="000000" w:themeColor="text1"/>
          <w:sz w:val="28"/>
          <w:szCs w:val="21"/>
          <w14:textFill>
            <w14:solidFill>
              <w14:schemeClr w14:val="tx1"/>
            </w14:solidFill>
          </w14:textFill>
        </w:rPr>
      </w:pPr>
      <w:r>
        <w:rPr>
          <w:rFonts w:ascii="Times New Roman" w:hAnsi="Times New Roman" w:eastAsia="宋体" w:cs="Times New Roman"/>
          <w:color w:val="000000" w:themeColor="text1"/>
          <w:sz w:val="28"/>
          <w:szCs w:val="21"/>
          <w14:textFill>
            <w14:solidFill>
              <w14:schemeClr w14:val="tx1"/>
            </w14:solidFill>
          </w14:textFill>
        </w:rPr>
        <w:t>根据矿山负荷特点及矿区电源情况，采用10kV单回专线供电方式，向地表变电所供电，电源引自盐津县10kV电网，设计在破碎站及生活办公区设置变压器变电，地表采用架空线输电。破碎站采用沿工业场地边缘架设半环形固定式、干线式配电系统，并在线路的入口处和分段处以及干线、环形与分支线路连接处装设负荷开关。低压电网装设具有剩余电流动作的保护器作单相接地故障保护，其末端线路的切断时间不大于0.1s。</w:t>
      </w:r>
    </w:p>
    <w:p w14:paraId="42D9404E">
      <w:pPr>
        <w:pStyle w:val="5"/>
        <w:adjustRightInd w:val="0"/>
        <w:snapToGrid w:val="0"/>
        <w:spacing w:line="360" w:lineRule="auto"/>
        <w:ind w:firstLine="560"/>
        <w:rPr>
          <w:rFonts w:ascii="Times New Roman" w:hAnsi="Times New Roman" w:eastAsia="宋体" w:cs="Times New Roman"/>
          <w:szCs w:val="21"/>
          <w:lang w:eastAsia="zh-TW"/>
        </w:rPr>
      </w:pPr>
      <w:r>
        <w:rPr>
          <w:rFonts w:ascii="Times New Roman" w:hAnsi="Times New Roman" w:cs="Times New Roman"/>
        </w:rPr>
        <w:t xml:space="preserve">2.4.7.4 </w:t>
      </w:r>
      <w:r>
        <w:rPr>
          <w:rFonts w:ascii="Times New Roman" w:hAnsi="Times New Roman" w:cs="Times New Roman"/>
          <w:szCs w:val="21"/>
          <w:lang w:eastAsia="zh-TW"/>
        </w:rPr>
        <w:t>装备水平</w:t>
      </w:r>
    </w:p>
    <w:p w14:paraId="5F9F67C7">
      <w:pPr>
        <w:adjustRightInd w:val="0"/>
        <w:snapToGrid w:val="0"/>
        <w:spacing w:line="360" w:lineRule="auto"/>
        <w:ind w:firstLine="560" w:firstLineChars="200"/>
        <w:rPr>
          <w:rFonts w:ascii="Times New Roman" w:hAnsi="Times New Roman" w:eastAsia="宋体" w:cs="Times New Roman"/>
          <w:sz w:val="28"/>
          <w:szCs w:val="21"/>
          <w:lang w:eastAsia="zh-TW"/>
        </w:rPr>
      </w:pPr>
      <w:r>
        <w:rPr>
          <w:rFonts w:ascii="Times New Roman" w:hAnsi="Times New Roman" w:eastAsia="宋体" w:cs="Times New Roman"/>
          <w:sz w:val="28"/>
          <w:szCs w:val="21"/>
          <w:lang w:eastAsia="zh-TW"/>
        </w:rPr>
        <w:t>电气设备选择的原则是采用先进成熟的技术，保证设备性能可靠稳定，安装维护方便，运行安全，节能环保，经济合理。</w:t>
      </w:r>
    </w:p>
    <w:p w14:paraId="441AA1CA">
      <w:pPr>
        <w:adjustRightInd w:val="0"/>
        <w:snapToGrid w:val="0"/>
        <w:spacing w:line="360" w:lineRule="auto"/>
        <w:ind w:firstLine="560" w:firstLineChars="200"/>
        <w:rPr>
          <w:rFonts w:ascii="Times New Roman" w:hAnsi="Times New Roman" w:eastAsia="宋体" w:cs="Times New Roman"/>
          <w:sz w:val="28"/>
          <w:szCs w:val="21"/>
          <w:lang w:eastAsia="zh-TW"/>
        </w:rPr>
      </w:pPr>
      <w:r>
        <w:rPr>
          <w:rFonts w:ascii="Times New Roman" w:hAnsi="Times New Roman" w:eastAsia="宋体" w:cs="Times New Roman"/>
          <w:sz w:val="28"/>
          <w:szCs w:val="21"/>
          <w:lang w:eastAsia="zh-TW"/>
        </w:rPr>
        <w:t>10kV配电装置采用ZW8-12/T630型户外高压真空断路器。</w:t>
      </w:r>
    </w:p>
    <w:p w14:paraId="76F88494">
      <w:pPr>
        <w:adjustRightInd w:val="0"/>
        <w:snapToGrid w:val="0"/>
        <w:spacing w:line="360" w:lineRule="auto"/>
        <w:ind w:firstLine="560" w:firstLineChars="200"/>
        <w:rPr>
          <w:rFonts w:ascii="Times New Roman" w:hAnsi="Times New Roman" w:eastAsia="宋体" w:cs="Times New Roman"/>
          <w:sz w:val="28"/>
          <w:szCs w:val="21"/>
          <w:lang w:eastAsia="zh-TW"/>
        </w:rPr>
      </w:pPr>
      <w:r>
        <w:rPr>
          <w:rFonts w:ascii="Times New Roman" w:hAnsi="Times New Roman" w:eastAsia="宋体" w:cs="Times New Roman"/>
          <w:sz w:val="28"/>
          <w:szCs w:val="21"/>
          <w:lang w:eastAsia="zh-TW"/>
        </w:rPr>
        <w:t>配电变压器，采用1台S11-630/10-0.4变压器。</w:t>
      </w:r>
    </w:p>
    <w:p w14:paraId="4F671DE4">
      <w:pPr>
        <w:adjustRightInd w:val="0"/>
        <w:snapToGrid w:val="0"/>
        <w:spacing w:line="360" w:lineRule="auto"/>
        <w:ind w:firstLine="560" w:firstLineChars="200"/>
        <w:rPr>
          <w:rFonts w:ascii="Times New Roman" w:hAnsi="Times New Roman" w:eastAsia="宋体" w:cs="Times New Roman"/>
          <w:sz w:val="28"/>
          <w:szCs w:val="21"/>
          <w:lang w:eastAsia="zh-TW"/>
        </w:rPr>
      </w:pPr>
      <w:r>
        <w:rPr>
          <w:rFonts w:ascii="Times New Roman" w:hAnsi="Times New Roman" w:eastAsia="宋体" w:cs="Times New Roman"/>
          <w:sz w:val="28"/>
          <w:szCs w:val="21"/>
          <w:lang w:eastAsia="zh-TW"/>
        </w:rPr>
        <w:t>低压配电屏采用GGD型。</w:t>
      </w:r>
    </w:p>
    <w:p w14:paraId="641C9340">
      <w:pPr>
        <w:adjustRightInd w:val="0"/>
        <w:snapToGrid w:val="0"/>
        <w:spacing w:line="360" w:lineRule="auto"/>
        <w:ind w:firstLine="560" w:firstLineChars="200"/>
        <w:rPr>
          <w:rFonts w:ascii="Times New Roman" w:hAnsi="Times New Roman" w:eastAsia="宋体" w:cs="Times New Roman"/>
          <w:sz w:val="28"/>
          <w:szCs w:val="21"/>
          <w:lang w:eastAsia="zh-TW"/>
        </w:rPr>
      </w:pPr>
      <w:r>
        <w:rPr>
          <w:rFonts w:ascii="Times New Roman" w:hAnsi="Times New Roman" w:eastAsia="宋体" w:cs="Times New Roman"/>
          <w:sz w:val="28"/>
          <w:szCs w:val="21"/>
          <w:lang w:eastAsia="zh-TW"/>
        </w:rPr>
        <w:t>10kV供配电电缆</w:t>
      </w:r>
      <w:r>
        <w:rPr>
          <w:rFonts w:ascii="Times New Roman" w:hAnsi="Times New Roman" w:eastAsia="宋体" w:cs="Times New Roman"/>
          <w:sz w:val="28"/>
          <w:szCs w:val="21"/>
        </w:rPr>
        <w:t>，</w:t>
      </w:r>
      <w:r>
        <w:rPr>
          <w:rFonts w:ascii="Times New Roman" w:hAnsi="Times New Roman" w:eastAsia="宋体" w:cs="Times New Roman"/>
          <w:sz w:val="28"/>
          <w:szCs w:val="21"/>
          <w:lang w:eastAsia="zh-TW"/>
        </w:rPr>
        <w:t>采用钢带铠装交联聚乙烯绝缘电缆。</w:t>
      </w:r>
    </w:p>
    <w:p w14:paraId="34BDB788">
      <w:pPr>
        <w:adjustRightInd w:val="0"/>
        <w:snapToGrid w:val="0"/>
        <w:spacing w:line="360" w:lineRule="auto"/>
        <w:ind w:firstLine="560" w:firstLineChars="200"/>
        <w:rPr>
          <w:rFonts w:ascii="Times New Roman" w:hAnsi="Times New Roman" w:eastAsia="宋体" w:cs="Times New Roman"/>
          <w:sz w:val="28"/>
          <w:szCs w:val="21"/>
          <w:lang w:eastAsia="zh-TW"/>
        </w:rPr>
      </w:pPr>
      <w:r>
        <w:rPr>
          <w:rFonts w:ascii="Times New Roman" w:hAnsi="Times New Roman" w:eastAsia="宋体" w:cs="Times New Roman"/>
          <w:sz w:val="28"/>
          <w:szCs w:val="21"/>
          <w:lang w:eastAsia="zh-TW"/>
        </w:rPr>
        <w:t>地表上的变压器为室外配置</w:t>
      </w:r>
      <w:r>
        <w:rPr>
          <w:rFonts w:ascii="Times New Roman" w:hAnsi="Times New Roman" w:eastAsia="宋体" w:cs="Times New Roman"/>
          <w:sz w:val="28"/>
          <w:szCs w:val="21"/>
        </w:rPr>
        <w:t>，</w:t>
      </w:r>
      <w:r>
        <w:rPr>
          <w:rFonts w:ascii="Times New Roman" w:hAnsi="Times New Roman" w:eastAsia="宋体" w:cs="Times New Roman"/>
          <w:sz w:val="28"/>
          <w:szCs w:val="21"/>
          <w:lang w:eastAsia="zh-TW"/>
        </w:rPr>
        <w:t>其余电气设备均为室内配置。</w:t>
      </w:r>
    </w:p>
    <w:p w14:paraId="6AEE3683">
      <w:pPr>
        <w:pStyle w:val="5"/>
        <w:adjustRightInd w:val="0"/>
        <w:snapToGrid w:val="0"/>
        <w:spacing w:line="360" w:lineRule="auto"/>
        <w:ind w:firstLine="560"/>
        <w:rPr>
          <w:rFonts w:ascii="Times New Roman" w:hAnsi="Times New Roman" w:eastAsia="宋体" w:cs="Times New Roman"/>
          <w:szCs w:val="21"/>
          <w:lang w:eastAsia="zh-TW"/>
        </w:rPr>
      </w:pPr>
      <w:r>
        <w:rPr>
          <w:rFonts w:ascii="Times New Roman" w:hAnsi="Times New Roman" w:cs="Times New Roman"/>
        </w:rPr>
        <w:t xml:space="preserve">2.4.7.5 </w:t>
      </w:r>
      <w:r>
        <w:rPr>
          <w:rFonts w:ascii="Times New Roman" w:hAnsi="Times New Roman" w:cs="Times New Roman"/>
          <w:szCs w:val="21"/>
          <w:lang w:eastAsia="zh-TW"/>
        </w:rPr>
        <w:t>破碎站及辅助设施电力传动</w:t>
      </w:r>
    </w:p>
    <w:p w14:paraId="13E964CA">
      <w:pPr>
        <w:adjustRightInd w:val="0"/>
        <w:snapToGrid w:val="0"/>
        <w:spacing w:line="360" w:lineRule="auto"/>
        <w:ind w:firstLine="560" w:firstLineChars="200"/>
        <w:rPr>
          <w:rFonts w:ascii="Times New Roman" w:hAnsi="Times New Roman" w:eastAsia="宋体" w:cs="Times New Roman"/>
          <w:sz w:val="28"/>
          <w:szCs w:val="21"/>
          <w:lang w:eastAsia="zh-TW"/>
        </w:rPr>
      </w:pPr>
      <w:r>
        <w:rPr>
          <w:rFonts w:ascii="Times New Roman" w:hAnsi="Times New Roman" w:eastAsia="宋体" w:cs="Times New Roman"/>
          <w:sz w:val="28"/>
          <w:szCs w:val="21"/>
        </w:rPr>
        <w:t>（1）</w:t>
      </w:r>
      <w:r>
        <w:rPr>
          <w:rFonts w:ascii="Times New Roman" w:hAnsi="Times New Roman" w:eastAsia="宋体" w:cs="Times New Roman"/>
          <w:sz w:val="28"/>
          <w:szCs w:val="21"/>
          <w:lang w:eastAsia="zh-TW"/>
        </w:rPr>
        <w:t>破碎设备</w:t>
      </w:r>
    </w:p>
    <w:p w14:paraId="666DA65A">
      <w:pPr>
        <w:adjustRightInd w:val="0"/>
        <w:snapToGrid w:val="0"/>
        <w:spacing w:line="360" w:lineRule="auto"/>
        <w:ind w:firstLine="560" w:firstLineChars="200"/>
        <w:rPr>
          <w:rFonts w:ascii="Times New Roman" w:hAnsi="Times New Roman" w:eastAsia="宋体" w:cs="Times New Roman"/>
          <w:sz w:val="28"/>
          <w:szCs w:val="21"/>
          <w:lang w:eastAsia="zh-TW"/>
        </w:rPr>
      </w:pPr>
      <w:r>
        <w:rPr>
          <w:rFonts w:ascii="Times New Roman" w:hAnsi="Times New Roman" w:eastAsia="宋体" w:cs="Times New Roman"/>
          <w:sz w:val="28"/>
          <w:szCs w:val="21"/>
          <w:lang w:eastAsia="zh-TW"/>
        </w:rPr>
        <w:t>用电设备主要为颚式破碎机、反击式破碎机、振动筛、皮带输送机等，供电电压0.38kV，设备的启动和控制设备由厂家成套提供。</w:t>
      </w:r>
    </w:p>
    <w:p w14:paraId="26BDA786">
      <w:pPr>
        <w:adjustRightInd w:val="0"/>
        <w:snapToGrid w:val="0"/>
        <w:spacing w:line="360" w:lineRule="auto"/>
        <w:ind w:firstLine="560" w:firstLineChars="200"/>
        <w:rPr>
          <w:rFonts w:ascii="Times New Roman" w:hAnsi="Times New Roman" w:eastAsia="宋体" w:cs="Times New Roman"/>
          <w:sz w:val="28"/>
          <w:szCs w:val="21"/>
          <w:lang w:eastAsia="zh-TW"/>
        </w:rPr>
      </w:pPr>
      <w:r>
        <w:rPr>
          <w:rFonts w:ascii="Times New Roman" w:hAnsi="Times New Roman" w:eastAsia="宋体" w:cs="Times New Roman"/>
          <w:sz w:val="28"/>
          <w:szCs w:val="21"/>
        </w:rPr>
        <w:t>（2）</w:t>
      </w:r>
      <w:r>
        <w:rPr>
          <w:rFonts w:ascii="Times New Roman" w:hAnsi="Times New Roman" w:eastAsia="宋体" w:cs="Times New Roman"/>
          <w:sz w:val="28"/>
          <w:szCs w:val="21"/>
          <w:lang w:eastAsia="zh-TW"/>
        </w:rPr>
        <w:t>机修设备</w:t>
      </w:r>
    </w:p>
    <w:p w14:paraId="79C37DC1">
      <w:pPr>
        <w:adjustRightInd w:val="0"/>
        <w:snapToGrid w:val="0"/>
        <w:spacing w:line="360" w:lineRule="auto"/>
        <w:ind w:firstLine="560" w:firstLineChars="200"/>
        <w:rPr>
          <w:rFonts w:ascii="Times New Roman" w:hAnsi="Times New Roman" w:eastAsia="宋体" w:cs="Times New Roman"/>
          <w:sz w:val="28"/>
          <w:szCs w:val="21"/>
          <w:lang w:eastAsia="zh-TW"/>
        </w:rPr>
      </w:pPr>
      <w:r>
        <w:rPr>
          <w:rFonts w:ascii="Times New Roman" w:hAnsi="Times New Roman" w:eastAsia="宋体" w:cs="Times New Roman"/>
          <w:sz w:val="28"/>
          <w:szCs w:val="21"/>
          <w:lang w:eastAsia="zh-TW"/>
        </w:rPr>
        <w:t>机修车间主要选用的是车床、刨床、钻床及电焊机等机械加工所需的设备，均为机电一体化，设计只需向其提供动力电源即可。</w:t>
      </w:r>
    </w:p>
    <w:p w14:paraId="068A33C3">
      <w:pPr>
        <w:pStyle w:val="5"/>
        <w:adjustRightInd w:val="0"/>
        <w:snapToGrid w:val="0"/>
        <w:spacing w:line="360" w:lineRule="auto"/>
        <w:ind w:firstLine="560"/>
        <w:rPr>
          <w:rFonts w:ascii="Times New Roman" w:hAnsi="Times New Roman" w:eastAsia="宋体" w:cs="Times New Roman"/>
          <w:szCs w:val="21"/>
          <w:lang w:eastAsia="zh-TW"/>
        </w:rPr>
      </w:pPr>
      <w:r>
        <w:rPr>
          <w:rFonts w:ascii="Times New Roman" w:hAnsi="Times New Roman" w:cs="Times New Roman"/>
        </w:rPr>
        <w:t>2.4.7.6 过电压保护及接地保护措施</w:t>
      </w:r>
    </w:p>
    <w:p w14:paraId="21F5E9C2">
      <w:pPr>
        <w:adjustRightInd w:val="0"/>
        <w:snapToGrid w:val="0"/>
        <w:spacing w:line="360" w:lineRule="auto"/>
        <w:ind w:firstLine="560" w:firstLineChars="200"/>
        <w:rPr>
          <w:rFonts w:ascii="Times New Roman" w:hAnsi="Times New Roman" w:eastAsia="宋体" w:cs="Times New Roman"/>
          <w:sz w:val="28"/>
          <w:szCs w:val="21"/>
          <w:lang w:eastAsia="zh-TW"/>
        </w:rPr>
      </w:pPr>
      <w:r>
        <w:rPr>
          <w:rFonts w:ascii="Times New Roman" w:hAnsi="Times New Roman" w:eastAsia="宋体" w:cs="Times New Roman"/>
          <w:sz w:val="28"/>
          <w:szCs w:val="21"/>
          <w:lang w:eastAsia="zh-TW"/>
        </w:rPr>
        <w:t>设计依据《</w:t>
      </w:r>
      <w:r>
        <w:rPr>
          <w:rFonts w:hint="eastAsia" w:ascii="Times New Roman" w:hAnsi="Times New Roman" w:eastAsia="宋体" w:cs="Times New Roman"/>
          <w:sz w:val="28"/>
          <w:szCs w:val="21"/>
        </w:rPr>
        <w:t>交流电气装置的过电压保护和绝缘配合设计规范</w:t>
      </w:r>
      <w:r>
        <w:rPr>
          <w:rFonts w:ascii="Times New Roman" w:hAnsi="Times New Roman" w:eastAsia="宋体" w:cs="Times New Roman"/>
          <w:sz w:val="28"/>
          <w:szCs w:val="21"/>
          <w:lang w:eastAsia="zh-TW"/>
        </w:rPr>
        <w:t>》（</w:t>
      </w:r>
      <w:r>
        <w:rPr>
          <w:rFonts w:hint="eastAsia" w:ascii="Times New Roman" w:hAnsi="Times New Roman" w:eastAsia="宋体" w:cs="Times New Roman"/>
          <w:sz w:val="28"/>
          <w:szCs w:val="21"/>
        </w:rPr>
        <w:t>GB/T 50064-2014</w:t>
      </w:r>
      <w:r>
        <w:rPr>
          <w:rFonts w:ascii="Times New Roman" w:hAnsi="Times New Roman" w:eastAsia="宋体" w:cs="Times New Roman"/>
          <w:sz w:val="28"/>
          <w:szCs w:val="21"/>
          <w:lang w:eastAsia="zh-TW"/>
        </w:rPr>
        <w:t>）、《</w:t>
      </w:r>
      <w:r>
        <w:rPr>
          <w:rFonts w:hint="eastAsia" w:ascii="Times New Roman" w:hAnsi="Times New Roman" w:eastAsia="宋体" w:cs="Times New Roman"/>
          <w:sz w:val="28"/>
          <w:szCs w:val="21"/>
        </w:rPr>
        <w:t>矿山电力设计标准</w:t>
      </w:r>
      <w:r>
        <w:rPr>
          <w:rFonts w:ascii="Times New Roman" w:hAnsi="Times New Roman" w:eastAsia="宋体" w:cs="Times New Roman"/>
          <w:sz w:val="28"/>
          <w:szCs w:val="21"/>
          <w:lang w:eastAsia="zh-TW"/>
        </w:rPr>
        <w:t>》（</w:t>
      </w:r>
      <w:r>
        <w:rPr>
          <w:rFonts w:hint="eastAsia" w:ascii="Times New Roman" w:hAnsi="Times New Roman" w:eastAsia="宋体" w:cs="Times New Roman"/>
          <w:sz w:val="28"/>
          <w:szCs w:val="21"/>
        </w:rPr>
        <w:t>GB 50070-2020</w:t>
      </w:r>
      <w:r>
        <w:rPr>
          <w:rFonts w:ascii="Times New Roman" w:hAnsi="Times New Roman" w:eastAsia="宋体" w:cs="Times New Roman"/>
          <w:sz w:val="28"/>
          <w:szCs w:val="21"/>
          <w:lang w:eastAsia="zh-TW"/>
        </w:rPr>
        <w:t>）、《建筑物防雷设计规范》（GB50057-2010）和《</w:t>
      </w:r>
      <w:r>
        <w:rPr>
          <w:rFonts w:hint="eastAsia" w:ascii="Times New Roman" w:hAnsi="Times New Roman" w:eastAsia="宋体" w:cs="Times New Roman"/>
          <w:sz w:val="28"/>
          <w:szCs w:val="21"/>
        </w:rPr>
        <w:t>交流电气装置的接地设计规范</w:t>
      </w:r>
      <w:r>
        <w:rPr>
          <w:rFonts w:ascii="Times New Roman" w:hAnsi="Times New Roman" w:eastAsia="宋体" w:cs="Times New Roman"/>
          <w:sz w:val="28"/>
          <w:szCs w:val="21"/>
          <w:lang w:eastAsia="zh-TW"/>
        </w:rPr>
        <w:t>》（</w:t>
      </w:r>
      <w:r>
        <w:rPr>
          <w:rFonts w:hint="eastAsia" w:ascii="Times New Roman" w:hAnsi="Times New Roman" w:eastAsia="宋体" w:cs="Times New Roman"/>
          <w:sz w:val="28"/>
          <w:szCs w:val="21"/>
        </w:rPr>
        <w:t>GB/T 50065-2011</w:t>
      </w:r>
      <w:r>
        <w:rPr>
          <w:rFonts w:ascii="Times New Roman" w:hAnsi="Times New Roman" w:eastAsia="宋体" w:cs="Times New Roman"/>
          <w:sz w:val="28"/>
          <w:szCs w:val="21"/>
          <w:lang w:eastAsia="zh-TW"/>
        </w:rPr>
        <w:t>）有关规定执行。</w:t>
      </w:r>
    </w:p>
    <w:p w14:paraId="278C57C3">
      <w:pPr>
        <w:adjustRightInd w:val="0"/>
        <w:snapToGrid w:val="0"/>
        <w:spacing w:line="360" w:lineRule="auto"/>
        <w:ind w:firstLine="560" w:firstLineChars="200"/>
        <w:rPr>
          <w:rFonts w:ascii="Times New Roman" w:hAnsi="Times New Roman" w:eastAsia="宋体" w:cs="Times New Roman"/>
          <w:sz w:val="28"/>
          <w:szCs w:val="21"/>
          <w:lang w:eastAsia="zh-TW"/>
        </w:rPr>
      </w:pPr>
      <w:r>
        <w:rPr>
          <w:rFonts w:ascii="Times New Roman" w:hAnsi="Times New Roman" w:eastAsia="宋体" w:cs="Times New Roman"/>
          <w:sz w:val="28"/>
          <w:szCs w:val="21"/>
        </w:rPr>
        <w:t>1、</w:t>
      </w:r>
      <w:r>
        <w:rPr>
          <w:rFonts w:ascii="Times New Roman" w:hAnsi="Times New Roman" w:eastAsia="宋体" w:cs="Times New Roman"/>
          <w:sz w:val="28"/>
          <w:szCs w:val="21"/>
          <w:lang w:eastAsia="zh-TW"/>
        </w:rPr>
        <w:t>过电压保护</w:t>
      </w:r>
    </w:p>
    <w:p w14:paraId="68EE87A4">
      <w:pPr>
        <w:adjustRightInd w:val="0"/>
        <w:snapToGrid w:val="0"/>
        <w:spacing w:line="360" w:lineRule="auto"/>
        <w:ind w:firstLine="560" w:firstLineChars="200"/>
        <w:rPr>
          <w:rFonts w:ascii="Times New Roman" w:hAnsi="Times New Roman" w:eastAsia="宋体" w:cs="Times New Roman"/>
          <w:sz w:val="28"/>
          <w:szCs w:val="21"/>
          <w:lang w:eastAsia="zh-TW"/>
        </w:rPr>
      </w:pPr>
      <w:r>
        <w:rPr>
          <w:rFonts w:ascii="Times New Roman" w:hAnsi="Times New Roman" w:eastAsia="宋体" w:cs="Times New Roman"/>
          <w:sz w:val="28"/>
          <w:szCs w:val="21"/>
        </w:rPr>
        <w:t>（1）</w:t>
      </w:r>
      <w:r>
        <w:rPr>
          <w:rFonts w:ascii="Times New Roman" w:hAnsi="Times New Roman" w:eastAsia="宋体" w:cs="Times New Roman"/>
          <w:sz w:val="28"/>
          <w:szCs w:val="21"/>
          <w:lang w:eastAsia="zh-TW"/>
        </w:rPr>
        <w:t>在</w:t>
      </w:r>
      <w:r>
        <w:rPr>
          <w:rFonts w:ascii="Times New Roman" w:hAnsi="Times New Roman" w:eastAsia="宋体" w:cs="Times New Roman"/>
          <w:sz w:val="28"/>
          <w:szCs w:val="21"/>
        </w:rPr>
        <w:t>此</w:t>
      </w:r>
      <w:r>
        <w:rPr>
          <w:rFonts w:ascii="Times New Roman" w:hAnsi="Times New Roman" w:eastAsia="宋体" w:cs="Times New Roman"/>
          <w:sz w:val="28"/>
          <w:szCs w:val="21"/>
          <w:lang w:eastAsia="zh-TW"/>
        </w:rPr>
        <w:t>设计范围内，桶装油品间内属于一类防雷建筑物，对第一类建筑物防直击雷过电压保护采用独立避雷针和独立的接地装置，第一类建筑物还应在屋顶上装设避雷带，防雷电感应过电压。</w:t>
      </w:r>
    </w:p>
    <w:p w14:paraId="1AD383D3">
      <w:pPr>
        <w:adjustRightInd w:val="0"/>
        <w:snapToGrid w:val="0"/>
        <w:spacing w:line="360" w:lineRule="auto"/>
        <w:ind w:firstLine="560" w:firstLineChars="200"/>
        <w:rPr>
          <w:rFonts w:ascii="Times New Roman" w:hAnsi="Times New Roman" w:eastAsia="宋体" w:cs="Times New Roman"/>
          <w:sz w:val="28"/>
          <w:szCs w:val="21"/>
          <w:lang w:eastAsia="zh-TW"/>
        </w:rPr>
      </w:pPr>
      <w:r>
        <w:rPr>
          <w:rFonts w:hint="eastAsia" w:ascii="Times New Roman" w:hAnsi="Times New Roman" w:eastAsia="宋体" w:cs="Times New Roman"/>
          <w:sz w:val="28"/>
          <w:szCs w:val="21"/>
        </w:rPr>
        <w:t>其他辅助</w:t>
      </w:r>
      <w:r>
        <w:rPr>
          <w:rFonts w:ascii="Times New Roman" w:hAnsi="Times New Roman" w:eastAsia="宋体" w:cs="Times New Roman"/>
          <w:sz w:val="28"/>
          <w:szCs w:val="21"/>
          <w:lang w:eastAsia="zh-TW"/>
        </w:rPr>
        <w:t>设施均属于三类防雷建筑物，建筑物的防直击雷采用屋面装设避雷带。</w:t>
      </w:r>
    </w:p>
    <w:p w14:paraId="53A3FBF4">
      <w:pPr>
        <w:adjustRightInd w:val="0"/>
        <w:snapToGrid w:val="0"/>
        <w:spacing w:line="360" w:lineRule="auto"/>
        <w:ind w:firstLine="560" w:firstLineChars="200"/>
        <w:rPr>
          <w:rFonts w:ascii="Times New Roman" w:hAnsi="Times New Roman" w:eastAsia="宋体" w:cs="Times New Roman"/>
          <w:sz w:val="28"/>
          <w:szCs w:val="21"/>
          <w:lang w:eastAsia="zh-TW"/>
        </w:rPr>
      </w:pPr>
      <w:r>
        <w:rPr>
          <w:rFonts w:ascii="Times New Roman" w:hAnsi="Times New Roman" w:eastAsia="宋体" w:cs="Times New Roman"/>
          <w:sz w:val="28"/>
          <w:szCs w:val="21"/>
        </w:rPr>
        <w:t>（2）</w:t>
      </w:r>
      <w:r>
        <w:rPr>
          <w:rFonts w:ascii="Times New Roman" w:hAnsi="Times New Roman" w:eastAsia="宋体" w:cs="Times New Roman"/>
          <w:sz w:val="28"/>
          <w:szCs w:val="21"/>
          <w:lang w:eastAsia="zh-TW"/>
        </w:rPr>
        <w:t>破碎站架空供电线路应在电源线与环形线的连接处、环形线与分支线的连接处、分支线与高压电力设备的连接处装设阀型避雷器，作为防雷电侵入的过电压保护。</w:t>
      </w:r>
    </w:p>
    <w:p w14:paraId="54C42833">
      <w:pPr>
        <w:adjustRightInd w:val="0"/>
        <w:snapToGrid w:val="0"/>
        <w:spacing w:line="360" w:lineRule="auto"/>
        <w:ind w:firstLine="560" w:firstLineChars="200"/>
        <w:rPr>
          <w:rFonts w:ascii="Times New Roman" w:hAnsi="Times New Roman" w:eastAsia="宋体" w:cs="Times New Roman"/>
          <w:sz w:val="28"/>
          <w:szCs w:val="21"/>
          <w:lang w:eastAsia="zh-TW"/>
        </w:rPr>
      </w:pPr>
      <w:r>
        <w:rPr>
          <w:rFonts w:ascii="Times New Roman" w:hAnsi="Times New Roman" w:eastAsia="宋体" w:cs="Times New Roman"/>
          <w:sz w:val="28"/>
          <w:szCs w:val="21"/>
        </w:rPr>
        <w:t>2、</w:t>
      </w:r>
      <w:r>
        <w:rPr>
          <w:rFonts w:ascii="Times New Roman" w:hAnsi="Times New Roman" w:eastAsia="宋体" w:cs="Times New Roman"/>
          <w:sz w:val="28"/>
          <w:szCs w:val="21"/>
          <w:lang w:eastAsia="zh-TW"/>
        </w:rPr>
        <w:t>接地</w:t>
      </w:r>
    </w:p>
    <w:p w14:paraId="12ED9C83">
      <w:pPr>
        <w:adjustRightInd w:val="0"/>
        <w:snapToGrid w:val="0"/>
        <w:spacing w:line="360" w:lineRule="auto"/>
        <w:ind w:firstLine="560" w:firstLineChars="200"/>
        <w:rPr>
          <w:rFonts w:ascii="Times New Roman" w:hAnsi="Times New Roman" w:eastAsia="宋体" w:cs="Times New Roman"/>
          <w:sz w:val="28"/>
          <w:szCs w:val="21"/>
          <w:lang w:eastAsia="zh-TW"/>
        </w:rPr>
      </w:pPr>
      <w:r>
        <w:rPr>
          <w:rFonts w:ascii="Times New Roman" w:hAnsi="Times New Roman" w:eastAsia="宋体" w:cs="Times New Roman"/>
          <w:sz w:val="28"/>
          <w:szCs w:val="21"/>
        </w:rPr>
        <w:t>（1）</w:t>
      </w:r>
      <w:r>
        <w:rPr>
          <w:rFonts w:ascii="Times New Roman" w:hAnsi="Times New Roman" w:eastAsia="宋体" w:cs="Times New Roman"/>
          <w:sz w:val="28"/>
          <w:szCs w:val="21"/>
          <w:lang w:eastAsia="zh-TW"/>
        </w:rPr>
        <w:t>破碎站设两组主接地极，当任一组主接地极断开后，在架空接地线任一点所测得的对地电阻值不大于4Ω，移动式设备与架空接地线之间的接地电阻值，不大于1Ω。</w:t>
      </w:r>
    </w:p>
    <w:p w14:paraId="25C0E0B6">
      <w:pPr>
        <w:adjustRightInd w:val="0"/>
        <w:snapToGrid w:val="0"/>
        <w:spacing w:line="360" w:lineRule="auto"/>
        <w:ind w:firstLine="560" w:firstLineChars="200"/>
        <w:rPr>
          <w:rFonts w:ascii="Times New Roman" w:hAnsi="Times New Roman" w:eastAsia="宋体" w:cs="Times New Roman"/>
          <w:sz w:val="28"/>
          <w:szCs w:val="21"/>
          <w:lang w:eastAsia="zh-TW"/>
        </w:rPr>
      </w:pPr>
      <w:r>
        <w:rPr>
          <w:rFonts w:ascii="Times New Roman" w:hAnsi="Times New Roman" w:eastAsia="宋体" w:cs="Times New Roman"/>
          <w:sz w:val="28"/>
          <w:szCs w:val="21"/>
        </w:rPr>
        <w:t>（2）</w:t>
      </w:r>
      <w:r>
        <w:rPr>
          <w:rFonts w:ascii="Times New Roman" w:hAnsi="Times New Roman" w:eastAsia="宋体" w:cs="Times New Roman"/>
          <w:sz w:val="28"/>
          <w:szCs w:val="21"/>
          <w:lang w:eastAsia="zh-TW"/>
        </w:rPr>
        <w:t>在</w:t>
      </w:r>
      <w:r>
        <w:rPr>
          <w:rFonts w:ascii="Times New Roman" w:hAnsi="Times New Roman" w:eastAsia="宋体" w:cs="Times New Roman"/>
          <w:sz w:val="28"/>
          <w:szCs w:val="21"/>
        </w:rPr>
        <w:t>此</w:t>
      </w:r>
      <w:r>
        <w:rPr>
          <w:rFonts w:ascii="Times New Roman" w:hAnsi="Times New Roman" w:eastAsia="宋体" w:cs="Times New Roman"/>
          <w:sz w:val="28"/>
          <w:szCs w:val="21"/>
          <w:lang w:eastAsia="zh-TW"/>
        </w:rPr>
        <w:t>次设计范围内，炸药库、桶装油品间属于一类防雷建筑物，</w:t>
      </w:r>
      <w:r>
        <w:rPr>
          <w:rFonts w:hint="eastAsia" w:ascii="Times New Roman" w:hAnsi="Times New Roman" w:eastAsia="宋体" w:cs="Times New Roman"/>
          <w:sz w:val="28"/>
          <w:szCs w:val="21"/>
        </w:rPr>
        <w:t>其他辅助</w:t>
      </w:r>
      <w:r>
        <w:rPr>
          <w:rFonts w:ascii="Times New Roman" w:hAnsi="Times New Roman" w:eastAsia="宋体" w:cs="Times New Roman"/>
          <w:sz w:val="28"/>
          <w:szCs w:val="21"/>
          <w:lang w:eastAsia="zh-TW"/>
        </w:rPr>
        <w:t>设施均属于三类防雷建筑物。一类防雷建筑物接地装置的冲击接地电阻不大于10Ω；三类防雷建筑物接地装置的冲击接地电阻不大于30Ω。</w:t>
      </w:r>
    </w:p>
    <w:p w14:paraId="432DC8F0">
      <w:pPr>
        <w:adjustRightInd w:val="0"/>
        <w:snapToGrid w:val="0"/>
        <w:spacing w:line="360" w:lineRule="auto"/>
        <w:ind w:firstLine="560" w:firstLineChars="200"/>
        <w:rPr>
          <w:rFonts w:ascii="Times New Roman" w:hAnsi="Times New Roman" w:eastAsia="宋体" w:cs="Times New Roman"/>
          <w:sz w:val="28"/>
          <w:szCs w:val="21"/>
          <w:lang w:eastAsia="zh-TW"/>
        </w:rPr>
      </w:pPr>
      <w:r>
        <w:rPr>
          <w:rFonts w:ascii="Times New Roman" w:hAnsi="Times New Roman" w:eastAsia="宋体" w:cs="Times New Roman"/>
          <w:sz w:val="28"/>
          <w:szCs w:val="21"/>
        </w:rPr>
        <w:t>（3）</w:t>
      </w:r>
      <w:r>
        <w:rPr>
          <w:rFonts w:ascii="Times New Roman" w:hAnsi="Times New Roman" w:eastAsia="宋体" w:cs="Times New Roman"/>
          <w:sz w:val="28"/>
          <w:szCs w:val="21"/>
          <w:lang w:eastAsia="zh-TW"/>
        </w:rPr>
        <w:t>破碎站低压电网中性点采用经电阻接地型式，低压电网装设具有剩余电流动作的保护器作单相接地故障保护。</w:t>
      </w:r>
    </w:p>
    <w:p w14:paraId="6EE9C6AE">
      <w:pPr>
        <w:adjustRightInd w:val="0"/>
        <w:snapToGrid w:val="0"/>
        <w:spacing w:line="360" w:lineRule="auto"/>
        <w:ind w:firstLine="560" w:firstLineChars="200"/>
        <w:rPr>
          <w:rFonts w:ascii="Times New Roman" w:hAnsi="Times New Roman" w:eastAsia="宋体" w:cs="Times New Roman"/>
          <w:sz w:val="28"/>
          <w:szCs w:val="21"/>
          <w:lang w:eastAsia="zh-TW"/>
        </w:rPr>
      </w:pPr>
      <w:r>
        <w:rPr>
          <w:rFonts w:ascii="Times New Roman" w:hAnsi="Times New Roman" w:eastAsia="宋体" w:cs="Times New Roman"/>
          <w:sz w:val="28"/>
          <w:szCs w:val="21"/>
        </w:rPr>
        <w:t>（4）</w:t>
      </w:r>
      <w:r>
        <w:rPr>
          <w:rFonts w:ascii="Times New Roman" w:hAnsi="Times New Roman" w:eastAsia="宋体" w:cs="Times New Roman"/>
          <w:sz w:val="28"/>
          <w:szCs w:val="21"/>
          <w:lang w:eastAsia="zh-TW"/>
        </w:rPr>
        <w:t>生产辅助设施低压配电系统采用中性点直接接地的TN-C-S系统。</w:t>
      </w:r>
    </w:p>
    <w:p w14:paraId="5BE77981">
      <w:pPr>
        <w:pStyle w:val="5"/>
        <w:adjustRightInd w:val="0"/>
        <w:snapToGrid w:val="0"/>
        <w:spacing w:line="360" w:lineRule="auto"/>
        <w:ind w:firstLine="560"/>
        <w:rPr>
          <w:rFonts w:ascii="Times New Roman" w:hAnsi="Times New Roman" w:eastAsia="宋体" w:cs="Times New Roman"/>
          <w:szCs w:val="21"/>
          <w:lang w:eastAsia="zh-TW"/>
        </w:rPr>
      </w:pPr>
      <w:r>
        <w:rPr>
          <w:rFonts w:ascii="Times New Roman" w:hAnsi="Times New Roman" w:cs="Times New Roman"/>
        </w:rPr>
        <w:t xml:space="preserve">2.4.7.7 </w:t>
      </w:r>
      <w:r>
        <w:rPr>
          <w:rFonts w:ascii="Times New Roman" w:hAnsi="Times New Roman" w:cs="Times New Roman"/>
          <w:szCs w:val="21"/>
          <w:lang w:eastAsia="zh-TW"/>
        </w:rPr>
        <w:t>电气照明</w:t>
      </w:r>
    </w:p>
    <w:p w14:paraId="4B0A27C9">
      <w:pPr>
        <w:adjustRightInd w:val="0"/>
        <w:snapToGrid w:val="0"/>
        <w:spacing w:line="360" w:lineRule="auto"/>
        <w:ind w:firstLine="560" w:firstLineChars="200"/>
        <w:rPr>
          <w:rFonts w:ascii="Times New Roman" w:hAnsi="Times New Roman" w:eastAsia="宋体" w:cs="Times New Roman"/>
          <w:sz w:val="28"/>
          <w:szCs w:val="21"/>
          <w:lang w:eastAsia="zh-TW"/>
        </w:rPr>
      </w:pPr>
      <w:r>
        <w:rPr>
          <w:rFonts w:ascii="Times New Roman" w:hAnsi="Times New Roman" w:eastAsia="宋体" w:cs="Times New Roman"/>
          <w:sz w:val="28"/>
          <w:szCs w:val="21"/>
          <w:lang w:eastAsia="zh-TW"/>
        </w:rPr>
        <w:t>照明电压采用220Ｖ。不设专用照明变压器，而分别取自各变电所、二级配电室或动力配电箱的专用照明回路。设照明配电箱配电及控制。</w:t>
      </w:r>
    </w:p>
    <w:p w14:paraId="099D4D1F">
      <w:pPr>
        <w:adjustRightInd w:val="0"/>
        <w:snapToGrid w:val="0"/>
        <w:spacing w:line="360" w:lineRule="auto"/>
        <w:ind w:firstLine="560" w:firstLineChars="200"/>
        <w:rPr>
          <w:rFonts w:ascii="Times New Roman" w:hAnsi="Times New Roman" w:eastAsia="宋体" w:cs="Times New Roman"/>
          <w:sz w:val="28"/>
          <w:szCs w:val="21"/>
          <w:lang w:eastAsia="zh-TW"/>
        </w:rPr>
      </w:pPr>
      <w:r>
        <w:rPr>
          <w:rFonts w:ascii="Times New Roman" w:hAnsi="Times New Roman" w:eastAsia="宋体" w:cs="Times New Roman"/>
          <w:sz w:val="28"/>
          <w:szCs w:val="21"/>
          <w:lang w:eastAsia="zh-TW"/>
        </w:rPr>
        <w:t>破碎站照明配线一般采用穿管明设，灯具型式视厂房高度及环境条件，光色、照度要求等而采用不同的工厂灯，但力求统一，尽可能减少灯具种类。照明光源厂房一般采用节能型灯或钠灯；办公室等一般为荧光灯；桶装油品间采用防护型灯。</w:t>
      </w:r>
    </w:p>
    <w:p w14:paraId="4427AFF6">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2.4.</w:t>
      </w:r>
      <w:r>
        <w:rPr>
          <w:rFonts w:ascii="Times New Roman" w:hAnsi="Times New Roman" w:eastAsia="宋体" w:cs="Times New Roman"/>
          <w:b/>
          <w:bCs w:val="0"/>
          <w:color w:val="000000" w:themeColor="text1"/>
          <w14:textFill>
            <w14:solidFill>
              <w14:schemeClr w14:val="tx1"/>
            </w14:solidFill>
          </w14:textFill>
        </w:rPr>
        <w:t>8</w:t>
      </w:r>
      <w:r>
        <w:rPr>
          <w:rFonts w:ascii="Times New Roman" w:hAnsi="Times New Roman" w:eastAsia="宋体" w:cs="Times New Roman"/>
          <w:b/>
          <w:bCs w:val="0"/>
          <w:color w:val="000000" w:themeColor="text1"/>
          <w:lang w:val="en-GB"/>
          <w14:textFill>
            <w14:solidFill>
              <w14:schemeClr w14:val="tx1"/>
            </w14:solidFill>
          </w14:textFill>
        </w:rPr>
        <w:t xml:space="preserve"> </w:t>
      </w:r>
      <w:r>
        <w:rPr>
          <w:rFonts w:ascii="Times New Roman" w:hAnsi="Times New Roman" w:eastAsia="宋体" w:cs="Times New Roman"/>
          <w:b/>
          <w:bCs w:val="0"/>
          <w:color w:val="000000" w:themeColor="text1"/>
          <w14:textFill>
            <w14:solidFill>
              <w14:schemeClr w14:val="tx1"/>
            </w14:solidFill>
          </w14:textFill>
        </w:rPr>
        <w:t>给</w:t>
      </w:r>
      <w:r>
        <w:rPr>
          <w:rFonts w:ascii="Times New Roman" w:hAnsi="Times New Roman" w:eastAsia="宋体" w:cs="Times New Roman"/>
          <w:b/>
          <w:bCs w:val="0"/>
          <w:color w:val="000000" w:themeColor="text1"/>
          <w:lang w:val="en-GB"/>
          <w14:textFill>
            <w14:solidFill>
              <w14:schemeClr w14:val="tx1"/>
            </w14:solidFill>
          </w14:textFill>
        </w:rPr>
        <w:t>排水系统</w:t>
      </w:r>
    </w:p>
    <w:p w14:paraId="6F1D4CD8">
      <w:pPr>
        <w:pStyle w:val="5"/>
        <w:adjustRightInd w:val="0"/>
        <w:snapToGrid w:val="0"/>
        <w:spacing w:line="360" w:lineRule="auto"/>
        <w:ind w:firstLine="560"/>
        <w:rPr>
          <w:rFonts w:ascii="Times New Roman" w:hAnsi="Times New Roman" w:cs="Times New Roman"/>
          <w:szCs w:val="21"/>
        </w:rPr>
      </w:pPr>
      <w:bookmarkStart w:id="65" w:name="_Hlk129347528"/>
      <w:r>
        <w:rPr>
          <w:rFonts w:ascii="Times New Roman" w:hAnsi="Times New Roman" w:cs="Times New Roman"/>
        </w:rPr>
        <w:t xml:space="preserve">2.4.8.1 </w:t>
      </w:r>
      <w:r>
        <w:rPr>
          <w:rFonts w:ascii="Times New Roman" w:hAnsi="Times New Roman" w:cs="Times New Roman"/>
          <w:szCs w:val="21"/>
        </w:rPr>
        <w:t>给水</w:t>
      </w:r>
    </w:p>
    <w:p w14:paraId="74AA493C">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1、用水量、水质、水压</w:t>
      </w:r>
    </w:p>
    <w:p w14:paraId="7A381114">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总用水量85m</w:t>
      </w:r>
      <w:r>
        <w:rPr>
          <w:rFonts w:ascii="Times New Roman" w:hAnsi="Times New Roman" w:eastAsia="宋体" w:cs="Times New Roman"/>
          <w:sz w:val="28"/>
          <w:szCs w:val="21"/>
          <w:vertAlign w:val="superscript"/>
        </w:rPr>
        <w:t>3</w:t>
      </w:r>
      <w:r>
        <w:rPr>
          <w:rFonts w:ascii="Times New Roman" w:hAnsi="Times New Roman" w:eastAsia="宋体" w:cs="Times New Roman"/>
          <w:sz w:val="28"/>
          <w:szCs w:val="21"/>
        </w:rPr>
        <w:t>/d，其中：生产生活用水73.5m</w:t>
      </w:r>
      <w:r>
        <w:rPr>
          <w:rFonts w:ascii="Times New Roman" w:hAnsi="Times New Roman" w:eastAsia="宋体" w:cs="Times New Roman"/>
          <w:sz w:val="28"/>
          <w:szCs w:val="21"/>
          <w:vertAlign w:val="superscript"/>
        </w:rPr>
        <w:t>3</w:t>
      </w:r>
      <w:r>
        <w:rPr>
          <w:rFonts w:ascii="Times New Roman" w:hAnsi="Times New Roman" w:eastAsia="宋体" w:cs="Times New Roman"/>
          <w:sz w:val="28"/>
          <w:szCs w:val="21"/>
        </w:rPr>
        <w:t>/d，其他用水11.5m</w:t>
      </w:r>
      <w:r>
        <w:rPr>
          <w:rFonts w:ascii="Times New Roman" w:hAnsi="Times New Roman" w:eastAsia="宋体" w:cs="Times New Roman"/>
          <w:sz w:val="28"/>
          <w:szCs w:val="21"/>
          <w:vertAlign w:val="superscript"/>
        </w:rPr>
        <w:t>3</w:t>
      </w:r>
      <w:r>
        <w:rPr>
          <w:rFonts w:ascii="Times New Roman" w:hAnsi="Times New Roman" w:eastAsia="宋体" w:cs="Times New Roman"/>
          <w:sz w:val="28"/>
          <w:szCs w:val="21"/>
        </w:rPr>
        <w:t>/d。</w:t>
      </w:r>
    </w:p>
    <w:p w14:paraId="133BF9FA">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供水压力：0.1－0.3Mpa。</w:t>
      </w:r>
    </w:p>
    <w:p w14:paraId="485CED35">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供水水质：生产用水满足生产用水标准要求、生活用水要求满足生活饮用水标准。</w:t>
      </w:r>
    </w:p>
    <w:p w14:paraId="5BAAAB7C">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2、给水水源及供水系统</w:t>
      </w:r>
    </w:p>
    <w:p w14:paraId="4B4C7D53">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矿山生活用水引用当地供水管网</w:t>
      </w:r>
      <w:r>
        <w:rPr>
          <w:rFonts w:hint="eastAsia" w:ascii="Times New Roman" w:hAnsi="Times New Roman" w:eastAsia="宋体" w:cs="Times New Roman"/>
          <w:sz w:val="28"/>
          <w:szCs w:val="21"/>
        </w:rPr>
        <w:t>地</w:t>
      </w:r>
      <w:r>
        <w:rPr>
          <w:rFonts w:ascii="Times New Roman" w:hAnsi="Times New Roman" w:eastAsia="宋体" w:cs="Times New Roman"/>
          <w:sz w:val="28"/>
          <w:szCs w:val="21"/>
        </w:rPr>
        <w:t>自来水，生产用水取自附近溪沟，水质水量满足生活饮用水标准。</w:t>
      </w:r>
    </w:p>
    <w:p w14:paraId="25C5ADB1">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（1）生产新水给水系统</w:t>
      </w:r>
    </w:p>
    <w:p w14:paraId="4ECCFB8F">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由水泵在取水点引至高位水池（水罐），之后采用给水管网（DN100钢管），至采剥工作面及运输工作面，公路洒水由洒水车运水负责。</w:t>
      </w:r>
    </w:p>
    <w:p w14:paraId="35B4BF53">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（2）消防给水系统</w:t>
      </w:r>
    </w:p>
    <w:p w14:paraId="5FCE62B5">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矿山工业场地的主要建筑物为破碎站、采场、堆料场、办公室、生活区等，耐火等级为二级，生产</w:t>
      </w:r>
      <w:r>
        <w:rPr>
          <w:rFonts w:hint="eastAsia" w:ascii="Times New Roman" w:hAnsi="Times New Roman" w:eastAsia="宋体" w:cs="Times New Roman"/>
          <w:sz w:val="28"/>
          <w:szCs w:val="21"/>
        </w:rPr>
        <w:t>类别</w:t>
      </w:r>
      <w:r>
        <w:rPr>
          <w:rFonts w:ascii="Times New Roman" w:hAnsi="Times New Roman" w:eastAsia="宋体" w:cs="Times New Roman"/>
          <w:sz w:val="28"/>
          <w:szCs w:val="21"/>
        </w:rPr>
        <w:t>为丁戊类，建筑占地面积小，建筑高度不高，根据《建筑设计防火规范》（</w:t>
      </w:r>
      <w:r>
        <w:rPr>
          <w:rFonts w:hint="eastAsia" w:ascii="Times New Roman" w:hAnsi="Times New Roman" w:eastAsia="宋体" w:cs="Times New Roman"/>
          <w:sz w:val="28"/>
          <w:szCs w:val="21"/>
        </w:rPr>
        <w:t>GB 50016-2014[2018年版]</w:t>
      </w:r>
      <w:r>
        <w:rPr>
          <w:rFonts w:ascii="Times New Roman" w:hAnsi="Times New Roman" w:eastAsia="宋体" w:cs="Times New Roman"/>
          <w:sz w:val="28"/>
          <w:szCs w:val="21"/>
        </w:rPr>
        <w:t>）的规定，可不设置室外消防给水系统。</w:t>
      </w:r>
    </w:p>
    <w:p w14:paraId="6B65CD72">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根据《</w:t>
      </w:r>
      <w:r>
        <w:rPr>
          <w:rFonts w:hint="eastAsia" w:ascii="Times New Roman" w:hAnsi="Times New Roman" w:eastAsia="宋体" w:cs="Times New Roman"/>
          <w:sz w:val="28"/>
          <w:szCs w:val="21"/>
        </w:rPr>
        <w:t>建筑灭火器配置设计规范</w:t>
      </w:r>
      <w:r>
        <w:rPr>
          <w:rFonts w:ascii="Times New Roman" w:hAnsi="Times New Roman" w:eastAsia="宋体" w:cs="Times New Roman"/>
          <w:sz w:val="28"/>
          <w:szCs w:val="21"/>
        </w:rPr>
        <w:t>》（GB50140-2005）要求，在配电室、办公区、生活区等场所各配置一组（2</w:t>
      </w:r>
      <w:r>
        <w:rPr>
          <w:rFonts w:hint="eastAsia" w:ascii="Times New Roman" w:hAnsi="Times New Roman" w:eastAsia="宋体" w:cs="Times New Roman"/>
          <w:sz w:val="28"/>
          <w:szCs w:val="21"/>
        </w:rPr>
        <w:t>—</w:t>
      </w:r>
      <w:r>
        <w:rPr>
          <w:rFonts w:ascii="Times New Roman" w:hAnsi="Times New Roman" w:eastAsia="宋体" w:cs="Times New Roman"/>
          <w:sz w:val="28"/>
          <w:szCs w:val="21"/>
        </w:rPr>
        <w:t>4个）手提式磷酸铵盐干粉灭火器。</w:t>
      </w:r>
    </w:p>
    <w:p w14:paraId="0D87B13A">
      <w:pPr>
        <w:pStyle w:val="5"/>
        <w:adjustRightInd w:val="0"/>
        <w:snapToGrid w:val="0"/>
        <w:spacing w:line="360" w:lineRule="auto"/>
        <w:ind w:firstLine="560"/>
        <w:rPr>
          <w:rFonts w:ascii="Times New Roman" w:hAnsi="Times New Roman" w:cs="Times New Roman"/>
          <w:szCs w:val="21"/>
        </w:rPr>
      </w:pPr>
      <w:r>
        <w:rPr>
          <w:rFonts w:ascii="Times New Roman" w:hAnsi="Times New Roman" w:cs="Times New Roman"/>
        </w:rPr>
        <w:t>2.4.8.2 排</w:t>
      </w:r>
      <w:r>
        <w:rPr>
          <w:rFonts w:ascii="Times New Roman" w:hAnsi="Times New Roman" w:cs="Times New Roman"/>
          <w:szCs w:val="21"/>
        </w:rPr>
        <w:t>水</w:t>
      </w:r>
    </w:p>
    <w:p w14:paraId="3FD0FBD8">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生产、生活等排水16.43m</w:t>
      </w:r>
      <w:r>
        <w:rPr>
          <w:rFonts w:ascii="Times New Roman" w:hAnsi="Times New Roman" w:eastAsia="宋体" w:cs="Times New Roman"/>
          <w:sz w:val="28"/>
          <w:szCs w:val="21"/>
          <w:vertAlign w:val="superscript"/>
        </w:rPr>
        <w:t>3</w:t>
      </w:r>
      <w:r>
        <w:rPr>
          <w:rFonts w:ascii="Times New Roman" w:hAnsi="Times New Roman" w:eastAsia="宋体" w:cs="Times New Roman"/>
          <w:sz w:val="28"/>
          <w:szCs w:val="21"/>
        </w:rPr>
        <w:t>/d。厕所设计全部采用旱厕，生活排水</w:t>
      </w:r>
      <w:r>
        <w:rPr>
          <w:rFonts w:hint="eastAsia" w:ascii="Times New Roman" w:hAnsi="Times New Roman" w:eastAsia="宋体" w:cs="Times New Roman"/>
          <w:sz w:val="28"/>
          <w:szCs w:val="21"/>
        </w:rPr>
        <w:t>基本</w:t>
      </w:r>
      <w:r>
        <w:rPr>
          <w:rFonts w:ascii="Times New Roman" w:hAnsi="Times New Roman" w:eastAsia="宋体" w:cs="Times New Roman"/>
          <w:sz w:val="28"/>
          <w:szCs w:val="21"/>
        </w:rPr>
        <w:t>是清洁废水，经沉淀后，就近排入附近山沟水体或用于农田灌溉。机汽修车间会有少量含油废水排出，经隔油池处理后外排或回用。</w:t>
      </w:r>
    </w:p>
    <w:bookmarkEnd w:id="65"/>
    <w:p w14:paraId="3A803C27">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2.4.10</w:t>
      </w:r>
      <w:r>
        <w:rPr>
          <w:rFonts w:hint="eastAsia"/>
        </w:rPr>
        <w:t>临时</w:t>
      </w:r>
      <w:r>
        <w:rPr>
          <w:rFonts w:ascii="Times New Roman" w:hAnsi="Times New Roman" w:eastAsia="宋体" w:cs="Times New Roman"/>
          <w:b/>
          <w:bCs w:val="0"/>
          <w:color w:val="000000" w:themeColor="text1"/>
          <w:lang w:val="en-GB"/>
          <w14:textFill>
            <w14:solidFill>
              <w14:schemeClr w14:val="tx1"/>
            </w14:solidFill>
          </w14:textFill>
        </w:rPr>
        <w:t>排土场</w:t>
      </w:r>
    </w:p>
    <w:p w14:paraId="2265C019">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露天采场内共剥离出废土石共13.16万m</w:t>
      </w:r>
      <w:r>
        <w:rPr>
          <w:rFonts w:ascii="Times New Roman" w:hAnsi="Times New Roman" w:eastAsia="宋体" w:cs="Times New Roman"/>
          <w:sz w:val="28"/>
          <w:szCs w:val="21"/>
          <w:vertAlign w:val="superscript"/>
        </w:rPr>
        <w:t>3</w:t>
      </w:r>
      <w:r>
        <w:rPr>
          <w:rFonts w:ascii="Times New Roman" w:hAnsi="Times New Roman" w:eastAsia="宋体" w:cs="Times New Roman"/>
          <w:sz w:val="28"/>
          <w:szCs w:val="21"/>
        </w:rPr>
        <w:t>，</w:t>
      </w:r>
      <w:r>
        <w:rPr>
          <w:rFonts w:hint="eastAsia" w:ascii="Times New Roman" w:hAnsi="Times New Roman" w:eastAsia="宋体" w:cs="Times New Roman"/>
          <w:sz w:val="28"/>
          <w:szCs w:val="21"/>
        </w:rPr>
        <w:t>设计</w:t>
      </w:r>
      <w:r>
        <w:rPr>
          <w:rFonts w:ascii="Times New Roman" w:hAnsi="Times New Roman" w:eastAsia="宋体" w:cs="Times New Roman"/>
          <w:sz w:val="28"/>
          <w:szCs w:val="21"/>
        </w:rPr>
        <w:t>在矿区北西面山谷建设一临时排土场。该山谷呈东—西走向，东部高，西部低，两侧为山坡。谷底坡度8°—12°，局部略陡，谷底宽60m—120m，长度大于200m。排土场可以使用的有效长度约150m。矿山剥离量不大，该排土场仅为临时排土场，废土可用于矿山后期的复垦，及周边修路等其他建设用。排土场下游均为荒山，500m范围内无村庄、高等级公路等，上游为矿山工业场地、采场，运距短，设计在排土场下游设置拦渣坝，上游设置排水沟。</w:t>
      </w:r>
    </w:p>
    <w:p w14:paraId="7EF81F30">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排土场位于沟谷，地表水不发育，排土场上部设置截洪沟，截洪沟采用梯形断面，净断面尺寸0.4m×0.6m（底宽×深），两侧边坡1:0.3，衬砌厚度30cm，M7.5浆砌块石。</w:t>
      </w:r>
    </w:p>
    <w:p w14:paraId="279AEBCA">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排土场安全设施：</w:t>
      </w:r>
    </w:p>
    <w:p w14:paraId="20D7CA65">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（1）排土场卸载平台边缘要设置安全车挡。其高度不小于车轮直径的1/2。</w:t>
      </w:r>
    </w:p>
    <w:p w14:paraId="21A580B8">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（2）排土场周围按设计修筑可靠的截洪沟。</w:t>
      </w:r>
    </w:p>
    <w:p w14:paraId="34396E66">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（3）排土场范围内，设置安全警示标志。</w:t>
      </w:r>
    </w:p>
    <w:p w14:paraId="6847094E">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2.4.1</w:t>
      </w:r>
      <w:r>
        <w:rPr>
          <w:rFonts w:ascii="Times New Roman" w:hAnsi="Times New Roman" w:eastAsia="宋体" w:cs="Times New Roman"/>
          <w:b/>
          <w:bCs w:val="0"/>
          <w:color w:val="000000" w:themeColor="text1"/>
          <w14:textFill>
            <w14:solidFill>
              <w14:schemeClr w14:val="tx1"/>
            </w14:solidFill>
          </w14:textFill>
        </w:rPr>
        <w:t>0</w:t>
      </w:r>
      <w:r>
        <w:rPr>
          <w:rFonts w:ascii="Times New Roman" w:hAnsi="Times New Roman" w:eastAsia="宋体" w:cs="Times New Roman"/>
          <w:b/>
          <w:bCs w:val="0"/>
          <w:color w:val="000000" w:themeColor="text1"/>
          <w:lang w:val="en-GB"/>
          <w14:textFill>
            <w14:solidFill>
              <w14:schemeClr w14:val="tx1"/>
            </w14:solidFill>
          </w14:textFill>
        </w:rPr>
        <w:t>安全管理及其他</w:t>
      </w:r>
    </w:p>
    <w:p w14:paraId="73BFF9DA">
      <w:pPr>
        <w:pStyle w:val="5"/>
        <w:adjustRightInd w:val="0"/>
        <w:snapToGrid w:val="0"/>
        <w:spacing w:line="360" w:lineRule="auto"/>
        <w:ind w:firstLine="560"/>
        <w:rPr>
          <w:rFonts w:ascii="Times New Roman" w:hAnsi="Times New Roman" w:cs="Times New Roman"/>
        </w:rPr>
      </w:pPr>
      <w:r>
        <w:rPr>
          <w:rFonts w:ascii="Times New Roman" w:hAnsi="Times New Roman" w:cs="Times New Roman"/>
        </w:rPr>
        <w:t>2.4.10.1 组织结构及劳动定员</w:t>
      </w:r>
    </w:p>
    <w:p w14:paraId="6DDFC163">
      <w:pPr>
        <w:adjustRightInd w:val="0"/>
        <w:snapToGrid w:val="0"/>
        <w:spacing w:line="360" w:lineRule="auto"/>
        <w:ind w:firstLine="562" w:firstLineChars="200"/>
        <w:rPr>
          <w:rFonts w:ascii="Times New Roman" w:hAnsi="Times New Roman" w:eastAsia="宋体" w:cs="Times New Roman"/>
          <w:b/>
          <w:bCs/>
          <w:sz w:val="28"/>
          <w:szCs w:val="21"/>
        </w:rPr>
      </w:pPr>
      <w:r>
        <w:rPr>
          <w:rFonts w:ascii="Times New Roman" w:hAnsi="Times New Roman" w:eastAsia="宋体" w:cs="Times New Roman"/>
          <w:b/>
          <w:bCs/>
          <w:sz w:val="28"/>
          <w:szCs w:val="21"/>
        </w:rPr>
        <w:t>一、组织结构</w:t>
      </w:r>
    </w:p>
    <w:p w14:paraId="6DF36591">
      <w:pPr>
        <w:adjustRightInd w:val="0"/>
        <w:snapToGrid w:val="0"/>
        <w:spacing w:line="360" w:lineRule="auto"/>
        <w:ind w:firstLine="560" w:firstLineChars="200"/>
        <w:jc w:val="left"/>
        <w:rPr>
          <w:rFonts w:ascii="Times New Roman" w:hAnsi="Times New Roman" w:eastAsia="宋体" w:cs="Times New Roman"/>
          <w:sz w:val="28"/>
          <w:szCs w:val="21"/>
        </w:rPr>
      </w:pPr>
      <w:r>
        <w:rPr>
          <w:rFonts w:hint="eastAsia" w:ascii="Times New Roman" w:hAnsi="Times New Roman" w:eastAsia="宋体" w:cs="Times New Roman"/>
          <w:sz w:val="28"/>
          <w:szCs w:val="21"/>
        </w:rPr>
        <w:t>该项目</w:t>
      </w:r>
      <w:r>
        <w:rPr>
          <w:rFonts w:ascii="Times New Roman" w:hAnsi="Times New Roman" w:eastAsia="宋体" w:cs="Times New Roman"/>
          <w:sz w:val="28"/>
          <w:szCs w:val="21"/>
        </w:rPr>
        <w:t>属盐津开源矿业有限公司盐津县桃子坝采石场90万t/a露天采矿工程，年生产规模90.0万t/a，建议企业按公司制建立组织机构，具体机构的设置由企业自行考虑，</w:t>
      </w:r>
      <w:r>
        <w:rPr>
          <w:rFonts w:hint="eastAsia" w:ascii="Times New Roman" w:hAnsi="Times New Roman" w:eastAsia="宋体" w:cs="Times New Roman"/>
          <w:sz w:val="28"/>
          <w:szCs w:val="21"/>
        </w:rPr>
        <w:t>设计</w:t>
      </w:r>
      <w:r>
        <w:rPr>
          <w:rFonts w:ascii="Times New Roman" w:hAnsi="Times New Roman" w:eastAsia="宋体" w:cs="Times New Roman"/>
          <w:sz w:val="28"/>
          <w:szCs w:val="21"/>
        </w:rPr>
        <w:t>仅按类似企业考虑人员数量配置。</w:t>
      </w:r>
    </w:p>
    <w:p w14:paraId="75273DD0">
      <w:pPr>
        <w:adjustRightInd w:val="0"/>
        <w:snapToGrid w:val="0"/>
        <w:spacing w:line="360" w:lineRule="auto"/>
        <w:ind w:firstLine="560" w:firstLineChars="200"/>
        <w:jc w:val="left"/>
        <w:rPr>
          <w:rFonts w:ascii="Times New Roman" w:hAnsi="Times New Roman" w:cs="Times New Roman"/>
          <w:sz w:val="28"/>
          <w:szCs w:val="28"/>
        </w:rPr>
      </w:pPr>
      <w:r>
        <w:rPr>
          <w:rFonts w:ascii="Times New Roman" w:hAnsi="Times New Roman" w:cs="Times New Roman"/>
          <w:sz w:val="28"/>
          <w:szCs w:val="28"/>
        </w:rPr>
        <w:t>矿山实行矿长负责制，组织机构宜设置矿部、车间二级管理，设各管理部门及采矿工区，详见下图：</w:t>
      </w:r>
    </w:p>
    <w:p w14:paraId="73996498">
      <w:pPr>
        <w:adjustRightInd w:val="0"/>
        <w:snapToGrid w:val="0"/>
        <w:spacing w:before="156" w:beforeLines="50" w:line="360" w:lineRule="auto"/>
        <w:ind w:firstLine="562" w:firstLineChars="200"/>
        <w:rPr>
          <w:rFonts w:ascii="Times New Roman" w:hAnsi="Times New Roman" w:eastAsia="宋体" w:cs="Times New Roman"/>
          <w:b/>
          <w:bCs/>
          <w:color w:val="000000" w:themeColor="text1"/>
          <w:sz w:val="28"/>
          <w:szCs w:val="28"/>
          <w:lang w:val="en-GB"/>
          <w14:textFill>
            <w14:solidFill>
              <w14:schemeClr w14:val="tx1"/>
            </w14:solidFill>
          </w14:textFill>
        </w:rPr>
      </w:pPr>
      <w:r>
        <w:rPr>
          <w:rFonts w:hint="eastAsia" w:ascii="Times New Roman" w:hAnsi="Times New Roman" w:eastAsia="宋体" w:cs="Times New Roman"/>
          <w:b/>
          <w:bCs/>
          <w:color w:val="000000" w:themeColor="text1"/>
          <w:sz w:val="28"/>
          <w:szCs w:val="28"/>
          <w14:textFill>
            <w14:solidFill>
              <w14:schemeClr w14:val="tx1"/>
            </w14:solidFill>
          </w14:textFill>
        </w:rPr>
        <w:t>二</w:t>
      </w:r>
      <w:r>
        <w:rPr>
          <w:rFonts w:ascii="Times New Roman" w:hAnsi="Times New Roman" w:eastAsia="宋体" w:cs="Times New Roman"/>
          <w:b/>
          <w:bCs/>
          <w:color w:val="000000" w:themeColor="text1"/>
          <w:sz w:val="28"/>
          <w:szCs w:val="28"/>
          <w14:textFill>
            <w14:solidFill>
              <w14:schemeClr w14:val="tx1"/>
            </w14:solidFill>
          </w14:textFill>
        </w:rPr>
        <w:t>、</w:t>
      </w:r>
      <w:r>
        <w:rPr>
          <w:rFonts w:ascii="Times New Roman" w:hAnsi="Times New Roman" w:eastAsia="宋体" w:cs="Times New Roman"/>
          <w:b/>
          <w:bCs/>
          <w:color w:val="000000" w:themeColor="text1"/>
          <w:sz w:val="28"/>
          <w:szCs w:val="28"/>
          <w:lang w:val="en-GB"/>
          <w14:textFill>
            <w14:solidFill>
              <w14:schemeClr w14:val="tx1"/>
            </w14:solidFill>
          </w14:textFill>
        </w:rPr>
        <w:t>劳动定员</w:t>
      </w:r>
    </w:p>
    <w:p w14:paraId="0F7B4BB7">
      <w:pPr>
        <w:adjustRightInd w:val="0"/>
        <w:snapToGrid w:val="0"/>
        <w:spacing w:line="360" w:lineRule="auto"/>
        <w:ind w:firstLine="560" w:firstLineChars="200"/>
        <w:rPr>
          <w:rFonts w:ascii="Times New Roman" w:hAnsi="Times New Roman" w:eastAsia="宋体" w:cs="Times New Roman"/>
          <w:sz w:val="28"/>
          <w:szCs w:val="21"/>
        </w:rPr>
      </w:pPr>
      <w:bookmarkStart w:id="66" w:name="_Hlk101106919"/>
      <w:r>
        <w:rPr>
          <w:rFonts w:ascii="Times New Roman" w:hAnsi="Times New Roman" w:eastAsia="宋体" w:cs="Times New Roman"/>
          <w:sz w:val="28"/>
          <w:szCs w:val="21"/>
        </w:rPr>
        <w:t>本矿山为间断工作制，年工作日300天，每天1班，每班8小时。根据项目的工作制度和设备运转需要，主要生产人员在册系数为1.33，在册职工总数为35人，其中生产工人27人，管理及服务人员8人，</w:t>
      </w:r>
      <w:bookmarkEnd w:id="66"/>
      <w:r>
        <w:rPr>
          <w:rFonts w:ascii="Times New Roman" w:hAnsi="Times New Roman" w:eastAsia="宋体" w:cs="Times New Roman"/>
          <w:sz w:val="28"/>
          <w:szCs w:val="21"/>
        </w:rPr>
        <w:t>岗位定员分布见表2.4-</w:t>
      </w:r>
      <w:r>
        <w:rPr>
          <w:rFonts w:hint="eastAsia" w:ascii="Times New Roman" w:hAnsi="Times New Roman" w:eastAsia="宋体" w:cs="Times New Roman"/>
          <w:sz w:val="28"/>
          <w:szCs w:val="21"/>
          <w:lang w:val="en-US" w:eastAsia="zh-CN"/>
        </w:rPr>
        <w:t>5</w:t>
      </w:r>
      <w:r>
        <w:rPr>
          <w:rFonts w:ascii="Times New Roman" w:hAnsi="Times New Roman" w:eastAsia="宋体" w:cs="Times New Roman"/>
          <w:sz w:val="28"/>
          <w:szCs w:val="21"/>
        </w:rPr>
        <w:t>。</w:t>
      </w:r>
    </w:p>
    <w:p w14:paraId="54D69779">
      <w:pPr>
        <w:keepNext/>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eastAsia="宋体" w:cs="Times New Roman"/>
          <w:b/>
          <w:bCs w:val="0"/>
          <w:kern w:val="0"/>
          <w:sz w:val="24"/>
          <w:szCs w:val="24"/>
        </w:rPr>
      </w:pPr>
      <w:r>
        <w:rPr>
          <w:rFonts w:ascii="Times New Roman" w:hAnsi="Times New Roman" w:eastAsia="宋体" w:cs="Times New Roman"/>
          <w:b/>
          <w:bCs w:val="0"/>
          <w:kern w:val="0"/>
          <w:sz w:val="24"/>
          <w:szCs w:val="24"/>
        </w:rPr>
        <w:t>表</w:t>
      </w:r>
      <w:r>
        <w:rPr>
          <w:rFonts w:ascii="Times New Roman" w:hAnsi="Times New Roman" w:eastAsia="宋体" w:cs="Times New Roman"/>
          <w:b/>
          <w:bCs w:val="0"/>
          <w:sz w:val="24"/>
          <w:szCs w:val="24"/>
        </w:rPr>
        <w:t>2.4-</w:t>
      </w:r>
      <w:r>
        <w:rPr>
          <w:rFonts w:hint="eastAsia" w:ascii="Times New Roman" w:hAnsi="Times New Roman" w:eastAsia="宋体" w:cs="Times New Roman"/>
          <w:b/>
          <w:bCs w:val="0"/>
          <w:sz w:val="24"/>
          <w:szCs w:val="24"/>
          <w:lang w:val="en-US" w:eastAsia="zh-CN"/>
        </w:rPr>
        <w:t>5</w:t>
      </w:r>
      <w:r>
        <w:rPr>
          <w:rFonts w:ascii="Times New Roman" w:hAnsi="Times New Roman" w:eastAsia="宋体" w:cs="Times New Roman"/>
          <w:b/>
          <w:bCs w:val="0"/>
          <w:sz w:val="24"/>
          <w:szCs w:val="24"/>
        </w:rPr>
        <w:t xml:space="preserve">  </w:t>
      </w:r>
      <w:r>
        <w:rPr>
          <w:rFonts w:ascii="Times New Roman" w:hAnsi="Times New Roman" w:eastAsia="宋体" w:cs="Times New Roman"/>
          <w:b/>
          <w:bCs w:val="0"/>
          <w:kern w:val="0"/>
          <w:sz w:val="24"/>
          <w:szCs w:val="24"/>
        </w:rPr>
        <w:t>矿山生产岗位定员明细表（单位：人）</w:t>
      </w:r>
    </w:p>
    <w:tbl>
      <w:tblPr>
        <w:tblStyle w:val="31"/>
        <w:tblW w:w="4995" w:type="pct"/>
        <w:tblInd w:w="0" w:type="dxa"/>
        <w:tblLayout w:type="fixed"/>
        <w:tblCellMar>
          <w:top w:w="0" w:type="dxa"/>
          <w:left w:w="108" w:type="dxa"/>
          <w:bottom w:w="0" w:type="dxa"/>
          <w:right w:w="108" w:type="dxa"/>
        </w:tblCellMar>
      </w:tblPr>
      <w:tblGrid>
        <w:gridCol w:w="638"/>
        <w:gridCol w:w="2852"/>
        <w:gridCol w:w="675"/>
        <w:gridCol w:w="510"/>
        <w:gridCol w:w="572"/>
        <w:gridCol w:w="750"/>
        <w:gridCol w:w="907"/>
        <w:gridCol w:w="950"/>
        <w:gridCol w:w="1538"/>
      </w:tblGrid>
      <w:tr w14:paraId="59D6B7F6">
        <w:tblPrEx>
          <w:tblCellMar>
            <w:top w:w="0" w:type="dxa"/>
            <w:left w:w="108" w:type="dxa"/>
            <w:bottom w:w="0" w:type="dxa"/>
            <w:right w:w="108" w:type="dxa"/>
          </w:tblCellMar>
        </w:tblPrEx>
        <w:trPr>
          <w:trHeight w:val="402" w:hRule="atLeast"/>
          <w:tblHeader/>
        </w:trPr>
        <w:tc>
          <w:tcPr>
            <w:tcW w:w="339" w:type="pct"/>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14:paraId="04494F69">
            <w:pPr>
              <w:keepNext/>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eastAsia="宋体" w:cs="Times New Roman"/>
                <w:b/>
                <w:kern w:val="0"/>
                <w:szCs w:val="21"/>
              </w:rPr>
            </w:pPr>
            <w:r>
              <w:rPr>
                <w:rFonts w:ascii="Times New Roman" w:hAnsi="Times New Roman" w:eastAsia="宋体" w:cs="Times New Roman"/>
                <w:b/>
                <w:kern w:val="0"/>
                <w:szCs w:val="21"/>
              </w:rPr>
              <w:t>序号</w:t>
            </w:r>
          </w:p>
        </w:tc>
        <w:tc>
          <w:tcPr>
            <w:tcW w:w="1517" w:type="pct"/>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14:paraId="7C052253">
            <w:pPr>
              <w:keepNext/>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eastAsia="宋体" w:cs="Times New Roman"/>
                <w:b/>
                <w:kern w:val="0"/>
                <w:szCs w:val="21"/>
              </w:rPr>
            </w:pPr>
            <w:r>
              <w:rPr>
                <w:rFonts w:ascii="Times New Roman" w:hAnsi="Times New Roman" w:eastAsia="宋体" w:cs="Times New Roman"/>
                <w:b/>
                <w:kern w:val="0"/>
                <w:szCs w:val="21"/>
              </w:rPr>
              <w:t>工作岗位名称</w:t>
            </w:r>
          </w:p>
        </w:tc>
        <w:tc>
          <w:tcPr>
            <w:tcW w:w="1333" w:type="pct"/>
            <w:gridSpan w:val="4"/>
            <w:tcBorders>
              <w:top w:val="single" w:color="auto" w:sz="4" w:space="0"/>
              <w:left w:val="nil"/>
              <w:bottom w:val="single" w:color="auto" w:sz="4" w:space="0"/>
              <w:right w:val="single" w:color="auto" w:sz="4" w:space="0"/>
            </w:tcBorders>
            <w:shd w:val="clear" w:color="auto" w:fill="auto"/>
            <w:noWrap/>
            <w:vAlign w:val="center"/>
          </w:tcPr>
          <w:p w14:paraId="79CC7EF3">
            <w:pPr>
              <w:keepNext/>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eastAsia="宋体" w:cs="Times New Roman"/>
                <w:b/>
                <w:kern w:val="0"/>
                <w:szCs w:val="21"/>
              </w:rPr>
            </w:pPr>
            <w:r>
              <w:rPr>
                <w:rFonts w:ascii="Times New Roman" w:hAnsi="Times New Roman" w:eastAsia="宋体" w:cs="Times New Roman"/>
                <w:b/>
                <w:kern w:val="0"/>
                <w:szCs w:val="21"/>
              </w:rPr>
              <w:t>实际工作人员</w:t>
            </w:r>
          </w:p>
        </w:tc>
        <w:tc>
          <w:tcPr>
            <w:tcW w:w="483" w:type="pct"/>
            <w:vMerge w:val="restart"/>
            <w:tcBorders>
              <w:top w:val="single" w:color="auto" w:sz="4" w:space="0"/>
              <w:left w:val="single" w:color="auto" w:sz="4" w:space="0"/>
              <w:right w:val="single" w:color="auto" w:sz="4" w:space="0"/>
            </w:tcBorders>
            <w:shd w:val="clear" w:color="auto" w:fill="auto"/>
            <w:vAlign w:val="center"/>
          </w:tcPr>
          <w:p w14:paraId="02BE8B89">
            <w:pPr>
              <w:keepNext/>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eastAsia="宋体" w:cs="Times New Roman"/>
                <w:b/>
                <w:kern w:val="0"/>
                <w:szCs w:val="21"/>
              </w:rPr>
            </w:pPr>
            <w:r>
              <w:rPr>
                <w:rFonts w:ascii="Times New Roman" w:hAnsi="Times New Roman" w:eastAsia="宋体" w:cs="Times New Roman"/>
                <w:b/>
                <w:kern w:val="0"/>
                <w:szCs w:val="21"/>
              </w:rPr>
              <w:t>在册人员系数</w:t>
            </w:r>
          </w:p>
        </w:tc>
        <w:tc>
          <w:tcPr>
            <w:tcW w:w="506" w:type="pct"/>
            <w:vMerge w:val="restart"/>
            <w:tcBorders>
              <w:top w:val="single" w:color="auto" w:sz="4" w:space="0"/>
              <w:left w:val="single" w:color="auto" w:sz="4" w:space="0"/>
              <w:right w:val="single" w:color="auto" w:sz="4" w:space="0"/>
            </w:tcBorders>
            <w:shd w:val="clear" w:color="auto" w:fill="auto"/>
            <w:vAlign w:val="center"/>
          </w:tcPr>
          <w:p w14:paraId="2C2FE253">
            <w:pPr>
              <w:keepNext/>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eastAsia="宋体" w:cs="Times New Roman"/>
                <w:b/>
                <w:kern w:val="0"/>
                <w:szCs w:val="21"/>
              </w:rPr>
            </w:pPr>
            <w:r>
              <w:rPr>
                <w:rFonts w:ascii="Times New Roman" w:hAnsi="Times New Roman" w:eastAsia="宋体" w:cs="Times New Roman"/>
                <w:b/>
                <w:kern w:val="0"/>
                <w:szCs w:val="21"/>
              </w:rPr>
              <w:t>在册人员总数</w:t>
            </w:r>
          </w:p>
        </w:tc>
        <w:tc>
          <w:tcPr>
            <w:tcW w:w="819" w:type="pct"/>
            <w:vMerge w:val="restart"/>
            <w:tcBorders>
              <w:top w:val="single" w:color="auto" w:sz="4" w:space="0"/>
              <w:left w:val="single" w:color="auto" w:sz="4" w:space="0"/>
              <w:right w:val="single" w:color="auto" w:sz="4" w:space="0"/>
            </w:tcBorders>
            <w:shd w:val="clear" w:color="auto" w:fill="auto"/>
            <w:noWrap/>
            <w:vAlign w:val="center"/>
          </w:tcPr>
          <w:p w14:paraId="0D4B88BB">
            <w:pPr>
              <w:keepNext/>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eastAsia="宋体" w:cs="Times New Roman"/>
                <w:b/>
                <w:kern w:val="0"/>
                <w:szCs w:val="21"/>
              </w:rPr>
            </w:pPr>
            <w:r>
              <w:rPr>
                <w:rFonts w:ascii="Times New Roman" w:hAnsi="Times New Roman" w:eastAsia="宋体" w:cs="Times New Roman"/>
                <w:b/>
                <w:kern w:val="0"/>
                <w:szCs w:val="21"/>
              </w:rPr>
              <w:t>备注</w:t>
            </w:r>
          </w:p>
        </w:tc>
      </w:tr>
      <w:tr w14:paraId="5D0B0187">
        <w:tblPrEx>
          <w:tblCellMar>
            <w:top w:w="0" w:type="dxa"/>
            <w:left w:w="108" w:type="dxa"/>
            <w:bottom w:w="0" w:type="dxa"/>
            <w:right w:w="108" w:type="dxa"/>
          </w:tblCellMar>
        </w:tblPrEx>
        <w:trPr>
          <w:trHeight w:val="402" w:hRule="atLeast"/>
          <w:tblHeader/>
        </w:trPr>
        <w:tc>
          <w:tcPr>
            <w:tcW w:w="339" w:type="pct"/>
            <w:vMerge w:val="continue"/>
            <w:tcBorders>
              <w:top w:val="single" w:color="auto" w:sz="4" w:space="0"/>
              <w:left w:val="single" w:color="auto" w:sz="4" w:space="0"/>
              <w:bottom w:val="single" w:color="000000" w:sz="4" w:space="0"/>
              <w:right w:val="single" w:color="auto" w:sz="4" w:space="0"/>
            </w:tcBorders>
            <w:vAlign w:val="center"/>
          </w:tcPr>
          <w:p w14:paraId="6F6A3FC2">
            <w:pPr>
              <w:keepNext/>
              <w:adjustRightInd w:val="0"/>
              <w:snapToGrid w:val="0"/>
              <w:spacing w:line="360" w:lineRule="auto"/>
              <w:jc w:val="center"/>
              <w:rPr>
                <w:rFonts w:ascii="Times New Roman" w:hAnsi="Times New Roman" w:eastAsia="宋体" w:cs="Times New Roman"/>
                <w:b/>
                <w:kern w:val="0"/>
                <w:szCs w:val="21"/>
              </w:rPr>
            </w:pPr>
          </w:p>
        </w:tc>
        <w:tc>
          <w:tcPr>
            <w:tcW w:w="1517" w:type="pct"/>
            <w:vMerge w:val="continue"/>
            <w:tcBorders>
              <w:top w:val="single" w:color="auto" w:sz="4" w:space="0"/>
              <w:left w:val="single" w:color="auto" w:sz="4" w:space="0"/>
              <w:bottom w:val="single" w:color="000000" w:sz="4" w:space="0"/>
              <w:right w:val="single" w:color="auto" w:sz="4" w:space="0"/>
            </w:tcBorders>
            <w:vAlign w:val="center"/>
          </w:tcPr>
          <w:p w14:paraId="6E5F0586">
            <w:pPr>
              <w:keepNext/>
              <w:adjustRightInd w:val="0"/>
              <w:snapToGrid w:val="0"/>
              <w:spacing w:line="360" w:lineRule="auto"/>
              <w:jc w:val="center"/>
              <w:rPr>
                <w:rFonts w:ascii="Times New Roman" w:hAnsi="Times New Roman" w:eastAsia="宋体" w:cs="Times New Roman"/>
                <w:b/>
                <w:kern w:val="0"/>
                <w:szCs w:val="21"/>
              </w:rPr>
            </w:pPr>
          </w:p>
        </w:tc>
        <w:tc>
          <w:tcPr>
            <w:tcW w:w="934" w:type="pct"/>
            <w:gridSpan w:val="3"/>
            <w:tcBorders>
              <w:top w:val="single" w:color="auto" w:sz="4" w:space="0"/>
              <w:left w:val="nil"/>
              <w:bottom w:val="single" w:color="auto" w:sz="4" w:space="0"/>
              <w:right w:val="single" w:color="auto" w:sz="4" w:space="0"/>
            </w:tcBorders>
            <w:shd w:val="clear" w:color="auto" w:fill="auto"/>
            <w:noWrap/>
            <w:vAlign w:val="center"/>
          </w:tcPr>
          <w:p w14:paraId="5B1D9709">
            <w:pPr>
              <w:keepNext/>
              <w:adjustRightInd w:val="0"/>
              <w:snapToGrid w:val="0"/>
              <w:spacing w:line="360" w:lineRule="auto"/>
              <w:jc w:val="center"/>
              <w:rPr>
                <w:rFonts w:ascii="Times New Roman" w:hAnsi="Times New Roman" w:eastAsia="宋体" w:cs="Times New Roman"/>
                <w:b/>
                <w:kern w:val="0"/>
                <w:szCs w:val="21"/>
              </w:rPr>
            </w:pPr>
            <w:r>
              <w:rPr>
                <w:rFonts w:ascii="Times New Roman" w:hAnsi="Times New Roman" w:eastAsia="宋体" w:cs="Times New Roman"/>
                <w:b/>
                <w:kern w:val="0"/>
                <w:szCs w:val="21"/>
              </w:rPr>
              <w:t>班次</w:t>
            </w:r>
          </w:p>
        </w:tc>
        <w:tc>
          <w:tcPr>
            <w:tcW w:w="399" w:type="pct"/>
            <w:vMerge w:val="restart"/>
            <w:tcBorders>
              <w:top w:val="nil"/>
              <w:left w:val="single" w:color="auto" w:sz="4" w:space="0"/>
              <w:right w:val="single" w:color="auto" w:sz="4" w:space="0"/>
            </w:tcBorders>
            <w:shd w:val="clear" w:color="auto" w:fill="auto"/>
            <w:noWrap/>
            <w:vAlign w:val="center"/>
          </w:tcPr>
          <w:p w14:paraId="6C456DBD">
            <w:pPr>
              <w:keepNext/>
              <w:adjustRightInd w:val="0"/>
              <w:snapToGrid w:val="0"/>
              <w:spacing w:line="360" w:lineRule="auto"/>
              <w:jc w:val="center"/>
              <w:rPr>
                <w:rFonts w:ascii="Times New Roman" w:hAnsi="Times New Roman" w:eastAsia="宋体" w:cs="Times New Roman"/>
                <w:b/>
                <w:kern w:val="0"/>
                <w:szCs w:val="21"/>
              </w:rPr>
            </w:pPr>
            <w:r>
              <w:rPr>
                <w:rFonts w:ascii="Times New Roman" w:hAnsi="Times New Roman" w:eastAsia="宋体" w:cs="Times New Roman"/>
                <w:b/>
                <w:kern w:val="0"/>
                <w:szCs w:val="21"/>
              </w:rPr>
              <w:t>共计</w:t>
            </w:r>
          </w:p>
        </w:tc>
        <w:tc>
          <w:tcPr>
            <w:tcW w:w="483" w:type="pct"/>
            <w:vMerge w:val="continue"/>
            <w:tcBorders>
              <w:left w:val="single" w:color="auto" w:sz="4" w:space="0"/>
              <w:right w:val="single" w:color="auto" w:sz="4" w:space="0"/>
            </w:tcBorders>
            <w:vAlign w:val="center"/>
          </w:tcPr>
          <w:p w14:paraId="150A53BA">
            <w:pPr>
              <w:keepNext/>
              <w:adjustRightInd w:val="0"/>
              <w:snapToGrid w:val="0"/>
              <w:spacing w:line="360" w:lineRule="auto"/>
              <w:jc w:val="center"/>
              <w:rPr>
                <w:rFonts w:ascii="Times New Roman" w:hAnsi="Times New Roman" w:eastAsia="宋体" w:cs="Times New Roman"/>
                <w:b/>
                <w:kern w:val="0"/>
                <w:szCs w:val="21"/>
              </w:rPr>
            </w:pPr>
          </w:p>
        </w:tc>
        <w:tc>
          <w:tcPr>
            <w:tcW w:w="506" w:type="pct"/>
            <w:vMerge w:val="continue"/>
            <w:tcBorders>
              <w:left w:val="single" w:color="auto" w:sz="4" w:space="0"/>
              <w:right w:val="single" w:color="auto" w:sz="4" w:space="0"/>
            </w:tcBorders>
            <w:vAlign w:val="center"/>
          </w:tcPr>
          <w:p w14:paraId="6CE26FEB">
            <w:pPr>
              <w:keepNext/>
              <w:adjustRightInd w:val="0"/>
              <w:snapToGrid w:val="0"/>
              <w:spacing w:line="360" w:lineRule="auto"/>
              <w:jc w:val="center"/>
              <w:rPr>
                <w:rFonts w:ascii="Times New Roman" w:hAnsi="Times New Roman" w:eastAsia="宋体" w:cs="Times New Roman"/>
                <w:b/>
                <w:kern w:val="0"/>
                <w:szCs w:val="21"/>
              </w:rPr>
            </w:pPr>
          </w:p>
        </w:tc>
        <w:tc>
          <w:tcPr>
            <w:tcW w:w="819" w:type="pct"/>
            <w:vMerge w:val="continue"/>
            <w:tcBorders>
              <w:left w:val="single" w:color="auto" w:sz="4" w:space="0"/>
              <w:right w:val="single" w:color="auto" w:sz="4" w:space="0"/>
            </w:tcBorders>
            <w:vAlign w:val="center"/>
          </w:tcPr>
          <w:p w14:paraId="38C47B07">
            <w:pPr>
              <w:keepNext/>
              <w:adjustRightInd w:val="0"/>
              <w:snapToGrid w:val="0"/>
              <w:spacing w:line="360" w:lineRule="auto"/>
              <w:jc w:val="center"/>
              <w:rPr>
                <w:rFonts w:ascii="Times New Roman" w:hAnsi="Times New Roman" w:eastAsia="宋体" w:cs="Times New Roman"/>
                <w:b/>
                <w:kern w:val="0"/>
                <w:szCs w:val="21"/>
              </w:rPr>
            </w:pPr>
          </w:p>
        </w:tc>
      </w:tr>
      <w:tr w14:paraId="6C9EB19D">
        <w:tblPrEx>
          <w:tblCellMar>
            <w:top w:w="0" w:type="dxa"/>
            <w:left w:w="108" w:type="dxa"/>
            <w:bottom w:w="0" w:type="dxa"/>
            <w:right w:w="108" w:type="dxa"/>
          </w:tblCellMar>
        </w:tblPrEx>
        <w:trPr>
          <w:trHeight w:val="402" w:hRule="atLeast"/>
          <w:tblHeader/>
        </w:trPr>
        <w:tc>
          <w:tcPr>
            <w:tcW w:w="339" w:type="pct"/>
            <w:vMerge w:val="continue"/>
            <w:tcBorders>
              <w:top w:val="single" w:color="auto" w:sz="4" w:space="0"/>
              <w:left w:val="single" w:color="auto" w:sz="4" w:space="0"/>
              <w:bottom w:val="single" w:color="auto" w:sz="4" w:space="0"/>
              <w:right w:val="single" w:color="auto" w:sz="4" w:space="0"/>
            </w:tcBorders>
            <w:vAlign w:val="center"/>
          </w:tcPr>
          <w:p w14:paraId="5F70A72B">
            <w:pPr>
              <w:adjustRightInd w:val="0"/>
              <w:snapToGrid w:val="0"/>
              <w:spacing w:line="360" w:lineRule="auto"/>
              <w:jc w:val="center"/>
              <w:rPr>
                <w:rFonts w:ascii="Times New Roman" w:hAnsi="Times New Roman" w:eastAsia="宋体" w:cs="Times New Roman"/>
                <w:b/>
                <w:kern w:val="0"/>
                <w:szCs w:val="21"/>
              </w:rPr>
            </w:pPr>
          </w:p>
        </w:tc>
        <w:tc>
          <w:tcPr>
            <w:tcW w:w="1517" w:type="pct"/>
            <w:vMerge w:val="continue"/>
            <w:tcBorders>
              <w:top w:val="single" w:color="auto" w:sz="4" w:space="0"/>
              <w:left w:val="single" w:color="auto" w:sz="4" w:space="0"/>
              <w:bottom w:val="single" w:color="auto" w:sz="4" w:space="0"/>
              <w:right w:val="single" w:color="auto" w:sz="4" w:space="0"/>
            </w:tcBorders>
            <w:vAlign w:val="center"/>
          </w:tcPr>
          <w:p w14:paraId="29EEEC0B">
            <w:pPr>
              <w:adjustRightInd w:val="0"/>
              <w:snapToGrid w:val="0"/>
              <w:spacing w:line="360" w:lineRule="auto"/>
              <w:jc w:val="center"/>
              <w:rPr>
                <w:rFonts w:ascii="Times New Roman" w:hAnsi="Times New Roman" w:eastAsia="宋体" w:cs="Times New Roman"/>
                <w:b/>
                <w:kern w:val="0"/>
                <w:szCs w:val="21"/>
              </w:rPr>
            </w:pPr>
          </w:p>
        </w:tc>
        <w:tc>
          <w:tcPr>
            <w:tcW w:w="359" w:type="pct"/>
            <w:tcBorders>
              <w:top w:val="nil"/>
              <w:left w:val="nil"/>
              <w:bottom w:val="single" w:color="auto" w:sz="4" w:space="0"/>
              <w:right w:val="single" w:color="auto" w:sz="4" w:space="0"/>
            </w:tcBorders>
            <w:shd w:val="clear" w:color="auto" w:fill="auto"/>
            <w:noWrap/>
            <w:vAlign w:val="center"/>
          </w:tcPr>
          <w:p w14:paraId="7CD42CD9">
            <w:pPr>
              <w:adjustRightInd w:val="0"/>
              <w:snapToGrid w:val="0"/>
              <w:spacing w:line="360" w:lineRule="auto"/>
              <w:jc w:val="center"/>
              <w:rPr>
                <w:rFonts w:ascii="Times New Roman" w:hAnsi="Times New Roman" w:eastAsia="宋体" w:cs="Times New Roman"/>
                <w:b/>
                <w:kern w:val="0"/>
                <w:szCs w:val="21"/>
              </w:rPr>
            </w:pPr>
            <w:r>
              <w:rPr>
                <w:rFonts w:ascii="Times New Roman" w:hAnsi="Times New Roman" w:eastAsia="宋体" w:cs="Times New Roman"/>
                <w:b/>
                <w:kern w:val="0"/>
                <w:szCs w:val="21"/>
              </w:rPr>
              <w:t>一</w:t>
            </w:r>
          </w:p>
        </w:tc>
        <w:tc>
          <w:tcPr>
            <w:tcW w:w="271" w:type="pct"/>
            <w:tcBorders>
              <w:top w:val="nil"/>
              <w:left w:val="nil"/>
              <w:bottom w:val="single" w:color="auto" w:sz="4" w:space="0"/>
              <w:right w:val="single" w:color="auto" w:sz="4" w:space="0"/>
            </w:tcBorders>
            <w:shd w:val="clear" w:color="auto" w:fill="auto"/>
            <w:noWrap/>
            <w:vAlign w:val="center"/>
          </w:tcPr>
          <w:p w14:paraId="1A4FEDDF">
            <w:pPr>
              <w:adjustRightInd w:val="0"/>
              <w:snapToGrid w:val="0"/>
              <w:spacing w:line="360" w:lineRule="auto"/>
              <w:jc w:val="center"/>
              <w:rPr>
                <w:rFonts w:ascii="Times New Roman" w:hAnsi="Times New Roman" w:eastAsia="宋体" w:cs="Times New Roman"/>
                <w:b/>
                <w:kern w:val="0"/>
                <w:szCs w:val="21"/>
              </w:rPr>
            </w:pPr>
            <w:r>
              <w:rPr>
                <w:rFonts w:ascii="Times New Roman" w:hAnsi="Times New Roman" w:eastAsia="宋体" w:cs="Times New Roman"/>
                <w:b/>
                <w:kern w:val="0"/>
                <w:szCs w:val="21"/>
              </w:rPr>
              <w:t>二</w:t>
            </w:r>
          </w:p>
        </w:tc>
        <w:tc>
          <w:tcPr>
            <w:tcW w:w="303" w:type="pct"/>
            <w:tcBorders>
              <w:top w:val="nil"/>
              <w:left w:val="nil"/>
              <w:bottom w:val="single" w:color="auto" w:sz="4" w:space="0"/>
              <w:right w:val="single" w:color="auto" w:sz="4" w:space="0"/>
            </w:tcBorders>
            <w:shd w:val="clear" w:color="auto" w:fill="auto"/>
            <w:noWrap/>
            <w:vAlign w:val="center"/>
          </w:tcPr>
          <w:p w14:paraId="008120C7">
            <w:pPr>
              <w:adjustRightInd w:val="0"/>
              <w:snapToGrid w:val="0"/>
              <w:spacing w:line="360" w:lineRule="auto"/>
              <w:jc w:val="center"/>
              <w:rPr>
                <w:rFonts w:ascii="Times New Roman" w:hAnsi="Times New Roman" w:eastAsia="宋体" w:cs="Times New Roman"/>
                <w:b/>
                <w:kern w:val="0"/>
                <w:szCs w:val="21"/>
              </w:rPr>
            </w:pPr>
            <w:r>
              <w:rPr>
                <w:rFonts w:ascii="Times New Roman" w:hAnsi="Times New Roman" w:eastAsia="宋体" w:cs="Times New Roman"/>
                <w:b/>
                <w:kern w:val="0"/>
                <w:szCs w:val="21"/>
              </w:rPr>
              <w:t>三</w:t>
            </w:r>
          </w:p>
        </w:tc>
        <w:tc>
          <w:tcPr>
            <w:tcW w:w="399" w:type="pct"/>
            <w:vMerge w:val="continue"/>
            <w:tcBorders>
              <w:left w:val="single" w:color="auto" w:sz="4" w:space="0"/>
              <w:bottom w:val="single" w:color="auto" w:sz="4" w:space="0"/>
              <w:right w:val="single" w:color="auto" w:sz="4" w:space="0"/>
            </w:tcBorders>
            <w:vAlign w:val="center"/>
          </w:tcPr>
          <w:p w14:paraId="75E9BA16">
            <w:pPr>
              <w:adjustRightInd w:val="0"/>
              <w:snapToGrid w:val="0"/>
              <w:spacing w:line="360" w:lineRule="auto"/>
              <w:jc w:val="center"/>
              <w:rPr>
                <w:rFonts w:ascii="Times New Roman" w:hAnsi="Times New Roman" w:eastAsia="宋体" w:cs="Times New Roman"/>
                <w:b/>
                <w:kern w:val="0"/>
                <w:szCs w:val="21"/>
              </w:rPr>
            </w:pPr>
          </w:p>
        </w:tc>
        <w:tc>
          <w:tcPr>
            <w:tcW w:w="483" w:type="pct"/>
            <w:vMerge w:val="continue"/>
            <w:tcBorders>
              <w:left w:val="single" w:color="auto" w:sz="4" w:space="0"/>
              <w:bottom w:val="single" w:color="auto" w:sz="4" w:space="0"/>
              <w:right w:val="single" w:color="auto" w:sz="4" w:space="0"/>
            </w:tcBorders>
            <w:vAlign w:val="center"/>
          </w:tcPr>
          <w:p w14:paraId="2A076B38">
            <w:pPr>
              <w:adjustRightInd w:val="0"/>
              <w:snapToGrid w:val="0"/>
              <w:spacing w:line="360" w:lineRule="auto"/>
              <w:jc w:val="center"/>
              <w:rPr>
                <w:rFonts w:ascii="Times New Roman" w:hAnsi="Times New Roman" w:eastAsia="宋体" w:cs="Times New Roman"/>
                <w:b/>
                <w:kern w:val="0"/>
                <w:szCs w:val="21"/>
              </w:rPr>
            </w:pPr>
          </w:p>
        </w:tc>
        <w:tc>
          <w:tcPr>
            <w:tcW w:w="506" w:type="pct"/>
            <w:vMerge w:val="continue"/>
            <w:tcBorders>
              <w:left w:val="single" w:color="auto" w:sz="4" w:space="0"/>
              <w:bottom w:val="single" w:color="auto" w:sz="4" w:space="0"/>
              <w:right w:val="single" w:color="auto" w:sz="4" w:space="0"/>
            </w:tcBorders>
            <w:vAlign w:val="center"/>
          </w:tcPr>
          <w:p w14:paraId="43A60E03">
            <w:pPr>
              <w:adjustRightInd w:val="0"/>
              <w:snapToGrid w:val="0"/>
              <w:spacing w:line="360" w:lineRule="auto"/>
              <w:jc w:val="center"/>
              <w:rPr>
                <w:rFonts w:ascii="Times New Roman" w:hAnsi="Times New Roman" w:eastAsia="宋体" w:cs="Times New Roman"/>
                <w:b/>
                <w:kern w:val="0"/>
                <w:szCs w:val="21"/>
              </w:rPr>
            </w:pPr>
          </w:p>
        </w:tc>
        <w:tc>
          <w:tcPr>
            <w:tcW w:w="819" w:type="pct"/>
            <w:vMerge w:val="continue"/>
            <w:tcBorders>
              <w:left w:val="single" w:color="auto" w:sz="4" w:space="0"/>
              <w:bottom w:val="single" w:color="auto" w:sz="4" w:space="0"/>
              <w:right w:val="single" w:color="auto" w:sz="4" w:space="0"/>
            </w:tcBorders>
            <w:vAlign w:val="center"/>
          </w:tcPr>
          <w:p w14:paraId="7E16F5E3">
            <w:pPr>
              <w:adjustRightInd w:val="0"/>
              <w:snapToGrid w:val="0"/>
              <w:spacing w:line="360" w:lineRule="auto"/>
              <w:jc w:val="center"/>
              <w:rPr>
                <w:rFonts w:ascii="Times New Roman" w:hAnsi="Times New Roman" w:eastAsia="宋体" w:cs="Times New Roman"/>
                <w:b/>
                <w:kern w:val="0"/>
                <w:szCs w:val="21"/>
              </w:rPr>
            </w:pPr>
          </w:p>
        </w:tc>
      </w:tr>
      <w:tr w14:paraId="3C722AEE">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53A8FB">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一</w:t>
            </w: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18A041">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露天开采系统</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391F61">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20</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BE758B">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A4F49A">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079053">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20</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9A54FC">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D64C19">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25</w:t>
            </w: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A83465">
            <w:pPr>
              <w:adjustRightInd w:val="0"/>
              <w:snapToGrid w:val="0"/>
              <w:spacing w:line="360" w:lineRule="auto"/>
              <w:jc w:val="center"/>
              <w:rPr>
                <w:rFonts w:ascii="Times New Roman" w:hAnsi="Times New Roman" w:eastAsia="宋体" w:cs="Times New Roman"/>
                <w:bCs/>
                <w:kern w:val="0"/>
                <w:szCs w:val="21"/>
              </w:rPr>
            </w:pPr>
          </w:p>
        </w:tc>
      </w:tr>
      <w:tr w14:paraId="24046366">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0CE5F9">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D37659">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铲、装、运</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43A137">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9</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68FCCB">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C96455">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8D076E">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9</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B0282F">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1.33</w:t>
            </w: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300660">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12</w:t>
            </w: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653FF2">
            <w:pPr>
              <w:adjustRightInd w:val="0"/>
              <w:snapToGrid w:val="0"/>
              <w:spacing w:line="360" w:lineRule="auto"/>
              <w:jc w:val="center"/>
              <w:rPr>
                <w:rFonts w:ascii="Times New Roman" w:hAnsi="Times New Roman" w:eastAsia="宋体" w:cs="Times New Roman"/>
                <w:bCs/>
                <w:kern w:val="0"/>
                <w:szCs w:val="21"/>
              </w:rPr>
            </w:pPr>
          </w:p>
        </w:tc>
      </w:tr>
      <w:tr w14:paraId="59C56E4E">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791BE1">
            <w:pPr>
              <w:adjustRightInd w:val="0"/>
              <w:snapToGrid w:val="0"/>
              <w:spacing w:line="360" w:lineRule="auto"/>
              <w:jc w:val="center"/>
              <w:rPr>
                <w:rFonts w:ascii="Times New Roman" w:hAnsi="Times New Roman" w:eastAsia="宋体" w:cs="Times New Roman"/>
                <w:bCs/>
                <w:kern w:val="0"/>
                <w:szCs w:val="21"/>
              </w:rPr>
            </w:pP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C48C42">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挖掘机司机</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D1668B">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C48F68">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C42061">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8D3127">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B94088">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2560B1">
            <w:pPr>
              <w:adjustRightInd w:val="0"/>
              <w:snapToGrid w:val="0"/>
              <w:spacing w:line="360" w:lineRule="auto"/>
              <w:jc w:val="center"/>
              <w:rPr>
                <w:rFonts w:ascii="Times New Roman" w:hAnsi="Times New Roman" w:eastAsia="宋体" w:cs="Times New Roman"/>
                <w:bCs/>
                <w:kern w:val="0"/>
                <w:szCs w:val="21"/>
              </w:rPr>
            </w:pP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1FD0B5">
            <w:pPr>
              <w:adjustRightInd w:val="0"/>
              <w:snapToGrid w:val="0"/>
              <w:spacing w:line="360" w:lineRule="auto"/>
              <w:jc w:val="center"/>
              <w:rPr>
                <w:rFonts w:ascii="Times New Roman" w:hAnsi="Times New Roman" w:eastAsia="宋体" w:cs="Times New Roman"/>
                <w:bCs/>
                <w:kern w:val="0"/>
                <w:szCs w:val="21"/>
              </w:rPr>
            </w:pPr>
          </w:p>
        </w:tc>
      </w:tr>
      <w:tr w14:paraId="66893983">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64989B">
            <w:pPr>
              <w:adjustRightInd w:val="0"/>
              <w:snapToGrid w:val="0"/>
              <w:spacing w:line="360" w:lineRule="auto"/>
              <w:jc w:val="center"/>
              <w:rPr>
                <w:rFonts w:ascii="Times New Roman" w:hAnsi="Times New Roman" w:eastAsia="宋体" w:cs="Times New Roman"/>
                <w:bCs/>
                <w:kern w:val="0"/>
                <w:szCs w:val="21"/>
              </w:rPr>
            </w:pP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F8068C">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前装机司机</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6BEA09">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7EE83E">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6B626F">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166A9C">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8FD17C">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6FE415">
            <w:pPr>
              <w:adjustRightInd w:val="0"/>
              <w:snapToGrid w:val="0"/>
              <w:spacing w:line="360" w:lineRule="auto"/>
              <w:jc w:val="center"/>
              <w:rPr>
                <w:rFonts w:ascii="Times New Roman" w:hAnsi="Times New Roman" w:eastAsia="宋体" w:cs="Times New Roman"/>
                <w:bCs/>
                <w:kern w:val="0"/>
                <w:szCs w:val="21"/>
              </w:rPr>
            </w:pP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91C744">
            <w:pPr>
              <w:adjustRightInd w:val="0"/>
              <w:snapToGrid w:val="0"/>
              <w:spacing w:line="360" w:lineRule="auto"/>
              <w:jc w:val="center"/>
              <w:rPr>
                <w:rFonts w:ascii="Times New Roman" w:hAnsi="Times New Roman" w:eastAsia="宋体" w:cs="Times New Roman"/>
                <w:bCs/>
                <w:kern w:val="0"/>
                <w:szCs w:val="21"/>
              </w:rPr>
            </w:pPr>
          </w:p>
        </w:tc>
      </w:tr>
      <w:tr w14:paraId="77A7755B">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6E5F72">
            <w:pPr>
              <w:adjustRightInd w:val="0"/>
              <w:snapToGrid w:val="0"/>
              <w:spacing w:line="360" w:lineRule="auto"/>
              <w:jc w:val="center"/>
              <w:rPr>
                <w:rFonts w:ascii="Times New Roman" w:hAnsi="Times New Roman" w:eastAsia="宋体" w:cs="Times New Roman"/>
                <w:bCs/>
                <w:kern w:val="0"/>
                <w:szCs w:val="21"/>
              </w:rPr>
            </w:pP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AC7A8E">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汽车司机</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C480E8">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5</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DB6D35">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8C4906">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4A8467">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5</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AD8FE2">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4D7CE0">
            <w:pPr>
              <w:adjustRightInd w:val="0"/>
              <w:snapToGrid w:val="0"/>
              <w:spacing w:line="360" w:lineRule="auto"/>
              <w:jc w:val="center"/>
              <w:rPr>
                <w:rFonts w:ascii="Times New Roman" w:hAnsi="Times New Roman" w:eastAsia="宋体" w:cs="Times New Roman"/>
                <w:bCs/>
                <w:kern w:val="0"/>
                <w:szCs w:val="21"/>
              </w:rPr>
            </w:pP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80E981">
            <w:pPr>
              <w:adjustRightInd w:val="0"/>
              <w:snapToGrid w:val="0"/>
              <w:spacing w:line="360" w:lineRule="auto"/>
              <w:jc w:val="center"/>
              <w:rPr>
                <w:rFonts w:ascii="Times New Roman" w:hAnsi="Times New Roman" w:eastAsia="宋体" w:cs="Times New Roman"/>
                <w:bCs/>
                <w:kern w:val="0"/>
                <w:szCs w:val="21"/>
              </w:rPr>
            </w:pPr>
          </w:p>
        </w:tc>
      </w:tr>
      <w:tr w14:paraId="4429E76D">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B59254">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w:t>
            </w: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76AA7A">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穿爆</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B9F011">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BE02D4">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6F6542">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B94FA8">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EE9DFA">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1.33</w:t>
            </w: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0685B6">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3</w:t>
            </w: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ED8264">
            <w:pPr>
              <w:adjustRightInd w:val="0"/>
              <w:snapToGrid w:val="0"/>
              <w:spacing w:line="360" w:lineRule="auto"/>
              <w:jc w:val="center"/>
              <w:rPr>
                <w:rFonts w:ascii="Times New Roman" w:hAnsi="Times New Roman" w:eastAsia="宋体" w:cs="Times New Roman"/>
                <w:bCs/>
                <w:kern w:val="0"/>
                <w:szCs w:val="21"/>
              </w:rPr>
            </w:pPr>
          </w:p>
        </w:tc>
      </w:tr>
      <w:tr w14:paraId="5330F279">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C562D8">
            <w:pPr>
              <w:adjustRightInd w:val="0"/>
              <w:snapToGrid w:val="0"/>
              <w:spacing w:line="360" w:lineRule="auto"/>
              <w:jc w:val="center"/>
              <w:rPr>
                <w:rFonts w:ascii="Times New Roman" w:hAnsi="Times New Roman" w:eastAsia="宋体" w:cs="Times New Roman"/>
                <w:bCs/>
                <w:kern w:val="0"/>
                <w:szCs w:val="21"/>
              </w:rPr>
            </w:pP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93AD05">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潜孔钻司机</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0CD7BA">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65B67A">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42F040">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3D596E">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CBFA08">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837110">
            <w:pPr>
              <w:adjustRightInd w:val="0"/>
              <w:snapToGrid w:val="0"/>
              <w:spacing w:line="360" w:lineRule="auto"/>
              <w:jc w:val="center"/>
              <w:rPr>
                <w:rFonts w:ascii="Times New Roman" w:hAnsi="Times New Roman" w:eastAsia="宋体" w:cs="Times New Roman"/>
                <w:bCs/>
                <w:kern w:val="0"/>
                <w:szCs w:val="21"/>
              </w:rPr>
            </w:pP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FA9D7C">
            <w:pPr>
              <w:adjustRightInd w:val="0"/>
              <w:snapToGrid w:val="0"/>
              <w:spacing w:line="360" w:lineRule="auto"/>
              <w:jc w:val="center"/>
              <w:rPr>
                <w:rFonts w:ascii="Times New Roman" w:hAnsi="Times New Roman" w:eastAsia="宋体" w:cs="Times New Roman"/>
                <w:bCs/>
                <w:kern w:val="0"/>
                <w:szCs w:val="21"/>
              </w:rPr>
            </w:pPr>
          </w:p>
        </w:tc>
      </w:tr>
      <w:tr w14:paraId="69D773C5">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E406DD">
            <w:pPr>
              <w:adjustRightInd w:val="0"/>
              <w:snapToGrid w:val="0"/>
              <w:spacing w:line="360" w:lineRule="auto"/>
              <w:jc w:val="center"/>
              <w:rPr>
                <w:rFonts w:ascii="Times New Roman" w:hAnsi="Times New Roman" w:eastAsia="宋体" w:cs="Times New Roman"/>
                <w:bCs/>
                <w:kern w:val="0"/>
                <w:szCs w:val="21"/>
              </w:rPr>
            </w:pP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96F48D">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爆破工</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36605D">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C5DCBA">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810F76">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0728AA">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3B8577">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794D12">
            <w:pPr>
              <w:adjustRightInd w:val="0"/>
              <w:snapToGrid w:val="0"/>
              <w:spacing w:line="360" w:lineRule="auto"/>
              <w:jc w:val="center"/>
              <w:rPr>
                <w:rFonts w:ascii="Times New Roman" w:hAnsi="Times New Roman" w:eastAsia="宋体" w:cs="Times New Roman"/>
                <w:bCs/>
                <w:kern w:val="0"/>
                <w:szCs w:val="21"/>
              </w:rPr>
            </w:pP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440B8E">
            <w:pPr>
              <w:adjustRightInd w:val="0"/>
              <w:snapToGrid w:val="0"/>
              <w:spacing w:line="360" w:lineRule="auto"/>
              <w:jc w:val="center"/>
              <w:rPr>
                <w:rFonts w:ascii="Times New Roman" w:hAnsi="Times New Roman" w:eastAsia="宋体" w:cs="Times New Roman"/>
                <w:bCs/>
                <w:kern w:val="0"/>
                <w:szCs w:val="21"/>
              </w:rPr>
            </w:pPr>
          </w:p>
        </w:tc>
      </w:tr>
      <w:tr w14:paraId="5AE705DF">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1EE9A5">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3</w:t>
            </w: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2B380F">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辅助工段</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3A5240">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D444D6">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5D7932">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BD6C2F">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3F6E2B">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1.33</w:t>
            </w: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F3D8EF">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3</w:t>
            </w: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01AF46">
            <w:pPr>
              <w:adjustRightInd w:val="0"/>
              <w:snapToGrid w:val="0"/>
              <w:spacing w:line="360" w:lineRule="auto"/>
              <w:jc w:val="center"/>
              <w:rPr>
                <w:rFonts w:ascii="Times New Roman" w:hAnsi="Times New Roman" w:eastAsia="宋体" w:cs="Times New Roman"/>
                <w:bCs/>
                <w:kern w:val="0"/>
                <w:szCs w:val="21"/>
              </w:rPr>
            </w:pPr>
          </w:p>
        </w:tc>
      </w:tr>
      <w:tr w14:paraId="64C0CF0F">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CBEB45">
            <w:pPr>
              <w:adjustRightInd w:val="0"/>
              <w:snapToGrid w:val="0"/>
              <w:spacing w:line="360" w:lineRule="auto"/>
              <w:jc w:val="center"/>
              <w:rPr>
                <w:rFonts w:ascii="Times New Roman" w:hAnsi="Times New Roman" w:eastAsia="宋体" w:cs="Times New Roman"/>
                <w:bCs/>
                <w:kern w:val="0"/>
                <w:szCs w:val="21"/>
              </w:rPr>
            </w:pP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5BB277">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边坡检查维护</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2C7E97">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E2086A">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B72329">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3A6128">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E9F099">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0FC1BD">
            <w:pPr>
              <w:adjustRightInd w:val="0"/>
              <w:snapToGrid w:val="0"/>
              <w:spacing w:line="360" w:lineRule="auto"/>
              <w:jc w:val="center"/>
              <w:rPr>
                <w:rFonts w:ascii="Times New Roman" w:hAnsi="Times New Roman" w:eastAsia="宋体" w:cs="Times New Roman"/>
                <w:bCs/>
                <w:kern w:val="0"/>
                <w:szCs w:val="21"/>
              </w:rPr>
            </w:pP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18064E">
            <w:pPr>
              <w:adjustRightInd w:val="0"/>
              <w:snapToGrid w:val="0"/>
              <w:spacing w:line="360" w:lineRule="auto"/>
              <w:jc w:val="center"/>
              <w:rPr>
                <w:rFonts w:ascii="Times New Roman" w:hAnsi="Times New Roman" w:eastAsia="宋体" w:cs="Times New Roman"/>
                <w:bCs/>
                <w:kern w:val="0"/>
                <w:szCs w:val="21"/>
              </w:rPr>
            </w:pPr>
          </w:p>
        </w:tc>
      </w:tr>
      <w:tr w14:paraId="751524B0">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3B7F79">
            <w:pPr>
              <w:adjustRightInd w:val="0"/>
              <w:snapToGrid w:val="0"/>
              <w:spacing w:line="360" w:lineRule="auto"/>
              <w:jc w:val="center"/>
              <w:rPr>
                <w:rFonts w:ascii="Times New Roman" w:hAnsi="Times New Roman" w:eastAsia="宋体" w:cs="Times New Roman"/>
                <w:bCs/>
                <w:kern w:val="0"/>
                <w:szCs w:val="21"/>
              </w:rPr>
            </w:pP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3CF25D">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洒水车</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F6912A">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A46E5E">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2FAC1B">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CB9FAB">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44EF19">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259D4F">
            <w:pPr>
              <w:adjustRightInd w:val="0"/>
              <w:snapToGrid w:val="0"/>
              <w:spacing w:line="360" w:lineRule="auto"/>
              <w:jc w:val="center"/>
              <w:rPr>
                <w:rFonts w:ascii="Times New Roman" w:hAnsi="Times New Roman" w:eastAsia="宋体" w:cs="Times New Roman"/>
                <w:bCs/>
                <w:kern w:val="0"/>
                <w:szCs w:val="21"/>
              </w:rPr>
            </w:pP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86D553">
            <w:pPr>
              <w:adjustRightInd w:val="0"/>
              <w:snapToGrid w:val="0"/>
              <w:spacing w:line="360" w:lineRule="auto"/>
              <w:jc w:val="center"/>
              <w:rPr>
                <w:rFonts w:ascii="Times New Roman" w:hAnsi="Times New Roman" w:eastAsia="宋体" w:cs="Times New Roman"/>
                <w:bCs/>
                <w:kern w:val="0"/>
                <w:szCs w:val="21"/>
              </w:rPr>
            </w:pPr>
          </w:p>
        </w:tc>
      </w:tr>
      <w:tr w14:paraId="62310A8E">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6F1D78">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4</w:t>
            </w: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7F8245">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其他人员</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98C6B7">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6F9EA3">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279A18">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26061E">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A9AB49">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1.05</w:t>
            </w: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6E045A">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w:t>
            </w: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1AD378">
            <w:pPr>
              <w:adjustRightInd w:val="0"/>
              <w:snapToGrid w:val="0"/>
              <w:spacing w:line="360" w:lineRule="auto"/>
              <w:jc w:val="center"/>
              <w:rPr>
                <w:rFonts w:ascii="Times New Roman" w:hAnsi="Times New Roman" w:eastAsia="宋体" w:cs="Times New Roman"/>
                <w:bCs/>
                <w:kern w:val="0"/>
                <w:szCs w:val="21"/>
              </w:rPr>
            </w:pPr>
          </w:p>
        </w:tc>
      </w:tr>
      <w:tr w14:paraId="306C85A4">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3B9407">
            <w:pPr>
              <w:adjustRightInd w:val="0"/>
              <w:snapToGrid w:val="0"/>
              <w:spacing w:line="360" w:lineRule="auto"/>
              <w:jc w:val="center"/>
              <w:rPr>
                <w:rFonts w:ascii="Times New Roman" w:hAnsi="Times New Roman" w:eastAsia="宋体" w:cs="Times New Roman"/>
                <w:bCs/>
                <w:kern w:val="0"/>
                <w:szCs w:val="21"/>
              </w:rPr>
            </w:pP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8E17D9">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机修及仓库设施</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F3055D">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122047">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ED1C77">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DACB08">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88A003">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2DD533">
            <w:pPr>
              <w:adjustRightInd w:val="0"/>
              <w:snapToGrid w:val="0"/>
              <w:spacing w:line="360" w:lineRule="auto"/>
              <w:jc w:val="center"/>
              <w:rPr>
                <w:rFonts w:ascii="Times New Roman" w:hAnsi="Times New Roman" w:eastAsia="宋体" w:cs="Times New Roman"/>
                <w:bCs/>
                <w:kern w:val="0"/>
                <w:szCs w:val="21"/>
              </w:rPr>
            </w:pP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E3DFA7">
            <w:pPr>
              <w:adjustRightInd w:val="0"/>
              <w:snapToGrid w:val="0"/>
              <w:spacing w:line="360" w:lineRule="auto"/>
              <w:jc w:val="center"/>
              <w:rPr>
                <w:rFonts w:ascii="Times New Roman" w:hAnsi="Times New Roman" w:eastAsia="宋体" w:cs="Times New Roman"/>
                <w:bCs/>
                <w:kern w:val="0"/>
                <w:szCs w:val="21"/>
              </w:rPr>
            </w:pPr>
          </w:p>
        </w:tc>
      </w:tr>
      <w:tr w14:paraId="1ED93EF2">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89449B">
            <w:pPr>
              <w:adjustRightInd w:val="0"/>
              <w:snapToGrid w:val="0"/>
              <w:spacing w:line="360" w:lineRule="auto"/>
              <w:jc w:val="center"/>
              <w:rPr>
                <w:rFonts w:ascii="Times New Roman" w:hAnsi="Times New Roman" w:eastAsia="宋体" w:cs="Times New Roman"/>
                <w:bCs/>
                <w:kern w:val="0"/>
                <w:szCs w:val="21"/>
              </w:rPr>
            </w:pP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B21502">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值班及维修电工</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4AA5A2">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396928">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0FFC5E">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9EF300">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8E6BBB">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EF3ED7">
            <w:pPr>
              <w:adjustRightInd w:val="0"/>
              <w:snapToGrid w:val="0"/>
              <w:spacing w:line="360" w:lineRule="auto"/>
              <w:jc w:val="center"/>
              <w:rPr>
                <w:rFonts w:ascii="Times New Roman" w:hAnsi="Times New Roman" w:eastAsia="宋体" w:cs="Times New Roman"/>
                <w:bCs/>
                <w:kern w:val="0"/>
                <w:szCs w:val="21"/>
              </w:rPr>
            </w:pP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AF28BB">
            <w:pPr>
              <w:adjustRightInd w:val="0"/>
              <w:snapToGrid w:val="0"/>
              <w:spacing w:line="360" w:lineRule="auto"/>
              <w:jc w:val="center"/>
              <w:rPr>
                <w:rFonts w:ascii="Times New Roman" w:hAnsi="Times New Roman" w:eastAsia="宋体" w:cs="Times New Roman"/>
                <w:bCs/>
                <w:kern w:val="0"/>
                <w:szCs w:val="21"/>
              </w:rPr>
            </w:pPr>
          </w:p>
        </w:tc>
      </w:tr>
      <w:tr w14:paraId="5DB25D8C">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EEE807">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5</w:t>
            </w: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44AAE6">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技术及管理人员</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D98276">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5</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E60C89">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2B14D7">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5CAEF8">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5</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47D3DB">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1.05</w:t>
            </w: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DD8DA9">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5</w:t>
            </w: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628C20">
            <w:pPr>
              <w:adjustRightInd w:val="0"/>
              <w:snapToGrid w:val="0"/>
              <w:spacing w:line="360" w:lineRule="auto"/>
              <w:jc w:val="center"/>
              <w:rPr>
                <w:rFonts w:ascii="Times New Roman" w:hAnsi="Times New Roman" w:eastAsia="宋体" w:cs="Times New Roman"/>
                <w:bCs/>
                <w:kern w:val="0"/>
                <w:szCs w:val="21"/>
              </w:rPr>
            </w:pPr>
          </w:p>
        </w:tc>
      </w:tr>
      <w:tr w14:paraId="446F65FD">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17AC4A">
            <w:pPr>
              <w:keepNext/>
              <w:adjustRightInd w:val="0"/>
              <w:snapToGrid w:val="0"/>
              <w:spacing w:line="360" w:lineRule="auto"/>
              <w:jc w:val="center"/>
              <w:rPr>
                <w:rFonts w:ascii="Times New Roman" w:hAnsi="Times New Roman" w:eastAsia="宋体" w:cs="Times New Roman"/>
                <w:bCs/>
                <w:kern w:val="0"/>
                <w:szCs w:val="21"/>
              </w:rPr>
            </w:pP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C9166F">
            <w:pPr>
              <w:keepNext/>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矿长、工程师、技术员</w:t>
            </w:r>
            <w:r>
              <w:rPr>
                <w:rFonts w:hint="eastAsia" w:ascii="Times New Roman" w:hAnsi="Times New Roman" w:eastAsia="宋体" w:cs="Times New Roman"/>
                <w:bCs/>
                <w:kern w:val="0"/>
                <w:szCs w:val="21"/>
              </w:rPr>
              <w:t>及其他</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3FC4C9">
            <w:pPr>
              <w:keepNext/>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3</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A14AAD">
            <w:pPr>
              <w:keepNext/>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215FB2">
            <w:pPr>
              <w:keepNext/>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26BD2D">
            <w:pPr>
              <w:keepNext/>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3</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AF394E">
            <w:pPr>
              <w:keepNext/>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03E398">
            <w:pPr>
              <w:keepNext/>
              <w:adjustRightInd w:val="0"/>
              <w:snapToGrid w:val="0"/>
              <w:spacing w:line="360" w:lineRule="auto"/>
              <w:jc w:val="center"/>
              <w:rPr>
                <w:rFonts w:ascii="Times New Roman" w:hAnsi="Times New Roman" w:eastAsia="宋体" w:cs="Times New Roman"/>
                <w:bCs/>
                <w:kern w:val="0"/>
                <w:szCs w:val="21"/>
              </w:rPr>
            </w:pP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E377CC">
            <w:pPr>
              <w:keepNext/>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含专职安全员2人</w:t>
            </w:r>
          </w:p>
        </w:tc>
      </w:tr>
      <w:tr w14:paraId="262D2817">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80788B">
            <w:pPr>
              <w:adjustRightInd w:val="0"/>
              <w:snapToGrid w:val="0"/>
              <w:spacing w:line="360" w:lineRule="auto"/>
              <w:jc w:val="center"/>
              <w:rPr>
                <w:rFonts w:ascii="Times New Roman" w:hAnsi="Times New Roman" w:eastAsia="宋体" w:cs="Times New Roman"/>
                <w:bCs/>
                <w:kern w:val="0"/>
                <w:szCs w:val="21"/>
              </w:rPr>
            </w:pP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D133C2">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采矿场值班长</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4CF4BE">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18FF41">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3F6102">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F5D363">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132CB7">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2A6499">
            <w:pPr>
              <w:adjustRightInd w:val="0"/>
              <w:snapToGrid w:val="0"/>
              <w:spacing w:line="360" w:lineRule="auto"/>
              <w:jc w:val="center"/>
              <w:rPr>
                <w:rFonts w:ascii="Times New Roman" w:hAnsi="Times New Roman" w:eastAsia="宋体" w:cs="Times New Roman"/>
                <w:bCs/>
                <w:kern w:val="0"/>
                <w:szCs w:val="21"/>
              </w:rPr>
            </w:pP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147057">
            <w:pPr>
              <w:adjustRightInd w:val="0"/>
              <w:snapToGrid w:val="0"/>
              <w:spacing w:line="360" w:lineRule="auto"/>
              <w:jc w:val="center"/>
              <w:rPr>
                <w:rFonts w:ascii="Times New Roman" w:hAnsi="Times New Roman" w:eastAsia="宋体" w:cs="Times New Roman"/>
                <w:bCs/>
                <w:kern w:val="0"/>
                <w:szCs w:val="21"/>
              </w:rPr>
            </w:pPr>
          </w:p>
        </w:tc>
      </w:tr>
      <w:tr w14:paraId="15888C27">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14759A">
            <w:pPr>
              <w:adjustRightInd w:val="0"/>
              <w:snapToGrid w:val="0"/>
              <w:spacing w:line="360" w:lineRule="auto"/>
              <w:jc w:val="center"/>
              <w:rPr>
                <w:rFonts w:ascii="Times New Roman" w:hAnsi="Times New Roman" w:eastAsia="宋体" w:cs="Times New Roman"/>
                <w:bCs/>
                <w:kern w:val="0"/>
                <w:szCs w:val="21"/>
              </w:rPr>
            </w:pP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F034C2">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地质、测量技术人员</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03203C">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0B09E2">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0AFC8F">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E0DC4C">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643E81">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3EFED6">
            <w:pPr>
              <w:adjustRightInd w:val="0"/>
              <w:snapToGrid w:val="0"/>
              <w:spacing w:line="360" w:lineRule="auto"/>
              <w:jc w:val="center"/>
              <w:rPr>
                <w:rFonts w:ascii="Times New Roman" w:hAnsi="Times New Roman" w:eastAsia="宋体" w:cs="Times New Roman"/>
                <w:bCs/>
                <w:kern w:val="0"/>
                <w:szCs w:val="21"/>
              </w:rPr>
            </w:pP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DBD1F3">
            <w:pPr>
              <w:adjustRightInd w:val="0"/>
              <w:snapToGrid w:val="0"/>
              <w:spacing w:line="360" w:lineRule="auto"/>
              <w:jc w:val="center"/>
              <w:rPr>
                <w:rFonts w:ascii="Times New Roman" w:hAnsi="Times New Roman" w:eastAsia="宋体" w:cs="Times New Roman"/>
                <w:bCs/>
                <w:kern w:val="0"/>
                <w:szCs w:val="21"/>
              </w:rPr>
            </w:pPr>
          </w:p>
        </w:tc>
      </w:tr>
      <w:tr w14:paraId="4B54457B">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C6738E">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二</w:t>
            </w: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C0B60D">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砂石加工系统</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9813AC">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7</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ED5E15">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E0F34E">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A01511">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7</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B43F5E">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8C44FB">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8</w:t>
            </w: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8C06CC">
            <w:pPr>
              <w:adjustRightInd w:val="0"/>
              <w:snapToGrid w:val="0"/>
              <w:spacing w:line="360" w:lineRule="auto"/>
              <w:jc w:val="center"/>
              <w:rPr>
                <w:rFonts w:ascii="Times New Roman" w:hAnsi="Times New Roman" w:eastAsia="宋体" w:cs="Times New Roman"/>
                <w:bCs/>
                <w:kern w:val="0"/>
                <w:szCs w:val="21"/>
              </w:rPr>
            </w:pPr>
          </w:p>
        </w:tc>
      </w:tr>
      <w:tr w14:paraId="191F3581">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7B70BB">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5B1639">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破碎</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607EF7">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4</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9F36B2">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7BD8D1">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BEDE64">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4</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5D4976">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1.33</w:t>
            </w: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48A806">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5</w:t>
            </w: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E4B1E4">
            <w:pPr>
              <w:adjustRightInd w:val="0"/>
              <w:snapToGrid w:val="0"/>
              <w:spacing w:line="360" w:lineRule="auto"/>
              <w:jc w:val="center"/>
              <w:rPr>
                <w:rFonts w:ascii="Times New Roman" w:hAnsi="Times New Roman" w:eastAsia="宋体" w:cs="Times New Roman"/>
                <w:bCs/>
                <w:kern w:val="0"/>
                <w:szCs w:val="21"/>
              </w:rPr>
            </w:pPr>
          </w:p>
        </w:tc>
      </w:tr>
      <w:tr w14:paraId="59F39AEE">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DC8E73">
            <w:pPr>
              <w:adjustRightInd w:val="0"/>
              <w:snapToGrid w:val="0"/>
              <w:spacing w:line="360" w:lineRule="auto"/>
              <w:jc w:val="center"/>
              <w:rPr>
                <w:rFonts w:ascii="Times New Roman" w:hAnsi="Times New Roman" w:eastAsia="宋体" w:cs="Times New Roman"/>
                <w:bCs/>
                <w:kern w:val="0"/>
                <w:szCs w:val="21"/>
              </w:rPr>
            </w:pP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213D4D">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粗碎</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09F920">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E27C8C">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BB9324">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6B1586">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D00B9D">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782B4D">
            <w:pPr>
              <w:adjustRightInd w:val="0"/>
              <w:snapToGrid w:val="0"/>
              <w:spacing w:line="360" w:lineRule="auto"/>
              <w:jc w:val="center"/>
              <w:rPr>
                <w:rFonts w:ascii="Times New Roman" w:hAnsi="Times New Roman" w:eastAsia="宋体" w:cs="Times New Roman"/>
                <w:bCs/>
                <w:kern w:val="0"/>
                <w:szCs w:val="21"/>
              </w:rPr>
            </w:pP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D0AF2A">
            <w:pPr>
              <w:adjustRightInd w:val="0"/>
              <w:snapToGrid w:val="0"/>
              <w:spacing w:line="360" w:lineRule="auto"/>
              <w:jc w:val="center"/>
              <w:rPr>
                <w:rFonts w:ascii="Times New Roman" w:hAnsi="Times New Roman" w:eastAsia="宋体" w:cs="Times New Roman"/>
                <w:bCs/>
                <w:kern w:val="0"/>
                <w:szCs w:val="21"/>
              </w:rPr>
            </w:pPr>
          </w:p>
        </w:tc>
      </w:tr>
      <w:tr w14:paraId="63BD48EF">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A382C8">
            <w:pPr>
              <w:adjustRightInd w:val="0"/>
              <w:snapToGrid w:val="0"/>
              <w:spacing w:line="360" w:lineRule="auto"/>
              <w:jc w:val="center"/>
              <w:rPr>
                <w:rFonts w:ascii="Times New Roman" w:hAnsi="Times New Roman" w:eastAsia="宋体" w:cs="Times New Roman"/>
                <w:bCs/>
                <w:kern w:val="0"/>
                <w:szCs w:val="21"/>
              </w:rPr>
            </w:pP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2A4A85">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中细碎</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2459B1">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527358">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0CA94B">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398C88">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7CFB18">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D9DF34">
            <w:pPr>
              <w:adjustRightInd w:val="0"/>
              <w:snapToGrid w:val="0"/>
              <w:spacing w:line="360" w:lineRule="auto"/>
              <w:jc w:val="center"/>
              <w:rPr>
                <w:rFonts w:ascii="Times New Roman" w:hAnsi="Times New Roman" w:eastAsia="宋体" w:cs="Times New Roman"/>
                <w:bCs/>
                <w:kern w:val="0"/>
                <w:szCs w:val="21"/>
              </w:rPr>
            </w:pP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AE2951">
            <w:pPr>
              <w:adjustRightInd w:val="0"/>
              <w:snapToGrid w:val="0"/>
              <w:spacing w:line="360" w:lineRule="auto"/>
              <w:jc w:val="center"/>
              <w:rPr>
                <w:rFonts w:ascii="Times New Roman" w:hAnsi="Times New Roman" w:eastAsia="宋体" w:cs="Times New Roman"/>
                <w:bCs/>
                <w:kern w:val="0"/>
                <w:szCs w:val="21"/>
              </w:rPr>
            </w:pPr>
          </w:p>
        </w:tc>
      </w:tr>
      <w:tr w14:paraId="46A69D59">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A5ED22">
            <w:pPr>
              <w:adjustRightInd w:val="0"/>
              <w:snapToGrid w:val="0"/>
              <w:spacing w:line="360" w:lineRule="auto"/>
              <w:jc w:val="center"/>
              <w:rPr>
                <w:rFonts w:ascii="Times New Roman" w:hAnsi="Times New Roman" w:eastAsia="宋体" w:cs="Times New Roman"/>
                <w:bCs/>
                <w:kern w:val="0"/>
                <w:szCs w:val="21"/>
              </w:rPr>
            </w:pP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3B8CE2">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筛分</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BDFD39">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042CAE">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0B60CF">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5A9894">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3CE7EB">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4CD70B">
            <w:pPr>
              <w:adjustRightInd w:val="0"/>
              <w:snapToGrid w:val="0"/>
              <w:spacing w:line="360" w:lineRule="auto"/>
              <w:jc w:val="center"/>
              <w:rPr>
                <w:rFonts w:ascii="Times New Roman" w:hAnsi="Times New Roman" w:eastAsia="宋体" w:cs="Times New Roman"/>
                <w:bCs/>
                <w:kern w:val="0"/>
                <w:szCs w:val="21"/>
              </w:rPr>
            </w:pP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B2F237">
            <w:pPr>
              <w:adjustRightInd w:val="0"/>
              <w:snapToGrid w:val="0"/>
              <w:spacing w:line="360" w:lineRule="auto"/>
              <w:jc w:val="center"/>
              <w:rPr>
                <w:rFonts w:ascii="Times New Roman" w:hAnsi="Times New Roman" w:eastAsia="宋体" w:cs="Times New Roman"/>
                <w:bCs/>
                <w:kern w:val="0"/>
                <w:szCs w:val="21"/>
              </w:rPr>
            </w:pPr>
          </w:p>
        </w:tc>
      </w:tr>
      <w:tr w14:paraId="0A6687AB">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D14157">
            <w:pPr>
              <w:adjustRightInd w:val="0"/>
              <w:snapToGrid w:val="0"/>
              <w:spacing w:line="360" w:lineRule="auto"/>
              <w:jc w:val="center"/>
              <w:rPr>
                <w:rFonts w:ascii="Times New Roman" w:hAnsi="Times New Roman" w:eastAsia="宋体" w:cs="Times New Roman"/>
                <w:bCs/>
                <w:kern w:val="0"/>
                <w:szCs w:val="21"/>
              </w:rPr>
            </w:pP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E503DC">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皮带</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2A1239">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E0EB60">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2B84F4">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A86EDD">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06B86D">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12BD0C">
            <w:pPr>
              <w:adjustRightInd w:val="0"/>
              <w:snapToGrid w:val="0"/>
              <w:spacing w:line="360" w:lineRule="auto"/>
              <w:jc w:val="center"/>
              <w:rPr>
                <w:rFonts w:ascii="Times New Roman" w:hAnsi="Times New Roman" w:eastAsia="宋体" w:cs="Times New Roman"/>
                <w:bCs/>
                <w:kern w:val="0"/>
                <w:szCs w:val="21"/>
              </w:rPr>
            </w:pP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EB28C2">
            <w:pPr>
              <w:adjustRightInd w:val="0"/>
              <w:snapToGrid w:val="0"/>
              <w:spacing w:line="360" w:lineRule="auto"/>
              <w:jc w:val="center"/>
              <w:rPr>
                <w:rFonts w:ascii="Times New Roman" w:hAnsi="Times New Roman" w:eastAsia="宋体" w:cs="Times New Roman"/>
                <w:bCs/>
                <w:kern w:val="0"/>
                <w:szCs w:val="21"/>
              </w:rPr>
            </w:pPr>
          </w:p>
        </w:tc>
      </w:tr>
      <w:tr w14:paraId="6C597B5D">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FB9603">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w:t>
            </w: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E25373">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辅助生产</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7F0585">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0E0B84">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B7FBCF">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55A5C1">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FC2BDB">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1.05</w:t>
            </w: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8C8761">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w:t>
            </w: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F46337">
            <w:pPr>
              <w:adjustRightInd w:val="0"/>
              <w:snapToGrid w:val="0"/>
              <w:spacing w:line="360" w:lineRule="auto"/>
              <w:jc w:val="center"/>
              <w:rPr>
                <w:rFonts w:ascii="Times New Roman" w:hAnsi="Times New Roman" w:eastAsia="宋体" w:cs="Times New Roman"/>
                <w:bCs/>
                <w:kern w:val="0"/>
                <w:szCs w:val="21"/>
              </w:rPr>
            </w:pPr>
          </w:p>
        </w:tc>
      </w:tr>
      <w:tr w14:paraId="2039FF29">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E5BF28">
            <w:pPr>
              <w:adjustRightInd w:val="0"/>
              <w:snapToGrid w:val="0"/>
              <w:spacing w:line="360" w:lineRule="auto"/>
              <w:jc w:val="center"/>
              <w:rPr>
                <w:rFonts w:ascii="Times New Roman" w:hAnsi="Times New Roman" w:eastAsia="宋体" w:cs="Times New Roman"/>
                <w:bCs/>
                <w:kern w:val="0"/>
                <w:szCs w:val="21"/>
              </w:rPr>
            </w:pP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0A4C85">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电工</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ACC390">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DD50F3">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A91BD8">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A42D2C">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737CAD">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5001CB">
            <w:pPr>
              <w:adjustRightInd w:val="0"/>
              <w:snapToGrid w:val="0"/>
              <w:spacing w:line="360" w:lineRule="auto"/>
              <w:jc w:val="center"/>
              <w:rPr>
                <w:rFonts w:ascii="Times New Roman" w:hAnsi="Times New Roman" w:eastAsia="宋体" w:cs="Times New Roman"/>
                <w:bCs/>
                <w:kern w:val="0"/>
                <w:szCs w:val="21"/>
              </w:rPr>
            </w:pP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EC2A04">
            <w:pPr>
              <w:adjustRightInd w:val="0"/>
              <w:snapToGrid w:val="0"/>
              <w:spacing w:line="360" w:lineRule="auto"/>
              <w:jc w:val="center"/>
              <w:rPr>
                <w:rFonts w:ascii="Times New Roman" w:hAnsi="Times New Roman" w:eastAsia="宋体" w:cs="Times New Roman"/>
                <w:bCs/>
                <w:kern w:val="0"/>
                <w:szCs w:val="21"/>
              </w:rPr>
            </w:pPr>
          </w:p>
        </w:tc>
      </w:tr>
      <w:tr w14:paraId="19BD538B">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D0127B">
            <w:pPr>
              <w:adjustRightInd w:val="0"/>
              <w:snapToGrid w:val="0"/>
              <w:spacing w:line="360" w:lineRule="auto"/>
              <w:jc w:val="center"/>
              <w:rPr>
                <w:rFonts w:ascii="Times New Roman" w:hAnsi="Times New Roman" w:eastAsia="宋体" w:cs="Times New Roman"/>
                <w:bCs/>
                <w:kern w:val="0"/>
                <w:szCs w:val="21"/>
              </w:rPr>
            </w:pP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42B46D">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机修</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C9B686">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1EA21E">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C98FD1">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9BF00A">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4C8B2F">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53B842">
            <w:pPr>
              <w:adjustRightInd w:val="0"/>
              <w:snapToGrid w:val="0"/>
              <w:spacing w:line="360" w:lineRule="auto"/>
              <w:jc w:val="center"/>
              <w:rPr>
                <w:rFonts w:ascii="Times New Roman" w:hAnsi="Times New Roman" w:eastAsia="宋体" w:cs="Times New Roman"/>
                <w:bCs/>
                <w:kern w:val="0"/>
                <w:szCs w:val="21"/>
              </w:rPr>
            </w:pP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BFCE2E">
            <w:pPr>
              <w:adjustRightInd w:val="0"/>
              <w:snapToGrid w:val="0"/>
              <w:spacing w:line="360" w:lineRule="auto"/>
              <w:jc w:val="center"/>
              <w:rPr>
                <w:rFonts w:ascii="Times New Roman" w:hAnsi="Times New Roman" w:eastAsia="宋体" w:cs="Times New Roman"/>
                <w:bCs/>
                <w:kern w:val="0"/>
                <w:szCs w:val="21"/>
              </w:rPr>
            </w:pPr>
          </w:p>
        </w:tc>
      </w:tr>
      <w:tr w14:paraId="18F35CFE">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4C0668">
            <w:pPr>
              <w:adjustRightInd w:val="0"/>
              <w:snapToGrid w:val="0"/>
              <w:spacing w:line="360" w:lineRule="auto"/>
              <w:jc w:val="center"/>
              <w:rPr>
                <w:rFonts w:ascii="Times New Roman" w:hAnsi="Times New Roman" w:eastAsia="宋体" w:cs="Times New Roman"/>
                <w:bCs/>
                <w:kern w:val="0"/>
                <w:szCs w:val="21"/>
              </w:rPr>
            </w:pP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EAEA37">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其他</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C70A9C">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0</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6FC4E7">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6D5ED6">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BDFF84">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0</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2F9DA4">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D38ABC">
            <w:pPr>
              <w:adjustRightInd w:val="0"/>
              <w:snapToGrid w:val="0"/>
              <w:spacing w:line="360" w:lineRule="auto"/>
              <w:jc w:val="center"/>
              <w:rPr>
                <w:rFonts w:ascii="Times New Roman" w:hAnsi="Times New Roman" w:eastAsia="宋体" w:cs="Times New Roman"/>
                <w:bCs/>
                <w:kern w:val="0"/>
                <w:szCs w:val="21"/>
              </w:rPr>
            </w:pP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2D5EF1">
            <w:pPr>
              <w:adjustRightInd w:val="0"/>
              <w:snapToGrid w:val="0"/>
              <w:spacing w:line="360" w:lineRule="auto"/>
              <w:jc w:val="center"/>
              <w:rPr>
                <w:rFonts w:ascii="Times New Roman" w:hAnsi="Times New Roman" w:eastAsia="宋体" w:cs="Times New Roman"/>
                <w:bCs/>
                <w:kern w:val="0"/>
                <w:szCs w:val="21"/>
              </w:rPr>
            </w:pPr>
          </w:p>
        </w:tc>
      </w:tr>
      <w:tr w14:paraId="7AF46183">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8D4A65">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3</w:t>
            </w: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73638B">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技术及管理人员</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9031BF">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A5249F">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4E8370">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A14EBF">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EC4AB2">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1.05</w:t>
            </w: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F718D5">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w:t>
            </w: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04D301">
            <w:pPr>
              <w:adjustRightInd w:val="0"/>
              <w:snapToGrid w:val="0"/>
              <w:spacing w:line="360" w:lineRule="auto"/>
              <w:jc w:val="center"/>
              <w:rPr>
                <w:rFonts w:ascii="Times New Roman" w:hAnsi="Times New Roman" w:eastAsia="宋体" w:cs="Times New Roman"/>
                <w:bCs/>
                <w:kern w:val="0"/>
                <w:szCs w:val="21"/>
              </w:rPr>
            </w:pPr>
          </w:p>
        </w:tc>
      </w:tr>
      <w:tr w14:paraId="1F7CAAF5">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F0EBF8">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三</w:t>
            </w: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0BA5A3">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厂部管理及服务人员</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49E536">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w:t>
            </w: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4E5834">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EC33BA">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813236">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w:t>
            </w: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C6C457">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1.05</w:t>
            </w: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9DD94B">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w:t>
            </w: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088BF4">
            <w:pPr>
              <w:adjustRightInd w:val="0"/>
              <w:snapToGrid w:val="0"/>
              <w:spacing w:line="360" w:lineRule="auto"/>
              <w:jc w:val="center"/>
              <w:rPr>
                <w:rFonts w:ascii="Times New Roman" w:hAnsi="Times New Roman" w:eastAsia="宋体" w:cs="Times New Roman"/>
                <w:bCs/>
                <w:kern w:val="0"/>
                <w:szCs w:val="21"/>
              </w:rPr>
            </w:pPr>
          </w:p>
        </w:tc>
      </w:tr>
      <w:tr w14:paraId="251BFD57">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925A13">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四</w:t>
            </w: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3632B0">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总计</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D015FF">
            <w:pPr>
              <w:adjustRightInd w:val="0"/>
              <w:snapToGrid w:val="0"/>
              <w:spacing w:line="360" w:lineRule="auto"/>
              <w:jc w:val="center"/>
              <w:rPr>
                <w:rFonts w:ascii="Times New Roman" w:hAnsi="Times New Roman" w:eastAsia="宋体" w:cs="Times New Roman"/>
                <w:bCs/>
                <w:kern w:val="0"/>
                <w:szCs w:val="21"/>
              </w:rPr>
            </w:pP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3DC7C0">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411B8D">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DD9786">
            <w:pPr>
              <w:adjustRightInd w:val="0"/>
              <w:snapToGrid w:val="0"/>
              <w:spacing w:line="360" w:lineRule="auto"/>
              <w:jc w:val="center"/>
              <w:rPr>
                <w:rFonts w:ascii="Times New Roman" w:hAnsi="Times New Roman" w:eastAsia="宋体" w:cs="Times New Roman"/>
                <w:bCs/>
                <w:kern w:val="0"/>
                <w:szCs w:val="21"/>
              </w:rPr>
            </w:pP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47C6A0">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A0042A">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35</w:t>
            </w: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9E9F3A">
            <w:pPr>
              <w:adjustRightInd w:val="0"/>
              <w:snapToGrid w:val="0"/>
              <w:spacing w:line="360" w:lineRule="auto"/>
              <w:jc w:val="center"/>
              <w:rPr>
                <w:rFonts w:ascii="Times New Roman" w:hAnsi="Times New Roman" w:eastAsia="宋体" w:cs="Times New Roman"/>
                <w:bCs/>
                <w:kern w:val="0"/>
                <w:szCs w:val="21"/>
              </w:rPr>
            </w:pPr>
          </w:p>
        </w:tc>
      </w:tr>
      <w:tr w14:paraId="68B44D88">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E8B696">
            <w:pPr>
              <w:adjustRightInd w:val="0"/>
              <w:snapToGrid w:val="0"/>
              <w:spacing w:line="360" w:lineRule="auto"/>
              <w:jc w:val="center"/>
              <w:rPr>
                <w:rFonts w:ascii="Times New Roman" w:hAnsi="Times New Roman" w:eastAsia="宋体" w:cs="Times New Roman"/>
                <w:bCs/>
                <w:kern w:val="0"/>
                <w:szCs w:val="21"/>
              </w:rPr>
            </w:pP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288A1D">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其中：工人</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2A5B9B">
            <w:pPr>
              <w:adjustRightInd w:val="0"/>
              <w:snapToGrid w:val="0"/>
              <w:spacing w:line="360" w:lineRule="auto"/>
              <w:jc w:val="center"/>
              <w:rPr>
                <w:rFonts w:ascii="Times New Roman" w:hAnsi="Times New Roman" w:eastAsia="宋体" w:cs="Times New Roman"/>
                <w:bCs/>
                <w:kern w:val="0"/>
                <w:szCs w:val="21"/>
              </w:rPr>
            </w:pP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C25B21">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D7E7A1">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F2AB4C">
            <w:pPr>
              <w:adjustRightInd w:val="0"/>
              <w:snapToGrid w:val="0"/>
              <w:spacing w:line="360" w:lineRule="auto"/>
              <w:jc w:val="center"/>
              <w:rPr>
                <w:rFonts w:ascii="Times New Roman" w:hAnsi="Times New Roman" w:eastAsia="宋体" w:cs="Times New Roman"/>
                <w:bCs/>
                <w:kern w:val="0"/>
                <w:szCs w:val="21"/>
              </w:rPr>
            </w:pP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6FFBF3">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F0F083">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27</w:t>
            </w: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75775D">
            <w:pPr>
              <w:adjustRightInd w:val="0"/>
              <w:snapToGrid w:val="0"/>
              <w:spacing w:line="360" w:lineRule="auto"/>
              <w:jc w:val="center"/>
              <w:rPr>
                <w:rFonts w:ascii="Times New Roman" w:hAnsi="Times New Roman" w:eastAsia="宋体" w:cs="Times New Roman"/>
                <w:bCs/>
                <w:kern w:val="0"/>
                <w:szCs w:val="21"/>
              </w:rPr>
            </w:pPr>
          </w:p>
        </w:tc>
      </w:tr>
      <w:tr w14:paraId="65B6ED2F">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317BBC">
            <w:pPr>
              <w:adjustRightInd w:val="0"/>
              <w:snapToGrid w:val="0"/>
              <w:spacing w:line="360" w:lineRule="auto"/>
              <w:jc w:val="center"/>
              <w:rPr>
                <w:rFonts w:ascii="Times New Roman" w:hAnsi="Times New Roman" w:eastAsia="宋体" w:cs="Times New Roman"/>
                <w:bCs/>
                <w:kern w:val="0"/>
                <w:szCs w:val="21"/>
              </w:rPr>
            </w:pP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F06CA0">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车间管理及技术人员</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7037C3">
            <w:pPr>
              <w:adjustRightInd w:val="0"/>
              <w:snapToGrid w:val="0"/>
              <w:spacing w:line="360" w:lineRule="auto"/>
              <w:jc w:val="center"/>
              <w:rPr>
                <w:rFonts w:ascii="Times New Roman" w:hAnsi="Times New Roman" w:eastAsia="宋体" w:cs="Times New Roman"/>
                <w:bCs/>
                <w:kern w:val="0"/>
                <w:szCs w:val="21"/>
              </w:rPr>
            </w:pP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141EE5">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ADB461">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A36F75">
            <w:pPr>
              <w:adjustRightInd w:val="0"/>
              <w:snapToGrid w:val="0"/>
              <w:spacing w:line="360" w:lineRule="auto"/>
              <w:jc w:val="center"/>
              <w:rPr>
                <w:rFonts w:ascii="Times New Roman" w:hAnsi="Times New Roman" w:eastAsia="宋体" w:cs="Times New Roman"/>
                <w:bCs/>
                <w:kern w:val="0"/>
                <w:szCs w:val="21"/>
              </w:rPr>
            </w:pP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393B83">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2FE3E5">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6</w:t>
            </w: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BA7BB4">
            <w:pPr>
              <w:adjustRightInd w:val="0"/>
              <w:snapToGrid w:val="0"/>
              <w:spacing w:line="360" w:lineRule="auto"/>
              <w:jc w:val="center"/>
              <w:rPr>
                <w:rFonts w:ascii="Times New Roman" w:hAnsi="Times New Roman" w:eastAsia="宋体" w:cs="Times New Roman"/>
                <w:bCs/>
                <w:kern w:val="0"/>
                <w:szCs w:val="21"/>
              </w:rPr>
            </w:pPr>
          </w:p>
        </w:tc>
      </w:tr>
      <w:tr w14:paraId="4A71A4E9">
        <w:tblPrEx>
          <w:tblCellMar>
            <w:top w:w="0" w:type="dxa"/>
            <w:left w:w="108" w:type="dxa"/>
            <w:bottom w:w="0" w:type="dxa"/>
            <w:right w:w="108" w:type="dxa"/>
          </w:tblCellMar>
        </w:tblPrEx>
        <w:trPr>
          <w:trHeight w:val="402" w:hRule="atLeast"/>
        </w:trPr>
        <w:tc>
          <w:tcPr>
            <w:tcW w:w="3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875BC9">
            <w:pPr>
              <w:adjustRightInd w:val="0"/>
              <w:snapToGrid w:val="0"/>
              <w:spacing w:line="360" w:lineRule="auto"/>
              <w:jc w:val="center"/>
              <w:rPr>
                <w:rFonts w:ascii="Times New Roman" w:hAnsi="Times New Roman" w:eastAsia="宋体" w:cs="Times New Roman"/>
                <w:bCs/>
                <w:kern w:val="0"/>
                <w:szCs w:val="21"/>
              </w:rPr>
            </w:pPr>
          </w:p>
        </w:tc>
        <w:tc>
          <w:tcPr>
            <w:tcW w:w="151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0F7DCB">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管理及服务人员</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D7DD45">
            <w:pPr>
              <w:adjustRightInd w:val="0"/>
              <w:snapToGrid w:val="0"/>
              <w:spacing w:line="360" w:lineRule="auto"/>
              <w:jc w:val="center"/>
              <w:rPr>
                <w:rFonts w:ascii="Times New Roman" w:hAnsi="Times New Roman" w:eastAsia="宋体" w:cs="Times New Roman"/>
                <w:bCs/>
                <w:kern w:val="0"/>
                <w:szCs w:val="21"/>
              </w:rPr>
            </w:pPr>
          </w:p>
        </w:tc>
        <w:tc>
          <w:tcPr>
            <w:tcW w:w="2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EC4AFB">
            <w:pPr>
              <w:adjustRightInd w:val="0"/>
              <w:snapToGrid w:val="0"/>
              <w:spacing w:line="360" w:lineRule="auto"/>
              <w:jc w:val="center"/>
              <w:rPr>
                <w:rFonts w:ascii="Times New Roman" w:hAnsi="Times New Roman" w:eastAsia="宋体" w:cs="Times New Roman"/>
                <w:bCs/>
                <w:kern w:val="0"/>
                <w:szCs w:val="21"/>
              </w:rPr>
            </w:pPr>
          </w:p>
        </w:tc>
        <w:tc>
          <w:tcPr>
            <w:tcW w:w="3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25F038">
            <w:pPr>
              <w:adjustRightInd w:val="0"/>
              <w:snapToGrid w:val="0"/>
              <w:spacing w:line="360" w:lineRule="auto"/>
              <w:jc w:val="center"/>
              <w:rPr>
                <w:rFonts w:ascii="Times New Roman" w:hAnsi="Times New Roman" w:eastAsia="宋体" w:cs="Times New Roman"/>
                <w:bCs/>
                <w:kern w:val="0"/>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8E1781">
            <w:pPr>
              <w:adjustRightInd w:val="0"/>
              <w:snapToGrid w:val="0"/>
              <w:spacing w:line="360" w:lineRule="auto"/>
              <w:jc w:val="center"/>
              <w:rPr>
                <w:rFonts w:ascii="Times New Roman" w:hAnsi="Times New Roman" w:eastAsia="宋体" w:cs="Times New Roman"/>
                <w:bCs/>
                <w:kern w:val="0"/>
                <w:szCs w:val="21"/>
              </w:rPr>
            </w:pPr>
          </w:p>
        </w:tc>
        <w:tc>
          <w:tcPr>
            <w:tcW w:w="4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9200E5">
            <w:pPr>
              <w:adjustRightInd w:val="0"/>
              <w:snapToGrid w:val="0"/>
              <w:spacing w:line="360" w:lineRule="auto"/>
              <w:jc w:val="center"/>
              <w:rPr>
                <w:rFonts w:ascii="Times New Roman" w:hAnsi="Times New Roman" w:eastAsia="宋体" w:cs="Times New Roman"/>
                <w:bCs/>
                <w:kern w:val="0"/>
                <w:szCs w:val="21"/>
              </w:rPr>
            </w:pPr>
          </w:p>
        </w:tc>
        <w:tc>
          <w:tcPr>
            <w:tcW w:w="5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6E9928">
            <w:pPr>
              <w:adjustRightInd w:val="0"/>
              <w:snapToGrid w:val="0"/>
              <w:spacing w:line="36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w:t>
            </w:r>
          </w:p>
        </w:tc>
        <w:tc>
          <w:tcPr>
            <w:tcW w:w="8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925407">
            <w:pPr>
              <w:adjustRightInd w:val="0"/>
              <w:snapToGrid w:val="0"/>
              <w:spacing w:line="360" w:lineRule="auto"/>
              <w:jc w:val="center"/>
              <w:rPr>
                <w:rFonts w:ascii="Times New Roman" w:hAnsi="Times New Roman" w:eastAsia="宋体" w:cs="Times New Roman"/>
                <w:bCs/>
                <w:kern w:val="0"/>
                <w:szCs w:val="21"/>
              </w:rPr>
            </w:pPr>
          </w:p>
        </w:tc>
      </w:tr>
    </w:tbl>
    <w:p w14:paraId="63790C16">
      <w:pPr>
        <w:keepNext/>
        <w:adjustRightInd w:val="0"/>
        <w:snapToGrid w:val="0"/>
        <w:spacing w:before="156" w:beforeLines="50"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3、</w:t>
      </w:r>
      <w:r>
        <w:rPr>
          <w:rFonts w:ascii="Times New Roman" w:hAnsi="Times New Roman" w:eastAsia="宋体" w:cs="Times New Roman"/>
          <w:color w:val="000000" w:themeColor="text1"/>
          <w:sz w:val="28"/>
          <w:szCs w:val="28"/>
          <w:lang w:val="en-GB"/>
          <w14:textFill>
            <w14:solidFill>
              <w14:schemeClr w14:val="tx1"/>
            </w14:solidFill>
          </w14:textFill>
        </w:rPr>
        <w:t>安全教育培训</w:t>
      </w:r>
    </w:p>
    <w:p w14:paraId="6CADBDE0">
      <w:pPr>
        <w:adjustRightInd w:val="0"/>
        <w:snapToGrid w:val="0"/>
        <w:spacing w:line="360" w:lineRule="auto"/>
        <w:ind w:firstLine="560" w:firstLineChars="200"/>
        <w:rPr>
          <w:rFonts w:ascii="Times New Roman" w:hAnsi="Times New Roman" w:eastAsia="宋体" w:cs="Times New Roman"/>
          <w:sz w:val="28"/>
          <w:szCs w:val="21"/>
          <w:lang w:val="en-GB"/>
        </w:rPr>
      </w:pPr>
      <w:r>
        <w:rPr>
          <w:rFonts w:ascii="Times New Roman" w:hAnsi="Times New Roman" w:eastAsia="宋体" w:cs="Times New Roman"/>
          <w:sz w:val="28"/>
          <w:szCs w:val="21"/>
          <w:lang w:val="en-GB"/>
        </w:rPr>
        <w:t>加强教育培训工作，教育培训对象包括主要负责人、安全生产管理人员、特种人员、普通员工。人员培训是为项目顺利投产、达到设计生产能力、发挥投资效益、取得良好经济效果的重要措施，因此要求对所有上岗人员需进行全面培训，其</w:t>
      </w:r>
      <w:r>
        <w:rPr>
          <w:rFonts w:hint="eastAsia" w:ascii="Times New Roman" w:hAnsi="Times New Roman" w:eastAsia="宋体" w:cs="Times New Roman"/>
          <w:sz w:val="28"/>
          <w:szCs w:val="21"/>
          <w:lang w:val="en-GB"/>
        </w:rPr>
        <w:t>目的是</w:t>
      </w:r>
      <w:r>
        <w:rPr>
          <w:rFonts w:ascii="Times New Roman" w:hAnsi="Times New Roman" w:eastAsia="宋体" w:cs="Times New Roman"/>
          <w:sz w:val="28"/>
          <w:szCs w:val="21"/>
          <w:lang w:val="en-GB"/>
        </w:rPr>
        <w:t>向企业提供生产管理和生产操作的合格人员。</w:t>
      </w:r>
    </w:p>
    <w:p w14:paraId="4769AF26">
      <w:pPr>
        <w:adjustRightInd w:val="0"/>
        <w:snapToGrid w:val="0"/>
        <w:spacing w:line="360" w:lineRule="auto"/>
        <w:ind w:firstLine="560" w:firstLineChars="200"/>
        <w:rPr>
          <w:rFonts w:ascii="Times New Roman" w:hAnsi="Times New Roman" w:eastAsia="宋体" w:cs="Times New Roman"/>
          <w:sz w:val="28"/>
          <w:szCs w:val="21"/>
          <w:lang w:val="en-GB"/>
        </w:rPr>
      </w:pPr>
      <w:r>
        <w:rPr>
          <w:rFonts w:ascii="Times New Roman" w:hAnsi="Times New Roman" w:eastAsia="宋体" w:cs="Times New Roman"/>
          <w:sz w:val="28"/>
          <w:szCs w:val="21"/>
          <w:lang w:val="en-GB"/>
        </w:rPr>
        <w:t>培训工作在项目投产前即应开始，对于新进厂生产人员应首先系统学习各种专业理论知识，通过安全教育、操作规程、生产前后环节的协作、联系和事故处理等，然后进行实际生产操作培训，培训结束后经过严格考核，取得操作合格证后才能上岗操作。</w:t>
      </w:r>
    </w:p>
    <w:p w14:paraId="62548FA5">
      <w:pPr>
        <w:adjustRightInd w:val="0"/>
        <w:snapToGrid w:val="0"/>
        <w:spacing w:line="360" w:lineRule="auto"/>
        <w:ind w:firstLine="560" w:firstLineChars="200"/>
        <w:outlineLvl w:val="3"/>
        <w:rPr>
          <w:rFonts w:ascii="Times New Roman" w:hAnsi="Times New Roman" w:cs="Times New Roman"/>
          <w:lang w:val="en-GB"/>
        </w:rPr>
      </w:pPr>
      <w:r>
        <w:rPr>
          <w:rFonts w:ascii="Times New Roman" w:hAnsi="Times New Roman" w:eastAsia="黑体" w:cs="Times New Roman"/>
          <w:bCs/>
          <w:kern w:val="2"/>
          <w:sz w:val="28"/>
          <w:szCs w:val="28"/>
          <w:lang w:val="en-GB" w:eastAsia="zh-CN" w:bidi="ar-SA"/>
        </w:rPr>
        <w:t>2.4.1</w:t>
      </w:r>
      <w:r>
        <w:rPr>
          <w:rFonts w:hint="eastAsia" w:ascii="Times New Roman" w:hAnsi="Times New Roman" w:eastAsia="黑体" w:cs="Times New Roman"/>
          <w:bCs/>
          <w:kern w:val="2"/>
          <w:sz w:val="28"/>
          <w:szCs w:val="28"/>
          <w:lang w:val="en-GB" w:eastAsia="zh-CN" w:bidi="ar-SA"/>
        </w:rPr>
        <w:t>0</w:t>
      </w:r>
      <w:r>
        <w:rPr>
          <w:rFonts w:ascii="Times New Roman" w:hAnsi="Times New Roman" w:eastAsia="黑体" w:cs="Times New Roman"/>
          <w:bCs/>
          <w:kern w:val="2"/>
          <w:sz w:val="28"/>
          <w:szCs w:val="28"/>
          <w:lang w:val="en-GB" w:eastAsia="zh-CN" w:bidi="ar-SA"/>
        </w:rPr>
        <w:t>.</w:t>
      </w:r>
      <w:r>
        <w:rPr>
          <w:rFonts w:hint="eastAsia" w:ascii="Times New Roman" w:hAnsi="Times New Roman" w:eastAsia="黑体" w:cs="Times New Roman"/>
          <w:bCs/>
          <w:kern w:val="2"/>
          <w:sz w:val="28"/>
          <w:szCs w:val="28"/>
          <w:lang w:val="en-US" w:eastAsia="zh-CN" w:bidi="ar-SA"/>
        </w:rPr>
        <w:t>2</w:t>
      </w:r>
      <w:r>
        <w:rPr>
          <w:rFonts w:ascii="Times New Roman" w:hAnsi="Times New Roman" w:eastAsia="黑体" w:cs="Times New Roman"/>
          <w:bCs/>
          <w:kern w:val="2"/>
          <w:sz w:val="28"/>
          <w:szCs w:val="28"/>
          <w:lang w:val="en-GB" w:eastAsia="zh-CN" w:bidi="ar-SA"/>
        </w:rPr>
        <w:t xml:space="preserve"> 公用辅助设施及土建工程</w:t>
      </w:r>
    </w:p>
    <w:p w14:paraId="2ED9610F">
      <w:pPr>
        <w:adjustRightInd w:val="0"/>
        <w:snapToGrid w:val="0"/>
        <w:spacing w:line="360" w:lineRule="auto"/>
        <w:ind w:firstLine="560" w:firstLineChars="200"/>
        <w:rPr>
          <w:rFonts w:ascii="Times New Roman" w:hAnsi="Times New Roman" w:eastAsia="宋体" w:cs="Times New Roman"/>
          <w:sz w:val="28"/>
          <w:szCs w:val="21"/>
          <w:lang w:val="en-GB"/>
        </w:rPr>
      </w:pPr>
      <w:r>
        <w:rPr>
          <w:rFonts w:hint="eastAsia" w:ascii="Times New Roman" w:hAnsi="Times New Roman" w:eastAsia="宋体" w:cs="Times New Roman"/>
          <w:sz w:val="28"/>
          <w:szCs w:val="21"/>
        </w:rPr>
        <w:t>1、</w:t>
      </w:r>
      <w:r>
        <w:rPr>
          <w:rFonts w:ascii="Times New Roman" w:hAnsi="Times New Roman" w:eastAsia="宋体" w:cs="Times New Roman"/>
          <w:sz w:val="28"/>
          <w:szCs w:val="21"/>
          <w:lang w:val="en-GB"/>
        </w:rPr>
        <w:t>通信</w:t>
      </w:r>
    </w:p>
    <w:p w14:paraId="65F09985">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eastAsia="宋体" w:cs="Times New Roman"/>
          <w:sz w:val="28"/>
          <w:szCs w:val="21"/>
          <w:lang w:val="en-GB"/>
        </w:rPr>
        <w:t>矿区为中国移动、联通和电信网络覆盖区，对外通讯融入本地的通讯系统。采区通讯采用对讲机及公共无线通讯系统</w:t>
      </w:r>
      <w:r>
        <w:rPr>
          <w:rFonts w:ascii="Times New Roman" w:hAnsi="Times New Roman" w:eastAsia="宋体" w:cs="Times New Roman"/>
          <w:sz w:val="28"/>
          <w:szCs w:val="21"/>
          <w:lang w:val="en-GB"/>
        </w:rPr>
        <w:t>。</w:t>
      </w:r>
    </w:p>
    <w:p w14:paraId="3ADC3BCB">
      <w:pPr>
        <w:adjustRightInd w:val="0"/>
        <w:snapToGrid w:val="0"/>
        <w:spacing w:line="360" w:lineRule="auto"/>
        <w:ind w:firstLine="560" w:firstLineChars="200"/>
        <w:rPr>
          <w:rFonts w:ascii="Times New Roman" w:hAnsi="Times New Roman" w:eastAsia="宋体" w:cs="Times New Roman"/>
          <w:sz w:val="28"/>
          <w:szCs w:val="21"/>
          <w:lang w:val="en-GB"/>
        </w:rPr>
      </w:pPr>
      <w:r>
        <w:rPr>
          <w:rFonts w:ascii="Times New Roman" w:hAnsi="Times New Roman" w:eastAsia="宋体" w:cs="Times New Roman"/>
          <w:sz w:val="28"/>
          <w:szCs w:val="21"/>
        </w:rPr>
        <w:t>2、机修</w:t>
      </w:r>
    </w:p>
    <w:p w14:paraId="41D1540E">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机修和汽车修理主要依靠当地的社会力量解决，矿山简易修理间已形成，可满足生产的需要。维修所需备品备件及生产消耗件依靠外购、外协解决。</w:t>
      </w:r>
    </w:p>
    <w:p w14:paraId="462F0EAB">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3、土建</w:t>
      </w:r>
    </w:p>
    <w:p w14:paraId="7A8FD258">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eastAsia="宋体" w:cs="Times New Roman"/>
          <w:color w:val="000000" w:themeColor="text1"/>
          <w:sz w:val="28"/>
          <w:szCs w:val="28"/>
          <w:lang w:val="en-GB"/>
          <w14:textFill>
            <w14:solidFill>
              <w14:schemeClr w14:val="tx1"/>
            </w14:solidFill>
          </w14:textFill>
        </w:rPr>
        <w:t>该项目</w:t>
      </w:r>
      <w:r>
        <w:rPr>
          <w:rFonts w:ascii="Times New Roman" w:hAnsi="Times New Roman" w:eastAsia="宋体" w:cs="Times New Roman"/>
          <w:color w:val="000000" w:themeColor="text1"/>
          <w:sz w:val="28"/>
          <w:szCs w:val="28"/>
          <w:lang w:val="en-GB"/>
          <w14:textFill>
            <w14:solidFill>
              <w14:schemeClr w14:val="tx1"/>
            </w14:solidFill>
          </w14:textFill>
        </w:rPr>
        <w:t>主要包含生活、办公区一个建筑群，位于露天采场北部，场地坡度10度左右，主要建筑有办公室、职工宿舍、食堂、厕所、机修室、配电室，矿区生活设施不足部分由社会弥补。民用建筑均采用砌体结构。为了节约投资，就地取材，所有砌体及填充墙均采用240mm厚灰砂砖、混凝土砌块。</w:t>
      </w:r>
    </w:p>
    <w:p w14:paraId="7EA26A46">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装修：外墙采用涂料墙面，色调以浅黄色为主色调，配以蓝色线条形成较明快的建筑色彩，同时又与生产建筑形成对比；内墙面及天棚采用双飞粉；地坪采用地砖、无砂地坪；屋面保温采用发泡混凝土，屋面防水采用PE多层复合高分子防水卷材。</w:t>
      </w:r>
    </w:p>
    <w:p w14:paraId="67FA76E8">
      <w:pPr>
        <w:adjustRightInd w:val="0"/>
        <w:snapToGrid w:val="0"/>
        <w:spacing w:line="360" w:lineRule="auto"/>
        <w:ind w:firstLine="560" w:firstLineChars="200"/>
        <w:rPr>
          <w:rFonts w:ascii="Times New Roman" w:hAnsi="Times New Roman" w:cs="Times New Roman"/>
          <w:lang w:val="en-GB"/>
        </w:rPr>
      </w:pPr>
      <w:r>
        <w:rPr>
          <w:rFonts w:ascii="Times New Roman" w:hAnsi="Times New Roman" w:eastAsia="宋体" w:cs="Times New Roman"/>
          <w:color w:val="000000" w:themeColor="text1"/>
          <w:sz w:val="28"/>
          <w:szCs w:val="28"/>
          <w:lang w:val="en-GB"/>
          <w14:textFill>
            <w14:solidFill>
              <w14:schemeClr w14:val="tx1"/>
            </w14:solidFill>
          </w14:textFill>
        </w:rPr>
        <w:t>高位水池采用钢筋混凝土结构，排水沟采用浆砌石排水沟，拦渣坝基础采用浆砌石结构。矿区抗震设防烈度为7度区，建构筑物抗震设防应按7度区考虑。</w:t>
      </w:r>
    </w:p>
    <w:p w14:paraId="792E80C0">
      <w:pPr>
        <w:pStyle w:val="5"/>
        <w:keepNext/>
        <w:keepLines/>
        <w:pageBreakBefore w:val="0"/>
        <w:widowControl w:val="0"/>
        <w:kinsoku/>
        <w:wordWrap/>
        <w:overflowPunct/>
        <w:topLinePunct w:val="0"/>
        <w:autoSpaceDE/>
        <w:autoSpaceDN/>
        <w:bidi w:val="0"/>
        <w:adjustRightInd w:val="0"/>
        <w:snapToGrid w:val="0"/>
        <w:spacing w:line="360" w:lineRule="auto"/>
        <w:ind w:firstLine="560"/>
        <w:textAlignment w:val="auto"/>
        <w:rPr>
          <w:rFonts w:ascii="Times New Roman" w:hAnsi="Times New Roman" w:cs="Times New Roman"/>
          <w:lang w:val="en-GB"/>
        </w:rPr>
      </w:pPr>
      <w:r>
        <w:rPr>
          <w:rFonts w:ascii="Times New Roman" w:hAnsi="Times New Roman" w:cs="Times New Roman"/>
          <w:lang w:val="en-GB"/>
        </w:rPr>
        <w:t>2.4.1</w:t>
      </w:r>
      <w:r>
        <w:rPr>
          <w:rFonts w:hint="eastAsia" w:ascii="Times New Roman" w:hAnsi="Times New Roman" w:cs="Times New Roman"/>
        </w:rPr>
        <w:t>0</w:t>
      </w:r>
      <w:r>
        <w:rPr>
          <w:rFonts w:ascii="Times New Roman" w:hAnsi="Times New Roman" w:cs="Times New Roman"/>
          <w:lang w:val="en-GB"/>
        </w:rPr>
        <w:t>.</w:t>
      </w:r>
      <w:r>
        <w:rPr>
          <w:rFonts w:hint="eastAsia" w:ascii="Times New Roman" w:hAnsi="Times New Roman" w:cs="Times New Roman"/>
          <w:lang w:val="en-US" w:eastAsia="zh-CN"/>
        </w:rPr>
        <w:t>3</w:t>
      </w:r>
      <w:r>
        <w:rPr>
          <w:rFonts w:ascii="Times New Roman" w:hAnsi="Times New Roman" w:cs="Times New Roman"/>
          <w:lang w:val="en-GB"/>
        </w:rPr>
        <w:t xml:space="preserve"> 投资概算及经济效益分析</w:t>
      </w:r>
    </w:p>
    <w:p w14:paraId="6C49FC10">
      <w:pPr>
        <w:adjustRightInd w:val="0"/>
        <w:snapToGrid w:val="0"/>
        <w:spacing w:line="360" w:lineRule="auto"/>
        <w:ind w:firstLine="560" w:firstLineChars="200"/>
        <w:rPr>
          <w:rFonts w:ascii="Times New Roman" w:hAnsi="Times New Roman" w:eastAsia="宋体" w:cs="Times New Roman"/>
          <w:color w:val="000000" w:themeColor="text1"/>
          <w:sz w:val="28"/>
          <w:szCs w:val="24"/>
          <w14:textFill>
            <w14:solidFill>
              <w14:schemeClr w14:val="tx1"/>
            </w14:solidFill>
          </w14:textFill>
        </w:rPr>
      </w:pPr>
      <w:r>
        <w:rPr>
          <w:rFonts w:ascii="Times New Roman" w:hAnsi="Times New Roman" w:eastAsia="宋体" w:cs="Times New Roman"/>
          <w:color w:val="000000" w:themeColor="text1"/>
          <w:sz w:val="28"/>
          <w:szCs w:val="24"/>
          <w14:textFill>
            <w14:solidFill>
              <w14:schemeClr w14:val="tx1"/>
            </w14:solidFill>
          </w14:textFill>
        </w:rPr>
        <w:t>投资内容包括设备购置、工业场地、机修、供水、供电、采场供电线路以及其他费用。（其中：其他费用包括建设单位管理费、监理费、设计费和不可预计费等费用）。投资范围为项目从筹建开工建设到竣工验收试车投产过程中的全部费用。</w:t>
      </w:r>
    </w:p>
    <w:p w14:paraId="10107077">
      <w:pPr>
        <w:adjustRightInd w:val="0"/>
        <w:snapToGrid w:val="0"/>
        <w:spacing w:line="360" w:lineRule="auto"/>
        <w:ind w:firstLine="562" w:firstLineChars="200"/>
        <w:rPr>
          <w:rFonts w:ascii="Times New Roman" w:hAnsi="Times New Roman" w:eastAsia="宋体" w:cs="Times New Roman"/>
          <w:b/>
          <w:bCs/>
          <w:color w:val="000000" w:themeColor="text1"/>
          <w:sz w:val="28"/>
          <w:szCs w:val="24"/>
          <w:lang w:val="en-GB"/>
          <w14:textFill>
            <w14:solidFill>
              <w14:schemeClr w14:val="tx1"/>
            </w14:solidFill>
          </w14:textFill>
        </w:rPr>
      </w:pPr>
      <w:r>
        <w:rPr>
          <w:rFonts w:ascii="Times New Roman" w:hAnsi="Times New Roman" w:eastAsia="宋体" w:cs="Times New Roman"/>
          <w:b/>
          <w:bCs/>
          <w:color w:val="000000" w:themeColor="text1"/>
          <w:sz w:val="28"/>
          <w:szCs w:val="24"/>
          <w14:textFill>
            <w14:solidFill>
              <w14:schemeClr w14:val="tx1"/>
            </w14:solidFill>
          </w14:textFill>
        </w:rPr>
        <w:t>一、投资概算</w:t>
      </w:r>
    </w:p>
    <w:p w14:paraId="66CF439C">
      <w:pPr>
        <w:adjustRightInd w:val="0"/>
        <w:snapToGrid w:val="0"/>
        <w:spacing w:line="360" w:lineRule="auto"/>
        <w:ind w:firstLine="560" w:firstLineChars="200"/>
        <w:rPr>
          <w:rFonts w:ascii="Times New Roman" w:hAnsi="Times New Roman" w:eastAsia="宋体" w:cs="Times New Roman"/>
          <w:sz w:val="28"/>
          <w:szCs w:val="21"/>
        </w:rPr>
      </w:pPr>
      <w:bookmarkStart w:id="67" w:name="_Toc153878935"/>
      <w:bookmarkStart w:id="68" w:name="_Toc345505687"/>
      <w:bookmarkStart w:id="69" w:name="_Toc240525385"/>
      <w:bookmarkStart w:id="70" w:name="_Toc198397224"/>
      <w:r>
        <w:rPr>
          <w:rFonts w:ascii="Times New Roman" w:hAnsi="Times New Roman" w:eastAsia="宋体" w:cs="Times New Roman"/>
          <w:sz w:val="28"/>
          <w:szCs w:val="21"/>
        </w:rPr>
        <w:t>概算总投资1713.0万元，其中：建筑工程95.83万元，设备购置费1355.65万元，安装工程13.56万元，其他费用247.97万元</w:t>
      </w:r>
      <w:r>
        <w:rPr>
          <w:rFonts w:hint="eastAsia" w:ascii="Times New Roman" w:hAnsi="Times New Roman" w:eastAsia="宋体" w:cs="Times New Roman"/>
          <w:sz w:val="28"/>
          <w:szCs w:val="21"/>
        </w:rPr>
        <w:t>（</w:t>
      </w:r>
      <w:r>
        <w:rPr>
          <w:rFonts w:ascii="Times New Roman" w:hAnsi="Times New Roman" w:eastAsia="宋体" w:cs="Times New Roman"/>
          <w:sz w:val="28"/>
          <w:szCs w:val="21"/>
        </w:rPr>
        <w:t>包括工程预备费155.73万元</w:t>
      </w:r>
      <w:r>
        <w:rPr>
          <w:rFonts w:hint="eastAsia" w:ascii="Times New Roman" w:hAnsi="Times New Roman" w:eastAsia="宋体" w:cs="Times New Roman"/>
          <w:sz w:val="28"/>
          <w:szCs w:val="21"/>
        </w:rPr>
        <w:t>）</w:t>
      </w:r>
      <w:r>
        <w:rPr>
          <w:rFonts w:ascii="Times New Roman" w:hAnsi="Times New Roman" w:eastAsia="宋体" w:cs="Times New Roman"/>
          <w:sz w:val="28"/>
          <w:szCs w:val="21"/>
        </w:rPr>
        <w:t>。投资内容为项目从筹建开工建设到竣工验收试车投产过程中的全部费用。</w:t>
      </w:r>
    </w:p>
    <w:bookmarkEnd w:id="67"/>
    <w:bookmarkEnd w:id="68"/>
    <w:bookmarkEnd w:id="69"/>
    <w:bookmarkEnd w:id="70"/>
    <w:p w14:paraId="0FB4B5FD">
      <w:pPr>
        <w:adjustRightInd w:val="0"/>
        <w:snapToGrid w:val="0"/>
        <w:spacing w:line="360" w:lineRule="auto"/>
        <w:ind w:firstLine="562" w:firstLineChars="200"/>
        <w:rPr>
          <w:rFonts w:ascii="Times New Roman" w:hAnsi="Times New Roman" w:eastAsia="宋体" w:cs="Times New Roman"/>
          <w:b/>
          <w:bCs/>
          <w:color w:val="000000" w:themeColor="text1"/>
          <w:sz w:val="28"/>
          <w:szCs w:val="24"/>
          <w14:textFill>
            <w14:solidFill>
              <w14:schemeClr w14:val="tx1"/>
            </w14:solidFill>
          </w14:textFill>
        </w:rPr>
      </w:pPr>
      <w:r>
        <w:rPr>
          <w:rFonts w:ascii="Times New Roman" w:hAnsi="Times New Roman" w:eastAsia="宋体" w:cs="Times New Roman"/>
          <w:b/>
          <w:bCs/>
          <w:color w:val="000000" w:themeColor="text1"/>
          <w:sz w:val="28"/>
          <w:szCs w:val="24"/>
          <w14:textFill>
            <w14:solidFill>
              <w14:schemeClr w14:val="tx1"/>
            </w14:solidFill>
          </w14:textFill>
        </w:rPr>
        <w:t>二、总成本费用</w:t>
      </w:r>
    </w:p>
    <w:p w14:paraId="3DB030B7">
      <w:pPr>
        <w:adjustRightInd w:val="0"/>
        <w:snapToGrid w:val="0"/>
        <w:spacing w:line="360" w:lineRule="auto"/>
        <w:ind w:firstLine="560" w:firstLineChars="200"/>
        <w:rPr>
          <w:rFonts w:ascii="Times New Roman" w:hAnsi="Times New Roman" w:eastAsia="宋体" w:cs="Times New Roman"/>
          <w:sz w:val="28"/>
          <w:szCs w:val="21"/>
          <w:lang w:val="en-GB"/>
        </w:rPr>
      </w:pPr>
      <w:r>
        <w:rPr>
          <w:rFonts w:ascii="Times New Roman" w:hAnsi="Times New Roman" w:eastAsia="宋体" w:cs="Times New Roman"/>
          <w:sz w:val="28"/>
          <w:szCs w:val="21"/>
          <w:lang w:val="en-GB"/>
        </w:rPr>
        <w:t>总成本费用达产年平均1520.89万元/a，单位成本费用16.90元/t。经营成本1312.94万元/a。</w:t>
      </w:r>
    </w:p>
    <w:p w14:paraId="79278EAB">
      <w:pPr>
        <w:adjustRightInd w:val="0"/>
        <w:snapToGrid w:val="0"/>
        <w:spacing w:line="360" w:lineRule="auto"/>
        <w:ind w:firstLine="562" w:firstLineChars="200"/>
        <w:rPr>
          <w:rFonts w:ascii="Times New Roman" w:hAnsi="Times New Roman" w:eastAsia="宋体" w:cs="Times New Roman"/>
          <w:b/>
          <w:bCs/>
          <w:color w:val="000000" w:themeColor="text1"/>
          <w:sz w:val="28"/>
          <w:szCs w:val="24"/>
          <w14:textFill>
            <w14:solidFill>
              <w14:schemeClr w14:val="tx1"/>
            </w14:solidFill>
          </w14:textFill>
        </w:rPr>
      </w:pPr>
      <w:r>
        <w:rPr>
          <w:rFonts w:ascii="Times New Roman" w:hAnsi="Times New Roman" w:eastAsia="宋体" w:cs="Times New Roman"/>
          <w:b/>
          <w:bCs/>
          <w:color w:val="000000" w:themeColor="text1"/>
          <w:sz w:val="28"/>
          <w:szCs w:val="24"/>
          <w14:textFill>
            <w14:solidFill>
              <w14:schemeClr w14:val="tx1"/>
            </w14:solidFill>
          </w14:textFill>
        </w:rPr>
        <w:t>三、盈利能力分析</w:t>
      </w:r>
    </w:p>
    <w:p w14:paraId="5FBCAA01">
      <w:pPr>
        <w:adjustRightInd w:val="0"/>
        <w:snapToGrid w:val="0"/>
        <w:spacing w:line="360" w:lineRule="auto"/>
        <w:ind w:firstLine="560" w:firstLineChars="200"/>
        <w:rPr>
          <w:rFonts w:ascii="Times New Roman" w:hAnsi="Times New Roman" w:eastAsia="宋体" w:cs="Times New Roman"/>
          <w:color w:val="000000" w:themeColor="text1"/>
          <w:sz w:val="28"/>
          <w:szCs w:val="24"/>
          <w14:textFill>
            <w14:solidFill>
              <w14:schemeClr w14:val="tx1"/>
            </w14:solidFill>
          </w14:textFill>
        </w:rPr>
      </w:pPr>
      <w:r>
        <w:rPr>
          <w:rFonts w:ascii="Times New Roman" w:hAnsi="Times New Roman" w:eastAsia="宋体" w:cs="Times New Roman"/>
          <w:color w:val="000000" w:themeColor="text1"/>
          <w:sz w:val="28"/>
          <w:szCs w:val="24"/>
          <w14:textFill>
            <w14:solidFill>
              <w14:schemeClr w14:val="tx1"/>
            </w14:solidFill>
          </w14:textFill>
        </w:rPr>
        <w:t>以项目每年的现金流量分析计算</w:t>
      </w:r>
      <w:r>
        <w:rPr>
          <w:rFonts w:hint="eastAsia" w:ascii="Times New Roman" w:hAnsi="Times New Roman" w:eastAsia="宋体" w:cs="Times New Roman"/>
          <w:color w:val="000000" w:themeColor="text1"/>
          <w:sz w:val="28"/>
          <w:szCs w:val="24"/>
          <w14:textFill>
            <w14:solidFill>
              <w14:schemeClr w14:val="tx1"/>
            </w14:solidFill>
          </w14:textFill>
        </w:rPr>
        <w:t>该项目</w:t>
      </w:r>
      <w:r>
        <w:rPr>
          <w:rFonts w:ascii="Times New Roman" w:hAnsi="Times New Roman" w:eastAsia="宋体" w:cs="Times New Roman"/>
          <w:color w:val="000000" w:themeColor="text1"/>
          <w:sz w:val="28"/>
          <w:szCs w:val="24"/>
          <w14:textFill>
            <w14:solidFill>
              <w14:schemeClr w14:val="tx1"/>
            </w14:solidFill>
          </w14:textFill>
        </w:rPr>
        <w:t>的财务内部收益率，以反映项目所占用资金的盈利能力。进行盈利能力分析的指标有财务内部收益率、财务净现值、投资回收期、投资利润率、投资利税率、资本金净利润率等。经计算，</w:t>
      </w:r>
      <w:r>
        <w:rPr>
          <w:rFonts w:hint="eastAsia" w:ascii="Times New Roman" w:hAnsi="Times New Roman" w:eastAsia="宋体" w:cs="Times New Roman"/>
          <w:color w:val="000000" w:themeColor="text1"/>
          <w:sz w:val="28"/>
          <w:szCs w:val="24"/>
          <w14:textFill>
            <w14:solidFill>
              <w14:schemeClr w14:val="tx1"/>
            </w14:solidFill>
          </w14:textFill>
        </w:rPr>
        <w:t>该项目</w:t>
      </w:r>
      <w:r>
        <w:rPr>
          <w:rFonts w:ascii="Times New Roman" w:hAnsi="Times New Roman" w:eastAsia="宋体" w:cs="Times New Roman"/>
          <w:color w:val="000000" w:themeColor="text1"/>
          <w:sz w:val="28"/>
          <w:szCs w:val="24"/>
          <w14:textFill>
            <w14:solidFill>
              <w14:schemeClr w14:val="tx1"/>
            </w14:solidFill>
          </w14:textFill>
        </w:rPr>
        <w:t>主要财务盈利能力指标如下：</w:t>
      </w:r>
    </w:p>
    <w:p w14:paraId="45BF8C4C">
      <w:pPr>
        <w:adjustRightInd w:val="0"/>
        <w:snapToGrid w:val="0"/>
        <w:spacing w:line="360" w:lineRule="auto"/>
        <w:ind w:firstLine="560" w:firstLineChars="200"/>
        <w:rPr>
          <w:rFonts w:ascii="Times New Roman" w:hAnsi="Times New Roman" w:eastAsia="宋体" w:cs="Times New Roman"/>
          <w:color w:val="000000" w:themeColor="text1"/>
          <w:sz w:val="28"/>
          <w:szCs w:val="24"/>
          <w14:textFill>
            <w14:solidFill>
              <w14:schemeClr w14:val="tx1"/>
            </w14:solidFill>
          </w14:textFill>
        </w:rPr>
      </w:pPr>
      <w:r>
        <w:rPr>
          <w:rFonts w:ascii="Times New Roman" w:hAnsi="Times New Roman" w:eastAsia="宋体" w:cs="Times New Roman"/>
          <w:color w:val="000000" w:themeColor="text1"/>
          <w:sz w:val="28"/>
          <w:szCs w:val="24"/>
          <w14:textFill>
            <w14:solidFill>
              <w14:schemeClr w14:val="tx1"/>
            </w14:solidFill>
          </w14:textFill>
        </w:rPr>
        <w:t>（1）全部投资财务内部收益率：所得税后：12.70%</w:t>
      </w:r>
    </w:p>
    <w:p w14:paraId="1D30B62B">
      <w:pPr>
        <w:adjustRightInd w:val="0"/>
        <w:snapToGrid w:val="0"/>
        <w:spacing w:line="360" w:lineRule="auto"/>
        <w:ind w:firstLine="560" w:firstLineChars="200"/>
        <w:rPr>
          <w:rFonts w:ascii="Times New Roman" w:hAnsi="Times New Roman" w:eastAsia="宋体" w:cs="Times New Roman"/>
          <w:color w:val="000000" w:themeColor="text1"/>
          <w:sz w:val="28"/>
          <w:szCs w:val="24"/>
          <w14:textFill>
            <w14:solidFill>
              <w14:schemeClr w14:val="tx1"/>
            </w14:solidFill>
          </w14:textFill>
        </w:rPr>
      </w:pPr>
      <w:r>
        <w:rPr>
          <w:rFonts w:ascii="Times New Roman" w:hAnsi="Times New Roman" w:eastAsia="宋体" w:cs="Times New Roman"/>
          <w:color w:val="000000" w:themeColor="text1"/>
          <w:sz w:val="28"/>
          <w:szCs w:val="24"/>
          <w14:textFill>
            <w14:solidFill>
              <w14:schemeClr w14:val="tx1"/>
            </w14:solidFill>
          </w14:textFill>
        </w:rPr>
        <w:t>（2）全部投资财务净现值（I=8%）：所得税后：337.32万元</w:t>
      </w:r>
    </w:p>
    <w:p w14:paraId="722E10F6">
      <w:pPr>
        <w:adjustRightInd w:val="0"/>
        <w:snapToGrid w:val="0"/>
        <w:spacing w:line="360" w:lineRule="auto"/>
        <w:ind w:firstLine="560" w:firstLineChars="200"/>
        <w:rPr>
          <w:rFonts w:ascii="Times New Roman" w:hAnsi="Times New Roman" w:eastAsia="宋体" w:cs="Times New Roman"/>
          <w:color w:val="000000" w:themeColor="text1"/>
          <w:sz w:val="28"/>
          <w:szCs w:val="24"/>
          <w14:textFill>
            <w14:solidFill>
              <w14:schemeClr w14:val="tx1"/>
            </w14:solidFill>
          </w14:textFill>
        </w:rPr>
      </w:pPr>
      <w:r>
        <w:rPr>
          <w:rFonts w:ascii="Times New Roman" w:hAnsi="Times New Roman" w:eastAsia="宋体" w:cs="Times New Roman"/>
          <w:color w:val="000000" w:themeColor="text1"/>
          <w:sz w:val="28"/>
          <w:szCs w:val="24"/>
          <w14:textFill>
            <w14:solidFill>
              <w14:schemeClr w14:val="tx1"/>
            </w14:solidFill>
          </w14:textFill>
        </w:rPr>
        <w:t>（3）投资回收期：所得税后：5.19年（含建设期9个月）</w:t>
      </w:r>
    </w:p>
    <w:p w14:paraId="1F48A5CD">
      <w:pPr>
        <w:adjustRightInd w:val="0"/>
        <w:snapToGrid w:val="0"/>
        <w:spacing w:line="360" w:lineRule="auto"/>
        <w:ind w:firstLine="560" w:firstLineChars="200"/>
        <w:rPr>
          <w:rFonts w:ascii="Times New Roman" w:hAnsi="Times New Roman" w:eastAsia="宋体" w:cs="Times New Roman"/>
          <w:color w:val="000000" w:themeColor="text1"/>
          <w:sz w:val="28"/>
          <w:szCs w:val="24"/>
          <w14:textFill>
            <w14:solidFill>
              <w14:schemeClr w14:val="tx1"/>
            </w14:solidFill>
          </w14:textFill>
        </w:rPr>
      </w:pPr>
      <w:r>
        <w:rPr>
          <w:rFonts w:ascii="Times New Roman" w:hAnsi="Times New Roman" w:eastAsia="宋体" w:cs="Times New Roman"/>
          <w:color w:val="000000" w:themeColor="text1"/>
          <w:sz w:val="28"/>
          <w:szCs w:val="24"/>
          <w14:textFill>
            <w14:solidFill>
              <w14:schemeClr w14:val="tx1"/>
            </w14:solidFill>
          </w14:textFill>
        </w:rPr>
        <w:t>（4）总投资收益率：12.02%（达产期平均）</w:t>
      </w:r>
    </w:p>
    <w:p w14:paraId="4118B03D">
      <w:pPr>
        <w:adjustRightInd w:val="0"/>
        <w:snapToGrid w:val="0"/>
        <w:spacing w:line="360" w:lineRule="auto"/>
        <w:ind w:firstLine="560" w:firstLineChars="200"/>
        <w:rPr>
          <w:rFonts w:ascii="Times New Roman" w:hAnsi="Times New Roman" w:eastAsia="宋体" w:cs="Times New Roman"/>
          <w:color w:val="000000" w:themeColor="text1"/>
          <w:sz w:val="28"/>
          <w:szCs w:val="24"/>
          <w14:textFill>
            <w14:solidFill>
              <w14:schemeClr w14:val="tx1"/>
            </w14:solidFill>
          </w14:textFill>
        </w:rPr>
      </w:pPr>
      <w:r>
        <w:rPr>
          <w:rFonts w:ascii="Times New Roman" w:hAnsi="Times New Roman" w:eastAsia="宋体" w:cs="Times New Roman"/>
          <w:color w:val="000000" w:themeColor="text1"/>
          <w:sz w:val="28"/>
          <w:szCs w:val="24"/>
          <w14:textFill>
            <w14:solidFill>
              <w14:schemeClr w14:val="tx1"/>
            </w14:solidFill>
          </w14:textFill>
        </w:rPr>
        <w:t>（5）资本金净利润率：9.93%（达产期平均）</w:t>
      </w:r>
    </w:p>
    <w:p w14:paraId="1067E4F6">
      <w:pPr>
        <w:adjustRightInd w:val="0"/>
        <w:snapToGrid w:val="0"/>
        <w:spacing w:line="360" w:lineRule="auto"/>
        <w:ind w:firstLine="560" w:firstLineChars="200"/>
        <w:rPr>
          <w:rFonts w:ascii="Times New Roman" w:hAnsi="Times New Roman" w:eastAsia="宋体" w:cs="Times New Roman"/>
          <w:color w:val="000000" w:themeColor="text1"/>
          <w:sz w:val="28"/>
          <w:szCs w:val="24"/>
          <w14:textFill>
            <w14:solidFill>
              <w14:schemeClr w14:val="tx1"/>
            </w14:solidFill>
          </w14:textFill>
        </w:rPr>
      </w:pPr>
      <w:r>
        <w:rPr>
          <w:rFonts w:ascii="Times New Roman" w:hAnsi="Times New Roman" w:eastAsia="宋体" w:cs="Times New Roman"/>
          <w:color w:val="000000" w:themeColor="text1"/>
          <w:sz w:val="28"/>
          <w:szCs w:val="24"/>
          <w14:textFill>
            <w14:solidFill>
              <w14:schemeClr w14:val="tx1"/>
            </w14:solidFill>
          </w14:textFill>
        </w:rPr>
        <w:t>从以上动态和静态指标来看，所计算的财务内部收益率高于银行同期贷款利率，表明项目具有一定的经济效益。</w:t>
      </w:r>
    </w:p>
    <w:p w14:paraId="652870F2">
      <w:pPr>
        <w:adjustRightInd w:val="0"/>
        <w:snapToGrid w:val="0"/>
        <w:spacing w:line="360" w:lineRule="auto"/>
        <w:ind w:firstLine="562" w:firstLineChars="200"/>
        <w:rPr>
          <w:rFonts w:ascii="Times New Roman" w:hAnsi="Times New Roman" w:eastAsia="宋体" w:cs="Times New Roman"/>
          <w:b/>
          <w:bCs/>
          <w:color w:val="000000" w:themeColor="text1"/>
          <w:sz w:val="28"/>
          <w:szCs w:val="24"/>
          <w14:textFill>
            <w14:solidFill>
              <w14:schemeClr w14:val="tx1"/>
            </w14:solidFill>
          </w14:textFill>
        </w:rPr>
      </w:pPr>
      <w:r>
        <w:rPr>
          <w:rFonts w:ascii="Times New Roman" w:hAnsi="Times New Roman" w:eastAsia="宋体" w:cs="Times New Roman"/>
          <w:b/>
          <w:bCs/>
          <w:color w:val="000000" w:themeColor="text1"/>
          <w:sz w:val="28"/>
          <w:szCs w:val="24"/>
          <w14:textFill>
            <w14:solidFill>
              <w14:schemeClr w14:val="tx1"/>
            </w14:solidFill>
          </w14:textFill>
        </w:rPr>
        <w:t>四、综合评价</w:t>
      </w:r>
    </w:p>
    <w:p w14:paraId="101ADA63">
      <w:pPr>
        <w:adjustRightInd w:val="0"/>
        <w:snapToGrid w:val="0"/>
        <w:spacing w:line="360" w:lineRule="auto"/>
        <w:ind w:firstLine="560" w:firstLineChars="200"/>
        <w:rPr>
          <w:rFonts w:ascii="Times New Roman" w:hAnsi="Times New Roman" w:eastAsia="宋体" w:cs="Times New Roman"/>
          <w:bCs/>
          <w:sz w:val="28"/>
          <w:szCs w:val="21"/>
        </w:rPr>
      </w:pPr>
      <w:r>
        <w:rPr>
          <w:rFonts w:ascii="Times New Roman" w:hAnsi="Times New Roman" w:eastAsia="宋体" w:cs="Times New Roman"/>
          <w:bCs/>
          <w:sz w:val="28"/>
          <w:szCs w:val="21"/>
        </w:rPr>
        <w:t>1、项目的产品为石灰岩矿，是适销对路的产品，具有良好的市场。</w:t>
      </w:r>
    </w:p>
    <w:p w14:paraId="368BCD8A">
      <w:pPr>
        <w:adjustRightInd w:val="0"/>
        <w:snapToGrid w:val="0"/>
        <w:spacing w:line="360" w:lineRule="auto"/>
        <w:ind w:firstLine="560" w:firstLineChars="200"/>
        <w:rPr>
          <w:rFonts w:ascii="Times New Roman" w:hAnsi="Times New Roman" w:eastAsia="宋体" w:cs="Times New Roman"/>
          <w:bCs/>
          <w:sz w:val="28"/>
          <w:szCs w:val="21"/>
        </w:rPr>
      </w:pPr>
      <w:r>
        <w:rPr>
          <w:rFonts w:ascii="Times New Roman" w:hAnsi="Times New Roman" w:eastAsia="宋体" w:cs="Times New Roman"/>
          <w:bCs/>
          <w:sz w:val="28"/>
          <w:szCs w:val="21"/>
        </w:rPr>
        <w:t>2、项目建成后每年可产出原矿90.00万t。</w:t>
      </w:r>
    </w:p>
    <w:p w14:paraId="67F886A0">
      <w:pPr>
        <w:adjustRightInd w:val="0"/>
        <w:snapToGrid w:val="0"/>
        <w:spacing w:line="360" w:lineRule="auto"/>
        <w:ind w:firstLine="560" w:firstLineChars="200"/>
        <w:rPr>
          <w:rFonts w:ascii="Times New Roman" w:hAnsi="Times New Roman" w:eastAsia="宋体" w:cs="Times New Roman"/>
          <w:bCs/>
          <w:sz w:val="28"/>
          <w:szCs w:val="21"/>
        </w:rPr>
      </w:pPr>
      <w:r>
        <w:rPr>
          <w:rFonts w:ascii="Times New Roman" w:hAnsi="Times New Roman" w:eastAsia="宋体" w:cs="Times New Roman"/>
          <w:bCs/>
          <w:sz w:val="28"/>
          <w:szCs w:val="21"/>
        </w:rPr>
        <w:t>3、企业每年可以</w:t>
      </w:r>
      <w:r>
        <w:rPr>
          <w:rFonts w:hint="eastAsia" w:ascii="Times New Roman" w:hAnsi="Times New Roman" w:eastAsia="宋体" w:cs="Times New Roman"/>
          <w:bCs/>
          <w:sz w:val="28"/>
          <w:szCs w:val="21"/>
        </w:rPr>
        <w:t>获得</w:t>
      </w:r>
      <w:r>
        <w:rPr>
          <w:rFonts w:ascii="Times New Roman" w:hAnsi="Times New Roman" w:eastAsia="宋体" w:cs="Times New Roman"/>
          <w:bCs/>
          <w:sz w:val="28"/>
          <w:szCs w:val="21"/>
        </w:rPr>
        <w:t>净利润190.90万元；所得税63.63万元；资源税131.46万元。</w:t>
      </w:r>
    </w:p>
    <w:p w14:paraId="28CCD4A5">
      <w:pPr>
        <w:adjustRightInd w:val="0"/>
        <w:snapToGrid w:val="0"/>
        <w:spacing w:line="360" w:lineRule="auto"/>
        <w:ind w:firstLine="560" w:firstLineChars="200"/>
        <w:rPr>
          <w:rFonts w:ascii="Times New Roman" w:hAnsi="Times New Roman" w:eastAsia="宋体" w:cs="Times New Roman"/>
          <w:bCs/>
          <w:sz w:val="28"/>
          <w:szCs w:val="21"/>
        </w:rPr>
      </w:pPr>
      <w:r>
        <w:rPr>
          <w:rFonts w:ascii="Times New Roman" w:hAnsi="Times New Roman" w:eastAsia="宋体" w:cs="Times New Roman"/>
          <w:bCs/>
          <w:sz w:val="28"/>
          <w:szCs w:val="21"/>
        </w:rPr>
        <w:t>4、项目投资财务内部收益率为12.70%（税后）；项目投资财务净现值（I=8%）为337.32万元（税后）；总投资收益率为12.02%，资本金净利润率为9.93%，含9个月建设期的税后投资回收期为5.19年。说明项目具有一定的抗风险能力，同时具有一定的企业经济效益和社会效益。</w:t>
      </w:r>
    </w:p>
    <w:p w14:paraId="7F8B41F0">
      <w:pPr>
        <w:adjustRightInd w:val="0"/>
        <w:snapToGrid w:val="0"/>
        <w:spacing w:line="360" w:lineRule="auto"/>
        <w:ind w:firstLine="560" w:firstLineChars="200"/>
        <w:rPr>
          <w:rFonts w:ascii="Times New Roman" w:hAnsi="Times New Roman" w:eastAsia="宋体" w:cs="Times New Roman"/>
          <w:bCs/>
          <w:sz w:val="28"/>
          <w:szCs w:val="21"/>
        </w:rPr>
      </w:pPr>
      <w:r>
        <w:rPr>
          <w:rFonts w:ascii="Times New Roman" w:hAnsi="Times New Roman" w:eastAsia="宋体" w:cs="Times New Roman"/>
          <w:bCs/>
          <w:sz w:val="28"/>
          <w:szCs w:val="21"/>
        </w:rPr>
        <w:t>综上所述，从资源条件、建设条件和技术经济分析来看，项目都是可行的。</w:t>
      </w:r>
    </w:p>
    <w:p w14:paraId="02038DFD">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bCs/>
          <w:sz w:val="28"/>
          <w:szCs w:val="21"/>
        </w:rPr>
        <w:t>但是</w:t>
      </w:r>
      <w:r>
        <w:rPr>
          <w:rFonts w:hint="eastAsia" w:ascii="Times New Roman" w:hAnsi="Times New Roman" w:eastAsia="宋体" w:cs="Times New Roman"/>
          <w:bCs/>
          <w:sz w:val="28"/>
          <w:szCs w:val="21"/>
        </w:rPr>
        <w:t>，</w:t>
      </w:r>
      <w:r>
        <w:rPr>
          <w:rFonts w:ascii="Times New Roman" w:hAnsi="Times New Roman" w:eastAsia="宋体" w:cs="Times New Roman"/>
          <w:bCs/>
          <w:sz w:val="28"/>
          <w:szCs w:val="21"/>
        </w:rPr>
        <w:t>不容忽视的是降低产品成本、缩短投资偿还期。</w:t>
      </w:r>
    </w:p>
    <w:p w14:paraId="5E876026">
      <w:pPr>
        <w:adjustRightInd w:val="0"/>
        <w:snapToGrid w:val="0"/>
        <w:spacing w:line="360" w:lineRule="auto"/>
        <w:ind w:firstLine="562" w:firstLineChars="200"/>
        <w:rPr>
          <w:rFonts w:ascii="Times New Roman" w:hAnsi="Times New Roman" w:eastAsia="宋体" w:cs="Times New Roman"/>
          <w:b/>
          <w:color w:val="000000" w:themeColor="text1"/>
          <w:sz w:val="28"/>
          <w:szCs w:val="28"/>
          <w:lang w:val="en-GB"/>
          <w14:textFill>
            <w14:solidFill>
              <w14:schemeClr w14:val="tx1"/>
            </w14:solidFill>
          </w14:textFill>
        </w:rPr>
      </w:pPr>
      <w:r>
        <w:rPr>
          <w:rFonts w:hint="eastAsia" w:ascii="Times New Roman" w:hAnsi="Times New Roman" w:eastAsia="宋体" w:cs="Times New Roman"/>
          <w:b/>
          <w:color w:val="000000" w:themeColor="text1"/>
          <w:sz w:val="28"/>
          <w:szCs w:val="28"/>
          <w14:textFill>
            <w14:solidFill>
              <w14:schemeClr w14:val="tx1"/>
            </w14:solidFill>
          </w14:textFill>
        </w:rPr>
        <w:t>五、</w:t>
      </w:r>
      <w:r>
        <w:rPr>
          <w:rFonts w:ascii="Times New Roman" w:hAnsi="Times New Roman" w:eastAsia="宋体" w:cs="Times New Roman"/>
          <w:b/>
          <w:color w:val="000000" w:themeColor="text1"/>
          <w:sz w:val="28"/>
          <w:szCs w:val="28"/>
          <w:lang w:val="en-GB"/>
          <w14:textFill>
            <w14:solidFill>
              <w14:schemeClr w14:val="tx1"/>
            </w14:solidFill>
          </w14:textFill>
        </w:rPr>
        <w:t>主要技术指标</w:t>
      </w:r>
    </w:p>
    <w:p w14:paraId="2BA410B5">
      <w:pPr>
        <w:adjustRightInd w:val="0"/>
        <w:snapToGrid w:val="0"/>
        <w:spacing w:line="360" w:lineRule="auto"/>
        <w:ind w:firstLine="560" w:firstLineChars="200"/>
        <w:rPr>
          <w:rFonts w:ascii="Times New Roman" w:hAnsi="Times New Roman" w:eastAsia="宋体" w:cs="Times New Roman"/>
          <w:bCs/>
          <w:color w:val="000000" w:themeColor="text1"/>
          <w:sz w:val="28"/>
          <w:szCs w:val="28"/>
          <w:lang w:val="en-GB"/>
          <w14:textFill>
            <w14:solidFill>
              <w14:schemeClr w14:val="tx1"/>
            </w14:solidFill>
          </w14:textFill>
        </w:rPr>
      </w:pPr>
      <w:r>
        <w:rPr>
          <w:rFonts w:ascii="Times New Roman" w:hAnsi="Times New Roman" w:eastAsia="宋体" w:cs="Times New Roman"/>
          <w:bCs/>
          <w:color w:val="000000" w:themeColor="text1"/>
          <w:sz w:val="28"/>
          <w:szCs w:val="28"/>
          <w:lang w:val="en-GB"/>
          <w14:textFill>
            <w14:solidFill>
              <w14:schemeClr w14:val="tx1"/>
            </w14:solidFill>
          </w14:textFill>
        </w:rPr>
        <w:t>主要技术指标见表</w:t>
      </w:r>
      <w:r>
        <w:rPr>
          <w:rFonts w:ascii="Times New Roman" w:hAnsi="Times New Roman" w:eastAsia="宋体" w:cs="Times New Roman"/>
          <w:bCs/>
          <w:color w:val="000000" w:themeColor="text1"/>
          <w:sz w:val="28"/>
          <w:szCs w:val="28"/>
          <w14:textFill>
            <w14:solidFill>
              <w14:schemeClr w14:val="tx1"/>
            </w14:solidFill>
          </w14:textFill>
        </w:rPr>
        <w:t>2.4</w:t>
      </w:r>
      <w:r>
        <w:rPr>
          <w:rFonts w:ascii="Times New Roman" w:hAnsi="Times New Roman" w:eastAsia="宋体" w:cs="Times New Roman"/>
          <w:bCs/>
          <w:color w:val="000000" w:themeColor="text1"/>
          <w:sz w:val="28"/>
          <w:szCs w:val="28"/>
          <w:lang w:val="en-GB"/>
          <w14:textFill>
            <w14:solidFill>
              <w14:schemeClr w14:val="tx1"/>
            </w14:solidFill>
          </w14:textFill>
        </w:rPr>
        <w:t>-</w:t>
      </w:r>
      <w:r>
        <w:rPr>
          <w:rFonts w:hint="eastAsia" w:ascii="Times New Roman" w:hAnsi="Times New Roman" w:eastAsia="宋体" w:cs="Times New Roman"/>
          <w:bCs/>
          <w:color w:val="000000" w:themeColor="text1"/>
          <w:sz w:val="28"/>
          <w:szCs w:val="28"/>
          <w:lang w:val="en-US" w:eastAsia="zh-CN"/>
          <w14:textFill>
            <w14:solidFill>
              <w14:schemeClr w14:val="tx1"/>
            </w14:solidFill>
          </w14:textFill>
        </w:rPr>
        <w:t>6</w:t>
      </w:r>
      <w:r>
        <w:rPr>
          <w:rFonts w:ascii="Times New Roman" w:hAnsi="Times New Roman" w:eastAsia="宋体" w:cs="Times New Roman"/>
          <w:bCs/>
          <w:color w:val="000000" w:themeColor="text1"/>
          <w:sz w:val="28"/>
          <w:szCs w:val="28"/>
          <w:lang w:val="en-GB"/>
          <w14:textFill>
            <w14:solidFill>
              <w14:schemeClr w14:val="tx1"/>
            </w14:solidFill>
          </w14:textFill>
        </w:rPr>
        <w:t>。</w:t>
      </w:r>
    </w:p>
    <w:p w14:paraId="2177124D">
      <w:pPr>
        <w:keepNext/>
        <w:adjustRightInd w:val="0"/>
        <w:snapToGrid w:val="0"/>
        <w:jc w:val="center"/>
        <w:rPr>
          <w:rFonts w:ascii="Times New Roman" w:hAnsi="Times New Roman" w:eastAsia="宋体" w:cs="Times New Roman"/>
          <w:b/>
          <w:bCs w:val="0"/>
          <w:kern w:val="0"/>
          <w:sz w:val="24"/>
          <w:szCs w:val="24"/>
        </w:rPr>
      </w:pPr>
      <w:r>
        <w:rPr>
          <w:rFonts w:ascii="Times New Roman" w:hAnsi="Times New Roman" w:eastAsia="宋体" w:cs="Times New Roman"/>
          <w:b/>
          <w:bCs w:val="0"/>
          <w:kern w:val="0"/>
          <w:sz w:val="24"/>
          <w:szCs w:val="24"/>
        </w:rPr>
        <w:t>表2.4-</w:t>
      </w:r>
      <w:r>
        <w:rPr>
          <w:rFonts w:hint="eastAsia" w:ascii="Times New Roman" w:hAnsi="Times New Roman" w:eastAsia="宋体" w:cs="Times New Roman"/>
          <w:b/>
          <w:bCs w:val="0"/>
          <w:kern w:val="0"/>
          <w:sz w:val="24"/>
          <w:szCs w:val="24"/>
          <w:lang w:val="en-US" w:eastAsia="zh-CN"/>
        </w:rPr>
        <w:t>6</w:t>
      </w:r>
      <w:r>
        <w:rPr>
          <w:rFonts w:ascii="Times New Roman" w:hAnsi="Times New Roman" w:eastAsia="宋体" w:cs="Times New Roman"/>
          <w:b/>
          <w:bCs w:val="0"/>
          <w:kern w:val="0"/>
          <w:sz w:val="24"/>
          <w:szCs w:val="24"/>
        </w:rPr>
        <w:t xml:space="preserve">  主要技术指标表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3"/>
        <w:gridCol w:w="2664"/>
        <w:gridCol w:w="1311"/>
        <w:gridCol w:w="2017"/>
        <w:gridCol w:w="1846"/>
      </w:tblGrid>
      <w:tr w14:paraId="4BC1B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jc w:val="center"/>
        </w:trPr>
        <w:tc>
          <w:tcPr>
            <w:tcW w:w="831" w:type="pct"/>
            <w:shd w:val="clear" w:color="auto" w:fill="auto"/>
            <w:vAlign w:val="center"/>
          </w:tcPr>
          <w:p w14:paraId="69C7A381">
            <w:pPr>
              <w:keepNext/>
              <w:adjustRightInd w:val="0"/>
              <w:snapToGrid w:val="0"/>
              <w:spacing w:line="360" w:lineRule="auto"/>
              <w:jc w:val="center"/>
              <w:rPr>
                <w:rFonts w:ascii="Times New Roman" w:hAnsi="Times New Roman" w:eastAsia="宋体" w:cs="Times New Roman"/>
                <w:b/>
                <w:bCs/>
                <w:szCs w:val="21"/>
                <w:lang w:val="en-GB"/>
              </w:rPr>
            </w:pPr>
            <w:bookmarkStart w:id="71" w:name="_Hlk54527383"/>
            <w:r>
              <w:rPr>
                <w:rFonts w:ascii="Times New Roman" w:hAnsi="Times New Roman" w:eastAsia="宋体" w:cs="Times New Roman"/>
                <w:b/>
                <w:bCs/>
                <w:szCs w:val="21"/>
                <w:lang w:val="en-GB"/>
              </w:rPr>
              <w:t>序号</w:t>
            </w:r>
          </w:p>
        </w:tc>
        <w:tc>
          <w:tcPr>
            <w:tcW w:w="1416" w:type="pct"/>
            <w:shd w:val="clear" w:color="auto" w:fill="auto"/>
            <w:vAlign w:val="center"/>
          </w:tcPr>
          <w:p w14:paraId="6545D30A">
            <w:pPr>
              <w:keepNext/>
              <w:adjustRightInd w:val="0"/>
              <w:snapToGrid w:val="0"/>
              <w:spacing w:line="360" w:lineRule="auto"/>
              <w:jc w:val="center"/>
              <w:rPr>
                <w:rFonts w:ascii="Times New Roman" w:hAnsi="Times New Roman" w:eastAsia="宋体" w:cs="Times New Roman"/>
                <w:b/>
                <w:bCs/>
                <w:szCs w:val="21"/>
                <w:lang w:val="en-GB"/>
              </w:rPr>
            </w:pPr>
            <w:r>
              <w:rPr>
                <w:rFonts w:ascii="Times New Roman" w:hAnsi="Times New Roman" w:eastAsia="宋体" w:cs="Times New Roman"/>
                <w:b/>
                <w:bCs/>
                <w:szCs w:val="21"/>
                <w:lang w:val="en-GB"/>
              </w:rPr>
              <w:t>项目名称</w:t>
            </w:r>
          </w:p>
        </w:tc>
        <w:tc>
          <w:tcPr>
            <w:tcW w:w="697" w:type="pct"/>
            <w:shd w:val="clear" w:color="auto" w:fill="auto"/>
            <w:vAlign w:val="center"/>
          </w:tcPr>
          <w:p w14:paraId="36128298">
            <w:pPr>
              <w:keepNext/>
              <w:adjustRightInd w:val="0"/>
              <w:snapToGrid w:val="0"/>
              <w:spacing w:line="360" w:lineRule="auto"/>
              <w:jc w:val="center"/>
              <w:rPr>
                <w:rFonts w:ascii="Times New Roman" w:hAnsi="Times New Roman" w:eastAsia="宋体" w:cs="Times New Roman"/>
                <w:b/>
                <w:bCs/>
                <w:szCs w:val="21"/>
                <w:lang w:val="en-GB"/>
              </w:rPr>
            </w:pPr>
            <w:r>
              <w:rPr>
                <w:rFonts w:ascii="Times New Roman" w:hAnsi="Times New Roman" w:eastAsia="宋体" w:cs="Times New Roman"/>
                <w:b/>
                <w:bCs/>
                <w:szCs w:val="21"/>
                <w:lang w:val="en-GB"/>
              </w:rPr>
              <w:t>单位</w:t>
            </w:r>
          </w:p>
        </w:tc>
        <w:tc>
          <w:tcPr>
            <w:tcW w:w="1072" w:type="pct"/>
            <w:shd w:val="clear" w:color="auto" w:fill="auto"/>
            <w:vAlign w:val="center"/>
          </w:tcPr>
          <w:p w14:paraId="58DCA3B2">
            <w:pPr>
              <w:keepNext/>
              <w:adjustRightInd w:val="0"/>
              <w:snapToGrid w:val="0"/>
              <w:spacing w:line="360" w:lineRule="auto"/>
              <w:jc w:val="center"/>
              <w:rPr>
                <w:rFonts w:ascii="Times New Roman" w:hAnsi="Times New Roman" w:eastAsia="宋体" w:cs="Times New Roman"/>
                <w:b/>
                <w:bCs/>
                <w:szCs w:val="21"/>
                <w:lang w:val="en-GB"/>
              </w:rPr>
            </w:pPr>
            <w:r>
              <w:rPr>
                <w:rFonts w:ascii="Times New Roman" w:hAnsi="Times New Roman" w:eastAsia="宋体" w:cs="Times New Roman"/>
                <w:b/>
                <w:bCs/>
                <w:szCs w:val="21"/>
                <w:lang w:val="en-GB"/>
              </w:rPr>
              <w:t>数量</w:t>
            </w:r>
          </w:p>
        </w:tc>
        <w:tc>
          <w:tcPr>
            <w:tcW w:w="981" w:type="pct"/>
            <w:shd w:val="clear" w:color="auto" w:fill="auto"/>
            <w:vAlign w:val="center"/>
          </w:tcPr>
          <w:p w14:paraId="529CF91E">
            <w:pPr>
              <w:keepNext/>
              <w:adjustRightInd w:val="0"/>
              <w:snapToGrid w:val="0"/>
              <w:spacing w:line="360" w:lineRule="auto"/>
              <w:jc w:val="center"/>
              <w:rPr>
                <w:rFonts w:ascii="Times New Roman" w:hAnsi="Times New Roman" w:eastAsia="宋体" w:cs="Times New Roman"/>
                <w:b/>
                <w:bCs/>
                <w:szCs w:val="21"/>
                <w:lang w:val="en-GB"/>
              </w:rPr>
            </w:pPr>
            <w:r>
              <w:rPr>
                <w:rFonts w:ascii="Times New Roman" w:hAnsi="Times New Roman" w:eastAsia="宋体" w:cs="Times New Roman"/>
                <w:b/>
                <w:bCs/>
                <w:szCs w:val="21"/>
                <w:lang w:val="en-GB"/>
              </w:rPr>
              <w:t>备注</w:t>
            </w:r>
          </w:p>
        </w:tc>
      </w:tr>
      <w:tr w14:paraId="323B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006D2AC0">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一</w:t>
            </w:r>
          </w:p>
        </w:tc>
        <w:tc>
          <w:tcPr>
            <w:tcW w:w="1416" w:type="pct"/>
            <w:shd w:val="clear" w:color="auto" w:fill="auto"/>
            <w:vAlign w:val="center"/>
          </w:tcPr>
          <w:p w14:paraId="2A72F10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地质</w:t>
            </w:r>
          </w:p>
        </w:tc>
        <w:tc>
          <w:tcPr>
            <w:tcW w:w="697" w:type="pct"/>
            <w:shd w:val="clear" w:color="auto" w:fill="auto"/>
            <w:vAlign w:val="center"/>
          </w:tcPr>
          <w:p w14:paraId="18DB5ADC">
            <w:pPr>
              <w:adjustRightInd w:val="0"/>
              <w:snapToGrid w:val="0"/>
              <w:spacing w:line="360" w:lineRule="auto"/>
              <w:jc w:val="center"/>
              <w:rPr>
                <w:rFonts w:ascii="Times New Roman" w:hAnsi="Times New Roman" w:eastAsia="宋体" w:cs="Times New Roman"/>
                <w:szCs w:val="21"/>
                <w:lang w:val="en-GB"/>
              </w:rPr>
            </w:pPr>
          </w:p>
        </w:tc>
        <w:tc>
          <w:tcPr>
            <w:tcW w:w="1072" w:type="pct"/>
            <w:shd w:val="clear" w:color="auto" w:fill="auto"/>
            <w:vAlign w:val="center"/>
          </w:tcPr>
          <w:p w14:paraId="469E8CAF">
            <w:pPr>
              <w:adjustRightInd w:val="0"/>
              <w:snapToGrid w:val="0"/>
              <w:spacing w:line="360" w:lineRule="auto"/>
              <w:jc w:val="center"/>
              <w:rPr>
                <w:rFonts w:ascii="Times New Roman" w:hAnsi="Times New Roman" w:eastAsia="宋体" w:cs="Times New Roman"/>
                <w:szCs w:val="21"/>
                <w:lang w:val="en-GB"/>
              </w:rPr>
            </w:pPr>
          </w:p>
        </w:tc>
        <w:tc>
          <w:tcPr>
            <w:tcW w:w="981" w:type="pct"/>
            <w:shd w:val="clear" w:color="auto" w:fill="auto"/>
            <w:vAlign w:val="center"/>
          </w:tcPr>
          <w:p w14:paraId="12D595FB">
            <w:pPr>
              <w:adjustRightInd w:val="0"/>
              <w:snapToGrid w:val="0"/>
              <w:spacing w:line="360" w:lineRule="auto"/>
              <w:jc w:val="center"/>
              <w:rPr>
                <w:rFonts w:ascii="Times New Roman" w:hAnsi="Times New Roman" w:eastAsia="宋体" w:cs="Times New Roman"/>
                <w:szCs w:val="21"/>
                <w:lang w:val="en-GB"/>
              </w:rPr>
            </w:pPr>
          </w:p>
        </w:tc>
      </w:tr>
      <w:tr w14:paraId="03613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64528D0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w:t>
            </w:r>
          </w:p>
        </w:tc>
        <w:tc>
          <w:tcPr>
            <w:tcW w:w="1416" w:type="pct"/>
            <w:shd w:val="clear" w:color="auto" w:fill="auto"/>
            <w:vAlign w:val="center"/>
          </w:tcPr>
          <w:p w14:paraId="5AD95EDB">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保有矿石量</w:t>
            </w:r>
          </w:p>
        </w:tc>
        <w:tc>
          <w:tcPr>
            <w:tcW w:w="697" w:type="pct"/>
            <w:shd w:val="clear" w:color="auto" w:fill="auto"/>
            <w:vAlign w:val="center"/>
          </w:tcPr>
          <w:p w14:paraId="08C9059C">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万t</w:t>
            </w:r>
          </w:p>
        </w:tc>
        <w:tc>
          <w:tcPr>
            <w:tcW w:w="1072" w:type="pct"/>
            <w:shd w:val="clear" w:color="auto" w:fill="auto"/>
            <w:vAlign w:val="center"/>
          </w:tcPr>
          <w:p w14:paraId="6623088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1347.20</w:t>
            </w:r>
          </w:p>
        </w:tc>
        <w:tc>
          <w:tcPr>
            <w:tcW w:w="981" w:type="pct"/>
            <w:vMerge w:val="restart"/>
            <w:shd w:val="clear" w:color="auto" w:fill="auto"/>
            <w:vAlign w:val="center"/>
          </w:tcPr>
          <w:p w14:paraId="2353B10D">
            <w:pPr>
              <w:adjustRightInd w:val="0"/>
              <w:snapToGrid w:val="0"/>
              <w:spacing w:line="360" w:lineRule="auto"/>
              <w:jc w:val="center"/>
              <w:rPr>
                <w:rFonts w:ascii="Times New Roman" w:hAnsi="Times New Roman" w:eastAsia="宋体" w:cs="Times New Roman"/>
                <w:szCs w:val="21"/>
                <w:lang w:val="en-GB"/>
              </w:rPr>
            </w:pPr>
          </w:p>
        </w:tc>
      </w:tr>
      <w:tr w14:paraId="56B7A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3C815EC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w:t>
            </w:r>
          </w:p>
        </w:tc>
        <w:tc>
          <w:tcPr>
            <w:tcW w:w="1416" w:type="pct"/>
            <w:shd w:val="clear" w:color="auto" w:fill="auto"/>
            <w:vAlign w:val="center"/>
          </w:tcPr>
          <w:p w14:paraId="67202272">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设计利用资源量</w:t>
            </w:r>
          </w:p>
        </w:tc>
        <w:tc>
          <w:tcPr>
            <w:tcW w:w="697" w:type="pct"/>
            <w:shd w:val="clear" w:color="auto" w:fill="auto"/>
            <w:vAlign w:val="center"/>
          </w:tcPr>
          <w:p w14:paraId="6F27664E">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万t</w:t>
            </w:r>
          </w:p>
        </w:tc>
        <w:tc>
          <w:tcPr>
            <w:tcW w:w="1072" w:type="pct"/>
            <w:shd w:val="clear" w:color="auto" w:fill="auto"/>
            <w:vAlign w:val="center"/>
          </w:tcPr>
          <w:p w14:paraId="77B2C6A8">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687.53</w:t>
            </w:r>
          </w:p>
        </w:tc>
        <w:tc>
          <w:tcPr>
            <w:tcW w:w="981" w:type="pct"/>
            <w:vMerge w:val="continue"/>
            <w:vAlign w:val="center"/>
          </w:tcPr>
          <w:p w14:paraId="319E886B">
            <w:pPr>
              <w:adjustRightInd w:val="0"/>
              <w:snapToGrid w:val="0"/>
              <w:spacing w:line="360" w:lineRule="auto"/>
              <w:jc w:val="center"/>
              <w:rPr>
                <w:rFonts w:ascii="Times New Roman" w:hAnsi="Times New Roman" w:eastAsia="宋体" w:cs="Times New Roman"/>
                <w:szCs w:val="21"/>
                <w:lang w:val="en-GB"/>
              </w:rPr>
            </w:pPr>
          </w:p>
        </w:tc>
      </w:tr>
      <w:tr w14:paraId="5A37E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1179E98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w:t>
            </w:r>
          </w:p>
        </w:tc>
        <w:tc>
          <w:tcPr>
            <w:tcW w:w="1416" w:type="pct"/>
            <w:shd w:val="clear" w:color="auto" w:fill="auto"/>
            <w:vAlign w:val="center"/>
          </w:tcPr>
          <w:p w14:paraId="5E05CED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设计可采资源量</w:t>
            </w:r>
          </w:p>
        </w:tc>
        <w:tc>
          <w:tcPr>
            <w:tcW w:w="697" w:type="pct"/>
            <w:shd w:val="clear" w:color="auto" w:fill="auto"/>
            <w:vAlign w:val="center"/>
          </w:tcPr>
          <w:p w14:paraId="0D655153">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万t</w:t>
            </w:r>
          </w:p>
        </w:tc>
        <w:tc>
          <w:tcPr>
            <w:tcW w:w="1072" w:type="pct"/>
            <w:shd w:val="clear" w:color="auto" w:fill="auto"/>
            <w:vAlign w:val="center"/>
          </w:tcPr>
          <w:p w14:paraId="1E50054B">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653.15</w:t>
            </w:r>
          </w:p>
        </w:tc>
        <w:tc>
          <w:tcPr>
            <w:tcW w:w="981" w:type="pct"/>
            <w:vMerge w:val="continue"/>
            <w:vAlign w:val="center"/>
          </w:tcPr>
          <w:p w14:paraId="4981C460">
            <w:pPr>
              <w:adjustRightInd w:val="0"/>
              <w:snapToGrid w:val="0"/>
              <w:spacing w:line="360" w:lineRule="auto"/>
              <w:jc w:val="center"/>
              <w:rPr>
                <w:rFonts w:ascii="Times New Roman" w:hAnsi="Times New Roman" w:eastAsia="宋体" w:cs="Times New Roman"/>
                <w:szCs w:val="21"/>
                <w:lang w:val="en-GB"/>
              </w:rPr>
            </w:pPr>
          </w:p>
        </w:tc>
      </w:tr>
      <w:tr w14:paraId="05EEE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15E1B4E0">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4</w:t>
            </w:r>
          </w:p>
        </w:tc>
        <w:tc>
          <w:tcPr>
            <w:tcW w:w="1416" w:type="pct"/>
            <w:shd w:val="clear" w:color="auto" w:fill="auto"/>
            <w:vAlign w:val="center"/>
          </w:tcPr>
          <w:p w14:paraId="72355D3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采出矿石量</w:t>
            </w:r>
          </w:p>
        </w:tc>
        <w:tc>
          <w:tcPr>
            <w:tcW w:w="697" w:type="pct"/>
            <w:shd w:val="clear" w:color="auto" w:fill="auto"/>
            <w:vAlign w:val="center"/>
          </w:tcPr>
          <w:p w14:paraId="0EB3B74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万t</w:t>
            </w:r>
          </w:p>
        </w:tc>
        <w:tc>
          <w:tcPr>
            <w:tcW w:w="1072" w:type="pct"/>
            <w:shd w:val="clear" w:color="auto" w:fill="auto"/>
            <w:vAlign w:val="center"/>
          </w:tcPr>
          <w:p w14:paraId="46465FF8">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653.15</w:t>
            </w:r>
          </w:p>
        </w:tc>
        <w:tc>
          <w:tcPr>
            <w:tcW w:w="981" w:type="pct"/>
            <w:vMerge w:val="continue"/>
            <w:vAlign w:val="center"/>
          </w:tcPr>
          <w:p w14:paraId="4FFF11AD">
            <w:pPr>
              <w:adjustRightInd w:val="0"/>
              <w:snapToGrid w:val="0"/>
              <w:spacing w:line="360" w:lineRule="auto"/>
              <w:jc w:val="center"/>
              <w:rPr>
                <w:rFonts w:ascii="Times New Roman" w:hAnsi="Times New Roman" w:eastAsia="宋体" w:cs="Times New Roman"/>
                <w:szCs w:val="21"/>
                <w:lang w:val="en-GB"/>
              </w:rPr>
            </w:pPr>
          </w:p>
        </w:tc>
      </w:tr>
      <w:tr w14:paraId="1AA50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7907B7F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5</w:t>
            </w:r>
          </w:p>
        </w:tc>
        <w:tc>
          <w:tcPr>
            <w:tcW w:w="1416" w:type="pct"/>
            <w:shd w:val="clear" w:color="auto" w:fill="auto"/>
            <w:vAlign w:val="center"/>
          </w:tcPr>
          <w:p w14:paraId="6AF06E32">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矿岩物理机械性质</w:t>
            </w:r>
          </w:p>
        </w:tc>
        <w:tc>
          <w:tcPr>
            <w:tcW w:w="697" w:type="pct"/>
            <w:shd w:val="clear" w:color="auto" w:fill="auto"/>
            <w:vAlign w:val="center"/>
          </w:tcPr>
          <w:p w14:paraId="4AB73A63">
            <w:pPr>
              <w:adjustRightInd w:val="0"/>
              <w:snapToGrid w:val="0"/>
              <w:spacing w:line="360" w:lineRule="auto"/>
              <w:jc w:val="center"/>
              <w:rPr>
                <w:rFonts w:ascii="Times New Roman" w:hAnsi="Times New Roman" w:eastAsia="宋体" w:cs="Times New Roman"/>
                <w:szCs w:val="21"/>
                <w:lang w:val="en-GB"/>
              </w:rPr>
            </w:pPr>
          </w:p>
        </w:tc>
        <w:tc>
          <w:tcPr>
            <w:tcW w:w="1072" w:type="pct"/>
            <w:shd w:val="clear" w:color="auto" w:fill="auto"/>
            <w:vAlign w:val="center"/>
          </w:tcPr>
          <w:p w14:paraId="558EFB4A">
            <w:pPr>
              <w:adjustRightInd w:val="0"/>
              <w:snapToGrid w:val="0"/>
              <w:spacing w:line="360" w:lineRule="auto"/>
              <w:jc w:val="center"/>
              <w:rPr>
                <w:rFonts w:ascii="Times New Roman" w:hAnsi="Times New Roman" w:eastAsia="宋体" w:cs="Times New Roman"/>
                <w:szCs w:val="21"/>
                <w:lang w:val="en-GB"/>
              </w:rPr>
            </w:pPr>
          </w:p>
        </w:tc>
        <w:tc>
          <w:tcPr>
            <w:tcW w:w="981" w:type="pct"/>
            <w:shd w:val="clear" w:color="auto" w:fill="auto"/>
            <w:vAlign w:val="center"/>
          </w:tcPr>
          <w:p w14:paraId="52E9AA65">
            <w:pPr>
              <w:adjustRightInd w:val="0"/>
              <w:snapToGrid w:val="0"/>
              <w:spacing w:line="360" w:lineRule="auto"/>
              <w:jc w:val="center"/>
              <w:rPr>
                <w:rFonts w:ascii="Times New Roman" w:hAnsi="Times New Roman" w:eastAsia="宋体" w:cs="Times New Roman"/>
                <w:szCs w:val="21"/>
                <w:lang w:val="en-GB"/>
              </w:rPr>
            </w:pPr>
          </w:p>
        </w:tc>
      </w:tr>
      <w:tr w14:paraId="70BD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1AA1C6F0">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5.1</w:t>
            </w:r>
          </w:p>
        </w:tc>
        <w:tc>
          <w:tcPr>
            <w:tcW w:w="1416" w:type="pct"/>
            <w:shd w:val="clear" w:color="auto" w:fill="auto"/>
            <w:vAlign w:val="center"/>
          </w:tcPr>
          <w:p w14:paraId="746EA4E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体重</w:t>
            </w:r>
          </w:p>
        </w:tc>
        <w:tc>
          <w:tcPr>
            <w:tcW w:w="697" w:type="pct"/>
            <w:shd w:val="clear" w:color="auto" w:fill="auto"/>
            <w:vAlign w:val="center"/>
          </w:tcPr>
          <w:p w14:paraId="679D86C9">
            <w:pPr>
              <w:adjustRightInd w:val="0"/>
              <w:snapToGrid w:val="0"/>
              <w:spacing w:line="360" w:lineRule="auto"/>
              <w:jc w:val="center"/>
              <w:rPr>
                <w:rFonts w:ascii="Times New Roman" w:hAnsi="Times New Roman" w:eastAsia="宋体" w:cs="Times New Roman"/>
                <w:szCs w:val="21"/>
                <w:lang w:val="en-GB"/>
              </w:rPr>
            </w:pPr>
          </w:p>
        </w:tc>
        <w:tc>
          <w:tcPr>
            <w:tcW w:w="1072" w:type="pct"/>
            <w:shd w:val="clear" w:color="auto" w:fill="auto"/>
            <w:vAlign w:val="center"/>
          </w:tcPr>
          <w:p w14:paraId="673D2F6C">
            <w:pPr>
              <w:adjustRightInd w:val="0"/>
              <w:snapToGrid w:val="0"/>
              <w:spacing w:line="360" w:lineRule="auto"/>
              <w:jc w:val="center"/>
              <w:rPr>
                <w:rFonts w:ascii="Times New Roman" w:hAnsi="Times New Roman" w:eastAsia="宋体" w:cs="Times New Roman"/>
                <w:szCs w:val="21"/>
                <w:lang w:val="en-GB"/>
              </w:rPr>
            </w:pPr>
          </w:p>
        </w:tc>
        <w:tc>
          <w:tcPr>
            <w:tcW w:w="981" w:type="pct"/>
            <w:shd w:val="clear" w:color="auto" w:fill="auto"/>
            <w:vAlign w:val="center"/>
          </w:tcPr>
          <w:p w14:paraId="37BD8039">
            <w:pPr>
              <w:adjustRightInd w:val="0"/>
              <w:snapToGrid w:val="0"/>
              <w:spacing w:line="360" w:lineRule="auto"/>
              <w:jc w:val="center"/>
              <w:rPr>
                <w:rFonts w:ascii="Times New Roman" w:hAnsi="Times New Roman" w:eastAsia="宋体" w:cs="Times New Roman"/>
                <w:szCs w:val="21"/>
                <w:lang w:val="en-GB"/>
              </w:rPr>
            </w:pPr>
          </w:p>
        </w:tc>
      </w:tr>
      <w:tr w14:paraId="6C636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0FFE153B">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5.2</w:t>
            </w:r>
          </w:p>
        </w:tc>
        <w:tc>
          <w:tcPr>
            <w:tcW w:w="1416" w:type="pct"/>
            <w:shd w:val="clear" w:color="auto" w:fill="auto"/>
            <w:vAlign w:val="center"/>
          </w:tcPr>
          <w:p w14:paraId="1D1F0FAC">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矿石</w:t>
            </w:r>
          </w:p>
        </w:tc>
        <w:tc>
          <w:tcPr>
            <w:tcW w:w="697" w:type="pct"/>
            <w:shd w:val="clear" w:color="auto" w:fill="auto"/>
            <w:vAlign w:val="center"/>
          </w:tcPr>
          <w:p w14:paraId="2300E01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t/m</w:t>
            </w:r>
            <w:r>
              <w:rPr>
                <w:rFonts w:ascii="Times New Roman" w:hAnsi="Times New Roman" w:eastAsia="宋体" w:cs="Times New Roman"/>
                <w:szCs w:val="21"/>
                <w:vertAlign w:val="superscript"/>
                <w:lang w:val="en-GB"/>
              </w:rPr>
              <w:t>3</w:t>
            </w:r>
          </w:p>
        </w:tc>
        <w:tc>
          <w:tcPr>
            <w:tcW w:w="1072" w:type="pct"/>
            <w:shd w:val="clear" w:color="auto" w:fill="auto"/>
            <w:vAlign w:val="center"/>
          </w:tcPr>
          <w:p w14:paraId="008F968E">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2.67</w:t>
            </w:r>
          </w:p>
        </w:tc>
        <w:tc>
          <w:tcPr>
            <w:tcW w:w="981" w:type="pct"/>
            <w:shd w:val="clear" w:color="auto" w:fill="auto"/>
            <w:vAlign w:val="center"/>
          </w:tcPr>
          <w:p w14:paraId="77D73EE3">
            <w:pPr>
              <w:adjustRightInd w:val="0"/>
              <w:snapToGrid w:val="0"/>
              <w:spacing w:line="360" w:lineRule="auto"/>
              <w:jc w:val="center"/>
              <w:rPr>
                <w:rFonts w:ascii="Times New Roman" w:hAnsi="Times New Roman" w:eastAsia="宋体" w:cs="Times New Roman"/>
                <w:szCs w:val="21"/>
                <w:lang w:val="en-GB"/>
              </w:rPr>
            </w:pPr>
          </w:p>
        </w:tc>
      </w:tr>
      <w:tr w14:paraId="36E87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158D9F7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5.3</w:t>
            </w:r>
          </w:p>
        </w:tc>
        <w:tc>
          <w:tcPr>
            <w:tcW w:w="1416" w:type="pct"/>
            <w:shd w:val="clear" w:color="auto" w:fill="auto"/>
            <w:vAlign w:val="center"/>
          </w:tcPr>
          <w:p w14:paraId="6244335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废石</w:t>
            </w:r>
          </w:p>
        </w:tc>
        <w:tc>
          <w:tcPr>
            <w:tcW w:w="697" w:type="pct"/>
            <w:shd w:val="clear" w:color="auto" w:fill="auto"/>
            <w:vAlign w:val="center"/>
          </w:tcPr>
          <w:p w14:paraId="3B3CCC0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t/m</w:t>
            </w:r>
            <w:r>
              <w:rPr>
                <w:rFonts w:ascii="Times New Roman" w:hAnsi="Times New Roman" w:eastAsia="宋体" w:cs="Times New Roman"/>
                <w:szCs w:val="21"/>
                <w:vertAlign w:val="superscript"/>
                <w:lang w:val="en-GB"/>
              </w:rPr>
              <w:t>3</w:t>
            </w:r>
          </w:p>
        </w:tc>
        <w:tc>
          <w:tcPr>
            <w:tcW w:w="1072" w:type="pct"/>
            <w:shd w:val="clear" w:color="auto" w:fill="auto"/>
            <w:vAlign w:val="center"/>
          </w:tcPr>
          <w:p w14:paraId="0DF17CF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1.8</w:t>
            </w:r>
          </w:p>
        </w:tc>
        <w:tc>
          <w:tcPr>
            <w:tcW w:w="981" w:type="pct"/>
            <w:shd w:val="clear" w:color="auto" w:fill="auto"/>
            <w:vAlign w:val="center"/>
          </w:tcPr>
          <w:p w14:paraId="5337A89A">
            <w:pPr>
              <w:adjustRightInd w:val="0"/>
              <w:snapToGrid w:val="0"/>
              <w:spacing w:line="360" w:lineRule="auto"/>
              <w:jc w:val="center"/>
              <w:rPr>
                <w:rFonts w:ascii="Times New Roman" w:hAnsi="Times New Roman" w:eastAsia="宋体" w:cs="Times New Roman"/>
                <w:szCs w:val="21"/>
                <w:lang w:val="en-GB"/>
              </w:rPr>
            </w:pPr>
          </w:p>
        </w:tc>
      </w:tr>
      <w:tr w14:paraId="5508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3306C61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5.4</w:t>
            </w:r>
          </w:p>
        </w:tc>
        <w:tc>
          <w:tcPr>
            <w:tcW w:w="1416" w:type="pct"/>
            <w:shd w:val="clear" w:color="auto" w:fill="auto"/>
            <w:vAlign w:val="center"/>
          </w:tcPr>
          <w:p w14:paraId="151B24AE">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矿石松散系数</w:t>
            </w:r>
          </w:p>
        </w:tc>
        <w:tc>
          <w:tcPr>
            <w:tcW w:w="697" w:type="pct"/>
            <w:shd w:val="clear" w:color="auto" w:fill="auto"/>
            <w:vAlign w:val="center"/>
          </w:tcPr>
          <w:p w14:paraId="6C441FB8">
            <w:pPr>
              <w:adjustRightInd w:val="0"/>
              <w:snapToGrid w:val="0"/>
              <w:spacing w:line="360" w:lineRule="auto"/>
              <w:jc w:val="center"/>
              <w:rPr>
                <w:rFonts w:ascii="Times New Roman" w:hAnsi="Times New Roman" w:eastAsia="宋体" w:cs="Times New Roman"/>
                <w:szCs w:val="21"/>
                <w:lang w:val="en-GB"/>
              </w:rPr>
            </w:pPr>
          </w:p>
        </w:tc>
        <w:tc>
          <w:tcPr>
            <w:tcW w:w="1072" w:type="pct"/>
            <w:shd w:val="clear" w:color="auto" w:fill="auto"/>
            <w:vAlign w:val="center"/>
          </w:tcPr>
          <w:p w14:paraId="27EF496B">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1.5</w:t>
            </w:r>
          </w:p>
        </w:tc>
        <w:tc>
          <w:tcPr>
            <w:tcW w:w="981" w:type="pct"/>
            <w:shd w:val="clear" w:color="auto" w:fill="auto"/>
            <w:vAlign w:val="center"/>
          </w:tcPr>
          <w:p w14:paraId="27DC7D1B">
            <w:pPr>
              <w:adjustRightInd w:val="0"/>
              <w:snapToGrid w:val="0"/>
              <w:spacing w:line="360" w:lineRule="auto"/>
              <w:jc w:val="center"/>
              <w:rPr>
                <w:rFonts w:ascii="Times New Roman" w:hAnsi="Times New Roman" w:eastAsia="宋体" w:cs="Times New Roman"/>
                <w:szCs w:val="21"/>
                <w:lang w:val="en-GB"/>
              </w:rPr>
            </w:pPr>
          </w:p>
        </w:tc>
      </w:tr>
      <w:tr w14:paraId="20CFB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18D9FA6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二</w:t>
            </w:r>
          </w:p>
        </w:tc>
        <w:tc>
          <w:tcPr>
            <w:tcW w:w="1416" w:type="pct"/>
            <w:shd w:val="clear" w:color="auto" w:fill="auto"/>
            <w:vAlign w:val="center"/>
          </w:tcPr>
          <w:p w14:paraId="10EE9A1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采矿</w:t>
            </w:r>
          </w:p>
        </w:tc>
        <w:tc>
          <w:tcPr>
            <w:tcW w:w="697" w:type="pct"/>
            <w:shd w:val="clear" w:color="auto" w:fill="auto"/>
            <w:vAlign w:val="center"/>
          </w:tcPr>
          <w:p w14:paraId="05C20479">
            <w:pPr>
              <w:adjustRightInd w:val="0"/>
              <w:snapToGrid w:val="0"/>
              <w:spacing w:line="360" w:lineRule="auto"/>
              <w:jc w:val="center"/>
              <w:rPr>
                <w:rFonts w:ascii="Times New Roman" w:hAnsi="Times New Roman" w:eastAsia="宋体" w:cs="Times New Roman"/>
                <w:szCs w:val="21"/>
                <w:lang w:val="en-GB"/>
              </w:rPr>
            </w:pPr>
          </w:p>
        </w:tc>
        <w:tc>
          <w:tcPr>
            <w:tcW w:w="1072" w:type="pct"/>
            <w:shd w:val="clear" w:color="auto" w:fill="auto"/>
            <w:vAlign w:val="center"/>
          </w:tcPr>
          <w:p w14:paraId="48CB3685">
            <w:pPr>
              <w:adjustRightInd w:val="0"/>
              <w:snapToGrid w:val="0"/>
              <w:spacing w:line="360" w:lineRule="auto"/>
              <w:jc w:val="center"/>
              <w:rPr>
                <w:rFonts w:ascii="Times New Roman" w:hAnsi="Times New Roman" w:eastAsia="宋体" w:cs="Times New Roman"/>
                <w:szCs w:val="21"/>
                <w:lang w:val="en-GB"/>
              </w:rPr>
            </w:pPr>
          </w:p>
        </w:tc>
        <w:tc>
          <w:tcPr>
            <w:tcW w:w="981" w:type="pct"/>
            <w:shd w:val="clear" w:color="auto" w:fill="auto"/>
            <w:vAlign w:val="center"/>
          </w:tcPr>
          <w:p w14:paraId="77D09769">
            <w:pPr>
              <w:adjustRightInd w:val="0"/>
              <w:snapToGrid w:val="0"/>
              <w:spacing w:line="360" w:lineRule="auto"/>
              <w:jc w:val="center"/>
              <w:rPr>
                <w:rFonts w:ascii="Times New Roman" w:hAnsi="Times New Roman" w:eastAsia="宋体" w:cs="Times New Roman"/>
                <w:szCs w:val="21"/>
                <w:lang w:val="en-GB"/>
              </w:rPr>
            </w:pPr>
          </w:p>
        </w:tc>
      </w:tr>
      <w:tr w14:paraId="5586D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1DCECCD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w:t>
            </w:r>
          </w:p>
        </w:tc>
        <w:tc>
          <w:tcPr>
            <w:tcW w:w="1416" w:type="pct"/>
            <w:shd w:val="clear" w:color="auto" w:fill="auto"/>
            <w:vAlign w:val="center"/>
          </w:tcPr>
          <w:p w14:paraId="01404D0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开采方式</w:t>
            </w:r>
          </w:p>
        </w:tc>
        <w:tc>
          <w:tcPr>
            <w:tcW w:w="697" w:type="pct"/>
            <w:shd w:val="clear" w:color="auto" w:fill="auto"/>
            <w:vAlign w:val="center"/>
          </w:tcPr>
          <w:p w14:paraId="7DA05515">
            <w:pPr>
              <w:adjustRightInd w:val="0"/>
              <w:snapToGrid w:val="0"/>
              <w:spacing w:line="360" w:lineRule="auto"/>
              <w:jc w:val="center"/>
              <w:rPr>
                <w:rFonts w:ascii="Times New Roman" w:hAnsi="Times New Roman" w:eastAsia="宋体" w:cs="Times New Roman"/>
                <w:szCs w:val="21"/>
                <w:lang w:val="en-GB"/>
              </w:rPr>
            </w:pPr>
          </w:p>
        </w:tc>
        <w:tc>
          <w:tcPr>
            <w:tcW w:w="1072" w:type="pct"/>
            <w:shd w:val="clear" w:color="auto" w:fill="auto"/>
            <w:vAlign w:val="center"/>
          </w:tcPr>
          <w:p w14:paraId="0D66A02B">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露天</w:t>
            </w:r>
          </w:p>
        </w:tc>
        <w:tc>
          <w:tcPr>
            <w:tcW w:w="981" w:type="pct"/>
            <w:shd w:val="clear" w:color="auto" w:fill="auto"/>
            <w:vAlign w:val="center"/>
          </w:tcPr>
          <w:p w14:paraId="2B3F8F56">
            <w:pPr>
              <w:adjustRightInd w:val="0"/>
              <w:snapToGrid w:val="0"/>
              <w:spacing w:line="360" w:lineRule="auto"/>
              <w:jc w:val="center"/>
              <w:rPr>
                <w:rFonts w:ascii="Times New Roman" w:hAnsi="Times New Roman" w:eastAsia="宋体" w:cs="Times New Roman"/>
                <w:szCs w:val="21"/>
                <w:lang w:val="en-GB"/>
              </w:rPr>
            </w:pPr>
          </w:p>
        </w:tc>
      </w:tr>
      <w:tr w14:paraId="161E6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7AE5FBFB">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w:t>
            </w:r>
          </w:p>
        </w:tc>
        <w:tc>
          <w:tcPr>
            <w:tcW w:w="1416" w:type="pct"/>
            <w:shd w:val="clear" w:color="auto" w:fill="auto"/>
            <w:vAlign w:val="center"/>
          </w:tcPr>
          <w:p w14:paraId="16619AC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设计规模</w:t>
            </w:r>
          </w:p>
        </w:tc>
        <w:tc>
          <w:tcPr>
            <w:tcW w:w="697" w:type="pct"/>
            <w:shd w:val="clear" w:color="auto" w:fill="auto"/>
            <w:vAlign w:val="center"/>
          </w:tcPr>
          <w:p w14:paraId="6DE453E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万t</w:t>
            </w:r>
          </w:p>
        </w:tc>
        <w:tc>
          <w:tcPr>
            <w:tcW w:w="1072" w:type="pct"/>
            <w:shd w:val="clear" w:color="auto" w:fill="auto"/>
            <w:vAlign w:val="center"/>
          </w:tcPr>
          <w:p w14:paraId="5666E5C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90.00</w:t>
            </w:r>
          </w:p>
        </w:tc>
        <w:tc>
          <w:tcPr>
            <w:tcW w:w="981" w:type="pct"/>
            <w:shd w:val="clear" w:color="auto" w:fill="auto"/>
            <w:vAlign w:val="center"/>
          </w:tcPr>
          <w:p w14:paraId="246D0D42">
            <w:pPr>
              <w:adjustRightInd w:val="0"/>
              <w:snapToGrid w:val="0"/>
              <w:spacing w:line="360" w:lineRule="auto"/>
              <w:jc w:val="center"/>
              <w:rPr>
                <w:rFonts w:ascii="Times New Roman" w:hAnsi="Times New Roman" w:eastAsia="宋体" w:cs="Times New Roman"/>
                <w:szCs w:val="21"/>
                <w:lang w:val="en-GB"/>
              </w:rPr>
            </w:pPr>
          </w:p>
        </w:tc>
      </w:tr>
      <w:tr w14:paraId="7001C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7D94B3A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w:t>
            </w:r>
          </w:p>
        </w:tc>
        <w:tc>
          <w:tcPr>
            <w:tcW w:w="1416" w:type="pct"/>
            <w:shd w:val="clear" w:color="auto" w:fill="auto"/>
            <w:vAlign w:val="center"/>
          </w:tcPr>
          <w:p w14:paraId="34A7B161">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矿山日生产能力</w:t>
            </w:r>
          </w:p>
        </w:tc>
        <w:tc>
          <w:tcPr>
            <w:tcW w:w="697" w:type="pct"/>
            <w:shd w:val="clear" w:color="auto" w:fill="auto"/>
            <w:vAlign w:val="center"/>
          </w:tcPr>
          <w:p w14:paraId="4693011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t/d</w:t>
            </w:r>
          </w:p>
        </w:tc>
        <w:tc>
          <w:tcPr>
            <w:tcW w:w="1072" w:type="pct"/>
            <w:shd w:val="clear" w:color="auto" w:fill="auto"/>
            <w:vAlign w:val="center"/>
          </w:tcPr>
          <w:p w14:paraId="2E966F9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3000.00</w:t>
            </w:r>
          </w:p>
        </w:tc>
        <w:tc>
          <w:tcPr>
            <w:tcW w:w="981" w:type="pct"/>
            <w:shd w:val="clear" w:color="auto" w:fill="auto"/>
            <w:vAlign w:val="center"/>
          </w:tcPr>
          <w:p w14:paraId="5FCA9114">
            <w:pPr>
              <w:adjustRightInd w:val="0"/>
              <w:snapToGrid w:val="0"/>
              <w:spacing w:line="360" w:lineRule="auto"/>
              <w:jc w:val="center"/>
              <w:rPr>
                <w:rFonts w:ascii="Times New Roman" w:hAnsi="Times New Roman" w:eastAsia="宋体" w:cs="Times New Roman"/>
                <w:szCs w:val="21"/>
                <w:lang w:val="en-GB"/>
              </w:rPr>
            </w:pPr>
          </w:p>
        </w:tc>
      </w:tr>
      <w:tr w14:paraId="3B6FC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054CEB9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4</w:t>
            </w:r>
          </w:p>
        </w:tc>
        <w:tc>
          <w:tcPr>
            <w:tcW w:w="1416" w:type="pct"/>
            <w:shd w:val="clear" w:color="auto" w:fill="auto"/>
            <w:vAlign w:val="center"/>
          </w:tcPr>
          <w:p w14:paraId="4673EF3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损失率</w:t>
            </w:r>
          </w:p>
        </w:tc>
        <w:tc>
          <w:tcPr>
            <w:tcW w:w="697" w:type="pct"/>
            <w:shd w:val="clear" w:color="auto" w:fill="auto"/>
            <w:vAlign w:val="center"/>
          </w:tcPr>
          <w:p w14:paraId="5242D92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w:t>
            </w:r>
          </w:p>
        </w:tc>
        <w:tc>
          <w:tcPr>
            <w:tcW w:w="1072" w:type="pct"/>
            <w:shd w:val="clear" w:color="auto" w:fill="auto"/>
            <w:vAlign w:val="center"/>
          </w:tcPr>
          <w:p w14:paraId="557FFB11">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5.00%</w:t>
            </w:r>
          </w:p>
        </w:tc>
        <w:tc>
          <w:tcPr>
            <w:tcW w:w="981" w:type="pct"/>
            <w:shd w:val="clear" w:color="auto" w:fill="auto"/>
            <w:vAlign w:val="center"/>
          </w:tcPr>
          <w:p w14:paraId="2A9230D5">
            <w:pPr>
              <w:adjustRightInd w:val="0"/>
              <w:snapToGrid w:val="0"/>
              <w:spacing w:line="360" w:lineRule="auto"/>
              <w:jc w:val="center"/>
              <w:rPr>
                <w:rFonts w:ascii="Times New Roman" w:hAnsi="Times New Roman" w:eastAsia="宋体" w:cs="Times New Roman"/>
                <w:szCs w:val="21"/>
                <w:lang w:val="en-GB"/>
              </w:rPr>
            </w:pPr>
          </w:p>
        </w:tc>
      </w:tr>
      <w:tr w14:paraId="2FE1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2194402E">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5</w:t>
            </w:r>
          </w:p>
        </w:tc>
        <w:tc>
          <w:tcPr>
            <w:tcW w:w="1416" w:type="pct"/>
            <w:shd w:val="clear" w:color="auto" w:fill="auto"/>
            <w:vAlign w:val="center"/>
          </w:tcPr>
          <w:p w14:paraId="42BE94E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贫化率</w:t>
            </w:r>
          </w:p>
        </w:tc>
        <w:tc>
          <w:tcPr>
            <w:tcW w:w="697" w:type="pct"/>
            <w:shd w:val="clear" w:color="auto" w:fill="auto"/>
            <w:vAlign w:val="center"/>
          </w:tcPr>
          <w:p w14:paraId="4BD99C4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w:t>
            </w:r>
          </w:p>
        </w:tc>
        <w:tc>
          <w:tcPr>
            <w:tcW w:w="1072" w:type="pct"/>
            <w:shd w:val="clear" w:color="auto" w:fill="auto"/>
            <w:vAlign w:val="center"/>
          </w:tcPr>
          <w:p w14:paraId="3CD46B00">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0</w:t>
            </w:r>
          </w:p>
        </w:tc>
        <w:tc>
          <w:tcPr>
            <w:tcW w:w="981" w:type="pct"/>
            <w:shd w:val="clear" w:color="auto" w:fill="auto"/>
            <w:vAlign w:val="center"/>
          </w:tcPr>
          <w:p w14:paraId="1D5F26F6">
            <w:pPr>
              <w:adjustRightInd w:val="0"/>
              <w:snapToGrid w:val="0"/>
              <w:spacing w:line="360" w:lineRule="auto"/>
              <w:jc w:val="center"/>
              <w:rPr>
                <w:rFonts w:ascii="Times New Roman" w:hAnsi="Times New Roman" w:eastAsia="宋体" w:cs="Times New Roman"/>
                <w:szCs w:val="21"/>
                <w:lang w:val="en-GB"/>
              </w:rPr>
            </w:pPr>
          </w:p>
        </w:tc>
      </w:tr>
      <w:tr w14:paraId="7D6C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3B6E2F3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6</w:t>
            </w:r>
          </w:p>
        </w:tc>
        <w:tc>
          <w:tcPr>
            <w:tcW w:w="1416" w:type="pct"/>
            <w:shd w:val="clear" w:color="auto" w:fill="auto"/>
            <w:vAlign w:val="center"/>
          </w:tcPr>
          <w:p w14:paraId="0EDE6BF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开拓方式</w:t>
            </w:r>
          </w:p>
        </w:tc>
        <w:tc>
          <w:tcPr>
            <w:tcW w:w="697" w:type="pct"/>
            <w:shd w:val="clear" w:color="auto" w:fill="auto"/>
            <w:vAlign w:val="center"/>
          </w:tcPr>
          <w:p w14:paraId="4C40450C">
            <w:pPr>
              <w:adjustRightInd w:val="0"/>
              <w:snapToGrid w:val="0"/>
              <w:spacing w:line="360" w:lineRule="auto"/>
              <w:jc w:val="center"/>
              <w:rPr>
                <w:rFonts w:ascii="Times New Roman" w:hAnsi="Times New Roman" w:eastAsia="宋体" w:cs="Times New Roman"/>
                <w:szCs w:val="21"/>
                <w:lang w:val="en-GB"/>
              </w:rPr>
            </w:pPr>
          </w:p>
        </w:tc>
        <w:tc>
          <w:tcPr>
            <w:tcW w:w="1072" w:type="pct"/>
            <w:shd w:val="clear" w:color="auto" w:fill="auto"/>
            <w:vAlign w:val="center"/>
          </w:tcPr>
          <w:p w14:paraId="31BCE32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公路开拓汽车运输</w:t>
            </w:r>
          </w:p>
        </w:tc>
        <w:tc>
          <w:tcPr>
            <w:tcW w:w="981" w:type="pct"/>
            <w:shd w:val="clear" w:color="auto" w:fill="auto"/>
            <w:vAlign w:val="center"/>
          </w:tcPr>
          <w:p w14:paraId="4423FA45">
            <w:pPr>
              <w:adjustRightInd w:val="0"/>
              <w:snapToGrid w:val="0"/>
              <w:spacing w:line="360" w:lineRule="auto"/>
              <w:jc w:val="center"/>
              <w:rPr>
                <w:rFonts w:ascii="Times New Roman" w:hAnsi="Times New Roman" w:eastAsia="宋体" w:cs="Times New Roman"/>
                <w:szCs w:val="21"/>
                <w:lang w:val="en-GB"/>
              </w:rPr>
            </w:pPr>
          </w:p>
        </w:tc>
      </w:tr>
      <w:tr w14:paraId="22CB2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75B1D29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7</w:t>
            </w:r>
          </w:p>
        </w:tc>
        <w:tc>
          <w:tcPr>
            <w:tcW w:w="1416" w:type="pct"/>
            <w:shd w:val="clear" w:color="auto" w:fill="auto"/>
            <w:vAlign w:val="center"/>
          </w:tcPr>
          <w:p w14:paraId="09730572">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剥采方法</w:t>
            </w:r>
          </w:p>
        </w:tc>
        <w:tc>
          <w:tcPr>
            <w:tcW w:w="697" w:type="pct"/>
            <w:shd w:val="clear" w:color="auto" w:fill="auto"/>
            <w:vAlign w:val="center"/>
          </w:tcPr>
          <w:p w14:paraId="04C818C5">
            <w:pPr>
              <w:adjustRightInd w:val="0"/>
              <w:snapToGrid w:val="0"/>
              <w:spacing w:line="360" w:lineRule="auto"/>
              <w:jc w:val="center"/>
              <w:rPr>
                <w:rFonts w:ascii="Times New Roman" w:hAnsi="Times New Roman" w:eastAsia="宋体" w:cs="Times New Roman"/>
                <w:szCs w:val="21"/>
                <w:lang w:val="en-GB"/>
              </w:rPr>
            </w:pPr>
          </w:p>
        </w:tc>
        <w:tc>
          <w:tcPr>
            <w:tcW w:w="1072" w:type="pct"/>
            <w:shd w:val="clear" w:color="auto" w:fill="auto"/>
            <w:vAlign w:val="center"/>
          </w:tcPr>
          <w:p w14:paraId="70520F9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分台阶下降开采</w:t>
            </w:r>
          </w:p>
        </w:tc>
        <w:tc>
          <w:tcPr>
            <w:tcW w:w="981" w:type="pct"/>
            <w:shd w:val="clear" w:color="auto" w:fill="auto"/>
            <w:vAlign w:val="center"/>
          </w:tcPr>
          <w:p w14:paraId="0F8EB3DC">
            <w:pPr>
              <w:adjustRightInd w:val="0"/>
              <w:snapToGrid w:val="0"/>
              <w:spacing w:line="360" w:lineRule="auto"/>
              <w:jc w:val="center"/>
              <w:rPr>
                <w:rFonts w:ascii="Times New Roman" w:hAnsi="Times New Roman" w:eastAsia="宋体" w:cs="Times New Roman"/>
                <w:szCs w:val="21"/>
                <w:lang w:val="en-GB"/>
              </w:rPr>
            </w:pPr>
          </w:p>
        </w:tc>
      </w:tr>
      <w:tr w14:paraId="59664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0DAE7550">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8</w:t>
            </w:r>
          </w:p>
        </w:tc>
        <w:tc>
          <w:tcPr>
            <w:tcW w:w="1416" w:type="pct"/>
            <w:shd w:val="clear" w:color="auto" w:fill="auto"/>
            <w:vAlign w:val="center"/>
          </w:tcPr>
          <w:p w14:paraId="238117FB">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露天开采最终境界</w:t>
            </w:r>
          </w:p>
        </w:tc>
        <w:tc>
          <w:tcPr>
            <w:tcW w:w="697" w:type="pct"/>
            <w:shd w:val="clear" w:color="auto" w:fill="auto"/>
            <w:vAlign w:val="center"/>
          </w:tcPr>
          <w:p w14:paraId="2EC19966">
            <w:pPr>
              <w:adjustRightInd w:val="0"/>
              <w:snapToGrid w:val="0"/>
              <w:spacing w:line="360" w:lineRule="auto"/>
              <w:jc w:val="center"/>
              <w:rPr>
                <w:rFonts w:ascii="Times New Roman" w:hAnsi="Times New Roman" w:eastAsia="宋体" w:cs="Times New Roman"/>
                <w:szCs w:val="21"/>
                <w:lang w:val="en-GB"/>
              </w:rPr>
            </w:pPr>
          </w:p>
        </w:tc>
        <w:tc>
          <w:tcPr>
            <w:tcW w:w="1072" w:type="pct"/>
            <w:shd w:val="clear" w:color="auto" w:fill="auto"/>
            <w:vAlign w:val="center"/>
          </w:tcPr>
          <w:p w14:paraId="1C74E165">
            <w:pPr>
              <w:adjustRightInd w:val="0"/>
              <w:snapToGrid w:val="0"/>
              <w:spacing w:line="360" w:lineRule="auto"/>
              <w:jc w:val="center"/>
              <w:rPr>
                <w:rFonts w:ascii="Times New Roman" w:hAnsi="Times New Roman" w:eastAsia="宋体" w:cs="Times New Roman"/>
                <w:szCs w:val="21"/>
                <w:lang w:val="en-GB"/>
              </w:rPr>
            </w:pPr>
          </w:p>
        </w:tc>
        <w:tc>
          <w:tcPr>
            <w:tcW w:w="981" w:type="pct"/>
            <w:shd w:val="clear" w:color="auto" w:fill="auto"/>
            <w:vAlign w:val="center"/>
          </w:tcPr>
          <w:p w14:paraId="3A678D4F">
            <w:pPr>
              <w:adjustRightInd w:val="0"/>
              <w:snapToGrid w:val="0"/>
              <w:spacing w:line="360" w:lineRule="auto"/>
              <w:jc w:val="center"/>
              <w:rPr>
                <w:rFonts w:ascii="Times New Roman" w:hAnsi="Times New Roman" w:eastAsia="宋体" w:cs="Times New Roman"/>
                <w:szCs w:val="21"/>
                <w:lang w:val="en-GB"/>
              </w:rPr>
            </w:pPr>
          </w:p>
        </w:tc>
      </w:tr>
      <w:tr w14:paraId="2879E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22D7A878">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8.1</w:t>
            </w:r>
          </w:p>
        </w:tc>
        <w:tc>
          <w:tcPr>
            <w:tcW w:w="1416" w:type="pct"/>
            <w:shd w:val="clear" w:color="auto" w:fill="auto"/>
            <w:vAlign w:val="center"/>
          </w:tcPr>
          <w:p w14:paraId="63A2B981">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总高度</w:t>
            </w:r>
          </w:p>
        </w:tc>
        <w:tc>
          <w:tcPr>
            <w:tcW w:w="697" w:type="pct"/>
            <w:shd w:val="clear" w:color="auto" w:fill="auto"/>
            <w:vAlign w:val="center"/>
          </w:tcPr>
          <w:p w14:paraId="1EA31A73">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m</w:t>
            </w:r>
          </w:p>
        </w:tc>
        <w:tc>
          <w:tcPr>
            <w:tcW w:w="1072" w:type="pct"/>
            <w:shd w:val="clear" w:color="auto" w:fill="auto"/>
            <w:vAlign w:val="center"/>
          </w:tcPr>
          <w:p w14:paraId="67D55DA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100</w:t>
            </w:r>
          </w:p>
        </w:tc>
        <w:tc>
          <w:tcPr>
            <w:tcW w:w="981" w:type="pct"/>
            <w:shd w:val="clear" w:color="auto" w:fill="auto"/>
            <w:vAlign w:val="center"/>
          </w:tcPr>
          <w:p w14:paraId="4028A17F">
            <w:pPr>
              <w:adjustRightInd w:val="0"/>
              <w:snapToGrid w:val="0"/>
              <w:spacing w:line="360" w:lineRule="auto"/>
              <w:jc w:val="center"/>
              <w:rPr>
                <w:rFonts w:ascii="Times New Roman" w:hAnsi="Times New Roman" w:eastAsia="宋体" w:cs="Times New Roman"/>
                <w:szCs w:val="21"/>
                <w:lang w:val="en-GB"/>
              </w:rPr>
            </w:pPr>
          </w:p>
        </w:tc>
      </w:tr>
      <w:tr w14:paraId="7682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23E3ABA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8.2</w:t>
            </w:r>
          </w:p>
        </w:tc>
        <w:tc>
          <w:tcPr>
            <w:tcW w:w="1416" w:type="pct"/>
            <w:shd w:val="clear" w:color="auto" w:fill="auto"/>
            <w:vAlign w:val="center"/>
          </w:tcPr>
          <w:p w14:paraId="270870E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最终边坡角</w:t>
            </w:r>
          </w:p>
        </w:tc>
        <w:tc>
          <w:tcPr>
            <w:tcW w:w="697" w:type="pct"/>
            <w:shd w:val="clear" w:color="auto" w:fill="auto"/>
            <w:vAlign w:val="center"/>
          </w:tcPr>
          <w:p w14:paraId="022E8B0E">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w:t>
            </w:r>
          </w:p>
        </w:tc>
        <w:tc>
          <w:tcPr>
            <w:tcW w:w="1072" w:type="pct"/>
            <w:shd w:val="clear" w:color="auto" w:fill="auto"/>
            <w:vAlign w:val="center"/>
          </w:tcPr>
          <w:p w14:paraId="4997C5E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43°-49°</w:t>
            </w:r>
          </w:p>
        </w:tc>
        <w:tc>
          <w:tcPr>
            <w:tcW w:w="981" w:type="pct"/>
            <w:shd w:val="clear" w:color="auto" w:fill="auto"/>
            <w:vAlign w:val="center"/>
          </w:tcPr>
          <w:p w14:paraId="25A64CF8">
            <w:pPr>
              <w:adjustRightInd w:val="0"/>
              <w:snapToGrid w:val="0"/>
              <w:spacing w:line="360" w:lineRule="auto"/>
              <w:jc w:val="center"/>
              <w:rPr>
                <w:rFonts w:ascii="Times New Roman" w:hAnsi="Times New Roman" w:eastAsia="宋体" w:cs="Times New Roman"/>
                <w:szCs w:val="21"/>
                <w:lang w:val="en-GB"/>
              </w:rPr>
            </w:pPr>
          </w:p>
        </w:tc>
      </w:tr>
      <w:tr w14:paraId="3219F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1881E0F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8.3</w:t>
            </w:r>
          </w:p>
        </w:tc>
        <w:tc>
          <w:tcPr>
            <w:tcW w:w="1416" w:type="pct"/>
            <w:shd w:val="clear" w:color="auto" w:fill="auto"/>
            <w:vAlign w:val="center"/>
          </w:tcPr>
          <w:p w14:paraId="6F4F148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总剥离量</w:t>
            </w:r>
          </w:p>
        </w:tc>
        <w:tc>
          <w:tcPr>
            <w:tcW w:w="697" w:type="pct"/>
            <w:shd w:val="clear" w:color="auto" w:fill="auto"/>
            <w:vAlign w:val="center"/>
          </w:tcPr>
          <w:p w14:paraId="6FDCAB2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万m</w:t>
            </w:r>
            <w:r>
              <w:rPr>
                <w:rFonts w:ascii="Times New Roman" w:hAnsi="Times New Roman" w:eastAsia="宋体" w:cs="Times New Roman"/>
                <w:szCs w:val="21"/>
                <w:vertAlign w:val="superscript"/>
                <w:lang w:val="en-GB"/>
              </w:rPr>
              <w:t>3</w:t>
            </w:r>
          </w:p>
        </w:tc>
        <w:tc>
          <w:tcPr>
            <w:tcW w:w="1072" w:type="pct"/>
            <w:shd w:val="clear" w:color="auto" w:fill="auto"/>
            <w:vAlign w:val="center"/>
          </w:tcPr>
          <w:p w14:paraId="1A1C49C3">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13.16</w:t>
            </w:r>
          </w:p>
        </w:tc>
        <w:tc>
          <w:tcPr>
            <w:tcW w:w="981" w:type="pct"/>
            <w:shd w:val="clear" w:color="auto" w:fill="auto"/>
            <w:vAlign w:val="center"/>
          </w:tcPr>
          <w:p w14:paraId="69F711CD">
            <w:pPr>
              <w:adjustRightInd w:val="0"/>
              <w:snapToGrid w:val="0"/>
              <w:spacing w:line="360" w:lineRule="auto"/>
              <w:jc w:val="center"/>
              <w:rPr>
                <w:rFonts w:ascii="Times New Roman" w:hAnsi="Times New Roman" w:eastAsia="宋体" w:cs="Times New Roman"/>
                <w:szCs w:val="21"/>
                <w:lang w:val="en-GB"/>
              </w:rPr>
            </w:pPr>
          </w:p>
        </w:tc>
      </w:tr>
      <w:tr w14:paraId="2F46E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0EC22CA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8.4</w:t>
            </w:r>
          </w:p>
        </w:tc>
        <w:tc>
          <w:tcPr>
            <w:tcW w:w="1416" w:type="pct"/>
            <w:shd w:val="clear" w:color="auto" w:fill="auto"/>
            <w:vAlign w:val="center"/>
          </w:tcPr>
          <w:p w14:paraId="13E3C09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最高开采台阶标高</w:t>
            </w:r>
          </w:p>
        </w:tc>
        <w:tc>
          <w:tcPr>
            <w:tcW w:w="697" w:type="pct"/>
            <w:shd w:val="clear" w:color="auto" w:fill="auto"/>
            <w:vAlign w:val="center"/>
          </w:tcPr>
          <w:p w14:paraId="13AA8CEC">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m</w:t>
            </w:r>
          </w:p>
        </w:tc>
        <w:tc>
          <w:tcPr>
            <w:tcW w:w="1072" w:type="pct"/>
            <w:shd w:val="clear" w:color="auto" w:fill="auto"/>
            <w:vAlign w:val="center"/>
          </w:tcPr>
          <w:p w14:paraId="2E38E15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848m</w:t>
            </w:r>
          </w:p>
        </w:tc>
        <w:tc>
          <w:tcPr>
            <w:tcW w:w="981" w:type="pct"/>
            <w:shd w:val="clear" w:color="auto" w:fill="auto"/>
            <w:vAlign w:val="center"/>
          </w:tcPr>
          <w:p w14:paraId="54613EF4">
            <w:pPr>
              <w:adjustRightInd w:val="0"/>
              <w:snapToGrid w:val="0"/>
              <w:spacing w:line="360" w:lineRule="auto"/>
              <w:jc w:val="center"/>
              <w:rPr>
                <w:rFonts w:ascii="Times New Roman" w:hAnsi="Times New Roman" w:eastAsia="宋体" w:cs="Times New Roman"/>
                <w:szCs w:val="21"/>
                <w:lang w:val="en-GB"/>
              </w:rPr>
            </w:pPr>
          </w:p>
        </w:tc>
      </w:tr>
      <w:tr w14:paraId="4EAF9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60D0D7F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8.5</w:t>
            </w:r>
          </w:p>
        </w:tc>
        <w:tc>
          <w:tcPr>
            <w:tcW w:w="1416" w:type="pct"/>
            <w:shd w:val="clear" w:color="auto" w:fill="auto"/>
            <w:vAlign w:val="center"/>
          </w:tcPr>
          <w:p w14:paraId="51B90413">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最低开采台阶标高</w:t>
            </w:r>
          </w:p>
        </w:tc>
        <w:tc>
          <w:tcPr>
            <w:tcW w:w="697" w:type="pct"/>
            <w:shd w:val="clear" w:color="auto" w:fill="auto"/>
            <w:vAlign w:val="center"/>
          </w:tcPr>
          <w:p w14:paraId="2FD7375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m</w:t>
            </w:r>
          </w:p>
        </w:tc>
        <w:tc>
          <w:tcPr>
            <w:tcW w:w="1072" w:type="pct"/>
            <w:shd w:val="clear" w:color="auto" w:fill="auto"/>
            <w:vAlign w:val="center"/>
          </w:tcPr>
          <w:p w14:paraId="05E8D61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752m</w:t>
            </w:r>
          </w:p>
        </w:tc>
        <w:tc>
          <w:tcPr>
            <w:tcW w:w="981" w:type="pct"/>
            <w:shd w:val="clear" w:color="auto" w:fill="auto"/>
            <w:vAlign w:val="center"/>
          </w:tcPr>
          <w:p w14:paraId="16C69161">
            <w:pPr>
              <w:adjustRightInd w:val="0"/>
              <w:snapToGrid w:val="0"/>
              <w:spacing w:line="360" w:lineRule="auto"/>
              <w:jc w:val="center"/>
              <w:rPr>
                <w:rFonts w:ascii="Times New Roman" w:hAnsi="Times New Roman" w:eastAsia="宋体" w:cs="Times New Roman"/>
                <w:szCs w:val="21"/>
                <w:lang w:val="en-GB"/>
              </w:rPr>
            </w:pPr>
          </w:p>
        </w:tc>
      </w:tr>
      <w:tr w14:paraId="055E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0AF98CD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9</w:t>
            </w:r>
          </w:p>
        </w:tc>
        <w:tc>
          <w:tcPr>
            <w:tcW w:w="1416" w:type="pct"/>
            <w:shd w:val="clear" w:color="auto" w:fill="auto"/>
            <w:vAlign w:val="center"/>
          </w:tcPr>
          <w:p w14:paraId="470B4E7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台阶参数</w:t>
            </w:r>
          </w:p>
        </w:tc>
        <w:tc>
          <w:tcPr>
            <w:tcW w:w="697" w:type="pct"/>
            <w:shd w:val="clear" w:color="auto" w:fill="auto"/>
            <w:vAlign w:val="center"/>
          </w:tcPr>
          <w:p w14:paraId="063AC086">
            <w:pPr>
              <w:adjustRightInd w:val="0"/>
              <w:snapToGrid w:val="0"/>
              <w:spacing w:line="360" w:lineRule="auto"/>
              <w:jc w:val="center"/>
              <w:rPr>
                <w:rFonts w:ascii="Times New Roman" w:hAnsi="Times New Roman" w:eastAsia="宋体" w:cs="Times New Roman"/>
                <w:szCs w:val="21"/>
                <w:lang w:val="en-GB"/>
              </w:rPr>
            </w:pPr>
          </w:p>
        </w:tc>
        <w:tc>
          <w:tcPr>
            <w:tcW w:w="1072" w:type="pct"/>
            <w:shd w:val="clear" w:color="auto" w:fill="auto"/>
            <w:vAlign w:val="center"/>
          </w:tcPr>
          <w:p w14:paraId="033E1945">
            <w:pPr>
              <w:adjustRightInd w:val="0"/>
              <w:snapToGrid w:val="0"/>
              <w:spacing w:line="360" w:lineRule="auto"/>
              <w:jc w:val="center"/>
              <w:rPr>
                <w:rFonts w:ascii="Times New Roman" w:hAnsi="Times New Roman" w:eastAsia="宋体" w:cs="Times New Roman"/>
                <w:szCs w:val="21"/>
                <w:lang w:val="en-GB"/>
              </w:rPr>
            </w:pPr>
          </w:p>
        </w:tc>
        <w:tc>
          <w:tcPr>
            <w:tcW w:w="981" w:type="pct"/>
            <w:shd w:val="clear" w:color="auto" w:fill="auto"/>
            <w:vAlign w:val="center"/>
          </w:tcPr>
          <w:p w14:paraId="47CC0481">
            <w:pPr>
              <w:adjustRightInd w:val="0"/>
              <w:snapToGrid w:val="0"/>
              <w:spacing w:line="360" w:lineRule="auto"/>
              <w:jc w:val="center"/>
              <w:rPr>
                <w:rFonts w:ascii="Times New Roman" w:hAnsi="Times New Roman" w:eastAsia="宋体" w:cs="Times New Roman"/>
                <w:szCs w:val="21"/>
                <w:lang w:val="en-GB"/>
              </w:rPr>
            </w:pPr>
          </w:p>
        </w:tc>
      </w:tr>
      <w:tr w14:paraId="37B16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2BF73CA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9.1</w:t>
            </w:r>
          </w:p>
        </w:tc>
        <w:tc>
          <w:tcPr>
            <w:tcW w:w="1416" w:type="pct"/>
            <w:shd w:val="clear" w:color="auto" w:fill="auto"/>
            <w:vAlign w:val="center"/>
          </w:tcPr>
          <w:p w14:paraId="6795637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最终边坡台阶高度</w:t>
            </w:r>
          </w:p>
        </w:tc>
        <w:tc>
          <w:tcPr>
            <w:tcW w:w="697" w:type="pct"/>
            <w:shd w:val="clear" w:color="auto" w:fill="auto"/>
            <w:vAlign w:val="center"/>
          </w:tcPr>
          <w:p w14:paraId="3B6015FB">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m</w:t>
            </w:r>
          </w:p>
        </w:tc>
        <w:tc>
          <w:tcPr>
            <w:tcW w:w="1072" w:type="pct"/>
            <w:shd w:val="clear" w:color="auto" w:fill="auto"/>
            <w:vAlign w:val="center"/>
          </w:tcPr>
          <w:p w14:paraId="224DC831">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12m</w:t>
            </w:r>
          </w:p>
        </w:tc>
        <w:tc>
          <w:tcPr>
            <w:tcW w:w="981" w:type="pct"/>
            <w:shd w:val="clear" w:color="auto" w:fill="auto"/>
            <w:vAlign w:val="center"/>
          </w:tcPr>
          <w:p w14:paraId="0B25BBB5">
            <w:pPr>
              <w:adjustRightInd w:val="0"/>
              <w:snapToGrid w:val="0"/>
              <w:spacing w:line="360" w:lineRule="auto"/>
              <w:jc w:val="center"/>
              <w:rPr>
                <w:rFonts w:ascii="Times New Roman" w:hAnsi="Times New Roman" w:eastAsia="宋体" w:cs="Times New Roman"/>
                <w:szCs w:val="21"/>
                <w:lang w:val="en-GB"/>
              </w:rPr>
            </w:pPr>
          </w:p>
        </w:tc>
      </w:tr>
      <w:tr w14:paraId="7410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3E74A100">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9.2</w:t>
            </w:r>
          </w:p>
        </w:tc>
        <w:tc>
          <w:tcPr>
            <w:tcW w:w="1416" w:type="pct"/>
            <w:shd w:val="clear" w:color="auto" w:fill="auto"/>
            <w:vAlign w:val="center"/>
          </w:tcPr>
          <w:p w14:paraId="51E422FC">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台阶坡面角</w:t>
            </w:r>
          </w:p>
        </w:tc>
        <w:tc>
          <w:tcPr>
            <w:tcW w:w="697" w:type="pct"/>
            <w:shd w:val="clear" w:color="auto" w:fill="auto"/>
            <w:vAlign w:val="center"/>
          </w:tcPr>
          <w:p w14:paraId="60CA3323">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w:t>
            </w:r>
          </w:p>
        </w:tc>
        <w:tc>
          <w:tcPr>
            <w:tcW w:w="1072" w:type="pct"/>
            <w:shd w:val="clear" w:color="auto" w:fill="auto"/>
            <w:vAlign w:val="center"/>
          </w:tcPr>
          <w:p w14:paraId="29BE0D8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60°</w:t>
            </w:r>
          </w:p>
        </w:tc>
        <w:tc>
          <w:tcPr>
            <w:tcW w:w="981" w:type="pct"/>
            <w:shd w:val="clear" w:color="auto" w:fill="auto"/>
            <w:vAlign w:val="center"/>
          </w:tcPr>
          <w:p w14:paraId="67837716">
            <w:pPr>
              <w:adjustRightInd w:val="0"/>
              <w:snapToGrid w:val="0"/>
              <w:spacing w:line="360" w:lineRule="auto"/>
              <w:jc w:val="center"/>
              <w:rPr>
                <w:rFonts w:ascii="Times New Roman" w:hAnsi="Times New Roman" w:eastAsia="宋体" w:cs="Times New Roman"/>
                <w:szCs w:val="21"/>
                <w:lang w:val="en-GB"/>
              </w:rPr>
            </w:pPr>
          </w:p>
        </w:tc>
      </w:tr>
      <w:tr w14:paraId="4AE12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6C3BF3A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9.3</w:t>
            </w:r>
          </w:p>
        </w:tc>
        <w:tc>
          <w:tcPr>
            <w:tcW w:w="1416" w:type="pct"/>
            <w:shd w:val="clear" w:color="auto" w:fill="auto"/>
            <w:vAlign w:val="center"/>
          </w:tcPr>
          <w:p w14:paraId="3E9788EC">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安全平台宽度</w:t>
            </w:r>
          </w:p>
        </w:tc>
        <w:tc>
          <w:tcPr>
            <w:tcW w:w="697" w:type="pct"/>
            <w:shd w:val="clear" w:color="auto" w:fill="auto"/>
            <w:vAlign w:val="center"/>
          </w:tcPr>
          <w:p w14:paraId="6558F2A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m</w:t>
            </w:r>
          </w:p>
        </w:tc>
        <w:tc>
          <w:tcPr>
            <w:tcW w:w="1072" w:type="pct"/>
            <w:shd w:val="clear" w:color="auto" w:fill="auto"/>
            <w:vAlign w:val="center"/>
          </w:tcPr>
          <w:p w14:paraId="159961B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4m</w:t>
            </w:r>
          </w:p>
        </w:tc>
        <w:tc>
          <w:tcPr>
            <w:tcW w:w="981" w:type="pct"/>
            <w:shd w:val="clear" w:color="auto" w:fill="auto"/>
            <w:vAlign w:val="center"/>
          </w:tcPr>
          <w:p w14:paraId="694232EA">
            <w:pPr>
              <w:adjustRightInd w:val="0"/>
              <w:snapToGrid w:val="0"/>
              <w:spacing w:line="360" w:lineRule="auto"/>
              <w:jc w:val="center"/>
              <w:rPr>
                <w:rFonts w:ascii="Times New Roman" w:hAnsi="Times New Roman" w:eastAsia="宋体" w:cs="Times New Roman"/>
                <w:szCs w:val="21"/>
                <w:lang w:val="en-GB"/>
              </w:rPr>
            </w:pPr>
          </w:p>
        </w:tc>
      </w:tr>
      <w:tr w14:paraId="18E2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38AA5932">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9.4</w:t>
            </w:r>
          </w:p>
        </w:tc>
        <w:tc>
          <w:tcPr>
            <w:tcW w:w="1416" w:type="pct"/>
            <w:shd w:val="clear" w:color="auto" w:fill="auto"/>
            <w:vAlign w:val="center"/>
          </w:tcPr>
          <w:p w14:paraId="4BDED76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清扫平台宽度</w:t>
            </w:r>
          </w:p>
        </w:tc>
        <w:tc>
          <w:tcPr>
            <w:tcW w:w="697" w:type="pct"/>
            <w:shd w:val="clear" w:color="auto" w:fill="auto"/>
            <w:vAlign w:val="center"/>
          </w:tcPr>
          <w:p w14:paraId="0DEFBFDC">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m</w:t>
            </w:r>
          </w:p>
        </w:tc>
        <w:tc>
          <w:tcPr>
            <w:tcW w:w="1072" w:type="pct"/>
            <w:shd w:val="clear" w:color="auto" w:fill="auto"/>
            <w:vAlign w:val="center"/>
          </w:tcPr>
          <w:p w14:paraId="1A9C204C">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6m</w:t>
            </w:r>
          </w:p>
        </w:tc>
        <w:tc>
          <w:tcPr>
            <w:tcW w:w="981" w:type="pct"/>
            <w:shd w:val="clear" w:color="auto" w:fill="auto"/>
            <w:vAlign w:val="center"/>
          </w:tcPr>
          <w:p w14:paraId="7A09849A">
            <w:pPr>
              <w:adjustRightInd w:val="0"/>
              <w:snapToGrid w:val="0"/>
              <w:spacing w:line="360" w:lineRule="auto"/>
              <w:jc w:val="center"/>
              <w:rPr>
                <w:rFonts w:ascii="Times New Roman" w:hAnsi="Times New Roman" w:eastAsia="宋体" w:cs="Times New Roman"/>
                <w:szCs w:val="21"/>
                <w:lang w:val="en-GB"/>
              </w:rPr>
            </w:pPr>
          </w:p>
        </w:tc>
      </w:tr>
      <w:tr w14:paraId="00AE6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42604113">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9.5</w:t>
            </w:r>
          </w:p>
        </w:tc>
        <w:tc>
          <w:tcPr>
            <w:tcW w:w="1416" w:type="pct"/>
            <w:shd w:val="clear" w:color="auto" w:fill="auto"/>
            <w:vAlign w:val="center"/>
          </w:tcPr>
          <w:p w14:paraId="78151CD0">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最小工作平台宽度</w:t>
            </w:r>
          </w:p>
        </w:tc>
        <w:tc>
          <w:tcPr>
            <w:tcW w:w="697" w:type="pct"/>
            <w:shd w:val="clear" w:color="auto" w:fill="auto"/>
            <w:vAlign w:val="center"/>
          </w:tcPr>
          <w:p w14:paraId="45A7650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m</w:t>
            </w:r>
          </w:p>
        </w:tc>
        <w:tc>
          <w:tcPr>
            <w:tcW w:w="1072" w:type="pct"/>
            <w:shd w:val="clear" w:color="auto" w:fill="auto"/>
            <w:vAlign w:val="center"/>
          </w:tcPr>
          <w:p w14:paraId="3064A54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24m</w:t>
            </w:r>
          </w:p>
        </w:tc>
        <w:tc>
          <w:tcPr>
            <w:tcW w:w="981" w:type="pct"/>
            <w:shd w:val="clear" w:color="auto" w:fill="auto"/>
            <w:vAlign w:val="center"/>
          </w:tcPr>
          <w:p w14:paraId="0417DE43">
            <w:pPr>
              <w:adjustRightInd w:val="0"/>
              <w:snapToGrid w:val="0"/>
              <w:spacing w:line="360" w:lineRule="auto"/>
              <w:jc w:val="center"/>
              <w:rPr>
                <w:rFonts w:ascii="Times New Roman" w:hAnsi="Times New Roman" w:eastAsia="宋体" w:cs="Times New Roman"/>
                <w:szCs w:val="21"/>
                <w:lang w:val="en-GB"/>
              </w:rPr>
            </w:pPr>
          </w:p>
        </w:tc>
      </w:tr>
      <w:tr w14:paraId="77DE1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115D5FBC">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10</w:t>
            </w:r>
          </w:p>
        </w:tc>
        <w:tc>
          <w:tcPr>
            <w:tcW w:w="1416" w:type="pct"/>
            <w:shd w:val="clear" w:color="auto" w:fill="auto"/>
            <w:vAlign w:val="center"/>
          </w:tcPr>
          <w:p w14:paraId="204F685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矿山服务年限</w:t>
            </w:r>
          </w:p>
        </w:tc>
        <w:tc>
          <w:tcPr>
            <w:tcW w:w="697" w:type="pct"/>
            <w:shd w:val="clear" w:color="auto" w:fill="auto"/>
            <w:vAlign w:val="center"/>
          </w:tcPr>
          <w:p w14:paraId="7F3DFCD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a</w:t>
            </w:r>
          </w:p>
        </w:tc>
        <w:tc>
          <w:tcPr>
            <w:tcW w:w="1072" w:type="pct"/>
            <w:shd w:val="clear" w:color="auto" w:fill="auto"/>
            <w:vAlign w:val="center"/>
          </w:tcPr>
          <w:p w14:paraId="7C3D14C2">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7</w:t>
            </w:r>
          </w:p>
        </w:tc>
        <w:tc>
          <w:tcPr>
            <w:tcW w:w="981" w:type="pct"/>
            <w:shd w:val="clear" w:color="auto" w:fill="auto"/>
            <w:vAlign w:val="center"/>
          </w:tcPr>
          <w:p w14:paraId="28593723">
            <w:pPr>
              <w:adjustRightInd w:val="0"/>
              <w:snapToGrid w:val="0"/>
              <w:spacing w:line="360" w:lineRule="auto"/>
              <w:jc w:val="center"/>
              <w:rPr>
                <w:rFonts w:ascii="Times New Roman" w:hAnsi="Times New Roman" w:eastAsia="宋体" w:cs="Times New Roman"/>
                <w:szCs w:val="21"/>
                <w:lang w:val="en-GB"/>
              </w:rPr>
            </w:pPr>
          </w:p>
        </w:tc>
      </w:tr>
      <w:tr w14:paraId="12C7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34612FF1">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10.1</w:t>
            </w:r>
          </w:p>
        </w:tc>
        <w:tc>
          <w:tcPr>
            <w:tcW w:w="1416" w:type="pct"/>
            <w:shd w:val="clear" w:color="auto" w:fill="auto"/>
            <w:vAlign w:val="center"/>
          </w:tcPr>
          <w:p w14:paraId="4CDE5F7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其中：达产年限</w:t>
            </w:r>
          </w:p>
        </w:tc>
        <w:tc>
          <w:tcPr>
            <w:tcW w:w="697" w:type="pct"/>
            <w:shd w:val="clear" w:color="auto" w:fill="auto"/>
            <w:vAlign w:val="center"/>
          </w:tcPr>
          <w:p w14:paraId="1F7E7031">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a</w:t>
            </w:r>
          </w:p>
        </w:tc>
        <w:tc>
          <w:tcPr>
            <w:tcW w:w="1072" w:type="pct"/>
            <w:shd w:val="clear" w:color="auto" w:fill="auto"/>
            <w:vAlign w:val="center"/>
          </w:tcPr>
          <w:p w14:paraId="05DAEBB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6</w:t>
            </w:r>
          </w:p>
        </w:tc>
        <w:tc>
          <w:tcPr>
            <w:tcW w:w="981" w:type="pct"/>
            <w:shd w:val="clear" w:color="auto" w:fill="auto"/>
            <w:vAlign w:val="center"/>
          </w:tcPr>
          <w:p w14:paraId="7651D0C3">
            <w:pPr>
              <w:adjustRightInd w:val="0"/>
              <w:snapToGrid w:val="0"/>
              <w:spacing w:line="360" w:lineRule="auto"/>
              <w:jc w:val="center"/>
              <w:rPr>
                <w:rFonts w:ascii="Times New Roman" w:hAnsi="Times New Roman" w:eastAsia="宋体" w:cs="Times New Roman"/>
                <w:szCs w:val="21"/>
                <w:lang w:val="en-GB"/>
              </w:rPr>
            </w:pPr>
          </w:p>
        </w:tc>
      </w:tr>
      <w:tr w14:paraId="7F4DA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44D99E0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10.2</w:t>
            </w:r>
          </w:p>
        </w:tc>
        <w:tc>
          <w:tcPr>
            <w:tcW w:w="1416" w:type="pct"/>
            <w:shd w:val="clear" w:color="auto" w:fill="auto"/>
            <w:vAlign w:val="center"/>
          </w:tcPr>
          <w:p w14:paraId="13B399B1">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矿山工作制度</w:t>
            </w:r>
          </w:p>
        </w:tc>
        <w:tc>
          <w:tcPr>
            <w:tcW w:w="697" w:type="pct"/>
            <w:shd w:val="clear" w:color="auto" w:fill="auto"/>
            <w:vAlign w:val="center"/>
          </w:tcPr>
          <w:p w14:paraId="625E22F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d/a</w:t>
            </w:r>
          </w:p>
        </w:tc>
        <w:tc>
          <w:tcPr>
            <w:tcW w:w="1072" w:type="pct"/>
            <w:shd w:val="clear" w:color="auto" w:fill="auto"/>
            <w:vAlign w:val="center"/>
          </w:tcPr>
          <w:p w14:paraId="6B21E4D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300</w:t>
            </w:r>
          </w:p>
        </w:tc>
        <w:tc>
          <w:tcPr>
            <w:tcW w:w="981" w:type="pct"/>
            <w:shd w:val="clear" w:color="auto" w:fill="auto"/>
            <w:vAlign w:val="center"/>
          </w:tcPr>
          <w:p w14:paraId="1377B8B8">
            <w:pPr>
              <w:adjustRightInd w:val="0"/>
              <w:snapToGrid w:val="0"/>
              <w:spacing w:line="360" w:lineRule="auto"/>
              <w:jc w:val="center"/>
              <w:rPr>
                <w:rFonts w:ascii="Times New Roman" w:hAnsi="Times New Roman" w:eastAsia="宋体" w:cs="Times New Roman"/>
                <w:szCs w:val="21"/>
                <w:lang w:val="en-GB"/>
              </w:rPr>
            </w:pPr>
          </w:p>
        </w:tc>
      </w:tr>
      <w:tr w14:paraId="07617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46D805C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10.3</w:t>
            </w:r>
          </w:p>
        </w:tc>
        <w:tc>
          <w:tcPr>
            <w:tcW w:w="1416" w:type="pct"/>
            <w:shd w:val="clear" w:color="auto" w:fill="auto"/>
            <w:vAlign w:val="center"/>
          </w:tcPr>
          <w:p w14:paraId="04A2F3AC">
            <w:pPr>
              <w:adjustRightInd w:val="0"/>
              <w:snapToGrid w:val="0"/>
              <w:spacing w:line="360" w:lineRule="auto"/>
              <w:jc w:val="center"/>
              <w:rPr>
                <w:rFonts w:ascii="Times New Roman" w:hAnsi="Times New Roman" w:eastAsia="宋体" w:cs="Times New Roman"/>
                <w:szCs w:val="21"/>
                <w:lang w:val="en-GB"/>
              </w:rPr>
            </w:pPr>
          </w:p>
        </w:tc>
        <w:tc>
          <w:tcPr>
            <w:tcW w:w="697" w:type="pct"/>
            <w:shd w:val="clear" w:color="auto" w:fill="auto"/>
            <w:vAlign w:val="center"/>
          </w:tcPr>
          <w:p w14:paraId="2AACF37B">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班/d</w:t>
            </w:r>
          </w:p>
        </w:tc>
        <w:tc>
          <w:tcPr>
            <w:tcW w:w="1072" w:type="pct"/>
            <w:shd w:val="clear" w:color="auto" w:fill="auto"/>
            <w:vAlign w:val="center"/>
          </w:tcPr>
          <w:p w14:paraId="53D623D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w:t>
            </w:r>
          </w:p>
        </w:tc>
        <w:tc>
          <w:tcPr>
            <w:tcW w:w="981" w:type="pct"/>
            <w:shd w:val="clear" w:color="auto" w:fill="auto"/>
            <w:vAlign w:val="center"/>
          </w:tcPr>
          <w:p w14:paraId="44924F09">
            <w:pPr>
              <w:adjustRightInd w:val="0"/>
              <w:snapToGrid w:val="0"/>
              <w:spacing w:line="360" w:lineRule="auto"/>
              <w:jc w:val="center"/>
              <w:rPr>
                <w:rFonts w:ascii="Times New Roman" w:hAnsi="Times New Roman" w:eastAsia="宋体" w:cs="Times New Roman"/>
                <w:szCs w:val="21"/>
                <w:lang w:val="en-GB"/>
              </w:rPr>
            </w:pPr>
          </w:p>
        </w:tc>
      </w:tr>
      <w:tr w14:paraId="60A75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1413A6B2">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10.4</w:t>
            </w:r>
          </w:p>
        </w:tc>
        <w:tc>
          <w:tcPr>
            <w:tcW w:w="1416" w:type="pct"/>
            <w:shd w:val="clear" w:color="auto" w:fill="auto"/>
            <w:vAlign w:val="center"/>
          </w:tcPr>
          <w:p w14:paraId="6ABF5904">
            <w:pPr>
              <w:adjustRightInd w:val="0"/>
              <w:snapToGrid w:val="0"/>
              <w:spacing w:line="360" w:lineRule="auto"/>
              <w:jc w:val="center"/>
              <w:rPr>
                <w:rFonts w:ascii="Times New Roman" w:hAnsi="Times New Roman" w:eastAsia="宋体" w:cs="Times New Roman"/>
                <w:szCs w:val="21"/>
                <w:lang w:val="en-GB"/>
              </w:rPr>
            </w:pPr>
          </w:p>
        </w:tc>
        <w:tc>
          <w:tcPr>
            <w:tcW w:w="697" w:type="pct"/>
            <w:shd w:val="clear" w:color="auto" w:fill="auto"/>
            <w:vAlign w:val="center"/>
          </w:tcPr>
          <w:p w14:paraId="5E9A981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h/班</w:t>
            </w:r>
          </w:p>
        </w:tc>
        <w:tc>
          <w:tcPr>
            <w:tcW w:w="1072" w:type="pct"/>
            <w:shd w:val="clear" w:color="auto" w:fill="auto"/>
            <w:vAlign w:val="center"/>
          </w:tcPr>
          <w:p w14:paraId="54C3BAF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8</w:t>
            </w:r>
          </w:p>
        </w:tc>
        <w:tc>
          <w:tcPr>
            <w:tcW w:w="981" w:type="pct"/>
            <w:shd w:val="clear" w:color="auto" w:fill="auto"/>
            <w:vAlign w:val="center"/>
          </w:tcPr>
          <w:p w14:paraId="1DB7A001">
            <w:pPr>
              <w:adjustRightInd w:val="0"/>
              <w:snapToGrid w:val="0"/>
              <w:spacing w:line="360" w:lineRule="auto"/>
              <w:jc w:val="center"/>
              <w:rPr>
                <w:rFonts w:ascii="Times New Roman" w:hAnsi="Times New Roman" w:eastAsia="宋体" w:cs="Times New Roman"/>
                <w:szCs w:val="21"/>
                <w:lang w:val="en-GB"/>
              </w:rPr>
            </w:pPr>
          </w:p>
        </w:tc>
      </w:tr>
      <w:tr w14:paraId="74BC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5BDBCAC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三</w:t>
            </w:r>
          </w:p>
        </w:tc>
        <w:tc>
          <w:tcPr>
            <w:tcW w:w="1416" w:type="pct"/>
            <w:shd w:val="clear" w:color="auto" w:fill="auto"/>
            <w:vAlign w:val="center"/>
          </w:tcPr>
          <w:p w14:paraId="7E898A8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供电</w:t>
            </w:r>
          </w:p>
        </w:tc>
        <w:tc>
          <w:tcPr>
            <w:tcW w:w="697" w:type="pct"/>
            <w:shd w:val="clear" w:color="auto" w:fill="auto"/>
            <w:vAlign w:val="center"/>
          </w:tcPr>
          <w:p w14:paraId="398B4803">
            <w:pPr>
              <w:adjustRightInd w:val="0"/>
              <w:snapToGrid w:val="0"/>
              <w:spacing w:line="360" w:lineRule="auto"/>
              <w:jc w:val="center"/>
              <w:rPr>
                <w:rFonts w:ascii="Times New Roman" w:hAnsi="Times New Roman" w:eastAsia="宋体" w:cs="Times New Roman"/>
                <w:szCs w:val="21"/>
                <w:lang w:val="en-GB"/>
              </w:rPr>
            </w:pPr>
          </w:p>
        </w:tc>
        <w:tc>
          <w:tcPr>
            <w:tcW w:w="1072" w:type="pct"/>
            <w:shd w:val="clear" w:color="auto" w:fill="auto"/>
            <w:vAlign w:val="center"/>
          </w:tcPr>
          <w:p w14:paraId="2B147B00">
            <w:pPr>
              <w:adjustRightInd w:val="0"/>
              <w:snapToGrid w:val="0"/>
              <w:spacing w:line="360" w:lineRule="auto"/>
              <w:jc w:val="center"/>
              <w:rPr>
                <w:rFonts w:ascii="Times New Roman" w:hAnsi="Times New Roman" w:eastAsia="宋体" w:cs="Times New Roman"/>
                <w:szCs w:val="21"/>
                <w:lang w:val="en-GB"/>
              </w:rPr>
            </w:pPr>
          </w:p>
        </w:tc>
        <w:tc>
          <w:tcPr>
            <w:tcW w:w="981" w:type="pct"/>
            <w:shd w:val="clear" w:color="auto" w:fill="auto"/>
            <w:vAlign w:val="center"/>
          </w:tcPr>
          <w:p w14:paraId="1833DB9B">
            <w:pPr>
              <w:adjustRightInd w:val="0"/>
              <w:snapToGrid w:val="0"/>
              <w:spacing w:line="360" w:lineRule="auto"/>
              <w:jc w:val="center"/>
              <w:rPr>
                <w:rFonts w:ascii="Times New Roman" w:hAnsi="Times New Roman" w:eastAsia="宋体" w:cs="Times New Roman"/>
                <w:szCs w:val="21"/>
                <w:lang w:val="en-GB"/>
              </w:rPr>
            </w:pPr>
          </w:p>
        </w:tc>
      </w:tr>
      <w:tr w14:paraId="7927B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3362CA5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w:t>
            </w:r>
          </w:p>
        </w:tc>
        <w:tc>
          <w:tcPr>
            <w:tcW w:w="1416" w:type="pct"/>
            <w:shd w:val="clear" w:color="auto" w:fill="auto"/>
            <w:vAlign w:val="center"/>
          </w:tcPr>
          <w:p w14:paraId="32171650">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装机容量</w:t>
            </w:r>
          </w:p>
        </w:tc>
        <w:tc>
          <w:tcPr>
            <w:tcW w:w="697" w:type="pct"/>
            <w:shd w:val="clear" w:color="auto" w:fill="auto"/>
            <w:vAlign w:val="center"/>
          </w:tcPr>
          <w:p w14:paraId="0FCB2ADE">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kw</w:t>
            </w:r>
          </w:p>
        </w:tc>
        <w:tc>
          <w:tcPr>
            <w:tcW w:w="1072" w:type="pct"/>
            <w:shd w:val="clear" w:color="auto" w:fill="auto"/>
            <w:vAlign w:val="center"/>
          </w:tcPr>
          <w:p w14:paraId="06F363B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1212</w:t>
            </w:r>
          </w:p>
        </w:tc>
        <w:tc>
          <w:tcPr>
            <w:tcW w:w="981" w:type="pct"/>
            <w:shd w:val="clear" w:color="auto" w:fill="auto"/>
            <w:vAlign w:val="center"/>
          </w:tcPr>
          <w:p w14:paraId="48C4D2D8">
            <w:pPr>
              <w:adjustRightInd w:val="0"/>
              <w:snapToGrid w:val="0"/>
              <w:spacing w:line="360" w:lineRule="auto"/>
              <w:jc w:val="center"/>
              <w:rPr>
                <w:rFonts w:ascii="Times New Roman" w:hAnsi="Times New Roman" w:eastAsia="宋体" w:cs="Times New Roman"/>
                <w:szCs w:val="21"/>
                <w:lang w:val="en-GB"/>
              </w:rPr>
            </w:pPr>
          </w:p>
        </w:tc>
      </w:tr>
      <w:tr w14:paraId="3029E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03D55238">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w:t>
            </w:r>
          </w:p>
        </w:tc>
        <w:tc>
          <w:tcPr>
            <w:tcW w:w="1416" w:type="pct"/>
            <w:shd w:val="clear" w:color="auto" w:fill="auto"/>
            <w:vAlign w:val="center"/>
          </w:tcPr>
          <w:p w14:paraId="3F608DE1">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有效功率</w:t>
            </w:r>
          </w:p>
        </w:tc>
        <w:tc>
          <w:tcPr>
            <w:tcW w:w="697" w:type="pct"/>
            <w:shd w:val="clear" w:color="auto" w:fill="auto"/>
            <w:vAlign w:val="center"/>
          </w:tcPr>
          <w:p w14:paraId="343B133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kw</w:t>
            </w:r>
          </w:p>
        </w:tc>
        <w:tc>
          <w:tcPr>
            <w:tcW w:w="1072" w:type="pct"/>
            <w:shd w:val="clear" w:color="auto" w:fill="auto"/>
            <w:vAlign w:val="center"/>
          </w:tcPr>
          <w:p w14:paraId="5A6C37F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924.2</w:t>
            </w:r>
          </w:p>
        </w:tc>
        <w:tc>
          <w:tcPr>
            <w:tcW w:w="981" w:type="pct"/>
            <w:shd w:val="clear" w:color="auto" w:fill="auto"/>
            <w:vAlign w:val="center"/>
          </w:tcPr>
          <w:p w14:paraId="08846740">
            <w:pPr>
              <w:adjustRightInd w:val="0"/>
              <w:snapToGrid w:val="0"/>
              <w:spacing w:line="360" w:lineRule="auto"/>
              <w:jc w:val="center"/>
              <w:rPr>
                <w:rFonts w:ascii="Times New Roman" w:hAnsi="Times New Roman" w:eastAsia="宋体" w:cs="Times New Roman"/>
                <w:szCs w:val="21"/>
                <w:lang w:val="en-GB"/>
              </w:rPr>
            </w:pPr>
          </w:p>
        </w:tc>
      </w:tr>
      <w:tr w14:paraId="16568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6494739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w:t>
            </w:r>
          </w:p>
        </w:tc>
        <w:tc>
          <w:tcPr>
            <w:tcW w:w="1416" w:type="pct"/>
            <w:shd w:val="clear" w:color="auto" w:fill="auto"/>
            <w:vAlign w:val="center"/>
          </w:tcPr>
          <w:p w14:paraId="68404B2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年耗电量</w:t>
            </w:r>
          </w:p>
        </w:tc>
        <w:tc>
          <w:tcPr>
            <w:tcW w:w="697" w:type="pct"/>
            <w:shd w:val="clear" w:color="auto" w:fill="auto"/>
            <w:vAlign w:val="center"/>
          </w:tcPr>
          <w:p w14:paraId="6428084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万kwh</w:t>
            </w:r>
          </w:p>
        </w:tc>
        <w:tc>
          <w:tcPr>
            <w:tcW w:w="1072" w:type="pct"/>
            <w:shd w:val="clear" w:color="auto" w:fill="auto"/>
            <w:vAlign w:val="center"/>
          </w:tcPr>
          <w:p w14:paraId="78129A22">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195.1</w:t>
            </w:r>
          </w:p>
        </w:tc>
        <w:tc>
          <w:tcPr>
            <w:tcW w:w="981" w:type="pct"/>
            <w:shd w:val="clear" w:color="auto" w:fill="auto"/>
            <w:vAlign w:val="center"/>
          </w:tcPr>
          <w:p w14:paraId="6ACFA07A">
            <w:pPr>
              <w:adjustRightInd w:val="0"/>
              <w:snapToGrid w:val="0"/>
              <w:spacing w:line="360" w:lineRule="auto"/>
              <w:jc w:val="center"/>
              <w:rPr>
                <w:rFonts w:ascii="Times New Roman" w:hAnsi="Times New Roman" w:eastAsia="宋体" w:cs="Times New Roman"/>
                <w:szCs w:val="21"/>
                <w:lang w:val="en-GB"/>
              </w:rPr>
            </w:pPr>
          </w:p>
        </w:tc>
      </w:tr>
      <w:tr w14:paraId="0DE85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732A5CA3">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4</w:t>
            </w:r>
          </w:p>
        </w:tc>
        <w:tc>
          <w:tcPr>
            <w:tcW w:w="1416" w:type="pct"/>
            <w:shd w:val="clear" w:color="auto" w:fill="auto"/>
            <w:vAlign w:val="center"/>
          </w:tcPr>
          <w:p w14:paraId="3AFD7443">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单位耗电量</w:t>
            </w:r>
          </w:p>
        </w:tc>
        <w:tc>
          <w:tcPr>
            <w:tcW w:w="697" w:type="pct"/>
            <w:shd w:val="clear" w:color="auto" w:fill="auto"/>
            <w:vAlign w:val="center"/>
          </w:tcPr>
          <w:p w14:paraId="5ECB3E6C">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kwh/t</w:t>
            </w:r>
          </w:p>
        </w:tc>
        <w:tc>
          <w:tcPr>
            <w:tcW w:w="1072" w:type="pct"/>
            <w:shd w:val="clear" w:color="auto" w:fill="auto"/>
            <w:vAlign w:val="center"/>
          </w:tcPr>
          <w:p w14:paraId="32522BE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1.41</w:t>
            </w:r>
          </w:p>
        </w:tc>
        <w:tc>
          <w:tcPr>
            <w:tcW w:w="981" w:type="pct"/>
            <w:shd w:val="clear" w:color="auto" w:fill="auto"/>
            <w:vAlign w:val="center"/>
          </w:tcPr>
          <w:p w14:paraId="56A82965">
            <w:pPr>
              <w:adjustRightInd w:val="0"/>
              <w:snapToGrid w:val="0"/>
              <w:spacing w:line="360" w:lineRule="auto"/>
              <w:jc w:val="center"/>
              <w:rPr>
                <w:rFonts w:ascii="Times New Roman" w:hAnsi="Times New Roman" w:eastAsia="宋体" w:cs="Times New Roman"/>
                <w:szCs w:val="21"/>
                <w:lang w:val="en-GB"/>
              </w:rPr>
            </w:pPr>
          </w:p>
        </w:tc>
      </w:tr>
      <w:tr w14:paraId="42D84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4F9020E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四</w:t>
            </w:r>
          </w:p>
        </w:tc>
        <w:tc>
          <w:tcPr>
            <w:tcW w:w="1416" w:type="pct"/>
            <w:shd w:val="clear" w:color="auto" w:fill="auto"/>
            <w:vAlign w:val="center"/>
          </w:tcPr>
          <w:p w14:paraId="3D28302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供水</w:t>
            </w:r>
          </w:p>
        </w:tc>
        <w:tc>
          <w:tcPr>
            <w:tcW w:w="697" w:type="pct"/>
            <w:shd w:val="clear" w:color="auto" w:fill="auto"/>
            <w:vAlign w:val="center"/>
          </w:tcPr>
          <w:p w14:paraId="10AAA2E3">
            <w:pPr>
              <w:adjustRightInd w:val="0"/>
              <w:snapToGrid w:val="0"/>
              <w:spacing w:line="360" w:lineRule="auto"/>
              <w:jc w:val="center"/>
              <w:rPr>
                <w:rFonts w:ascii="Times New Roman" w:hAnsi="Times New Roman" w:eastAsia="宋体" w:cs="Times New Roman"/>
                <w:szCs w:val="21"/>
                <w:lang w:val="en-GB"/>
              </w:rPr>
            </w:pPr>
          </w:p>
        </w:tc>
        <w:tc>
          <w:tcPr>
            <w:tcW w:w="1072" w:type="pct"/>
            <w:shd w:val="clear" w:color="auto" w:fill="auto"/>
            <w:vAlign w:val="center"/>
          </w:tcPr>
          <w:p w14:paraId="1A849BBE">
            <w:pPr>
              <w:adjustRightInd w:val="0"/>
              <w:snapToGrid w:val="0"/>
              <w:spacing w:line="360" w:lineRule="auto"/>
              <w:jc w:val="center"/>
              <w:rPr>
                <w:rFonts w:ascii="Times New Roman" w:hAnsi="Times New Roman" w:eastAsia="宋体" w:cs="Times New Roman"/>
                <w:szCs w:val="21"/>
                <w:lang w:val="en-GB"/>
              </w:rPr>
            </w:pPr>
          </w:p>
        </w:tc>
        <w:tc>
          <w:tcPr>
            <w:tcW w:w="981" w:type="pct"/>
            <w:shd w:val="clear" w:color="auto" w:fill="auto"/>
            <w:vAlign w:val="center"/>
          </w:tcPr>
          <w:p w14:paraId="604543C0">
            <w:pPr>
              <w:adjustRightInd w:val="0"/>
              <w:snapToGrid w:val="0"/>
              <w:spacing w:line="360" w:lineRule="auto"/>
              <w:jc w:val="center"/>
              <w:rPr>
                <w:rFonts w:ascii="Times New Roman" w:hAnsi="Times New Roman" w:eastAsia="宋体" w:cs="Times New Roman"/>
                <w:szCs w:val="21"/>
                <w:lang w:val="en-GB"/>
              </w:rPr>
            </w:pPr>
          </w:p>
        </w:tc>
      </w:tr>
      <w:tr w14:paraId="4DC67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7471EA62">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w:t>
            </w:r>
          </w:p>
        </w:tc>
        <w:tc>
          <w:tcPr>
            <w:tcW w:w="1416" w:type="pct"/>
            <w:shd w:val="clear" w:color="auto" w:fill="auto"/>
            <w:vAlign w:val="center"/>
          </w:tcPr>
          <w:p w14:paraId="301FEE88">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总用水量</w:t>
            </w:r>
          </w:p>
        </w:tc>
        <w:tc>
          <w:tcPr>
            <w:tcW w:w="697" w:type="pct"/>
            <w:shd w:val="clear" w:color="auto" w:fill="auto"/>
            <w:vAlign w:val="center"/>
          </w:tcPr>
          <w:p w14:paraId="677A7B0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m3/d</w:t>
            </w:r>
          </w:p>
        </w:tc>
        <w:tc>
          <w:tcPr>
            <w:tcW w:w="1072" w:type="pct"/>
            <w:shd w:val="clear" w:color="auto" w:fill="auto"/>
            <w:vAlign w:val="center"/>
          </w:tcPr>
          <w:p w14:paraId="1946DBE2">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85</w:t>
            </w:r>
          </w:p>
        </w:tc>
        <w:tc>
          <w:tcPr>
            <w:tcW w:w="981" w:type="pct"/>
            <w:shd w:val="clear" w:color="auto" w:fill="auto"/>
            <w:vAlign w:val="center"/>
          </w:tcPr>
          <w:p w14:paraId="64DB622F">
            <w:pPr>
              <w:adjustRightInd w:val="0"/>
              <w:snapToGrid w:val="0"/>
              <w:spacing w:line="360" w:lineRule="auto"/>
              <w:jc w:val="center"/>
              <w:rPr>
                <w:rFonts w:ascii="Times New Roman" w:hAnsi="Times New Roman" w:eastAsia="宋体" w:cs="Times New Roman"/>
                <w:szCs w:val="21"/>
                <w:lang w:val="en-GB"/>
              </w:rPr>
            </w:pPr>
          </w:p>
        </w:tc>
      </w:tr>
      <w:tr w14:paraId="7963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367D02D0">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五</w:t>
            </w:r>
          </w:p>
        </w:tc>
        <w:tc>
          <w:tcPr>
            <w:tcW w:w="1416" w:type="pct"/>
            <w:shd w:val="clear" w:color="auto" w:fill="auto"/>
            <w:vAlign w:val="center"/>
          </w:tcPr>
          <w:p w14:paraId="7D765E1B">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劳动及劳动生产率</w:t>
            </w:r>
          </w:p>
        </w:tc>
        <w:tc>
          <w:tcPr>
            <w:tcW w:w="697" w:type="pct"/>
            <w:shd w:val="clear" w:color="auto" w:fill="auto"/>
            <w:vAlign w:val="center"/>
          </w:tcPr>
          <w:p w14:paraId="506FF6F1">
            <w:pPr>
              <w:adjustRightInd w:val="0"/>
              <w:snapToGrid w:val="0"/>
              <w:spacing w:line="360" w:lineRule="auto"/>
              <w:jc w:val="center"/>
              <w:rPr>
                <w:rFonts w:ascii="Times New Roman" w:hAnsi="Times New Roman" w:eastAsia="宋体" w:cs="Times New Roman"/>
                <w:szCs w:val="21"/>
                <w:lang w:val="en-GB"/>
              </w:rPr>
            </w:pPr>
          </w:p>
        </w:tc>
        <w:tc>
          <w:tcPr>
            <w:tcW w:w="1072" w:type="pct"/>
            <w:shd w:val="clear" w:color="auto" w:fill="auto"/>
            <w:vAlign w:val="center"/>
          </w:tcPr>
          <w:p w14:paraId="3CAE81F2">
            <w:pPr>
              <w:adjustRightInd w:val="0"/>
              <w:snapToGrid w:val="0"/>
              <w:spacing w:line="360" w:lineRule="auto"/>
              <w:jc w:val="center"/>
              <w:rPr>
                <w:rFonts w:ascii="Times New Roman" w:hAnsi="Times New Roman" w:eastAsia="宋体" w:cs="Times New Roman"/>
                <w:szCs w:val="21"/>
                <w:lang w:val="en-GB"/>
              </w:rPr>
            </w:pPr>
          </w:p>
        </w:tc>
        <w:tc>
          <w:tcPr>
            <w:tcW w:w="981" w:type="pct"/>
            <w:shd w:val="clear" w:color="auto" w:fill="auto"/>
            <w:vAlign w:val="center"/>
          </w:tcPr>
          <w:p w14:paraId="50ADC329">
            <w:pPr>
              <w:adjustRightInd w:val="0"/>
              <w:snapToGrid w:val="0"/>
              <w:spacing w:line="360" w:lineRule="auto"/>
              <w:jc w:val="center"/>
              <w:rPr>
                <w:rFonts w:ascii="Times New Roman" w:hAnsi="Times New Roman" w:eastAsia="宋体" w:cs="Times New Roman"/>
                <w:szCs w:val="21"/>
                <w:lang w:val="en-GB"/>
              </w:rPr>
            </w:pPr>
          </w:p>
        </w:tc>
      </w:tr>
      <w:tr w14:paraId="0D4BD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09925CE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w:t>
            </w:r>
          </w:p>
        </w:tc>
        <w:tc>
          <w:tcPr>
            <w:tcW w:w="1416" w:type="pct"/>
            <w:shd w:val="clear" w:color="auto" w:fill="auto"/>
            <w:vAlign w:val="center"/>
          </w:tcPr>
          <w:p w14:paraId="37AC82AC">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在册职工人数</w:t>
            </w:r>
          </w:p>
        </w:tc>
        <w:tc>
          <w:tcPr>
            <w:tcW w:w="697" w:type="pct"/>
            <w:shd w:val="clear" w:color="auto" w:fill="auto"/>
            <w:vAlign w:val="center"/>
          </w:tcPr>
          <w:p w14:paraId="2427E15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人</w:t>
            </w:r>
          </w:p>
        </w:tc>
        <w:tc>
          <w:tcPr>
            <w:tcW w:w="1072" w:type="pct"/>
            <w:shd w:val="clear" w:color="auto" w:fill="auto"/>
            <w:vAlign w:val="center"/>
          </w:tcPr>
          <w:p w14:paraId="288E308C">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35</w:t>
            </w:r>
          </w:p>
        </w:tc>
        <w:tc>
          <w:tcPr>
            <w:tcW w:w="981" w:type="pct"/>
            <w:shd w:val="clear" w:color="auto" w:fill="auto"/>
            <w:vAlign w:val="center"/>
          </w:tcPr>
          <w:p w14:paraId="61E60857">
            <w:pPr>
              <w:adjustRightInd w:val="0"/>
              <w:snapToGrid w:val="0"/>
              <w:spacing w:line="360" w:lineRule="auto"/>
              <w:jc w:val="center"/>
              <w:rPr>
                <w:rFonts w:ascii="Times New Roman" w:hAnsi="Times New Roman" w:eastAsia="宋体" w:cs="Times New Roman"/>
                <w:szCs w:val="21"/>
                <w:lang w:val="en-GB"/>
              </w:rPr>
            </w:pPr>
          </w:p>
        </w:tc>
      </w:tr>
      <w:tr w14:paraId="16F8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4877843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1.1</w:t>
            </w:r>
          </w:p>
        </w:tc>
        <w:tc>
          <w:tcPr>
            <w:tcW w:w="1416" w:type="pct"/>
            <w:shd w:val="clear" w:color="auto" w:fill="auto"/>
            <w:vAlign w:val="center"/>
          </w:tcPr>
          <w:p w14:paraId="1DD066A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生产性人员</w:t>
            </w:r>
          </w:p>
        </w:tc>
        <w:tc>
          <w:tcPr>
            <w:tcW w:w="697" w:type="pct"/>
            <w:shd w:val="clear" w:color="auto" w:fill="auto"/>
            <w:vAlign w:val="center"/>
          </w:tcPr>
          <w:p w14:paraId="264B376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人</w:t>
            </w:r>
          </w:p>
        </w:tc>
        <w:tc>
          <w:tcPr>
            <w:tcW w:w="1072" w:type="pct"/>
            <w:shd w:val="clear" w:color="auto" w:fill="auto"/>
            <w:vAlign w:val="center"/>
          </w:tcPr>
          <w:p w14:paraId="6C17207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27</w:t>
            </w:r>
          </w:p>
        </w:tc>
        <w:tc>
          <w:tcPr>
            <w:tcW w:w="981" w:type="pct"/>
            <w:shd w:val="clear" w:color="auto" w:fill="auto"/>
            <w:vAlign w:val="center"/>
          </w:tcPr>
          <w:p w14:paraId="280134B7">
            <w:pPr>
              <w:adjustRightInd w:val="0"/>
              <w:snapToGrid w:val="0"/>
              <w:spacing w:line="360" w:lineRule="auto"/>
              <w:jc w:val="center"/>
              <w:rPr>
                <w:rFonts w:ascii="Times New Roman" w:hAnsi="Times New Roman" w:eastAsia="宋体" w:cs="Times New Roman"/>
                <w:szCs w:val="21"/>
                <w:lang w:val="en-GB"/>
              </w:rPr>
            </w:pPr>
          </w:p>
        </w:tc>
      </w:tr>
      <w:tr w14:paraId="3D7CC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5DB7F18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1.2</w:t>
            </w:r>
          </w:p>
        </w:tc>
        <w:tc>
          <w:tcPr>
            <w:tcW w:w="1416" w:type="pct"/>
            <w:shd w:val="clear" w:color="auto" w:fill="auto"/>
            <w:vAlign w:val="center"/>
          </w:tcPr>
          <w:p w14:paraId="3BE05D2E">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管理性人员</w:t>
            </w:r>
          </w:p>
        </w:tc>
        <w:tc>
          <w:tcPr>
            <w:tcW w:w="697" w:type="pct"/>
            <w:shd w:val="clear" w:color="auto" w:fill="auto"/>
            <w:vAlign w:val="center"/>
          </w:tcPr>
          <w:p w14:paraId="1F0BAD2C">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人</w:t>
            </w:r>
          </w:p>
        </w:tc>
        <w:tc>
          <w:tcPr>
            <w:tcW w:w="1072" w:type="pct"/>
            <w:shd w:val="clear" w:color="auto" w:fill="auto"/>
            <w:vAlign w:val="center"/>
          </w:tcPr>
          <w:p w14:paraId="12CDE51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8</w:t>
            </w:r>
          </w:p>
        </w:tc>
        <w:tc>
          <w:tcPr>
            <w:tcW w:w="981" w:type="pct"/>
            <w:shd w:val="clear" w:color="auto" w:fill="auto"/>
            <w:vAlign w:val="center"/>
          </w:tcPr>
          <w:p w14:paraId="4D8D0D6F">
            <w:pPr>
              <w:adjustRightInd w:val="0"/>
              <w:snapToGrid w:val="0"/>
              <w:spacing w:line="360" w:lineRule="auto"/>
              <w:jc w:val="center"/>
              <w:rPr>
                <w:rFonts w:ascii="Times New Roman" w:hAnsi="Times New Roman" w:eastAsia="宋体" w:cs="Times New Roman"/>
                <w:szCs w:val="21"/>
                <w:lang w:val="en-GB"/>
              </w:rPr>
            </w:pPr>
          </w:p>
        </w:tc>
      </w:tr>
      <w:tr w14:paraId="223C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7E167E32">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w:t>
            </w:r>
          </w:p>
        </w:tc>
        <w:tc>
          <w:tcPr>
            <w:tcW w:w="1416" w:type="pct"/>
            <w:shd w:val="clear" w:color="auto" w:fill="auto"/>
            <w:vAlign w:val="center"/>
          </w:tcPr>
          <w:p w14:paraId="687B896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实物劳动生产率</w:t>
            </w:r>
          </w:p>
        </w:tc>
        <w:tc>
          <w:tcPr>
            <w:tcW w:w="697" w:type="pct"/>
            <w:shd w:val="clear" w:color="auto" w:fill="auto"/>
            <w:vAlign w:val="center"/>
          </w:tcPr>
          <w:p w14:paraId="22FF8DD0">
            <w:pPr>
              <w:adjustRightInd w:val="0"/>
              <w:snapToGrid w:val="0"/>
              <w:spacing w:line="360" w:lineRule="auto"/>
              <w:jc w:val="center"/>
              <w:rPr>
                <w:rFonts w:ascii="Times New Roman" w:hAnsi="Times New Roman" w:eastAsia="宋体" w:cs="Times New Roman"/>
                <w:szCs w:val="21"/>
                <w:lang w:val="en-GB"/>
              </w:rPr>
            </w:pPr>
          </w:p>
        </w:tc>
        <w:tc>
          <w:tcPr>
            <w:tcW w:w="1072" w:type="pct"/>
            <w:shd w:val="clear" w:color="auto" w:fill="auto"/>
            <w:vAlign w:val="center"/>
          </w:tcPr>
          <w:p w14:paraId="57DC4534">
            <w:pPr>
              <w:adjustRightInd w:val="0"/>
              <w:snapToGrid w:val="0"/>
              <w:spacing w:line="360" w:lineRule="auto"/>
              <w:jc w:val="center"/>
              <w:rPr>
                <w:rFonts w:ascii="Times New Roman" w:hAnsi="Times New Roman" w:eastAsia="宋体" w:cs="Times New Roman"/>
                <w:szCs w:val="21"/>
                <w:lang w:val="en-GB"/>
              </w:rPr>
            </w:pPr>
          </w:p>
        </w:tc>
        <w:tc>
          <w:tcPr>
            <w:tcW w:w="981" w:type="pct"/>
            <w:shd w:val="clear" w:color="auto" w:fill="auto"/>
            <w:vAlign w:val="center"/>
          </w:tcPr>
          <w:p w14:paraId="293C0583">
            <w:pPr>
              <w:adjustRightInd w:val="0"/>
              <w:snapToGrid w:val="0"/>
              <w:spacing w:line="360" w:lineRule="auto"/>
              <w:jc w:val="center"/>
              <w:rPr>
                <w:rFonts w:ascii="Times New Roman" w:hAnsi="Times New Roman" w:eastAsia="宋体" w:cs="Times New Roman"/>
                <w:szCs w:val="21"/>
                <w:lang w:val="en-GB"/>
              </w:rPr>
            </w:pPr>
          </w:p>
        </w:tc>
      </w:tr>
      <w:tr w14:paraId="6E094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1BE6B54E">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2.1</w:t>
            </w:r>
          </w:p>
        </w:tc>
        <w:tc>
          <w:tcPr>
            <w:tcW w:w="1416" w:type="pct"/>
            <w:shd w:val="clear" w:color="auto" w:fill="auto"/>
            <w:vAlign w:val="center"/>
          </w:tcPr>
          <w:p w14:paraId="5DA4BA01">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工人实物劳动生产率</w:t>
            </w:r>
          </w:p>
        </w:tc>
        <w:tc>
          <w:tcPr>
            <w:tcW w:w="697" w:type="pct"/>
            <w:shd w:val="clear" w:color="auto" w:fill="auto"/>
            <w:vAlign w:val="center"/>
          </w:tcPr>
          <w:p w14:paraId="40D4CD7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t/人•a</w:t>
            </w:r>
          </w:p>
        </w:tc>
        <w:tc>
          <w:tcPr>
            <w:tcW w:w="1072" w:type="pct"/>
            <w:shd w:val="clear" w:color="auto" w:fill="auto"/>
            <w:vAlign w:val="center"/>
          </w:tcPr>
          <w:p w14:paraId="7597BF6E">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33569.56</w:t>
            </w:r>
          </w:p>
        </w:tc>
        <w:tc>
          <w:tcPr>
            <w:tcW w:w="981" w:type="pct"/>
            <w:shd w:val="clear" w:color="auto" w:fill="auto"/>
            <w:vAlign w:val="center"/>
          </w:tcPr>
          <w:p w14:paraId="13D699A2">
            <w:pPr>
              <w:adjustRightInd w:val="0"/>
              <w:snapToGrid w:val="0"/>
              <w:spacing w:line="360" w:lineRule="auto"/>
              <w:jc w:val="center"/>
              <w:rPr>
                <w:rFonts w:ascii="Times New Roman" w:hAnsi="Times New Roman" w:eastAsia="宋体" w:cs="Times New Roman"/>
                <w:szCs w:val="21"/>
                <w:lang w:val="en-GB"/>
              </w:rPr>
            </w:pPr>
          </w:p>
        </w:tc>
      </w:tr>
      <w:tr w14:paraId="2DB3B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2175AD7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2.1.1</w:t>
            </w:r>
          </w:p>
        </w:tc>
        <w:tc>
          <w:tcPr>
            <w:tcW w:w="1416" w:type="pct"/>
            <w:shd w:val="clear" w:color="auto" w:fill="auto"/>
            <w:vAlign w:val="center"/>
          </w:tcPr>
          <w:p w14:paraId="26FD33D4">
            <w:pPr>
              <w:adjustRightInd w:val="0"/>
              <w:snapToGrid w:val="0"/>
              <w:spacing w:line="360" w:lineRule="auto"/>
              <w:jc w:val="center"/>
              <w:rPr>
                <w:rFonts w:ascii="Times New Roman" w:hAnsi="Times New Roman" w:eastAsia="宋体" w:cs="Times New Roman"/>
                <w:szCs w:val="21"/>
                <w:lang w:val="en-GB"/>
              </w:rPr>
            </w:pPr>
          </w:p>
        </w:tc>
        <w:tc>
          <w:tcPr>
            <w:tcW w:w="697" w:type="pct"/>
            <w:shd w:val="clear" w:color="auto" w:fill="auto"/>
            <w:vAlign w:val="center"/>
          </w:tcPr>
          <w:p w14:paraId="16E4412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t/人•d</w:t>
            </w:r>
          </w:p>
        </w:tc>
        <w:tc>
          <w:tcPr>
            <w:tcW w:w="1072" w:type="pct"/>
            <w:shd w:val="clear" w:color="auto" w:fill="auto"/>
            <w:vAlign w:val="center"/>
          </w:tcPr>
          <w:p w14:paraId="78DE93E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111.90</w:t>
            </w:r>
          </w:p>
        </w:tc>
        <w:tc>
          <w:tcPr>
            <w:tcW w:w="981" w:type="pct"/>
            <w:shd w:val="clear" w:color="auto" w:fill="auto"/>
            <w:vAlign w:val="center"/>
          </w:tcPr>
          <w:p w14:paraId="234F895A">
            <w:pPr>
              <w:adjustRightInd w:val="0"/>
              <w:snapToGrid w:val="0"/>
              <w:spacing w:line="360" w:lineRule="auto"/>
              <w:jc w:val="center"/>
              <w:rPr>
                <w:rFonts w:ascii="Times New Roman" w:hAnsi="Times New Roman" w:eastAsia="宋体" w:cs="Times New Roman"/>
                <w:szCs w:val="21"/>
                <w:lang w:val="en-GB"/>
              </w:rPr>
            </w:pPr>
          </w:p>
        </w:tc>
      </w:tr>
      <w:tr w14:paraId="30B77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4F6999FB">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2.2</w:t>
            </w:r>
          </w:p>
        </w:tc>
        <w:tc>
          <w:tcPr>
            <w:tcW w:w="1416" w:type="pct"/>
            <w:shd w:val="clear" w:color="auto" w:fill="auto"/>
            <w:vAlign w:val="center"/>
          </w:tcPr>
          <w:p w14:paraId="51463A6B">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全员实物劳动生产率</w:t>
            </w:r>
          </w:p>
        </w:tc>
        <w:tc>
          <w:tcPr>
            <w:tcW w:w="697" w:type="pct"/>
            <w:shd w:val="clear" w:color="auto" w:fill="auto"/>
            <w:vAlign w:val="center"/>
          </w:tcPr>
          <w:p w14:paraId="0D98819B">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t/人•a</w:t>
            </w:r>
          </w:p>
        </w:tc>
        <w:tc>
          <w:tcPr>
            <w:tcW w:w="1072" w:type="pct"/>
            <w:shd w:val="clear" w:color="auto" w:fill="auto"/>
            <w:vAlign w:val="center"/>
          </w:tcPr>
          <w:p w14:paraId="39D9097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25560.92</w:t>
            </w:r>
          </w:p>
        </w:tc>
        <w:tc>
          <w:tcPr>
            <w:tcW w:w="981" w:type="pct"/>
            <w:shd w:val="clear" w:color="auto" w:fill="auto"/>
            <w:vAlign w:val="center"/>
          </w:tcPr>
          <w:p w14:paraId="206F08FB">
            <w:pPr>
              <w:adjustRightInd w:val="0"/>
              <w:snapToGrid w:val="0"/>
              <w:spacing w:line="360" w:lineRule="auto"/>
              <w:jc w:val="center"/>
              <w:rPr>
                <w:rFonts w:ascii="Times New Roman" w:hAnsi="Times New Roman" w:eastAsia="宋体" w:cs="Times New Roman"/>
                <w:szCs w:val="21"/>
                <w:lang w:val="en-GB"/>
              </w:rPr>
            </w:pPr>
          </w:p>
        </w:tc>
      </w:tr>
      <w:tr w14:paraId="24DDB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0799B0A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2.2.1</w:t>
            </w:r>
          </w:p>
        </w:tc>
        <w:tc>
          <w:tcPr>
            <w:tcW w:w="1416" w:type="pct"/>
            <w:shd w:val="clear" w:color="auto" w:fill="auto"/>
            <w:vAlign w:val="center"/>
          </w:tcPr>
          <w:p w14:paraId="1A4F303E">
            <w:pPr>
              <w:adjustRightInd w:val="0"/>
              <w:snapToGrid w:val="0"/>
              <w:spacing w:line="360" w:lineRule="auto"/>
              <w:jc w:val="center"/>
              <w:rPr>
                <w:rFonts w:ascii="Times New Roman" w:hAnsi="Times New Roman" w:eastAsia="宋体" w:cs="Times New Roman"/>
                <w:szCs w:val="21"/>
                <w:lang w:val="en-GB"/>
              </w:rPr>
            </w:pPr>
          </w:p>
        </w:tc>
        <w:tc>
          <w:tcPr>
            <w:tcW w:w="697" w:type="pct"/>
            <w:shd w:val="clear" w:color="auto" w:fill="auto"/>
            <w:vAlign w:val="center"/>
          </w:tcPr>
          <w:p w14:paraId="2810E28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t/人•d</w:t>
            </w:r>
          </w:p>
        </w:tc>
        <w:tc>
          <w:tcPr>
            <w:tcW w:w="1072" w:type="pct"/>
            <w:shd w:val="clear" w:color="auto" w:fill="auto"/>
            <w:vAlign w:val="center"/>
          </w:tcPr>
          <w:p w14:paraId="1D2D0D8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85.20</w:t>
            </w:r>
          </w:p>
        </w:tc>
        <w:tc>
          <w:tcPr>
            <w:tcW w:w="981" w:type="pct"/>
            <w:shd w:val="clear" w:color="auto" w:fill="auto"/>
            <w:vAlign w:val="center"/>
          </w:tcPr>
          <w:p w14:paraId="197E2A98">
            <w:pPr>
              <w:adjustRightInd w:val="0"/>
              <w:snapToGrid w:val="0"/>
              <w:spacing w:line="360" w:lineRule="auto"/>
              <w:jc w:val="center"/>
              <w:rPr>
                <w:rFonts w:ascii="Times New Roman" w:hAnsi="Times New Roman" w:eastAsia="宋体" w:cs="Times New Roman"/>
                <w:szCs w:val="21"/>
                <w:lang w:val="en-GB"/>
              </w:rPr>
            </w:pPr>
          </w:p>
        </w:tc>
      </w:tr>
      <w:tr w14:paraId="77FA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1C53C3D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w:t>
            </w:r>
          </w:p>
        </w:tc>
        <w:tc>
          <w:tcPr>
            <w:tcW w:w="1416" w:type="pct"/>
            <w:shd w:val="clear" w:color="auto" w:fill="auto"/>
            <w:vAlign w:val="center"/>
          </w:tcPr>
          <w:p w14:paraId="2E90181B">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工资</w:t>
            </w:r>
          </w:p>
        </w:tc>
        <w:tc>
          <w:tcPr>
            <w:tcW w:w="697" w:type="pct"/>
            <w:shd w:val="clear" w:color="auto" w:fill="auto"/>
            <w:vAlign w:val="center"/>
          </w:tcPr>
          <w:p w14:paraId="66D913AA">
            <w:pPr>
              <w:adjustRightInd w:val="0"/>
              <w:snapToGrid w:val="0"/>
              <w:spacing w:line="360" w:lineRule="auto"/>
              <w:jc w:val="center"/>
              <w:rPr>
                <w:rFonts w:ascii="Times New Roman" w:hAnsi="Times New Roman" w:eastAsia="宋体" w:cs="Times New Roman"/>
                <w:szCs w:val="21"/>
                <w:lang w:val="en-GB"/>
              </w:rPr>
            </w:pPr>
          </w:p>
        </w:tc>
        <w:tc>
          <w:tcPr>
            <w:tcW w:w="1072" w:type="pct"/>
            <w:shd w:val="clear" w:color="auto" w:fill="auto"/>
            <w:vAlign w:val="center"/>
          </w:tcPr>
          <w:p w14:paraId="3A5E362B">
            <w:pPr>
              <w:adjustRightInd w:val="0"/>
              <w:snapToGrid w:val="0"/>
              <w:spacing w:line="360" w:lineRule="auto"/>
              <w:jc w:val="center"/>
              <w:rPr>
                <w:rFonts w:ascii="Times New Roman" w:hAnsi="Times New Roman" w:eastAsia="宋体" w:cs="Times New Roman"/>
                <w:szCs w:val="21"/>
                <w:lang w:val="en-GB"/>
              </w:rPr>
            </w:pPr>
          </w:p>
        </w:tc>
        <w:tc>
          <w:tcPr>
            <w:tcW w:w="981" w:type="pct"/>
            <w:shd w:val="clear" w:color="auto" w:fill="auto"/>
            <w:vAlign w:val="center"/>
          </w:tcPr>
          <w:p w14:paraId="426F743B">
            <w:pPr>
              <w:adjustRightInd w:val="0"/>
              <w:snapToGrid w:val="0"/>
              <w:spacing w:line="360" w:lineRule="auto"/>
              <w:jc w:val="center"/>
              <w:rPr>
                <w:rFonts w:ascii="Times New Roman" w:hAnsi="Times New Roman" w:eastAsia="宋体" w:cs="Times New Roman"/>
                <w:szCs w:val="21"/>
                <w:lang w:val="en-GB"/>
              </w:rPr>
            </w:pPr>
          </w:p>
        </w:tc>
      </w:tr>
      <w:tr w14:paraId="6F779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78844F08">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3.1</w:t>
            </w:r>
          </w:p>
        </w:tc>
        <w:tc>
          <w:tcPr>
            <w:tcW w:w="1416" w:type="pct"/>
            <w:shd w:val="clear" w:color="auto" w:fill="auto"/>
            <w:vAlign w:val="center"/>
          </w:tcPr>
          <w:p w14:paraId="6614DC2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工资总额</w:t>
            </w:r>
          </w:p>
        </w:tc>
        <w:tc>
          <w:tcPr>
            <w:tcW w:w="697" w:type="pct"/>
            <w:shd w:val="clear" w:color="auto" w:fill="auto"/>
            <w:vAlign w:val="center"/>
          </w:tcPr>
          <w:p w14:paraId="68CC5911">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万元/a</w:t>
            </w:r>
          </w:p>
        </w:tc>
        <w:tc>
          <w:tcPr>
            <w:tcW w:w="1072" w:type="pct"/>
            <w:shd w:val="clear" w:color="auto" w:fill="auto"/>
            <w:vAlign w:val="center"/>
          </w:tcPr>
          <w:p w14:paraId="050311A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177.6</w:t>
            </w:r>
          </w:p>
        </w:tc>
        <w:tc>
          <w:tcPr>
            <w:tcW w:w="981" w:type="pct"/>
            <w:shd w:val="clear" w:color="auto" w:fill="auto"/>
            <w:vAlign w:val="center"/>
          </w:tcPr>
          <w:p w14:paraId="75064C4F">
            <w:pPr>
              <w:adjustRightInd w:val="0"/>
              <w:snapToGrid w:val="0"/>
              <w:spacing w:line="360" w:lineRule="auto"/>
              <w:jc w:val="center"/>
              <w:rPr>
                <w:rFonts w:ascii="Times New Roman" w:hAnsi="Times New Roman" w:eastAsia="宋体" w:cs="Times New Roman"/>
                <w:szCs w:val="21"/>
                <w:lang w:val="en-GB"/>
              </w:rPr>
            </w:pPr>
          </w:p>
        </w:tc>
      </w:tr>
      <w:tr w14:paraId="6702C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6192FE3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3.2</w:t>
            </w:r>
          </w:p>
        </w:tc>
        <w:tc>
          <w:tcPr>
            <w:tcW w:w="1416" w:type="pct"/>
            <w:shd w:val="clear" w:color="auto" w:fill="auto"/>
            <w:vAlign w:val="center"/>
          </w:tcPr>
          <w:p w14:paraId="2B271211">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职工福利费</w:t>
            </w:r>
          </w:p>
        </w:tc>
        <w:tc>
          <w:tcPr>
            <w:tcW w:w="697" w:type="pct"/>
            <w:shd w:val="clear" w:color="auto" w:fill="auto"/>
            <w:vAlign w:val="center"/>
          </w:tcPr>
          <w:p w14:paraId="0DCDA2E0">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万元/a</w:t>
            </w:r>
          </w:p>
        </w:tc>
        <w:tc>
          <w:tcPr>
            <w:tcW w:w="1072" w:type="pct"/>
            <w:shd w:val="clear" w:color="auto" w:fill="auto"/>
            <w:vAlign w:val="center"/>
          </w:tcPr>
          <w:p w14:paraId="5835C330">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24.86</w:t>
            </w:r>
          </w:p>
        </w:tc>
        <w:tc>
          <w:tcPr>
            <w:tcW w:w="981" w:type="pct"/>
            <w:shd w:val="clear" w:color="auto" w:fill="auto"/>
            <w:vAlign w:val="center"/>
          </w:tcPr>
          <w:p w14:paraId="1D409A84">
            <w:pPr>
              <w:adjustRightInd w:val="0"/>
              <w:snapToGrid w:val="0"/>
              <w:spacing w:line="360" w:lineRule="auto"/>
              <w:jc w:val="center"/>
              <w:rPr>
                <w:rFonts w:ascii="Times New Roman" w:hAnsi="Times New Roman" w:eastAsia="宋体" w:cs="Times New Roman"/>
                <w:szCs w:val="21"/>
                <w:lang w:val="en-GB"/>
              </w:rPr>
            </w:pPr>
          </w:p>
        </w:tc>
      </w:tr>
      <w:tr w14:paraId="2A3C6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469DD45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六</w:t>
            </w:r>
          </w:p>
        </w:tc>
        <w:tc>
          <w:tcPr>
            <w:tcW w:w="1416" w:type="pct"/>
            <w:shd w:val="clear" w:color="auto" w:fill="auto"/>
            <w:vAlign w:val="center"/>
          </w:tcPr>
          <w:p w14:paraId="7881163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投资及资金筹措</w:t>
            </w:r>
          </w:p>
        </w:tc>
        <w:tc>
          <w:tcPr>
            <w:tcW w:w="697" w:type="pct"/>
            <w:shd w:val="clear" w:color="auto" w:fill="auto"/>
            <w:vAlign w:val="center"/>
          </w:tcPr>
          <w:p w14:paraId="6F05FF7E">
            <w:pPr>
              <w:adjustRightInd w:val="0"/>
              <w:snapToGrid w:val="0"/>
              <w:spacing w:line="360" w:lineRule="auto"/>
              <w:jc w:val="center"/>
              <w:rPr>
                <w:rFonts w:ascii="Times New Roman" w:hAnsi="Times New Roman" w:eastAsia="宋体" w:cs="Times New Roman"/>
                <w:szCs w:val="21"/>
                <w:lang w:val="en-GB"/>
              </w:rPr>
            </w:pPr>
          </w:p>
        </w:tc>
        <w:tc>
          <w:tcPr>
            <w:tcW w:w="1072" w:type="pct"/>
            <w:shd w:val="clear" w:color="auto" w:fill="auto"/>
            <w:vAlign w:val="center"/>
          </w:tcPr>
          <w:p w14:paraId="1171D583">
            <w:pPr>
              <w:adjustRightInd w:val="0"/>
              <w:snapToGrid w:val="0"/>
              <w:spacing w:line="360" w:lineRule="auto"/>
              <w:jc w:val="center"/>
              <w:rPr>
                <w:rFonts w:ascii="Times New Roman" w:hAnsi="Times New Roman" w:eastAsia="宋体" w:cs="Times New Roman"/>
                <w:szCs w:val="21"/>
                <w:lang w:val="en-GB"/>
              </w:rPr>
            </w:pPr>
          </w:p>
        </w:tc>
        <w:tc>
          <w:tcPr>
            <w:tcW w:w="981" w:type="pct"/>
            <w:shd w:val="clear" w:color="auto" w:fill="auto"/>
            <w:vAlign w:val="center"/>
          </w:tcPr>
          <w:p w14:paraId="5EE45245">
            <w:pPr>
              <w:adjustRightInd w:val="0"/>
              <w:snapToGrid w:val="0"/>
              <w:spacing w:line="360" w:lineRule="auto"/>
              <w:jc w:val="center"/>
              <w:rPr>
                <w:rFonts w:ascii="Times New Roman" w:hAnsi="Times New Roman" w:eastAsia="宋体" w:cs="Times New Roman"/>
                <w:szCs w:val="21"/>
                <w:lang w:val="en-GB"/>
              </w:rPr>
            </w:pPr>
          </w:p>
        </w:tc>
      </w:tr>
      <w:tr w14:paraId="70F60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5B31D72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w:t>
            </w:r>
          </w:p>
        </w:tc>
        <w:tc>
          <w:tcPr>
            <w:tcW w:w="1416" w:type="pct"/>
            <w:shd w:val="clear" w:color="auto" w:fill="auto"/>
            <w:vAlign w:val="center"/>
          </w:tcPr>
          <w:p w14:paraId="3D29AF8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项目总投资</w:t>
            </w:r>
          </w:p>
        </w:tc>
        <w:tc>
          <w:tcPr>
            <w:tcW w:w="697" w:type="pct"/>
            <w:shd w:val="clear" w:color="auto" w:fill="auto"/>
            <w:vAlign w:val="center"/>
          </w:tcPr>
          <w:p w14:paraId="44CAA39C">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w:t>
            </w:r>
          </w:p>
        </w:tc>
        <w:tc>
          <w:tcPr>
            <w:tcW w:w="1072" w:type="pct"/>
            <w:shd w:val="clear" w:color="auto" w:fill="auto"/>
            <w:vAlign w:val="center"/>
          </w:tcPr>
          <w:p w14:paraId="6822128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1971.23</w:t>
            </w:r>
          </w:p>
        </w:tc>
        <w:tc>
          <w:tcPr>
            <w:tcW w:w="981" w:type="pct"/>
            <w:shd w:val="clear" w:color="auto" w:fill="auto"/>
            <w:vAlign w:val="center"/>
          </w:tcPr>
          <w:p w14:paraId="33F0120F">
            <w:pPr>
              <w:adjustRightInd w:val="0"/>
              <w:snapToGrid w:val="0"/>
              <w:spacing w:line="360" w:lineRule="auto"/>
              <w:jc w:val="center"/>
              <w:rPr>
                <w:rFonts w:ascii="Times New Roman" w:hAnsi="Times New Roman" w:eastAsia="宋体" w:cs="Times New Roman"/>
                <w:szCs w:val="21"/>
                <w:lang w:val="en-GB"/>
              </w:rPr>
            </w:pPr>
          </w:p>
        </w:tc>
      </w:tr>
      <w:tr w14:paraId="7758B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07B92250">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1.1</w:t>
            </w:r>
          </w:p>
        </w:tc>
        <w:tc>
          <w:tcPr>
            <w:tcW w:w="1416" w:type="pct"/>
            <w:shd w:val="clear" w:color="auto" w:fill="auto"/>
            <w:vAlign w:val="center"/>
          </w:tcPr>
          <w:p w14:paraId="170FC14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利用原有资产</w:t>
            </w:r>
          </w:p>
        </w:tc>
        <w:tc>
          <w:tcPr>
            <w:tcW w:w="697" w:type="pct"/>
            <w:shd w:val="clear" w:color="auto" w:fill="auto"/>
            <w:vAlign w:val="center"/>
          </w:tcPr>
          <w:p w14:paraId="150155A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w:t>
            </w:r>
          </w:p>
        </w:tc>
        <w:tc>
          <w:tcPr>
            <w:tcW w:w="1072" w:type="pct"/>
            <w:shd w:val="clear" w:color="auto" w:fill="auto"/>
            <w:vAlign w:val="center"/>
          </w:tcPr>
          <w:p w14:paraId="7C3A712C">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0</w:t>
            </w:r>
          </w:p>
        </w:tc>
        <w:tc>
          <w:tcPr>
            <w:tcW w:w="981" w:type="pct"/>
            <w:shd w:val="clear" w:color="auto" w:fill="auto"/>
            <w:vAlign w:val="center"/>
          </w:tcPr>
          <w:p w14:paraId="00092C96">
            <w:pPr>
              <w:adjustRightInd w:val="0"/>
              <w:snapToGrid w:val="0"/>
              <w:spacing w:line="360" w:lineRule="auto"/>
              <w:jc w:val="center"/>
              <w:rPr>
                <w:rFonts w:ascii="Times New Roman" w:hAnsi="Times New Roman" w:eastAsia="宋体" w:cs="Times New Roman"/>
                <w:szCs w:val="21"/>
                <w:lang w:val="en-GB"/>
              </w:rPr>
            </w:pPr>
          </w:p>
        </w:tc>
      </w:tr>
      <w:tr w14:paraId="1BB26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7CCEB288">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1.2</w:t>
            </w:r>
          </w:p>
        </w:tc>
        <w:tc>
          <w:tcPr>
            <w:tcW w:w="1416" w:type="pct"/>
            <w:shd w:val="clear" w:color="auto" w:fill="auto"/>
            <w:vAlign w:val="center"/>
          </w:tcPr>
          <w:p w14:paraId="332D0442">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新增建设投资</w:t>
            </w:r>
          </w:p>
        </w:tc>
        <w:tc>
          <w:tcPr>
            <w:tcW w:w="697" w:type="pct"/>
            <w:shd w:val="clear" w:color="auto" w:fill="auto"/>
            <w:vAlign w:val="center"/>
          </w:tcPr>
          <w:p w14:paraId="196664D0">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w:t>
            </w:r>
          </w:p>
        </w:tc>
        <w:tc>
          <w:tcPr>
            <w:tcW w:w="1072" w:type="pct"/>
            <w:shd w:val="clear" w:color="auto" w:fill="auto"/>
            <w:vAlign w:val="center"/>
          </w:tcPr>
          <w:p w14:paraId="715CBF8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1713.00</w:t>
            </w:r>
          </w:p>
        </w:tc>
        <w:tc>
          <w:tcPr>
            <w:tcW w:w="981" w:type="pct"/>
            <w:shd w:val="clear" w:color="auto" w:fill="auto"/>
            <w:vAlign w:val="center"/>
          </w:tcPr>
          <w:p w14:paraId="44274196">
            <w:pPr>
              <w:adjustRightInd w:val="0"/>
              <w:snapToGrid w:val="0"/>
              <w:spacing w:line="360" w:lineRule="auto"/>
              <w:jc w:val="center"/>
              <w:rPr>
                <w:rFonts w:ascii="Times New Roman" w:hAnsi="Times New Roman" w:eastAsia="宋体" w:cs="Times New Roman"/>
                <w:szCs w:val="21"/>
                <w:lang w:val="en-GB"/>
              </w:rPr>
            </w:pPr>
          </w:p>
        </w:tc>
      </w:tr>
      <w:tr w14:paraId="7286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19F2DE62">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1.3</w:t>
            </w:r>
          </w:p>
        </w:tc>
        <w:tc>
          <w:tcPr>
            <w:tcW w:w="1416" w:type="pct"/>
            <w:shd w:val="clear" w:color="auto" w:fill="auto"/>
            <w:vAlign w:val="center"/>
          </w:tcPr>
          <w:p w14:paraId="3E811AF1">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建设期利息</w:t>
            </w:r>
          </w:p>
        </w:tc>
        <w:tc>
          <w:tcPr>
            <w:tcW w:w="697" w:type="pct"/>
            <w:shd w:val="clear" w:color="auto" w:fill="auto"/>
            <w:vAlign w:val="center"/>
          </w:tcPr>
          <w:p w14:paraId="18F3F068">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w:t>
            </w:r>
          </w:p>
        </w:tc>
        <w:tc>
          <w:tcPr>
            <w:tcW w:w="1072" w:type="pct"/>
            <w:shd w:val="clear" w:color="auto" w:fill="auto"/>
            <w:vAlign w:val="center"/>
          </w:tcPr>
          <w:p w14:paraId="4A06883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0</w:t>
            </w:r>
          </w:p>
        </w:tc>
        <w:tc>
          <w:tcPr>
            <w:tcW w:w="981" w:type="pct"/>
            <w:shd w:val="clear" w:color="auto" w:fill="auto"/>
            <w:vAlign w:val="center"/>
          </w:tcPr>
          <w:p w14:paraId="24762DAC">
            <w:pPr>
              <w:adjustRightInd w:val="0"/>
              <w:snapToGrid w:val="0"/>
              <w:spacing w:line="360" w:lineRule="auto"/>
              <w:jc w:val="center"/>
              <w:rPr>
                <w:rFonts w:ascii="Times New Roman" w:hAnsi="Times New Roman" w:eastAsia="宋体" w:cs="Times New Roman"/>
                <w:szCs w:val="21"/>
                <w:lang w:val="en-GB"/>
              </w:rPr>
            </w:pPr>
          </w:p>
        </w:tc>
      </w:tr>
      <w:tr w14:paraId="033B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16EDE1E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1.4</w:t>
            </w:r>
          </w:p>
        </w:tc>
        <w:tc>
          <w:tcPr>
            <w:tcW w:w="1416" w:type="pct"/>
            <w:shd w:val="clear" w:color="auto" w:fill="auto"/>
            <w:vAlign w:val="center"/>
          </w:tcPr>
          <w:p w14:paraId="024B9B1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流动资金</w:t>
            </w:r>
          </w:p>
        </w:tc>
        <w:tc>
          <w:tcPr>
            <w:tcW w:w="697" w:type="pct"/>
            <w:shd w:val="clear" w:color="auto" w:fill="auto"/>
            <w:vAlign w:val="center"/>
          </w:tcPr>
          <w:p w14:paraId="6A03014E">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w:t>
            </w:r>
          </w:p>
        </w:tc>
        <w:tc>
          <w:tcPr>
            <w:tcW w:w="1072" w:type="pct"/>
            <w:shd w:val="clear" w:color="auto" w:fill="auto"/>
            <w:vAlign w:val="center"/>
          </w:tcPr>
          <w:p w14:paraId="1EB757D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258.23</w:t>
            </w:r>
          </w:p>
        </w:tc>
        <w:tc>
          <w:tcPr>
            <w:tcW w:w="981" w:type="pct"/>
            <w:shd w:val="clear" w:color="auto" w:fill="auto"/>
            <w:vAlign w:val="center"/>
          </w:tcPr>
          <w:p w14:paraId="6DE76E7F">
            <w:pPr>
              <w:adjustRightInd w:val="0"/>
              <w:snapToGrid w:val="0"/>
              <w:spacing w:line="360" w:lineRule="auto"/>
              <w:jc w:val="center"/>
              <w:rPr>
                <w:rFonts w:ascii="Times New Roman" w:hAnsi="Times New Roman" w:eastAsia="宋体" w:cs="Times New Roman"/>
                <w:szCs w:val="21"/>
                <w:lang w:val="en-GB"/>
              </w:rPr>
            </w:pPr>
          </w:p>
        </w:tc>
      </w:tr>
      <w:tr w14:paraId="7F460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3429DC6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w:t>
            </w:r>
          </w:p>
        </w:tc>
        <w:tc>
          <w:tcPr>
            <w:tcW w:w="1416" w:type="pct"/>
            <w:shd w:val="clear" w:color="auto" w:fill="auto"/>
            <w:vAlign w:val="center"/>
          </w:tcPr>
          <w:p w14:paraId="76B39EE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国家考核项目总投资</w:t>
            </w:r>
          </w:p>
        </w:tc>
        <w:tc>
          <w:tcPr>
            <w:tcW w:w="697" w:type="pct"/>
            <w:shd w:val="clear" w:color="auto" w:fill="auto"/>
            <w:vAlign w:val="center"/>
          </w:tcPr>
          <w:p w14:paraId="554CD6D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w:t>
            </w:r>
          </w:p>
        </w:tc>
        <w:tc>
          <w:tcPr>
            <w:tcW w:w="1072" w:type="pct"/>
            <w:shd w:val="clear" w:color="auto" w:fill="auto"/>
            <w:vAlign w:val="center"/>
          </w:tcPr>
          <w:p w14:paraId="5C5E707E">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1790.47</w:t>
            </w:r>
          </w:p>
        </w:tc>
        <w:tc>
          <w:tcPr>
            <w:tcW w:w="981" w:type="pct"/>
            <w:shd w:val="clear" w:color="auto" w:fill="auto"/>
            <w:vAlign w:val="center"/>
          </w:tcPr>
          <w:p w14:paraId="357A649E">
            <w:pPr>
              <w:adjustRightInd w:val="0"/>
              <w:snapToGrid w:val="0"/>
              <w:spacing w:line="360" w:lineRule="auto"/>
              <w:jc w:val="center"/>
              <w:rPr>
                <w:rFonts w:ascii="Times New Roman" w:hAnsi="Times New Roman" w:eastAsia="宋体" w:cs="Times New Roman"/>
                <w:szCs w:val="21"/>
                <w:lang w:val="en-GB"/>
              </w:rPr>
            </w:pPr>
          </w:p>
        </w:tc>
      </w:tr>
      <w:tr w14:paraId="50D4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5660A8E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2.1</w:t>
            </w:r>
          </w:p>
        </w:tc>
        <w:tc>
          <w:tcPr>
            <w:tcW w:w="1416" w:type="pct"/>
            <w:shd w:val="clear" w:color="auto" w:fill="auto"/>
            <w:vAlign w:val="center"/>
          </w:tcPr>
          <w:p w14:paraId="3FFDF86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利用原有资产</w:t>
            </w:r>
          </w:p>
        </w:tc>
        <w:tc>
          <w:tcPr>
            <w:tcW w:w="697" w:type="pct"/>
            <w:shd w:val="clear" w:color="auto" w:fill="auto"/>
            <w:vAlign w:val="center"/>
          </w:tcPr>
          <w:p w14:paraId="2C9DE612">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w:t>
            </w:r>
          </w:p>
        </w:tc>
        <w:tc>
          <w:tcPr>
            <w:tcW w:w="1072" w:type="pct"/>
            <w:shd w:val="clear" w:color="auto" w:fill="auto"/>
            <w:vAlign w:val="center"/>
          </w:tcPr>
          <w:p w14:paraId="2B7EA482">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0</w:t>
            </w:r>
          </w:p>
        </w:tc>
        <w:tc>
          <w:tcPr>
            <w:tcW w:w="981" w:type="pct"/>
            <w:shd w:val="clear" w:color="auto" w:fill="auto"/>
            <w:vAlign w:val="center"/>
          </w:tcPr>
          <w:p w14:paraId="3EA19402">
            <w:pPr>
              <w:adjustRightInd w:val="0"/>
              <w:snapToGrid w:val="0"/>
              <w:spacing w:line="360" w:lineRule="auto"/>
              <w:jc w:val="center"/>
              <w:rPr>
                <w:rFonts w:ascii="Times New Roman" w:hAnsi="Times New Roman" w:eastAsia="宋体" w:cs="Times New Roman"/>
                <w:szCs w:val="21"/>
                <w:lang w:val="en-GB"/>
              </w:rPr>
            </w:pPr>
          </w:p>
        </w:tc>
      </w:tr>
      <w:tr w14:paraId="3FBB2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23C6D4F3">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2.2</w:t>
            </w:r>
          </w:p>
        </w:tc>
        <w:tc>
          <w:tcPr>
            <w:tcW w:w="1416" w:type="pct"/>
            <w:shd w:val="clear" w:color="auto" w:fill="auto"/>
            <w:vAlign w:val="center"/>
          </w:tcPr>
          <w:p w14:paraId="50A0E54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建设投资</w:t>
            </w:r>
          </w:p>
        </w:tc>
        <w:tc>
          <w:tcPr>
            <w:tcW w:w="697" w:type="pct"/>
            <w:shd w:val="clear" w:color="auto" w:fill="auto"/>
            <w:vAlign w:val="center"/>
          </w:tcPr>
          <w:p w14:paraId="4562074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w:t>
            </w:r>
          </w:p>
        </w:tc>
        <w:tc>
          <w:tcPr>
            <w:tcW w:w="1072" w:type="pct"/>
            <w:shd w:val="clear" w:color="auto" w:fill="auto"/>
            <w:vAlign w:val="center"/>
          </w:tcPr>
          <w:p w14:paraId="312887B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1713.00</w:t>
            </w:r>
          </w:p>
        </w:tc>
        <w:tc>
          <w:tcPr>
            <w:tcW w:w="981" w:type="pct"/>
            <w:shd w:val="clear" w:color="auto" w:fill="auto"/>
            <w:vAlign w:val="center"/>
          </w:tcPr>
          <w:p w14:paraId="29E43000">
            <w:pPr>
              <w:adjustRightInd w:val="0"/>
              <w:snapToGrid w:val="0"/>
              <w:spacing w:line="360" w:lineRule="auto"/>
              <w:jc w:val="center"/>
              <w:rPr>
                <w:rFonts w:ascii="Times New Roman" w:hAnsi="Times New Roman" w:eastAsia="宋体" w:cs="Times New Roman"/>
                <w:szCs w:val="21"/>
                <w:lang w:val="en-GB"/>
              </w:rPr>
            </w:pPr>
          </w:p>
        </w:tc>
      </w:tr>
      <w:tr w14:paraId="1733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0EBFAE98">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2.3</w:t>
            </w:r>
          </w:p>
        </w:tc>
        <w:tc>
          <w:tcPr>
            <w:tcW w:w="1416" w:type="pct"/>
            <w:shd w:val="clear" w:color="auto" w:fill="auto"/>
            <w:vAlign w:val="center"/>
          </w:tcPr>
          <w:p w14:paraId="3457034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建设期利息</w:t>
            </w:r>
          </w:p>
        </w:tc>
        <w:tc>
          <w:tcPr>
            <w:tcW w:w="697" w:type="pct"/>
            <w:shd w:val="clear" w:color="auto" w:fill="auto"/>
            <w:vAlign w:val="center"/>
          </w:tcPr>
          <w:p w14:paraId="6271BB23">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w:t>
            </w:r>
          </w:p>
        </w:tc>
        <w:tc>
          <w:tcPr>
            <w:tcW w:w="1072" w:type="pct"/>
            <w:shd w:val="clear" w:color="auto" w:fill="auto"/>
            <w:vAlign w:val="center"/>
          </w:tcPr>
          <w:p w14:paraId="4AAE8F28">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0</w:t>
            </w:r>
          </w:p>
        </w:tc>
        <w:tc>
          <w:tcPr>
            <w:tcW w:w="981" w:type="pct"/>
            <w:shd w:val="clear" w:color="auto" w:fill="auto"/>
            <w:vAlign w:val="center"/>
          </w:tcPr>
          <w:p w14:paraId="710DB878">
            <w:pPr>
              <w:adjustRightInd w:val="0"/>
              <w:snapToGrid w:val="0"/>
              <w:spacing w:line="360" w:lineRule="auto"/>
              <w:jc w:val="center"/>
              <w:rPr>
                <w:rFonts w:ascii="Times New Roman" w:hAnsi="Times New Roman" w:eastAsia="宋体" w:cs="Times New Roman"/>
                <w:szCs w:val="21"/>
                <w:lang w:val="en-GB"/>
              </w:rPr>
            </w:pPr>
          </w:p>
        </w:tc>
      </w:tr>
      <w:tr w14:paraId="23CBE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1C7BC142">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2.4</w:t>
            </w:r>
          </w:p>
        </w:tc>
        <w:tc>
          <w:tcPr>
            <w:tcW w:w="1416" w:type="pct"/>
            <w:shd w:val="clear" w:color="auto" w:fill="auto"/>
            <w:vAlign w:val="center"/>
          </w:tcPr>
          <w:p w14:paraId="0B053BE3">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铺底流动资金</w:t>
            </w:r>
          </w:p>
        </w:tc>
        <w:tc>
          <w:tcPr>
            <w:tcW w:w="697" w:type="pct"/>
            <w:shd w:val="clear" w:color="auto" w:fill="auto"/>
            <w:vAlign w:val="center"/>
          </w:tcPr>
          <w:p w14:paraId="63C5241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w:t>
            </w:r>
          </w:p>
        </w:tc>
        <w:tc>
          <w:tcPr>
            <w:tcW w:w="1072" w:type="pct"/>
            <w:shd w:val="clear" w:color="auto" w:fill="auto"/>
            <w:vAlign w:val="center"/>
          </w:tcPr>
          <w:p w14:paraId="127E9F11">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77.47</w:t>
            </w:r>
          </w:p>
        </w:tc>
        <w:tc>
          <w:tcPr>
            <w:tcW w:w="981" w:type="pct"/>
            <w:shd w:val="clear" w:color="auto" w:fill="auto"/>
            <w:vAlign w:val="center"/>
          </w:tcPr>
          <w:p w14:paraId="0890B7D5">
            <w:pPr>
              <w:adjustRightInd w:val="0"/>
              <w:snapToGrid w:val="0"/>
              <w:spacing w:line="360" w:lineRule="auto"/>
              <w:jc w:val="center"/>
              <w:rPr>
                <w:rFonts w:ascii="Times New Roman" w:hAnsi="Times New Roman" w:eastAsia="宋体" w:cs="Times New Roman"/>
                <w:szCs w:val="21"/>
                <w:lang w:val="en-GB"/>
              </w:rPr>
            </w:pPr>
          </w:p>
        </w:tc>
      </w:tr>
      <w:tr w14:paraId="4D675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7EE34A5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w:t>
            </w:r>
          </w:p>
        </w:tc>
        <w:tc>
          <w:tcPr>
            <w:tcW w:w="1416" w:type="pct"/>
            <w:shd w:val="clear" w:color="auto" w:fill="auto"/>
            <w:vAlign w:val="center"/>
          </w:tcPr>
          <w:p w14:paraId="61C0E41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资金筹措</w:t>
            </w:r>
          </w:p>
        </w:tc>
        <w:tc>
          <w:tcPr>
            <w:tcW w:w="697" w:type="pct"/>
            <w:shd w:val="clear" w:color="auto" w:fill="auto"/>
            <w:vAlign w:val="center"/>
          </w:tcPr>
          <w:p w14:paraId="6409114E">
            <w:pPr>
              <w:adjustRightInd w:val="0"/>
              <w:snapToGrid w:val="0"/>
              <w:spacing w:line="360" w:lineRule="auto"/>
              <w:jc w:val="center"/>
              <w:rPr>
                <w:rFonts w:ascii="Times New Roman" w:hAnsi="Times New Roman" w:eastAsia="宋体" w:cs="Times New Roman"/>
                <w:szCs w:val="21"/>
                <w:lang w:val="en-GB"/>
              </w:rPr>
            </w:pPr>
          </w:p>
        </w:tc>
        <w:tc>
          <w:tcPr>
            <w:tcW w:w="1072" w:type="pct"/>
            <w:shd w:val="clear" w:color="auto" w:fill="auto"/>
            <w:vAlign w:val="center"/>
          </w:tcPr>
          <w:p w14:paraId="37636B12">
            <w:pPr>
              <w:adjustRightInd w:val="0"/>
              <w:snapToGrid w:val="0"/>
              <w:spacing w:line="360" w:lineRule="auto"/>
              <w:jc w:val="center"/>
              <w:rPr>
                <w:rFonts w:ascii="Times New Roman" w:hAnsi="Times New Roman" w:eastAsia="宋体" w:cs="Times New Roman"/>
                <w:szCs w:val="21"/>
                <w:lang w:val="en-GB"/>
              </w:rPr>
            </w:pPr>
          </w:p>
        </w:tc>
        <w:tc>
          <w:tcPr>
            <w:tcW w:w="981" w:type="pct"/>
            <w:shd w:val="clear" w:color="auto" w:fill="auto"/>
            <w:vAlign w:val="center"/>
          </w:tcPr>
          <w:p w14:paraId="28FCAFED">
            <w:pPr>
              <w:adjustRightInd w:val="0"/>
              <w:snapToGrid w:val="0"/>
              <w:spacing w:line="360" w:lineRule="auto"/>
              <w:jc w:val="center"/>
              <w:rPr>
                <w:rFonts w:ascii="Times New Roman" w:hAnsi="Times New Roman" w:eastAsia="宋体" w:cs="Times New Roman"/>
                <w:szCs w:val="21"/>
                <w:lang w:val="en-GB"/>
              </w:rPr>
            </w:pPr>
          </w:p>
        </w:tc>
      </w:tr>
      <w:tr w14:paraId="3C58F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5E335D2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3.1</w:t>
            </w:r>
          </w:p>
        </w:tc>
        <w:tc>
          <w:tcPr>
            <w:tcW w:w="1416" w:type="pct"/>
            <w:shd w:val="clear" w:color="auto" w:fill="auto"/>
            <w:vAlign w:val="center"/>
          </w:tcPr>
          <w:p w14:paraId="5ED131F8">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项目资本金</w:t>
            </w:r>
          </w:p>
        </w:tc>
        <w:tc>
          <w:tcPr>
            <w:tcW w:w="697" w:type="pct"/>
            <w:shd w:val="clear" w:color="auto" w:fill="auto"/>
            <w:vAlign w:val="center"/>
          </w:tcPr>
          <w:p w14:paraId="312303D1">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w:t>
            </w:r>
          </w:p>
        </w:tc>
        <w:tc>
          <w:tcPr>
            <w:tcW w:w="1072" w:type="pct"/>
            <w:shd w:val="clear" w:color="auto" w:fill="auto"/>
            <w:vAlign w:val="center"/>
          </w:tcPr>
          <w:p w14:paraId="2431F29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1790.47</w:t>
            </w:r>
          </w:p>
        </w:tc>
        <w:tc>
          <w:tcPr>
            <w:tcW w:w="981" w:type="pct"/>
            <w:shd w:val="clear" w:color="auto" w:fill="auto"/>
            <w:vAlign w:val="center"/>
          </w:tcPr>
          <w:p w14:paraId="1AD599DC">
            <w:pPr>
              <w:adjustRightInd w:val="0"/>
              <w:snapToGrid w:val="0"/>
              <w:spacing w:line="360" w:lineRule="auto"/>
              <w:jc w:val="center"/>
              <w:rPr>
                <w:rFonts w:ascii="Times New Roman" w:hAnsi="Times New Roman" w:eastAsia="宋体" w:cs="Times New Roman"/>
                <w:szCs w:val="21"/>
                <w:lang w:val="en-GB"/>
              </w:rPr>
            </w:pPr>
          </w:p>
        </w:tc>
      </w:tr>
      <w:tr w14:paraId="5C16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505D1A8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3.1.1</w:t>
            </w:r>
          </w:p>
        </w:tc>
        <w:tc>
          <w:tcPr>
            <w:tcW w:w="1416" w:type="pct"/>
            <w:shd w:val="clear" w:color="auto" w:fill="auto"/>
            <w:vAlign w:val="center"/>
          </w:tcPr>
          <w:p w14:paraId="4C111541">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利用原有资产</w:t>
            </w:r>
          </w:p>
        </w:tc>
        <w:tc>
          <w:tcPr>
            <w:tcW w:w="697" w:type="pct"/>
            <w:shd w:val="clear" w:color="auto" w:fill="auto"/>
            <w:vAlign w:val="center"/>
          </w:tcPr>
          <w:p w14:paraId="0B1640B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w:t>
            </w:r>
          </w:p>
        </w:tc>
        <w:tc>
          <w:tcPr>
            <w:tcW w:w="1072" w:type="pct"/>
            <w:shd w:val="clear" w:color="auto" w:fill="auto"/>
            <w:vAlign w:val="center"/>
          </w:tcPr>
          <w:p w14:paraId="12F5CBE8">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0</w:t>
            </w:r>
          </w:p>
        </w:tc>
        <w:tc>
          <w:tcPr>
            <w:tcW w:w="981" w:type="pct"/>
            <w:shd w:val="clear" w:color="auto" w:fill="auto"/>
            <w:vAlign w:val="center"/>
          </w:tcPr>
          <w:p w14:paraId="609F4D5A">
            <w:pPr>
              <w:adjustRightInd w:val="0"/>
              <w:snapToGrid w:val="0"/>
              <w:spacing w:line="360" w:lineRule="auto"/>
              <w:jc w:val="center"/>
              <w:rPr>
                <w:rFonts w:ascii="Times New Roman" w:hAnsi="Times New Roman" w:eastAsia="宋体" w:cs="Times New Roman"/>
                <w:szCs w:val="21"/>
                <w:lang w:val="en-GB"/>
              </w:rPr>
            </w:pPr>
          </w:p>
        </w:tc>
      </w:tr>
      <w:tr w14:paraId="065A3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272A19D3">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3.1.2</w:t>
            </w:r>
          </w:p>
        </w:tc>
        <w:tc>
          <w:tcPr>
            <w:tcW w:w="1416" w:type="pct"/>
            <w:shd w:val="clear" w:color="auto" w:fill="auto"/>
            <w:vAlign w:val="center"/>
          </w:tcPr>
          <w:p w14:paraId="374A20C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用于建设投资</w:t>
            </w:r>
          </w:p>
        </w:tc>
        <w:tc>
          <w:tcPr>
            <w:tcW w:w="697" w:type="pct"/>
            <w:shd w:val="clear" w:color="auto" w:fill="auto"/>
            <w:vAlign w:val="center"/>
          </w:tcPr>
          <w:p w14:paraId="2DE3CEA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w:t>
            </w:r>
          </w:p>
        </w:tc>
        <w:tc>
          <w:tcPr>
            <w:tcW w:w="1072" w:type="pct"/>
            <w:shd w:val="clear" w:color="auto" w:fill="auto"/>
            <w:vAlign w:val="center"/>
          </w:tcPr>
          <w:p w14:paraId="4E78318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1713.00</w:t>
            </w:r>
          </w:p>
        </w:tc>
        <w:tc>
          <w:tcPr>
            <w:tcW w:w="981" w:type="pct"/>
            <w:shd w:val="clear" w:color="auto" w:fill="auto"/>
            <w:vAlign w:val="center"/>
          </w:tcPr>
          <w:p w14:paraId="777A1B43">
            <w:pPr>
              <w:adjustRightInd w:val="0"/>
              <w:snapToGrid w:val="0"/>
              <w:spacing w:line="360" w:lineRule="auto"/>
              <w:jc w:val="center"/>
              <w:rPr>
                <w:rFonts w:ascii="Times New Roman" w:hAnsi="Times New Roman" w:eastAsia="宋体" w:cs="Times New Roman"/>
                <w:szCs w:val="21"/>
                <w:lang w:val="en-GB"/>
              </w:rPr>
            </w:pPr>
          </w:p>
        </w:tc>
      </w:tr>
      <w:tr w14:paraId="7F2C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1236A36C">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3.1.3</w:t>
            </w:r>
          </w:p>
        </w:tc>
        <w:tc>
          <w:tcPr>
            <w:tcW w:w="1416" w:type="pct"/>
            <w:shd w:val="clear" w:color="auto" w:fill="auto"/>
            <w:vAlign w:val="center"/>
          </w:tcPr>
          <w:p w14:paraId="0A34983E">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用于流动资金</w:t>
            </w:r>
          </w:p>
        </w:tc>
        <w:tc>
          <w:tcPr>
            <w:tcW w:w="697" w:type="pct"/>
            <w:shd w:val="clear" w:color="auto" w:fill="auto"/>
            <w:vAlign w:val="center"/>
          </w:tcPr>
          <w:p w14:paraId="1A7EF2D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w:t>
            </w:r>
          </w:p>
        </w:tc>
        <w:tc>
          <w:tcPr>
            <w:tcW w:w="1072" w:type="pct"/>
            <w:shd w:val="clear" w:color="auto" w:fill="auto"/>
            <w:vAlign w:val="center"/>
          </w:tcPr>
          <w:p w14:paraId="106A4A7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77.47</w:t>
            </w:r>
          </w:p>
        </w:tc>
        <w:tc>
          <w:tcPr>
            <w:tcW w:w="981" w:type="pct"/>
            <w:shd w:val="clear" w:color="auto" w:fill="auto"/>
            <w:vAlign w:val="center"/>
          </w:tcPr>
          <w:p w14:paraId="3FCB8E50">
            <w:pPr>
              <w:adjustRightInd w:val="0"/>
              <w:snapToGrid w:val="0"/>
              <w:spacing w:line="360" w:lineRule="auto"/>
              <w:jc w:val="center"/>
              <w:rPr>
                <w:rFonts w:ascii="Times New Roman" w:hAnsi="Times New Roman" w:eastAsia="宋体" w:cs="Times New Roman"/>
                <w:szCs w:val="21"/>
                <w:lang w:val="en-GB"/>
              </w:rPr>
            </w:pPr>
          </w:p>
        </w:tc>
      </w:tr>
      <w:tr w14:paraId="54B6E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5804A8DC">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3.2</w:t>
            </w:r>
          </w:p>
        </w:tc>
        <w:tc>
          <w:tcPr>
            <w:tcW w:w="1416" w:type="pct"/>
            <w:shd w:val="clear" w:color="auto" w:fill="auto"/>
            <w:vAlign w:val="center"/>
          </w:tcPr>
          <w:p w14:paraId="27C71100">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债务资金</w:t>
            </w:r>
          </w:p>
        </w:tc>
        <w:tc>
          <w:tcPr>
            <w:tcW w:w="697" w:type="pct"/>
            <w:shd w:val="clear" w:color="auto" w:fill="auto"/>
            <w:vAlign w:val="center"/>
          </w:tcPr>
          <w:p w14:paraId="04F9DB2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w:t>
            </w:r>
          </w:p>
        </w:tc>
        <w:tc>
          <w:tcPr>
            <w:tcW w:w="1072" w:type="pct"/>
            <w:shd w:val="clear" w:color="auto" w:fill="auto"/>
            <w:vAlign w:val="center"/>
          </w:tcPr>
          <w:p w14:paraId="5C04FBF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180.76</w:t>
            </w:r>
          </w:p>
        </w:tc>
        <w:tc>
          <w:tcPr>
            <w:tcW w:w="981" w:type="pct"/>
            <w:shd w:val="clear" w:color="auto" w:fill="auto"/>
            <w:vAlign w:val="center"/>
          </w:tcPr>
          <w:p w14:paraId="2EC0AB2E">
            <w:pPr>
              <w:adjustRightInd w:val="0"/>
              <w:snapToGrid w:val="0"/>
              <w:spacing w:line="360" w:lineRule="auto"/>
              <w:jc w:val="center"/>
              <w:rPr>
                <w:rFonts w:ascii="Times New Roman" w:hAnsi="Times New Roman" w:eastAsia="宋体" w:cs="Times New Roman"/>
                <w:szCs w:val="21"/>
                <w:lang w:val="en-GB"/>
              </w:rPr>
            </w:pPr>
          </w:p>
        </w:tc>
      </w:tr>
      <w:tr w14:paraId="2D895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0BDED69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3.2.1</w:t>
            </w:r>
          </w:p>
        </w:tc>
        <w:tc>
          <w:tcPr>
            <w:tcW w:w="1416" w:type="pct"/>
            <w:shd w:val="clear" w:color="auto" w:fill="auto"/>
            <w:vAlign w:val="center"/>
          </w:tcPr>
          <w:p w14:paraId="5CD11B1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用于建设投资</w:t>
            </w:r>
          </w:p>
        </w:tc>
        <w:tc>
          <w:tcPr>
            <w:tcW w:w="697" w:type="pct"/>
            <w:shd w:val="clear" w:color="auto" w:fill="auto"/>
            <w:vAlign w:val="center"/>
          </w:tcPr>
          <w:p w14:paraId="491970CB">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w:t>
            </w:r>
          </w:p>
        </w:tc>
        <w:tc>
          <w:tcPr>
            <w:tcW w:w="1072" w:type="pct"/>
            <w:shd w:val="clear" w:color="auto" w:fill="auto"/>
            <w:vAlign w:val="center"/>
          </w:tcPr>
          <w:p w14:paraId="2D9DA2B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0</w:t>
            </w:r>
          </w:p>
        </w:tc>
        <w:tc>
          <w:tcPr>
            <w:tcW w:w="981" w:type="pct"/>
            <w:shd w:val="clear" w:color="auto" w:fill="auto"/>
            <w:vAlign w:val="center"/>
          </w:tcPr>
          <w:p w14:paraId="49F21C96">
            <w:pPr>
              <w:adjustRightInd w:val="0"/>
              <w:snapToGrid w:val="0"/>
              <w:spacing w:line="360" w:lineRule="auto"/>
              <w:jc w:val="center"/>
              <w:rPr>
                <w:rFonts w:ascii="Times New Roman" w:hAnsi="Times New Roman" w:eastAsia="宋体" w:cs="Times New Roman"/>
                <w:szCs w:val="21"/>
                <w:lang w:val="en-GB"/>
              </w:rPr>
            </w:pPr>
          </w:p>
        </w:tc>
      </w:tr>
      <w:tr w14:paraId="354FA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3CD691E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3.2.2</w:t>
            </w:r>
          </w:p>
        </w:tc>
        <w:tc>
          <w:tcPr>
            <w:tcW w:w="1416" w:type="pct"/>
            <w:shd w:val="clear" w:color="auto" w:fill="auto"/>
            <w:vAlign w:val="center"/>
          </w:tcPr>
          <w:p w14:paraId="56CFB411">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用于建设期利息</w:t>
            </w:r>
          </w:p>
        </w:tc>
        <w:tc>
          <w:tcPr>
            <w:tcW w:w="697" w:type="pct"/>
            <w:shd w:val="clear" w:color="auto" w:fill="auto"/>
            <w:vAlign w:val="center"/>
          </w:tcPr>
          <w:p w14:paraId="513ED85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w:t>
            </w:r>
          </w:p>
        </w:tc>
        <w:tc>
          <w:tcPr>
            <w:tcW w:w="1072" w:type="pct"/>
            <w:shd w:val="clear" w:color="auto" w:fill="auto"/>
            <w:vAlign w:val="center"/>
          </w:tcPr>
          <w:p w14:paraId="728B0AC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0</w:t>
            </w:r>
          </w:p>
        </w:tc>
        <w:tc>
          <w:tcPr>
            <w:tcW w:w="981" w:type="pct"/>
            <w:shd w:val="clear" w:color="auto" w:fill="auto"/>
            <w:vAlign w:val="center"/>
          </w:tcPr>
          <w:p w14:paraId="09CAE311">
            <w:pPr>
              <w:adjustRightInd w:val="0"/>
              <w:snapToGrid w:val="0"/>
              <w:spacing w:line="360" w:lineRule="auto"/>
              <w:jc w:val="center"/>
              <w:rPr>
                <w:rFonts w:ascii="Times New Roman" w:hAnsi="Times New Roman" w:eastAsia="宋体" w:cs="Times New Roman"/>
                <w:szCs w:val="21"/>
                <w:lang w:val="en-GB"/>
              </w:rPr>
            </w:pPr>
          </w:p>
        </w:tc>
      </w:tr>
      <w:tr w14:paraId="3747B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6A51922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3.2.3</w:t>
            </w:r>
          </w:p>
        </w:tc>
        <w:tc>
          <w:tcPr>
            <w:tcW w:w="1416" w:type="pct"/>
            <w:shd w:val="clear" w:color="auto" w:fill="auto"/>
            <w:vAlign w:val="center"/>
          </w:tcPr>
          <w:p w14:paraId="31BDE91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用于流动资金</w:t>
            </w:r>
          </w:p>
        </w:tc>
        <w:tc>
          <w:tcPr>
            <w:tcW w:w="697" w:type="pct"/>
            <w:shd w:val="clear" w:color="auto" w:fill="auto"/>
            <w:vAlign w:val="center"/>
          </w:tcPr>
          <w:p w14:paraId="577095E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w:t>
            </w:r>
          </w:p>
        </w:tc>
        <w:tc>
          <w:tcPr>
            <w:tcW w:w="1072" w:type="pct"/>
            <w:shd w:val="clear" w:color="auto" w:fill="auto"/>
            <w:vAlign w:val="center"/>
          </w:tcPr>
          <w:p w14:paraId="66DCEFC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180.76</w:t>
            </w:r>
          </w:p>
        </w:tc>
        <w:tc>
          <w:tcPr>
            <w:tcW w:w="981" w:type="pct"/>
            <w:shd w:val="clear" w:color="auto" w:fill="auto"/>
            <w:vAlign w:val="center"/>
          </w:tcPr>
          <w:p w14:paraId="515D00EC">
            <w:pPr>
              <w:adjustRightInd w:val="0"/>
              <w:snapToGrid w:val="0"/>
              <w:spacing w:line="360" w:lineRule="auto"/>
              <w:jc w:val="center"/>
              <w:rPr>
                <w:rFonts w:ascii="Times New Roman" w:hAnsi="Times New Roman" w:eastAsia="宋体" w:cs="Times New Roman"/>
                <w:szCs w:val="21"/>
                <w:lang w:val="en-GB"/>
              </w:rPr>
            </w:pPr>
          </w:p>
        </w:tc>
      </w:tr>
      <w:tr w14:paraId="0204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3AC9A32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4</w:t>
            </w:r>
          </w:p>
        </w:tc>
        <w:tc>
          <w:tcPr>
            <w:tcW w:w="1416" w:type="pct"/>
            <w:shd w:val="clear" w:color="auto" w:fill="auto"/>
            <w:vAlign w:val="center"/>
          </w:tcPr>
          <w:p w14:paraId="791BD8EB">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单位产品投资</w:t>
            </w:r>
          </w:p>
        </w:tc>
        <w:tc>
          <w:tcPr>
            <w:tcW w:w="697" w:type="pct"/>
            <w:shd w:val="clear" w:color="auto" w:fill="auto"/>
            <w:vAlign w:val="center"/>
          </w:tcPr>
          <w:p w14:paraId="28008C1A">
            <w:pPr>
              <w:adjustRightInd w:val="0"/>
              <w:snapToGrid w:val="0"/>
              <w:spacing w:line="360" w:lineRule="auto"/>
              <w:jc w:val="center"/>
              <w:rPr>
                <w:rFonts w:ascii="Times New Roman" w:hAnsi="Times New Roman" w:eastAsia="宋体" w:cs="Times New Roman"/>
                <w:szCs w:val="21"/>
                <w:lang w:val="en-GB"/>
              </w:rPr>
            </w:pPr>
          </w:p>
        </w:tc>
        <w:tc>
          <w:tcPr>
            <w:tcW w:w="1072" w:type="pct"/>
            <w:shd w:val="clear" w:color="auto" w:fill="auto"/>
            <w:vAlign w:val="center"/>
          </w:tcPr>
          <w:p w14:paraId="5C37875A">
            <w:pPr>
              <w:adjustRightInd w:val="0"/>
              <w:snapToGrid w:val="0"/>
              <w:spacing w:line="360" w:lineRule="auto"/>
              <w:jc w:val="center"/>
              <w:rPr>
                <w:rFonts w:ascii="Times New Roman" w:hAnsi="Times New Roman" w:eastAsia="宋体" w:cs="Times New Roman"/>
                <w:szCs w:val="21"/>
                <w:lang w:val="en-GB"/>
              </w:rPr>
            </w:pPr>
          </w:p>
        </w:tc>
        <w:tc>
          <w:tcPr>
            <w:tcW w:w="981" w:type="pct"/>
            <w:shd w:val="clear" w:color="auto" w:fill="auto"/>
            <w:vAlign w:val="center"/>
          </w:tcPr>
          <w:p w14:paraId="64CA6E7B">
            <w:pPr>
              <w:adjustRightInd w:val="0"/>
              <w:snapToGrid w:val="0"/>
              <w:spacing w:line="360" w:lineRule="auto"/>
              <w:jc w:val="center"/>
              <w:rPr>
                <w:rFonts w:ascii="Times New Roman" w:hAnsi="Times New Roman" w:eastAsia="宋体" w:cs="Times New Roman"/>
                <w:szCs w:val="21"/>
                <w:lang w:val="en-GB"/>
              </w:rPr>
            </w:pPr>
          </w:p>
        </w:tc>
      </w:tr>
      <w:tr w14:paraId="0A087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1DA72291">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4.1</w:t>
            </w:r>
          </w:p>
        </w:tc>
        <w:tc>
          <w:tcPr>
            <w:tcW w:w="1416" w:type="pct"/>
            <w:shd w:val="clear" w:color="auto" w:fill="auto"/>
            <w:vAlign w:val="center"/>
          </w:tcPr>
          <w:p w14:paraId="70747E0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单位产品项目总投资</w:t>
            </w:r>
          </w:p>
        </w:tc>
        <w:tc>
          <w:tcPr>
            <w:tcW w:w="697" w:type="pct"/>
            <w:shd w:val="clear" w:color="auto" w:fill="auto"/>
            <w:vAlign w:val="center"/>
          </w:tcPr>
          <w:p w14:paraId="4E9C6E5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元/t</w:t>
            </w:r>
          </w:p>
        </w:tc>
        <w:tc>
          <w:tcPr>
            <w:tcW w:w="1072" w:type="pct"/>
            <w:shd w:val="clear" w:color="auto" w:fill="auto"/>
            <w:vAlign w:val="center"/>
          </w:tcPr>
          <w:p w14:paraId="32728088">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3.02</w:t>
            </w:r>
          </w:p>
        </w:tc>
        <w:tc>
          <w:tcPr>
            <w:tcW w:w="981" w:type="pct"/>
            <w:shd w:val="clear" w:color="auto" w:fill="auto"/>
            <w:vAlign w:val="center"/>
          </w:tcPr>
          <w:p w14:paraId="43FD68BE">
            <w:pPr>
              <w:adjustRightInd w:val="0"/>
              <w:snapToGrid w:val="0"/>
              <w:spacing w:line="360" w:lineRule="auto"/>
              <w:jc w:val="center"/>
              <w:rPr>
                <w:rFonts w:ascii="Times New Roman" w:hAnsi="Times New Roman" w:eastAsia="宋体" w:cs="Times New Roman"/>
                <w:szCs w:val="21"/>
                <w:lang w:val="en-GB"/>
              </w:rPr>
            </w:pPr>
          </w:p>
        </w:tc>
      </w:tr>
      <w:tr w14:paraId="77AE3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5B3C8E5B">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4.2</w:t>
            </w:r>
          </w:p>
        </w:tc>
        <w:tc>
          <w:tcPr>
            <w:tcW w:w="1416" w:type="pct"/>
            <w:shd w:val="clear" w:color="auto" w:fill="auto"/>
            <w:vAlign w:val="center"/>
          </w:tcPr>
          <w:p w14:paraId="47E68C1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单位产品国家考核项目总投资</w:t>
            </w:r>
          </w:p>
        </w:tc>
        <w:tc>
          <w:tcPr>
            <w:tcW w:w="697" w:type="pct"/>
            <w:shd w:val="clear" w:color="auto" w:fill="auto"/>
            <w:vAlign w:val="center"/>
          </w:tcPr>
          <w:p w14:paraId="27E7DF12">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元/t</w:t>
            </w:r>
          </w:p>
        </w:tc>
        <w:tc>
          <w:tcPr>
            <w:tcW w:w="1072" w:type="pct"/>
            <w:shd w:val="clear" w:color="auto" w:fill="auto"/>
            <w:vAlign w:val="center"/>
          </w:tcPr>
          <w:p w14:paraId="4D36F9CE">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2.62</w:t>
            </w:r>
          </w:p>
        </w:tc>
        <w:tc>
          <w:tcPr>
            <w:tcW w:w="981" w:type="pct"/>
            <w:shd w:val="clear" w:color="auto" w:fill="auto"/>
            <w:vAlign w:val="center"/>
          </w:tcPr>
          <w:p w14:paraId="63E277FE">
            <w:pPr>
              <w:adjustRightInd w:val="0"/>
              <w:snapToGrid w:val="0"/>
              <w:spacing w:line="360" w:lineRule="auto"/>
              <w:jc w:val="center"/>
              <w:rPr>
                <w:rFonts w:ascii="Times New Roman" w:hAnsi="Times New Roman" w:eastAsia="宋体" w:cs="Times New Roman"/>
                <w:szCs w:val="21"/>
                <w:lang w:val="en-GB"/>
              </w:rPr>
            </w:pPr>
          </w:p>
        </w:tc>
      </w:tr>
      <w:tr w14:paraId="01421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38C576DC">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4.3</w:t>
            </w:r>
          </w:p>
        </w:tc>
        <w:tc>
          <w:tcPr>
            <w:tcW w:w="1416" w:type="pct"/>
            <w:shd w:val="clear" w:color="auto" w:fill="auto"/>
            <w:vAlign w:val="center"/>
          </w:tcPr>
          <w:p w14:paraId="6FB5D98C">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单位产品建设投资</w:t>
            </w:r>
          </w:p>
        </w:tc>
        <w:tc>
          <w:tcPr>
            <w:tcW w:w="697" w:type="pct"/>
            <w:shd w:val="clear" w:color="auto" w:fill="auto"/>
            <w:vAlign w:val="center"/>
          </w:tcPr>
          <w:p w14:paraId="2575EB08">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元/t</w:t>
            </w:r>
          </w:p>
        </w:tc>
        <w:tc>
          <w:tcPr>
            <w:tcW w:w="1072" w:type="pct"/>
            <w:shd w:val="clear" w:color="auto" w:fill="auto"/>
            <w:vAlign w:val="center"/>
          </w:tcPr>
          <w:p w14:paraId="3A1CA03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2.74</w:t>
            </w:r>
          </w:p>
        </w:tc>
        <w:tc>
          <w:tcPr>
            <w:tcW w:w="981" w:type="pct"/>
            <w:shd w:val="clear" w:color="auto" w:fill="auto"/>
            <w:vAlign w:val="center"/>
          </w:tcPr>
          <w:p w14:paraId="5BCF6926">
            <w:pPr>
              <w:adjustRightInd w:val="0"/>
              <w:snapToGrid w:val="0"/>
              <w:spacing w:line="360" w:lineRule="auto"/>
              <w:jc w:val="center"/>
              <w:rPr>
                <w:rFonts w:ascii="Times New Roman" w:hAnsi="Times New Roman" w:eastAsia="宋体" w:cs="Times New Roman"/>
                <w:szCs w:val="21"/>
                <w:lang w:val="en-GB"/>
              </w:rPr>
            </w:pPr>
          </w:p>
        </w:tc>
      </w:tr>
      <w:tr w14:paraId="7BA5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59A32A5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七</w:t>
            </w:r>
          </w:p>
        </w:tc>
        <w:tc>
          <w:tcPr>
            <w:tcW w:w="1416" w:type="pct"/>
            <w:shd w:val="clear" w:color="auto" w:fill="auto"/>
            <w:vAlign w:val="center"/>
          </w:tcPr>
          <w:p w14:paraId="3EA8D5B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成本及费用</w:t>
            </w:r>
          </w:p>
        </w:tc>
        <w:tc>
          <w:tcPr>
            <w:tcW w:w="697" w:type="pct"/>
            <w:shd w:val="clear" w:color="auto" w:fill="auto"/>
            <w:vAlign w:val="center"/>
          </w:tcPr>
          <w:p w14:paraId="45A32480">
            <w:pPr>
              <w:adjustRightInd w:val="0"/>
              <w:snapToGrid w:val="0"/>
              <w:spacing w:line="360" w:lineRule="auto"/>
              <w:jc w:val="center"/>
              <w:rPr>
                <w:rFonts w:ascii="Times New Roman" w:hAnsi="Times New Roman" w:eastAsia="宋体" w:cs="Times New Roman"/>
                <w:szCs w:val="21"/>
                <w:lang w:val="en-GB"/>
              </w:rPr>
            </w:pPr>
          </w:p>
        </w:tc>
        <w:tc>
          <w:tcPr>
            <w:tcW w:w="1072" w:type="pct"/>
            <w:shd w:val="clear" w:color="auto" w:fill="auto"/>
            <w:vAlign w:val="center"/>
          </w:tcPr>
          <w:p w14:paraId="4A004978">
            <w:pPr>
              <w:adjustRightInd w:val="0"/>
              <w:snapToGrid w:val="0"/>
              <w:spacing w:line="360" w:lineRule="auto"/>
              <w:jc w:val="center"/>
              <w:rPr>
                <w:rFonts w:ascii="Times New Roman" w:hAnsi="Times New Roman" w:eastAsia="宋体" w:cs="Times New Roman"/>
                <w:szCs w:val="21"/>
                <w:lang w:val="en-GB"/>
              </w:rPr>
            </w:pPr>
          </w:p>
        </w:tc>
        <w:tc>
          <w:tcPr>
            <w:tcW w:w="981" w:type="pct"/>
            <w:shd w:val="clear" w:color="auto" w:fill="auto"/>
            <w:vAlign w:val="center"/>
          </w:tcPr>
          <w:p w14:paraId="5F536B4B">
            <w:pPr>
              <w:adjustRightInd w:val="0"/>
              <w:snapToGrid w:val="0"/>
              <w:spacing w:line="360" w:lineRule="auto"/>
              <w:jc w:val="center"/>
              <w:rPr>
                <w:rFonts w:ascii="Times New Roman" w:hAnsi="Times New Roman" w:eastAsia="宋体" w:cs="Times New Roman"/>
                <w:szCs w:val="21"/>
                <w:lang w:val="en-GB"/>
              </w:rPr>
            </w:pPr>
          </w:p>
        </w:tc>
      </w:tr>
      <w:tr w14:paraId="6B03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675571A8">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w:t>
            </w:r>
          </w:p>
        </w:tc>
        <w:tc>
          <w:tcPr>
            <w:tcW w:w="1416" w:type="pct"/>
            <w:shd w:val="clear" w:color="auto" w:fill="auto"/>
            <w:vAlign w:val="center"/>
          </w:tcPr>
          <w:p w14:paraId="186C440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总成本费用（不含税）</w:t>
            </w:r>
          </w:p>
        </w:tc>
        <w:tc>
          <w:tcPr>
            <w:tcW w:w="697" w:type="pct"/>
            <w:shd w:val="clear" w:color="auto" w:fill="auto"/>
            <w:vAlign w:val="center"/>
          </w:tcPr>
          <w:p w14:paraId="23BDA5E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万元/a</w:t>
            </w:r>
          </w:p>
        </w:tc>
        <w:tc>
          <w:tcPr>
            <w:tcW w:w="1072" w:type="pct"/>
            <w:shd w:val="clear" w:color="auto" w:fill="auto"/>
            <w:vAlign w:val="center"/>
          </w:tcPr>
          <w:p w14:paraId="0636FB32">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1416.47</w:t>
            </w:r>
          </w:p>
        </w:tc>
        <w:tc>
          <w:tcPr>
            <w:tcW w:w="981" w:type="pct"/>
            <w:shd w:val="clear" w:color="auto" w:fill="auto"/>
            <w:vAlign w:val="center"/>
          </w:tcPr>
          <w:p w14:paraId="7E22D162">
            <w:pPr>
              <w:adjustRightInd w:val="0"/>
              <w:snapToGrid w:val="0"/>
              <w:spacing w:line="360" w:lineRule="auto"/>
              <w:jc w:val="center"/>
              <w:rPr>
                <w:rFonts w:ascii="Times New Roman" w:hAnsi="Times New Roman" w:eastAsia="宋体" w:cs="Times New Roman"/>
                <w:szCs w:val="21"/>
                <w:lang w:val="en-GB"/>
              </w:rPr>
            </w:pPr>
          </w:p>
        </w:tc>
      </w:tr>
      <w:tr w14:paraId="4292A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592C780B">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w:t>
            </w:r>
          </w:p>
        </w:tc>
        <w:tc>
          <w:tcPr>
            <w:tcW w:w="1416" w:type="pct"/>
            <w:shd w:val="clear" w:color="auto" w:fill="auto"/>
            <w:vAlign w:val="center"/>
          </w:tcPr>
          <w:p w14:paraId="635FFFB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总成本费用（含税）</w:t>
            </w:r>
          </w:p>
        </w:tc>
        <w:tc>
          <w:tcPr>
            <w:tcW w:w="697" w:type="pct"/>
            <w:shd w:val="clear" w:color="auto" w:fill="auto"/>
            <w:vAlign w:val="center"/>
          </w:tcPr>
          <w:p w14:paraId="3818007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万元/a</w:t>
            </w:r>
          </w:p>
        </w:tc>
        <w:tc>
          <w:tcPr>
            <w:tcW w:w="1072" w:type="pct"/>
            <w:shd w:val="clear" w:color="auto" w:fill="auto"/>
            <w:vAlign w:val="center"/>
          </w:tcPr>
          <w:p w14:paraId="4D49189E">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1520.89</w:t>
            </w:r>
          </w:p>
        </w:tc>
        <w:tc>
          <w:tcPr>
            <w:tcW w:w="981" w:type="pct"/>
            <w:shd w:val="clear" w:color="auto" w:fill="auto"/>
            <w:vAlign w:val="center"/>
          </w:tcPr>
          <w:p w14:paraId="3385591F">
            <w:pPr>
              <w:adjustRightInd w:val="0"/>
              <w:snapToGrid w:val="0"/>
              <w:spacing w:line="360" w:lineRule="auto"/>
              <w:jc w:val="center"/>
              <w:rPr>
                <w:rFonts w:ascii="Times New Roman" w:hAnsi="Times New Roman" w:eastAsia="宋体" w:cs="Times New Roman"/>
                <w:szCs w:val="21"/>
                <w:lang w:val="en-GB"/>
              </w:rPr>
            </w:pPr>
          </w:p>
        </w:tc>
      </w:tr>
      <w:tr w14:paraId="47C4C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18B97B8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2.1</w:t>
            </w:r>
          </w:p>
        </w:tc>
        <w:tc>
          <w:tcPr>
            <w:tcW w:w="1416" w:type="pct"/>
            <w:shd w:val="clear" w:color="auto" w:fill="auto"/>
            <w:vAlign w:val="center"/>
          </w:tcPr>
          <w:p w14:paraId="779350B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其中：制造成本</w:t>
            </w:r>
          </w:p>
        </w:tc>
        <w:tc>
          <w:tcPr>
            <w:tcW w:w="697" w:type="pct"/>
            <w:shd w:val="clear" w:color="auto" w:fill="auto"/>
            <w:vAlign w:val="center"/>
          </w:tcPr>
          <w:p w14:paraId="13C53AF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万元/a</w:t>
            </w:r>
          </w:p>
        </w:tc>
        <w:tc>
          <w:tcPr>
            <w:tcW w:w="1072" w:type="pct"/>
            <w:shd w:val="clear" w:color="auto" w:fill="auto"/>
            <w:vAlign w:val="center"/>
          </w:tcPr>
          <w:p w14:paraId="70FBDD8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1155.96</w:t>
            </w:r>
          </w:p>
        </w:tc>
        <w:tc>
          <w:tcPr>
            <w:tcW w:w="981" w:type="pct"/>
            <w:shd w:val="clear" w:color="auto" w:fill="auto"/>
            <w:vAlign w:val="center"/>
          </w:tcPr>
          <w:p w14:paraId="5683C321">
            <w:pPr>
              <w:adjustRightInd w:val="0"/>
              <w:snapToGrid w:val="0"/>
              <w:spacing w:line="360" w:lineRule="auto"/>
              <w:jc w:val="center"/>
              <w:rPr>
                <w:rFonts w:ascii="Times New Roman" w:hAnsi="Times New Roman" w:eastAsia="宋体" w:cs="Times New Roman"/>
                <w:szCs w:val="21"/>
                <w:lang w:val="en-GB"/>
              </w:rPr>
            </w:pPr>
          </w:p>
        </w:tc>
      </w:tr>
      <w:tr w14:paraId="0DD74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0BDBBFE3">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2.2</w:t>
            </w:r>
          </w:p>
        </w:tc>
        <w:tc>
          <w:tcPr>
            <w:tcW w:w="1416" w:type="pct"/>
            <w:shd w:val="clear" w:color="auto" w:fill="auto"/>
            <w:vAlign w:val="center"/>
          </w:tcPr>
          <w:p w14:paraId="36A140F0">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管理费用</w:t>
            </w:r>
          </w:p>
        </w:tc>
        <w:tc>
          <w:tcPr>
            <w:tcW w:w="697" w:type="pct"/>
            <w:shd w:val="clear" w:color="auto" w:fill="auto"/>
            <w:vAlign w:val="center"/>
          </w:tcPr>
          <w:p w14:paraId="3C1869F8">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万元/a</w:t>
            </w:r>
          </w:p>
        </w:tc>
        <w:tc>
          <w:tcPr>
            <w:tcW w:w="1072" w:type="pct"/>
            <w:shd w:val="clear" w:color="auto" w:fill="auto"/>
            <w:vAlign w:val="center"/>
          </w:tcPr>
          <w:p w14:paraId="1238776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313.25</w:t>
            </w:r>
          </w:p>
        </w:tc>
        <w:tc>
          <w:tcPr>
            <w:tcW w:w="981" w:type="pct"/>
            <w:shd w:val="clear" w:color="auto" w:fill="auto"/>
            <w:vAlign w:val="center"/>
          </w:tcPr>
          <w:p w14:paraId="1C260D58">
            <w:pPr>
              <w:adjustRightInd w:val="0"/>
              <w:snapToGrid w:val="0"/>
              <w:spacing w:line="360" w:lineRule="auto"/>
              <w:jc w:val="center"/>
              <w:rPr>
                <w:rFonts w:ascii="Times New Roman" w:hAnsi="Times New Roman" w:eastAsia="宋体" w:cs="Times New Roman"/>
                <w:szCs w:val="21"/>
                <w:lang w:val="en-GB"/>
              </w:rPr>
            </w:pPr>
          </w:p>
        </w:tc>
      </w:tr>
      <w:tr w14:paraId="110D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0D49863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2.3</w:t>
            </w:r>
          </w:p>
        </w:tc>
        <w:tc>
          <w:tcPr>
            <w:tcW w:w="1416" w:type="pct"/>
            <w:shd w:val="clear" w:color="auto" w:fill="auto"/>
            <w:vAlign w:val="center"/>
          </w:tcPr>
          <w:p w14:paraId="26192D8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财务费用</w:t>
            </w:r>
          </w:p>
        </w:tc>
        <w:tc>
          <w:tcPr>
            <w:tcW w:w="697" w:type="pct"/>
            <w:shd w:val="clear" w:color="auto" w:fill="auto"/>
            <w:vAlign w:val="center"/>
          </w:tcPr>
          <w:p w14:paraId="504C0308">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万元/a</w:t>
            </w:r>
          </w:p>
        </w:tc>
        <w:tc>
          <w:tcPr>
            <w:tcW w:w="1072" w:type="pct"/>
            <w:shd w:val="clear" w:color="auto" w:fill="auto"/>
            <w:vAlign w:val="center"/>
          </w:tcPr>
          <w:p w14:paraId="5C86F42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7.86</w:t>
            </w:r>
          </w:p>
        </w:tc>
        <w:tc>
          <w:tcPr>
            <w:tcW w:w="981" w:type="pct"/>
            <w:shd w:val="clear" w:color="auto" w:fill="auto"/>
            <w:vAlign w:val="center"/>
          </w:tcPr>
          <w:p w14:paraId="364157D1">
            <w:pPr>
              <w:adjustRightInd w:val="0"/>
              <w:snapToGrid w:val="0"/>
              <w:spacing w:line="360" w:lineRule="auto"/>
              <w:jc w:val="center"/>
              <w:rPr>
                <w:rFonts w:ascii="Times New Roman" w:hAnsi="Times New Roman" w:eastAsia="宋体" w:cs="Times New Roman"/>
                <w:szCs w:val="21"/>
                <w:lang w:val="en-GB"/>
              </w:rPr>
            </w:pPr>
          </w:p>
        </w:tc>
      </w:tr>
      <w:tr w14:paraId="5B83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65F192E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2.4</w:t>
            </w:r>
          </w:p>
        </w:tc>
        <w:tc>
          <w:tcPr>
            <w:tcW w:w="1416" w:type="pct"/>
            <w:shd w:val="clear" w:color="auto" w:fill="auto"/>
            <w:vAlign w:val="center"/>
          </w:tcPr>
          <w:p w14:paraId="01F345D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销售费用</w:t>
            </w:r>
          </w:p>
        </w:tc>
        <w:tc>
          <w:tcPr>
            <w:tcW w:w="697" w:type="pct"/>
            <w:shd w:val="clear" w:color="auto" w:fill="auto"/>
            <w:vAlign w:val="center"/>
          </w:tcPr>
          <w:p w14:paraId="4259D61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万元/a</w:t>
            </w:r>
          </w:p>
        </w:tc>
        <w:tc>
          <w:tcPr>
            <w:tcW w:w="1072" w:type="pct"/>
            <w:shd w:val="clear" w:color="auto" w:fill="auto"/>
            <w:vAlign w:val="center"/>
          </w:tcPr>
          <w:p w14:paraId="1C2A0970">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43.82</w:t>
            </w:r>
          </w:p>
        </w:tc>
        <w:tc>
          <w:tcPr>
            <w:tcW w:w="981" w:type="pct"/>
            <w:shd w:val="clear" w:color="auto" w:fill="auto"/>
            <w:vAlign w:val="center"/>
          </w:tcPr>
          <w:p w14:paraId="2E4465E5">
            <w:pPr>
              <w:adjustRightInd w:val="0"/>
              <w:snapToGrid w:val="0"/>
              <w:spacing w:line="360" w:lineRule="auto"/>
              <w:jc w:val="center"/>
              <w:rPr>
                <w:rFonts w:ascii="Times New Roman" w:hAnsi="Times New Roman" w:eastAsia="宋体" w:cs="Times New Roman"/>
                <w:szCs w:val="21"/>
                <w:lang w:val="en-GB"/>
              </w:rPr>
            </w:pPr>
          </w:p>
        </w:tc>
      </w:tr>
      <w:tr w14:paraId="08B9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40FCD3B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w:t>
            </w:r>
          </w:p>
        </w:tc>
        <w:tc>
          <w:tcPr>
            <w:tcW w:w="1416" w:type="pct"/>
            <w:shd w:val="clear" w:color="auto" w:fill="auto"/>
            <w:vAlign w:val="center"/>
          </w:tcPr>
          <w:p w14:paraId="59D0BF4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单位制造成本</w:t>
            </w:r>
          </w:p>
        </w:tc>
        <w:tc>
          <w:tcPr>
            <w:tcW w:w="697" w:type="pct"/>
            <w:shd w:val="clear" w:color="auto" w:fill="auto"/>
            <w:vAlign w:val="center"/>
          </w:tcPr>
          <w:p w14:paraId="36774B0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元/t.矿</w:t>
            </w:r>
          </w:p>
        </w:tc>
        <w:tc>
          <w:tcPr>
            <w:tcW w:w="1072" w:type="pct"/>
            <w:shd w:val="clear" w:color="auto" w:fill="auto"/>
            <w:vAlign w:val="center"/>
          </w:tcPr>
          <w:p w14:paraId="59ACFFB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16.90</w:t>
            </w:r>
          </w:p>
        </w:tc>
        <w:tc>
          <w:tcPr>
            <w:tcW w:w="981" w:type="pct"/>
            <w:shd w:val="clear" w:color="auto" w:fill="auto"/>
            <w:vAlign w:val="center"/>
          </w:tcPr>
          <w:p w14:paraId="1306CE66">
            <w:pPr>
              <w:adjustRightInd w:val="0"/>
              <w:snapToGrid w:val="0"/>
              <w:spacing w:line="360" w:lineRule="auto"/>
              <w:jc w:val="center"/>
              <w:rPr>
                <w:rFonts w:ascii="Times New Roman" w:hAnsi="Times New Roman" w:eastAsia="宋体" w:cs="Times New Roman"/>
                <w:szCs w:val="21"/>
                <w:lang w:val="en-GB"/>
              </w:rPr>
            </w:pPr>
          </w:p>
        </w:tc>
      </w:tr>
      <w:tr w14:paraId="76DB7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697895D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4</w:t>
            </w:r>
          </w:p>
        </w:tc>
        <w:tc>
          <w:tcPr>
            <w:tcW w:w="1416" w:type="pct"/>
            <w:shd w:val="clear" w:color="auto" w:fill="auto"/>
            <w:vAlign w:val="center"/>
          </w:tcPr>
          <w:p w14:paraId="60E36BF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单位产品成本费用</w:t>
            </w:r>
          </w:p>
        </w:tc>
        <w:tc>
          <w:tcPr>
            <w:tcW w:w="697" w:type="pct"/>
            <w:shd w:val="clear" w:color="auto" w:fill="auto"/>
            <w:vAlign w:val="center"/>
          </w:tcPr>
          <w:p w14:paraId="6B723E28">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元/t.矿</w:t>
            </w:r>
          </w:p>
        </w:tc>
        <w:tc>
          <w:tcPr>
            <w:tcW w:w="1072" w:type="pct"/>
            <w:shd w:val="clear" w:color="auto" w:fill="auto"/>
            <w:vAlign w:val="center"/>
          </w:tcPr>
          <w:p w14:paraId="52B32153">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14.59</w:t>
            </w:r>
          </w:p>
        </w:tc>
        <w:tc>
          <w:tcPr>
            <w:tcW w:w="981" w:type="pct"/>
            <w:shd w:val="clear" w:color="auto" w:fill="auto"/>
            <w:vAlign w:val="center"/>
          </w:tcPr>
          <w:p w14:paraId="63631AE1">
            <w:pPr>
              <w:adjustRightInd w:val="0"/>
              <w:snapToGrid w:val="0"/>
              <w:spacing w:line="360" w:lineRule="auto"/>
              <w:jc w:val="center"/>
              <w:rPr>
                <w:rFonts w:ascii="Times New Roman" w:hAnsi="Times New Roman" w:eastAsia="宋体" w:cs="Times New Roman"/>
                <w:szCs w:val="21"/>
                <w:lang w:val="en-GB"/>
              </w:rPr>
            </w:pPr>
          </w:p>
        </w:tc>
      </w:tr>
      <w:tr w14:paraId="10094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6D33E86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八</w:t>
            </w:r>
          </w:p>
        </w:tc>
        <w:tc>
          <w:tcPr>
            <w:tcW w:w="1416" w:type="pct"/>
            <w:shd w:val="clear" w:color="auto" w:fill="auto"/>
            <w:vAlign w:val="center"/>
          </w:tcPr>
          <w:p w14:paraId="3B85E05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销售收入、税金、利润</w:t>
            </w:r>
          </w:p>
        </w:tc>
        <w:tc>
          <w:tcPr>
            <w:tcW w:w="697" w:type="pct"/>
            <w:shd w:val="clear" w:color="auto" w:fill="auto"/>
            <w:vAlign w:val="center"/>
          </w:tcPr>
          <w:p w14:paraId="2D1FFDCF">
            <w:pPr>
              <w:adjustRightInd w:val="0"/>
              <w:snapToGrid w:val="0"/>
              <w:spacing w:line="360" w:lineRule="auto"/>
              <w:jc w:val="center"/>
              <w:rPr>
                <w:rFonts w:ascii="Times New Roman" w:hAnsi="Times New Roman" w:eastAsia="宋体" w:cs="Times New Roman"/>
                <w:szCs w:val="21"/>
                <w:lang w:val="en-GB"/>
              </w:rPr>
            </w:pPr>
          </w:p>
        </w:tc>
        <w:tc>
          <w:tcPr>
            <w:tcW w:w="1072" w:type="pct"/>
            <w:shd w:val="clear" w:color="auto" w:fill="auto"/>
            <w:vAlign w:val="center"/>
          </w:tcPr>
          <w:p w14:paraId="4AD21AE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生产期平均</w:t>
            </w:r>
          </w:p>
        </w:tc>
        <w:tc>
          <w:tcPr>
            <w:tcW w:w="981" w:type="pct"/>
            <w:shd w:val="clear" w:color="auto" w:fill="auto"/>
            <w:vAlign w:val="center"/>
          </w:tcPr>
          <w:p w14:paraId="1EC04B87">
            <w:pPr>
              <w:adjustRightInd w:val="0"/>
              <w:snapToGrid w:val="0"/>
              <w:spacing w:line="360" w:lineRule="auto"/>
              <w:jc w:val="center"/>
              <w:rPr>
                <w:rFonts w:ascii="Times New Roman" w:hAnsi="Times New Roman" w:eastAsia="宋体" w:cs="Times New Roman"/>
                <w:szCs w:val="21"/>
                <w:lang w:val="en-GB"/>
              </w:rPr>
            </w:pPr>
          </w:p>
        </w:tc>
      </w:tr>
      <w:tr w14:paraId="278A7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65A604B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w:t>
            </w:r>
          </w:p>
        </w:tc>
        <w:tc>
          <w:tcPr>
            <w:tcW w:w="1416" w:type="pct"/>
            <w:shd w:val="clear" w:color="auto" w:fill="auto"/>
            <w:vAlign w:val="center"/>
          </w:tcPr>
          <w:p w14:paraId="685DFB8E">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原矿石</w:t>
            </w:r>
          </w:p>
        </w:tc>
        <w:tc>
          <w:tcPr>
            <w:tcW w:w="697" w:type="pct"/>
            <w:shd w:val="clear" w:color="auto" w:fill="auto"/>
            <w:vAlign w:val="center"/>
          </w:tcPr>
          <w:p w14:paraId="41A6094E">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元/t</w:t>
            </w:r>
          </w:p>
        </w:tc>
        <w:tc>
          <w:tcPr>
            <w:tcW w:w="1072" w:type="pct"/>
            <w:shd w:val="clear" w:color="auto" w:fill="auto"/>
            <w:vAlign w:val="center"/>
          </w:tcPr>
          <w:p w14:paraId="7A88557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24.34</w:t>
            </w:r>
          </w:p>
        </w:tc>
        <w:tc>
          <w:tcPr>
            <w:tcW w:w="981" w:type="pct"/>
            <w:shd w:val="clear" w:color="auto" w:fill="auto"/>
            <w:vAlign w:val="center"/>
          </w:tcPr>
          <w:p w14:paraId="17E60519">
            <w:pPr>
              <w:adjustRightInd w:val="0"/>
              <w:snapToGrid w:val="0"/>
              <w:spacing w:line="360" w:lineRule="auto"/>
              <w:jc w:val="center"/>
              <w:rPr>
                <w:rFonts w:ascii="Times New Roman" w:hAnsi="Times New Roman" w:eastAsia="宋体" w:cs="Times New Roman"/>
                <w:szCs w:val="21"/>
                <w:lang w:val="en-GB"/>
              </w:rPr>
            </w:pPr>
          </w:p>
        </w:tc>
      </w:tr>
      <w:tr w14:paraId="2DF46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222F3AF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w:t>
            </w:r>
          </w:p>
        </w:tc>
        <w:tc>
          <w:tcPr>
            <w:tcW w:w="1416" w:type="pct"/>
            <w:shd w:val="clear" w:color="auto" w:fill="auto"/>
            <w:vAlign w:val="center"/>
          </w:tcPr>
          <w:p w14:paraId="4E9BC87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销售收入（含税）</w:t>
            </w:r>
          </w:p>
        </w:tc>
        <w:tc>
          <w:tcPr>
            <w:tcW w:w="697" w:type="pct"/>
            <w:shd w:val="clear" w:color="auto" w:fill="auto"/>
            <w:vAlign w:val="center"/>
          </w:tcPr>
          <w:p w14:paraId="01D3991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万元/a</w:t>
            </w:r>
          </w:p>
        </w:tc>
        <w:tc>
          <w:tcPr>
            <w:tcW w:w="1072" w:type="pct"/>
            <w:shd w:val="clear" w:color="auto" w:fill="auto"/>
            <w:vAlign w:val="center"/>
          </w:tcPr>
          <w:p w14:paraId="7354F94B">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2191.01</w:t>
            </w:r>
          </w:p>
        </w:tc>
        <w:tc>
          <w:tcPr>
            <w:tcW w:w="981" w:type="pct"/>
            <w:shd w:val="clear" w:color="auto" w:fill="auto"/>
            <w:vAlign w:val="center"/>
          </w:tcPr>
          <w:p w14:paraId="70831892">
            <w:pPr>
              <w:adjustRightInd w:val="0"/>
              <w:snapToGrid w:val="0"/>
              <w:spacing w:line="360" w:lineRule="auto"/>
              <w:jc w:val="center"/>
              <w:rPr>
                <w:rFonts w:ascii="Times New Roman" w:hAnsi="Times New Roman" w:eastAsia="宋体" w:cs="Times New Roman"/>
                <w:szCs w:val="21"/>
                <w:lang w:val="en-GB"/>
              </w:rPr>
            </w:pPr>
          </w:p>
        </w:tc>
      </w:tr>
      <w:tr w14:paraId="021C4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10FEA388">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w:t>
            </w:r>
          </w:p>
        </w:tc>
        <w:tc>
          <w:tcPr>
            <w:tcW w:w="1416" w:type="pct"/>
            <w:shd w:val="clear" w:color="auto" w:fill="auto"/>
            <w:vAlign w:val="center"/>
          </w:tcPr>
          <w:p w14:paraId="2B2AB721">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销售收入（不含税）</w:t>
            </w:r>
          </w:p>
        </w:tc>
        <w:tc>
          <w:tcPr>
            <w:tcW w:w="697" w:type="pct"/>
            <w:shd w:val="clear" w:color="auto" w:fill="auto"/>
            <w:vAlign w:val="center"/>
          </w:tcPr>
          <w:p w14:paraId="633EB33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万元/a</w:t>
            </w:r>
          </w:p>
        </w:tc>
        <w:tc>
          <w:tcPr>
            <w:tcW w:w="1072" w:type="pct"/>
            <w:shd w:val="clear" w:color="auto" w:fill="auto"/>
            <w:vAlign w:val="center"/>
          </w:tcPr>
          <w:p w14:paraId="6F80E10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1818.54</w:t>
            </w:r>
          </w:p>
        </w:tc>
        <w:tc>
          <w:tcPr>
            <w:tcW w:w="981" w:type="pct"/>
            <w:shd w:val="clear" w:color="auto" w:fill="auto"/>
            <w:vAlign w:val="center"/>
          </w:tcPr>
          <w:p w14:paraId="377A031B">
            <w:pPr>
              <w:adjustRightInd w:val="0"/>
              <w:snapToGrid w:val="0"/>
              <w:spacing w:line="360" w:lineRule="auto"/>
              <w:jc w:val="center"/>
              <w:rPr>
                <w:rFonts w:ascii="Times New Roman" w:hAnsi="Times New Roman" w:eastAsia="宋体" w:cs="Times New Roman"/>
                <w:szCs w:val="21"/>
                <w:lang w:val="en-GB"/>
              </w:rPr>
            </w:pPr>
          </w:p>
        </w:tc>
      </w:tr>
      <w:tr w14:paraId="483FC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04D5E932">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4</w:t>
            </w:r>
          </w:p>
        </w:tc>
        <w:tc>
          <w:tcPr>
            <w:tcW w:w="1416" w:type="pct"/>
            <w:shd w:val="clear" w:color="auto" w:fill="auto"/>
            <w:vAlign w:val="center"/>
          </w:tcPr>
          <w:p w14:paraId="23DDC5FE">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增值税</w:t>
            </w:r>
          </w:p>
        </w:tc>
        <w:tc>
          <w:tcPr>
            <w:tcW w:w="697" w:type="pct"/>
            <w:shd w:val="clear" w:color="auto" w:fill="auto"/>
            <w:vAlign w:val="center"/>
          </w:tcPr>
          <w:p w14:paraId="3171A6A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万元/a</w:t>
            </w:r>
          </w:p>
        </w:tc>
        <w:tc>
          <w:tcPr>
            <w:tcW w:w="1072" w:type="pct"/>
            <w:shd w:val="clear" w:color="auto" w:fill="auto"/>
            <w:vAlign w:val="center"/>
          </w:tcPr>
          <w:p w14:paraId="5811254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268.05</w:t>
            </w:r>
          </w:p>
        </w:tc>
        <w:tc>
          <w:tcPr>
            <w:tcW w:w="981" w:type="pct"/>
            <w:shd w:val="clear" w:color="auto" w:fill="auto"/>
            <w:vAlign w:val="center"/>
          </w:tcPr>
          <w:p w14:paraId="38736CD0">
            <w:pPr>
              <w:adjustRightInd w:val="0"/>
              <w:snapToGrid w:val="0"/>
              <w:spacing w:line="360" w:lineRule="auto"/>
              <w:jc w:val="center"/>
              <w:rPr>
                <w:rFonts w:ascii="Times New Roman" w:hAnsi="Times New Roman" w:eastAsia="宋体" w:cs="Times New Roman"/>
                <w:szCs w:val="21"/>
                <w:lang w:val="en-GB"/>
              </w:rPr>
            </w:pPr>
          </w:p>
        </w:tc>
      </w:tr>
      <w:tr w14:paraId="0F6F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3E03473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5</w:t>
            </w:r>
          </w:p>
        </w:tc>
        <w:tc>
          <w:tcPr>
            <w:tcW w:w="1416" w:type="pct"/>
            <w:shd w:val="clear" w:color="auto" w:fill="auto"/>
            <w:vAlign w:val="center"/>
          </w:tcPr>
          <w:p w14:paraId="33D2557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销售税金及附加</w:t>
            </w:r>
          </w:p>
        </w:tc>
        <w:tc>
          <w:tcPr>
            <w:tcW w:w="697" w:type="pct"/>
            <w:shd w:val="clear" w:color="auto" w:fill="auto"/>
            <w:vAlign w:val="center"/>
          </w:tcPr>
          <w:p w14:paraId="70341682">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万元/a</w:t>
            </w:r>
          </w:p>
        </w:tc>
        <w:tc>
          <w:tcPr>
            <w:tcW w:w="1072" w:type="pct"/>
            <w:shd w:val="clear" w:color="auto" w:fill="auto"/>
            <w:vAlign w:val="center"/>
          </w:tcPr>
          <w:p w14:paraId="3B021E7B">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16.08</w:t>
            </w:r>
          </w:p>
        </w:tc>
        <w:tc>
          <w:tcPr>
            <w:tcW w:w="981" w:type="pct"/>
            <w:shd w:val="clear" w:color="auto" w:fill="auto"/>
            <w:vAlign w:val="center"/>
          </w:tcPr>
          <w:p w14:paraId="30AAE7A3">
            <w:pPr>
              <w:adjustRightInd w:val="0"/>
              <w:snapToGrid w:val="0"/>
              <w:spacing w:line="360" w:lineRule="auto"/>
              <w:jc w:val="center"/>
              <w:rPr>
                <w:rFonts w:ascii="Times New Roman" w:hAnsi="Times New Roman" w:eastAsia="宋体" w:cs="Times New Roman"/>
                <w:szCs w:val="21"/>
                <w:lang w:val="en-GB"/>
              </w:rPr>
            </w:pPr>
          </w:p>
        </w:tc>
      </w:tr>
      <w:tr w14:paraId="1A3E7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285AFBA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6</w:t>
            </w:r>
          </w:p>
        </w:tc>
        <w:tc>
          <w:tcPr>
            <w:tcW w:w="1416" w:type="pct"/>
            <w:shd w:val="clear" w:color="auto" w:fill="auto"/>
            <w:vAlign w:val="center"/>
          </w:tcPr>
          <w:p w14:paraId="68D0843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利润总额</w:t>
            </w:r>
          </w:p>
        </w:tc>
        <w:tc>
          <w:tcPr>
            <w:tcW w:w="697" w:type="pct"/>
            <w:shd w:val="clear" w:color="auto" w:fill="auto"/>
            <w:vAlign w:val="center"/>
          </w:tcPr>
          <w:p w14:paraId="0DD73DD1">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万元/a</w:t>
            </w:r>
          </w:p>
        </w:tc>
        <w:tc>
          <w:tcPr>
            <w:tcW w:w="1072" w:type="pct"/>
            <w:shd w:val="clear" w:color="auto" w:fill="auto"/>
            <w:vAlign w:val="center"/>
          </w:tcPr>
          <w:p w14:paraId="199A3BE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254.53</w:t>
            </w:r>
          </w:p>
        </w:tc>
        <w:tc>
          <w:tcPr>
            <w:tcW w:w="981" w:type="pct"/>
            <w:shd w:val="clear" w:color="auto" w:fill="auto"/>
            <w:vAlign w:val="center"/>
          </w:tcPr>
          <w:p w14:paraId="7FA745C7">
            <w:pPr>
              <w:adjustRightInd w:val="0"/>
              <w:snapToGrid w:val="0"/>
              <w:spacing w:line="360" w:lineRule="auto"/>
              <w:jc w:val="center"/>
              <w:rPr>
                <w:rFonts w:ascii="Times New Roman" w:hAnsi="Times New Roman" w:eastAsia="宋体" w:cs="Times New Roman"/>
                <w:szCs w:val="21"/>
                <w:lang w:val="en-GB"/>
              </w:rPr>
            </w:pPr>
          </w:p>
        </w:tc>
      </w:tr>
      <w:tr w14:paraId="425C3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55EAFCB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7</w:t>
            </w:r>
          </w:p>
        </w:tc>
        <w:tc>
          <w:tcPr>
            <w:tcW w:w="1416" w:type="pct"/>
            <w:shd w:val="clear" w:color="auto" w:fill="auto"/>
            <w:vAlign w:val="center"/>
          </w:tcPr>
          <w:p w14:paraId="3367203C">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所得税</w:t>
            </w:r>
          </w:p>
        </w:tc>
        <w:tc>
          <w:tcPr>
            <w:tcW w:w="697" w:type="pct"/>
            <w:shd w:val="clear" w:color="auto" w:fill="auto"/>
            <w:vAlign w:val="center"/>
          </w:tcPr>
          <w:p w14:paraId="2AD6F2FC">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万元/a</w:t>
            </w:r>
          </w:p>
        </w:tc>
        <w:tc>
          <w:tcPr>
            <w:tcW w:w="1072" w:type="pct"/>
            <w:shd w:val="clear" w:color="auto" w:fill="auto"/>
            <w:vAlign w:val="center"/>
          </w:tcPr>
          <w:p w14:paraId="449ABD43">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63.63</w:t>
            </w:r>
          </w:p>
        </w:tc>
        <w:tc>
          <w:tcPr>
            <w:tcW w:w="981" w:type="pct"/>
            <w:shd w:val="clear" w:color="auto" w:fill="auto"/>
            <w:vAlign w:val="center"/>
          </w:tcPr>
          <w:p w14:paraId="504BFB6E">
            <w:pPr>
              <w:adjustRightInd w:val="0"/>
              <w:snapToGrid w:val="0"/>
              <w:spacing w:line="360" w:lineRule="auto"/>
              <w:jc w:val="center"/>
              <w:rPr>
                <w:rFonts w:ascii="Times New Roman" w:hAnsi="Times New Roman" w:eastAsia="宋体" w:cs="Times New Roman"/>
                <w:szCs w:val="21"/>
                <w:lang w:val="en-GB"/>
              </w:rPr>
            </w:pPr>
          </w:p>
        </w:tc>
      </w:tr>
      <w:tr w14:paraId="2A5CD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6DA8A952">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8</w:t>
            </w:r>
          </w:p>
        </w:tc>
        <w:tc>
          <w:tcPr>
            <w:tcW w:w="1416" w:type="pct"/>
            <w:shd w:val="clear" w:color="auto" w:fill="auto"/>
            <w:vAlign w:val="center"/>
          </w:tcPr>
          <w:p w14:paraId="036934A1">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净利润</w:t>
            </w:r>
          </w:p>
        </w:tc>
        <w:tc>
          <w:tcPr>
            <w:tcW w:w="697" w:type="pct"/>
            <w:shd w:val="clear" w:color="auto" w:fill="auto"/>
            <w:vAlign w:val="center"/>
          </w:tcPr>
          <w:p w14:paraId="3179A81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万元/a</w:t>
            </w:r>
          </w:p>
        </w:tc>
        <w:tc>
          <w:tcPr>
            <w:tcW w:w="1072" w:type="pct"/>
            <w:shd w:val="clear" w:color="auto" w:fill="auto"/>
            <w:vAlign w:val="center"/>
          </w:tcPr>
          <w:p w14:paraId="10085F2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190.90</w:t>
            </w:r>
          </w:p>
        </w:tc>
        <w:tc>
          <w:tcPr>
            <w:tcW w:w="981" w:type="pct"/>
            <w:shd w:val="clear" w:color="auto" w:fill="auto"/>
            <w:vAlign w:val="center"/>
          </w:tcPr>
          <w:p w14:paraId="6F9DF112">
            <w:pPr>
              <w:adjustRightInd w:val="0"/>
              <w:snapToGrid w:val="0"/>
              <w:spacing w:line="360" w:lineRule="auto"/>
              <w:jc w:val="center"/>
              <w:rPr>
                <w:rFonts w:ascii="Times New Roman" w:hAnsi="Times New Roman" w:eastAsia="宋体" w:cs="Times New Roman"/>
                <w:szCs w:val="21"/>
                <w:lang w:val="en-GB"/>
              </w:rPr>
            </w:pPr>
          </w:p>
        </w:tc>
      </w:tr>
      <w:tr w14:paraId="41522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6759757C">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9</w:t>
            </w:r>
          </w:p>
        </w:tc>
        <w:tc>
          <w:tcPr>
            <w:tcW w:w="1416" w:type="pct"/>
            <w:shd w:val="clear" w:color="auto" w:fill="auto"/>
            <w:vAlign w:val="center"/>
          </w:tcPr>
          <w:p w14:paraId="070A633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法定盈余公积金</w:t>
            </w:r>
          </w:p>
        </w:tc>
        <w:tc>
          <w:tcPr>
            <w:tcW w:w="697" w:type="pct"/>
            <w:shd w:val="clear" w:color="auto" w:fill="auto"/>
            <w:vAlign w:val="center"/>
          </w:tcPr>
          <w:p w14:paraId="3BD3652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万元/a</w:t>
            </w:r>
          </w:p>
        </w:tc>
        <w:tc>
          <w:tcPr>
            <w:tcW w:w="1072" w:type="pct"/>
            <w:shd w:val="clear" w:color="auto" w:fill="auto"/>
            <w:vAlign w:val="center"/>
          </w:tcPr>
          <w:p w14:paraId="0C12B388">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19.09</w:t>
            </w:r>
          </w:p>
        </w:tc>
        <w:tc>
          <w:tcPr>
            <w:tcW w:w="981" w:type="pct"/>
            <w:shd w:val="clear" w:color="auto" w:fill="auto"/>
            <w:vAlign w:val="center"/>
          </w:tcPr>
          <w:p w14:paraId="238A53FE">
            <w:pPr>
              <w:adjustRightInd w:val="0"/>
              <w:snapToGrid w:val="0"/>
              <w:spacing w:line="360" w:lineRule="auto"/>
              <w:jc w:val="center"/>
              <w:rPr>
                <w:rFonts w:ascii="Times New Roman" w:hAnsi="Times New Roman" w:eastAsia="宋体" w:cs="Times New Roman"/>
                <w:szCs w:val="21"/>
                <w:lang w:val="en-GB"/>
              </w:rPr>
            </w:pPr>
          </w:p>
        </w:tc>
      </w:tr>
      <w:tr w14:paraId="64BC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1F3F5283">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10</w:t>
            </w:r>
          </w:p>
        </w:tc>
        <w:tc>
          <w:tcPr>
            <w:tcW w:w="1416" w:type="pct"/>
            <w:shd w:val="clear" w:color="auto" w:fill="auto"/>
            <w:vAlign w:val="center"/>
          </w:tcPr>
          <w:p w14:paraId="251399BB">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任意</w:t>
            </w:r>
            <w:r>
              <w:rPr>
                <w:rFonts w:hint="eastAsia" w:ascii="Times New Roman" w:hAnsi="Times New Roman" w:eastAsia="宋体" w:cs="Times New Roman"/>
                <w:szCs w:val="21"/>
                <w:lang w:val="en-GB"/>
              </w:rPr>
              <w:t>盈余</w:t>
            </w:r>
            <w:r>
              <w:rPr>
                <w:rFonts w:ascii="Times New Roman" w:hAnsi="Times New Roman" w:eastAsia="宋体" w:cs="Times New Roman"/>
                <w:szCs w:val="21"/>
                <w:lang w:val="en-GB"/>
              </w:rPr>
              <w:t>公积金</w:t>
            </w:r>
          </w:p>
        </w:tc>
        <w:tc>
          <w:tcPr>
            <w:tcW w:w="697" w:type="pct"/>
            <w:shd w:val="clear" w:color="auto" w:fill="auto"/>
            <w:vAlign w:val="center"/>
          </w:tcPr>
          <w:p w14:paraId="5917497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万元/a</w:t>
            </w:r>
          </w:p>
        </w:tc>
        <w:tc>
          <w:tcPr>
            <w:tcW w:w="1072" w:type="pct"/>
            <w:shd w:val="clear" w:color="auto" w:fill="auto"/>
            <w:vAlign w:val="center"/>
          </w:tcPr>
          <w:p w14:paraId="1B03B7A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0</w:t>
            </w:r>
          </w:p>
        </w:tc>
        <w:tc>
          <w:tcPr>
            <w:tcW w:w="981" w:type="pct"/>
            <w:shd w:val="clear" w:color="auto" w:fill="auto"/>
            <w:vAlign w:val="center"/>
          </w:tcPr>
          <w:p w14:paraId="4F566A95">
            <w:pPr>
              <w:adjustRightInd w:val="0"/>
              <w:snapToGrid w:val="0"/>
              <w:spacing w:line="360" w:lineRule="auto"/>
              <w:jc w:val="center"/>
              <w:rPr>
                <w:rFonts w:ascii="Times New Roman" w:hAnsi="Times New Roman" w:eastAsia="宋体" w:cs="Times New Roman"/>
                <w:szCs w:val="21"/>
                <w:lang w:val="en-GB"/>
              </w:rPr>
            </w:pPr>
          </w:p>
        </w:tc>
      </w:tr>
      <w:tr w14:paraId="3E6CC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710ED2D6">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九</w:t>
            </w:r>
          </w:p>
        </w:tc>
        <w:tc>
          <w:tcPr>
            <w:tcW w:w="1416" w:type="pct"/>
            <w:shd w:val="clear" w:color="auto" w:fill="auto"/>
            <w:vAlign w:val="center"/>
          </w:tcPr>
          <w:p w14:paraId="18C45362">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盈利能力</w:t>
            </w:r>
          </w:p>
        </w:tc>
        <w:tc>
          <w:tcPr>
            <w:tcW w:w="697" w:type="pct"/>
            <w:shd w:val="clear" w:color="auto" w:fill="auto"/>
            <w:vAlign w:val="center"/>
          </w:tcPr>
          <w:p w14:paraId="64986D71">
            <w:pPr>
              <w:adjustRightInd w:val="0"/>
              <w:snapToGrid w:val="0"/>
              <w:spacing w:line="360" w:lineRule="auto"/>
              <w:jc w:val="center"/>
              <w:rPr>
                <w:rFonts w:ascii="Times New Roman" w:hAnsi="Times New Roman" w:eastAsia="宋体" w:cs="Times New Roman"/>
                <w:szCs w:val="21"/>
                <w:lang w:val="en-GB"/>
              </w:rPr>
            </w:pPr>
          </w:p>
        </w:tc>
        <w:tc>
          <w:tcPr>
            <w:tcW w:w="1072" w:type="pct"/>
            <w:shd w:val="clear" w:color="auto" w:fill="auto"/>
            <w:vAlign w:val="center"/>
          </w:tcPr>
          <w:p w14:paraId="20E13E41">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所得税后</w:t>
            </w:r>
          </w:p>
        </w:tc>
        <w:tc>
          <w:tcPr>
            <w:tcW w:w="981" w:type="pct"/>
            <w:shd w:val="clear" w:color="auto" w:fill="auto"/>
            <w:vAlign w:val="center"/>
          </w:tcPr>
          <w:p w14:paraId="335317E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所得税前</w:t>
            </w:r>
          </w:p>
        </w:tc>
      </w:tr>
      <w:tr w14:paraId="3A12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831" w:type="pct"/>
            <w:shd w:val="clear" w:color="auto" w:fill="auto"/>
            <w:vAlign w:val="center"/>
          </w:tcPr>
          <w:p w14:paraId="0F747511">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w:t>
            </w:r>
          </w:p>
        </w:tc>
        <w:tc>
          <w:tcPr>
            <w:tcW w:w="1416" w:type="pct"/>
            <w:shd w:val="clear" w:color="auto" w:fill="auto"/>
            <w:vAlign w:val="center"/>
          </w:tcPr>
          <w:p w14:paraId="597C24E7">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项目投资财务内部收益率</w:t>
            </w:r>
          </w:p>
        </w:tc>
        <w:tc>
          <w:tcPr>
            <w:tcW w:w="697" w:type="pct"/>
            <w:shd w:val="clear" w:color="auto" w:fill="auto"/>
            <w:vAlign w:val="center"/>
          </w:tcPr>
          <w:p w14:paraId="267EB0D0">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w:t>
            </w:r>
          </w:p>
        </w:tc>
        <w:tc>
          <w:tcPr>
            <w:tcW w:w="1072" w:type="pct"/>
            <w:shd w:val="clear" w:color="auto" w:fill="auto"/>
            <w:vAlign w:val="center"/>
          </w:tcPr>
          <w:p w14:paraId="37E0DB3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12.70</w:t>
            </w:r>
          </w:p>
        </w:tc>
        <w:tc>
          <w:tcPr>
            <w:tcW w:w="981" w:type="pct"/>
            <w:shd w:val="clear" w:color="auto" w:fill="auto"/>
            <w:vAlign w:val="center"/>
          </w:tcPr>
          <w:p w14:paraId="0DDC05F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20.61</w:t>
            </w:r>
          </w:p>
        </w:tc>
      </w:tr>
      <w:tr w14:paraId="6B9B0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4C28802C">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2</w:t>
            </w:r>
          </w:p>
        </w:tc>
        <w:tc>
          <w:tcPr>
            <w:tcW w:w="1416" w:type="pct"/>
            <w:shd w:val="clear" w:color="auto" w:fill="auto"/>
            <w:vAlign w:val="center"/>
          </w:tcPr>
          <w:p w14:paraId="2114E46F">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项目投资财务净现值</w:t>
            </w:r>
          </w:p>
        </w:tc>
        <w:tc>
          <w:tcPr>
            <w:tcW w:w="697" w:type="pct"/>
            <w:shd w:val="clear" w:color="auto" w:fill="auto"/>
            <w:vAlign w:val="center"/>
          </w:tcPr>
          <w:p w14:paraId="1741FFDA">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万元(I=8%)</w:t>
            </w:r>
          </w:p>
        </w:tc>
        <w:tc>
          <w:tcPr>
            <w:tcW w:w="1072" w:type="pct"/>
            <w:shd w:val="clear" w:color="auto" w:fill="auto"/>
            <w:vAlign w:val="center"/>
          </w:tcPr>
          <w:p w14:paraId="06A97F02">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337.32</w:t>
            </w:r>
          </w:p>
        </w:tc>
        <w:tc>
          <w:tcPr>
            <w:tcW w:w="981" w:type="pct"/>
            <w:shd w:val="clear" w:color="auto" w:fill="auto"/>
            <w:vAlign w:val="center"/>
          </w:tcPr>
          <w:p w14:paraId="7A02F838">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925.43</w:t>
            </w:r>
          </w:p>
        </w:tc>
      </w:tr>
      <w:tr w14:paraId="04B1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092CD91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3</w:t>
            </w:r>
          </w:p>
        </w:tc>
        <w:tc>
          <w:tcPr>
            <w:tcW w:w="1416" w:type="pct"/>
            <w:shd w:val="clear" w:color="auto" w:fill="auto"/>
            <w:vAlign w:val="center"/>
          </w:tcPr>
          <w:p w14:paraId="27134F2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项目</w:t>
            </w:r>
            <w:r>
              <w:rPr>
                <w:rFonts w:hint="eastAsia" w:ascii="Times New Roman" w:hAnsi="Times New Roman" w:eastAsia="宋体" w:cs="Times New Roman"/>
                <w:szCs w:val="21"/>
                <w:lang w:val="en-GB"/>
              </w:rPr>
              <w:t>投资</w:t>
            </w:r>
            <w:r>
              <w:rPr>
                <w:rFonts w:ascii="Times New Roman" w:hAnsi="Times New Roman" w:eastAsia="宋体" w:cs="Times New Roman"/>
                <w:szCs w:val="21"/>
                <w:lang w:val="en-GB"/>
              </w:rPr>
              <w:t>回收期</w:t>
            </w:r>
          </w:p>
        </w:tc>
        <w:tc>
          <w:tcPr>
            <w:tcW w:w="697" w:type="pct"/>
            <w:shd w:val="clear" w:color="auto" w:fill="auto"/>
            <w:vAlign w:val="center"/>
          </w:tcPr>
          <w:p w14:paraId="6A77074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a</w:t>
            </w:r>
          </w:p>
        </w:tc>
        <w:tc>
          <w:tcPr>
            <w:tcW w:w="1072" w:type="pct"/>
            <w:shd w:val="clear" w:color="auto" w:fill="auto"/>
            <w:vAlign w:val="center"/>
          </w:tcPr>
          <w:p w14:paraId="270C4B4D">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5.19</w:t>
            </w:r>
          </w:p>
        </w:tc>
        <w:tc>
          <w:tcPr>
            <w:tcW w:w="981" w:type="pct"/>
            <w:shd w:val="clear" w:color="auto" w:fill="auto"/>
            <w:vAlign w:val="center"/>
          </w:tcPr>
          <w:p w14:paraId="24EEC940">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4.44</w:t>
            </w:r>
          </w:p>
        </w:tc>
      </w:tr>
      <w:tr w14:paraId="02281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6328D3C4">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4</w:t>
            </w:r>
          </w:p>
        </w:tc>
        <w:tc>
          <w:tcPr>
            <w:tcW w:w="1416" w:type="pct"/>
            <w:shd w:val="clear" w:color="auto" w:fill="auto"/>
            <w:vAlign w:val="center"/>
          </w:tcPr>
          <w:p w14:paraId="5FFB5411">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总投资收益率</w:t>
            </w:r>
          </w:p>
        </w:tc>
        <w:tc>
          <w:tcPr>
            <w:tcW w:w="697" w:type="pct"/>
            <w:shd w:val="clear" w:color="auto" w:fill="auto"/>
            <w:vAlign w:val="center"/>
          </w:tcPr>
          <w:p w14:paraId="0CF9D9A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w:t>
            </w:r>
          </w:p>
        </w:tc>
        <w:tc>
          <w:tcPr>
            <w:tcW w:w="1072" w:type="pct"/>
            <w:shd w:val="clear" w:color="auto" w:fill="auto"/>
            <w:vAlign w:val="center"/>
          </w:tcPr>
          <w:p w14:paraId="1DEA60B5">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12.02</w:t>
            </w:r>
          </w:p>
        </w:tc>
        <w:tc>
          <w:tcPr>
            <w:tcW w:w="981" w:type="pct"/>
            <w:shd w:val="clear" w:color="auto" w:fill="auto"/>
            <w:vAlign w:val="center"/>
          </w:tcPr>
          <w:p w14:paraId="21C03867">
            <w:pPr>
              <w:adjustRightInd w:val="0"/>
              <w:snapToGrid w:val="0"/>
              <w:spacing w:line="360" w:lineRule="auto"/>
              <w:jc w:val="center"/>
              <w:rPr>
                <w:rFonts w:ascii="Times New Roman" w:hAnsi="Times New Roman" w:eastAsia="宋体" w:cs="Times New Roman"/>
                <w:szCs w:val="21"/>
                <w:lang w:val="en-GB"/>
              </w:rPr>
            </w:pPr>
          </w:p>
        </w:tc>
      </w:tr>
      <w:tr w14:paraId="1FFC0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31" w:type="pct"/>
            <w:shd w:val="clear" w:color="auto" w:fill="auto"/>
            <w:vAlign w:val="center"/>
          </w:tcPr>
          <w:p w14:paraId="3D0397D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5</w:t>
            </w:r>
          </w:p>
        </w:tc>
        <w:tc>
          <w:tcPr>
            <w:tcW w:w="1416" w:type="pct"/>
            <w:shd w:val="clear" w:color="auto" w:fill="auto"/>
            <w:vAlign w:val="center"/>
          </w:tcPr>
          <w:p w14:paraId="0DBA3C33">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资本金净利润率</w:t>
            </w:r>
          </w:p>
        </w:tc>
        <w:tc>
          <w:tcPr>
            <w:tcW w:w="697" w:type="pct"/>
            <w:shd w:val="clear" w:color="auto" w:fill="auto"/>
            <w:vAlign w:val="center"/>
          </w:tcPr>
          <w:p w14:paraId="39711418">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w:t>
            </w:r>
          </w:p>
        </w:tc>
        <w:tc>
          <w:tcPr>
            <w:tcW w:w="1072" w:type="pct"/>
            <w:shd w:val="clear" w:color="auto" w:fill="auto"/>
            <w:vAlign w:val="center"/>
          </w:tcPr>
          <w:p w14:paraId="3E1DF6E9">
            <w:pPr>
              <w:adjustRightInd w:val="0"/>
              <w:snapToGrid w:val="0"/>
              <w:spacing w:line="360" w:lineRule="auto"/>
              <w:jc w:val="center"/>
              <w:rPr>
                <w:rFonts w:ascii="Times New Roman" w:hAnsi="Times New Roman" w:eastAsia="宋体" w:cs="Times New Roman"/>
                <w:szCs w:val="21"/>
                <w:lang w:val="en-GB"/>
              </w:rPr>
            </w:pPr>
            <w:r>
              <w:rPr>
                <w:rFonts w:ascii="Times New Roman" w:hAnsi="Times New Roman" w:eastAsia="宋体" w:cs="Times New Roman"/>
                <w:szCs w:val="21"/>
                <w:lang w:val="en-GB"/>
              </w:rPr>
              <w:t>9.93</w:t>
            </w:r>
          </w:p>
        </w:tc>
        <w:tc>
          <w:tcPr>
            <w:tcW w:w="981" w:type="pct"/>
            <w:shd w:val="clear" w:color="auto" w:fill="auto"/>
            <w:vAlign w:val="center"/>
          </w:tcPr>
          <w:p w14:paraId="530E9617">
            <w:pPr>
              <w:adjustRightInd w:val="0"/>
              <w:snapToGrid w:val="0"/>
              <w:spacing w:line="360" w:lineRule="auto"/>
              <w:jc w:val="center"/>
              <w:rPr>
                <w:rFonts w:ascii="Times New Roman" w:hAnsi="Times New Roman" w:eastAsia="宋体" w:cs="Times New Roman"/>
                <w:szCs w:val="21"/>
                <w:lang w:val="en-GB"/>
              </w:rPr>
            </w:pPr>
          </w:p>
        </w:tc>
      </w:tr>
      <w:bookmarkEnd w:id="71"/>
    </w:tbl>
    <w:p w14:paraId="7C62DB65">
      <w:pPr>
        <w:adjustRightInd w:val="0"/>
        <w:snapToGrid w:val="0"/>
        <w:spacing w:before="312" w:beforeLines="100" w:line="360" w:lineRule="auto"/>
        <w:ind w:firstLine="562" w:firstLineChars="200"/>
        <w:rPr>
          <w:rFonts w:ascii="Times New Roman" w:hAnsi="Times New Roman" w:eastAsia="宋体" w:cs="Times New Roman"/>
          <w:b/>
          <w:bCs/>
          <w:sz w:val="28"/>
          <w:szCs w:val="21"/>
        </w:rPr>
      </w:pPr>
      <w:r>
        <w:rPr>
          <w:rFonts w:hint="eastAsia" w:ascii="Times New Roman" w:hAnsi="Times New Roman" w:eastAsia="宋体" w:cs="Times New Roman"/>
          <w:b/>
          <w:bCs/>
          <w:sz w:val="28"/>
          <w:szCs w:val="21"/>
        </w:rPr>
        <w:t>六、矿山安全投入</w:t>
      </w:r>
    </w:p>
    <w:p w14:paraId="656286E5">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lang w:val="en-GB"/>
        </w:rPr>
        <w:t>矿山安全直接投资185.70万元，占项目建设投资1713.0万元的10.84%，见</w:t>
      </w:r>
      <w:r>
        <w:rPr>
          <w:rFonts w:ascii="Times New Roman" w:hAnsi="Times New Roman" w:eastAsia="宋体" w:cs="Times New Roman"/>
          <w:sz w:val="28"/>
          <w:szCs w:val="21"/>
        </w:rPr>
        <w:t>下</w:t>
      </w:r>
      <w:r>
        <w:rPr>
          <w:rFonts w:ascii="Times New Roman" w:hAnsi="Times New Roman" w:eastAsia="宋体" w:cs="Times New Roman"/>
          <w:sz w:val="28"/>
          <w:szCs w:val="21"/>
          <w:lang w:val="en-GB"/>
        </w:rPr>
        <w:t>表</w:t>
      </w:r>
      <w:r>
        <w:rPr>
          <w:rFonts w:ascii="Times New Roman" w:hAnsi="Times New Roman" w:eastAsia="宋体" w:cs="Times New Roman"/>
          <w:sz w:val="28"/>
          <w:szCs w:val="21"/>
        </w:rPr>
        <w:t>所示。</w:t>
      </w:r>
    </w:p>
    <w:p w14:paraId="16FE8BEE">
      <w:pPr>
        <w:keepNext/>
        <w:keepLines/>
        <w:adjustRightInd w:val="0"/>
        <w:snapToGrid w:val="0"/>
        <w:jc w:val="center"/>
        <w:rPr>
          <w:rFonts w:ascii="Times New Roman" w:hAnsi="Times New Roman" w:eastAsia="宋体" w:cs="Times New Roman"/>
          <w:b/>
          <w:bCs w:val="0"/>
          <w:kern w:val="0"/>
          <w:sz w:val="24"/>
          <w:szCs w:val="24"/>
        </w:rPr>
      </w:pPr>
      <w:r>
        <w:rPr>
          <w:rFonts w:ascii="Times New Roman" w:hAnsi="Times New Roman" w:eastAsia="宋体" w:cs="Times New Roman"/>
          <w:b/>
          <w:bCs w:val="0"/>
          <w:kern w:val="0"/>
          <w:sz w:val="24"/>
          <w:szCs w:val="24"/>
        </w:rPr>
        <w:t>表2.4-</w:t>
      </w:r>
      <w:r>
        <w:rPr>
          <w:rFonts w:hint="eastAsia" w:ascii="Times New Roman" w:hAnsi="Times New Roman" w:eastAsia="宋体" w:cs="Times New Roman"/>
          <w:b/>
          <w:bCs w:val="0"/>
          <w:kern w:val="0"/>
          <w:sz w:val="24"/>
          <w:szCs w:val="24"/>
          <w:lang w:val="en-US" w:eastAsia="zh-CN"/>
        </w:rPr>
        <w:t>7</w:t>
      </w:r>
      <w:r>
        <w:rPr>
          <w:rFonts w:ascii="Times New Roman" w:hAnsi="Times New Roman" w:eastAsia="宋体" w:cs="Times New Roman"/>
          <w:b/>
          <w:bCs w:val="0"/>
          <w:kern w:val="0"/>
          <w:sz w:val="24"/>
          <w:szCs w:val="24"/>
        </w:rPr>
        <w:t xml:space="preserve">  安全直接投入</w:t>
      </w:r>
      <w:r>
        <w:rPr>
          <w:rFonts w:hint="eastAsia" w:ascii="Times New Roman" w:hAnsi="Times New Roman" w:eastAsia="宋体" w:cs="Times New Roman"/>
          <w:b/>
          <w:bCs w:val="0"/>
          <w:kern w:val="0"/>
          <w:sz w:val="24"/>
          <w:szCs w:val="24"/>
        </w:rPr>
        <w:t>概算</w:t>
      </w:r>
      <w:r>
        <w:rPr>
          <w:rFonts w:ascii="Times New Roman" w:hAnsi="Times New Roman" w:eastAsia="宋体" w:cs="Times New Roman"/>
          <w:b/>
          <w:bCs w:val="0"/>
          <w:kern w:val="0"/>
          <w:sz w:val="24"/>
          <w:szCs w:val="24"/>
        </w:rPr>
        <w:t>表</w:t>
      </w:r>
    </w:p>
    <w:tbl>
      <w:tblPr>
        <w:tblStyle w:val="31"/>
        <w:tblW w:w="4997" w:type="pct"/>
        <w:jc w:val="center"/>
        <w:tblLayout w:type="autofit"/>
        <w:tblCellMar>
          <w:top w:w="0" w:type="dxa"/>
          <w:left w:w="108" w:type="dxa"/>
          <w:bottom w:w="0" w:type="dxa"/>
          <w:right w:w="108" w:type="dxa"/>
        </w:tblCellMar>
      </w:tblPr>
      <w:tblGrid>
        <w:gridCol w:w="709"/>
        <w:gridCol w:w="2921"/>
        <w:gridCol w:w="4744"/>
        <w:gridCol w:w="1021"/>
      </w:tblGrid>
      <w:tr w14:paraId="14D02F33">
        <w:tblPrEx>
          <w:tblCellMar>
            <w:top w:w="0" w:type="dxa"/>
            <w:left w:w="108" w:type="dxa"/>
            <w:bottom w:w="0" w:type="dxa"/>
            <w:right w:w="108" w:type="dxa"/>
          </w:tblCellMar>
        </w:tblPrEx>
        <w:trPr>
          <w:trHeight w:val="227" w:hRule="atLeast"/>
          <w:jc w:val="center"/>
        </w:trPr>
        <w:tc>
          <w:tcPr>
            <w:tcW w:w="378" w:type="pct"/>
            <w:tcBorders>
              <w:top w:val="single" w:color="auto" w:sz="4" w:space="0"/>
              <w:left w:val="single" w:color="auto" w:sz="4" w:space="0"/>
              <w:bottom w:val="single" w:color="auto" w:sz="4" w:space="0"/>
              <w:right w:val="single" w:color="auto" w:sz="4" w:space="0"/>
            </w:tcBorders>
            <w:shd w:val="clear" w:color="auto" w:fill="auto"/>
            <w:vAlign w:val="center"/>
          </w:tcPr>
          <w:p w14:paraId="2EF0BA7F">
            <w:pPr>
              <w:widowControl/>
              <w:jc w:val="center"/>
              <w:rPr>
                <w:rFonts w:ascii="Times New Roman" w:hAnsi="Times New Roman" w:eastAsia="宋体" w:cs="Times New Roman"/>
                <w:b/>
                <w:bCs/>
                <w:color w:val="000000"/>
                <w:kern w:val="0"/>
                <w:szCs w:val="21"/>
              </w:rPr>
            </w:pPr>
            <w:r>
              <w:rPr>
                <w:rFonts w:ascii="Times New Roman" w:hAnsi="Times New Roman" w:eastAsia="宋体" w:cs="Times New Roman"/>
                <w:b/>
                <w:bCs/>
                <w:color w:val="000000"/>
                <w:kern w:val="0"/>
                <w:szCs w:val="21"/>
              </w:rPr>
              <w:t>序号</w:t>
            </w:r>
          </w:p>
        </w:tc>
        <w:tc>
          <w:tcPr>
            <w:tcW w:w="1554" w:type="pct"/>
            <w:tcBorders>
              <w:top w:val="single" w:color="auto" w:sz="4" w:space="0"/>
              <w:left w:val="single" w:color="auto" w:sz="4" w:space="0"/>
              <w:bottom w:val="single" w:color="auto" w:sz="4" w:space="0"/>
              <w:right w:val="single" w:color="auto" w:sz="4" w:space="0"/>
            </w:tcBorders>
            <w:shd w:val="clear" w:color="auto" w:fill="auto"/>
            <w:vAlign w:val="center"/>
          </w:tcPr>
          <w:p w14:paraId="626B839C">
            <w:pPr>
              <w:widowControl/>
              <w:jc w:val="center"/>
              <w:rPr>
                <w:rFonts w:ascii="Times New Roman" w:hAnsi="Times New Roman" w:eastAsia="宋体" w:cs="Times New Roman"/>
                <w:b/>
                <w:bCs/>
                <w:color w:val="000000"/>
                <w:kern w:val="0"/>
                <w:szCs w:val="21"/>
              </w:rPr>
            </w:pPr>
            <w:r>
              <w:rPr>
                <w:rFonts w:ascii="Times New Roman" w:hAnsi="Times New Roman" w:eastAsia="宋体" w:cs="Times New Roman"/>
                <w:b/>
                <w:bCs/>
                <w:color w:val="000000"/>
                <w:kern w:val="0"/>
                <w:szCs w:val="21"/>
              </w:rPr>
              <w:t>名   称</w:t>
            </w:r>
          </w:p>
        </w:tc>
        <w:tc>
          <w:tcPr>
            <w:tcW w:w="2523" w:type="pct"/>
            <w:tcBorders>
              <w:top w:val="single" w:color="auto" w:sz="4" w:space="0"/>
              <w:left w:val="single" w:color="auto" w:sz="4" w:space="0"/>
              <w:bottom w:val="single" w:color="auto" w:sz="4" w:space="0"/>
              <w:right w:val="single" w:color="auto" w:sz="4" w:space="0"/>
            </w:tcBorders>
            <w:shd w:val="clear" w:color="auto" w:fill="auto"/>
            <w:vAlign w:val="center"/>
          </w:tcPr>
          <w:p w14:paraId="635F39C9">
            <w:pPr>
              <w:widowControl/>
              <w:jc w:val="center"/>
              <w:rPr>
                <w:rFonts w:ascii="Times New Roman" w:hAnsi="Times New Roman" w:eastAsia="宋体" w:cs="Times New Roman"/>
                <w:b/>
                <w:bCs/>
                <w:color w:val="000000"/>
                <w:kern w:val="0"/>
                <w:szCs w:val="21"/>
              </w:rPr>
            </w:pPr>
            <w:r>
              <w:rPr>
                <w:rFonts w:ascii="Times New Roman" w:hAnsi="Times New Roman" w:eastAsia="宋体" w:cs="Times New Roman"/>
                <w:b/>
                <w:bCs/>
                <w:color w:val="000000"/>
                <w:kern w:val="0"/>
                <w:szCs w:val="21"/>
              </w:rPr>
              <w:t>描    述</w:t>
            </w:r>
          </w:p>
        </w:tc>
        <w:tc>
          <w:tcPr>
            <w:tcW w:w="543" w:type="pct"/>
            <w:tcBorders>
              <w:top w:val="single" w:color="auto" w:sz="4" w:space="0"/>
              <w:left w:val="single" w:color="auto" w:sz="4" w:space="0"/>
              <w:bottom w:val="single" w:color="auto" w:sz="4" w:space="0"/>
              <w:right w:val="single" w:color="auto" w:sz="4" w:space="0"/>
            </w:tcBorders>
            <w:shd w:val="clear" w:color="auto" w:fill="auto"/>
            <w:vAlign w:val="center"/>
          </w:tcPr>
          <w:p w14:paraId="46E2F010">
            <w:pPr>
              <w:widowControl/>
              <w:jc w:val="center"/>
              <w:rPr>
                <w:rFonts w:ascii="Times New Roman" w:hAnsi="Times New Roman" w:eastAsia="宋体" w:cs="Times New Roman"/>
                <w:b/>
                <w:bCs/>
                <w:color w:val="000000"/>
                <w:kern w:val="0"/>
                <w:szCs w:val="21"/>
              </w:rPr>
            </w:pPr>
            <w:r>
              <w:rPr>
                <w:rFonts w:ascii="Times New Roman" w:hAnsi="Times New Roman" w:eastAsia="宋体" w:cs="Times New Roman"/>
                <w:b/>
                <w:bCs/>
                <w:color w:val="000000"/>
                <w:kern w:val="0"/>
                <w:szCs w:val="21"/>
              </w:rPr>
              <w:t>投资</w:t>
            </w:r>
          </w:p>
        </w:tc>
      </w:tr>
      <w:tr w14:paraId="621B2F2C">
        <w:tblPrEx>
          <w:tblCellMar>
            <w:top w:w="0" w:type="dxa"/>
            <w:left w:w="108" w:type="dxa"/>
            <w:bottom w:w="0" w:type="dxa"/>
            <w:right w:w="108" w:type="dxa"/>
          </w:tblCellMar>
        </w:tblPrEx>
        <w:trPr>
          <w:trHeight w:val="227" w:hRule="atLeast"/>
          <w:jc w:val="center"/>
        </w:trPr>
        <w:tc>
          <w:tcPr>
            <w:tcW w:w="378" w:type="pct"/>
            <w:tcBorders>
              <w:top w:val="nil"/>
              <w:left w:val="single" w:color="auto" w:sz="4" w:space="0"/>
              <w:bottom w:val="single" w:color="auto" w:sz="4" w:space="0"/>
              <w:right w:val="single" w:color="auto" w:sz="4" w:space="0"/>
            </w:tcBorders>
            <w:shd w:val="clear" w:color="auto" w:fill="auto"/>
            <w:vAlign w:val="center"/>
          </w:tcPr>
          <w:p w14:paraId="2F239AB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1554" w:type="pct"/>
            <w:tcBorders>
              <w:top w:val="nil"/>
              <w:left w:val="nil"/>
              <w:bottom w:val="single" w:color="auto" w:sz="4" w:space="0"/>
              <w:right w:val="single" w:color="auto" w:sz="4" w:space="0"/>
            </w:tcBorders>
            <w:shd w:val="clear" w:color="auto" w:fill="auto"/>
            <w:vAlign w:val="center"/>
          </w:tcPr>
          <w:p w14:paraId="3D6E9CE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露天采场所设的边界围栏</w:t>
            </w:r>
          </w:p>
        </w:tc>
        <w:tc>
          <w:tcPr>
            <w:tcW w:w="2523" w:type="pct"/>
            <w:tcBorders>
              <w:top w:val="nil"/>
              <w:left w:val="nil"/>
              <w:bottom w:val="single" w:color="auto" w:sz="4" w:space="0"/>
              <w:right w:val="single" w:color="auto" w:sz="4" w:space="0"/>
            </w:tcBorders>
            <w:shd w:val="clear" w:color="auto" w:fill="auto"/>
            <w:vAlign w:val="center"/>
          </w:tcPr>
          <w:p w14:paraId="6102C38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采场边界设置围栏；</w:t>
            </w:r>
          </w:p>
        </w:tc>
        <w:tc>
          <w:tcPr>
            <w:tcW w:w="543" w:type="pct"/>
            <w:tcBorders>
              <w:top w:val="single" w:color="auto" w:sz="4" w:space="0"/>
              <w:left w:val="single" w:color="auto" w:sz="4" w:space="0"/>
              <w:bottom w:val="single" w:color="auto" w:sz="4" w:space="0"/>
              <w:right w:val="single" w:color="auto" w:sz="4" w:space="0"/>
            </w:tcBorders>
            <w:shd w:val="clear" w:color="auto" w:fill="auto"/>
            <w:vAlign w:val="center"/>
          </w:tcPr>
          <w:p w14:paraId="37EACBE2">
            <w:pPr>
              <w:jc w:val="center"/>
              <w:rPr>
                <w:rFonts w:ascii="Times New Roman" w:hAnsi="Times New Roman" w:eastAsia="宋体" w:cs="Times New Roman"/>
                <w:szCs w:val="21"/>
              </w:rPr>
            </w:pPr>
            <w:r>
              <w:rPr>
                <w:rFonts w:ascii="Times New Roman" w:hAnsi="Times New Roman" w:eastAsia="宋体" w:cs="Times New Roman"/>
                <w:szCs w:val="21"/>
              </w:rPr>
              <w:t>3.80</w:t>
            </w:r>
          </w:p>
        </w:tc>
      </w:tr>
      <w:tr w14:paraId="1183FF9D">
        <w:tblPrEx>
          <w:tblCellMar>
            <w:top w:w="0" w:type="dxa"/>
            <w:left w:w="108" w:type="dxa"/>
            <w:bottom w:w="0" w:type="dxa"/>
            <w:right w:w="108" w:type="dxa"/>
          </w:tblCellMar>
        </w:tblPrEx>
        <w:trPr>
          <w:trHeight w:val="227" w:hRule="atLeast"/>
          <w:jc w:val="center"/>
        </w:trPr>
        <w:tc>
          <w:tcPr>
            <w:tcW w:w="378" w:type="pct"/>
            <w:tcBorders>
              <w:top w:val="nil"/>
              <w:left w:val="single" w:color="auto" w:sz="4" w:space="0"/>
              <w:bottom w:val="single" w:color="auto" w:sz="4" w:space="0"/>
              <w:right w:val="single" w:color="auto" w:sz="4" w:space="0"/>
            </w:tcBorders>
            <w:shd w:val="clear" w:color="auto" w:fill="auto"/>
            <w:vAlign w:val="center"/>
          </w:tcPr>
          <w:p w14:paraId="06C45D5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w:t>
            </w:r>
          </w:p>
        </w:tc>
        <w:tc>
          <w:tcPr>
            <w:tcW w:w="1554" w:type="pct"/>
            <w:tcBorders>
              <w:top w:val="nil"/>
              <w:left w:val="nil"/>
              <w:bottom w:val="single" w:color="auto" w:sz="4" w:space="0"/>
              <w:right w:val="single" w:color="auto" w:sz="4" w:space="0"/>
            </w:tcBorders>
            <w:shd w:val="clear" w:color="auto" w:fill="auto"/>
            <w:vAlign w:val="center"/>
          </w:tcPr>
          <w:p w14:paraId="774262D5">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汽车运输</w:t>
            </w:r>
          </w:p>
        </w:tc>
        <w:tc>
          <w:tcPr>
            <w:tcW w:w="2523" w:type="pct"/>
            <w:tcBorders>
              <w:top w:val="nil"/>
              <w:left w:val="nil"/>
              <w:bottom w:val="single" w:color="auto" w:sz="4" w:space="0"/>
              <w:right w:val="single" w:color="auto" w:sz="4" w:space="0"/>
            </w:tcBorders>
            <w:shd w:val="clear" w:color="auto" w:fill="auto"/>
            <w:vAlign w:val="center"/>
          </w:tcPr>
          <w:p w14:paraId="7DE675C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运输道路的缓坡段，运输线路的安全护栏、挡车设施、错车道；</w:t>
            </w:r>
          </w:p>
        </w:tc>
        <w:tc>
          <w:tcPr>
            <w:tcW w:w="543" w:type="pct"/>
            <w:tcBorders>
              <w:top w:val="single" w:color="auto" w:sz="4" w:space="0"/>
              <w:left w:val="nil"/>
              <w:bottom w:val="single" w:color="auto" w:sz="4" w:space="0"/>
              <w:right w:val="single" w:color="auto" w:sz="4" w:space="0"/>
            </w:tcBorders>
            <w:shd w:val="clear" w:color="auto" w:fill="auto"/>
            <w:vAlign w:val="center"/>
          </w:tcPr>
          <w:p w14:paraId="5C049425">
            <w:pPr>
              <w:jc w:val="center"/>
              <w:rPr>
                <w:rFonts w:ascii="Times New Roman" w:hAnsi="Times New Roman" w:eastAsia="宋体" w:cs="Times New Roman"/>
                <w:szCs w:val="21"/>
              </w:rPr>
            </w:pPr>
            <w:r>
              <w:rPr>
                <w:rFonts w:ascii="Times New Roman" w:hAnsi="Times New Roman" w:eastAsia="宋体" w:cs="Times New Roman"/>
                <w:szCs w:val="21"/>
              </w:rPr>
              <w:t>32.50</w:t>
            </w:r>
          </w:p>
        </w:tc>
      </w:tr>
      <w:tr w14:paraId="1443B7F3">
        <w:tblPrEx>
          <w:tblCellMar>
            <w:top w:w="0" w:type="dxa"/>
            <w:left w:w="108" w:type="dxa"/>
            <w:bottom w:w="0" w:type="dxa"/>
            <w:right w:w="108" w:type="dxa"/>
          </w:tblCellMar>
        </w:tblPrEx>
        <w:trPr>
          <w:trHeight w:val="227" w:hRule="atLeast"/>
          <w:jc w:val="center"/>
        </w:trPr>
        <w:tc>
          <w:tcPr>
            <w:tcW w:w="378" w:type="pct"/>
            <w:tcBorders>
              <w:top w:val="nil"/>
              <w:left w:val="single" w:color="auto" w:sz="4" w:space="0"/>
              <w:bottom w:val="single" w:color="auto" w:sz="4" w:space="0"/>
              <w:right w:val="single" w:color="auto" w:sz="4" w:space="0"/>
            </w:tcBorders>
            <w:shd w:val="clear" w:color="auto" w:fill="auto"/>
            <w:vAlign w:val="center"/>
          </w:tcPr>
          <w:p w14:paraId="7E92787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w:t>
            </w:r>
          </w:p>
        </w:tc>
        <w:tc>
          <w:tcPr>
            <w:tcW w:w="1554" w:type="pct"/>
            <w:tcBorders>
              <w:top w:val="nil"/>
              <w:left w:val="nil"/>
              <w:bottom w:val="single" w:color="auto" w:sz="4" w:space="0"/>
              <w:right w:val="single" w:color="auto" w:sz="4" w:space="0"/>
            </w:tcBorders>
            <w:shd w:val="clear" w:color="auto" w:fill="auto"/>
            <w:vAlign w:val="center"/>
          </w:tcPr>
          <w:p w14:paraId="17B7B98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破碎站</w:t>
            </w:r>
          </w:p>
        </w:tc>
        <w:tc>
          <w:tcPr>
            <w:tcW w:w="2523" w:type="pct"/>
            <w:tcBorders>
              <w:top w:val="nil"/>
              <w:left w:val="nil"/>
              <w:bottom w:val="single" w:color="auto" w:sz="4" w:space="0"/>
              <w:right w:val="single" w:color="auto" w:sz="4" w:space="0"/>
            </w:tcBorders>
            <w:shd w:val="clear" w:color="auto" w:fill="auto"/>
            <w:vAlign w:val="center"/>
          </w:tcPr>
          <w:p w14:paraId="4DC417A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卸矿安全挡车设施，设备运动部分的护罩，安全护栏，盖板，扶手，防滑钢板；</w:t>
            </w:r>
          </w:p>
        </w:tc>
        <w:tc>
          <w:tcPr>
            <w:tcW w:w="543" w:type="pct"/>
            <w:tcBorders>
              <w:top w:val="nil"/>
              <w:left w:val="nil"/>
              <w:bottom w:val="single" w:color="auto" w:sz="4" w:space="0"/>
              <w:right w:val="single" w:color="auto" w:sz="4" w:space="0"/>
            </w:tcBorders>
            <w:shd w:val="clear" w:color="auto" w:fill="auto"/>
            <w:vAlign w:val="center"/>
          </w:tcPr>
          <w:p w14:paraId="538C8C25">
            <w:pPr>
              <w:jc w:val="center"/>
              <w:rPr>
                <w:rFonts w:ascii="Times New Roman" w:hAnsi="Times New Roman" w:eastAsia="宋体" w:cs="Times New Roman"/>
                <w:szCs w:val="21"/>
              </w:rPr>
            </w:pPr>
            <w:r>
              <w:rPr>
                <w:rFonts w:ascii="Times New Roman" w:hAnsi="Times New Roman" w:eastAsia="宋体" w:cs="Times New Roman"/>
                <w:szCs w:val="21"/>
              </w:rPr>
              <w:t>41.50</w:t>
            </w:r>
          </w:p>
        </w:tc>
      </w:tr>
      <w:tr w14:paraId="03598AF0">
        <w:tblPrEx>
          <w:tblCellMar>
            <w:top w:w="0" w:type="dxa"/>
            <w:left w:w="108" w:type="dxa"/>
            <w:bottom w:w="0" w:type="dxa"/>
            <w:right w:w="108" w:type="dxa"/>
          </w:tblCellMar>
        </w:tblPrEx>
        <w:trPr>
          <w:trHeight w:val="227" w:hRule="atLeast"/>
          <w:jc w:val="center"/>
        </w:trPr>
        <w:tc>
          <w:tcPr>
            <w:tcW w:w="378" w:type="pct"/>
            <w:tcBorders>
              <w:top w:val="nil"/>
              <w:left w:val="single" w:color="auto" w:sz="4" w:space="0"/>
              <w:bottom w:val="single" w:color="auto" w:sz="4" w:space="0"/>
              <w:right w:val="single" w:color="auto" w:sz="4" w:space="0"/>
            </w:tcBorders>
            <w:shd w:val="clear" w:color="auto" w:fill="auto"/>
            <w:vAlign w:val="center"/>
          </w:tcPr>
          <w:p w14:paraId="232D67DB">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w:t>
            </w:r>
          </w:p>
        </w:tc>
        <w:tc>
          <w:tcPr>
            <w:tcW w:w="1554" w:type="pct"/>
            <w:tcBorders>
              <w:top w:val="nil"/>
              <w:left w:val="nil"/>
              <w:bottom w:val="single" w:color="auto" w:sz="4" w:space="0"/>
              <w:right w:val="single" w:color="auto" w:sz="4" w:space="0"/>
            </w:tcBorders>
            <w:shd w:val="clear" w:color="auto" w:fill="auto"/>
            <w:vAlign w:val="center"/>
          </w:tcPr>
          <w:p w14:paraId="724C6AB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排土场</w:t>
            </w:r>
          </w:p>
        </w:tc>
        <w:tc>
          <w:tcPr>
            <w:tcW w:w="2523" w:type="pct"/>
            <w:tcBorders>
              <w:top w:val="nil"/>
              <w:left w:val="nil"/>
              <w:bottom w:val="single" w:color="auto" w:sz="4" w:space="0"/>
              <w:right w:val="single" w:color="auto" w:sz="4" w:space="0"/>
            </w:tcBorders>
            <w:shd w:val="clear" w:color="auto" w:fill="auto"/>
            <w:vAlign w:val="center"/>
          </w:tcPr>
          <w:p w14:paraId="09701D6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截洪沟，卸矿安全挡车设施；</w:t>
            </w:r>
          </w:p>
        </w:tc>
        <w:tc>
          <w:tcPr>
            <w:tcW w:w="543" w:type="pct"/>
            <w:tcBorders>
              <w:top w:val="nil"/>
              <w:left w:val="nil"/>
              <w:bottom w:val="single" w:color="auto" w:sz="4" w:space="0"/>
              <w:right w:val="single" w:color="auto" w:sz="4" w:space="0"/>
            </w:tcBorders>
            <w:shd w:val="clear" w:color="auto" w:fill="auto"/>
            <w:vAlign w:val="center"/>
          </w:tcPr>
          <w:p w14:paraId="41ADD5DC">
            <w:pPr>
              <w:jc w:val="center"/>
              <w:rPr>
                <w:rFonts w:ascii="Times New Roman" w:hAnsi="Times New Roman" w:eastAsia="宋体" w:cs="Times New Roman"/>
                <w:szCs w:val="21"/>
              </w:rPr>
            </w:pPr>
            <w:r>
              <w:rPr>
                <w:rFonts w:ascii="Times New Roman" w:hAnsi="Times New Roman" w:eastAsia="宋体" w:cs="Times New Roman"/>
                <w:szCs w:val="21"/>
              </w:rPr>
              <w:t>21.40</w:t>
            </w:r>
          </w:p>
        </w:tc>
      </w:tr>
      <w:tr w14:paraId="4505C041">
        <w:tblPrEx>
          <w:tblCellMar>
            <w:top w:w="0" w:type="dxa"/>
            <w:left w:w="108" w:type="dxa"/>
            <w:bottom w:w="0" w:type="dxa"/>
            <w:right w:w="108" w:type="dxa"/>
          </w:tblCellMar>
        </w:tblPrEx>
        <w:trPr>
          <w:trHeight w:val="227" w:hRule="atLeast"/>
          <w:jc w:val="center"/>
        </w:trPr>
        <w:tc>
          <w:tcPr>
            <w:tcW w:w="378" w:type="pct"/>
            <w:tcBorders>
              <w:top w:val="nil"/>
              <w:left w:val="single" w:color="auto" w:sz="4" w:space="0"/>
              <w:bottom w:val="single" w:color="auto" w:sz="4" w:space="0"/>
              <w:right w:val="single" w:color="auto" w:sz="4" w:space="0"/>
            </w:tcBorders>
            <w:shd w:val="clear" w:color="auto" w:fill="auto"/>
            <w:vAlign w:val="center"/>
          </w:tcPr>
          <w:p w14:paraId="41D25C2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w:t>
            </w:r>
          </w:p>
        </w:tc>
        <w:tc>
          <w:tcPr>
            <w:tcW w:w="1554" w:type="pct"/>
            <w:tcBorders>
              <w:top w:val="nil"/>
              <w:left w:val="nil"/>
              <w:bottom w:val="single" w:color="auto" w:sz="4" w:space="0"/>
              <w:right w:val="single" w:color="auto" w:sz="4" w:space="0"/>
            </w:tcBorders>
            <w:shd w:val="clear" w:color="auto" w:fill="auto"/>
            <w:vAlign w:val="center"/>
          </w:tcPr>
          <w:p w14:paraId="25C0E50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供、配电设施</w:t>
            </w:r>
          </w:p>
        </w:tc>
        <w:tc>
          <w:tcPr>
            <w:tcW w:w="2523" w:type="pct"/>
            <w:tcBorders>
              <w:top w:val="nil"/>
              <w:left w:val="nil"/>
              <w:bottom w:val="single" w:color="auto" w:sz="4" w:space="0"/>
              <w:right w:val="single" w:color="auto" w:sz="4" w:space="0"/>
            </w:tcBorders>
            <w:shd w:val="clear" w:color="auto" w:fill="auto"/>
            <w:vAlign w:val="center"/>
          </w:tcPr>
          <w:p w14:paraId="52D1F71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变压器、配电柜、防雷设施、继电保护装置、电气安全保护措施；</w:t>
            </w:r>
          </w:p>
        </w:tc>
        <w:tc>
          <w:tcPr>
            <w:tcW w:w="543" w:type="pct"/>
            <w:tcBorders>
              <w:top w:val="nil"/>
              <w:left w:val="nil"/>
              <w:bottom w:val="single" w:color="auto" w:sz="4" w:space="0"/>
              <w:right w:val="single" w:color="auto" w:sz="4" w:space="0"/>
            </w:tcBorders>
            <w:shd w:val="clear" w:color="auto" w:fill="auto"/>
            <w:vAlign w:val="center"/>
          </w:tcPr>
          <w:p w14:paraId="229E9129">
            <w:pPr>
              <w:jc w:val="center"/>
              <w:rPr>
                <w:rFonts w:ascii="Times New Roman" w:hAnsi="Times New Roman" w:eastAsia="宋体" w:cs="Times New Roman"/>
                <w:szCs w:val="21"/>
              </w:rPr>
            </w:pPr>
            <w:r>
              <w:rPr>
                <w:rFonts w:ascii="Times New Roman" w:hAnsi="Times New Roman" w:eastAsia="宋体" w:cs="Times New Roman"/>
                <w:szCs w:val="21"/>
              </w:rPr>
              <w:t>12.50</w:t>
            </w:r>
          </w:p>
        </w:tc>
      </w:tr>
      <w:tr w14:paraId="02AD57DF">
        <w:tblPrEx>
          <w:tblCellMar>
            <w:top w:w="0" w:type="dxa"/>
            <w:left w:w="108" w:type="dxa"/>
            <w:bottom w:w="0" w:type="dxa"/>
            <w:right w:w="108" w:type="dxa"/>
          </w:tblCellMar>
        </w:tblPrEx>
        <w:trPr>
          <w:trHeight w:val="227" w:hRule="atLeast"/>
          <w:jc w:val="center"/>
        </w:trPr>
        <w:tc>
          <w:tcPr>
            <w:tcW w:w="378" w:type="pct"/>
            <w:tcBorders>
              <w:top w:val="nil"/>
              <w:left w:val="single" w:color="auto" w:sz="4" w:space="0"/>
              <w:bottom w:val="single" w:color="auto" w:sz="4" w:space="0"/>
              <w:right w:val="single" w:color="auto" w:sz="4" w:space="0"/>
            </w:tcBorders>
            <w:shd w:val="clear" w:color="auto" w:fill="auto"/>
            <w:vAlign w:val="center"/>
          </w:tcPr>
          <w:p w14:paraId="4AC4890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w:t>
            </w:r>
          </w:p>
        </w:tc>
        <w:tc>
          <w:tcPr>
            <w:tcW w:w="1554" w:type="pct"/>
            <w:tcBorders>
              <w:top w:val="nil"/>
              <w:left w:val="nil"/>
              <w:bottom w:val="single" w:color="auto" w:sz="4" w:space="0"/>
              <w:right w:val="single" w:color="auto" w:sz="4" w:space="0"/>
            </w:tcBorders>
            <w:shd w:val="clear" w:color="auto" w:fill="auto"/>
            <w:vAlign w:val="center"/>
          </w:tcPr>
          <w:p w14:paraId="394479A7">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监测设施</w:t>
            </w:r>
          </w:p>
        </w:tc>
        <w:tc>
          <w:tcPr>
            <w:tcW w:w="2523" w:type="pct"/>
            <w:tcBorders>
              <w:top w:val="nil"/>
              <w:left w:val="nil"/>
              <w:bottom w:val="single" w:color="auto" w:sz="4" w:space="0"/>
              <w:right w:val="single" w:color="auto" w:sz="4" w:space="0"/>
            </w:tcBorders>
            <w:shd w:val="clear" w:color="auto" w:fill="auto"/>
            <w:vAlign w:val="center"/>
          </w:tcPr>
          <w:p w14:paraId="62EAE8B0">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采场边坡和排土场边坡位移技沉降监测；</w:t>
            </w:r>
          </w:p>
        </w:tc>
        <w:tc>
          <w:tcPr>
            <w:tcW w:w="543" w:type="pct"/>
            <w:tcBorders>
              <w:top w:val="nil"/>
              <w:left w:val="nil"/>
              <w:bottom w:val="single" w:color="auto" w:sz="4" w:space="0"/>
              <w:right w:val="single" w:color="auto" w:sz="4" w:space="0"/>
            </w:tcBorders>
            <w:shd w:val="clear" w:color="auto" w:fill="auto"/>
            <w:vAlign w:val="center"/>
          </w:tcPr>
          <w:p w14:paraId="571CD632">
            <w:pPr>
              <w:jc w:val="center"/>
              <w:rPr>
                <w:rFonts w:ascii="Times New Roman" w:hAnsi="Times New Roman" w:eastAsia="宋体" w:cs="Times New Roman"/>
                <w:szCs w:val="21"/>
              </w:rPr>
            </w:pPr>
            <w:r>
              <w:rPr>
                <w:rFonts w:ascii="Times New Roman" w:hAnsi="Times New Roman" w:eastAsia="宋体" w:cs="Times New Roman"/>
                <w:szCs w:val="21"/>
              </w:rPr>
              <w:t>28.00</w:t>
            </w:r>
          </w:p>
        </w:tc>
      </w:tr>
      <w:tr w14:paraId="0D4A4DCA">
        <w:tblPrEx>
          <w:tblCellMar>
            <w:top w:w="0" w:type="dxa"/>
            <w:left w:w="108" w:type="dxa"/>
            <w:bottom w:w="0" w:type="dxa"/>
            <w:right w:w="108" w:type="dxa"/>
          </w:tblCellMar>
        </w:tblPrEx>
        <w:trPr>
          <w:trHeight w:val="227" w:hRule="atLeast"/>
          <w:jc w:val="center"/>
        </w:trPr>
        <w:tc>
          <w:tcPr>
            <w:tcW w:w="378" w:type="pct"/>
            <w:tcBorders>
              <w:top w:val="nil"/>
              <w:left w:val="single" w:color="auto" w:sz="4" w:space="0"/>
              <w:bottom w:val="single" w:color="auto" w:sz="4" w:space="0"/>
              <w:right w:val="single" w:color="auto" w:sz="4" w:space="0"/>
            </w:tcBorders>
            <w:shd w:val="clear" w:color="auto" w:fill="auto"/>
            <w:vAlign w:val="center"/>
          </w:tcPr>
          <w:p w14:paraId="787C29C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7</w:t>
            </w:r>
          </w:p>
        </w:tc>
        <w:tc>
          <w:tcPr>
            <w:tcW w:w="1554" w:type="pct"/>
            <w:tcBorders>
              <w:top w:val="nil"/>
              <w:left w:val="nil"/>
              <w:bottom w:val="single" w:color="auto" w:sz="4" w:space="0"/>
              <w:right w:val="single" w:color="auto" w:sz="4" w:space="0"/>
            </w:tcBorders>
            <w:shd w:val="clear" w:color="auto" w:fill="auto"/>
            <w:vAlign w:val="center"/>
          </w:tcPr>
          <w:p w14:paraId="0BB22851">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矿山应急救援器材及设备</w:t>
            </w:r>
          </w:p>
        </w:tc>
        <w:tc>
          <w:tcPr>
            <w:tcW w:w="2523" w:type="pct"/>
            <w:tcBorders>
              <w:top w:val="nil"/>
              <w:left w:val="nil"/>
              <w:bottom w:val="single" w:color="auto" w:sz="4" w:space="0"/>
              <w:right w:val="single" w:color="auto" w:sz="4" w:space="0"/>
            </w:tcBorders>
            <w:shd w:val="clear" w:color="auto" w:fill="auto"/>
            <w:vAlign w:val="center"/>
          </w:tcPr>
          <w:p w14:paraId="208DA27A">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个人防护装备、急救包、通讯用具、照明用具以及救援用的安全绳、带、运输工具</w:t>
            </w:r>
          </w:p>
        </w:tc>
        <w:tc>
          <w:tcPr>
            <w:tcW w:w="543" w:type="pct"/>
            <w:tcBorders>
              <w:top w:val="nil"/>
              <w:left w:val="nil"/>
              <w:bottom w:val="single" w:color="auto" w:sz="4" w:space="0"/>
              <w:right w:val="single" w:color="auto" w:sz="4" w:space="0"/>
            </w:tcBorders>
            <w:shd w:val="clear" w:color="auto" w:fill="auto"/>
            <w:vAlign w:val="center"/>
          </w:tcPr>
          <w:p w14:paraId="7C49E6A5">
            <w:pPr>
              <w:jc w:val="center"/>
              <w:rPr>
                <w:rFonts w:ascii="Times New Roman" w:hAnsi="Times New Roman" w:eastAsia="宋体" w:cs="Times New Roman"/>
                <w:szCs w:val="21"/>
              </w:rPr>
            </w:pPr>
            <w:r>
              <w:rPr>
                <w:rFonts w:ascii="Times New Roman" w:hAnsi="Times New Roman" w:eastAsia="宋体" w:cs="Times New Roman"/>
                <w:szCs w:val="21"/>
              </w:rPr>
              <w:t>7.50</w:t>
            </w:r>
          </w:p>
        </w:tc>
      </w:tr>
      <w:tr w14:paraId="6F7E0608">
        <w:tblPrEx>
          <w:tblCellMar>
            <w:top w:w="0" w:type="dxa"/>
            <w:left w:w="108" w:type="dxa"/>
            <w:bottom w:w="0" w:type="dxa"/>
            <w:right w:w="108" w:type="dxa"/>
          </w:tblCellMar>
        </w:tblPrEx>
        <w:trPr>
          <w:trHeight w:val="227" w:hRule="atLeast"/>
          <w:jc w:val="center"/>
        </w:trPr>
        <w:tc>
          <w:tcPr>
            <w:tcW w:w="378" w:type="pct"/>
            <w:tcBorders>
              <w:top w:val="nil"/>
              <w:left w:val="single" w:color="auto" w:sz="4" w:space="0"/>
              <w:bottom w:val="single" w:color="auto" w:sz="4" w:space="0"/>
              <w:right w:val="single" w:color="auto" w:sz="4" w:space="0"/>
            </w:tcBorders>
            <w:shd w:val="clear" w:color="auto" w:fill="auto"/>
            <w:vAlign w:val="center"/>
          </w:tcPr>
          <w:p w14:paraId="2964C2AD">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8</w:t>
            </w:r>
          </w:p>
        </w:tc>
        <w:tc>
          <w:tcPr>
            <w:tcW w:w="1554" w:type="pct"/>
            <w:tcBorders>
              <w:top w:val="nil"/>
              <w:left w:val="nil"/>
              <w:bottom w:val="single" w:color="auto" w:sz="4" w:space="0"/>
              <w:right w:val="single" w:color="auto" w:sz="4" w:space="0"/>
            </w:tcBorders>
            <w:shd w:val="clear" w:color="auto" w:fill="auto"/>
            <w:vAlign w:val="center"/>
          </w:tcPr>
          <w:p w14:paraId="445F15C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个人安全防护用品</w:t>
            </w:r>
          </w:p>
        </w:tc>
        <w:tc>
          <w:tcPr>
            <w:tcW w:w="2523" w:type="pct"/>
            <w:tcBorders>
              <w:top w:val="nil"/>
              <w:left w:val="nil"/>
              <w:bottom w:val="single" w:color="auto" w:sz="4" w:space="0"/>
              <w:right w:val="single" w:color="auto" w:sz="4" w:space="0"/>
            </w:tcBorders>
            <w:shd w:val="clear" w:color="auto" w:fill="auto"/>
            <w:vAlign w:val="center"/>
          </w:tcPr>
          <w:p w14:paraId="122F9779">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工作服、工作靴、安全绳、安全帽、防尘口罩、手套，电工防护用品</w:t>
            </w:r>
          </w:p>
        </w:tc>
        <w:tc>
          <w:tcPr>
            <w:tcW w:w="543" w:type="pct"/>
            <w:tcBorders>
              <w:top w:val="nil"/>
              <w:left w:val="nil"/>
              <w:bottom w:val="single" w:color="auto" w:sz="4" w:space="0"/>
              <w:right w:val="single" w:color="auto" w:sz="4" w:space="0"/>
            </w:tcBorders>
            <w:shd w:val="clear" w:color="auto" w:fill="auto"/>
            <w:vAlign w:val="center"/>
          </w:tcPr>
          <w:p w14:paraId="236E4BA5">
            <w:pPr>
              <w:jc w:val="center"/>
              <w:rPr>
                <w:rFonts w:ascii="Times New Roman" w:hAnsi="Times New Roman" w:eastAsia="宋体" w:cs="Times New Roman"/>
                <w:szCs w:val="21"/>
              </w:rPr>
            </w:pPr>
            <w:r>
              <w:rPr>
                <w:rFonts w:ascii="Times New Roman" w:hAnsi="Times New Roman" w:eastAsia="宋体" w:cs="Times New Roman"/>
                <w:szCs w:val="21"/>
              </w:rPr>
              <w:t>6.50</w:t>
            </w:r>
          </w:p>
        </w:tc>
      </w:tr>
      <w:tr w14:paraId="51609BB2">
        <w:tblPrEx>
          <w:tblCellMar>
            <w:top w:w="0" w:type="dxa"/>
            <w:left w:w="108" w:type="dxa"/>
            <w:bottom w:w="0" w:type="dxa"/>
            <w:right w:w="108" w:type="dxa"/>
          </w:tblCellMar>
        </w:tblPrEx>
        <w:trPr>
          <w:trHeight w:val="227" w:hRule="atLeast"/>
          <w:jc w:val="center"/>
        </w:trPr>
        <w:tc>
          <w:tcPr>
            <w:tcW w:w="378" w:type="pct"/>
            <w:tcBorders>
              <w:top w:val="nil"/>
              <w:left w:val="single" w:color="auto" w:sz="4" w:space="0"/>
              <w:bottom w:val="single" w:color="auto" w:sz="4" w:space="0"/>
              <w:right w:val="single" w:color="auto" w:sz="4" w:space="0"/>
            </w:tcBorders>
            <w:shd w:val="clear" w:color="auto" w:fill="auto"/>
            <w:vAlign w:val="center"/>
          </w:tcPr>
          <w:p w14:paraId="7E7B5AA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9</w:t>
            </w:r>
          </w:p>
        </w:tc>
        <w:tc>
          <w:tcPr>
            <w:tcW w:w="1554" w:type="pct"/>
            <w:tcBorders>
              <w:top w:val="nil"/>
              <w:left w:val="nil"/>
              <w:bottom w:val="single" w:color="auto" w:sz="4" w:space="0"/>
              <w:right w:val="single" w:color="auto" w:sz="4" w:space="0"/>
            </w:tcBorders>
            <w:shd w:val="clear" w:color="auto" w:fill="auto"/>
            <w:vAlign w:val="center"/>
          </w:tcPr>
          <w:p w14:paraId="2D39A98C">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矿山、交通、电气安全标志</w:t>
            </w:r>
          </w:p>
        </w:tc>
        <w:tc>
          <w:tcPr>
            <w:tcW w:w="2523" w:type="pct"/>
            <w:tcBorders>
              <w:top w:val="nil"/>
              <w:left w:val="nil"/>
              <w:bottom w:val="single" w:color="auto" w:sz="4" w:space="0"/>
              <w:right w:val="single" w:color="auto" w:sz="4" w:space="0"/>
            </w:tcBorders>
            <w:shd w:val="clear" w:color="auto" w:fill="auto"/>
            <w:vAlign w:val="center"/>
          </w:tcPr>
          <w:p w14:paraId="137F8A14">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采场、破碎站、公路、配电室、变压器等处设置的安全警示标志</w:t>
            </w:r>
          </w:p>
        </w:tc>
        <w:tc>
          <w:tcPr>
            <w:tcW w:w="543" w:type="pct"/>
            <w:tcBorders>
              <w:top w:val="nil"/>
              <w:left w:val="nil"/>
              <w:bottom w:val="single" w:color="auto" w:sz="4" w:space="0"/>
              <w:right w:val="single" w:color="auto" w:sz="4" w:space="0"/>
            </w:tcBorders>
            <w:shd w:val="clear" w:color="auto" w:fill="auto"/>
            <w:vAlign w:val="center"/>
          </w:tcPr>
          <w:p w14:paraId="5BD9430A">
            <w:pPr>
              <w:jc w:val="center"/>
              <w:rPr>
                <w:rFonts w:ascii="Times New Roman" w:hAnsi="Times New Roman" w:eastAsia="宋体" w:cs="Times New Roman"/>
                <w:szCs w:val="21"/>
              </w:rPr>
            </w:pPr>
            <w:r>
              <w:rPr>
                <w:rFonts w:ascii="Times New Roman" w:hAnsi="Times New Roman" w:eastAsia="宋体" w:cs="Times New Roman"/>
                <w:szCs w:val="21"/>
              </w:rPr>
              <w:t>3.00</w:t>
            </w:r>
          </w:p>
        </w:tc>
      </w:tr>
      <w:tr w14:paraId="13E0D7AF">
        <w:tblPrEx>
          <w:tblCellMar>
            <w:top w:w="0" w:type="dxa"/>
            <w:left w:w="108" w:type="dxa"/>
            <w:bottom w:w="0" w:type="dxa"/>
            <w:right w:w="108" w:type="dxa"/>
          </w:tblCellMar>
        </w:tblPrEx>
        <w:trPr>
          <w:trHeight w:val="227" w:hRule="atLeast"/>
          <w:jc w:val="center"/>
        </w:trPr>
        <w:tc>
          <w:tcPr>
            <w:tcW w:w="378" w:type="pct"/>
            <w:tcBorders>
              <w:top w:val="nil"/>
              <w:left w:val="single" w:color="auto" w:sz="4" w:space="0"/>
              <w:bottom w:val="single" w:color="auto" w:sz="4" w:space="0"/>
              <w:right w:val="single" w:color="auto" w:sz="4" w:space="0"/>
            </w:tcBorders>
            <w:shd w:val="clear" w:color="auto" w:fill="auto"/>
            <w:vAlign w:val="center"/>
          </w:tcPr>
          <w:p w14:paraId="420B1F46">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w:t>
            </w:r>
          </w:p>
        </w:tc>
        <w:tc>
          <w:tcPr>
            <w:tcW w:w="1554" w:type="pct"/>
            <w:tcBorders>
              <w:top w:val="nil"/>
              <w:left w:val="nil"/>
              <w:bottom w:val="single" w:color="auto" w:sz="4" w:space="0"/>
              <w:right w:val="single" w:color="auto" w:sz="4" w:space="0"/>
            </w:tcBorders>
            <w:shd w:val="clear" w:color="auto" w:fill="auto"/>
            <w:vAlign w:val="center"/>
          </w:tcPr>
          <w:p w14:paraId="4C602CBE">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其他设施</w:t>
            </w:r>
          </w:p>
        </w:tc>
        <w:tc>
          <w:tcPr>
            <w:tcW w:w="2523" w:type="pct"/>
            <w:tcBorders>
              <w:top w:val="nil"/>
              <w:left w:val="nil"/>
              <w:bottom w:val="single" w:color="auto" w:sz="4" w:space="0"/>
              <w:right w:val="single" w:color="auto" w:sz="4" w:space="0"/>
            </w:tcBorders>
            <w:shd w:val="clear" w:color="auto" w:fill="auto"/>
            <w:vAlign w:val="center"/>
          </w:tcPr>
          <w:p w14:paraId="2DD2D5FF">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排水系统，爆破警戒器材，安全技术服务、教育培训等</w:t>
            </w:r>
          </w:p>
        </w:tc>
        <w:tc>
          <w:tcPr>
            <w:tcW w:w="543" w:type="pct"/>
            <w:tcBorders>
              <w:top w:val="nil"/>
              <w:left w:val="nil"/>
              <w:bottom w:val="single" w:color="auto" w:sz="4" w:space="0"/>
              <w:right w:val="single" w:color="auto" w:sz="4" w:space="0"/>
            </w:tcBorders>
            <w:shd w:val="clear" w:color="auto" w:fill="auto"/>
            <w:vAlign w:val="center"/>
          </w:tcPr>
          <w:p w14:paraId="79457DE7">
            <w:pPr>
              <w:jc w:val="center"/>
              <w:rPr>
                <w:rFonts w:ascii="Times New Roman" w:hAnsi="Times New Roman" w:eastAsia="宋体" w:cs="Times New Roman"/>
                <w:szCs w:val="21"/>
              </w:rPr>
            </w:pPr>
            <w:r>
              <w:rPr>
                <w:rFonts w:ascii="Times New Roman" w:hAnsi="Times New Roman" w:eastAsia="宋体" w:cs="Times New Roman"/>
                <w:szCs w:val="21"/>
              </w:rPr>
              <w:t>29.00</w:t>
            </w:r>
          </w:p>
        </w:tc>
      </w:tr>
      <w:tr w14:paraId="37A9F871">
        <w:tblPrEx>
          <w:tblCellMar>
            <w:top w:w="0" w:type="dxa"/>
            <w:left w:w="108" w:type="dxa"/>
            <w:bottom w:w="0" w:type="dxa"/>
            <w:right w:w="108" w:type="dxa"/>
          </w:tblCellMar>
        </w:tblPrEx>
        <w:trPr>
          <w:trHeight w:val="227" w:hRule="atLeast"/>
          <w:jc w:val="center"/>
        </w:trPr>
        <w:tc>
          <w:tcPr>
            <w:tcW w:w="445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00613F8">
            <w:pPr>
              <w:widowControl/>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合计</w:t>
            </w:r>
          </w:p>
        </w:tc>
        <w:tc>
          <w:tcPr>
            <w:tcW w:w="543" w:type="pct"/>
            <w:tcBorders>
              <w:top w:val="nil"/>
              <w:left w:val="nil"/>
              <w:bottom w:val="single" w:color="auto" w:sz="4" w:space="0"/>
              <w:right w:val="single" w:color="auto" w:sz="4" w:space="0"/>
            </w:tcBorders>
            <w:shd w:val="clear" w:color="auto" w:fill="auto"/>
            <w:noWrap/>
            <w:vAlign w:val="center"/>
          </w:tcPr>
          <w:p w14:paraId="4178A64A">
            <w:pPr>
              <w:widowControl/>
              <w:jc w:val="center"/>
              <w:rPr>
                <w:rFonts w:ascii="Times New Roman" w:hAnsi="Times New Roman" w:eastAsia="宋体" w:cs="Times New Roman"/>
                <w:b/>
                <w:bCs/>
                <w:color w:val="000000"/>
                <w:szCs w:val="21"/>
              </w:rPr>
            </w:pPr>
            <w:r>
              <w:rPr>
                <w:rFonts w:ascii="Times New Roman" w:hAnsi="Times New Roman" w:eastAsia="宋体" w:cs="Times New Roman"/>
                <w:color w:val="000000"/>
                <w:szCs w:val="21"/>
              </w:rPr>
              <w:t>185.7</w:t>
            </w:r>
          </w:p>
        </w:tc>
      </w:tr>
    </w:tbl>
    <w:p w14:paraId="7E535F59">
      <w:pPr>
        <w:widowControl/>
        <w:adjustRightInd w:val="0"/>
        <w:snapToGrid w:val="0"/>
        <w:spacing w:line="360" w:lineRule="auto"/>
        <w:jc w:val="left"/>
        <w:rPr>
          <w:rFonts w:ascii="Times New Roman" w:hAnsi="Times New Roman" w:eastAsia="宋体" w:cs="Times New Roman"/>
          <w:color w:val="000000" w:themeColor="text1"/>
          <w:lang w:val="en-GB"/>
          <w14:textFill>
            <w14:solidFill>
              <w14:schemeClr w14:val="tx1"/>
            </w14:solidFill>
          </w14:textFill>
        </w:rPr>
      </w:pPr>
      <w:r>
        <w:rPr>
          <w:rFonts w:ascii="Times New Roman" w:hAnsi="Times New Roman" w:eastAsia="宋体" w:cs="Times New Roman"/>
          <w:color w:val="000000" w:themeColor="text1"/>
          <w:lang w:val="en-GB"/>
          <w14:textFill>
            <w14:solidFill>
              <w14:schemeClr w14:val="tx1"/>
            </w14:solidFill>
          </w14:textFill>
        </w:rPr>
        <w:br w:type="page"/>
      </w:r>
    </w:p>
    <w:p w14:paraId="7ACC12C8">
      <w:pPr>
        <w:pStyle w:val="2"/>
        <w:adjustRightInd w:val="0"/>
        <w:snapToGrid w:val="0"/>
        <w:spacing w:beforeLines="0" w:afterLines="0"/>
        <w:rPr>
          <w:rFonts w:ascii="Times New Roman" w:hAnsi="Times New Roman" w:cs="Times New Roman"/>
          <w:b/>
          <w:bCs w:val="0"/>
          <w:color w:val="000000" w:themeColor="text1"/>
          <w:lang w:val="en-GB"/>
          <w14:textFill>
            <w14:solidFill>
              <w14:schemeClr w14:val="tx1"/>
            </w14:solidFill>
          </w14:textFill>
        </w:rPr>
      </w:pPr>
      <w:bookmarkStart w:id="72" w:name="_Toc24945"/>
      <w:bookmarkStart w:id="73" w:name="_Toc29949"/>
      <w:r>
        <w:rPr>
          <w:rFonts w:ascii="Times New Roman" w:hAnsi="Times New Roman" w:cs="Times New Roman"/>
          <w:b/>
          <w:bCs w:val="0"/>
          <w:color w:val="000000" w:themeColor="text1"/>
          <w:lang w:val="en-GB"/>
          <w14:textFill>
            <w14:solidFill>
              <w14:schemeClr w14:val="tx1"/>
            </w14:solidFill>
          </w14:textFill>
        </w:rPr>
        <w:t>3.定性定量评价</w:t>
      </w:r>
      <w:bookmarkEnd w:id="72"/>
      <w:bookmarkEnd w:id="73"/>
    </w:p>
    <w:p w14:paraId="44EBBB23">
      <w:pPr>
        <w:adjustRightInd w:val="0"/>
        <w:snapToGrid w:val="0"/>
        <w:spacing w:line="360" w:lineRule="auto"/>
        <w:ind w:firstLine="560" w:firstLineChars="200"/>
        <w:rPr>
          <w:rFonts w:ascii="Times New Roman" w:hAnsi="Times New Roman" w:eastAsia="宋体" w:cs="Times New Roman"/>
          <w:color w:val="000000" w:themeColor="text1"/>
          <w:lang w:val="en-GB"/>
          <w14:textFill>
            <w14:solidFill>
              <w14:schemeClr w14:val="tx1"/>
            </w14:solidFill>
          </w14:textFill>
        </w:rPr>
      </w:pPr>
      <w:r>
        <w:rPr>
          <w:rFonts w:hint="eastAsia" w:ascii="Times New Roman" w:hAnsi="Times New Roman" w:eastAsia="宋体" w:cs="Times New Roman"/>
          <w:color w:val="000000" w:themeColor="text1"/>
          <w:sz w:val="28"/>
          <w:szCs w:val="28"/>
          <w:lang w:val="en-US" w:eastAsia="zh-CN"/>
          <w14:textFill>
            <w14:solidFill>
              <w14:schemeClr w14:val="tx1"/>
            </w14:solidFill>
          </w14:textFill>
        </w:rPr>
        <w:t>XX</w:t>
      </w:r>
      <w:r>
        <w:rPr>
          <w:rFonts w:ascii="Times New Roman" w:hAnsi="Times New Roman" w:eastAsia="宋体" w:cs="Times New Roman"/>
          <w:color w:val="000000" w:themeColor="text1"/>
          <w:sz w:val="28"/>
          <w:szCs w:val="28"/>
          <w:lang w:val="en-GB"/>
          <w14:textFill>
            <w14:solidFill>
              <w14:schemeClr w14:val="tx1"/>
            </w14:solidFill>
          </w14:textFill>
        </w:rPr>
        <w:t>。</w:t>
      </w:r>
    </w:p>
    <w:p w14:paraId="1B5B3001">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p>
    <w:p w14:paraId="1DB8EF6A">
      <w:pPr>
        <w:widowControl/>
        <w:adjustRightInd w:val="0"/>
        <w:snapToGrid w:val="0"/>
        <w:spacing w:line="360" w:lineRule="auto"/>
        <w:jc w:val="left"/>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br w:type="page"/>
      </w:r>
    </w:p>
    <w:p w14:paraId="5BD0FA77">
      <w:pPr>
        <w:pStyle w:val="2"/>
        <w:adjustRightInd w:val="0"/>
        <w:snapToGrid w:val="0"/>
        <w:spacing w:beforeLines="0" w:afterLines="0"/>
        <w:rPr>
          <w:rFonts w:ascii="Times New Roman" w:hAnsi="Times New Roman" w:cs="Times New Roman"/>
          <w:b/>
          <w:bCs w:val="0"/>
          <w:color w:val="000000" w:themeColor="text1"/>
          <w:lang w:val="en-GB"/>
          <w14:textFill>
            <w14:solidFill>
              <w14:schemeClr w14:val="tx1"/>
            </w14:solidFill>
          </w14:textFill>
        </w:rPr>
      </w:pPr>
      <w:bookmarkStart w:id="74" w:name="_Toc16709"/>
      <w:bookmarkStart w:id="75" w:name="_Toc17815"/>
      <w:r>
        <w:rPr>
          <w:rFonts w:ascii="Times New Roman" w:hAnsi="Times New Roman" w:cs="Times New Roman"/>
          <w:b/>
          <w:bCs w:val="0"/>
          <w:color w:val="000000" w:themeColor="text1"/>
          <w:lang w:val="en-GB"/>
          <w14:textFill>
            <w14:solidFill>
              <w14:schemeClr w14:val="tx1"/>
            </w14:solidFill>
          </w14:textFill>
        </w:rPr>
        <w:t>4.安全对策措施建议</w:t>
      </w:r>
      <w:bookmarkEnd w:id="74"/>
      <w:bookmarkEnd w:id="75"/>
    </w:p>
    <w:p w14:paraId="640D1047">
      <w:pPr>
        <w:pStyle w:val="3"/>
        <w:adjustRightInd w:val="0"/>
        <w:snapToGrid w:val="0"/>
        <w:rPr>
          <w:rFonts w:ascii="Times New Roman" w:hAnsi="Times New Roman" w:cs="Times New Roman"/>
          <w:b/>
          <w:bCs w:val="0"/>
          <w:color w:val="000000" w:themeColor="text1"/>
          <w:lang w:val="en-GB"/>
          <w14:textFill>
            <w14:solidFill>
              <w14:schemeClr w14:val="tx1"/>
            </w14:solidFill>
          </w14:textFill>
        </w:rPr>
      </w:pPr>
      <w:bookmarkStart w:id="76" w:name="_Toc15263"/>
      <w:bookmarkStart w:id="77" w:name="_Toc11264"/>
      <w:r>
        <w:rPr>
          <w:rFonts w:ascii="Times New Roman" w:hAnsi="Times New Roman" w:cs="Times New Roman"/>
          <w:b/>
          <w:bCs w:val="0"/>
          <w:color w:val="000000" w:themeColor="text1"/>
          <w:lang w:val="en-GB"/>
          <w14:textFill>
            <w14:solidFill>
              <w14:schemeClr w14:val="tx1"/>
            </w14:solidFill>
          </w14:textFill>
        </w:rPr>
        <w:t>4.1 安全对策措施建议的主要原则</w:t>
      </w:r>
      <w:bookmarkEnd w:id="76"/>
      <w:bookmarkEnd w:id="77"/>
    </w:p>
    <w:p w14:paraId="5E81C0C6">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4.1.1 安全对策措施建议的基本要求</w:t>
      </w:r>
    </w:p>
    <w:p w14:paraId="3F6E0D5F">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 xml:space="preserve">（1）能消除或减弱生产过程中产生的危险、有害因素； </w:t>
      </w:r>
    </w:p>
    <w:p w14:paraId="48395CE1">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（2）处置危险和有害物，使其降低到国家规定的限值内；</w:t>
      </w:r>
    </w:p>
    <w:p w14:paraId="7AD3B168">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（3）预防生产装置失灵和操作失误产生的危险、危害；</w:t>
      </w:r>
    </w:p>
    <w:p w14:paraId="0746C2B5">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（4）能有效地预防重大事故和职业危害的发生；</w:t>
      </w:r>
    </w:p>
    <w:p w14:paraId="690C6418">
      <w:pPr>
        <w:adjustRightInd w:val="0"/>
        <w:snapToGrid w:val="0"/>
        <w:spacing w:line="360" w:lineRule="auto"/>
        <w:ind w:firstLine="560" w:firstLineChars="200"/>
        <w:rPr>
          <w:rFonts w:ascii="Times New Roman" w:hAnsi="Times New Roman" w:eastAsia="宋体" w:cs="Times New Roman"/>
          <w:color w:val="000000" w:themeColor="text1"/>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（5）发生意外事故时，能为遇险人员提供自救和互救条件。</w:t>
      </w:r>
    </w:p>
    <w:p w14:paraId="0589E80B">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4.1.2 制定安全对策措施建议的原则</w:t>
      </w:r>
    </w:p>
    <w:p w14:paraId="5DE4FADE">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（1）当安全对策措施建议与经济效益发生矛盾时，应优先考虑安全对策措施建议的要求；</w:t>
      </w:r>
    </w:p>
    <w:p w14:paraId="194E13E2">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（2）确定安全对策措施建议等级顺序要求的具体原则为：消除、预防、减弱、隔离、联锁、警告；</w:t>
      </w:r>
    </w:p>
    <w:p w14:paraId="31AB2D83">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（3）安全对策措施建议应具有针对性、可操作性和经济合理性；</w:t>
      </w:r>
    </w:p>
    <w:p w14:paraId="4C874C1A">
      <w:pPr>
        <w:adjustRightInd w:val="0"/>
        <w:snapToGrid w:val="0"/>
        <w:spacing w:line="360" w:lineRule="auto"/>
        <w:ind w:firstLine="560" w:firstLineChars="200"/>
        <w:rPr>
          <w:rFonts w:ascii="Times New Roman" w:hAnsi="Times New Roman" w:eastAsia="宋体" w:cs="Times New Roman"/>
          <w:color w:val="000000" w:themeColor="text1"/>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（4）安全对策措施建议应符合国家有关</w:t>
      </w:r>
      <w:r>
        <w:rPr>
          <w:rFonts w:hint="eastAsia" w:ascii="Times New Roman" w:hAnsi="Times New Roman" w:eastAsia="宋体" w:cs="Times New Roman"/>
          <w:color w:val="000000" w:themeColor="text1"/>
          <w:sz w:val="28"/>
          <w:szCs w:val="28"/>
          <w:lang w:val="en-GB"/>
          <w14:textFill>
            <w14:solidFill>
              <w14:schemeClr w14:val="tx1"/>
            </w14:solidFill>
          </w14:textFill>
        </w:rPr>
        <w:t>法律法规</w:t>
      </w:r>
      <w:r>
        <w:rPr>
          <w:rFonts w:ascii="Times New Roman" w:hAnsi="Times New Roman" w:eastAsia="宋体" w:cs="Times New Roman"/>
          <w:color w:val="000000" w:themeColor="text1"/>
          <w:sz w:val="28"/>
          <w:szCs w:val="28"/>
          <w:lang w:val="en-GB"/>
          <w14:textFill>
            <w14:solidFill>
              <w14:schemeClr w14:val="tx1"/>
            </w14:solidFill>
          </w14:textFill>
        </w:rPr>
        <w:t>、标准、规范和行业标准的要求。</w:t>
      </w:r>
    </w:p>
    <w:p w14:paraId="3266EC22">
      <w:pPr>
        <w:pStyle w:val="3"/>
        <w:adjustRightInd w:val="0"/>
        <w:snapToGrid w:val="0"/>
        <w:rPr>
          <w:rFonts w:ascii="Times New Roman" w:hAnsi="Times New Roman" w:cs="Times New Roman"/>
          <w:b/>
          <w:bCs w:val="0"/>
          <w:color w:val="000000" w:themeColor="text1"/>
          <w:lang w:val="en-GB"/>
          <w14:textFill>
            <w14:solidFill>
              <w14:schemeClr w14:val="tx1"/>
            </w14:solidFill>
          </w14:textFill>
        </w:rPr>
      </w:pPr>
      <w:bookmarkStart w:id="78" w:name="_Toc4716"/>
      <w:bookmarkStart w:id="79" w:name="_Toc27635"/>
      <w:r>
        <w:rPr>
          <w:rFonts w:ascii="Times New Roman" w:hAnsi="Times New Roman" w:cs="Times New Roman"/>
          <w:b/>
          <w:bCs w:val="0"/>
          <w:color w:val="000000" w:themeColor="text1"/>
          <w:lang w:val="en-GB"/>
          <w14:textFill>
            <w14:solidFill>
              <w14:schemeClr w14:val="tx1"/>
            </w14:solidFill>
          </w14:textFill>
        </w:rPr>
        <w:t>4.2 初步设计方案中提出的主要</w:t>
      </w:r>
      <w:bookmarkEnd w:id="78"/>
      <w:r>
        <w:rPr>
          <w:rFonts w:ascii="Times New Roman" w:hAnsi="Times New Roman" w:cs="Times New Roman"/>
          <w:b/>
          <w:bCs w:val="0"/>
          <w:color w:val="000000" w:themeColor="text1"/>
          <w:lang w:val="en-GB"/>
          <w14:textFill>
            <w14:solidFill>
              <w14:schemeClr w14:val="tx1"/>
            </w14:solidFill>
          </w14:textFill>
        </w:rPr>
        <w:t>问题及建议</w:t>
      </w:r>
      <w:bookmarkEnd w:id="79"/>
    </w:p>
    <w:p w14:paraId="5ACDB6EE">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矿山在生产过程中，爆破警戒范围内存在有</w:t>
      </w:r>
      <w:r>
        <w:rPr>
          <w:sz w:val="28"/>
          <w:szCs w:val="28"/>
        </w:rPr>
        <w:t>租用</w:t>
      </w:r>
      <w:r>
        <w:rPr>
          <w:rFonts w:hint="eastAsia"/>
          <w:sz w:val="28"/>
          <w:szCs w:val="28"/>
        </w:rPr>
        <w:t>民房</w:t>
      </w:r>
      <w:r>
        <w:rPr>
          <w:rFonts w:ascii="Times New Roman" w:hAnsi="Times New Roman" w:eastAsia="宋体" w:cs="Times New Roman"/>
          <w:color w:val="000000" w:themeColor="text1"/>
          <w:sz w:val="28"/>
          <w:szCs w:val="28"/>
          <w14:textFill>
            <w14:solidFill>
              <w14:schemeClr w14:val="tx1"/>
            </w14:solidFill>
          </w14:textFill>
        </w:rPr>
        <w:t>、</w:t>
      </w:r>
      <w:r>
        <w:rPr>
          <w:rFonts w:hint="eastAsia" w:ascii="Times New Roman" w:hAnsi="Times New Roman" w:eastAsia="宋体" w:cs="Times New Roman"/>
          <w:color w:val="000000" w:themeColor="text1"/>
          <w:sz w:val="28"/>
          <w:szCs w:val="28"/>
          <w14:textFill>
            <w14:solidFill>
              <w14:schemeClr w14:val="tx1"/>
            </w14:solidFill>
          </w14:textFill>
        </w:rPr>
        <w:t>公路设施</w:t>
      </w:r>
      <w:r>
        <w:rPr>
          <w:rFonts w:ascii="Times New Roman" w:hAnsi="Times New Roman" w:eastAsia="宋体" w:cs="Times New Roman"/>
          <w:color w:val="000000" w:themeColor="text1"/>
          <w:sz w:val="28"/>
          <w:szCs w:val="28"/>
          <w14:textFill>
            <w14:solidFill>
              <w14:schemeClr w14:val="tx1"/>
            </w14:solidFill>
          </w14:textFill>
        </w:rPr>
        <w:t>等。在爆破过程中采取以下安全技术措施：</w:t>
      </w:r>
    </w:p>
    <w:p w14:paraId="5FD1A30F">
      <w:pPr>
        <w:adjustRightInd w:val="0"/>
        <w:snapToGrid w:val="0"/>
        <w:spacing w:line="360" w:lineRule="auto"/>
        <w:ind w:firstLine="560" w:firstLineChars="200"/>
        <w:rPr>
          <w:rFonts w:ascii="Times New Roman" w:hAnsi="Times New Roman" w:eastAsia="宋体" w:cs="Times New Roman"/>
          <w:sz w:val="28"/>
          <w:szCs w:val="21"/>
        </w:rPr>
      </w:pPr>
      <w:bookmarkStart w:id="80" w:name="_Toc1445"/>
      <w:r>
        <w:rPr>
          <w:rFonts w:ascii="Times New Roman" w:hAnsi="Times New Roman" w:eastAsia="宋体" w:cs="Times New Roman"/>
          <w:sz w:val="28"/>
          <w:szCs w:val="21"/>
        </w:rPr>
        <w:t>1、矿区南侧为玄麻窝村，距离</w:t>
      </w:r>
      <w:r>
        <w:rPr>
          <w:rFonts w:hint="eastAsia" w:ascii="Times New Roman" w:hAnsi="Times New Roman" w:eastAsia="宋体" w:cs="Times New Roman"/>
          <w:sz w:val="28"/>
          <w:szCs w:val="21"/>
        </w:rPr>
        <w:t>设计</w:t>
      </w:r>
      <w:r>
        <w:rPr>
          <w:rFonts w:ascii="Times New Roman" w:hAnsi="Times New Roman" w:eastAsia="宋体" w:cs="Times New Roman"/>
          <w:sz w:val="28"/>
          <w:szCs w:val="21"/>
        </w:rPr>
        <w:t>露天开采境界范围较近，距离最近民房100m，在300m爆破境界范围内存在17户民房，均已签订</w:t>
      </w:r>
      <w:r>
        <w:rPr>
          <w:rFonts w:hint="eastAsia" w:ascii="Times New Roman" w:hAnsi="Times New Roman" w:eastAsia="宋体" w:cs="Times New Roman"/>
          <w:sz w:val="28"/>
          <w:szCs w:val="21"/>
        </w:rPr>
        <w:t>房屋租赁合同</w:t>
      </w:r>
      <w:r>
        <w:rPr>
          <w:rFonts w:ascii="Times New Roman" w:hAnsi="Times New Roman" w:eastAsia="宋体" w:cs="Times New Roman"/>
          <w:sz w:val="28"/>
          <w:szCs w:val="21"/>
        </w:rPr>
        <w:t>（见附件11），矿山应严格落实和履行</w:t>
      </w:r>
      <w:r>
        <w:rPr>
          <w:rFonts w:hint="eastAsia" w:ascii="Times New Roman" w:hAnsi="Times New Roman" w:eastAsia="宋体" w:cs="Times New Roman"/>
          <w:sz w:val="28"/>
          <w:szCs w:val="21"/>
        </w:rPr>
        <w:t>房屋租赁合同</w:t>
      </w:r>
      <w:r>
        <w:rPr>
          <w:rFonts w:ascii="Times New Roman" w:hAnsi="Times New Roman" w:eastAsia="宋体" w:cs="Times New Roman"/>
          <w:sz w:val="28"/>
          <w:szCs w:val="21"/>
        </w:rPr>
        <w:t>，矿山生产期间300m爆破影响范围内的民房不得住人和使用，同时爆破作业时应在有车辆及人员通过的主要地段布设岗哨，并发出明显的音响和视觉信号，以禁止人员、车辆和牲畜进入警戒范围，应严格按《爆破安全规程》做好爆破警戒工作。</w:t>
      </w:r>
    </w:p>
    <w:p w14:paraId="3A88A6C0">
      <w:pPr>
        <w:adjustRightInd w:val="0"/>
        <w:snapToGrid w:val="0"/>
        <w:spacing w:line="360" w:lineRule="auto"/>
        <w:ind w:firstLine="560" w:firstLineChars="200"/>
        <w:rPr>
          <w:rFonts w:ascii="Times New Roman" w:hAnsi="Times New Roman" w:eastAsia="宋体" w:cs="Times New Roman"/>
          <w:sz w:val="28"/>
          <w:szCs w:val="21"/>
        </w:rPr>
      </w:pPr>
      <w:r>
        <w:rPr>
          <w:rFonts w:hint="eastAsia" w:ascii="Times New Roman" w:hAnsi="Times New Roman" w:eastAsia="宋体" w:cs="Times New Roman"/>
          <w:sz w:val="28"/>
          <w:szCs w:val="21"/>
        </w:rPr>
        <w:t>2、</w:t>
      </w:r>
      <w:r>
        <w:rPr>
          <w:rFonts w:ascii="Times New Roman" w:hAnsi="Times New Roman" w:eastAsia="宋体" w:cs="Times New Roman"/>
          <w:sz w:val="28"/>
          <w:szCs w:val="21"/>
        </w:rPr>
        <w:t>距离铁路隧道斜距500m范围内不得进行爆破作业，采用机械开采，斜距500m外采用爆破开采，爆破指向（爆破的临空面）不得指向铁路隧道方向，爆破实施过程中需对铁路设备进行爆破震动监测。爆破作业应进行试爆，对铁路隧道进行震速测试，确保铁路安全的爆破参数。</w:t>
      </w:r>
    </w:p>
    <w:p w14:paraId="78783A80">
      <w:pPr>
        <w:adjustRightInd w:val="0"/>
        <w:snapToGrid w:val="0"/>
        <w:spacing w:line="360" w:lineRule="auto"/>
        <w:ind w:firstLine="560" w:firstLineChars="200"/>
        <w:rPr>
          <w:rFonts w:ascii="Times New Roman" w:hAnsi="Times New Roman" w:eastAsia="宋体" w:cs="Times New Roman"/>
          <w:sz w:val="28"/>
          <w:szCs w:val="21"/>
        </w:rPr>
      </w:pPr>
      <w:r>
        <w:rPr>
          <w:rFonts w:hint="eastAsia" w:ascii="Times New Roman" w:hAnsi="Times New Roman" w:eastAsia="宋体" w:cs="Times New Roman"/>
          <w:sz w:val="28"/>
          <w:szCs w:val="21"/>
        </w:rPr>
        <w:t>3、</w:t>
      </w:r>
      <w:r>
        <w:rPr>
          <w:rFonts w:ascii="Times New Roman" w:hAnsi="Times New Roman" w:eastAsia="宋体" w:cs="Times New Roman"/>
          <w:sz w:val="28"/>
          <w:szCs w:val="21"/>
        </w:rPr>
        <w:t>矿区北侧及南侧有乡村公路通过，为保证公路的安全，考虑在公路边坡上部适当位置设置被动防护网，防止矿山开采、运输等产生的滚石危及下部公路车辆、行人的安全。同时矿山爆破作业应定时爆破，尽量选择在车流人流较少时段爆破，爆破时在公路两端设置爆破警戒点，在爆破影响范围内做好交通管制，禁止车辆、行人通行。爆破作业时应临近爆破后及时清理路面滚石，及时恢复交通；低于路面标高的开采台阶应留10m的安全保护距离。</w:t>
      </w:r>
    </w:p>
    <w:p w14:paraId="0878F13A">
      <w:pPr>
        <w:pStyle w:val="3"/>
        <w:adjustRightInd w:val="0"/>
        <w:snapToGrid w:val="0"/>
        <w:rPr>
          <w:rFonts w:ascii="Times New Roman" w:hAnsi="Times New Roman" w:cs="Times New Roman"/>
          <w:b/>
          <w:bCs w:val="0"/>
          <w:color w:val="000000" w:themeColor="text1"/>
          <w:lang w:val="en-GB"/>
          <w14:textFill>
            <w14:solidFill>
              <w14:schemeClr w14:val="tx1"/>
            </w14:solidFill>
          </w14:textFill>
        </w:rPr>
      </w:pPr>
      <w:bookmarkStart w:id="81" w:name="_Toc11965"/>
      <w:r>
        <w:rPr>
          <w:rFonts w:ascii="Times New Roman" w:hAnsi="Times New Roman" w:cs="Times New Roman"/>
          <w:b/>
          <w:bCs w:val="0"/>
          <w:color w:val="000000" w:themeColor="text1"/>
          <w:lang w:val="en-GB"/>
          <w14:textFill>
            <w14:solidFill>
              <w14:schemeClr w14:val="tx1"/>
            </w14:solidFill>
          </w14:textFill>
        </w:rPr>
        <w:t>4.3 各单元安全对策措施建议</w:t>
      </w:r>
      <w:bookmarkEnd w:id="80"/>
      <w:bookmarkEnd w:id="81"/>
    </w:p>
    <w:p w14:paraId="41B0AA39">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4.3.1 总平面布置单元</w:t>
      </w:r>
    </w:p>
    <w:p w14:paraId="5E3D117E">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（1）按设计要求有计划、有序地进行开采，合理布置工业场地、设备设施，避免相互制约和影响，协调好各采剥作业面间的相互关系，确保作业安全。</w:t>
      </w:r>
    </w:p>
    <w:p w14:paraId="7056470C">
      <w:pPr>
        <w:adjustRightInd w:val="0"/>
        <w:snapToGrid w:val="0"/>
        <w:spacing w:line="360" w:lineRule="auto"/>
        <w:ind w:firstLine="560" w:firstLineChars="200"/>
      </w:pPr>
      <w:r>
        <w:rPr>
          <w:rFonts w:ascii="Times New Roman" w:hAnsi="Times New Roman" w:eastAsia="宋体" w:cs="Times New Roman"/>
          <w:color w:val="000000" w:themeColor="text1"/>
          <w:sz w:val="28"/>
          <w:szCs w:val="28"/>
          <w14:textFill>
            <w14:solidFill>
              <w14:schemeClr w14:val="tx1"/>
            </w14:solidFill>
          </w14:textFill>
        </w:rPr>
        <w:t>（2）设计开采范围离</w:t>
      </w:r>
      <w:r>
        <w:rPr>
          <w:rFonts w:hint="eastAsia" w:ascii="Times New Roman" w:hAnsi="Times New Roman" w:eastAsia="宋体" w:cs="Times New Roman"/>
          <w:color w:val="000000" w:themeColor="text1"/>
          <w:sz w:val="28"/>
          <w:szCs w:val="28"/>
          <w14:textFill>
            <w14:solidFill>
              <w14:schemeClr w14:val="tx1"/>
            </w14:solidFill>
          </w14:textFill>
        </w:rPr>
        <w:t>民房</w:t>
      </w:r>
      <w:r>
        <w:rPr>
          <w:rFonts w:ascii="Times New Roman" w:hAnsi="Times New Roman" w:eastAsia="宋体" w:cs="Times New Roman"/>
          <w:color w:val="000000" w:themeColor="text1"/>
          <w:sz w:val="28"/>
          <w:szCs w:val="28"/>
          <w14:textFill>
            <w14:solidFill>
              <w14:schemeClr w14:val="tx1"/>
            </w14:solidFill>
          </w14:textFill>
        </w:rPr>
        <w:t>较近，开采</w:t>
      </w:r>
      <w:r>
        <w:rPr>
          <w:rFonts w:hint="eastAsia" w:ascii="Times New Roman" w:hAnsi="Times New Roman" w:eastAsia="宋体" w:cs="Times New Roman"/>
          <w:color w:val="000000" w:themeColor="text1"/>
          <w:sz w:val="28"/>
          <w:szCs w:val="28"/>
          <w14:textFill>
            <w14:solidFill>
              <w14:schemeClr w14:val="tx1"/>
            </w14:solidFill>
          </w14:textFill>
        </w:rPr>
        <w:t>民房</w:t>
      </w:r>
      <w:r>
        <w:rPr>
          <w:rFonts w:ascii="Times New Roman" w:hAnsi="Times New Roman" w:eastAsia="宋体" w:cs="Times New Roman"/>
          <w:color w:val="000000" w:themeColor="text1"/>
          <w:sz w:val="28"/>
          <w:szCs w:val="28"/>
          <w14:textFill>
            <w14:solidFill>
              <w14:schemeClr w14:val="tx1"/>
            </w14:solidFill>
          </w14:textFill>
        </w:rPr>
        <w:t>附近区域时注意保持安全距离，防止破坏</w:t>
      </w:r>
      <w:r>
        <w:rPr>
          <w:rFonts w:hint="eastAsia" w:ascii="Times New Roman" w:hAnsi="Times New Roman" w:eastAsia="宋体" w:cs="Times New Roman"/>
          <w:color w:val="000000" w:themeColor="text1"/>
          <w:sz w:val="28"/>
          <w:szCs w:val="28"/>
          <w14:textFill>
            <w14:solidFill>
              <w14:schemeClr w14:val="tx1"/>
            </w14:solidFill>
          </w14:textFill>
        </w:rPr>
        <w:t>民房</w:t>
      </w:r>
      <w:r>
        <w:rPr>
          <w:rFonts w:ascii="Times New Roman" w:hAnsi="Times New Roman" w:eastAsia="宋体" w:cs="Times New Roman"/>
          <w:color w:val="000000" w:themeColor="text1"/>
          <w:sz w:val="28"/>
          <w:szCs w:val="28"/>
          <w14:textFill>
            <w14:solidFill>
              <w14:schemeClr w14:val="tx1"/>
            </w14:solidFill>
          </w14:textFill>
        </w:rPr>
        <w:t>，下一步安全设施设计应考虑在</w:t>
      </w:r>
      <w:r>
        <w:rPr>
          <w:rFonts w:hint="eastAsia" w:ascii="Times New Roman" w:hAnsi="Times New Roman" w:eastAsia="宋体" w:cs="Times New Roman"/>
          <w:color w:val="000000" w:themeColor="text1"/>
          <w:sz w:val="28"/>
          <w:szCs w:val="28"/>
          <w14:textFill>
            <w14:solidFill>
              <w14:schemeClr w14:val="tx1"/>
            </w14:solidFill>
          </w14:textFill>
        </w:rPr>
        <w:t>民房</w:t>
      </w:r>
      <w:r>
        <w:rPr>
          <w:rFonts w:ascii="Times New Roman" w:hAnsi="Times New Roman" w:eastAsia="宋体" w:cs="Times New Roman"/>
          <w:color w:val="000000" w:themeColor="text1"/>
          <w:sz w:val="28"/>
          <w:szCs w:val="28"/>
          <w14:textFill>
            <w14:solidFill>
              <w14:schemeClr w14:val="tx1"/>
            </w14:solidFill>
          </w14:textFill>
        </w:rPr>
        <w:t>靠近采场一侧设置护栏等安全设施。</w:t>
      </w:r>
    </w:p>
    <w:p w14:paraId="10C7A6F6">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hint="eastAsia" w:ascii="Times New Roman" w:hAnsi="Times New Roman" w:eastAsia="宋体" w:cs="Times New Roman"/>
          <w:color w:val="000000" w:themeColor="text1"/>
          <w:sz w:val="28"/>
          <w:szCs w:val="28"/>
          <w14:textFill>
            <w14:solidFill>
              <w14:schemeClr w14:val="tx1"/>
            </w14:solidFill>
          </w14:textFill>
        </w:rPr>
        <w:t>（3）周边道路、破碎站位于爆破警戒范围内，初步设计中未说明相应的保护措施，应在下一步安全设施设计中补充爆破作业时的相关保护、撤离、警戒要求。</w:t>
      </w:r>
    </w:p>
    <w:p w14:paraId="755077DE">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hint="eastAsia" w:ascii="Times New Roman" w:hAnsi="Times New Roman" w:eastAsia="宋体" w:cs="Times New Roman"/>
          <w:color w:val="000000" w:themeColor="text1"/>
          <w:sz w:val="28"/>
          <w:szCs w:val="28"/>
          <w14:textFill>
            <w14:solidFill>
              <w14:schemeClr w14:val="tx1"/>
            </w14:solidFill>
          </w14:textFill>
        </w:rPr>
        <w:t>（4）</w:t>
      </w:r>
      <w:r>
        <w:rPr>
          <w:rFonts w:ascii="Times New Roman" w:hAnsi="Times New Roman" w:eastAsia="宋体" w:cs="Times New Roman"/>
          <w:color w:val="000000" w:themeColor="text1"/>
          <w:sz w:val="28"/>
          <w:szCs w:val="28"/>
          <w14:textFill>
            <w14:solidFill>
              <w14:schemeClr w14:val="tx1"/>
            </w14:solidFill>
          </w14:textFill>
        </w:rPr>
        <w:t>严格按设计预留安全平台和清扫平台，避免开采形成高陡边坡。</w:t>
      </w:r>
    </w:p>
    <w:p w14:paraId="0F9E1045">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w:t>
      </w:r>
      <w:r>
        <w:rPr>
          <w:rFonts w:hint="eastAsia" w:ascii="Times New Roman" w:hAnsi="Times New Roman" w:eastAsia="宋体" w:cs="Times New Roman"/>
          <w:color w:val="000000" w:themeColor="text1"/>
          <w:sz w:val="28"/>
          <w:szCs w:val="28"/>
          <w14:textFill>
            <w14:solidFill>
              <w14:schemeClr w14:val="tx1"/>
            </w14:solidFill>
          </w14:textFill>
        </w:rPr>
        <w:t>5</w:t>
      </w:r>
      <w:r>
        <w:rPr>
          <w:rFonts w:ascii="Times New Roman" w:hAnsi="Times New Roman" w:eastAsia="宋体" w:cs="Times New Roman"/>
          <w:color w:val="000000" w:themeColor="text1"/>
          <w:sz w:val="28"/>
          <w:szCs w:val="28"/>
          <w14:textFill>
            <w14:solidFill>
              <w14:schemeClr w14:val="tx1"/>
            </w14:solidFill>
          </w14:textFill>
        </w:rPr>
        <w:t>）在开采过程中严格按设计划定的开采区域开采，禁止越禁采区边界开采。</w:t>
      </w:r>
    </w:p>
    <w:p w14:paraId="19FE0A24">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w:t>
      </w:r>
      <w:r>
        <w:rPr>
          <w:rFonts w:hint="eastAsia" w:ascii="Times New Roman" w:hAnsi="Times New Roman" w:eastAsia="宋体" w:cs="Times New Roman"/>
          <w:color w:val="000000" w:themeColor="text1"/>
          <w:sz w:val="28"/>
          <w:szCs w:val="28"/>
          <w14:textFill>
            <w14:solidFill>
              <w14:schemeClr w14:val="tx1"/>
            </w14:solidFill>
          </w14:textFill>
        </w:rPr>
        <w:t>6</w:t>
      </w:r>
      <w:r>
        <w:rPr>
          <w:rFonts w:ascii="Times New Roman" w:hAnsi="Times New Roman" w:eastAsia="宋体" w:cs="Times New Roman"/>
          <w:color w:val="000000" w:themeColor="text1"/>
          <w:sz w:val="28"/>
          <w:szCs w:val="28"/>
          <w14:textFill>
            <w14:solidFill>
              <w14:schemeClr w14:val="tx1"/>
            </w14:solidFill>
          </w14:textFill>
        </w:rPr>
        <w:t>）</w:t>
      </w:r>
      <w:r>
        <w:rPr>
          <w:rFonts w:hint="eastAsia" w:ascii="Times New Roman" w:hAnsi="Times New Roman" w:eastAsia="宋体" w:cs="Times New Roman"/>
          <w:color w:val="000000" w:themeColor="text1"/>
          <w:sz w:val="28"/>
          <w:szCs w:val="28"/>
          <w14:textFill>
            <w14:solidFill>
              <w14:schemeClr w14:val="tx1"/>
            </w14:solidFill>
          </w14:textFill>
        </w:rPr>
        <w:t>严格执行盐津县供电局关于《盐津开源矿业关于10kV花农线坪上支线4基电杆搬迁申请》批复，制定</w:t>
      </w:r>
      <w:r>
        <w:rPr>
          <w:rFonts w:ascii="Times New Roman" w:hAnsi="Times New Roman" w:eastAsia="宋体" w:cs="Times New Roman"/>
          <w:color w:val="000000" w:themeColor="text1"/>
          <w:sz w:val="28"/>
          <w:szCs w:val="28"/>
          <w14:textFill>
            <w14:solidFill>
              <w14:schemeClr w14:val="tx1"/>
            </w14:solidFill>
          </w14:textFill>
        </w:rPr>
        <w:t>安全防护方案</w:t>
      </w:r>
      <w:r>
        <w:rPr>
          <w:rFonts w:hint="eastAsia" w:ascii="Times New Roman" w:hAnsi="Times New Roman" w:eastAsia="宋体" w:cs="Times New Roman"/>
          <w:color w:val="000000" w:themeColor="text1"/>
          <w:sz w:val="28"/>
          <w:szCs w:val="28"/>
          <w14:textFill>
            <w14:solidFill>
              <w14:schemeClr w14:val="tx1"/>
            </w14:solidFill>
          </w14:textFill>
        </w:rPr>
        <w:t>，细化爆破措施，开采前要对相关人员进行技术和安全方案交底，对布孔、钻孔、装药、联线等工序严格控制</w:t>
      </w:r>
      <w:r>
        <w:rPr>
          <w:rFonts w:ascii="Times New Roman" w:hAnsi="Times New Roman" w:eastAsia="宋体" w:cs="Times New Roman"/>
          <w:color w:val="000000" w:themeColor="text1"/>
          <w:sz w:val="28"/>
          <w:szCs w:val="28"/>
          <w14:textFill>
            <w14:solidFill>
              <w14:schemeClr w14:val="tx1"/>
            </w14:solidFill>
          </w14:textFill>
        </w:rPr>
        <w:t>。</w:t>
      </w:r>
    </w:p>
    <w:p w14:paraId="78994C5A">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w:t>
      </w:r>
      <w:r>
        <w:rPr>
          <w:rFonts w:hint="eastAsia" w:ascii="Times New Roman" w:hAnsi="Times New Roman" w:eastAsia="宋体" w:cs="Times New Roman"/>
          <w:color w:val="000000" w:themeColor="text1"/>
          <w:sz w:val="28"/>
          <w:szCs w:val="28"/>
          <w14:textFill>
            <w14:solidFill>
              <w14:schemeClr w14:val="tx1"/>
            </w14:solidFill>
          </w14:textFill>
        </w:rPr>
        <w:t>7</w:t>
      </w:r>
      <w:r>
        <w:rPr>
          <w:rFonts w:ascii="Times New Roman" w:hAnsi="Times New Roman" w:eastAsia="宋体" w:cs="Times New Roman"/>
          <w:color w:val="000000" w:themeColor="text1"/>
          <w:sz w:val="28"/>
          <w:szCs w:val="28"/>
          <w14:textFill>
            <w14:solidFill>
              <w14:schemeClr w14:val="tx1"/>
            </w14:solidFill>
          </w14:textFill>
        </w:rPr>
        <w:t>）</w:t>
      </w:r>
      <w:r>
        <w:rPr>
          <w:color w:val="000000" w:themeColor="text1"/>
          <w:sz w:val="28"/>
          <w:szCs w:val="28"/>
          <w14:textFill>
            <w14:solidFill>
              <w14:schemeClr w14:val="tx1"/>
            </w14:solidFill>
          </w14:textFill>
        </w:rPr>
        <w:t>盐津县供电局已同意搬迁矿区范围</w:t>
      </w:r>
      <w:r>
        <w:rPr>
          <w:rFonts w:hint="eastAsia"/>
          <w:color w:val="000000" w:themeColor="text1"/>
          <w:sz w:val="28"/>
          <w:szCs w:val="28"/>
          <w14:textFill>
            <w14:solidFill>
              <w14:schemeClr w14:val="tx1"/>
            </w14:solidFill>
          </w14:textFill>
        </w:rPr>
        <w:t>内</w:t>
      </w:r>
      <w:r>
        <w:rPr>
          <w:color w:val="000000" w:themeColor="text1"/>
          <w:sz w:val="28"/>
          <w:szCs w:val="28"/>
          <w14:textFill>
            <w14:solidFill>
              <w14:schemeClr w14:val="tx1"/>
            </w14:solidFill>
          </w14:textFill>
        </w:rPr>
        <w:t>穿过</w:t>
      </w:r>
      <w:r>
        <w:rPr>
          <w:rFonts w:hint="eastAsia"/>
          <w:color w:val="000000" w:themeColor="text1"/>
          <w:sz w:val="28"/>
          <w:szCs w:val="28"/>
          <w14:textFill>
            <w14:solidFill>
              <w14:schemeClr w14:val="tx1"/>
            </w14:solidFill>
          </w14:textFill>
        </w:rPr>
        <w:t>的</w:t>
      </w:r>
      <w:r>
        <w:rPr>
          <w:color w:val="000000" w:themeColor="text1"/>
          <w:sz w:val="28"/>
          <w:szCs w:val="28"/>
          <w14:textFill>
            <w14:solidFill>
              <w14:schemeClr w14:val="tx1"/>
            </w14:solidFill>
          </w14:textFill>
        </w:rPr>
        <w:t>一条10KV高压线（花农线坪上支线），同时允许矿山在高压线100m范围外进行爆破作业</w:t>
      </w:r>
      <w:r>
        <w:rPr>
          <w:rFonts w:hint="eastAsia"/>
          <w:color w:val="000000" w:themeColor="text1"/>
          <w:sz w:val="28"/>
          <w:szCs w:val="28"/>
          <w14:textFill>
            <w14:solidFill>
              <w14:schemeClr w14:val="tx1"/>
            </w14:solidFill>
          </w14:textFill>
        </w:rPr>
        <w:t>，下一步设计明确搬迁位置及</w:t>
      </w:r>
      <w:r>
        <w:rPr>
          <w:rFonts w:hint="eastAsia"/>
          <w:sz w:val="28"/>
          <w:szCs w:val="28"/>
        </w:rPr>
        <w:t>可靠的安全防范措施，避免飞石造成线路损伤或杆塔基础不稳，引起线路故障或其他安全按事故。</w:t>
      </w:r>
    </w:p>
    <w:p w14:paraId="4B931070">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hint="eastAsia" w:ascii="Times New Roman" w:hAnsi="Times New Roman" w:eastAsia="宋体" w:cs="Times New Roman"/>
          <w:color w:val="000000" w:themeColor="text1"/>
          <w:sz w:val="28"/>
          <w:szCs w:val="28"/>
          <w14:textFill>
            <w14:solidFill>
              <w14:schemeClr w14:val="tx1"/>
            </w14:solidFill>
          </w14:textFill>
        </w:rPr>
        <w:t>（8）在靠房屋及道路侧进行爆破作业时，</w:t>
      </w:r>
      <w:r>
        <w:rPr>
          <w:rFonts w:ascii="Times New Roman" w:hAnsi="Times New Roman" w:eastAsia="宋体" w:cs="Times New Roman"/>
          <w:color w:val="000000" w:themeColor="text1"/>
          <w:sz w:val="28"/>
          <w:szCs w:val="28"/>
          <w14:textFill>
            <w14:solidFill>
              <w14:schemeClr w14:val="tx1"/>
            </w14:solidFill>
          </w14:textFill>
        </w:rPr>
        <w:t>必须单孔或单孔分层起爆，用金属网格炮被覆盖炮孔区域，杜绝爆破碎石飞散。并妥善解决施工中噪声爆破地震波和爆破冲击波等问题，确保施工的顺利进行。</w:t>
      </w:r>
    </w:p>
    <w:p w14:paraId="50A319A3">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w:t>
      </w:r>
      <w:r>
        <w:rPr>
          <w:rFonts w:hint="eastAsia" w:ascii="Times New Roman" w:hAnsi="Times New Roman" w:eastAsia="宋体" w:cs="Times New Roman"/>
          <w:color w:val="000000" w:themeColor="text1"/>
          <w:sz w:val="28"/>
          <w:szCs w:val="28"/>
          <w14:textFill>
            <w14:solidFill>
              <w14:schemeClr w14:val="tx1"/>
            </w14:solidFill>
          </w14:textFill>
        </w:rPr>
        <w:t>9</w:t>
      </w:r>
      <w:r>
        <w:rPr>
          <w:rFonts w:ascii="Times New Roman" w:hAnsi="Times New Roman" w:eastAsia="宋体" w:cs="Times New Roman"/>
          <w:color w:val="000000" w:themeColor="text1"/>
          <w:sz w:val="28"/>
          <w:szCs w:val="28"/>
          <w14:textFill>
            <w14:solidFill>
              <w14:schemeClr w14:val="tx1"/>
            </w14:solidFill>
          </w14:textFill>
        </w:rPr>
        <w:t>）严格按照设计要求钻孔、装药，确保钻孔、装药质量；选择合理的最小抵抗线；严格控制装药量，单段装药量不应大于安全起爆药量；保证炮孔填塞质量，严禁使用碎石和易燃材料填塞，金属网格炮被覆盖，防止发生爆破飞石；在爆区周边被保护建（构）筑处，分别设置振动检测点进行爆破振动检测，根据检测数据及时调整、优化爆破参数，对检测数据进行记录。</w:t>
      </w:r>
    </w:p>
    <w:p w14:paraId="13F58DCB">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w:t>
      </w:r>
      <w:r>
        <w:rPr>
          <w:rFonts w:hint="eastAsia" w:ascii="Times New Roman" w:hAnsi="Times New Roman" w:eastAsia="宋体" w:cs="Times New Roman"/>
          <w:color w:val="000000" w:themeColor="text1"/>
          <w:sz w:val="28"/>
          <w:szCs w:val="28"/>
          <w14:textFill>
            <w14:solidFill>
              <w14:schemeClr w14:val="tx1"/>
            </w14:solidFill>
          </w14:textFill>
        </w:rPr>
        <w:t>10</w:t>
      </w:r>
      <w:r>
        <w:rPr>
          <w:rFonts w:ascii="Times New Roman" w:hAnsi="Times New Roman" w:eastAsia="宋体" w:cs="Times New Roman"/>
          <w:color w:val="000000" w:themeColor="text1"/>
          <w:sz w:val="28"/>
          <w:szCs w:val="28"/>
          <w14:textFill>
            <w14:solidFill>
              <w14:schemeClr w14:val="tx1"/>
            </w14:solidFill>
          </w14:textFill>
        </w:rPr>
        <w:t>）矿区边界设置明显界桩，严禁越界开采，并设置防护网及警示标志，禁止人员及设备在边坡底下停留或作业。边坡底设置不低于2m的挡墙。</w:t>
      </w:r>
    </w:p>
    <w:p w14:paraId="6289FD8B">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1</w:t>
      </w:r>
      <w:r>
        <w:rPr>
          <w:rFonts w:hint="eastAsia" w:ascii="Times New Roman" w:hAnsi="Times New Roman" w:eastAsia="宋体" w:cs="Times New Roman"/>
          <w:color w:val="000000" w:themeColor="text1"/>
          <w:sz w:val="28"/>
          <w:szCs w:val="28"/>
          <w14:textFill>
            <w14:solidFill>
              <w14:schemeClr w14:val="tx1"/>
            </w14:solidFill>
          </w14:textFill>
        </w:rPr>
        <w:t>1</w:t>
      </w: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cs="Times New Roman"/>
          <w:sz w:val="28"/>
          <w:szCs w:val="28"/>
        </w:rPr>
        <w:t>距离铁路隧道斜距500m范围内不得进行爆破作业，采用机械开采，斜距500m外采用爆破开采</w:t>
      </w: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cs="Times New Roman"/>
          <w:sz w:val="28"/>
          <w:szCs w:val="28"/>
        </w:rPr>
        <w:t>严格按设计中保护区、机械开采区划定施工</w:t>
      </w:r>
      <w:r>
        <w:rPr>
          <w:rFonts w:hint="eastAsia" w:ascii="Times New Roman" w:hAnsi="Times New Roman" w:cs="Times New Roman"/>
          <w:sz w:val="28"/>
          <w:szCs w:val="28"/>
        </w:rPr>
        <w:t>。</w:t>
      </w:r>
    </w:p>
    <w:p w14:paraId="7CC5662C">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cs="Times New Roman"/>
          <w:sz w:val="28"/>
          <w:szCs w:val="28"/>
        </w:rPr>
        <w:t>（12）</w:t>
      </w:r>
      <w:r>
        <w:rPr>
          <w:rFonts w:ascii="Times New Roman" w:hAnsi="Times New Roman" w:eastAsia="宋体" w:cs="Times New Roman"/>
          <w:color w:val="000000" w:themeColor="text1"/>
          <w:sz w:val="28"/>
          <w:szCs w:val="28"/>
          <w:lang w:val="en-GB"/>
          <w14:textFill>
            <w14:solidFill>
              <w14:schemeClr w14:val="tx1"/>
            </w14:solidFill>
          </w14:textFill>
        </w:rPr>
        <w:t>初步设计未对机修部分进行说明，下一步应进行补充。</w:t>
      </w:r>
    </w:p>
    <w:p w14:paraId="544A40D1">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4.3.2 矿山开拓运输单元</w:t>
      </w:r>
    </w:p>
    <w:p w14:paraId="424A4B58">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1</w:t>
      </w:r>
      <w:r>
        <w:rPr>
          <w:rFonts w:ascii="Times New Roman" w:hAnsi="Times New Roman" w:eastAsia="宋体" w:cs="Times New Roman"/>
          <w:color w:val="000000" w:themeColor="text1"/>
          <w:sz w:val="28"/>
          <w:szCs w:val="28"/>
          <w:lang w:val="en-GB"/>
          <w14:textFill>
            <w14:solidFill>
              <w14:schemeClr w14:val="tx1"/>
            </w14:solidFill>
          </w14:textFill>
        </w:rPr>
        <w:t>）矿区道路边坡需加强支护并设置安全警示牌，山坡填方的弯道、坡度较大的填方地段以及高路基外侧应设置护栏或挡车墙，在下一步安全设施设计中应补充、完善。同时，矿山应建立道路安全管理制度，定期对运输设备进行检查维护。</w:t>
      </w:r>
    </w:p>
    <w:p w14:paraId="51380B35">
      <w:pPr>
        <w:adjustRightInd w:val="0"/>
        <w:snapToGrid w:val="0"/>
        <w:spacing w:line="360" w:lineRule="auto"/>
        <w:ind w:firstLine="560" w:firstLineChars="200"/>
        <w:rPr>
          <w:rFonts w:ascii="Times New Roman" w:hAnsi="Times New Roman" w:eastAsia="宋体" w:cs="Times New Roman"/>
          <w:color w:val="000000" w:themeColor="text1"/>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2</w:t>
      </w:r>
      <w:r>
        <w:rPr>
          <w:rFonts w:ascii="Times New Roman" w:hAnsi="Times New Roman" w:eastAsia="宋体" w:cs="Times New Roman"/>
          <w:color w:val="000000" w:themeColor="text1"/>
          <w:sz w:val="28"/>
          <w:szCs w:val="28"/>
          <w:lang w:val="en-GB"/>
          <w14:textFill>
            <w14:solidFill>
              <w14:schemeClr w14:val="tx1"/>
            </w14:solidFill>
          </w14:textFill>
        </w:rPr>
        <w:t>）根据预选危险性分析，开拓运输环节存在众多危险有害因素，危害程度为Ⅱ～Ⅳ级，危害程度较高，在今后的矿山建设和矿山生产过程中，矿山应当从主观上高度重视矿山内外部视运输环节中的危害，</w:t>
      </w:r>
      <w:r>
        <w:rPr>
          <w:rFonts w:ascii="Times New Roman" w:hAnsi="Times New Roman" w:eastAsia="宋体" w:cs="Times New Roman"/>
          <w:color w:val="000000" w:themeColor="text1"/>
          <w:sz w:val="28"/>
          <w:szCs w:val="28"/>
          <w14:textFill>
            <w14:solidFill>
              <w14:schemeClr w14:val="tx1"/>
            </w14:solidFill>
          </w14:textFill>
        </w:rPr>
        <w:t>在安全设施设计中要</w:t>
      </w:r>
      <w:r>
        <w:rPr>
          <w:rFonts w:ascii="Times New Roman" w:hAnsi="Times New Roman" w:eastAsia="宋体" w:cs="Times New Roman"/>
          <w:color w:val="000000" w:themeColor="text1"/>
          <w:sz w:val="28"/>
          <w:szCs w:val="28"/>
          <w:lang w:val="en-GB"/>
          <w14:textFill>
            <w14:solidFill>
              <w14:schemeClr w14:val="tx1"/>
            </w14:solidFill>
          </w14:textFill>
        </w:rPr>
        <w:t>充分落实上述安全对策措施，确保矿山安全生产。</w:t>
      </w:r>
    </w:p>
    <w:p w14:paraId="0EB1AF6B">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4.3.3 采剥单元</w:t>
      </w:r>
    </w:p>
    <w:p w14:paraId="7FCE7ADD">
      <w:pPr>
        <w:pStyle w:val="5"/>
        <w:adjustRightInd w:val="0"/>
        <w:snapToGrid w:val="0"/>
        <w:spacing w:line="360" w:lineRule="auto"/>
        <w:ind w:firstLine="560"/>
        <w:rPr>
          <w:rFonts w:ascii="Times New Roman" w:hAnsi="Times New Roman" w:cs="Times New Roman"/>
          <w:color w:val="000000" w:themeColor="text1"/>
          <w:lang w:val="en-GB"/>
          <w14:textFill>
            <w14:solidFill>
              <w14:schemeClr w14:val="tx1"/>
            </w14:solidFill>
          </w14:textFill>
        </w:rPr>
      </w:pPr>
      <w:r>
        <w:rPr>
          <w:rFonts w:ascii="Times New Roman" w:hAnsi="Times New Roman" w:cs="Times New Roman"/>
          <w:color w:val="000000" w:themeColor="text1"/>
          <w:lang w:val="en-GB"/>
          <w14:textFill>
            <w14:solidFill>
              <w14:schemeClr w14:val="tx1"/>
            </w14:solidFill>
          </w14:textFill>
        </w:rPr>
        <w:t>4.3.3.1 采场子单元</w:t>
      </w:r>
    </w:p>
    <w:p w14:paraId="5CB2EEC8">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（1）界外高陡边坡对矿山安全构成一定影响，可能发生滑坡、滚石等，对过往行人车辆构成威胁，应完善边坡截排水设施，定期进行巡查，发现浮石、开裂等隐患，及时处理。</w:t>
      </w:r>
    </w:p>
    <w:p w14:paraId="791D4F88">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（2）在安全设施设计中应完善高陡边坡的处理方式和防护措施</w:t>
      </w: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矿山应严格落实边坡管理制度和监测实施方案，按要求委托有资质的单位进行边坡稳定性分析研究。</w:t>
      </w:r>
    </w:p>
    <w:p w14:paraId="65BB15DF">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3</w:t>
      </w:r>
      <w:r>
        <w:rPr>
          <w:rFonts w:ascii="Times New Roman" w:hAnsi="Times New Roman" w:eastAsia="宋体" w:cs="Times New Roman"/>
          <w:color w:val="000000" w:themeColor="text1"/>
          <w:sz w:val="28"/>
          <w:szCs w:val="28"/>
          <w:lang w:val="en-GB"/>
          <w14:textFill>
            <w14:solidFill>
              <w14:schemeClr w14:val="tx1"/>
            </w14:solidFill>
          </w14:textFill>
        </w:rPr>
        <w:t>）</w:t>
      </w:r>
      <w:r>
        <w:rPr>
          <w:rFonts w:hint="eastAsia" w:ascii="Times New Roman" w:hAnsi="Times New Roman" w:eastAsia="宋体" w:cs="Times New Roman"/>
          <w:color w:val="000000" w:themeColor="text1"/>
          <w:sz w:val="28"/>
          <w:szCs w:val="28"/>
          <w14:textFill>
            <w14:solidFill>
              <w14:schemeClr w14:val="tx1"/>
            </w14:solidFill>
          </w14:textFill>
        </w:rPr>
        <w:t>针对采取西、南侧</w:t>
      </w:r>
      <w:r>
        <w:rPr>
          <w:rFonts w:ascii="Times New Roman" w:hAnsi="Times New Roman" w:eastAsia="宋体" w:cs="Times New Roman"/>
          <w:color w:val="000000" w:themeColor="text1"/>
          <w:sz w:val="28"/>
          <w:szCs w:val="28"/>
          <w:lang w:val="en-GB"/>
          <w14:textFill>
            <w14:solidFill>
              <w14:schemeClr w14:val="tx1"/>
            </w14:solidFill>
          </w14:textFill>
        </w:rPr>
        <w:t>村村通公路</w:t>
      </w:r>
      <w:r>
        <w:rPr>
          <w:rFonts w:hint="eastAsia"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lang w:val="en-GB"/>
          <w14:textFill>
            <w14:solidFill>
              <w14:schemeClr w14:val="tx1"/>
            </w14:solidFill>
          </w14:textFill>
        </w:rPr>
        <w:t>村道</w:t>
      </w:r>
      <w:r>
        <w:rPr>
          <w:rFonts w:hint="eastAsia"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lang w:val="en-GB"/>
          <w14:textFill>
            <w14:solidFill>
              <w14:schemeClr w14:val="tx1"/>
            </w14:solidFill>
          </w14:textFill>
        </w:rPr>
        <w:t>，设计</w:t>
      </w:r>
      <w:r>
        <w:rPr>
          <w:rFonts w:hint="eastAsia" w:ascii="Times New Roman" w:hAnsi="Times New Roman" w:eastAsia="宋体" w:cs="Times New Roman"/>
          <w:color w:val="000000" w:themeColor="text1"/>
          <w:sz w:val="28"/>
          <w:szCs w:val="28"/>
          <w14:textFill>
            <w14:solidFill>
              <w14:schemeClr w14:val="tx1"/>
            </w14:solidFill>
          </w14:textFill>
        </w:rPr>
        <w:t>预</w:t>
      </w:r>
      <w:r>
        <w:rPr>
          <w:rFonts w:ascii="Times New Roman" w:hAnsi="Times New Roman" w:eastAsia="宋体" w:cs="Times New Roman"/>
          <w:color w:val="000000" w:themeColor="text1"/>
          <w:sz w:val="28"/>
          <w:szCs w:val="28"/>
          <w:lang w:val="en-GB"/>
          <w14:textFill>
            <w14:solidFill>
              <w14:schemeClr w14:val="tx1"/>
            </w14:solidFill>
          </w14:textFill>
        </w:rPr>
        <w:t>留10m保护距离</w:t>
      </w:r>
      <w:r>
        <w:rPr>
          <w:rFonts w:hint="eastAsia"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禁止越禁采区边界开采</w:t>
      </w:r>
      <w:r>
        <w:rPr>
          <w:rFonts w:hint="eastAsia" w:ascii="Times New Roman" w:hAnsi="Times New Roman" w:eastAsia="宋体" w:cs="Times New Roman"/>
          <w:color w:val="000000" w:themeColor="text1"/>
          <w:sz w:val="28"/>
          <w:szCs w:val="28"/>
          <w14:textFill>
            <w14:solidFill>
              <w14:schemeClr w14:val="tx1"/>
            </w14:solidFill>
          </w14:textFill>
        </w:rPr>
        <w:t>。</w:t>
      </w:r>
    </w:p>
    <w:p w14:paraId="438D1FD2">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hint="eastAsia" w:ascii="Times New Roman" w:hAnsi="Times New Roman" w:eastAsia="宋体" w:cs="Times New Roman"/>
          <w:color w:val="000000" w:themeColor="text1"/>
          <w:sz w:val="28"/>
          <w:szCs w:val="28"/>
          <w14:textFill>
            <w14:solidFill>
              <w14:schemeClr w14:val="tx1"/>
            </w14:solidFill>
          </w14:textFill>
        </w:rPr>
        <w:t>（4）根据成都铁路局宜宾工电段的意见，距离内六铁路斜距500m范围内不得进行爆破作业，严格按照《代可研》设计矿区距离内六铁路500m范围内的机械开采区域进行相应开采，禁止在机械开采区进行爆破作业。</w:t>
      </w:r>
    </w:p>
    <w:p w14:paraId="1BEE44A9">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hint="eastAsia" w:ascii="Times New Roman" w:hAnsi="Times New Roman" w:eastAsia="宋体" w:cs="Times New Roman"/>
          <w:color w:val="000000" w:themeColor="text1"/>
          <w:sz w:val="28"/>
          <w:szCs w:val="28"/>
          <w14:textFill>
            <w14:solidFill>
              <w14:schemeClr w14:val="tx1"/>
            </w14:solidFill>
          </w14:textFill>
        </w:rPr>
        <w:t>（5）</w:t>
      </w:r>
      <w:r>
        <w:rPr>
          <w:rFonts w:ascii="Times New Roman" w:hAnsi="Times New Roman" w:eastAsia="宋体" w:cs="Times New Roman"/>
          <w:color w:val="000000" w:themeColor="text1"/>
          <w:sz w:val="28"/>
          <w:szCs w:val="28"/>
          <w14:textFill>
            <w14:solidFill>
              <w14:schemeClr w14:val="tx1"/>
            </w14:solidFill>
          </w14:textFill>
        </w:rPr>
        <w:t>矿山将来生产中要加强矿区爆破警戒工作，</w:t>
      </w:r>
      <w:r>
        <w:rPr>
          <w:rFonts w:ascii="宋体" w:hAnsi="宋体" w:eastAsia="宋体"/>
          <w:snapToGrid w:val="0"/>
          <w:kern w:val="0"/>
          <w:sz w:val="28"/>
          <w:szCs w:val="28"/>
        </w:rPr>
        <w:t>在爆破警戒范围的边界，应设有明显标志，爆破时要派出岗哨</w:t>
      </w:r>
      <w:r>
        <w:rPr>
          <w:rFonts w:hint="eastAsia" w:ascii="宋体" w:hAnsi="宋体" w:eastAsia="宋体"/>
          <w:snapToGrid w:val="0"/>
          <w:kern w:val="0"/>
          <w:sz w:val="28"/>
          <w:szCs w:val="28"/>
        </w:rPr>
        <w:t>，爆破过程中，应设置明确的预警信号、起爆信号及解除信号。各类信号均应使爆破警戒区域及附近人员能清楚地听到或看到，</w:t>
      </w:r>
      <w:r>
        <w:rPr>
          <w:rFonts w:ascii="Times New Roman" w:hAnsi="Times New Roman" w:eastAsia="宋体" w:cs="Times New Roman"/>
          <w:color w:val="000000" w:themeColor="text1"/>
          <w:sz w:val="28"/>
          <w:szCs w:val="28"/>
          <w14:textFill>
            <w14:solidFill>
              <w14:schemeClr w14:val="tx1"/>
            </w14:solidFill>
          </w14:textFill>
        </w:rPr>
        <w:t>以防止爆破安全事故发生。</w:t>
      </w:r>
    </w:p>
    <w:p w14:paraId="4AA54E3B">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w:t>
      </w:r>
      <w:r>
        <w:rPr>
          <w:rFonts w:hint="eastAsia" w:ascii="Times New Roman" w:hAnsi="Times New Roman" w:eastAsia="宋体" w:cs="Times New Roman"/>
          <w:color w:val="000000" w:themeColor="text1"/>
          <w:sz w:val="28"/>
          <w:szCs w:val="28"/>
          <w14:textFill>
            <w14:solidFill>
              <w14:schemeClr w14:val="tx1"/>
            </w14:solidFill>
          </w14:textFill>
        </w:rPr>
        <w:t>6</w:t>
      </w:r>
      <w:r>
        <w:rPr>
          <w:rFonts w:ascii="Times New Roman" w:hAnsi="Times New Roman" w:eastAsia="宋体" w:cs="Times New Roman"/>
          <w:color w:val="000000" w:themeColor="text1"/>
          <w:sz w:val="28"/>
          <w:szCs w:val="28"/>
          <w14:textFill>
            <w14:solidFill>
              <w14:schemeClr w14:val="tx1"/>
            </w14:solidFill>
          </w14:textFill>
        </w:rPr>
        <w:t>）</w:t>
      </w:r>
      <w:r>
        <w:rPr>
          <w:rFonts w:ascii="Times New Roman" w:hAnsi="Times New Roman" w:eastAsia="宋体" w:cs="Times New Roman"/>
          <w:color w:val="000000" w:themeColor="text1"/>
          <w:sz w:val="28"/>
          <w:szCs w:val="28"/>
          <w:lang w:val="en-GB"/>
          <w14:textFill>
            <w14:solidFill>
              <w14:schemeClr w14:val="tx1"/>
            </w14:solidFill>
          </w14:textFill>
        </w:rPr>
        <w:t>设计应进一步完善采场应采取的安全措施，矿山在露天矿边界应设可靠的围栏或醒目的警示标志，防止无关人员误入。露天矿边界上2m范围内，可能危及人员安全的树木及其他植物、不稳固材料和岩石等，应予清除。露天矿边界上覆盖的松散岩土层厚度超过2m时，其倾角应小于自然安息角。</w:t>
      </w:r>
    </w:p>
    <w:p w14:paraId="79A35BC5">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hint="eastAsia" w:ascii="Times New Roman" w:hAnsi="Times New Roman" w:eastAsia="宋体" w:cs="Times New Roman"/>
          <w:color w:val="000000" w:themeColor="text1"/>
          <w:sz w:val="28"/>
          <w:szCs w:val="28"/>
          <w14:textFill>
            <w14:solidFill>
              <w14:schemeClr w14:val="tx1"/>
            </w14:solidFill>
          </w14:textFill>
        </w:rPr>
        <w:t>7</w:t>
      </w:r>
      <w:r>
        <w:rPr>
          <w:rFonts w:ascii="Times New Roman" w:hAnsi="Times New Roman" w:eastAsia="宋体" w:cs="Times New Roman"/>
          <w:color w:val="000000" w:themeColor="text1"/>
          <w:sz w:val="28"/>
          <w:szCs w:val="28"/>
          <w:lang w:val="en-GB"/>
          <w14:textFill>
            <w14:solidFill>
              <w14:schemeClr w14:val="tx1"/>
            </w14:solidFill>
          </w14:textFill>
        </w:rPr>
        <w:t>）作业人员在进行高处作业时，应按照要求佩戴安全帽、安全带等劳动防护用品，避免发生高处坠落事故。</w:t>
      </w:r>
    </w:p>
    <w:p w14:paraId="001701B9">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hint="eastAsia" w:ascii="Times New Roman" w:hAnsi="Times New Roman" w:eastAsia="宋体" w:cs="Times New Roman"/>
          <w:color w:val="000000" w:themeColor="text1"/>
          <w:sz w:val="28"/>
          <w:szCs w:val="28"/>
          <w14:textFill>
            <w14:solidFill>
              <w14:schemeClr w14:val="tx1"/>
            </w14:solidFill>
          </w14:textFill>
        </w:rPr>
        <w:t>8</w:t>
      </w:r>
      <w:r>
        <w:rPr>
          <w:rFonts w:ascii="Times New Roman" w:hAnsi="Times New Roman" w:eastAsia="宋体" w:cs="Times New Roman"/>
          <w:color w:val="000000" w:themeColor="text1"/>
          <w:sz w:val="28"/>
          <w:szCs w:val="28"/>
          <w:lang w:val="en-GB"/>
          <w14:textFill>
            <w14:solidFill>
              <w14:schemeClr w14:val="tx1"/>
            </w14:solidFill>
          </w14:textFill>
        </w:rPr>
        <w:t>）矿山采矿后将形成一定的采空区，采空区应加强安全管理，采取相应安全措施，并设置相应的安全警示标志标语，以防人员误入发生事故。</w:t>
      </w:r>
    </w:p>
    <w:p w14:paraId="6CF1F0B5">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9</w:t>
      </w:r>
      <w:r>
        <w:rPr>
          <w:rFonts w:ascii="Times New Roman" w:hAnsi="Times New Roman" w:eastAsia="宋体" w:cs="Times New Roman"/>
          <w:color w:val="000000" w:themeColor="text1"/>
          <w:sz w:val="28"/>
          <w:szCs w:val="28"/>
          <w:lang w:val="en-GB"/>
          <w14:textFill>
            <w14:solidFill>
              <w14:schemeClr w14:val="tx1"/>
            </w14:solidFill>
          </w14:textFill>
        </w:rPr>
        <w:t>）检查人员发现盲炮及其他险情，应及时上报或处理；处理前应在现场设立危险标志，并采取相应的安全措施，无关人员不应接近。发生盲炮时，应首先检查导爆管是否有破损或断裂，发现有破损或断裂的应修复后重新起爆。盲炮处理后，应仔细检查爆堆，将残余的爆破器材收集起来销毁，在不能确认爆堆无残留的爆破器材之前，应采取预防措施。</w:t>
      </w:r>
    </w:p>
    <w:p w14:paraId="1E58E1DB">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10</w:t>
      </w:r>
      <w:r>
        <w:rPr>
          <w:rFonts w:ascii="Times New Roman" w:hAnsi="Times New Roman" w:eastAsia="宋体" w:cs="Times New Roman"/>
          <w:color w:val="000000" w:themeColor="text1"/>
          <w:sz w:val="28"/>
          <w:szCs w:val="28"/>
          <w:lang w:val="en-GB"/>
          <w14:textFill>
            <w14:solidFill>
              <w14:schemeClr w14:val="tx1"/>
            </w14:solidFill>
          </w14:textFill>
        </w:rPr>
        <w:t>）爆破工程技术人员在装药前应对第一排各钻孔的最小抵抗线进行测定，对形成反坡或有大裂隙的部位应考虑调整药量或间隔填塞。底盘抵抗线过大的部位，应进行处理，使其符合爆破要求。</w:t>
      </w:r>
    </w:p>
    <w:p w14:paraId="091CA355">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11</w:t>
      </w:r>
      <w:r>
        <w:rPr>
          <w:rFonts w:ascii="Times New Roman" w:hAnsi="Times New Roman" w:eastAsia="宋体" w:cs="Times New Roman"/>
          <w:color w:val="000000" w:themeColor="text1"/>
          <w:sz w:val="28"/>
          <w:szCs w:val="28"/>
          <w:lang w:val="en-GB"/>
          <w14:textFill>
            <w14:solidFill>
              <w14:schemeClr w14:val="tx1"/>
            </w14:solidFill>
          </w14:textFill>
        </w:rPr>
        <w:t>）矿山应建立健全边坡安全管理和检查制度，边坡高度100米及以上的边坡，应当每年进行一次边坡稳定性分析。现状高度200米及以上的边坡，应当进行在线监测。</w:t>
      </w:r>
    </w:p>
    <w:p w14:paraId="71C7F108">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eastAsia="宋体" w:cs="Times New Roman"/>
          <w:color w:val="000000" w:themeColor="text1"/>
          <w:sz w:val="28"/>
          <w:szCs w:val="28"/>
          <w:lang w:val="en-GB"/>
          <w14:textFill>
            <w14:solidFill>
              <w14:schemeClr w14:val="tx1"/>
            </w14:solidFill>
          </w14:textFill>
        </w:rPr>
        <w:t>（</w:t>
      </w:r>
      <w:r>
        <w:rPr>
          <w:rFonts w:hint="eastAsia" w:ascii="Times New Roman" w:hAnsi="Times New Roman" w:eastAsia="宋体" w:cs="Times New Roman"/>
          <w:color w:val="000000" w:themeColor="text1"/>
          <w:sz w:val="28"/>
          <w:szCs w:val="28"/>
          <w14:textFill>
            <w14:solidFill>
              <w14:schemeClr w14:val="tx1"/>
            </w14:solidFill>
          </w14:textFill>
        </w:rPr>
        <w:t>12</w:t>
      </w:r>
      <w:r>
        <w:rPr>
          <w:rFonts w:hint="eastAsia" w:ascii="Times New Roman" w:hAnsi="Times New Roman" w:eastAsia="宋体" w:cs="Times New Roman"/>
          <w:color w:val="000000" w:themeColor="text1"/>
          <w:sz w:val="28"/>
          <w:szCs w:val="28"/>
          <w:lang w:val="en-GB"/>
          <w14:textFill>
            <w14:solidFill>
              <w14:schemeClr w14:val="tx1"/>
            </w14:solidFill>
          </w14:textFill>
        </w:rPr>
        <w:t>）矿山在爆破过程中应严格控制爆破指向，减少装药量，采取覆盖措施等，避免造成爆破伤害事故，并严格按照初步设计要求圈定300m爆破警戒范围。</w:t>
      </w:r>
    </w:p>
    <w:p w14:paraId="6DB6614F">
      <w:pPr>
        <w:adjustRightInd w:val="0"/>
        <w:snapToGrid w:val="0"/>
        <w:spacing w:line="360" w:lineRule="auto"/>
        <w:ind w:firstLine="560" w:firstLineChars="200"/>
      </w:pPr>
      <w:r>
        <w:rPr>
          <w:rFonts w:hint="eastAsia" w:ascii="Times New Roman" w:hAnsi="Times New Roman" w:eastAsia="宋体" w:cs="Times New Roman"/>
          <w:color w:val="000000" w:themeColor="text1"/>
          <w:sz w:val="28"/>
          <w:szCs w:val="28"/>
          <w:lang w:val="en-GB"/>
          <w14:textFill>
            <w14:solidFill>
              <w14:schemeClr w14:val="tx1"/>
            </w14:solidFill>
          </w14:textFill>
        </w:rPr>
        <w:t>（</w:t>
      </w:r>
      <w:r>
        <w:rPr>
          <w:rFonts w:hint="eastAsia" w:ascii="Times New Roman" w:hAnsi="Times New Roman" w:eastAsia="宋体" w:cs="Times New Roman"/>
          <w:color w:val="000000" w:themeColor="text1"/>
          <w:sz w:val="28"/>
          <w:szCs w:val="28"/>
          <w14:textFill>
            <w14:solidFill>
              <w14:schemeClr w14:val="tx1"/>
            </w14:solidFill>
          </w14:textFill>
        </w:rPr>
        <w:t>13</w:t>
      </w:r>
      <w:r>
        <w:rPr>
          <w:rFonts w:hint="eastAsia" w:ascii="Times New Roman" w:hAnsi="Times New Roman" w:eastAsia="宋体" w:cs="Times New Roman"/>
          <w:color w:val="000000" w:themeColor="text1"/>
          <w:sz w:val="28"/>
          <w:szCs w:val="28"/>
          <w:lang w:val="en-GB"/>
          <w14:textFill>
            <w14:solidFill>
              <w14:schemeClr w14:val="tx1"/>
            </w14:solidFill>
          </w14:textFill>
        </w:rPr>
        <w:t>）补充爆破作业时</w:t>
      </w:r>
      <w:r>
        <w:rPr>
          <w:rFonts w:hint="eastAsia" w:ascii="Times New Roman" w:hAnsi="Times New Roman" w:eastAsia="宋体" w:cs="Times New Roman"/>
          <w:color w:val="000000" w:themeColor="text1"/>
          <w:sz w:val="28"/>
          <w:szCs w:val="28"/>
          <w14:textFill>
            <w14:solidFill>
              <w14:schemeClr w14:val="tx1"/>
            </w14:solidFill>
          </w14:textFill>
        </w:rPr>
        <w:t>周边道路</w:t>
      </w:r>
      <w:r>
        <w:rPr>
          <w:rFonts w:hint="eastAsia" w:ascii="Times New Roman" w:hAnsi="Times New Roman" w:eastAsia="宋体" w:cs="Times New Roman"/>
          <w:color w:val="000000" w:themeColor="text1"/>
          <w:sz w:val="28"/>
          <w:szCs w:val="28"/>
          <w:lang w:val="en-GB"/>
          <w14:textFill>
            <w14:solidFill>
              <w14:schemeClr w14:val="tx1"/>
            </w14:solidFill>
          </w14:textFill>
        </w:rPr>
        <w:t>等人员撤离要求，补充禁爆区和爆破开采区控制和管理的相关要求。</w:t>
      </w:r>
    </w:p>
    <w:p w14:paraId="01D4ADC7">
      <w:pPr>
        <w:pStyle w:val="5"/>
        <w:adjustRightInd w:val="0"/>
        <w:snapToGrid w:val="0"/>
        <w:spacing w:line="360" w:lineRule="auto"/>
        <w:ind w:firstLine="560"/>
        <w:rPr>
          <w:rFonts w:ascii="Times New Roman" w:hAnsi="Times New Roman" w:cs="Times New Roman"/>
          <w:color w:val="000000" w:themeColor="text1"/>
          <w:lang w:val="en-GB"/>
          <w14:textFill>
            <w14:solidFill>
              <w14:schemeClr w14:val="tx1"/>
            </w14:solidFill>
          </w14:textFill>
        </w:rPr>
      </w:pPr>
      <w:r>
        <w:rPr>
          <w:rFonts w:ascii="Times New Roman" w:hAnsi="Times New Roman" w:cs="Times New Roman"/>
          <w:color w:val="000000" w:themeColor="text1"/>
          <w:lang w:val="en-GB"/>
          <w14:textFill>
            <w14:solidFill>
              <w14:schemeClr w14:val="tx1"/>
            </w14:solidFill>
          </w14:textFill>
        </w:rPr>
        <w:t>4.3.3.</w:t>
      </w:r>
      <w:r>
        <w:rPr>
          <w:rFonts w:ascii="Times New Roman" w:hAnsi="Times New Roman" w:cs="Times New Roman"/>
          <w:color w:val="000000" w:themeColor="text1"/>
          <w14:textFill>
            <w14:solidFill>
              <w14:schemeClr w14:val="tx1"/>
            </w14:solidFill>
          </w14:textFill>
        </w:rPr>
        <w:t>2</w:t>
      </w:r>
      <w:r>
        <w:rPr>
          <w:rFonts w:ascii="Times New Roman" w:hAnsi="Times New Roman" w:cs="Times New Roman"/>
          <w:color w:val="000000" w:themeColor="text1"/>
          <w:lang w:val="en-GB"/>
          <w14:textFill>
            <w14:solidFill>
              <w14:schemeClr w14:val="tx1"/>
            </w14:solidFill>
          </w14:textFill>
        </w:rPr>
        <w:t xml:space="preserve"> 铲装运输子单元</w:t>
      </w:r>
    </w:p>
    <w:p w14:paraId="563660C8">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（1）铲装设备在工作台阶上铲装作业时，应尽量避免靠近平台边缘，由于工作台阶边缘矿岩松散，有可能导致铲装设备坠落、倾翻。</w:t>
      </w:r>
    </w:p>
    <w:p w14:paraId="5AB8972E">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（2）挖掘机汽笛或警报器应完好，进行各种操作时，均应发出警告信号。挖掘机作业时，悬臂和铲斗下面及工作面附近，不应有人停留。</w:t>
      </w:r>
    </w:p>
    <w:p w14:paraId="2FF285AA">
      <w:pPr>
        <w:adjustRightInd w:val="0"/>
        <w:snapToGrid w:val="0"/>
        <w:spacing w:line="360" w:lineRule="auto"/>
        <w:ind w:firstLine="560" w:firstLineChars="200"/>
        <w:rPr>
          <w:rFonts w:ascii="Times New Roman" w:hAnsi="Times New Roman" w:eastAsia="宋体" w:cs="Times New Roman"/>
          <w:color w:val="000000" w:themeColor="text1"/>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（3）对运输设备建立定期的检测和保养制度，以确保运输设备的安全可靠性，防止机械失灵造成安全事故；建立运输系统各岗位安全职责及安全操作规程安全管理制度。</w:t>
      </w:r>
    </w:p>
    <w:p w14:paraId="76345F40">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4.3.4 供水系统单元</w:t>
      </w:r>
    </w:p>
    <w:p w14:paraId="2FE9C532">
      <w:pPr>
        <w:adjustRightInd w:val="0"/>
        <w:snapToGrid w:val="0"/>
        <w:spacing w:line="360" w:lineRule="auto"/>
        <w:ind w:firstLine="560" w:firstLineChars="200"/>
        <w:rPr>
          <w:rFonts w:ascii="Times New Roman" w:hAnsi="Times New Roman" w:eastAsia="宋体" w:cs="Times New Roman"/>
          <w:color w:val="000000" w:themeColor="text1"/>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设计中对供水系统进行了简单说明，设计的矿山供水系统符合《金属非金属矿山安全规程》（GB16423-2020）的相关规定。</w:t>
      </w:r>
    </w:p>
    <w:p w14:paraId="15245B76">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4.3.5 防尘单元</w:t>
      </w:r>
    </w:p>
    <w:p w14:paraId="3EA9225A">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（1）安全设施设计应补充矿山配备的洒水设备。</w:t>
      </w:r>
    </w:p>
    <w:p w14:paraId="0FC3A941">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（2）矿山凿岩应湿式作业或在穿孔设备上配备干式捕尘装置。</w:t>
      </w:r>
    </w:p>
    <w:p w14:paraId="227F51D6">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（3）完善破碎站的防尘措施。</w:t>
      </w:r>
    </w:p>
    <w:p w14:paraId="57A46761">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（4）完善登记发放领取台账。</w:t>
      </w:r>
    </w:p>
    <w:p w14:paraId="26380671">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4.3.6 矿山电气单元</w:t>
      </w:r>
    </w:p>
    <w:p w14:paraId="2AD597E4">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1）根据《建筑物防雷设计规范》(GB50057-2010)，矿区地表建构筑物属第三类防雷建筑物。建议矿区各类建构筑物按照国家标准、规程和规范的有关要求，设置防雷接地保护装置。并按建筑物的类别满足防雷等级的要求。防雷设施能够满足</w:t>
      </w:r>
      <w:r>
        <w:rPr>
          <w:rFonts w:hint="eastAsia" w:ascii="Times New Roman" w:hAnsi="Times New Roman" w:eastAsia="宋体" w:cs="Times New Roman"/>
          <w:sz w:val="28"/>
          <w:szCs w:val="28"/>
          <w:lang w:val="en-GB"/>
        </w:rPr>
        <w:t>防</w:t>
      </w:r>
      <w:r>
        <w:rPr>
          <w:rFonts w:ascii="Times New Roman" w:hAnsi="Times New Roman" w:eastAsia="宋体" w:cs="Times New Roman"/>
          <w:sz w:val="28"/>
          <w:szCs w:val="28"/>
          <w:lang w:val="en-GB"/>
        </w:rPr>
        <w:t>直接雷、雷电侵入及感应雷的要求。</w:t>
      </w:r>
    </w:p>
    <w:p w14:paraId="3957F42F">
      <w:pPr>
        <w:adjustRightInd w:val="0"/>
        <w:snapToGrid w:val="0"/>
        <w:spacing w:line="360" w:lineRule="auto"/>
        <w:ind w:firstLine="560" w:firstLineChars="200"/>
        <w:rPr>
          <w:rFonts w:ascii="Times New Roman" w:hAnsi="Times New Roman" w:eastAsia="宋体" w:cs="Times New Roman"/>
          <w:sz w:val="28"/>
          <w:szCs w:val="28"/>
          <w:lang w:val="en-GB"/>
        </w:rPr>
      </w:pPr>
      <w:r>
        <w:rPr>
          <w:rFonts w:ascii="Times New Roman" w:hAnsi="Times New Roman" w:eastAsia="宋体" w:cs="Times New Roman"/>
          <w:sz w:val="28"/>
          <w:szCs w:val="28"/>
          <w:lang w:val="en-GB"/>
        </w:rPr>
        <w:t>（2）设计中未明确电缆型号规格等具体内容，下一步安全设施设计中应进行明确。</w:t>
      </w:r>
    </w:p>
    <w:p w14:paraId="46152C30">
      <w:pPr>
        <w:adjustRightInd w:val="0"/>
        <w:snapToGrid w:val="0"/>
        <w:spacing w:line="360" w:lineRule="auto"/>
        <w:ind w:firstLine="560" w:firstLineChars="200"/>
        <w:rPr>
          <w:rFonts w:ascii="Times New Roman" w:hAnsi="Times New Roman" w:eastAsia="宋体" w:cs="Times New Roman"/>
          <w:lang w:val="en-GB"/>
        </w:rPr>
      </w:pPr>
      <w:r>
        <w:rPr>
          <w:rFonts w:ascii="Times New Roman" w:hAnsi="Times New Roman" w:eastAsia="宋体" w:cs="Times New Roman"/>
          <w:sz w:val="28"/>
          <w:szCs w:val="28"/>
          <w:lang w:val="en-GB"/>
        </w:rPr>
        <w:t>（3）下一步安全设施设计应进一步完善矿山供配电设施应配备的安全设施，变压器室、配电室、电容器室等房间应设置防止雨、雪和蛇、鼠等小动物从采光窗、通风窗、门、电缆沟等处进入室内的设施。</w:t>
      </w:r>
    </w:p>
    <w:p w14:paraId="7F7330E2">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4.3.7 防排水与防灭火单元</w:t>
      </w:r>
    </w:p>
    <w:p w14:paraId="5E457B86">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1、初步设计未对工业场地排水设施进行描述，下一步的安全设施设计中应对工业场地排水设施进一步完善。</w:t>
      </w:r>
    </w:p>
    <w:p w14:paraId="6169FC6C">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hint="eastAsia" w:ascii="Times New Roman" w:hAnsi="Times New Roman" w:eastAsia="宋体" w:cs="Times New Roman"/>
          <w:color w:val="000000" w:themeColor="text1"/>
          <w:sz w:val="28"/>
          <w:szCs w:val="28"/>
          <w14:textFill>
            <w14:solidFill>
              <w14:schemeClr w14:val="tx1"/>
            </w14:solidFill>
          </w14:textFill>
        </w:rPr>
        <w:t>2</w:t>
      </w:r>
      <w:r>
        <w:rPr>
          <w:rFonts w:ascii="Times New Roman" w:hAnsi="Times New Roman" w:eastAsia="宋体" w:cs="Times New Roman"/>
          <w:color w:val="000000" w:themeColor="text1"/>
          <w:sz w:val="28"/>
          <w:szCs w:val="28"/>
          <w14:textFill>
            <w14:solidFill>
              <w14:schemeClr w14:val="tx1"/>
            </w14:solidFill>
          </w14:textFill>
        </w:rPr>
        <w:t>、汛期时应做好矿区的防汛工作，包括明确防汛安全生产责任制，建立紧急预案，详细检查排洪系统的安全状况，配备足够物资，确保通信、照明、道路、供电可靠和畅通等。</w:t>
      </w:r>
    </w:p>
    <w:p w14:paraId="49F1B46E">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4.3.8 安全管理单元</w:t>
      </w:r>
    </w:p>
    <w:p w14:paraId="623CFCC6">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bookmarkStart w:id="82" w:name="_Toc7729"/>
      <w:r>
        <w:rPr>
          <w:rFonts w:ascii="Times New Roman" w:hAnsi="Times New Roman" w:eastAsia="宋体" w:cs="Times New Roman"/>
          <w:color w:val="000000" w:themeColor="text1"/>
          <w:sz w:val="28"/>
          <w:szCs w:val="28"/>
          <w14:textFill>
            <w14:solidFill>
              <w14:schemeClr w14:val="tx1"/>
            </w14:solidFill>
          </w14:textFill>
        </w:rPr>
        <w:t>（1）设计未明确该矿山的安全生产管理机构、安全生产责任制、安全管理制度、安全技术操作规程等安全管理内容，下一步安全设施设计应根据生产的发展及建设项目的具体情况，及时建立健全安全管理内容。</w:t>
      </w:r>
    </w:p>
    <w:p w14:paraId="6F457095">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（2）露天矿山必须设置安全管理职能机构，初步设计未明确，下一步安全设施设计中应补充设立。</w:t>
      </w:r>
      <w:r>
        <w:rPr>
          <w:rFonts w:ascii="Times New Roman" w:hAnsi="Times New Roman" w:eastAsia="宋体" w:cs="Times New Roman"/>
          <w:sz w:val="28"/>
          <w:szCs w:val="28"/>
        </w:rPr>
        <w:t>企业必须依法设立安全管理机构或者配备专职安全生产管理人员，</w:t>
      </w:r>
      <w:r>
        <w:rPr>
          <w:rFonts w:ascii="Times New Roman" w:hAnsi="Times New Roman" w:eastAsia="宋体" w:cs="Times New Roman"/>
          <w:color w:val="000000" w:themeColor="text1"/>
          <w:sz w:val="28"/>
          <w:szCs w:val="28"/>
          <w:lang w:val="en-GB"/>
          <w14:textFill>
            <w14:solidFill>
              <w14:schemeClr w14:val="tx1"/>
            </w14:solidFill>
          </w14:textFill>
        </w:rPr>
        <w:t>安全管理人员不少于2人，</w:t>
      </w:r>
      <w:r>
        <w:rPr>
          <w:rFonts w:ascii="Times New Roman" w:hAnsi="Times New Roman" w:eastAsia="宋体" w:cs="Times New Roman"/>
          <w:sz w:val="28"/>
          <w:szCs w:val="28"/>
        </w:rPr>
        <w:t>应当有注册安全工程师从事安全生产管理工作。专职安全生产管理人员应当从事矿山工作5年及以上、具有相应的非煤矿山安全生产专业知识和工作经验并熟悉本矿生产系统，该矿山</w:t>
      </w:r>
      <w:r>
        <w:rPr>
          <w:rFonts w:ascii="Times New Roman" w:hAnsi="Times New Roman" w:eastAsia="宋体" w:cs="Times New Roman"/>
          <w:color w:val="000000" w:themeColor="text1"/>
          <w:sz w:val="28"/>
          <w:szCs w:val="28"/>
          <w:lang w:val="en-GB"/>
          <w14:textFill>
            <w14:solidFill>
              <w14:schemeClr w14:val="tx1"/>
            </w14:solidFill>
          </w14:textFill>
        </w:rPr>
        <w:t>类型为非煤矿山露天矿山。</w:t>
      </w:r>
    </w:p>
    <w:p w14:paraId="6C11B3A2">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3</w:t>
      </w:r>
      <w:r>
        <w:rPr>
          <w:rFonts w:ascii="Times New Roman" w:hAnsi="Times New Roman" w:eastAsia="宋体" w:cs="Times New Roman"/>
          <w:color w:val="000000" w:themeColor="text1"/>
          <w:sz w:val="28"/>
          <w:szCs w:val="28"/>
          <w:lang w:val="en-GB"/>
          <w14:textFill>
            <w14:solidFill>
              <w14:schemeClr w14:val="tx1"/>
            </w14:solidFill>
          </w14:textFill>
        </w:rPr>
        <w:t>）建立安全生产管理机构，确定主要负责人和安全管理人员，并要参加当地应急管理部门组织的</w:t>
      </w:r>
      <w:r>
        <w:rPr>
          <w:rFonts w:ascii="Times New Roman" w:hAnsi="Times New Roman" w:eastAsia="宋体" w:cs="Times New Roman"/>
          <w:color w:val="000000" w:themeColor="text1"/>
          <w:sz w:val="28"/>
          <w:szCs w:val="28"/>
          <w14:textFill>
            <w14:solidFill>
              <w14:schemeClr w14:val="tx1"/>
            </w14:solidFill>
          </w14:textFill>
        </w:rPr>
        <w:t>合格</w:t>
      </w:r>
      <w:r>
        <w:rPr>
          <w:rFonts w:ascii="Times New Roman" w:hAnsi="Times New Roman" w:eastAsia="宋体" w:cs="Times New Roman"/>
          <w:color w:val="000000" w:themeColor="text1"/>
          <w:sz w:val="28"/>
          <w:szCs w:val="28"/>
          <w:lang w:val="en-GB"/>
          <w14:textFill>
            <w14:solidFill>
              <w14:schemeClr w14:val="tx1"/>
            </w14:solidFill>
          </w14:textFill>
        </w:rPr>
        <w:t>培训，取得相应安全合格证，特种作业人员也要取得特种作业资格证；</w:t>
      </w:r>
    </w:p>
    <w:p w14:paraId="7B9B8992">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4</w:t>
      </w:r>
      <w:r>
        <w:rPr>
          <w:rFonts w:ascii="Times New Roman" w:hAnsi="Times New Roman" w:eastAsia="宋体" w:cs="Times New Roman"/>
          <w:color w:val="000000" w:themeColor="text1"/>
          <w:sz w:val="28"/>
          <w:szCs w:val="28"/>
          <w:lang w:val="en-GB"/>
          <w14:textFill>
            <w14:solidFill>
              <w14:schemeClr w14:val="tx1"/>
            </w14:solidFill>
          </w14:textFill>
        </w:rPr>
        <w:t>）企业应</w:t>
      </w:r>
      <w:r>
        <w:rPr>
          <w:rFonts w:ascii="Times New Roman" w:hAnsi="Times New Roman" w:cs="Times New Roman"/>
          <w:sz w:val="28"/>
          <w:szCs w:val="28"/>
        </w:rPr>
        <w:t>建立健全</w:t>
      </w:r>
      <w:r>
        <w:rPr>
          <w:rFonts w:hint="eastAsia" w:ascii="Times New Roman" w:hAnsi="Times New Roman" w:cs="Times New Roman"/>
          <w:sz w:val="28"/>
          <w:szCs w:val="28"/>
        </w:rPr>
        <w:t>各项</w:t>
      </w:r>
      <w:r>
        <w:rPr>
          <w:rFonts w:ascii="Times New Roman" w:hAnsi="Times New Roman" w:eastAsia="宋体" w:cs="Times New Roman"/>
          <w:color w:val="000000" w:themeColor="text1"/>
          <w:sz w:val="28"/>
          <w:szCs w:val="28"/>
          <w:lang w:val="en-GB"/>
          <w14:textFill>
            <w14:solidFill>
              <w14:schemeClr w14:val="tx1"/>
            </w14:solidFill>
          </w14:textFill>
        </w:rPr>
        <w:t>安全责任制、安全管理制度、安全操作规程及相应的安全管理台账。</w:t>
      </w:r>
    </w:p>
    <w:p w14:paraId="7E1887E4">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（5）企业应按导则要求规范编制应急预案、签订应急救援协议、进行应急预案演练。</w:t>
      </w:r>
    </w:p>
    <w:p w14:paraId="17D0E0F4">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6</w:t>
      </w:r>
      <w:r>
        <w:rPr>
          <w:rFonts w:ascii="Times New Roman" w:hAnsi="Times New Roman" w:eastAsia="宋体" w:cs="Times New Roman"/>
          <w:color w:val="000000" w:themeColor="text1"/>
          <w:sz w:val="28"/>
          <w:szCs w:val="28"/>
          <w:lang w:val="en-GB"/>
          <w14:textFill>
            <w14:solidFill>
              <w14:schemeClr w14:val="tx1"/>
            </w14:solidFill>
          </w14:textFill>
        </w:rPr>
        <w:t>）企业应当严格执行《生产经营单位安全培训规定》（原国家安全监管总局令第3号）、《特种作业人员安全技术培训考核管理规定》（原国家安全监管总局令第30号）等规章，强化从业人员安全素质和技能提升，不得安排未经安全生产培训合格的从业人员上岗。</w:t>
      </w:r>
    </w:p>
    <w:p w14:paraId="53E716E0">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7</w:t>
      </w:r>
      <w:r>
        <w:rPr>
          <w:rFonts w:ascii="Times New Roman" w:hAnsi="Times New Roman" w:eastAsia="宋体" w:cs="Times New Roman"/>
          <w:color w:val="000000" w:themeColor="text1"/>
          <w:sz w:val="28"/>
          <w:szCs w:val="28"/>
          <w:lang w:val="en-GB"/>
          <w14:textFill>
            <w14:solidFill>
              <w14:schemeClr w14:val="tx1"/>
            </w14:solidFill>
          </w14:textFill>
        </w:rPr>
        <w:t>）矿山未建立安全风险分级管控制度。应当建立安全风险分级管控制度，按照安全风险分级采取相应的管控措施。</w:t>
      </w:r>
    </w:p>
    <w:p w14:paraId="2EA2E6EE">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4.3.</w:t>
      </w:r>
      <w:r>
        <w:rPr>
          <w:rFonts w:hint="eastAsia" w:ascii="Times New Roman" w:hAnsi="Times New Roman" w:eastAsia="宋体" w:cs="Times New Roman"/>
          <w:b/>
          <w:bCs w:val="0"/>
          <w:color w:val="000000" w:themeColor="text1"/>
          <w14:textFill>
            <w14:solidFill>
              <w14:schemeClr w14:val="tx1"/>
            </w14:solidFill>
          </w14:textFill>
        </w:rPr>
        <w:t>9</w:t>
      </w:r>
      <w:r>
        <w:rPr>
          <w:rFonts w:ascii="Times New Roman" w:hAnsi="Times New Roman" w:eastAsia="宋体" w:cs="Times New Roman"/>
          <w:b/>
          <w:bCs w:val="0"/>
          <w:color w:val="000000" w:themeColor="text1"/>
          <w:lang w:val="en-GB"/>
          <w14:textFill>
            <w14:solidFill>
              <w14:schemeClr w14:val="tx1"/>
            </w14:solidFill>
          </w14:textFill>
        </w:rPr>
        <w:t xml:space="preserve"> 排土场单元</w:t>
      </w:r>
    </w:p>
    <w:p w14:paraId="38E43C43">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（1）设计未明确废石滚落时可能的最大距离以及相邻阶段同时作业的超前堆置距离等参数，下一步安全设施设计应进行补充。</w:t>
      </w:r>
    </w:p>
    <w:p w14:paraId="278F7363">
      <w:pPr>
        <w:pStyle w:val="38"/>
        <w:adjustRightInd w:val="0"/>
        <w:snapToGrid w:val="0"/>
        <w:spacing w:after="0" w:line="360" w:lineRule="auto"/>
        <w:ind w:left="0" w:leftChars="0" w:firstLine="560"/>
        <w:rPr>
          <w:sz w:val="28"/>
          <w:szCs w:val="28"/>
          <w:lang w:val="en-GB"/>
        </w:rPr>
      </w:pPr>
      <w:r>
        <w:rPr>
          <w:sz w:val="28"/>
          <w:szCs w:val="28"/>
          <w:lang w:val="en-GB"/>
        </w:rPr>
        <w:t>（</w:t>
      </w:r>
      <w:r>
        <w:rPr>
          <w:rFonts w:hint="eastAsia"/>
          <w:sz w:val="28"/>
          <w:szCs w:val="28"/>
        </w:rPr>
        <w:t>2</w:t>
      </w:r>
      <w:r>
        <w:rPr>
          <w:sz w:val="28"/>
          <w:szCs w:val="28"/>
          <w:lang w:val="en-GB"/>
        </w:rPr>
        <w:t>）排土场周边情况未进行充分介绍，补充排土场应进行周边环境介绍。</w:t>
      </w:r>
    </w:p>
    <w:p w14:paraId="500BCC84">
      <w:pPr>
        <w:pStyle w:val="38"/>
        <w:adjustRightInd w:val="0"/>
        <w:snapToGrid w:val="0"/>
        <w:spacing w:after="0" w:line="360" w:lineRule="auto"/>
        <w:ind w:left="0" w:leftChars="0" w:firstLine="560"/>
        <w:rPr>
          <w:sz w:val="28"/>
          <w:szCs w:val="28"/>
          <w:lang w:val="en-GB"/>
        </w:rPr>
      </w:pPr>
      <w:r>
        <w:rPr>
          <w:rFonts w:hint="eastAsia"/>
          <w:sz w:val="28"/>
          <w:szCs w:val="28"/>
          <w:lang w:val="en-GB"/>
        </w:rPr>
        <w:t>（</w:t>
      </w:r>
      <w:r>
        <w:rPr>
          <w:rFonts w:hint="eastAsia"/>
          <w:sz w:val="28"/>
          <w:szCs w:val="28"/>
        </w:rPr>
        <w:t>3</w:t>
      </w:r>
      <w:r>
        <w:rPr>
          <w:rFonts w:hint="eastAsia"/>
          <w:sz w:val="28"/>
          <w:szCs w:val="28"/>
          <w:lang w:val="en-GB"/>
        </w:rPr>
        <w:t>）</w:t>
      </w:r>
      <w:r>
        <w:rPr>
          <w:sz w:val="28"/>
          <w:szCs w:val="28"/>
          <w:lang w:val="en-GB"/>
        </w:rPr>
        <w:t>初步设计（代可研）代可研说明书中未对排土场的汇水面积进行详细计算，下一步设计过程中，应根据排土场的汇水面积对排土场外围修筑截水沟的相关参数进行详细设计，并进行详细校验。</w:t>
      </w:r>
    </w:p>
    <w:p w14:paraId="50245FC2">
      <w:pPr>
        <w:pStyle w:val="38"/>
        <w:adjustRightInd w:val="0"/>
        <w:snapToGrid w:val="0"/>
        <w:spacing w:after="0" w:line="360" w:lineRule="auto"/>
        <w:ind w:left="0" w:leftChars="0" w:firstLine="560"/>
        <w:rPr>
          <w:sz w:val="28"/>
          <w:szCs w:val="28"/>
          <w:lang w:val="en-GB"/>
        </w:rPr>
      </w:pPr>
      <w:r>
        <w:rPr>
          <w:sz w:val="28"/>
          <w:szCs w:val="28"/>
          <w:lang w:val="en-GB"/>
        </w:rPr>
        <w:t>（</w:t>
      </w:r>
      <w:r>
        <w:rPr>
          <w:rFonts w:hint="eastAsia"/>
          <w:sz w:val="28"/>
          <w:szCs w:val="28"/>
        </w:rPr>
        <w:t>4</w:t>
      </w:r>
      <w:r>
        <w:rPr>
          <w:sz w:val="28"/>
          <w:szCs w:val="28"/>
          <w:lang w:val="en-GB"/>
        </w:rPr>
        <w:t>）排土场排弃作业范围应设置明显安全警示标志，以防止人员进入产生滚石伤人等事故。</w:t>
      </w:r>
    </w:p>
    <w:p w14:paraId="1387F24D">
      <w:pPr>
        <w:pStyle w:val="38"/>
        <w:adjustRightInd w:val="0"/>
        <w:snapToGrid w:val="0"/>
        <w:spacing w:after="0" w:line="360" w:lineRule="auto"/>
        <w:ind w:left="0" w:leftChars="0" w:firstLine="560"/>
        <w:rPr>
          <w:sz w:val="28"/>
          <w:szCs w:val="28"/>
          <w:lang w:val="en-GB"/>
        </w:rPr>
      </w:pPr>
      <w:r>
        <w:rPr>
          <w:sz w:val="28"/>
          <w:szCs w:val="28"/>
          <w:lang w:val="en-GB"/>
        </w:rPr>
        <w:t>（</w:t>
      </w:r>
      <w:r>
        <w:rPr>
          <w:rFonts w:hint="eastAsia"/>
          <w:sz w:val="28"/>
          <w:szCs w:val="28"/>
        </w:rPr>
        <w:t>5</w:t>
      </w:r>
      <w:r>
        <w:rPr>
          <w:sz w:val="28"/>
          <w:szCs w:val="28"/>
          <w:lang w:val="en-GB"/>
        </w:rPr>
        <w:t>）安全设施设计中应明确拦渣坝筑坝材料，明确拦渣坝内部的排洪安全对策措施。</w:t>
      </w:r>
    </w:p>
    <w:p w14:paraId="0009DCB4">
      <w:pPr>
        <w:pStyle w:val="38"/>
        <w:adjustRightInd w:val="0"/>
        <w:snapToGrid w:val="0"/>
        <w:spacing w:after="0" w:line="360" w:lineRule="auto"/>
        <w:ind w:left="0" w:leftChars="0" w:firstLine="560"/>
        <w:rPr>
          <w:sz w:val="28"/>
          <w:szCs w:val="28"/>
          <w:lang w:val="en-GB"/>
        </w:rPr>
      </w:pPr>
      <w:r>
        <w:rPr>
          <w:rFonts w:hint="eastAsia"/>
          <w:sz w:val="28"/>
          <w:szCs w:val="28"/>
          <w:lang w:val="en-GB"/>
        </w:rPr>
        <w:t>（</w:t>
      </w:r>
      <w:r>
        <w:rPr>
          <w:rFonts w:hint="eastAsia"/>
          <w:sz w:val="28"/>
          <w:szCs w:val="28"/>
        </w:rPr>
        <w:t>6</w:t>
      </w:r>
      <w:r>
        <w:rPr>
          <w:rFonts w:hint="eastAsia"/>
          <w:sz w:val="28"/>
          <w:szCs w:val="28"/>
          <w:lang w:val="en-GB"/>
        </w:rPr>
        <w:t>）</w:t>
      </w:r>
      <w:r>
        <w:rPr>
          <w:rFonts w:eastAsia="宋体" w:cs="Times New Roman"/>
          <w:color w:val="000000" w:themeColor="text1"/>
          <w:sz w:val="28"/>
          <w:szCs w:val="28"/>
          <w14:textFill>
            <w14:solidFill>
              <w14:schemeClr w14:val="tx1"/>
            </w14:solidFill>
          </w14:textFill>
        </w:rPr>
        <w:t>下一步设计应补充拦渣坝、截排水沟断面相关图纸。</w:t>
      </w:r>
    </w:p>
    <w:p w14:paraId="2699EC1C">
      <w:pPr>
        <w:pStyle w:val="3"/>
        <w:adjustRightInd w:val="0"/>
        <w:snapToGrid w:val="0"/>
        <w:rPr>
          <w:rFonts w:ascii="Times New Roman" w:hAnsi="Times New Roman" w:cs="Times New Roman"/>
          <w:b/>
          <w:bCs w:val="0"/>
          <w:color w:val="000000" w:themeColor="text1"/>
          <w:lang w:val="en-GB"/>
          <w14:textFill>
            <w14:solidFill>
              <w14:schemeClr w14:val="tx1"/>
            </w14:solidFill>
          </w14:textFill>
        </w:rPr>
      </w:pPr>
      <w:bookmarkStart w:id="83" w:name="_Toc5441"/>
      <w:r>
        <w:rPr>
          <w:rFonts w:ascii="Times New Roman" w:hAnsi="Times New Roman" w:cs="Times New Roman"/>
          <w:b/>
          <w:bCs w:val="0"/>
          <w:color w:val="000000" w:themeColor="text1"/>
          <w:lang w:val="en-GB"/>
          <w14:textFill>
            <w14:solidFill>
              <w14:schemeClr w14:val="tx1"/>
            </w14:solidFill>
          </w14:textFill>
        </w:rPr>
        <w:t>4.4 其他对策措施建议</w:t>
      </w:r>
      <w:bookmarkEnd w:id="82"/>
      <w:bookmarkEnd w:id="83"/>
    </w:p>
    <w:p w14:paraId="6C5BA475">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（1）矿山应委托有相应资质的设计单位编制安全设施设计，施工及监理单位应由有相应资质的单位承担。</w:t>
      </w:r>
    </w:p>
    <w:p w14:paraId="05D4D242">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（2）按设计要求有计划、有序地进行开采，合理布置工业场地、设备设施，避免相互制约和影响，协调好各采剥作业面间的相互关系，确保作业安全。</w:t>
      </w:r>
    </w:p>
    <w:p w14:paraId="504846CD">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3）根据边坡失稳的影响因素分析，结合料场现有资料反映的工程及水文地质特征，建议加强可能对边坡稳定性产生影响地质等方面的研究；在生产过程中应对边坡参数进行详细确定，对边坡加固和维护做进一步说明和提出预防和控制措施系统，并根据生产实际情况调整边坡参数，以减少边坡失稳的可能性；对可能发生的坍塌、滚石影响及作业面人员、设备的安全条件采取安全可靠的措施。</w:t>
      </w:r>
    </w:p>
    <w:p w14:paraId="1533E8F7">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4）露天矿边界设置可靠的围栏和醒目的安全警示标志；建立边坡安全管理和检查制度，定期进行边坡检查，建立边坡检查记录；特别是暴雨后应加强巡视检查，发现隐患立即处理；发现边坡不稳定征兆，应及时停工，撤出设备，采取护坡、削坡等处理措施。</w:t>
      </w:r>
    </w:p>
    <w:p w14:paraId="226A33AA">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（5）临近采场的设备、设施、线路等，设置位置和铺设线路应与采剥工作面的开采规划统筹协调、合理布局，有效预防和避免</w:t>
      </w:r>
      <w:r>
        <w:rPr>
          <w:rFonts w:ascii="Times New Roman" w:hAnsi="Times New Roman" w:eastAsia="宋体" w:cs="Times New Roman"/>
          <w:color w:val="000000" w:themeColor="text1"/>
          <w:sz w:val="28"/>
          <w:szCs w:val="28"/>
          <w14:textFill>
            <w14:solidFill>
              <w14:schemeClr w14:val="tx1"/>
            </w14:solidFill>
          </w14:textFill>
        </w:rPr>
        <w:t>落石等伤害事故</w:t>
      </w:r>
      <w:r>
        <w:rPr>
          <w:rFonts w:ascii="Times New Roman" w:hAnsi="Times New Roman" w:eastAsia="宋体" w:cs="Times New Roman"/>
          <w:color w:val="000000" w:themeColor="text1"/>
          <w:sz w:val="28"/>
          <w:szCs w:val="28"/>
          <w:lang w:val="en-GB"/>
          <w14:textFill>
            <w14:solidFill>
              <w14:schemeClr w14:val="tx1"/>
            </w14:solidFill>
          </w14:textFill>
        </w:rPr>
        <w:t>。</w:t>
      </w:r>
    </w:p>
    <w:p w14:paraId="70234A7B">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（6）车辆卸载点设置可靠车挡，雷雨天及凌冻期运输车辆应安装防滑链。</w:t>
      </w:r>
    </w:p>
    <w:p w14:paraId="2C619860">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7）道路设置安全警示标牌。包括：限速、弯道、路口指示、停车指示等标志；沿道路外侧设立安全桩或安全墙；建立道路运输安全管理制度，对操作人员的行为进行规范，定期进行车辆维护保养确保车况良好。进行各种机械设备操作时，均应发出警告信号。夜间作业时，车下及前后的所有信号、照明灯应完好；雨雪天运输车辆应采取防滑措施（如防滑链等）。</w:t>
      </w:r>
    </w:p>
    <w:p w14:paraId="30D1FBFC">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8</w:t>
      </w:r>
      <w:r>
        <w:rPr>
          <w:rFonts w:ascii="Times New Roman" w:hAnsi="Times New Roman" w:eastAsia="宋体" w:cs="Times New Roman"/>
          <w:color w:val="000000" w:themeColor="text1"/>
          <w:sz w:val="28"/>
          <w:szCs w:val="28"/>
          <w:lang w:val="en-GB"/>
          <w14:textFill>
            <w14:solidFill>
              <w14:schemeClr w14:val="tx1"/>
            </w14:solidFill>
          </w14:textFill>
        </w:rPr>
        <w:t>）企业应划拨一定的安全管理资金，用于开展安全宣传活动，对从业人员进行安全教育和培训，特殊工种的培训取证，为从业人员配备劳保用品，购买工伤保险，以及完善安全设施、设备及治理安全隐患等。</w:t>
      </w:r>
    </w:p>
    <w:p w14:paraId="2622C233">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9</w:t>
      </w:r>
      <w:r>
        <w:rPr>
          <w:rFonts w:ascii="Times New Roman" w:hAnsi="Times New Roman" w:eastAsia="宋体" w:cs="Times New Roman"/>
          <w:color w:val="000000" w:themeColor="text1"/>
          <w:sz w:val="28"/>
          <w:szCs w:val="28"/>
          <w:lang w:val="en-GB"/>
          <w14:textFill>
            <w14:solidFill>
              <w14:schemeClr w14:val="tx1"/>
            </w14:solidFill>
          </w14:textFill>
        </w:rPr>
        <w:t>）作业人员在高于地面2m（含2m）以上高处作业，应系安全带并牢靠固定好；作业前，应对坡面危石、浮石、孤石进行清理。</w:t>
      </w:r>
    </w:p>
    <w:p w14:paraId="4E086B7D">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（1</w:t>
      </w:r>
      <w:r>
        <w:rPr>
          <w:rFonts w:ascii="Times New Roman" w:hAnsi="Times New Roman" w:eastAsia="宋体" w:cs="Times New Roman"/>
          <w:color w:val="000000" w:themeColor="text1"/>
          <w:sz w:val="28"/>
          <w:szCs w:val="28"/>
          <w14:textFill>
            <w14:solidFill>
              <w14:schemeClr w14:val="tx1"/>
            </w14:solidFill>
          </w14:textFill>
        </w:rPr>
        <w:t>0</w:t>
      </w:r>
      <w:r>
        <w:rPr>
          <w:rFonts w:ascii="Times New Roman" w:hAnsi="Times New Roman" w:eastAsia="宋体" w:cs="Times New Roman"/>
          <w:color w:val="000000" w:themeColor="text1"/>
          <w:sz w:val="28"/>
          <w:szCs w:val="28"/>
          <w:lang w:val="en-GB"/>
          <w14:textFill>
            <w14:solidFill>
              <w14:schemeClr w14:val="tx1"/>
            </w14:solidFill>
          </w14:textFill>
        </w:rPr>
        <w:t>）对员工进行操作技术培训和安全教育（安全教育中除包括思想、纪律、安全知识、消防器材使用、个体防护用品使用等内容外，还应包括事故紧急处理、抢救、报告方法的教育），既保证员工安全健康，又保证在紧急事故中能采取正确的处理方法，使事故损失降到最低。</w:t>
      </w:r>
    </w:p>
    <w:p w14:paraId="658E9D61">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（1</w:t>
      </w:r>
      <w:r>
        <w:rPr>
          <w:rFonts w:ascii="Times New Roman" w:hAnsi="Times New Roman" w:eastAsia="宋体" w:cs="Times New Roman"/>
          <w:color w:val="000000" w:themeColor="text1"/>
          <w:sz w:val="28"/>
          <w:szCs w:val="28"/>
          <w14:textFill>
            <w14:solidFill>
              <w14:schemeClr w14:val="tx1"/>
            </w14:solidFill>
          </w14:textFill>
        </w:rPr>
        <w:t>1</w:t>
      </w:r>
      <w:r>
        <w:rPr>
          <w:rFonts w:ascii="Times New Roman" w:hAnsi="Times New Roman" w:eastAsia="宋体" w:cs="Times New Roman"/>
          <w:color w:val="000000" w:themeColor="text1"/>
          <w:sz w:val="28"/>
          <w:szCs w:val="28"/>
          <w:lang w:val="en-GB"/>
          <w14:textFill>
            <w14:solidFill>
              <w14:schemeClr w14:val="tx1"/>
            </w14:solidFill>
          </w14:textFill>
        </w:rPr>
        <w:t>）根据国家有关规定，购买、发放具有产品合格证的劳动防护用品，建立防护品更换、报废制度，并保证职工能正确使用。</w:t>
      </w:r>
    </w:p>
    <w:p w14:paraId="4EF1ACCB">
      <w:pPr>
        <w:adjustRightInd w:val="0"/>
        <w:snapToGrid w:val="0"/>
        <w:spacing w:line="360" w:lineRule="auto"/>
        <w:ind w:firstLine="560" w:firstLineChars="200"/>
        <w:rPr>
          <w:rFonts w:ascii="Times New Roman" w:hAnsi="Times New Roman" w:eastAsia="宋体" w:cs="Times New Roman"/>
          <w:color w:val="000000" w:themeColor="text1"/>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（1</w:t>
      </w:r>
      <w:r>
        <w:rPr>
          <w:rFonts w:ascii="Times New Roman" w:hAnsi="Times New Roman" w:eastAsia="宋体" w:cs="Times New Roman"/>
          <w:color w:val="000000" w:themeColor="text1"/>
          <w:sz w:val="28"/>
          <w:szCs w:val="28"/>
          <w14:textFill>
            <w14:solidFill>
              <w14:schemeClr w14:val="tx1"/>
            </w14:solidFill>
          </w14:textFill>
        </w:rPr>
        <w:t>2</w:t>
      </w:r>
      <w:r>
        <w:rPr>
          <w:rFonts w:ascii="Times New Roman" w:hAnsi="Times New Roman" w:eastAsia="宋体" w:cs="Times New Roman"/>
          <w:color w:val="000000" w:themeColor="text1"/>
          <w:sz w:val="28"/>
          <w:szCs w:val="28"/>
          <w:lang w:val="en-GB"/>
          <w14:textFill>
            <w14:solidFill>
              <w14:schemeClr w14:val="tx1"/>
            </w14:solidFill>
          </w14:textFill>
        </w:rPr>
        <w:t>）凡禁止跨越、禁止通行、禁止烟火的场所均应设置红色禁止标志；凡易发生坠落、触电伤人、机械伤害、主要交通道口等处均应设置黄色警告标志；所设各类安全标志应牢固、醒目、易于识别，真正起到应有警示作用。</w:t>
      </w:r>
    </w:p>
    <w:p w14:paraId="213E61C6">
      <w:pPr>
        <w:widowControl/>
        <w:adjustRightInd w:val="0"/>
        <w:snapToGrid w:val="0"/>
        <w:spacing w:line="360" w:lineRule="auto"/>
        <w:jc w:val="left"/>
        <w:rPr>
          <w:rFonts w:ascii="Times New Roman" w:hAnsi="Times New Roman" w:eastAsia="宋体" w:cs="Times New Roman"/>
          <w:color w:val="000000" w:themeColor="text1"/>
          <w:lang w:val="en-GB"/>
          <w14:textFill>
            <w14:solidFill>
              <w14:schemeClr w14:val="tx1"/>
            </w14:solidFill>
          </w14:textFill>
        </w:rPr>
      </w:pPr>
      <w:r>
        <w:rPr>
          <w:rFonts w:ascii="Times New Roman" w:hAnsi="Times New Roman" w:eastAsia="宋体" w:cs="Times New Roman"/>
          <w:color w:val="000000" w:themeColor="text1"/>
          <w:lang w:val="en-GB"/>
          <w14:textFill>
            <w14:solidFill>
              <w14:schemeClr w14:val="tx1"/>
            </w14:solidFill>
          </w14:textFill>
        </w:rPr>
        <w:br w:type="page"/>
      </w:r>
    </w:p>
    <w:p w14:paraId="3EDDB95C">
      <w:pPr>
        <w:pStyle w:val="2"/>
        <w:adjustRightInd w:val="0"/>
        <w:snapToGrid w:val="0"/>
        <w:spacing w:beforeLines="0" w:afterLines="0"/>
        <w:rPr>
          <w:rFonts w:ascii="Times New Roman" w:hAnsi="Times New Roman" w:cs="Times New Roman"/>
          <w:b/>
          <w:bCs w:val="0"/>
          <w:color w:val="000000" w:themeColor="text1"/>
          <w:lang w:val="en-GB"/>
          <w14:textFill>
            <w14:solidFill>
              <w14:schemeClr w14:val="tx1"/>
            </w14:solidFill>
          </w14:textFill>
        </w:rPr>
      </w:pPr>
      <w:bookmarkStart w:id="84" w:name="_Toc3286"/>
      <w:bookmarkStart w:id="85" w:name="_Toc5759"/>
      <w:r>
        <w:rPr>
          <w:rFonts w:ascii="Times New Roman" w:hAnsi="Times New Roman" w:cs="Times New Roman"/>
          <w:b/>
          <w:bCs w:val="0"/>
          <w:color w:val="000000" w:themeColor="text1"/>
          <w:lang w:val="en-GB"/>
          <w14:textFill>
            <w14:solidFill>
              <w14:schemeClr w14:val="tx1"/>
            </w14:solidFill>
          </w14:textFill>
        </w:rPr>
        <w:t>5.安全预评价结论</w:t>
      </w:r>
      <w:bookmarkEnd w:id="84"/>
      <w:bookmarkEnd w:id="85"/>
    </w:p>
    <w:p w14:paraId="6561A4C4">
      <w:pPr>
        <w:pStyle w:val="3"/>
        <w:adjustRightInd w:val="0"/>
        <w:snapToGrid w:val="0"/>
        <w:rPr>
          <w:rFonts w:ascii="Times New Roman" w:hAnsi="Times New Roman" w:cs="Times New Roman"/>
          <w:b/>
          <w:bCs w:val="0"/>
          <w:color w:val="000000" w:themeColor="text1"/>
          <w:lang w:val="en-GB"/>
          <w14:textFill>
            <w14:solidFill>
              <w14:schemeClr w14:val="tx1"/>
            </w14:solidFill>
          </w14:textFill>
        </w:rPr>
      </w:pPr>
      <w:bookmarkStart w:id="86" w:name="_Toc28692"/>
      <w:bookmarkStart w:id="87" w:name="_Toc11062"/>
      <w:r>
        <w:rPr>
          <w:rFonts w:ascii="Times New Roman" w:hAnsi="Times New Roman" w:cs="Times New Roman"/>
          <w:b/>
          <w:bCs w:val="0"/>
          <w:color w:val="000000" w:themeColor="text1"/>
          <w:lang w:val="en-GB"/>
          <w14:textFill>
            <w14:solidFill>
              <w14:schemeClr w14:val="tx1"/>
            </w14:solidFill>
          </w14:textFill>
        </w:rPr>
        <w:t>5.1 主要危险、有害因素评价结果</w:t>
      </w:r>
      <w:bookmarkEnd w:id="86"/>
      <w:bookmarkEnd w:id="87"/>
    </w:p>
    <w:p w14:paraId="7803AC9B">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5.1.1 该项目存在的主要危险、有害因素</w:t>
      </w:r>
    </w:p>
    <w:p w14:paraId="2B8763E2">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该项目存在的主要危险、有害因素为：坍塌、滑坡、滚石、泥石流、</w:t>
      </w:r>
      <w:r>
        <w:rPr>
          <w:rFonts w:ascii="Times New Roman" w:hAnsi="Times New Roman" w:eastAsia="宋体" w:cs="Times New Roman"/>
          <w:color w:val="000000" w:themeColor="text1"/>
          <w:sz w:val="28"/>
          <w:szCs w:val="28"/>
          <w14:textFill>
            <w14:solidFill>
              <w14:schemeClr w14:val="tx1"/>
            </w14:solidFill>
          </w14:textFill>
        </w:rPr>
        <w:t>爆破伤害、</w:t>
      </w:r>
      <w:r>
        <w:rPr>
          <w:rFonts w:ascii="Times New Roman" w:hAnsi="Times New Roman" w:eastAsia="宋体" w:cs="Times New Roman"/>
          <w:color w:val="000000" w:themeColor="text1"/>
          <w:sz w:val="28"/>
          <w:szCs w:val="28"/>
          <w:lang w:val="en-GB"/>
          <w14:textFill>
            <w14:solidFill>
              <w14:schemeClr w14:val="tx1"/>
            </w14:solidFill>
          </w14:textFill>
        </w:rPr>
        <w:t>高处坠落、物体打击、机械伤害、车辆伤害、触电、火灾、</w:t>
      </w:r>
      <w:r>
        <w:rPr>
          <w:rFonts w:ascii="Times New Roman" w:hAnsi="Times New Roman" w:eastAsia="宋体" w:cs="Times New Roman"/>
          <w:color w:val="000000" w:themeColor="text1"/>
          <w:sz w:val="28"/>
          <w:szCs w:val="28"/>
          <w14:textFill>
            <w14:solidFill>
              <w14:schemeClr w14:val="tx1"/>
            </w14:solidFill>
          </w14:textFill>
        </w:rPr>
        <w:t>淹溺、其他</w:t>
      </w:r>
      <w:r>
        <w:rPr>
          <w:rFonts w:ascii="Times New Roman" w:hAnsi="Times New Roman" w:eastAsia="宋体" w:cs="Times New Roman"/>
          <w:color w:val="000000" w:themeColor="text1"/>
          <w:sz w:val="28"/>
          <w:szCs w:val="28"/>
          <w:lang w:val="en-GB"/>
          <w14:textFill>
            <w14:solidFill>
              <w14:schemeClr w14:val="tx1"/>
            </w14:solidFill>
          </w14:textFill>
        </w:rPr>
        <w:t>伤害等。</w:t>
      </w:r>
    </w:p>
    <w:p w14:paraId="2AFCA6E1">
      <w:pPr>
        <w:pStyle w:val="4"/>
        <w:adjustRightInd w:val="0"/>
        <w:snapToGrid w:val="0"/>
        <w:spacing w:line="360" w:lineRule="auto"/>
        <w:ind w:firstLine="562"/>
        <w:rPr>
          <w:rFonts w:ascii="Times New Roman" w:hAnsi="Times New Roman" w:eastAsia="宋体" w:cs="Times New Roman"/>
          <w:b/>
          <w:bCs w:val="0"/>
          <w:color w:val="000000" w:themeColor="text1"/>
          <w:lang w:val="en-GB"/>
          <w14:textFill>
            <w14:solidFill>
              <w14:schemeClr w14:val="tx1"/>
            </w14:solidFill>
          </w14:textFill>
        </w:rPr>
      </w:pPr>
      <w:r>
        <w:rPr>
          <w:rFonts w:ascii="Times New Roman" w:hAnsi="Times New Roman" w:eastAsia="宋体" w:cs="Times New Roman"/>
          <w:b/>
          <w:bCs w:val="0"/>
          <w:color w:val="000000" w:themeColor="text1"/>
          <w:lang w:val="en-GB"/>
          <w14:textFill>
            <w14:solidFill>
              <w14:schemeClr w14:val="tx1"/>
            </w14:solidFill>
          </w14:textFill>
        </w:rPr>
        <w:t>5.1.2 该项目存在的主要危险、有害因素存在的部位</w:t>
      </w:r>
    </w:p>
    <w:p w14:paraId="2A12AE12">
      <w:pPr>
        <w:adjustRightInd w:val="0"/>
        <w:snapToGrid w:val="0"/>
        <w:jc w:val="center"/>
        <w:rPr>
          <w:rFonts w:ascii="Times New Roman" w:hAnsi="Times New Roman" w:eastAsia="宋体" w:cs="Times New Roman"/>
          <w:b/>
          <w:color w:val="000000" w:themeColor="text1"/>
          <w:sz w:val="24"/>
          <w:szCs w:val="24"/>
          <w:lang w:val="en-GB"/>
          <w14:textFill>
            <w14:solidFill>
              <w14:schemeClr w14:val="tx1"/>
            </w14:solidFill>
          </w14:textFill>
        </w:rPr>
      </w:pPr>
      <w:r>
        <w:rPr>
          <w:rFonts w:ascii="Times New Roman" w:hAnsi="Times New Roman" w:eastAsia="宋体" w:cs="Times New Roman"/>
          <w:b/>
          <w:color w:val="000000" w:themeColor="text1"/>
          <w:sz w:val="24"/>
          <w:szCs w:val="24"/>
          <w:lang w:val="en-GB"/>
          <w14:textFill>
            <w14:solidFill>
              <w14:schemeClr w14:val="tx1"/>
            </w14:solidFill>
          </w14:textFill>
        </w:rPr>
        <w:t>表5.1-1</w:t>
      </w:r>
      <w:r>
        <w:rPr>
          <w:rFonts w:ascii="Times New Roman" w:hAnsi="Times New Roman" w:eastAsia="宋体" w:cs="Times New Roman"/>
          <w:b/>
          <w:color w:val="000000" w:themeColor="text1"/>
          <w:sz w:val="24"/>
          <w:szCs w:val="24"/>
          <w14:textFill>
            <w14:solidFill>
              <w14:schemeClr w14:val="tx1"/>
            </w14:solidFill>
          </w14:textFill>
        </w:rPr>
        <w:t xml:space="preserve"> </w:t>
      </w:r>
      <w:r>
        <w:rPr>
          <w:rFonts w:ascii="Times New Roman" w:hAnsi="Times New Roman" w:eastAsia="宋体" w:cs="Times New Roman"/>
          <w:b/>
          <w:color w:val="000000" w:themeColor="text1"/>
          <w:sz w:val="24"/>
          <w:szCs w:val="24"/>
          <w:lang w:val="en-GB"/>
          <w14:textFill>
            <w14:solidFill>
              <w14:schemeClr w14:val="tx1"/>
            </w14:solidFill>
          </w14:textFill>
        </w:rPr>
        <w:t xml:space="preserve"> 矿山主要存在的危险、有害因素分布表</w:t>
      </w:r>
    </w:p>
    <w:tbl>
      <w:tblPr>
        <w:tblStyle w:val="31"/>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15"/>
        <w:gridCol w:w="538"/>
        <w:gridCol w:w="3162"/>
        <w:gridCol w:w="2733"/>
        <w:gridCol w:w="2353"/>
      </w:tblGrid>
      <w:tr w14:paraId="52D9997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27" w:type="pct"/>
            <w:tcBorders>
              <w:left w:val="single" w:color="auto" w:sz="4" w:space="0"/>
            </w:tcBorders>
            <w:vAlign w:val="center"/>
          </w:tcPr>
          <w:p w14:paraId="7C7AB3CF">
            <w:pPr>
              <w:adjustRightInd w:val="0"/>
              <w:snapToGrid w:val="0"/>
              <w:spacing w:line="360" w:lineRule="auto"/>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项目</w:t>
            </w:r>
          </w:p>
        </w:tc>
        <w:tc>
          <w:tcPr>
            <w:tcW w:w="286" w:type="pct"/>
            <w:vAlign w:val="center"/>
          </w:tcPr>
          <w:p w14:paraId="21E4142F">
            <w:pPr>
              <w:adjustRightInd w:val="0"/>
              <w:snapToGrid w:val="0"/>
              <w:spacing w:line="360" w:lineRule="auto"/>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序号</w:t>
            </w:r>
          </w:p>
        </w:tc>
        <w:tc>
          <w:tcPr>
            <w:tcW w:w="1681" w:type="pct"/>
            <w:vAlign w:val="center"/>
          </w:tcPr>
          <w:p w14:paraId="5CDCF4DC">
            <w:pPr>
              <w:adjustRightInd w:val="0"/>
              <w:snapToGrid w:val="0"/>
              <w:spacing w:line="360" w:lineRule="auto"/>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危险因素分类</w:t>
            </w:r>
          </w:p>
        </w:tc>
        <w:tc>
          <w:tcPr>
            <w:tcW w:w="1453" w:type="pct"/>
            <w:tcBorders>
              <w:right w:val="single" w:color="auto" w:sz="4" w:space="0"/>
            </w:tcBorders>
            <w:vAlign w:val="center"/>
          </w:tcPr>
          <w:p w14:paraId="554CF21B">
            <w:pPr>
              <w:adjustRightInd w:val="0"/>
              <w:snapToGrid w:val="0"/>
              <w:spacing w:line="360" w:lineRule="auto"/>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可能存在部位</w:t>
            </w:r>
          </w:p>
        </w:tc>
        <w:tc>
          <w:tcPr>
            <w:tcW w:w="1251" w:type="pct"/>
            <w:tcBorders>
              <w:right w:val="single" w:color="auto" w:sz="4" w:space="0"/>
            </w:tcBorders>
            <w:vAlign w:val="center"/>
          </w:tcPr>
          <w:p w14:paraId="054B11C5">
            <w:pPr>
              <w:adjustRightInd w:val="0"/>
              <w:snapToGrid w:val="0"/>
              <w:spacing w:line="360" w:lineRule="auto"/>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可能造成的后果</w:t>
            </w:r>
          </w:p>
        </w:tc>
      </w:tr>
      <w:tr w14:paraId="2E3F7F0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327" w:type="pct"/>
            <w:vMerge w:val="restart"/>
            <w:tcBorders>
              <w:left w:val="single" w:color="auto" w:sz="4" w:space="0"/>
            </w:tcBorders>
            <w:vAlign w:val="center"/>
          </w:tcPr>
          <w:p w14:paraId="19C90716">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危险因素</w:t>
            </w:r>
          </w:p>
        </w:tc>
        <w:tc>
          <w:tcPr>
            <w:tcW w:w="286" w:type="pct"/>
            <w:vAlign w:val="center"/>
          </w:tcPr>
          <w:p w14:paraId="60D1B3C0">
            <w:pPr>
              <w:adjustRightInd w:val="0"/>
              <w:snapToGrid w:val="0"/>
              <w:spacing w:line="360" w:lineRule="auto"/>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1</w:t>
            </w:r>
          </w:p>
        </w:tc>
        <w:tc>
          <w:tcPr>
            <w:tcW w:w="1681" w:type="pct"/>
            <w:vAlign w:val="center"/>
          </w:tcPr>
          <w:p w14:paraId="0B966AF2">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滚石、边坡失稳、滑坡、泥石流</w:t>
            </w:r>
          </w:p>
        </w:tc>
        <w:tc>
          <w:tcPr>
            <w:tcW w:w="1453" w:type="pct"/>
            <w:tcBorders>
              <w:right w:val="single" w:color="auto" w:sz="4" w:space="0"/>
            </w:tcBorders>
            <w:vAlign w:val="center"/>
          </w:tcPr>
          <w:p w14:paraId="10CFC14B">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采场边坡</w:t>
            </w:r>
          </w:p>
        </w:tc>
        <w:tc>
          <w:tcPr>
            <w:tcW w:w="1251" w:type="pct"/>
            <w:tcBorders>
              <w:right w:val="single" w:color="auto" w:sz="4" w:space="0"/>
            </w:tcBorders>
            <w:vAlign w:val="center"/>
          </w:tcPr>
          <w:p w14:paraId="51281362">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人员伤亡</w:t>
            </w:r>
          </w:p>
        </w:tc>
      </w:tr>
      <w:tr w14:paraId="26D6FB8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327" w:type="pct"/>
            <w:vMerge w:val="continue"/>
            <w:tcBorders>
              <w:left w:val="single" w:color="auto" w:sz="4" w:space="0"/>
            </w:tcBorders>
            <w:vAlign w:val="center"/>
          </w:tcPr>
          <w:p w14:paraId="0D046D59">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2B4FCD19">
            <w:pPr>
              <w:adjustRightInd w:val="0"/>
              <w:snapToGrid w:val="0"/>
              <w:spacing w:line="360" w:lineRule="auto"/>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2</w:t>
            </w:r>
          </w:p>
        </w:tc>
        <w:tc>
          <w:tcPr>
            <w:tcW w:w="1681" w:type="pct"/>
            <w:vAlign w:val="center"/>
          </w:tcPr>
          <w:p w14:paraId="5240EF2C">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爆破伤害</w:t>
            </w:r>
          </w:p>
        </w:tc>
        <w:tc>
          <w:tcPr>
            <w:tcW w:w="1453" w:type="pct"/>
            <w:tcBorders>
              <w:right w:val="single" w:color="auto" w:sz="4" w:space="0"/>
            </w:tcBorders>
            <w:vAlign w:val="center"/>
          </w:tcPr>
          <w:p w14:paraId="7EDAF9EC">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爆破器材运输、使用、销毁过程、采场穿孔爆破作业</w:t>
            </w:r>
          </w:p>
        </w:tc>
        <w:tc>
          <w:tcPr>
            <w:tcW w:w="1251" w:type="pct"/>
            <w:tcBorders>
              <w:right w:val="single" w:color="auto" w:sz="4" w:space="0"/>
            </w:tcBorders>
            <w:vAlign w:val="center"/>
          </w:tcPr>
          <w:p w14:paraId="5C9E7AFD">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人员伤亡、设备损失</w:t>
            </w:r>
          </w:p>
        </w:tc>
      </w:tr>
      <w:tr w14:paraId="67335D2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327" w:type="pct"/>
            <w:vMerge w:val="continue"/>
            <w:tcBorders>
              <w:left w:val="single" w:color="auto" w:sz="4" w:space="0"/>
            </w:tcBorders>
            <w:vAlign w:val="center"/>
          </w:tcPr>
          <w:p w14:paraId="35ABB315">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7FC32CAA">
            <w:pPr>
              <w:adjustRightInd w:val="0"/>
              <w:snapToGrid w:val="0"/>
              <w:spacing w:line="360" w:lineRule="auto"/>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3</w:t>
            </w:r>
          </w:p>
        </w:tc>
        <w:tc>
          <w:tcPr>
            <w:tcW w:w="1681" w:type="pct"/>
            <w:vAlign w:val="center"/>
          </w:tcPr>
          <w:p w14:paraId="596EB016">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物体打击</w:t>
            </w:r>
          </w:p>
        </w:tc>
        <w:tc>
          <w:tcPr>
            <w:tcW w:w="1453" w:type="pct"/>
            <w:tcBorders>
              <w:right w:val="single" w:color="auto" w:sz="4" w:space="0"/>
            </w:tcBorders>
            <w:vAlign w:val="center"/>
          </w:tcPr>
          <w:p w14:paraId="39D7C3F4">
            <w:pPr>
              <w:pStyle w:val="11"/>
              <w:adjustRightInd w:val="0"/>
              <w:snapToGrid w:val="0"/>
              <w:spacing w:line="360" w:lineRule="auto"/>
              <w:rPr>
                <w:rFonts w:eastAsia="宋体" w:cs="Times New Roman"/>
                <w:color w:val="000000" w:themeColor="text1"/>
                <w:sz w:val="21"/>
                <w:szCs w:val="21"/>
                <w14:textFill>
                  <w14:solidFill>
                    <w14:schemeClr w14:val="tx1"/>
                  </w14:solidFill>
                </w14:textFill>
              </w:rPr>
            </w:pPr>
            <w:r>
              <w:rPr>
                <w:rFonts w:eastAsia="宋体" w:cs="Times New Roman"/>
                <w:color w:val="000000" w:themeColor="text1"/>
                <w:sz w:val="21"/>
                <w:szCs w:val="21"/>
                <w14:textFill>
                  <w14:solidFill>
                    <w14:schemeClr w14:val="tx1"/>
                  </w14:solidFill>
                </w14:textFill>
              </w:rPr>
              <w:t>采场矿废石搬运、铲装作业工作面等</w:t>
            </w:r>
          </w:p>
        </w:tc>
        <w:tc>
          <w:tcPr>
            <w:tcW w:w="1251" w:type="pct"/>
            <w:tcBorders>
              <w:right w:val="single" w:color="auto" w:sz="4" w:space="0"/>
            </w:tcBorders>
            <w:vAlign w:val="center"/>
          </w:tcPr>
          <w:p w14:paraId="169FE1D5">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人员伤亡</w:t>
            </w:r>
          </w:p>
        </w:tc>
      </w:tr>
      <w:tr w14:paraId="1CA3F15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7" w:type="pct"/>
            <w:vMerge w:val="continue"/>
            <w:tcBorders>
              <w:left w:val="single" w:color="auto" w:sz="4" w:space="0"/>
            </w:tcBorders>
            <w:vAlign w:val="center"/>
          </w:tcPr>
          <w:p w14:paraId="17DA0D49">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72991B6A">
            <w:pPr>
              <w:adjustRightInd w:val="0"/>
              <w:snapToGrid w:val="0"/>
              <w:spacing w:line="360" w:lineRule="auto"/>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4</w:t>
            </w:r>
          </w:p>
        </w:tc>
        <w:tc>
          <w:tcPr>
            <w:tcW w:w="1681" w:type="pct"/>
            <w:vAlign w:val="center"/>
          </w:tcPr>
          <w:p w14:paraId="5D978E84">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高处坠落</w:t>
            </w:r>
          </w:p>
        </w:tc>
        <w:tc>
          <w:tcPr>
            <w:tcW w:w="1453" w:type="pct"/>
            <w:tcBorders>
              <w:right w:val="single" w:color="auto" w:sz="4" w:space="0"/>
            </w:tcBorders>
            <w:vAlign w:val="center"/>
          </w:tcPr>
          <w:p w14:paraId="768FDEF7">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采场边坡工艺过程中2m及以上的作业平台等</w:t>
            </w:r>
          </w:p>
        </w:tc>
        <w:tc>
          <w:tcPr>
            <w:tcW w:w="1251" w:type="pct"/>
            <w:tcBorders>
              <w:right w:val="single" w:color="auto" w:sz="4" w:space="0"/>
            </w:tcBorders>
            <w:vAlign w:val="center"/>
          </w:tcPr>
          <w:p w14:paraId="3751EEE3">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人员伤亡</w:t>
            </w:r>
          </w:p>
        </w:tc>
      </w:tr>
      <w:tr w14:paraId="1CC26E1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7" w:type="pct"/>
            <w:vMerge w:val="continue"/>
            <w:tcBorders>
              <w:left w:val="single" w:color="auto" w:sz="4" w:space="0"/>
            </w:tcBorders>
            <w:vAlign w:val="center"/>
          </w:tcPr>
          <w:p w14:paraId="476064A8">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4BFE633A">
            <w:pPr>
              <w:adjustRightInd w:val="0"/>
              <w:snapToGrid w:val="0"/>
              <w:spacing w:line="360" w:lineRule="auto"/>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5</w:t>
            </w:r>
          </w:p>
        </w:tc>
        <w:tc>
          <w:tcPr>
            <w:tcW w:w="1681" w:type="pct"/>
            <w:vAlign w:val="center"/>
          </w:tcPr>
          <w:p w14:paraId="41755E7C">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车辆伤害</w:t>
            </w:r>
          </w:p>
        </w:tc>
        <w:tc>
          <w:tcPr>
            <w:tcW w:w="1453" w:type="pct"/>
            <w:tcBorders>
              <w:right w:val="single" w:color="auto" w:sz="4" w:space="0"/>
            </w:tcBorders>
            <w:vAlign w:val="center"/>
          </w:tcPr>
          <w:p w14:paraId="42C0C364">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运输过程中的各种车辆设备</w:t>
            </w:r>
          </w:p>
        </w:tc>
        <w:tc>
          <w:tcPr>
            <w:tcW w:w="1251" w:type="pct"/>
            <w:tcBorders>
              <w:right w:val="single" w:color="auto" w:sz="4" w:space="0"/>
            </w:tcBorders>
            <w:vAlign w:val="center"/>
          </w:tcPr>
          <w:p w14:paraId="5E6056AC">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人员伤亡</w:t>
            </w:r>
          </w:p>
        </w:tc>
      </w:tr>
      <w:tr w14:paraId="76F1FD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7" w:type="pct"/>
            <w:vMerge w:val="continue"/>
            <w:tcBorders>
              <w:left w:val="single" w:color="auto" w:sz="4" w:space="0"/>
            </w:tcBorders>
            <w:vAlign w:val="center"/>
          </w:tcPr>
          <w:p w14:paraId="457C5AC5">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4DD49112">
            <w:pPr>
              <w:adjustRightInd w:val="0"/>
              <w:snapToGrid w:val="0"/>
              <w:spacing w:line="360" w:lineRule="auto"/>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6</w:t>
            </w:r>
          </w:p>
        </w:tc>
        <w:tc>
          <w:tcPr>
            <w:tcW w:w="1681" w:type="pct"/>
            <w:vAlign w:val="center"/>
          </w:tcPr>
          <w:p w14:paraId="540C0371">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机械伤害</w:t>
            </w:r>
          </w:p>
        </w:tc>
        <w:tc>
          <w:tcPr>
            <w:tcW w:w="1453" w:type="pct"/>
            <w:tcBorders>
              <w:right w:val="single" w:color="auto" w:sz="4" w:space="0"/>
            </w:tcBorders>
            <w:vAlign w:val="center"/>
          </w:tcPr>
          <w:p w14:paraId="30FF5354">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各种设备引起的机械事故</w:t>
            </w:r>
          </w:p>
        </w:tc>
        <w:tc>
          <w:tcPr>
            <w:tcW w:w="1251" w:type="pct"/>
            <w:tcBorders>
              <w:right w:val="single" w:color="auto" w:sz="4" w:space="0"/>
            </w:tcBorders>
            <w:vAlign w:val="center"/>
          </w:tcPr>
          <w:p w14:paraId="21852124">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人员伤亡、设备损失</w:t>
            </w:r>
          </w:p>
        </w:tc>
      </w:tr>
      <w:tr w14:paraId="47BA052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7" w:type="pct"/>
            <w:vMerge w:val="continue"/>
            <w:tcBorders>
              <w:left w:val="single" w:color="auto" w:sz="4" w:space="0"/>
            </w:tcBorders>
            <w:vAlign w:val="center"/>
          </w:tcPr>
          <w:p w14:paraId="4FE5ABFD">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7196BE6C">
            <w:pPr>
              <w:adjustRightInd w:val="0"/>
              <w:snapToGrid w:val="0"/>
              <w:spacing w:line="360" w:lineRule="auto"/>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7</w:t>
            </w:r>
          </w:p>
        </w:tc>
        <w:tc>
          <w:tcPr>
            <w:tcW w:w="1681" w:type="pct"/>
            <w:vAlign w:val="center"/>
          </w:tcPr>
          <w:p w14:paraId="73CF8A45">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火灾、爆炸</w:t>
            </w:r>
          </w:p>
        </w:tc>
        <w:tc>
          <w:tcPr>
            <w:tcW w:w="1453" w:type="pct"/>
            <w:tcBorders>
              <w:right w:val="single" w:color="auto" w:sz="4" w:space="0"/>
            </w:tcBorders>
            <w:vAlign w:val="center"/>
          </w:tcPr>
          <w:p w14:paraId="1B69D1B3">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机械设备及电气设备、线路、柴油储存区</w:t>
            </w:r>
          </w:p>
        </w:tc>
        <w:tc>
          <w:tcPr>
            <w:tcW w:w="1251" w:type="pct"/>
            <w:tcBorders>
              <w:right w:val="single" w:color="auto" w:sz="4" w:space="0"/>
            </w:tcBorders>
            <w:vAlign w:val="center"/>
          </w:tcPr>
          <w:p w14:paraId="4685C8B5">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人员伤亡、设备损失</w:t>
            </w:r>
          </w:p>
        </w:tc>
      </w:tr>
      <w:tr w14:paraId="119D3FA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7" w:type="pct"/>
            <w:vMerge w:val="continue"/>
            <w:tcBorders>
              <w:left w:val="single" w:color="auto" w:sz="4" w:space="0"/>
            </w:tcBorders>
            <w:vAlign w:val="center"/>
          </w:tcPr>
          <w:p w14:paraId="2AAD0CE0">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5F1115D8">
            <w:pPr>
              <w:adjustRightInd w:val="0"/>
              <w:snapToGrid w:val="0"/>
              <w:spacing w:line="360" w:lineRule="auto"/>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8</w:t>
            </w:r>
          </w:p>
        </w:tc>
        <w:tc>
          <w:tcPr>
            <w:tcW w:w="1681" w:type="pct"/>
            <w:vAlign w:val="center"/>
          </w:tcPr>
          <w:p w14:paraId="5DB67EE4">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触电、雷电</w:t>
            </w:r>
          </w:p>
        </w:tc>
        <w:tc>
          <w:tcPr>
            <w:tcW w:w="1453" w:type="pct"/>
            <w:tcBorders>
              <w:right w:val="single" w:color="auto" w:sz="4" w:space="0"/>
            </w:tcBorders>
            <w:vAlign w:val="center"/>
          </w:tcPr>
          <w:p w14:paraId="3C7C1D06">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各种电气设备及其线路</w:t>
            </w:r>
          </w:p>
        </w:tc>
        <w:tc>
          <w:tcPr>
            <w:tcW w:w="1251" w:type="pct"/>
            <w:tcBorders>
              <w:right w:val="single" w:color="auto" w:sz="4" w:space="0"/>
            </w:tcBorders>
            <w:vAlign w:val="center"/>
          </w:tcPr>
          <w:p w14:paraId="6C91838A">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人员伤亡、设备损坏</w:t>
            </w:r>
          </w:p>
        </w:tc>
      </w:tr>
      <w:tr w14:paraId="65311E1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7" w:type="pct"/>
            <w:vMerge w:val="continue"/>
            <w:tcBorders>
              <w:left w:val="single" w:color="auto" w:sz="4" w:space="0"/>
            </w:tcBorders>
            <w:vAlign w:val="center"/>
          </w:tcPr>
          <w:p w14:paraId="697DAF99">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01570280">
            <w:pPr>
              <w:adjustRightInd w:val="0"/>
              <w:snapToGrid w:val="0"/>
              <w:spacing w:line="360" w:lineRule="auto"/>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9</w:t>
            </w:r>
          </w:p>
        </w:tc>
        <w:tc>
          <w:tcPr>
            <w:tcW w:w="1681" w:type="pct"/>
            <w:vAlign w:val="center"/>
          </w:tcPr>
          <w:p w14:paraId="01C48EBD">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淹溺</w:t>
            </w:r>
          </w:p>
        </w:tc>
        <w:tc>
          <w:tcPr>
            <w:tcW w:w="1453" w:type="pct"/>
            <w:tcBorders>
              <w:right w:val="single" w:color="auto" w:sz="4" w:space="0"/>
            </w:tcBorders>
            <w:vAlign w:val="center"/>
          </w:tcPr>
          <w:p w14:paraId="63F5182A">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高位水池等</w:t>
            </w:r>
          </w:p>
        </w:tc>
        <w:tc>
          <w:tcPr>
            <w:tcW w:w="1251" w:type="pct"/>
            <w:tcBorders>
              <w:right w:val="single" w:color="auto" w:sz="4" w:space="0"/>
            </w:tcBorders>
            <w:vAlign w:val="center"/>
          </w:tcPr>
          <w:p w14:paraId="4518D5A6">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人员伤亡</w:t>
            </w:r>
          </w:p>
        </w:tc>
      </w:tr>
      <w:tr w14:paraId="201AE84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7" w:type="pct"/>
            <w:vMerge w:val="continue"/>
            <w:tcBorders>
              <w:left w:val="single" w:color="auto" w:sz="4" w:space="0"/>
            </w:tcBorders>
            <w:vAlign w:val="center"/>
          </w:tcPr>
          <w:p w14:paraId="3E00B030">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2174D266">
            <w:pPr>
              <w:adjustRightInd w:val="0"/>
              <w:snapToGrid w:val="0"/>
              <w:spacing w:line="360" w:lineRule="auto"/>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10</w:t>
            </w:r>
          </w:p>
        </w:tc>
        <w:tc>
          <w:tcPr>
            <w:tcW w:w="1681" w:type="pct"/>
            <w:vAlign w:val="center"/>
          </w:tcPr>
          <w:p w14:paraId="2893BB08">
            <w:pPr>
              <w:adjustRightInd w:val="0"/>
              <w:snapToGrid w:val="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szCs w:val="21"/>
              </w:rPr>
              <w:t>粉尘</w:t>
            </w:r>
          </w:p>
        </w:tc>
        <w:tc>
          <w:tcPr>
            <w:tcW w:w="1453" w:type="pct"/>
            <w:tcBorders>
              <w:right w:val="single" w:color="auto" w:sz="4" w:space="0"/>
            </w:tcBorders>
            <w:vAlign w:val="center"/>
          </w:tcPr>
          <w:p w14:paraId="21CBB687">
            <w:pPr>
              <w:adjustRightInd w:val="0"/>
              <w:snapToGrid w:val="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szCs w:val="21"/>
              </w:rPr>
              <w:t>采场铲装、凿岩工作面、矿岩转运作业</w:t>
            </w:r>
          </w:p>
        </w:tc>
        <w:tc>
          <w:tcPr>
            <w:tcW w:w="1251" w:type="pct"/>
            <w:tcBorders>
              <w:right w:val="single" w:color="auto" w:sz="4" w:space="0"/>
            </w:tcBorders>
            <w:vAlign w:val="center"/>
          </w:tcPr>
          <w:p w14:paraId="6702F78A">
            <w:pPr>
              <w:adjustRightInd w:val="0"/>
              <w:snapToGrid w:val="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szCs w:val="21"/>
              </w:rPr>
              <w:t>慢性伤害、职业病</w:t>
            </w:r>
          </w:p>
        </w:tc>
      </w:tr>
      <w:tr w14:paraId="0134E48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7" w:type="pct"/>
            <w:vMerge w:val="continue"/>
            <w:tcBorders>
              <w:left w:val="single" w:color="auto" w:sz="4" w:space="0"/>
            </w:tcBorders>
            <w:vAlign w:val="center"/>
          </w:tcPr>
          <w:p w14:paraId="39805C40">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37359EAE">
            <w:pPr>
              <w:adjustRightInd w:val="0"/>
              <w:snapToGrid w:val="0"/>
              <w:spacing w:line="360" w:lineRule="auto"/>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1</w:t>
            </w:r>
            <w:r>
              <w:rPr>
                <w:rFonts w:hint="eastAsia" w:ascii="Times New Roman" w:hAnsi="Times New Roman" w:eastAsia="宋体" w:cs="Times New Roman"/>
                <w:color w:val="000000" w:themeColor="text1"/>
                <w:szCs w:val="21"/>
                <w:lang w:val="en-US" w:eastAsia="zh-CN"/>
                <w14:textFill>
                  <w14:solidFill>
                    <w14:schemeClr w14:val="tx1"/>
                  </w14:solidFill>
                </w14:textFill>
              </w:rPr>
              <w:t>1</w:t>
            </w:r>
          </w:p>
        </w:tc>
        <w:tc>
          <w:tcPr>
            <w:tcW w:w="1681" w:type="pct"/>
            <w:vAlign w:val="center"/>
          </w:tcPr>
          <w:p w14:paraId="06FD5F63">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其他伤害</w:t>
            </w:r>
          </w:p>
        </w:tc>
        <w:tc>
          <w:tcPr>
            <w:tcW w:w="1453" w:type="pct"/>
            <w:tcBorders>
              <w:right w:val="single" w:color="auto" w:sz="4" w:space="0"/>
            </w:tcBorders>
            <w:vAlign w:val="center"/>
          </w:tcPr>
          <w:p w14:paraId="342BDB1E">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整个矿山</w:t>
            </w:r>
          </w:p>
        </w:tc>
        <w:tc>
          <w:tcPr>
            <w:tcW w:w="1251" w:type="pct"/>
            <w:tcBorders>
              <w:right w:val="single" w:color="auto" w:sz="4" w:space="0"/>
            </w:tcBorders>
            <w:vAlign w:val="center"/>
          </w:tcPr>
          <w:p w14:paraId="61505EA6">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人员伤亡</w:t>
            </w:r>
          </w:p>
        </w:tc>
      </w:tr>
      <w:tr w14:paraId="28BCDD1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7" w:type="pct"/>
            <w:vMerge w:val="continue"/>
            <w:tcBorders>
              <w:left w:val="single" w:color="auto" w:sz="4" w:space="0"/>
            </w:tcBorders>
            <w:vAlign w:val="center"/>
          </w:tcPr>
          <w:p w14:paraId="4A2149C3">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17577A18">
            <w:pPr>
              <w:adjustRightInd w:val="0"/>
              <w:snapToGrid w:val="0"/>
              <w:spacing w:line="360" w:lineRule="auto"/>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1</w:t>
            </w:r>
            <w:r>
              <w:rPr>
                <w:rFonts w:hint="eastAsia" w:ascii="Times New Roman" w:hAnsi="Times New Roman" w:eastAsia="宋体" w:cs="Times New Roman"/>
                <w:color w:val="000000" w:themeColor="text1"/>
                <w:szCs w:val="21"/>
                <w:lang w:val="en-US" w:eastAsia="zh-CN"/>
                <w14:textFill>
                  <w14:solidFill>
                    <w14:schemeClr w14:val="tx1"/>
                  </w14:solidFill>
                </w14:textFill>
              </w:rPr>
              <w:t>2</w:t>
            </w:r>
          </w:p>
        </w:tc>
        <w:tc>
          <w:tcPr>
            <w:tcW w:w="1681" w:type="pct"/>
            <w:vAlign w:val="center"/>
          </w:tcPr>
          <w:p w14:paraId="2F584B7D">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未建立安全生产责任制、安全管理制度及操作规程，或者不健全</w:t>
            </w:r>
          </w:p>
        </w:tc>
        <w:tc>
          <w:tcPr>
            <w:tcW w:w="1453" w:type="pct"/>
            <w:vMerge w:val="restart"/>
            <w:tcBorders>
              <w:right w:val="single" w:color="auto" w:sz="4" w:space="0"/>
            </w:tcBorders>
            <w:vAlign w:val="center"/>
          </w:tcPr>
          <w:p w14:paraId="2E36C18A">
            <w:pPr>
              <w:adjustRightInd w:val="0"/>
              <w:snapToGrid w:val="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szCs w:val="21"/>
              </w:rPr>
              <w:t>安全管理过程中，安全生产命令执行过程中</w:t>
            </w:r>
          </w:p>
        </w:tc>
        <w:tc>
          <w:tcPr>
            <w:tcW w:w="1251" w:type="pct"/>
            <w:vMerge w:val="restart"/>
            <w:tcBorders>
              <w:right w:val="single" w:color="auto" w:sz="4" w:space="0"/>
            </w:tcBorders>
            <w:vAlign w:val="center"/>
          </w:tcPr>
          <w:p w14:paraId="326D99DD">
            <w:pPr>
              <w:adjustRightInd w:val="0"/>
              <w:snapToGrid w:val="0"/>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szCs w:val="21"/>
              </w:rPr>
              <w:t>人员伤亡</w:t>
            </w:r>
          </w:p>
        </w:tc>
      </w:tr>
      <w:tr w14:paraId="6BCEACA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7" w:type="pct"/>
            <w:vMerge w:val="continue"/>
            <w:tcBorders>
              <w:left w:val="single" w:color="auto" w:sz="4" w:space="0"/>
            </w:tcBorders>
            <w:vAlign w:val="center"/>
          </w:tcPr>
          <w:p w14:paraId="19344859">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615B8958">
            <w:pPr>
              <w:adjustRightInd w:val="0"/>
              <w:snapToGrid w:val="0"/>
              <w:spacing w:line="360" w:lineRule="auto"/>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1</w:t>
            </w:r>
            <w:r>
              <w:rPr>
                <w:rFonts w:hint="eastAsia" w:ascii="Times New Roman" w:hAnsi="Times New Roman" w:eastAsia="宋体" w:cs="Times New Roman"/>
                <w:color w:val="000000" w:themeColor="text1"/>
                <w:szCs w:val="21"/>
                <w:lang w:val="en-US" w:eastAsia="zh-CN"/>
                <w14:textFill>
                  <w14:solidFill>
                    <w14:schemeClr w14:val="tx1"/>
                  </w14:solidFill>
                </w14:textFill>
              </w:rPr>
              <w:t>3</w:t>
            </w:r>
          </w:p>
        </w:tc>
        <w:tc>
          <w:tcPr>
            <w:tcW w:w="1681" w:type="pct"/>
            <w:vAlign w:val="center"/>
          </w:tcPr>
          <w:p w14:paraId="49D04D8A">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特种作业人员未取证上岗</w:t>
            </w:r>
          </w:p>
        </w:tc>
        <w:tc>
          <w:tcPr>
            <w:tcW w:w="1453" w:type="pct"/>
            <w:vMerge w:val="continue"/>
            <w:tcBorders>
              <w:right w:val="single" w:color="auto" w:sz="4" w:space="0"/>
            </w:tcBorders>
            <w:vAlign w:val="center"/>
          </w:tcPr>
          <w:p w14:paraId="156A8B5C">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p>
        </w:tc>
        <w:tc>
          <w:tcPr>
            <w:tcW w:w="1251" w:type="pct"/>
            <w:vMerge w:val="continue"/>
            <w:tcBorders>
              <w:right w:val="single" w:color="auto" w:sz="4" w:space="0"/>
            </w:tcBorders>
            <w:vAlign w:val="center"/>
          </w:tcPr>
          <w:p w14:paraId="21B6744F">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p>
        </w:tc>
      </w:tr>
      <w:tr w14:paraId="785F56B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7" w:type="pct"/>
            <w:vMerge w:val="continue"/>
            <w:tcBorders>
              <w:left w:val="single" w:color="auto" w:sz="4" w:space="0"/>
            </w:tcBorders>
            <w:vAlign w:val="center"/>
          </w:tcPr>
          <w:p w14:paraId="015C8051">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59FAB155">
            <w:pPr>
              <w:adjustRightInd w:val="0"/>
              <w:snapToGrid w:val="0"/>
              <w:spacing w:line="360" w:lineRule="auto"/>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1</w:t>
            </w:r>
            <w:r>
              <w:rPr>
                <w:rFonts w:hint="eastAsia" w:ascii="Times New Roman" w:hAnsi="Times New Roman" w:eastAsia="宋体" w:cs="Times New Roman"/>
                <w:color w:val="000000" w:themeColor="text1"/>
                <w:szCs w:val="21"/>
                <w:lang w:val="en-US" w:eastAsia="zh-CN"/>
                <w14:textFill>
                  <w14:solidFill>
                    <w14:schemeClr w14:val="tx1"/>
                  </w14:solidFill>
                </w14:textFill>
              </w:rPr>
              <w:t>4</w:t>
            </w:r>
          </w:p>
        </w:tc>
        <w:tc>
          <w:tcPr>
            <w:tcW w:w="1681" w:type="pct"/>
            <w:vAlign w:val="center"/>
          </w:tcPr>
          <w:p w14:paraId="5D4E50A7">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职业安全健康管理不完善</w:t>
            </w:r>
          </w:p>
        </w:tc>
        <w:tc>
          <w:tcPr>
            <w:tcW w:w="1453" w:type="pct"/>
            <w:vMerge w:val="continue"/>
            <w:tcBorders>
              <w:right w:val="single" w:color="auto" w:sz="4" w:space="0"/>
            </w:tcBorders>
            <w:vAlign w:val="center"/>
          </w:tcPr>
          <w:p w14:paraId="58630A9E">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p>
        </w:tc>
        <w:tc>
          <w:tcPr>
            <w:tcW w:w="1251" w:type="pct"/>
            <w:vMerge w:val="continue"/>
            <w:tcBorders>
              <w:right w:val="single" w:color="auto" w:sz="4" w:space="0"/>
            </w:tcBorders>
            <w:vAlign w:val="center"/>
          </w:tcPr>
          <w:p w14:paraId="6EB60E30">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p>
        </w:tc>
      </w:tr>
      <w:tr w14:paraId="67CC2D9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327" w:type="pct"/>
            <w:vMerge w:val="continue"/>
            <w:tcBorders>
              <w:left w:val="single" w:color="auto" w:sz="4" w:space="0"/>
            </w:tcBorders>
            <w:vAlign w:val="center"/>
          </w:tcPr>
          <w:p w14:paraId="37B0FBE8">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5ABCFF05">
            <w:pPr>
              <w:adjustRightInd w:val="0"/>
              <w:snapToGrid w:val="0"/>
              <w:spacing w:line="360" w:lineRule="auto"/>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1</w:t>
            </w:r>
            <w:r>
              <w:rPr>
                <w:rFonts w:hint="eastAsia" w:ascii="Times New Roman" w:hAnsi="Times New Roman" w:eastAsia="宋体" w:cs="Times New Roman"/>
                <w:color w:val="000000" w:themeColor="text1"/>
                <w:szCs w:val="21"/>
                <w:lang w:val="en-US" w:eastAsia="zh-CN"/>
                <w14:textFill>
                  <w14:solidFill>
                    <w14:schemeClr w14:val="tx1"/>
                  </w14:solidFill>
                </w14:textFill>
              </w:rPr>
              <w:t>5</w:t>
            </w:r>
          </w:p>
        </w:tc>
        <w:tc>
          <w:tcPr>
            <w:tcW w:w="1681" w:type="pct"/>
            <w:vAlign w:val="center"/>
          </w:tcPr>
          <w:p w14:paraId="0CB17785">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职业安全健康投入不足</w:t>
            </w:r>
          </w:p>
        </w:tc>
        <w:tc>
          <w:tcPr>
            <w:tcW w:w="1453" w:type="pct"/>
            <w:vMerge w:val="continue"/>
            <w:tcBorders>
              <w:right w:val="single" w:color="auto" w:sz="4" w:space="0"/>
            </w:tcBorders>
            <w:vAlign w:val="center"/>
          </w:tcPr>
          <w:p w14:paraId="7C1CB33E">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p>
        </w:tc>
        <w:tc>
          <w:tcPr>
            <w:tcW w:w="1251" w:type="pct"/>
            <w:vMerge w:val="continue"/>
            <w:tcBorders>
              <w:right w:val="single" w:color="auto" w:sz="4" w:space="0"/>
            </w:tcBorders>
            <w:vAlign w:val="center"/>
          </w:tcPr>
          <w:p w14:paraId="3F4E61DE">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p>
        </w:tc>
      </w:tr>
      <w:tr w14:paraId="53B38BB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327" w:type="pct"/>
            <w:vMerge w:val="continue"/>
            <w:tcBorders>
              <w:left w:val="single" w:color="auto" w:sz="4" w:space="0"/>
            </w:tcBorders>
            <w:vAlign w:val="center"/>
          </w:tcPr>
          <w:p w14:paraId="4E8EDED1">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p>
        </w:tc>
        <w:tc>
          <w:tcPr>
            <w:tcW w:w="286" w:type="pct"/>
            <w:vAlign w:val="center"/>
          </w:tcPr>
          <w:p w14:paraId="48E5A2AA">
            <w:pPr>
              <w:adjustRightInd w:val="0"/>
              <w:snapToGrid w:val="0"/>
              <w:spacing w:line="360" w:lineRule="auto"/>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1</w:t>
            </w:r>
            <w:r>
              <w:rPr>
                <w:rFonts w:hint="eastAsia" w:ascii="Times New Roman" w:hAnsi="Times New Roman" w:eastAsia="宋体" w:cs="Times New Roman"/>
                <w:color w:val="000000" w:themeColor="text1"/>
                <w:szCs w:val="21"/>
                <w:lang w:val="en-US" w:eastAsia="zh-CN"/>
                <w14:textFill>
                  <w14:solidFill>
                    <w14:schemeClr w14:val="tx1"/>
                  </w14:solidFill>
                </w14:textFill>
              </w:rPr>
              <w:t>6</w:t>
            </w:r>
          </w:p>
        </w:tc>
        <w:tc>
          <w:tcPr>
            <w:tcW w:w="1681" w:type="pct"/>
            <w:vAlign w:val="center"/>
          </w:tcPr>
          <w:p w14:paraId="4E71787D">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违章指挥、违章操作</w:t>
            </w:r>
          </w:p>
        </w:tc>
        <w:tc>
          <w:tcPr>
            <w:tcW w:w="1453" w:type="pct"/>
            <w:vMerge w:val="continue"/>
            <w:tcBorders>
              <w:right w:val="single" w:color="auto" w:sz="4" w:space="0"/>
            </w:tcBorders>
            <w:vAlign w:val="center"/>
          </w:tcPr>
          <w:p w14:paraId="283952E2">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p>
        </w:tc>
        <w:tc>
          <w:tcPr>
            <w:tcW w:w="1251" w:type="pct"/>
            <w:vMerge w:val="continue"/>
            <w:tcBorders>
              <w:right w:val="single" w:color="auto" w:sz="4" w:space="0"/>
            </w:tcBorders>
            <w:vAlign w:val="center"/>
          </w:tcPr>
          <w:p w14:paraId="6FC5EECA">
            <w:pPr>
              <w:adjustRightInd w:val="0"/>
              <w:snapToGrid w:val="0"/>
              <w:spacing w:line="360" w:lineRule="auto"/>
              <w:rPr>
                <w:rFonts w:ascii="Times New Roman" w:hAnsi="Times New Roman" w:eastAsia="宋体" w:cs="Times New Roman"/>
                <w:color w:val="000000" w:themeColor="text1"/>
                <w:szCs w:val="21"/>
                <w14:textFill>
                  <w14:solidFill>
                    <w14:schemeClr w14:val="tx1"/>
                  </w14:solidFill>
                </w14:textFill>
              </w:rPr>
            </w:pPr>
          </w:p>
        </w:tc>
      </w:tr>
    </w:tbl>
    <w:p w14:paraId="63AD2F13">
      <w:pPr>
        <w:pStyle w:val="3"/>
        <w:adjustRightInd w:val="0"/>
        <w:snapToGrid w:val="0"/>
        <w:spacing w:before="312" w:beforeLines="100"/>
        <w:rPr>
          <w:rFonts w:ascii="Times New Roman" w:hAnsi="Times New Roman" w:cs="Times New Roman"/>
          <w:b/>
          <w:bCs w:val="0"/>
          <w:color w:val="000000" w:themeColor="text1"/>
          <w:lang w:val="en-GB"/>
          <w14:textFill>
            <w14:solidFill>
              <w14:schemeClr w14:val="tx1"/>
            </w14:solidFill>
          </w14:textFill>
        </w:rPr>
      </w:pPr>
      <w:bookmarkStart w:id="88" w:name="_Toc6043"/>
      <w:bookmarkStart w:id="89" w:name="_Toc6232"/>
      <w:r>
        <w:rPr>
          <w:rFonts w:ascii="Times New Roman" w:hAnsi="Times New Roman" w:cs="Times New Roman"/>
          <w:b/>
          <w:bCs w:val="0"/>
          <w:color w:val="000000" w:themeColor="text1"/>
          <w:lang w:val="en-GB"/>
          <w14:textFill>
            <w14:solidFill>
              <w14:schemeClr w14:val="tx1"/>
            </w14:solidFill>
          </w14:textFill>
        </w:rPr>
        <w:t>5.2 该项目应重点防范的危险、有害因素</w:t>
      </w:r>
      <w:bookmarkEnd w:id="88"/>
      <w:bookmarkEnd w:id="89"/>
    </w:p>
    <w:p w14:paraId="7F454467">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该项目应重点防范的危险、有害因素：边坡失稳（滑坡）、</w:t>
      </w:r>
      <w:r>
        <w:rPr>
          <w:rFonts w:ascii="Times New Roman" w:hAnsi="Times New Roman" w:eastAsia="宋体" w:cs="Times New Roman"/>
          <w:color w:val="000000" w:themeColor="text1"/>
          <w:sz w:val="28"/>
          <w:szCs w:val="28"/>
          <w14:textFill>
            <w14:solidFill>
              <w14:schemeClr w14:val="tx1"/>
            </w14:solidFill>
          </w14:textFill>
        </w:rPr>
        <w:t>爆破伤害、</w:t>
      </w:r>
      <w:r>
        <w:rPr>
          <w:rFonts w:ascii="Times New Roman" w:hAnsi="Times New Roman" w:eastAsia="宋体" w:cs="Times New Roman"/>
          <w:color w:val="000000" w:themeColor="text1"/>
          <w:sz w:val="28"/>
          <w:szCs w:val="28"/>
          <w:lang w:val="en-GB"/>
          <w14:textFill>
            <w14:solidFill>
              <w14:schemeClr w14:val="tx1"/>
            </w14:solidFill>
          </w14:textFill>
        </w:rPr>
        <w:t>高处坠落、机械伤害、车辆伤害、触电</w:t>
      </w:r>
      <w:r>
        <w:rPr>
          <w:rFonts w:ascii="Times New Roman" w:hAnsi="Times New Roman" w:eastAsia="宋体" w:cs="Times New Roman"/>
          <w:color w:val="000000" w:themeColor="text1"/>
          <w:sz w:val="28"/>
          <w:szCs w:val="28"/>
          <w14:textFill>
            <w14:solidFill>
              <w14:schemeClr w14:val="tx1"/>
            </w14:solidFill>
          </w14:textFill>
        </w:rPr>
        <w:t>等</w:t>
      </w:r>
      <w:r>
        <w:rPr>
          <w:rFonts w:ascii="Times New Roman" w:hAnsi="Times New Roman" w:eastAsia="宋体" w:cs="Times New Roman"/>
          <w:color w:val="000000" w:themeColor="text1"/>
          <w:sz w:val="28"/>
          <w:szCs w:val="28"/>
          <w:lang w:val="en-GB"/>
          <w14:textFill>
            <w14:solidFill>
              <w14:schemeClr w14:val="tx1"/>
            </w14:solidFill>
          </w14:textFill>
        </w:rPr>
        <w:t>。</w:t>
      </w:r>
    </w:p>
    <w:p w14:paraId="58F470BA">
      <w:pPr>
        <w:pStyle w:val="3"/>
        <w:adjustRightInd w:val="0"/>
        <w:snapToGrid w:val="0"/>
        <w:rPr>
          <w:rFonts w:ascii="Times New Roman" w:hAnsi="Times New Roman" w:eastAsia="宋体" w:cs="Times New Roman"/>
          <w:color w:val="000000" w:themeColor="text1"/>
          <w:sz w:val="28"/>
          <w:szCs w:val="28"/>
          <w:lang w:val="en-GB"/>
          <w14:textFill>
            <w14:solidFill>
              <w14:schemeClr w14:val="tx1"/>
            </w14:solidFill>
          </w14:textFill>
        </w:rPr>
      </w:pPr>
      <w:bookmarkStart w:id="90" w:name="_Toc22959"/>
      <w:bookmarkStart w:id="91" w:name="_Toc10385"/>
      <w:r>
        <w:rPr>
          <w:rFonts w:ascii="Times New Roman" w:hAnsi="Times New Roman" w:cs="Times New Roman"/>
          <w:b/>
          <w:bCs w:val="0"/>
          <w:color w:val="000000" w:themeColor="text1"/>
          <w:lang w:val="en-GB"/>
          <w14:textFill>
            <w14:solidFill>
              <w14:schemeClr w14:val="tx1"/>
            </w14:solidFill>
          </w14:textFill>
        </w:rPr>
        <w:t>5.3 该项目应重视安全对策措施建议</w:t>
      </w:r>
      <w:bookmarkEnd w:id="90"/>
      <w:bookmarkEnd w:id="91"/>
    </w:p>
    <w:p w14:paraId="1FBCD2D1">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bookmarkStart w:id="92" w:name="_Toc11567"/>
      <w:r>
        <w:rPr>
          <w:rFonts w:hint="eastAsia" w:ascii="Times New Roman" w:hAnsi="Times New Roman" w:eastAsia="宋体" w:cs="Times New Roman"/>
          <w:color w:val="000000" w:themeColor="text1"/>
          <w:sz w:val="28"/>
          <w:szCs w:val="28"/>
          <w14:textFill>
            <w14:solidFill>
              <w14:schemeClr w14:val="tx1"/>
            </w14:solidFill>
          </w14:textFill>
        </w:rPr>
        <w:t>（1）严格执行盐津县供电局关于《盐津开源矿业关于10kV花农线坪上支线4基电杆搬迁申请》批复，制定</w:t>
      </w:r>
      <w:r>
        <w:rPr>
          <w:rFonts w:ascii="Times New Roman" w:hAnsi="Times New Roman" w:eastAsia="宋体" w:cs="Times New Roman"/>
          <w:color w:val="000000" w:themeColor="text1"/>
          <w:sz w:val="28"/>
          <w:szCs w:val="28"/>
          <w14:textFill>
            <w14:solidFill>
              <w14:schemeClr w14:val="tx1"/>
            </w14:solidFill>
          </w14:textFill>
        </w:rPr>
        <w:t>安全防护方案</w:t>
      </w:r>
      <w:r>
        <w:rPr>
          <w:rFonts w:hint="eastAsia" w:ascii="Times New Roman" w:hAnsi="Times New Roman" w:eastAsia="宋体" w:cs="Times New Roman"/>
          <w:color w:val="000000" w:themeColor="text1"/>
          <w:sz w:val="28"/>
          <w:szCs w:val="28"/>
          <w14:textFill>
            <w14:solidFill>
              <w14:schemeClr w14:val="tx1"/>
            </w14:solidFill>
          </w14:textFill>
        </w:rPr>
        <w:t>，细化爆破措施，开采前要对相关人员进行技术和安全方案交底，对布孔、钻孔、装药、联线等工序严格控制</w:t>
      </w:r>
      <w:r>
        <w:rPr>
          <w:rFonts w:ascii="Times New Roman" w:hAnsi="Times New Roman" w:eastAsia="宋体" w:cs="Times New Roman"/>
          <w:color w:val="000000" w:themeColor="text1"/>
          <w:sz w:val="28"/>
          <w:szCs w:val="28"/>
          <w14:textFill>
            <w14:solidFill>
              <w14:schemeClr w14:val="tx1"/>
            </w14:solidFill>
          </w14:textFill>
        </w:rPr>
        <w:t>。</w:t>
      </w:r>
    </w:p>
    <w:p w14:paraId="6FCEC64E">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w:t>
      </w:r>
      <w:r>
        <w:rPr>
          <w:color w:val="000000" w:themeColor="text1"/>
          <w:sz w:val="28"/>
          <w:szCs w:val="28"/>
          <w14:textFill>
            <w14:solidFill>
              <w14:schemeClr w14:val="tx1"/>
            </w14:solidFill>
          </w14:textFill>
        </w:rPr>
        <w:t>盐津县供电局已同意搬迁矿区范围</w:t>
      </w:r>
      <w:r>
        <w:rPr>
          <w:rFonts w:hint="eastAsia"/>
          <w:color w:val="000000" w:themeColor="text1"/>
          <w:sz w:val="28"/>
          <w:szCs w:val="28"/>
          <w14:textFill>
            <w14:solidFill>
              <w14:schemeClr w14:val="tx1"/>
            </w14:solidFill>
          </w14:textFill>
        </w:rPr>
        <w:t>内</w:t>
      </w:r>
      <w:r>
        <w:rPr>
          <w:color w:val="000000" w:themeColor="text1"/>
          <w:sz w:val="28"/>
          <w:szCs w:val="28"/>
          <w14:textFill>
            <w14:solidFill>
              <w14:schemeClr w14:val="tx1"/>
            </w14:solidFill>
          </w14:textFill>
        </w:rPr>
        <w:t>穿过</w:t>
      </w:r>
      <w:r>
        <w:rPr>
          <w:rFonts w:hint="eastAsia"/>
          <w:color w:val="000000" w:themeColor="text1"/>
          <w:sz w:val="28"/>
          <w:szCs w:val="28"/>
          <w14:textFill>
            <w14:solidFill>
              <w14:schemeClr w14:val="tx1"/>
            </w14:solidFill>
          </w14:textFill>
        </w:rPr>
        <w:t>的</w:t>
      </w:r>
      <w:r>
        <w:rPr>
          <w:color w:val="000000" w:themeColor="text1"/>
          <w:sz w:val="28"/>
          <w:szCs w:val="28"/>
          <w14:textFill>
            <w14:solidFill>
              <w14:schemeClr w14:val="tx1"/>
            </w14:solidFill>
          </w14:textFill>
        </w:rPr>
        <w:t>一条10KV高压线（花农线坪上支线），同时允许矿山在高压线100m范围外进行爆破作业</w:t>
      </w:r>
      <w:r>
        <w:rPr>
          <w:rFonts w:hint="eastAsia"/>
          <w:color w:val="000000" w:themeColor="text1"/>
          <w:sz w:val="28"/>
          <w:szCs w:val="28"/>
          <w14:textFill>
            <w14:solidFill>
              <w14:schemeClr w14:val="tx1"/>
            </w14:solidFill>
          </w14:textFill>
        </w:rPr>
        <w:t>，下一步设计明确搬迁位置及</w:t>
      </w:r>
      <w:r>
        <w:rPr>
          <w:rFonts w:hint="eastAsia"/>
          <w:sz w:val="28"/>
          <w:szCs w:val="28"/>
        </w:rPr>
        <w:t>可靠的安全防范措施，避免飞石造成线路损伤或杆塔基础不稳，引起线路故障或其他安全按事故。</w:t>
      </w:r>
    </w:p>
    <w:p w14:paraId="2D31BB8B">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hint="eastAsia" w:ascii="Times New Roman" w:hAnsi="Times New Roman" w:eastAsia="宋体" w:cs="Times New Roman"/>
          <w:color w:val="000000" w:themeColor="text1"/>
          <w:sz w:val="28"/>
          <w:szCs w:val="28"/>
          <w14:textFill>
            <w14:solidFill>
              <w14:schemeClr w14:val="tx1"/>
            </w14:solidFill>
          </w14:textFill>
        </w:rPr>
        <w:t>（3）在靠房屋及道路侧进行爆破作业时，</w:t>
      </w:r>
      <w:r>
        <w:rPr>
          <w:rFonts w:ascii="Times New Roman" w:hAnsi="Times New Roman" w:eastAsia="宋体" w:cs="Times New Roman"/>
          <w:color w:val="000000" w:themeColor="text1"/>
          <w:sz w:val="28"/>
          <w:szCs w:val="28"/>
          <w14:textFill>
            <w14:solidFill>
              <w14:schemeClr w14:val="tx1"/>
            </w14:solidFill>
          </w14:textFill>
        </w:rPr>
        <w:t>必须单孔或单孔分层起爆，用金属网格炮被覆盖炮孔区域，杜绝爆破碎石飞散。并妥善解决施工中噪声爆破地震波和爆破冲击波等问题，确保施工的顺利进行。</w:t>
      </w:r>
    </w:p>
    <w:p w14:paraId="50C611AC">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hint="eastAsia" w:ascii="Times New Roman" w:hAnsi="Times New Roman" w:eastAsia="宋体" w:cs="Times New Roman"/>
          <w:color w:val="000000" w:themeColor="text1"/>
          <w:sz w:val="28"/>
          <w:szCs w:val="28"/>
          <w14:textFill>
            <w14:solidFill>
              <w14:schemeClr w14:val="tx1"/>
            </w14:solidFill>
          </w14:textFill>
        </w:rPr>
        <w:t>（4）</w:t>
      </w:r>
      <w:r>
        <w:rPr>
          <w:rFonts w:ascii="Times New Roman" w:hAnsi="Times New Roman" w:eastAsia="宋体" w:cs="Times New Roman"/>
          <w:color w:val="000000" w:themeColor="text1"/>
          <w:sz w:val="28"/>
          <w:szCs w:val="28"/>
          <w14:textFill>
            <w14:solidFill>
              <w14:schemeClr w14:val="tx1"/>
            </w14:solidFill>
          </w14:textFill>
        </w:rPr>
        <w:t>设计开采范围离</w:t>
      </w:r>
      <w:r>
        <w:rPr>
          <w:rFonts w:hint="eastAsia" w:ascii="Times New Roman" w:hAnsi="Times New Roman" w:eastAsia="宋体" w:cs="Times New Roman"/>
          <w:color w:val="000000" w:themeColor="text1"/>
          <w:sz w:val="28"/>
          <w:szCs w:val="28"/>
          <w14:textFill>
            <w14:solidFill>
              <w14:schemeClr w14:val="tx1"/>
            </w14:solidFill>
          </w14:textFill>
        </w:rPr>
        <w:t>民房</w:t>
      </w:r>
      <w:r>
        <w:rPr>
          <w:rFonts w:ascii="Times New Roman" w:hAnsi="Times New Roman" w:eastAsia="宋体" w:cs="Times New Roman"/>
          <w:color w:val="000000" w:themeColor="text1"/>
          <w:sz w:val="28"/>
          <w:szCs w:val="28"/>
          <w14:textFill>
            <w14:solidFill>
              <w14:schemeClr w14:val="tx1"/>
            </w14:solidFill>
          </w14:textFill>
        </w:rPr>
        <w:t>较近，开采</w:t>
      </w:r>
      <w:r>
        <w:rPr>
          <w:rFonts w:hint="eastAsia" w:ascii="Times New Roman" w:hAnsi="Times New Roman" w:eastAsia="宋体" w:cs="Times New Roman"/>
          <w:color w:val="000000" w:themeColor="text1"/>
          <w:sz w:val="28"/>
          <w:szCs w:val="28"/>
          <w14:textFill>
            <w14:solidFill>
              <w14:schemeClr w14:val="tx1"/>
            </w14:solidFill>
          </w14:textFill>
        </w:rPr>
        <w:t>民房</w:t>
      </w:r>
      <w:r>
        <w:rPr>
          <w:rFonts w:ascii="Times New Roman" w:hAnsi="Times New Roman" w:eastAsia="宋体" w:cs="Times New Roman"/>
          <w:color w:val="000000" w:themeColor="text1"/>
          <w:sz w:val="28"/>
          <w:szCs w:val="28"/>
          <w14:textFill>
            <w14:solidFill>
              <w14:schemeClr w14:val="tx1"/>
            </w14:solidFill>
          </w14:textFill>
        </w:rPr>
        <w:t>附近区域时注意保持安全距离，防止破坏</w:t>
      </w:r>
      <w:r>
        <w:rPr>
          <w:rFonts w:hint="eastAsia" w:ascii="Times New Roman" w:hAnsi="Times New Roman" w:eastAsia="宋体" w:cs="Times New Roman"/>
          <w:color w:val="000000" w:themeColor="text1"/>
          <w:sz w:val="28"/>
          <w:szCs w:val="28"/>
          <w14:textFill>
            <w14:solidFill>
              <w14:schemeClr w14:val="tx1"/>
            </w14:solidFill>
          </w14:textFill>
        </w:rPr>
        <w:t>民房</w:t>
      </w:r>
      <w:r>
        <w:rPr>
          <w:rFonts w:ascii="Times New Roman" w:hAnsi="Times New Roman" w:eastAsia="宋体" w:cs="Times New Roman"/>
          <w:color w:val="000000" w:themeColor="text1"/>
          <w:sz w:val="28"/>
          <w:szCs w:val="28"/>
          <w14:textFill>
            <w14:solidFill>
              <w14:schemeClr w14:val="tx1"/>
            </w14:solidFill>
          </w14:textFill>
        </w:rPr>
        <w:t>，初步设计中未说明相应的保护措施，应在下一步安全设施设计中补充。</w:t>
      </w:r>
    </w:p>
    <w:p w14:paraId="541487C6">
      <w:pPr>
        <w:adjustRightInd w:val="0"/>
        <w:snapToGrid w:val="0"/>
        <w:spacing w:line="360" w:lineRule="auto"/>
        <w:ind w:firstLine="560" w:firstLineChars="200"/>
        <w:rPr>
          <w:rFonts w:eastAsia="宋体"/>
        </w:rPr>
      </w:pPr>
      <w:r>
        <w:rPr>
          <w:rFonts w:hint="eastAsia" w:ascii="Times New Roman" w:hAnsi="Times New Roman" w:eastAsia="宋体" w:cs="Times New Roman"/>
          <w:color w:val="000000" w:themeColor="text1"/>
          <w:sz w:val="28"/>
          <w:szCs w:val="28"/>
          <w14:textFill>
            <w14:solidFill>
              <w14:schemeClr w14:val="tx1"/>
            </w14:solidFill>
          </w14:textFill>
        </w:rPr>
        <w:t>（5）</w:t>
      </w:r>
      <w:r>
        <w:rPr>
          <w:rFonts w:ascii="Times New Roman" w:hAnsi="Times New Roman" w:eastAsia="宋体" w:cs="Times New Roman"/>
          <w:color w:val="000000" w:themeColor="text1"/>
          <w:sz w:val="28"/>
          <w:szCs w:val="28"/>
          <w14:textFill>
            <w14:solidFill>
              <w14:schemeClr w14:val="tx1"/>
            </w14:solidFill>
          </w14:textFill>
        </w:rPr>
        <w:t>严格按照设计要求钻孔、装药，确保钻孔、装药质量；选择合理的最小抵抗线；严格控制装药量，单段装药量不应大于安全起爆药量；保证炮孔填塞质量，严禁使用碎石和易燃材料填塞，金属网格炮被覆盖，防止发生爆破飞石；在爆区周边被保护建（构）筑处，分别设置振动检测点进行爆破振动检测，根据检测数据及时调整、优化爆破参数，对检测数据进行记录</w:t>
      </w:r>
      <w:r>
        <w:rPr>
          <w:rFonts w:hint="eastAsia" w:ascii="Times New Roman" w:hAnsi="Times New Roman" w:eastAsia="宋体" w:cs="Times New Roman"/>
          <w:color w:val="000000" w:themeColor="text1"/>
          <w:sz w:val="28"/>
          <w:szCs w:val="28"/>
          <w14:textFill>
            <w14:solidFill>
              <w14:schemeClr w14:val="tx1"/>
            </w14:solidFill>
          </w14:textFill>
        </w:rPr>
        <w:t>。</w:t>
      </w:r>
    </w:p>
    <w:p w14:paraId="04B570C5">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hint="eastAsia" w:ascii="Times New Roman" w:hAnsi="Times New Roman" w:eastAsia="宋体" w:cs="Times New Roman"/>
          <w:color w:val="000000" w:themeColor="text1"/>
          <w:sz w:val="28"/>
          <w:szCs w:val="28"/>
          <w14:textFill>
            <w14:solidFill>
              <w14:schemeClr w14:val="tx1"/>
            </w14:solidFill>
          </w14:textFill>
        </w:rPr>
        <w:t>（6）针对采取西、南侧</w:t>
      </w:r>
      <w:r>
        <w:rPr>
          <w:rFonts w:ascii="Times New Roman" w:hAnsi="Times New Roman" w:eastAsia="宋体" w:cs="Times New Roman"/>
          <w:color w:val="000000" w:themeColor="text1"/>
          <w:sz w:val="28"/>
          <w:szCs w:val="28"/>
          <w:lang w:val="en-GB"/>
          <w14:textFill>
            <w14:solidFill>
              <w14:schemeClr w14:val="tx1"/>
            </w14:solidFill>
          </w14:textFill>
        </w:rPr>
        <w:t>村村通公路</w:t>
      </w:r>
      <w:r>
        <w:rPr>
          <w:rFonts w:hint="eastAsia"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lang w:val="en-GB"/>
          <w14:textFill>
            <w14:solidFill>
              <w14:schemeClr w14:val="tx1"/>
            </w14:solidFill>
          </w14:textFill>
        </w:rPr>
        <w:t>村道</w:t>
      </w:r>
      <w:r>
        <w:rPr>
          <w:rFonts w:hint="eastAsia"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lang w:val="en-GB"/>
          <w14:textFill>
            <w14:solidFill>
              <w14:schemeClr w14:val="tx1"/>
            </w14:solidFill>
          </w14:textFill>
        </w:rPr>
        <w:t>，设计</w:t>
      </w:r>
      <w:r>
        <w:rPr>
          <w:rFonts w:hint="eastAsia" w:ascii="Times New Roman" w:hAnsi="Times New Roman" w:eastAsia="宋体" w:cs="Times New Roman"/>
          <w:color w:val="000000" w:themeColor="text1"/>
          <w:sz w:val="28"/>
          <w:szCs w:val="28"/>
          <w14:textFill>
            <w14:solidFill>
              <w14:schemeClr w14:val="tx1"/>
            </w14:solidFill>
          </w14:textFill>
        </w:rPr>
        <w:t>预</w:t>
      </w:r>
      <w:r>
        <w:rPr>
          <w:rFonts w:ascii="Times New Roman" w:hAnsi="Times New Roman" w:eastAsia="宋体" w:cs="Times New Roman"/>
          <w:color w:val="000000" w:themeColor="text1"/>
          <w:sz w:val="28"/>
          <w:szCs w:val="28"/>
          <w:lang w:val="en-GB"/>
          <w14:textFill>
            <w14:solidFill>
              <w14:schemeClr w14:val="tx1"/>
            </w14:solidFill>
          </w14:textFill>
        </w:rPr>
        <w:t>留10m保护距离</w:t>
      </w:r>
      <w:r>
        <w:rPr>
          <w:rFonts w:hint="eastAsia"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禁止越禁采区边界开采</w:t>
      </w:r>
      <w:r>
        <w:rPr>
          <w:rFonts w:hint="eastAsia" w:ascii="Times New Roman" w:hAnsi="Times New Roman" w:eastAsia="宋体" w:cs="Times New Roman"/>
          <w:color w:val="000000" w:themeColor="text1"/>
          <w:sz w:val="28"/>
          <w:szCs w:val="28"/>
          <w14:textFill>
            <w14:solidFill>
              <w14:schemeClr w14:val="tx1"/>
            </w14:solidFill>
          </w14:textFill>
        </w:rPr>
        <w:t>。</w:t>
      </w:r>
    </w:p>
    <w:p w14:paraId="5612D7B0">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hint="eastAsia" w:ascii="Times New Roman" w:hAnsi="Times New Roman" w:eastAsia="宋体" w:cs="Times New Roman"/>
          <w:color w:val="000000" w:themeColor="text1"/>
          <w:sz w:val="28"/>
          <w:szCs w:val="28"/>
          <w14:textFill>
            <w14:solidFill>
              <w14:schemeClr w14:val="tx1"/>
            </w14:solidFill>
          </w14:textFill>
        </w:rPr>
        <w:t>（7）根据成都铁路局宜宾工电段的意见，距离内六铁路斜距500m范围内不得进行爆破作业，严格按照《代可研》设计矿区距离内六铁路500m范围内的机械开采区域进行相应开采，禁止在机械开采区进行爆破作业，</w:t>
      </w:r>
      <w:r>
        <w:rPr>
          <w:rFonts w:ascii="Times New Roman" w:hAnsi="Times New Roman" w:cs="Times New Roman"/>
          <w:sz w:val="28"/>
          <w:szCs w:val="28"/>
        </w:rPr>
        <w:t>严格按设计中保护区、机械开采区划定施工</w:t>
      </w:r>
      <w:r>
        <w:rPr>
          <w:rFonts w:hint="eastAsia" w:ascii="Times New Roman" w:hAnsi="Times New Roman" w:eastAsia="宋体" w:cs="Times New Roman"/>
          <w:color w:val="000000" w:themeColor="text1"/>
          <w:sz w:val="28"/>
          <w:szCs w:val="28"/>
          <w14:textFill>
            <w14:solidFill>
              <w14:schemeClr w14:val="tx1"/>
            </w14:solidFill>
          </w14:textFill>
        </w:rPr>
        <w:t>。</w:t>
      </w:r>
    </w:p>
    <w:p w14:paraId="5E7D5098">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w:t>
      </w:r>
      <w:r>
        <w:rPr>
          <w:rFonts w:hint="eastAsia" w:ascii="Times New Roman" w:hAnsi="Times New Roman" w:eastAsia="宋体" w:cs="Times New Roman"/>
          <w:color w:val="000000" w:themeColor="text1"/>
          <w:sz w:val="28"/>
          <w:szCs w:val="28"/>
          <w14:textFill>
            <w14:solidFill>
              <w14:schemeClr w14:val="tx1"/>
            </w14:solidFill>
          </w14:textFill>
        </w:rPr>
        <w:t>8</w:t>
      </w:r>
      <w:r>
        <w:rPr>
          <w:rFonts w:ascii="Times New Roman" w:hAnsi="Times New Roman" w:eastAsia="宋体" w:cs="Times New Roman"/>
          <w:color w:val="000000" w:themeColor="text1"/>
          <w:sz w:val="28"/>
          <w:szCs w:val="28"/>
          <w14:textFill>
            <w14:solidFill>
              <w14:schemeClr w14:val="tx1"/>
            </w14:solidFill>
          </w14:textFill>
        </w:rPr>
        <w:t>）</w:t>
      </w:r>
      <w:r>
        <w:rPr>
          <w:rFonts w:ascii="Times New Roman" w:hAnsi="Times New Roman" w:cs="Times New Roman"/>
          <w:sz w:val="28"/>
          <w:szCs w:val="28"/>
          <w:lang w:val="en-GB"/>
        </w:rPr>
        <w:t>下一步安全设施设计明确设计开采范围拐点，在开采过程中严格按设计划定的开采区域开采，禁止超越边界开采。</w:t>
      </w:r>
    </w:p>
    <w:p w14:paraId="0B6B4BC2">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w:t>
      </w:r>
      <w:r>
        <w:rPr>
          <w:rFonts w:hint="eastAsia" w:ascii="Times New Roman" w:hAnsi="Times New Roman" w:eastAsia="宋体" w:cs="Times New Roman"/>
          <w:color w:val="000000" w:themeColor="text1"/>
          <w:sz w:val="28"/>
          <w:szCs w:val="28"/>
          <w14:textFill>
            <w14:solidFill>
              <w14:schemeClr w14:val="tx1"/>
            </w14:solidFill>
          </w14:textFill>
        </w:rPr>
        <w:t>9</w:t>
      </w:r>
      <w:r>
        <w:rPr>
          <w:rFonts w:ascii="Times New Roman" w:hAnsi="Times New Roman" w:eastAsia="宋体" w:cs="Times New Roman"/>
          <w:color w:val="000000" w:themeColor="text1"/>
          <w:sz w:val="28"/>
          <w:szCs w:val="28"/>
          <w14:textFill>
            <w14:solidFill>
              <w14:schemeClr w14:val="tx1"/>
            </w14:solidFill>
          </w14:textFill>
        </w:rPr>
        <w:t>）矿山应建立边坡监测预报制度，定期监测边坡滑移、滑坡、坍塌。对有潜在危险的边坡应实施实时测控。制定边坡监测方案，每五年进行边坡稳定性分析。</w:t>
      </w:r>
    </w:p>
    <w:p w14:paraId="28C12279">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w:t>
      </w:r>
      <w:r>
        <w:rPr>
          <w:rFonts w:hint="eastAsia" w:ascii="Times New Roman" w:hAnsi="Times New Roman" w:eastAsia="宋体" w:cs="Times New Roman"/>
          <w:color w:val="000000" w:themeColor="text1"/>
          <w:sz w:val="28"/>
          <w:szCs w:val="28"/>
          <w14:textFill>
            <w14:solidFill>
              <w14:schemeClr w14:val="tx1"/>
            </w14:solidFill>
          </w14:textFill>
        </w:rPr>
        <w:t>10</w:t>
      </w:r>
      <w:r>
        <w:rPr>
          <w:rFonts w:ascii="Times New Roman" w:hAnsi="Times New Roman" w:eastAsia="宋体" w:cs="Times New Roman"/>
          <w:color w:val="000000" w:themeColor="text1"/>
          <w:sz w:val="28"/>
          <w:szCs w:val="28"/>
          <w14:textFill>
            <w14:solidFill>
              <w14:schemeClr w14:val="tx1"/>
            </w14:solidFill>
          </w14:textFill>
        </w:rPr>
        <w:t>）矿山应建立边坡安全检查制度。明确有经验的人员专门负责边坡安全管理工作，及时消除事故隐患，发现坡面的裂隙、浮石等情况，必须迅速处理。在作业前及放炮后必须对坡面进行安全检查、边坡清理。</w:t>
      </w:r>
    </w:p>
    <w:p w14:paraId="5CAEFEA2">
      <w:pPr>
        <w:adjustRightInd w:val="0"/>
        <w:snapToGrid w:val="0"/>
        <w:spacing w:line="360" w:lineRule="auto"/>
        <w:ind w:firstLine="560" w:firstLineChars="200"/>
        <w:rPr>
          <w:rFonts w:ascii="Times New Roman" w:hAnsi="Times New Roman" w:cs="Times New Roman"/>
        </w:rPr>
      </w:pPr>
      <w:r>
        <w:rPr>
          <w:rFonts w:ascii="Times New Roman" w:hAnsi="Times New Roman" w:eastAsia="宋体" w:cs="Times New Roman"/>
          <w:color w:val="000000" w:themeColor="text1"/>
          <w:sz w:val="28"/>
          <w:szCs w:val="28"/>
          <w14:textFill>
            <w14:solidFill>
              <w14:schemeClr w14:val="tx1"/>
            </w14:solidFill>
          </w14:textFill>
        </w:rPr>
        <w:t>（</w:t>
      </w:r>
      <w:r>
        <w:rPr>
          <w:rFonts w:hint="eastAsia" w:ascii="Times New Roman" w:hAnsi="Times New Roman" w:eastAsia="宋体" w:cs="Times New Roman"/>
          <w:color w:val="000000" w:themeColor="text1"/>
          <w:sz w:val="28"/>
          <w:szCs w:val="28"/>
          <w14:textFill>
            <w14:solidFill>
              <w14:schemeClr w14:val="tx1"/>
            </w14:solidFill>
          </w14:textFill>
        </w:rPr>
        <w:t>11</w:t>
      </w:r>
      <w:r>
        <w:rPr>
          <w:rFonts w:ascii="Times New Roman" w:hAnsi="Times New Roman" w:eastAsia="宋体" w:cs="Times New Roman"/>
          <w:color w:val="000000" w:themeColor="text1"/>
          <w:sz w:val="28"/>
          <w:szCs w:val="28"/>
          <w14:textFill>
            <w14:solidFill>
              <w14:schemeClr w14:val="tx1"/>
            </w14:solidFill>
          </w14:textFill>
        </w:rPr>
        <w:t>）</w:t>
      </w:r>
      <w:r>
        <w:rPr>
          <w:rFonts w:hint="eastAsia" w:ascii="Times New Roman" w:hAnsi="Times New Roman" w:eastAsia="宋体" w:cs="Times New Roman"/>
          <w:color w:val="000000" w:themeColor="text1"/>
          <w:sz w:val="28"/>
          <w:szCs w:val="28"/>
          <w14:textFill>
            <w14:solidFill>
              <w14:schemeClr w14:val="tx1"/>
            </w14:solidFill>
          </w14:textFill>
        </w:rPr>
        <w:t>针对矿权周边签订</w:t>
      </w:r>
      <w:r>
        <w:rPr>
          <w:rFonts w:ascii="Times New Roman" w:hAnsi="Times New Roman" w:eastAsia="宋体" w:cs="Times New Roman"/>
          <w:color w:val="000000" w:themeColor="text1"/>
          <w:sz w:val="28"/>
          <w:szCs w:val="28"/>
          <w14:textFill>
            <w14:solidFill>
              <w14:schemeClr w14:val="tx1"/>
            </w14:solidFill>
          </w14:textFill>
        </w:rPr>
        <w:t>安全协议</w:t>
      </w:r>
      <w:r>
        <w:rPr>
          <w:rFonts w:hint="eastAsia" w:ascii="Times New Roman" w:hAnsi="Times New Roman" w:eastAsia="宋体" w:cs="Times New Roman"/>
          <w:color w:val="000000" w:themeColor="text1"/>
          <w:sz w:val="28"/>
          <w:szCs w:val="28"/>
          <w14:textFill>
            <w14:solidFill>
              <w14:schemeClr w14:val="tx1"/>
            </w14:solidFill>
          </w14:textFill>
        </w:rPr>
        <w:t>的单位</w:t>
      </w:r>
      <w:r>
        <w:rPr>
          <w:rFonts w:ascii="Times New Roman" w:hAnsi="Times New Roman" w:eastAsia="宋体" w:cs="Times New Roman"/>
          <w:color w:val="000000" w:themeColor="text1"/>
          <w:sz w:val="28"/>
          <w:szCs w:val="28"/>
          <w14:textFill>
            <w14:solidFill>
              <w14:schemeClr w14:val="tx1"/>
            </w14:solidFill>
          </w14:textFill>
        </w:rPr>
        <w:t>，</w:t>
      </w:r>
      <w:r>
        <w:rPr>
          <w:rFonts w:hint="eastAsia" w:ascii="Times New Roman" w:hAnsi="Times New Roman" w:eastAsia="宋体" w:cs="Times New Roman"/>
          <w:color w:val="000000" w:themeColor="text1"/>
          <w:sz w:val="28"/>
          <w:szCs w:val="28"/>
          <w14:textFill>
            <w14:solidFill>
              <w14:schemeClr w14:val="tx1"/>
            </w14:solidFill>
          </w14:textFill>
        </w:rPr>
        <w:t>应</w:t>
      </w:r>
      <w:r>
        <w:rPr>
          <w:rFonts w:ascii="Times New Roman" w:hAnsi="Times New Roman" w:eastAsia="宋体" w:cs="Times New Roman"/>
          <w:color w:val="000000" w:themeColor="text1"/>
          <w:sz w:val="28"/>
          <w:szCs w:val="28"/>
          <w14:textFill>
            <w14:solidFill>
              <w14:schemeClr w14:val="tx1"/>
            </w14:solidFill>
          </w14:textFill>
        </w:rPr>
        <w:t>提出</w:t>
      </w:r>
      <w:r>
        <w:rPr>
          <w:rFonts w:hint="eastAsia" w:ascii="Times New Roman" w:hAnsi="Times New Roman" w:eastAsia="宋体" w:cs="Times New Roman"/>
          <w:color w:val="000000" w:themeColor="text1"/>
          <w:sz w:val="28"/>
          <w:szCs w:val="28"/>
          <w14:textFill>
            <w14:solidFill>
              <w14:schemeClr w14:val="tx1"/>
            </w14:solidFill>
          </w14:textFill>
        </w:rPr>
        <w:t>明确的</w:t>
      </w:r>
      <w:r>
        <w:rPr>
          <w:rFonts w:ascii="Times New Roman" w:hAnsi="Times New Roman" w:eastAsia="宋体" w:cs="Times New Roman"/>
          <w:color w:val="000000" w:themeColor="text1"/>
          <w:sz w:val="28"/>
          <w:szCs w:val="28"/>
          <w14:textFill>
            <w14:solidFill>
              <w14:schemeClr w14:val="tx1"/>
            </w14:solidFill>
          </w14:textFill>
        </w:rPr>
        <w:t>安全防护方案</w:t>
      </w:r>
      <w:r>
        <w:rPr>
          <w:rFonts w:hint="eastAsia" w:ascii="Times New Roman" w:hAnsi="Times New Roman" w:eastAsia="宋体" w:cs="Times New Roman"/>
          <w:color w:val="000000" w:themeColor="text1"/>
          <w:sz w:val="28"/>
          <w:szCs w:val="28"/>
          <w14:textFill>
            <w14:solidFill>
              <w14:schemeClr w14:val="tx1"/>
            </w14:solidFill>
          </w14:textFill>
        </w:rPr>
        <w:t>并严格执行</w:t>
      </w:r>
      <w:r>
        <w:rPr>
          <w:rFonts w:ascii="Times New Roman" w:hAnsi="Times New Roman" w:eastAsia="宋体" w:cs="Times New Roman"/>
          <w:color w:val="000000" w:themeColor="text1"/>
          <w:sz w:val="28"/>
          <w:szCs w:val="28"/>
          <w14:textFill>
            <w14:solidFill>
              <w14:schemeClr w14:val="tx1"/>
            </w14:solidFill>
          </w14:textFill>
        </w:rPr>
        <w:t>后方可作业；安全协议中约定了应遵守的事项，矿山下一步安全设施设计和开采过程中应严格落实到位。</w:t>
      </w:r>
    </w:p>
    <w:p w14:paraId="7A8908C7">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w:t>
      </w:r>
      <w:r>
        <w:rPr>
          <w:rFonts w:hint="eastAsia" w:ascii="Times New Roman" w:hAnsi="Times New Roman" w:eastAsia="宋体" w:cs="Times New Roman"/>
          <w:color w:val="000000" w:themeColor="text1"/>
          <w:sz w:val="28"/>
          <w:szCs w:val="28"/>
          <w14:textFill>
            <w14:solidFill>
              <w14:schemeClr w14:val="tx1"/>
            </w14:solidFill>
          </w14:textFill>
        </w:rPr>
        <w:t>12</w:t>
      </w:r>
      <w:r>
        <w:rPr>
          <w:rFonts w:ascii="Times New Roman" w:hAnsi="Times New Roman" w:eastAsia="宋体" w:cs="Times New Roman"/>
          <w:color w:val="000000" w:themeColor="text1"/>
          <w:sz w:val="28"/>
          <w:szCs w:val="28"/>
          <w14:textFill>
            <w14:solidFill>
              <w14:schemeClr w14:val="tx1"/>
            </w14:solidFill>
          </w14:textFill>
        </w:rPr>
        <w:t>）矿区边界设置明显界桩，严禁越界开采，并设置防护网及警示标志，禁止人员及设备在边坡底下停留或作业。边坡底设置不低于2m的挡墙。</w:t>
      </w:r>
    </w:p>
    <w:p w14:paraId="3FEAED2C">
      <w:pPr>
        <w:adjustRightInd w:val="0"/>
        <w:snapToGrid w:val="0"/>
        <w:spacing w:line="360" w:lineRule="auto"/>
        <w:ind w:firstLine="560" w:firstLineChars="200"/>
        <w:rPr>
          <w:rFonts w:ascii="Times New Roman" w:hAnsi="Times New Roman" w:cs="Times New Roman"/>
        </w:rPr>
      </w:pPr>
      <w:r>
        <w:rPr>
          <w:rFonts w:ascii="Times New Roman" w:hAnsi="Times New Roman" w:eastAsia="宋体" w:cs="Times New Roman"/>
          <w:color w:val="000000" w:themeColor="text1"/>
          <w:sz w:val="28"/>
          <w:szCs w:val="28"/>
          <w14:textFill>
            <w14:solidFill>
              <w14:schemeClr w14:val="tx1"/>
            </w14:solidFill>
          </w14:textFill>
        </w:rPr>
        <w:t>（1</w:t>
      </w:r>
      <w:r>
        <w:rPr>
          <w:rFonts w:hint="eastAsia" w:ascii="Times New Roman" w:hAnsi="Times New Roman" w:eastAsia="宋体" w:cs="Times New Roman"/>
          <w:color w:val="000000" w:themeColor="text1"/>
          <w:sz w:val="28"/>
          <w:szCs w:val="28"/>
          <w14:textFill>
            <w14:solidFill>
              <w14:schemeClr w14:val="tx1"/>
            </w14:solidFill>
          </w14:textFill>
        </w:rPr>
        <w:t>3</w:t>
      </w:r>
      <w:r>
        <w:rPr>
          <w:rFonts w:ascii="Times New Roman" w:hAnsi="Times New Roman" w:eastAsia="宋体" w:cs="Times New Roman"/>
          <w:color w:val="000000" w:themeColor="text1"/>
          <w:sz w:val="28"/>
          <w:szCs w:val="28"/>
          <w14:textFill>
            <w14:solidFill>
              <w14:schemeClr w14:val="tx1"/>
            </w14:solidFill>
          </w14:textFill>
        </w:rPr>
        <w:t>）</w:t>
      </w:r>
      <w:r>
        <w:rPr>
          <w:rFonts w:ascii="Times New Roman" w:hAnsi="Times New Roman" w:eastAsia="宋体" w:cs="Times New Roman"/>
          <w:color w:val="000000" w:themeColor="text1"/>
          <w:sz w:val="28"/>
          <w:szCs w:val="28"/>
          <w:lang w:val="en-GB"/>
          <w14:textFill>
            <w14:solidFill>
              <w14:schemeClr w14:val="tx1"/>
            </w14:solidFill>
          </w14:textFill>
        </w:rPr>
        <w:t>设计应进一步完善采场应采取的安全措施，矿山在露天矿边界应设可靠的围栏或醒目的警示标志，防止无关人员误入。露天矿边界上2m范围内，可能危及人员安全的树木及其他植物、不稳固材料和岩石等，应予清除。露天矿边界上覆盖的松散岩土层厚度超过2m时，其倾角应小于自然安息角。</w:t>
      </w:r>
    </w:p>
    <w:p w14:paraId="5E387291">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1</w:t>
      </w:r>
      <w:r>
        <w:rPr>
          <w:rFonts w:hint="eastAsia" w:ascii="Times New Roman" w:hAnsi="Times New Roman" w:eastAsia="宋体" w:cs="Times New Roman"/>
          <w:color w:val="000000" w:themeColor="text1"/>
          <w:sz w:val="28"/>
          <w:szCs w:val="28"/>
          <w14:textFill>
            <w14:solidFill>
              <w14:schemeClr w14:val="tx1"/>
            </w14:solidFill>
          </w14:textFill>
        </w:rPr>
        <w:t>4</w:t>
      </w:r>
      <w:r>
        <w:rPr>
          <w:rFonts w:ascii="Times New Roman" w:hAnsi="Times New Roman" w:eastAsia="宋体" w:cs="Times New Roman"/>
          <w:color w:val="000000" w:themeColor="text1"/>
          <w:sz w:val="28"/>
          <w:szCs w:val="28"/>
          <w:lang w:val="en-GB"/>
          <w14:textFill>
            <w14:solidFill>
              <w14:schemeClr w14:val="tx1"/>
            </w14:solidFill>
          </w14:textFill>
        </w:rPr>
        <w:t>）定期对采空区及采区进行检查，发现灾害隐患时及时采取相应的控制及治理措施。</w:t>
      </w:r>
    </w:p>
    <w:p w14:paraId="62189A92">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（1</w:t>
      </w:r>
      <w:r>
        <w:rPr>
          <w:rFonts w:hint="eastAsia" w:ascii="Times New Roman" w:hAnsi="Times New Roman" w:eastAsia="宋体" w:cs="Times New Roman"/>
          <w:color w:val="000000" w:themeColor="text1"/>
          <w:sz w:val="28"/>
          <w:szCs w:val="28"/>
          <w14:textFill>
            <w14:solidFill>
              <w14:schemeClr w14:val="tx1"/>
            </w14:solidFill>
          </w14:textFill>
        </w:rPr>
        <w:t>5</w:t>
      </w:r>
      <w:r>
        <w:rPr>
          <w:rFonts w:ascii="Times New Roman" w:hAnsi="Times New Roman" w:eastAsia="宋体" w:cs="Times New Roman"/>
          <w:color w:val="000000" w:themeColor="text1"/>
          <w:sz w:val="28"/>
          <w:szCs w:val="28"/>
          <w14:textFill>
            <w14:solidFill>
              <w14:schemeClr w14:val="tx1"/>
            </w14:solidFill>
          </w14:textFill>
        </w:rPr>
        <w:t>）设计未明确该矿山的安全生产管理机构、安全生产责任制、安全管理制度、安全技术操作规程等安全管理内容，下一步安全设施设计应根据生产的发展及建设项目的具体情况，及时建立健全安全管理内容。</w:t>
      </w:r>
    </w:p>
    <w:p w14:paraId="571A014D">
      <w:pPr>
        <w:adjustRightInd w:val="0"/>
        <w:snapToGrid w:val="0"/>
        <w:spacing w:line="360" w:lineRule="auto"/>
        <w:ind w:firstLine="560" w:firstLineChars="200"/>
        <w:rPr>
          <w:rFonts w:hint="eastAsia" w:ascii="Times New Roman" w:hAnsi="Times New Roman" w:eastAsia="宋体" w:cs="Times New Roman"/>
          <w:sz w:val="28"/>
          <w:szCs w:val="28"/>
          <w:lang w:eastAsia="zh-CN"/>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1</w:t>
      </w:r>
      <w:r>
        <w:rPr>
          <w:rFonts w:hint="eastAsia" w:ascii="Times New Roman" w:hAnsi="Times New Roman" w:eastAsia="宋体" w:cs="Times New Roman"/>
          <w:color w:val="000000" w:themeColor="text1"/>
          <w:sz w:val="28"/>
          <w:szCs w:val="28"/>
          <w14:textFill>
            <w14:solidFill>
              <w14:schemeClr w14:val="tx1"/>
            </w14:solidFill>
          </w14:textFill>
        </w:rPr>
        <w:t>6</w:t>
      </w:r>
      <w:r>
        <w:rPr>
          <w:rFonts w:ascii="Times New Roman" w:hAnsi="Times New Roman" w:eastAsia="宋体" w:cs="Times New Roman"/>
          <w:color w:val="000000" w:themeColor="text1"/>
          <w:sz w:val="28"/>
          <w:szCs w:val="28"/>
          <w:lang w:val="en-GB"/>
          <w14:textFill>
            <w14:solidFill>
              <w14:schemeClr w14:val="tx1"/>
            </w14:solidFill>
          </w14:textFill>
        </w:rPr>
        <w:t>）露天矿山必须设置安全管理职能机构，初步设计未明确，下一步安全设施设计中应补充设立。</w:t>
      </w:r>
      <w:r>
        <w:rPr>
          <w:rFonts w:ascii="Times New Roman" w:hAnsi="Times New Roman" w:eastAsia="宋体" w:cs="Times New Roman"/>
          <w:sz w:val="28"/>
          <w:szCs w:val="28"/>
        </w:rPr>
        <w:t>企业必须依法设立安全管理机构或者配备专职安全生产管理人员，</w:t>
      </w:r>
      <w:r>
        <w:rPr>
          <w:rFonts w:hint="eastAsia" w:ascii="Times New Roman" w:hAnsi="Times New Roman" w:eastAsia="宋体" w:cs="Times New Roman"/>
          <w:sz w:val="28"/>
          <w:szCs w:val="28"/>
        </w:rPr>
        <w:t>专职安全生产管理人员数量按不少于从业人数的百分之一配备</w:t>
      </w:r>
      <w:r>
        <w:rPr>
          <w:rFonts w:hint="eastAsia" w:ascii="Times New Roman" w:hAnsi="Times New Roman" w:eastAsia="宋体" w:cs="Times New Roman"/>
          <w:sz w:val="28"/>
          <w:szCs w:val="28"/>
          <w:lang w:eastAsia="zh-CN"/>
        </w:rPr>
        <w:t>，</w:t>
      </w:r>
      <w:r>
        <w:rPr>
          <w:rFonts w:ascii="Times New Roman" w:hAnsi="Times New Roman" w:eastAsia="宋体" w:cs="Times New Roman"/>
          <w:color w:val="000000" w:themeColor="text1"/>
          <w:sz w:val="28"/>
          <w:szCs w:val="28"/>
          <w:lang w:val="en-GB"/>
          <w14:textFill>
            <w14:solidFill>
              <w14:schemeClr w14:val="tx1"/>
            </w14:solidFill>
          </w14:textFill>
        </w:rPr>
        <w:t>安全管理人员不少于2人，</w:t>
      </w:r>
      <w:r>
        <w:rPr>
          <w:rFonts w:ascii="Times New Roman" w:hAnsi="Times New Roman" w:eastAsia="宋体" w:cs="Times New Roman"/>
          <w:sz w:val="28"/>
          <w:szCs w:val="28"/>
        </w:rPr>
        <w:t>应当有注册安全工程师从事安全生产管理工作。专职安全生产管理人员应当从事矿山工作5年及以上、具有相应的非煤矿山安全生产专业知识和工作经验并熟悉本矿生产系统</w:t>
      </w:r>
      <w:r>
        <w:rPr>
          <w:rFonts w:hint="eastAsia" w:ascii="Times New Roman" w:hAnsi="Times New Roman" w:eastAsia="宋体" w:cs="Times New Roman"/>
          <w:sz w:val="28"/>
          <w:szCs w:val="28"/>
          <w:lang w:eastAsia="zh-CN"/>
        </w:rPr>
        <w:t>。</w:t>
      </w:r>
    </w:p>
    <w:p w14:paraId="3B8932E0">
      <w:pPr>
        <w:adjustRightInd w:val="0"/>
        <w:snapToGrid w:val="0"/>
        <w:spacing w:line="360" w:lineRule="auto"/>
        <w:ind w:firstLine="560" w:firstLineChars="200"/>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ascii="Times New Roman" w:hAnsi="Times New Roman" w:eastAsia="宋体" w:cs="Times New Roman"/>
          <w:sz w:val="28"/>
          <w:szCs w:val="28"/>
          <w:lang w:eastAsia="zh-CN"/>
        </w:rPr>
        <w:t>（</w:t>
      </w:r>
      <w:r>
        <w:rPr>
          <w:rFonts w:hint="eastAsia" w:ascii="Times New Roman" w:hAnsi="Times New Roman" w:eastAsia="宋体" w:cs="Times New Roman"/>
          <w:sz w:val="28"/>
          <w:szCs w:val="28"/>
          <w:lang w:val="en-US" w:eastAsia="zh-CN"/>
        </w:rPr>
        <w:t>17</w:t>
      </w:r>
      <w:r>
        <w:rPr>
          <w:rFonts w:hint="eastAsia" w:ascii="Times New Roman" w:hAnsi="Times New Roman" w:eastAsia="宋体" w:cs="Times New Roman"/>
          <w:sz w:val="28"/>
          <w:szCs w:val="28"/>
          <w:lang w:eastAsia="zh-CN"/>
        </w:rPr>
        <w:t>）专职技术人员</w:t>
      </w:r>
      <w:r>
        <w:rPr>
          <w:rFonts w:hint="eastAsia" w:ascii="Times New Roman" w:hAnsi="Times New Roman" w:eastAsia="宋体" w:cs="Times New Roman"/>
          <w:sz w:val="28"/>
          <w:szCs w:val="28"/>
          <w:lang w:val="en-US" w:eastAsia="zh-CN"/>
        </w:rPr>
        <w:t>配备不足</w:t>
      </w:r>
      <w:r>
        <w:rPr>
          <w:rFonts w:hint="eastAsia" w:ascii="Times New Roman" w:hAnsi="Times New Roman" w:eastAsia="宋体" w:cs="Times New Roman"/>
          <w:sz w:val="28"/>
          <w:szCs w:val="28"/>
          <w:lang w:eastAsia="zh-CN"/>
        </w:rPr>
        <w:t>，</w:t>
      </w:r>
      <w:r>
        <w:rPr>
          <w:rFonts w:hint="eastAsia" w:ascii="Times New Roman" w:hAnsi="Times New Roman" w:eastAsia="宋体" w:cs="Times New Roman"/>
          <w:sz w:val="28"/>
          <w:szCs w:val="28"/>
          <w:lang w:val="en-US" w:eastAsia="zh-CN"/>
        </w:rPr>
        <w:t>应按</w:t>
      </w:r>
      <w:r>
        <w:rPr>
          <w:rFonts w:hint="eastAsia" w:ascii="Times New Roman" w:hAnsi="Times New Roman" w:eastAsia="宋体" w:cs="Times New Roman"/>
          <w:sz w:val="28"/>
          <w:szCs w:val="28"/>
          <w:lang w:eastAsia="zh-CN"/>
        </w:rPr>
        <w:t>《国家矿山安全监察局关于印发《关于加强非煤矿山安全生产工作的指导意见》的通知》（矿安〔2022〕4号）</w:t>
      </w:r>
      <w:r>
        <w:rPr>
          <w:rFonts w:hint="eastAsia" w:ascii="Times New Roman" w:hAnsi="Times New Roman" w:eastAsia="宋体" w:cs="Times New Roman"/>
          <w:sz w:val="28"/>
          <w:szCs w:val="28"/>
        </w:rPr>
        <w:t>金属非金属露天矿山应当配备具有采矿、地质、机电等矿山相关专业中专及以上学历或者中级及以上技术职称的专职技术人员，每个专业至少配备1人</w:t>
      </w:r>
      <w:r>
        <w:rPr>
          <w:rFonts w:hint="eastAsia" w:ascii="Times New Roman" w:hAnsi="Times New Roman" w:eastAsia="宋体" w:cs="Times New Roman"/>
          <w:sz w:val="28"/>
          <w:szCs w:val="28"/>
          <w:lang w:eastAsia="zh-CN"/>
        </w:rPr>
        <w:t>。专职技术人员最少</w:t>
      </w:r>
      <w:r>
        <w:rPr>
          <w:rFonts w:hint="eastAsia" w:ascii="Times New Roman" w:hAnsi="Times New Roman" w:eastAsia="宋体" w:cs="Times New Roman"/>
          <w:sz w:val="28"/>
          <w:szCs w:val="28"/>
          <w:lang w:val="en-US" w:eastAsia="zh-CN"/>
        </w:rPr>
        <w:t>按</w:t>
      </w:r>
      <w:r>
        <w:rPr>
          <w:rFonts w:hint="eastAsia" w:ascii="Times New Roman" w:hAnsi="Times New Roman" w:eastAsia="宋体" w:cs="Times New Roman"/>
          <w:sz w:val="28"/>
          <w:szCs w:val="28"/>
          <w:lang w:eastAsia="zh-CN"/>
        </w:rPr>
        <w:t>3人</w:t>
      </w:r>
      <w:r>
        <w:rPr>
          <w:rFonts w:hint="eastAsia" w:ascii="Times New Roman" w:hAnsi="Times New Roman" w:eastAsia="宋体" w:cs="Times New Roman"/>
          <w:sz w:val="28"/>
          <w:szCs w:val="28"/>
          <w:lang w:val="en-US" w:eastAsia="zh-CN"/>
        </w:rPr>
        <w:t>进行配备。</w:t>
      </w:r>
    </w:p>
    <w:p w14:paraId="5F64D757">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1</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8</w:t>
      </w:r>
      <w:r>
        <w:rPr>
          <w:rFonts w:ascii="Times New Roman" w:hAnsi="Times New Roman" w:eastAsia="宋体" w:cs="Times New Roman"/>
          <w:color w:val="000000" w:themeColor="text1"/>
          <w:sz w:val="28"/>
          <w:szCs w:val="28"/>
          <w:lang w:val="en-GB"/>
          <w14:textFill>
            <w14:solidFill>
              <w14:schemeClr w14:val="tx1"/>
            </w14:solidFill>
          </w14:textFill>
        </w:rPr>
        <w:t>）建立安全生产管理机构，确定主要负责人和安全管理人员，并要参加当地应急管理部门组织的</w:t>
      </w:r>
      <w:r>
        <w:rPr>
          <w:rFonts w:ascii="Times New Roman" w:hAnsi="Times New Roman" w:eastAsia="宋体" w:cs="Times New Roman"/>
          <w:color w:val="000000" w:themeColor="text1"/>
          <w:sz w:val="28"/>
          <w:szCs w:val="28"/>
          <w14:textFill>
            <w14:solidFill>
              <w14:schemeClr w14:val="tx1"/>
            </w14:solidFill>
          </w14:textFill>
        </w:rPr>
        <w:t>合格</w:t>
      </w:r>
      <w:r>
        <w:rPr>
          <w:rFonts w:ascii="Times New Roman" w:hAnsi="Times New Roman" w:eastAsia="宋体" w:cs="Times New Roman"/>
          <w:color w:val="000000" w:themeColor="text1"/>
          <w:sz w:val="28"/>
          <w:szCs w:val="28"/>
          <w:lang w:val="en-GB"/>
          <w14:textFill>
            <w14:solidFill>
              <w14:schemeClr w14:val="tx1"/>
            </w14:solidFill>
          </w14:textFill>
        </w:rPr>
        <w:t>培训，取得相应安全合格证，特种作业人员也要取得特种作业资格证；</w:t>
      </w:r>
    </w:p>
    <w:p w14:paraId="38378994">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1</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9</w:t>
      </w:r>
      <w:r>
        <w:rPr>
          <w:rFonts w:ascii="Times New Roman" w:hAnsi="Times New Roman" w:eastAsia="宋体" w:cs="Times New Roman"/>
          <w:color w:val="000000" w:themeColor="text1"/>
          <w:sz w:val="28"/>
          <w:szCs w:val="28"/>
          <w:lang w:val="en-GB"/>
          <w14:textFill>
            <w14:solidFill>
              <w14:schemeClr w14:val="tx1"/>
            </w14:solidFill>
          </w14:textFill>
        </w:rPr>
        <w:t>）企业应</w:t>
      </w:r>
      <w:r>
        <w:rPr>
          <w:rFonts w:ascii="Times New Roman" w:hAnsi="Times New Roman" w:cs="Times New Roman"/>
          <w:sz w:val="28"/>
          <w:szCs w:val="28"/>
        </w:rPr>
        <w:t>建立健全</w:t>
      </w:r>
      <w:r>
        <w:rPr>
          <w:rFonts w:ascii="Times New Roman" w:hAnsi="Times New Roman" w:eastAsia="宋体" w:cs="Times New Roman"/>
          <w:color w:val="000000" w:themeColor="text1"/>
          <w:sz w:val="28"/>
          <w:szCs w:val="28"/>
          <w:lang w:val="en-GB"/>
          <w14:textFill>
            <w14:solidFill>
              <w14:schemeClr w14:val="tx1"/>
            </w14:solidFill>
          </w14:textFill>
        </w:rPr>
        <w:t>各安全责任制、安全管理制度、安全操作规程及相应的安全管理台账。</w:t>
      </w:r>
    </w:p>
    <w:p w14:paraId="21784A49">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20</w:t>
      </w:r>
      <w:r>
        <w:rPr>
          <w:rFonts w:ascii="Times New Roman" w:hAnsi="Times New Roman" w:eastAsia="宋体" w:cs="Times New Roman"/>
          <w:color w:val="000000" w:themeColor="text1"/>
          <w:sz w:val="28"/>
          <w:szCs w:val="28"/>
          <w:lang w:val="en-GB"/>
          <w14:textFill>
            <w14:solidFill>
              <w14:schemeClr w14:val="tx1"/>
            </w14:solidFill>
          </w14:textFill>
        </w:rPr>
        <w:t>）企业应按导则要求规范编制应急预案、签订应急救援协议、</w:t>
      </w:r>
      <w:r>
        <w:rPr>
          <w:rFonts w:hint="eastAsia" w:ascii="Times New Roman" w:hAnsi="Times New Roman" w:eastAsia="宋体" w:cs="Times New Roman"/>
          <w:color w:val="000000" w:themeColor="text1"/>
          <w:sz w:val="28"/>
          <w:szCs w:val="28"/>
          <w14:textFill>
            <w14:solidFill>
              <w14:schemeClr w14:val="tx1"/>
            </w14:solidFill>
          </w14:textFill>
        </w:rPr>
        <w:t>成立救援小组、</w:t>
      </w:r>
      <w:r>
        <w:rPr>
          <w:rFonts w:ascii="Times New Roman" w:hAnsi="Times New Roman" w:eastAsia="宋体" w:cs="Times New Roman"/>
          <w:color w:val="000000" w:themeColor="text1"/>
          <w:sz w:val="28"/>
          <w:szCs w:val="28"/>
          <w:lang w:val="en-GB"/>
          <w14:textFill>
            <w14:solidFill>
              <w14:schemeClr w14:val="tx1"/>
            </w14:solidFill>
          </w14:textFill>
        </w:rPr>
        <w:t>进行应急预案演练。</w:t>
      </w:r>
    </w:p>
    <w:p w14:paraId="3C144721">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hint="eastAsia" w:ascii="Times New Roman" w:hAnsi="Times New Roman" w:eastAsia="宋体" w:cs="Times New Roman"/>
          <w:color w:val="000000" w:themeColor="text1"/>
          <w:sz w:val="28"/>
          <w:szCs w:val="28"/>
          <w14:textFill>
            <w14:solidFill>
              <w14:schemeClr w14:val="tx1"/>
            </w14:solidFill>
          </w14:textFill>
        </w:rPr>
        <w:t>2</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1</w:t>
      </w:r>
      <w:r>
        <w:rPr>
          <w:rFonts w:ascii="Times New Roman" w:hAnsi="Times New Roman" w:eastAsia="宋体" w:cs="Times New Roman"/>
          <w:color w:val="000000" w:themeColor="text1"/>
          <w:sz w:val="28"/>
          <w:szCs w:val="28"/>
          <w:lang w:val="en-GB"/>
          <w14:textFill>
            <w14:solidFill>
              <w14:schemeClr w14:val="tx1"/>
            </w14:solidFill>
          </w14:textFill>
        </w:rPr>
        <w:t>）企业应当严格执行《生产经营单位安全培训规定》（原国家安全监管总局令第3号）、《特种作业人员安全技术培训考核管理规定》（原国家安全监管总局令第30号）等规章，强化从业人员安全素质和技能提升，不得安排未经安全生产培训合格的从业人员上岗。</w:t>
      </w:r>
    </w:p>
    <w:p w14:paraId="72C434E7">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w:t>
      </w:r>
      <w:r>
        <w:rPr>
          <w:rFonts w:hint="eastAsia" w:ascii="Times New Roman" w:hAnsi="Times New Roman" w:eastAsia="宋体" w:cs="Times New Roman"/>
          <w:color w:val="000000" w:themeColor="text1"/>
          <w:sz w:val="28"/>
          <w:szCs w:val="28"/>
          <w14:textFill>
            <w14:solidFill>
              <w14:schemeClr w14:val="tx1"/>
            </w14:solidFill>
          </w14:textFill>
        </w:rPr>
        <w:t>2</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2</w:t>
      </w:r>
      <w:r>
        <w:rPr>
          <w:rFonts w:ascii="Times New Roman" w:hAnsi="Times New Roman" w:eastAsia="宋体" w:cs="Times New Roman"/>
          <w:color w:val="000000" w:themeColor="text1"/>
          <w:sz w:val="28"/>
          <w:szCs w:val="28"/>
          <w:lang w:val="en-GB"/>
          <w14:textFill>
            <w14:solidFill>
              <w14:schemeClr w14:val="tx1"/>
            </w14:solidFill>
          </w14:textFill>
        </w:rPr>
        <w:t>）矿山未建立安全风险分级管控制度。应当建立安全风险分级管控制度，按照安全风险分级采取相应的管控措施。</w:t>
      </w:r>
    </w:p>
    <w:p w14:paraId="7D4C3177">
      <w:pPr>
        <w:pStyle w:val="38"/>
        <w:adjustRightInd w:val="0"/>
        <w:snapToGrid w:val="0"/>
        <w:spacing w:after="0" w:line="360" w:lineRule="auto"/>
        <w:ind w:left="0" w:leftChars="0" w:firstLine="560"/>
        <w:rPr>
          <w:sz w:val="28"/>
          <w:szCs w:val="36"/>
          <w:lang w:val="en-GB"/>
        </w:rPr>
      </w:pPr>
      <w:r>
        <w:rPr>
          <w:rFonts w:hint="eastAsia"/>
          <w:sz w:val="28"/>
          <w:szCs w:val="36"/>
          <w:lang w:val="en-GB"/>
        </w:rPr>
        <w:t>（</w:t>
      </w:r>
      <w:r>
        <w:rPr>
          <w:rFonts w:hint="eastAsia"/>
          <w:sz w:val="28"/>
          <w:szCs w:val="36"/>
        </w:rPr>
        <w:t>2</w:t>
      </w:r>
      <w:r>
        <w:rPr>
          <w:rFonts w:hint="eastAsia"/>
          <w:sz w:val="28"/>
          <w:szCs w:val="36"/>
          <w:lang w:val="en-US" w:eastAsia="zh-CN"/>
        </w:rPr>
        <w:t>3</w:t>
      </w:r>
      <w:r>
        <w:rPr>
          <w:rFonts w:hint="eastAsia"/>
          <w:sz w:val="28"/>
          <w:szCs w:val="36"/>
          <w:lang w:val="en-GB"/>
        </w:rPr>
        <w:t>）</w:t>
      </w:r>
      <w:r>
        <w:rPr>
          <w:sz w:val="28"/>
          <w:szCs w:val="36"/>
          <w:lang w:val="en-GB"/>
        </w:rPr>
        <w:t>初步设计（代可研）代可研说明书中未对排土场的汇水面积进行详细计算，下一步设计过程中，应根据排土场的汇水面积对排土场外围修筑截水沟的相关参数进行详细设计，并进行详细校验。</w:t>
      </w:r>
    </w:p>
    <w:p w14:paraId="0C787BF8">
      <w:pPr>
        <w:pStyle w:val="38"/>
        <w:adjustRightInd w:val="0"/>
        <w:snapToGrid w:val="0"/>
        <w:spacing w:after="0" w:line="360" w:lineRule="auto"/>
        <w:ind w:left="0" w:leftChars="0" w:firstLine="560"/>
        <w:rPr>
          <w:lang w:val="en-GB"/>
        </w:rPr>
      </w:pPr>
      <w:r>
        <w:rPr>
          <w:rFonts w:hint="eastAsia"/>
          <w:sz w:val="28"/>
          <w:szCs w:val="36"/>
          <w:lang w:val="en-GB"/>
        </w:rPr>
        <w:t>（</w:t>
      </w:r>
      <w:r>
        <w:rPr>
          <w:rFonts w:hint="eastAsia"/>
          <w:sz w:val="28"/>
          <w:szCs w:val="36"/>
        </w:rPr>
        <w:t>2</w:t>
      </w:r>
      <w:r>
        <w:rPr>
          <w:rFonts w:hint="eastAsia"/>
          <w:sz w:val="28"/>
          <w:szCs w:val="36"/>
          <w:lang w:val="en-US" w:eastAsia="zh-CN"/>
        </w:rPr>
        <w:t>4</w:t>
      </w:r>
      <w:r>
        <w:rPr>
          <w:rFonts w:hint="eastAsia"/>
          <w:sz w:val="28"/>
          <w:szCs w:val="36"/>
          <w:lang w:val="en-GB"/>
        </w:rPr>
        <w:t>）</w:t>
      </w:r>
      <w:r>
        <w:rPr>
          <w:sz w:val="28"/>
          <w:szCs w:val="36"/>
          <w:lang w:val="en-GB"/>
        </w:rPr>
        <w:t>安全设施设计中应明确拦渣坝筑坝材料，明确拦渣坝内部的排洪安全对策措施。</w:t>
      </w:r>
    </w:p>
    <w:p w14:paraId="4E6F2368">
      <w:pPr>
        <w:pStyle w:val="3"/>
        <w:adjustRightInd w:val="0"/>
        <w:snapToGrid w:val="0"/>
        <w:rPr>
          <w:rFonts w:ascii="Times New Roman" w:hAnsi="Times New Roman" w:cs="Times New Roman"/>
          <w:b/>
          <w:bCs w:val="0"/>
          <w:color w:val="000000" w:themeColor="text1"/>
          <w:lang w:val="en-GB"/>
          <w14:textFill>
            <w14:solidFill>
              <w14:schemeClr w14:val="tx1"/>
            </w14:solidFill>
          </w14:textFill>
        </w:rPr>
      </w:pPr>
      <w:bookmarkStart w:id="93" w:name="_Toc7093"/>
      <w:r>
        <w:rPr>
          <w:rFonts w:ascii="Times New Roman" w:hAnsi="Times New Roman" w:cs="Times New Roman"/>
          <w:b/>
          <w:bCs w:val="0"/>
          <w:color w:val="000000" w:themeColor="text1"/>
          <w:lang w:val="en-GB"/>
          <w14:textFill>
            <w14:solidFill>
              <w14:schemeClr w14:val="tx1"/>
            </w14:solidFill>
          </w14:textFill>
        </w:rPr>
        <w:t>5.4 评价结果综述</w:t>
      </w:r>
      <w:bookmarkEnd w:id="92"/>
      <w:bookmarkEnd w:id="93"/>
    </w:p>
    <w:p w14:paraId="2D8990FE">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辽宁诺诚安全科技有限公司本着合法性、科学性、公正性、针对性的评价原则及对工作高度负责的态度，根据《安全生产许可证条例》《非煤矿矿山企业安全生产许可证实施办法》和《建设项目安全设施“三同时”监督管理办法》的规定，受企业委托，依据《安全生产法》《矿山安全法》《金属非金属矿山安全规程》等国家和地方</w:t>
      </w:r>
      <w:r>
        <w:rPr>
          <w:rFonts w:hint="eastAsia" w:ascii="Times New Roman" w:hAnsi="Times New Roman" w:eastAsia="宋体" w:cs="Times New Roman"/>
          <w:color w:val="000000" w:themeColor="text1"/>
          <w:sz w:val="28"/>
          <w:szCs w:val="28"/>
          <w:lang w:val="en-GB"/>
          <w14:textFill>
            <w14:solidFill>
              <w14:schemeClr w14:val="tx1"/>
            </w14:solidFill>
          </w14:textFill>
        </w:rPr>
        <w:t>法律法规</w:t>
      </w:r>
      <w:r>
        <w:rPr>
          <w:rFonts w:ascii="Times New Roman" w:hAnsi="Times New Roman" w:eastAsia="宋体" w:cs="Times New Roman"/>
          <w:color w:val="000000" w:themeColor="text1"/>
          <w:sz w:val="28"/>
          <w:szCs w:val="28"/>
          <w:lang w:val="en-GB"/>
          <w14:textFill>
            <w14:solidFill>
              <w14:schemeClr w14:val="tx1"/>
            </w14:solidFill>
          </w14:textFill>
        </w:rPr>
        <w:t>、标准、规范及政策文件的要求，对该项目初步设计报告中设计方案所涉及的厂址选择及总平面布置、开拓运输系统、采剥工艺、矿山防尘、矿山电气、防排水及防灭火、供水系统、</w:t>
      </w:r>
      <w:r>
        <w:rPr>
          <w:rFonts w:hint="eastAsia" w:ascii="Times New Roman" w:hAnsi="Times New Roman" w:eastAsia="宋体" w:cs="Times New Roman"/>
          <w:color w:val="000000" w:themeColor="text1"/>
          <w:sz w:val="28"/>
          <w:szCs w:val="28"/>
          <w14:textFill>
            <w14:solidFill>
              <w14:schemeClr w14:val="tx1"/>
            </w14:solidFill>
          </w14:textFill>
        </w:rPr>
        <w:t>排土场、</w:t>
      </w:r>
      <w:r>
        <w:rPr>
          <w:rFonts w:ascii="Times New Roman" w:hAnsi="Times New Roman" w:eastAsia="宋体" w:cs="Times New Roman"/>
          <w:color w:val="000000" w:themeColor="text1"/>
          <w:sz w:val="28"/>
          <w:szCs w:val="28"/>
          <w:lang w:val="en-GB"/>
          <w14:textFill>
            <w14:solidFill>
              <w14:schemeClr w14:val="tx1"/>
            </w14:solidFill>
          </w14:textFill>
        </w:rPr>
        <w:t>安全管理等进行了安全预评价。</w:t>
      </w:r>
    </w:p>
    <w:p w14:paraId="69DC7A13">
      <w:pPr>
        <w:adjustRightInd w:val="0"/>
        <w:snapToGrid w:val="0"/>
        <w:spacing w:line="360" w:lineRule="auto"/>
        <w:ind w:firstLine="560" w:firstLineChars="200"/>
        <w:rPr>
          <w:rFonts w:ascii="Times New Roman" w:hAnsi="Times New Roman" w:eastAsia="宋体" w:cs="Times New Roman"/>
          <w:color w:val="000000" w:themeColor="text1"/>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依据各单元主要危险有害因素辨识、定性定量分析结果及安全评价结论：初步设计方案所涉及的厂址选择及总平面布置单元、矿山开拓运输单元、采剥单元、</w:t>
      </w:r>
      <w:r>
        <w:rPr>
          <w:rFonts w:ascii="Times New Roman" w:hAnsi="Times New Roman" w:eastAsia="宋体" w:cs="Times New Roman"/>
          <w:color w:val="000000" w:themeColor="text1"/>
          <w:sz w:val="28"/>
          <w:szCs w:val="28"/>
          <w14:textFill>
            <w14:solidFill>
              <w14:schemeClr w14:val="tx1"/>
            </w14:solidFill>
          </w14:textFill>
        </w:rPr>
        <w:t>供水系统</w:t>
      </w:r>
      <w:r>
        <w:rPr>
          <w:rFonts w:ascii="Times New Roman" w:hAnsi="Times New Roman" w:eastAsia="宋体" w:cs="Times New Roman"/>
          <w:color w:val="000000" w:themeColor="text1"/>
          <w:sz w:val="28"/>
          <w:szCs w:val="28"/>
          <w:lang w:val="en-GB"/>
          <w14:textFill>
            <w14:solidFill>
              <w14:schemeClr w14:val="tx1"/>
            </w14:solidFill>
          </w14:textFill>
        </w:rPr>
        <w:t>单元、</w:t>
      </w:r>
      <w:r>
        <w:rPr>
          <w:rFonts w:ascii="Times New Roman" w:hAnsi="Times New Roman" w:eastAsia="宋体" w:cs="Times New Roman"/>
          <w:color w:val="000000" w:themeColor="text1"/>
          <w:sz w:val="28"/>
          <w:szCs w:val="28"/>
          <w14:textFill>
            <w14:solidFill>
              <w14:schemeClr w14:val="tx1"/>
            </w14:solidFill>
          </w14:textFill>
        </w:rPr>
        <w:t>防尘单元、</w:t>
      </w:r>
      <w:r>
        <w:rPr>
          <w:rFonts w:ascii="Times New Roman" w:hAnsi="Times New Roman" w:eastAsia="宋体" w:cs="Times New Roman"/>
          <w:color w:val="000000" w:themeColor="text1"/>
          <w:sz w:val="28"/>
          <w:szCs w:val="28"/>
          <w:lang w:val="en-GB"/>
          <w14:textFill>
            <w14:solidFill>
              <w14:schemeClr w14:val="tx1"/>
            </w14:solidFill>
          </w14:textFill>
        </w:rPr>
        <w:t>矿山电气单元、</w:t>
      </w:r>
      <w:r>
        <w:rPr>
          <w:rFonts w:ascii="Times New Roman" w:hAnsi="Times New Roman" w:eastAsia="宋体" w:cs="Times New Roman"/>
          <w:color w:val="000000" w:themeColor="text1"/>
          <w:sz w:val="28"/>
          <w:szCs w:val="28"/>
          <w14:textFill>
            <w14:solidFill>
              <w14:schemeClr w14:val="tx1"/>
            </w14:solidFill>
          </w14:textFill>
        </w:rPr>
        <w:t>排土场单元</w:t>
      </w:r>
      <w:r>
        <w:rPr>
          <w:rFonts w:hint="eastAsia" w:ascii="Times New Roman" w:hAnsi="Times New Roman" w:eastAsia="宋体" w:cs="Times New Roman"/>
          <w:color w:val="000000" w:themeColor="text1"/>
          <w:sz w:val="28"/>
          <w:szCs w:val="28"/>
          <w14:textFill>
            <w14:solidFill>
              <w14:schemeClr w14:val="tx1"/>
            </w14:solidFill>
          </w14:textFill>
        </w:rPr>
        <w:t>、</w:t>
      </w:r>
      <w:r>
        <w:rPr>
          <w:rFonts w:ascii="Times New Roman" w:hAnsi="Times New Roman" w:eastAsia="宋体" w:cs="Times New Roman"/>
          <w:color w:val="000000" w:themeColor="text1"/>
          <w:sz w:val="28"/>
          <w:szCs w:val="28"/>
          <w:lang w:val="en-GB"/>
          <w14:textFill>
            <w14:solidFill>
              <w14:schemeClr w14:val="tx1"/>
            </w14:solidFill>
          </w14:textFill>
        </w:rPr>
        <w:t>防排水与防灭火单元符合国家有关</w:t>
      </w:r>
      <w:r>
        <w:rPr>
          <w:rFonts w:hint="eastAsia" w:ascii="Times New Roman" w:hAnsi="Times New Roman" w:eastAsia="宋体" w:cs="Times New Roman"/>
          <w:color w:val="000000" w:themeColor="text1"/>
          <w:sz w:val="28"/>
          <w:szCs w:val="28"/>
          <w:lang w:val="en-GB"/>
          <w14:textFill>
            <w14:solidFill>
              <w14:schemeClr w14:val="tx1"/>
            </w14:solidFill>
          </w14:textFill>
        </w:rPr>
        <w:t>法律法规</w:t>
      </w:r>
      <w:r>
        <w:rPr>
          <w:rFonts w:ascii="Times New Roman" w:hAnsi="Times New Roman" w:eastAsia="宋体" w:cs="Times New Roman"/>
          <w:color w:val="000000" w:themeColor="text1"/>
          <w:sz w:val="28"/>
          <w:szCs w:val="28"/>
          <w:lang w:val="en-GB"/>
          <w14:textFill>
            <w14:solidFill>
              <w14:schemeClr w14:val="tx1"/>
            </w14:solidFill>
          </w14:textFill>
        </w:rPr>
        <w:t>、规范及技术标准要求。</w:t>
      </w:r>
    </w:p>
    <w:p w14:paraId="3FB28FA9">
      <w:pPr>
        <w:pStyle w:val="3"/>
        <w:adjustRightInd w:val="0"/>
        <w:snapToGrid w:val="0"/>
        <w:rPr>
          <w:rFonts w:ascii="Times New Roman" w:hAnsi="Times New Roman" w:cs="Times New Roman"/>
          <w:b/>
          <w:bCs w:val="0"/>
          <w:color w:val="000000" w:themeColor="text1"/>
          <w:lang w:val="en-GB"/>
          <w14:textFill>
            <w14:solidFill>
              <w14:schemeClr w14:val="tx1"/>
            </w14:solidFill>
          </w14:textFill>
        </w:rPr>
      </w:pPr>
      <w:bookmarkStart w:id="94" w:name="_Toc26167"/>
      <w:bookmarkStart w:id="95" w:name="_Toc2823"/>
      <w:r>
        <w:rPr>
          <w:rFonts w:ascii="Times New Roman" w:hAnsi="Times New Roman" w:cs="Times New Roman"/>
          <w:b/>
          <w:bCs w:val="0"/>
          <w:color w:val="000000" w:themeColor="text1"/>
          <w:lang w:val="en-GB"/>
          <w14:textFill>
            <w14:solidFill>
              <w14:schemeClr w14:val="tx1"/>
            </w14:solidFill>
          </w14:textFill>
        </w:rPr>
        <w:t>5.5 安全预评价结论</w:t>
      </w:r>
      <w:bookmarkEnd w:id="94"/>
      <w:bookmarkEnd w:id="95"/>
    </w:p>
    <w:p w14:paraId="0FAC3D33">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评价组根据对评价项目的现场调查和相关资料的分析，完成了项目主要危险、有害因素的辨识和分析，对项目进行了较为科学合理的单元划分，并按照所选择的评价方法，对项目中存在的危险、有害因素进行了全面的定性评价，提出了合理可行的安全对策措施。</w:t>
      </w:r>
    </w:p>
    <w:p w14:paraId="0580FE5D">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按照评价要求和各单元的分析评价结论，对盐津县桃子坝采石场90万t／a露天采矿工程</w:t>
      </w:r>
      <w:r>
        <w:rPr>
          <w:rFonts w:hint="eastAsia" w:ascii="Times New Roman" w:hAnsi="Times New Roman" w:eastAsia="宋体" w:cs="Times New Roman"/>
          <w:color w:val="000000" w:themeColor="text1"/>
          <w:sz w:val="28"/>
          <w:szCs w:val="28"/>
          <w14:textFill>
            <w14:solidFill>
              <w14:schemeClr w14:val="tx1"/>
            </w14:solidFill>
          </w14:textFill>
        </w:rPr>
        <w:t>初步设计</w:t>
      </w:r>
      <w:r>
        <w:rPr>
          <w:rFonts w:hint="eastAsia" w:ascii="Times New Roman" w:hAnsi="Times New Roman" w:eastAsia="宋体" w:cs="Times New Roman"/>
          <w:color w:val="000000" w:themeColor="text1"/>
          <w:sz w:val="28"/>
          <w:szCs w:val="28"/>
          <w:lang w:val="en-GB"/>
          <w14:textFill>
            <w14:solidFill>
              <w14:schemeClr w14:val="tx1"/>
            </w14:solidFill>
          </w14:textFill>
        </w:rPr>
        <w:t>（代可研）</w:t>
      </w:r>
      <w:r>
        <w:rPr>
          <w:rFonts w:ascii="Times New Roman" w:hAnsi="Times New Roman" w:eastAsia="宋体" w:cs="Times New Roman"/>
          <w:color w:val="000000" w:themeColor="text1"/>
          <w:sz w:val="28"/>
          <w:szCs w:val="28"/>
          <w:lang w:val="en-GB"/>
          <w14:textFill>
            <w14:solidFill>
              <w14:schemeClr w14:val="tx1"/>
            </w14:solidFill>
          </w14:textFill>
        </w:rPr>
        <w:t>项目形成以下预评价结论：</w:t>
      </w:r>
    </w:p>
    <w:p w14:paraId="4AF40A47">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（1）盐津县桃子坝采石场90万t／a露天采矿工程初步设计（代可研）建设项目证照齐全、有效，建设项目建设程序合法。</w:t>
      </w:r>
    </w:p>
    <w:p w14:paraId="7738EB73">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（2）盐津县桃子坝采石场90万t／a露天采矿工程初步设计（代可研）建设项目的选址合理，符合有关</w:t>
      </w:r>
      <w:r>
        <w:rPr>
          <w:rFonts w:hint="eastAsia" w:ascii="Times New Roman" w:hAnsi="Times New Roman" w:eastAsia="宋体" w:cs="Times New Roman"/>
          <w:color w:val="000000" w:themeColor="text1"/>
          <w:sz w:val="28"/>
          <w:szCs w:val="28"/>
          <w:lang w:val="en-GB"/>
          <w14:textFill>
            <w14:solidFill>
              <w14:schemeClr w14:val="tx1"/>
            </w14:solidFill>
          </w14:textFill>
        </w:rPr>
        <w:t>法律法规</w:t>
      </w:r>
      <w:r>
        <w:rPr>
          <w:rFonts w:ascii="Times New Roman" w:hAnsi="Times New Roman" w:eastAsia="宋体" w:cs="Times New Roman"/>
          <w:color w:val="000000" w:themeColor="text1"/>
          <w:sz w:val="28"/>
          <w:szCs w:val="28"/>
          <w:lang w:val="en-GB"/>
          <w14:textFill>
            <w14:solidFill>
              <w14:schemeClr w14:val="tx1"/>
            </w14:solidFill>
          </w14:textFill>
        </w:rPr>
        <w:t>、标准和规程的规定。</w:t>
      </w:r>
    </w:p>
    <w:p w14:paraId="4FD15777">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（3）《盐津县桃子坝采石场90万t／a露天采矿工程初步设计（代可研）》方案中的工艺设计总体上符合《金属非金属矿山安全规程》（GB16423-2020）等法规的有关规定，露天开采各工艺参数符合相关规范要求。</w:t>
      </w:r>
    </w:p>
    <w:p w14:paraId="10325C4E">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（4）项目中虽然存在坍塌、滑坡、滚石、泥石流、</w:t>
      </w:r>
      <w:r>
        <w:rPr>
          <w:rFonts w:ascii="Times New Roman" w:hAnsi="Times New Roman" w:eastAsia="宋体" w:cs="Times New Roman"/>
          <w:color w:val="000000" w:themeColor="text1"/>
          <w:sz w:val="28"/>
          <w:szCs w:val="28"/>
          <w14:textFill>
            <w14:solidFill>
              <w14:schemeClr w14:val="tx1"/>
            </w14:solidFill>
          </w14:textFill>
        </w:rPr>
        <w:t>爆破伤害、</w:t>
      </w:r>
      <w:r>
        <w:rPr>
          <w:rFonts w:ascii="Times New Roman" w:hAnsi="Times New Roman" w:eastAsia="宋体" w:cs="Times New Roman"/>
          <w:color w:val="000000" w:themeColor="text1"/>
          <w:sz w:val="28"/>
          <w:szCs w:val="28"/>
          <w:lang w:val="en-GB"/>
          <w14:textFill>
            <w14:solidFill>
              <w14:schemeClr w14:val="tx1"/>
            </w14:solidFill>
          </w14:textFill>
        </w:rPr>
        <w:t>高处坠落、物体打击、机械伤害、车辆伤害、触电、火灾、</w:t>
      </w:r>
      <w:r>
        <w:rPr>
          <w:rFonts w:ascii="Times New Roman" w:hAnsi="Times New Roman" w:eastAsia="宋体" w:cs="Times New Roman"/>
          <w:color w:val="000000" w:themeColor="text1"/>
          <w:sz w:val="28"/>
          <w:szCs w:val="28"/>
          <w14:textFill>
            <w14:solidFill>
              <w14:schemeClr w14:val="tx1"/>
            </w14:solidFill>
          </w14:textFill>
        </w:rPr>
        <w:t>淹溺、其他</w:t>
      </w:r>
      <w:r>
        <w:rPr>
          <w:rFonts w:ascii="Times New Roman" w:hAnsi="Times New Roman" w:eastAsia="宋体" w:cs="Times New Roman"/>
          <w:color w:val="000000" w:themeColor="text1"/>
          <w:sz w:val="28"/>
          <w:szCs w:val="28"/>
          <w:lang w:val="en-GB"/>
          <w14:textFill>
            <w14:solidFill>
              <w14:schemeClr w14:val="tx1"/>
            </w14:solidFill>
          </w14:textFill>
        </w:rPr>
        <w:t>伤害等潜在的危险和有害因素，但在项目建设施工和生产过程中，通过落实设计方案中的安全对策措施和本次安全预评价报告补充的安全对策措施，切实针对项目中危险、有害因素对设计和生产设施进一步优化和完善，认真落实国家相关安全生产的法规、标准、规程、规范，加强事故预防和安全管理工作，既可为满足该项目安全生产的要求奠定基础，该项目潜在的危险、有害因素能得到控制，在可接受的范围内。</w:t>
      </w:r>
    </w:p>
    <w:p w14:paraId="6447F3BA">
      <w:pPr>
        <w:adjustRightInd w:val="0"/>
        <w:snapToGrid w:val="0"/>
        <w:spacing w:line="360" w:lineRule="auto"/>
        <w:ind w:firstLine="562" w:firstLineChars="200"/>
        <w:rPr>
          <w:rFonts w:ascii="Times New Roman" w:hAnsi="Times New Roman" w:eastAsia="宋体" w:cs="Times New Roman"/>
          <w:b/>
          <w:color w:val="000000" w:themeColor="text1"/>
          <w:sz w:val="28"/>
          <w:szCs w:val="28"/>
          <w:lang w:val="en-GB"/>
          <w14:textFill>
            <w14:solidFill>
              <w14:schemeClr w14:val="tx1"/>
            </w14:solidFill>
          </w14:textFill>
        </w:rPr>
      </w:pPr>
      <w:r>
        <w:rPr>
          <w:rFonts w:ascii="Times New Roman" w:hAnsi="Times New Roman" w:eastAsia="宋体" w:cs="Times New Roman"/>
          <w:b/>
          <w:color w:val="000000" w:themeColor="text1"/>
          <w:sz w:val="28"/>
          <w:szCs w:val="28"/>
          <w:lang w:val="en-GB"/>
          <w14:textFill>
            <w14:solidFill>
              <w14:schemeClr w14:val="tx1"/>
            </w14:solidFill>
          </w14:textFill>
        </w:rPr>
        <w:t>经评价认为：盐津县桃子坝采石场90万t／a露天采矿工程</w:t>
      </w:r>
      <w:r>
        <w:rPr>
          <w:rFonts w:hint="eastAsia" w:ascii="Times New Roman" w:hAnsi="Times New Roman" w:eastAsia="宋体" w:cs="Times New Roman"/>
          <w:b/>
          <w:color w:val="000000" w:themeColor="text1"/>
          <w:sz w:val="28"/>
          <w:szCs w:val="28"/>
          <w14:textFill>
            <w14:solidFill>
              <w14:schemeClr w14:val="tx1"/>
            </w14:solidFill>
          </w14:textFill>
        </w:rPr>
        <w:t>初步设计（代可研）</w:t>
      </w:r>
      <w:r>
        <w:rPr>
          <w:rFonts w:ascii="Times New Roman" w:hAnsi="Times New Roman" w:eastAsia="宋体" w:cs="Times New Roman"/>
          <w:b/>
          <w:color w:val="000000" w:themeColor="text1"/>
          <w:sz w:val="28"/>
          <w:szCs w:val="28"/>
          <w:lang w:val="en-GB"/>
          <w14:textFill>
            <w14:solidFill>
              <w14:schemeClr w14:val="tx1"/>
            </w14:solidFill>
          </w14:textFill>
        </w:rPr>
        <w:t>建设</w:t>
      </w:r>
      <w:r>
        <w:rPr>
          <w:rFonts w:hint="eastAsia" w:ascii="Times New Roman" w:hAnsi="Times New Roman" w:eastAsia="宋体" w:cs="Times New Roman"/>
          <w:b/>
          <w:color w:val="000000" w:themeColor="text1"/>
          <w:sz w:val="28"/>
          <w:szCs w:val="28"/>
          <w14:textFill>
            <w14:solidFill>
              <w14:schemeClr w14:val="tx1"/>
            </w14:solidFill>
          </w14:textFill>
        </w:rPr>
        <w:t>项目</w:t>
      </w:r>
      <w:r>
        <w:rPr>
          <w:rFonts w:ascii="Times New Roman" w:hAnsi="Times New Roman" w:eastAsia="宋体" w:cs="Times New Roman"/>
          <w:b/>
          <w:color w:val="000000" w:themeColor="text1"/>
          <w:sz w:val="28"/>
          <w:szCs w:val="28"/>
          <w:lang w:val="en-GB"/>
          <w14:textFill>
            <w14:solidFill>
              <w14:schemeClr w14:val="tx1"/>
            </w14:solidFill>
          </w14:textFill>
        </w:rPr>
        <w:t>从安全生产角度符合国家安全有关法律法规、标准和规范的要求。</w:t>
      </w:r>
    </w:p>
    <w:p w14:paraId="117A2865">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在今后的设计、施工和生产过程中，建设单位应按有关法规和标准的要求，认真落实各项安全措施和预防手段，确保该项目的安全设施与主体工程同时设计、同时施工、同时投入生产和使用。根据本安全预评价报告中提出的安全对策措施，该项目应在下一步安全设施设计中进行完善与补充，以保证该项目建成投产后能安全运行。</w:t>
      </w:r>
    </w:p>
    <w:p w14:paraId="3FBE958E">
      <w:pPr>
        <w:widowControl/>
        <w:adjustRightInd w:val="0"/>
        <w:snapToGrid w:val="0"/>
        <w:spacing w:line="360" w:lineRule="auto"/>
        <w:jc w:val="left"/>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br w:type="page"/>
      </w:r>
    </w:p>
    <w:p w14:paraId="24003737">
      <w:pPr>
        <w:pStyle w:val="2"/>
        <w:adjustRightInd w:val="0"/>
        <w:snapToGrid w:val="0"/>
        <w:spacing w:beforeLines="0" w:afterLines="0"/>
        <w:rPr>
          <w:rFonts w:ascii="Times New Roman" w:hAnsi="Times New Roman" w:cs="Times New Roman"/>
          <w:b/>
          <w:bCs w:val="0"/>
          <w:color w:val="000000" w:themeColor="text1"/>
          <w:lang w:val="en-GB"/>
          <w14:textFill>
            <w14:solidFill>
              <w14:schemeClr w14:val="tx1"/>
            </w14:solidFill>
          </w14:textFill>
        </w:rPr>
      </w:pPr>
      <w:bookmarkStart w:id="96" w:name="_Toc14294"/>
      <w:bookmarkStart w:id="97" w:name="_Toc11488"/>
      <w:r>
        <w:rPr>
          <w:rFonts w:ascii="Times New Roman" w:hAnsi="Times New Roman" w:cs="Times New Roman"/>
          <w:b/>
          <w:bCs w:val="0"/>
          <w:color w:val="000000" w:themeColor="text1"/>
          <w:lang w:val="en-GB"/>
          <w14:textFill>
            <w14:solidFill>
              <w14:schemeClr w14:val="tx1"/>
            </w14:solidFill>
          </w14:textFill>
        </w:rPr>
        <w:t>6.附件及附图</w:t>
      </w:r>
      <w:bookmarkEnd w:id="96"/>
      <w:bookmarkEnd w:id="97"/>
    </w:p>
    <w:p w14:paraId="4DFF8F3E">
      <w:pPr>
        <w:pStyle w:val="3"/>
        <w:adjustRightInd w:val="0"/>
        <w:snapToGrid w:val="0"/>
        <w:rPr>
          <w:rFonts w:ascii="Times New Roman" w:hAnsi="Times New Roman" w:cs="Times New Roman"/>
          <w:b/>
          <w:bCs w:val="0"/>
          <w:color w:val="000000" w:themeColor="text1"/>
          <w:lang w:val="en-GB"/>
          <w14:textFill>
            <w14:solidFill>
              <w14:schemeClr w14:val="tx1"/>
            </w14:solidFill>
          </w14:textFill>
        </w:rPr>
      </w:pPr>
      <w:bookmarkStart w:id="98" w:name="_Toc537"/>
      <w:bookmarkStart w:id="99" w:name="_Toc7812"/>
      <w:r>
        <w:rPr>
          <w:rFonts w:ascii="Times New Roman" w:hAnsi="Times New Roman" w:cs="Times New Roman"/>
          <w:b/>
          <w:bCs w:val="0"/>
          <w:color w:val="000000" w:themeColor="text1"/>
          <w:lang w:val="en-GB"/>
          <w14:textFill>
            <w14:solidFill>
              <w14:schemeClr w14:val="tx1"/>
            </w14:solidFill>
          </w14:textFill>
        </w:rPr>
        <w:t>6.1 附件</w:t>
      </w:r>
      <w:bookmarkEnd w:id="98"/>
      <w:bookmarkEnd w:id="99"/>
    </w:p>
    <w:p w14:paraId="09805613">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bookmarkStart w:id="100" w:name="_Toc1582"/>
      <w:r>
        <w:rPr>
          <w:rFonts w:ascii="Times New Roman" w:hAnsi="Times New Roman" w:eastAsia="宋体" w:cs="Times New Roman"/>
          <w:color w:val="000000" w:themeColor="text1"/>
          <w:sz w:val="28"/>
          <w:szCs w:val="28"/>
          <w14:textFill>
            <w14:solidFill>
              <w14:schemeClr w14:val="tx1"/>
            </w14:solidFill>
          </w14:textFill>
        </w:rPr>
        <w:t>附件1：安全预评价委托书；</w:t>
      </w:r>
    </w:p>
    <w:p w14:paraId="36827B43">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附件2：</w:t>
      </w:r>
      <w:r>
        <w:rPr>
          <w:rFonts w:ascii="Times New Roman" w:hAnsi="Times New Roman" w:eastAsia="宋体" w:cs="Times New Roman"/>
          <w:color w:val="000000" w:themeColor="text1"/>
          <w:sz w:val="28"/>
          <w:szCs w:val="28"/>
          <w:lang w:val="en-GB"/>
          <w14:textFill>
            <w14:solidFill>
              <w14:schemeClr w14:val="tx1"/>
            </w14:solidFill>
          </w14:textFill>
        </w:rPr>
        <w:t>资料真实性承诺书；</w:t>
      </w:r>
    </w:p>
    <w:p w14:paraId="6162B8B5">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附件3：</w:t>
      </w:r>
      <w:r>
        <w:rPr>
          <w:rFonts w:ascii="Times New Roman" w:hAnsi="Times New Roman" w:eastAsia="宋体" w:cs="Times New Roman"/>
          <w:color w:val="000000" w:themeColor="text1"/>
          <w:sz w:val="28"/>
          <w:szCs w:val="28"/>
          <w:lang w:val="en-GB"/>
          <w14:textFill>
            <w14:solidFill>
              <w14:schemeClr w14:val="tx1"/>
            </w14:solidFill>
          </w14:textFill>
        </w:rPr>
        <w:t>营业执照；</w:t>
      </w:r>
    </w:p>
    <w:p w14:paraId="3647EF83">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附件4：</w:t>
      </w:r>
      <w:r>
        <w:rPr>
          <w:rFonts w:ascii="Times New Roman" w:hAnsi="Times New Roman" w:eastAsia="宋体" w:cs="Times New Roman"/>
          <w:color w:val="000000" w:themeColor="text1"/>
          <w:sz w:val="28"/>
          <w:szCs w:val="28"/>
          <w:lang w:val="en-GB"/>
          <w14:textFill>
            <w14:solidFill>
              <w14:schemeClr w14:val="tx1"/>
            </w14:solidFill>
          </w14:textFill>
        </w:rPr>
        <w:t>采矿许可证；</w:t>
      </w:r>
    </w:p>
    <w:p w14:paraId="6F7908BF">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附件5：</w:t>
      </w:r>
      <w:r>
        <w:rPr>
          <w:rFonts w:ascii="Times New Roman" w:hAnsi="Times New Roman" w:eastAsia="宋体" w:cs="Times New Roman"/>
          <w:color w:val="000000" w:themeColor="text1"/>
          <w:sz w:val="28"/>
          <w:szCs w:val="28"/>
          <w:lang w:val="en-GB"/>
          <w14:textFill>
            <w14:solidFill>
              <w14:schemeClr w14:val="tx1"/>
            </w14:solidFill>
          </w14:textFill>
        </w:rPr>
        <w:t>《盐津县桃子坝采石场90万t/a露天采矿工程初步设计</w:t>
      </w:r>
      <w:r>
        <w:rPr>
          <w:rFonts w:hint="eastAsia" w:ascii="Times New Roman" w:hAnsi="Times New Roman" w:eastAsia="宋体" w:cs="Times New Roman"/>
          <w:color w:val="000000" w:themeColor="text1"/>
          <w:sz w:val="28"/>
          <w:szCs w:val="28"/>
          <w:lang w:val="en-GB"/>
          <w14:textFill>
            <w14:solidFill>
              <w14:schemeClr w14:val="tx1"/>
            </w14:solidFill>
          </w14:textFill>
        </w:rPr>
        <w:t>（代可研）</w:t>
      </w:r>
      <w:r>
        <w:rPr>
          <w:rFonts w:ascii="Times New Roman" w:hAnsi="Times New Roman" w:eastAsia="宋体" w:cs="Times New Roman"/>
          <w:color w:val="000000" w:themeColor="text1"/>
          <w:sz w:val="28"/>
          <w:szCs w:val="28"/>
          <w:lang w:val="en-GB"/>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封面及编制单位资质；</w:t>
      </w:r>
    </w:p>
    <w:p w14:paraId="0BAF0F3E">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附件6：盐自然资复</w:t>
      </w:r>
      <w:r>
        <w:rPr>
          <w:rFonts w:hint="eastAsia" w:ascii="Times New Roman" w:hAnsi="Times New Roman" w:eastAsia="宋体" w:cs="Times New Roman"/>
          <w:color w:val="000000" w:themeColor="text1"/>
          <w:sz w:val="28"/>
          <w:szCs w:val="28"/>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2022</w:t>
      </w:r>
      <w:r>
        <w:rPr>
          <w:rFonts w:hint="eastAsia" w:ascii="Times New Roman" w:hAnsi="Times New Roman" w:eastAsia="宋体" w:cs="Times New Roman"/>
          <w:color w:val="000000" w:themeColor="text1"/>
          <w:sz w:val="28"/>
          <w:szCs w:val="28"/>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14号《关于〈云南省盐津县桃子坝采石场建筑石料用灰岩矿详查地质报告〉矿产资源储量评审备案的复函》</w:t>
      </w:r>
      <w:r>
        <w:rPr>
          <w:rFonts w:ascii="Times New Roman" w:hAnsi="Times New Roman" w:eastAsia="宋体" w:cs="Times New Roman"/>
          <w:color w:val="000000" w:themeColor="text1"/>
          <w:sz w:val="28"/>
          <w:szCs w:val="28"/>
          <w:lang w:val="en-GB"/>
          <w14:textFill>
            <w14:solidFill>
              <w14:schemeClr w14:val="tx1"/>
            </w14:solidFill>
          </w14:textFill>
        </w:rPr>
        <w:t>；</w:t>
      </w:r>
    </w:p>
    <w:p w14:paraId="2677EC0E">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附件7：云方圆中正矿评储字</w:t>
      </w:r>
      <w:r>
        <w:rPr>
          <w:rFonts w:hint="eastAsia" w:ascii="Times New Roman" w:hAnsi="Times New Roman" w:eastAsia="宋体" w:cs="Times New Roman"/>
          <w:color w:val="000000" w:themeColor="text1"/>
          <w:sz w:val="28"/>
          <w:szCs w:val="28"/>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2022</w:t>
      </w:r>
      <w:r>
        <w:rPr>
          <w:rFonts w:hint="eastAsia" w:ascii="Times New Roman" w:hAnsi="Times New Roman" w:eastAsia="宋体" w:cs="Times New Roman"/>
          <w:color w:val="000000" w:themeColor="text1"/>
          <w:sz w:val="28"/>
          <w:szCs w:val="28"/>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02号《云南省盐津县桃子坝采石场建筑石料用灰岩矿详查地质报告》评审意见书</w:t>
      </w:r>
      <w:r>
        <w:rPr>
          <w:rFonts w:ascii="Times New Roman" w:hAnsi="Times New Roman" w:eastAsia="宋体" w:cs="Times New Roman"/>
          <w:color w:val="000000" w:themeColor="text1"/>
          <w:sz w:val="28"/>
          <w:szCs w:val="28"/>
          <w:lang w:val="en-GB"/>
          <w14:textFill>
            <w14:solidFill>
              <w14:schemeClr w14:val="tx1"/>
            </w14:solidFill>
          </w14:textFill>
        </w:rPr>
        <w:t>；</w:t>
      </w:r>
    </w:p>
    <w:p w14:paraId="282AE40D">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附件8：《云南省盐津县桃子坝采石场建筑石料用灰岩矿详查地质报告》扉页复印件</w:t>
      </w:r>
      <w:r>
        <w:rPr>
          <w:rFonts w:ascii="Times New Roman" w:hAnsi="Times New Roman" w:eastAsia="宋体" w:cs="Times New Roman"/>
          <w:color w:val="000000" w:themeColor="text1"/>
          <w:sz w:val="28"/>
          <w:szCs w:val="28"/>
          <w:lang w:val="en-GB"/>
          <w14:textFill>
            <w14:solidFill>
              <w14:schemeClr w14:val="tx1"/>
            </w14:solidFill>
          </w14:textFill>
        </w:rPr>
        <w:t>；</w:t>
      </w:r>
    </w:p>
    <w:p w14:paraId="150BE61F">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附件9：</w:t>
      </w:r>
      <w:r>
        <w:rPr>
          <w:rFonts w:hint="eastAsia" w:ascii="Times New Roman" w:hAnsi="Times New Roman" w:eastAsia="宋体" w:cs="Times New Roman"/>
          <w:color w:val="000000" w:themeColor="text1"/>
          <w:sz w:val="28"/>
          <w:szCs w:val="28"/>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中国铁路成都局集团有限公司宜宾工电段关于盐津开源矿业有限公司盐津县桃子坝采石场爆破开采事宜的复函》（宜工电安函</w:t>
      </w:r>
      <w:r>
        <w:rPr>
          <w:rFonts w:hint="eastAsia" w:ascii="Times New Roman" w:hAnsi="Times New Roman" w:eastAsia="宋体" w:cs="Times New Roman"/>
          <w:color w:val="000000" w:themeColor="text1"/>
          <w:sz w:val="28"/>
          <w:szCs w:val="28"/>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2023</w:t>
      </w:r>
      <w:r>
        <w:rPr>
          <w:rFonts w:hint="eastAsia" w:ascii="Times New Roman" w:hAnsi="Times New Roman" w:eastAsia="宋体" w:cs="Times New Roman"/>
          <w:color w:val="000000" w:themeColor="text1"/>
          <w:sz w:val="28"/>
          <w:szCs w:val="28"/>
          <w14:textFill>
            <w14:solidFill>
              <w14:schemeClr w14:val="tx1"/>
            </w14:solidFill>
          </w14:textFill>
        </w:rPr>
        <w:t>〕</w:t>
      </w:r>
      <w:r>
        <w:rPr>
          <w:rFonts w:ascii="Times New Roman" w:hAnsi="Times New Roman" w:eastAsia="宋体" w:cs="Times New Roman"/>
          <w:color w:val="000000" w:themeColor="text1"/>
          <w:sz w:val="28"/>
          <w:szCs w:val="28"/>
          <w14:textFill>
            <w14:solidFill>
              <w14:schemeClr w14:val="tx1"/>
            </w14:solidFill>
          </w14:textFill>
        </w:rPr>
        <w:t>115号）</w:t>
      </w:r>
      <w:r>
        <w:rPr>
          <w:rFonts w:ascii="Times New Roman" w:hAnsi="Times New Roman" w:eastAsia="宋体" w:cs="Times New Roman"/>
          <w:color w:val="000000" w:themeColor="text1"/>
          <w:sz w:val="28"/>
          <w:szCs w:val="28"/>
          <w:lang w:val="en-GB"/>
          <w14:textFill>
            <w14:solidFill>
              <w14:schemeClr w14:val="tx1"/>
            </w14:solidFill>
          </w14:textFill>
        </w:rPr>
        <w:t>；</w:t>
      </w:r>
    </w:p>
    <w:p w14:paraId="5022F90E">
      <w:pPr>
        <w:adjustRightInd w:val="0"/>
        <w:snapToGrid w:val="0"/>
        <w:spacing w:line="360" w:lineRule="auto"/>
        <w:ind w:firstLine="560" w:firstLineChars="200"/>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宋体" w:cs="Times New Roman"/>
          <w:color w:val="000000" w:themeColor="text1"/>
          <w:sz w:val="28"/>
          <w:szCs w:val="28"/>
          <w14:textFill>
            <w14:solidFill>
              <w14:schemeClr w14:val="tx1"/>
            </w14:solidFill>
          </w14:textFill>
        </w:rPr>
        <w:t>附件10：盐津县盐井镇人民政府《关于盐津县桃子坝采石场（新立）采矿权附近道路的情况说明》（盐井政通[2023]23号）</w:t>
      </w:r>
      <w:r>
        <w:rPr>
          <w:rFonts w:hint="eastAsia" w:ascii="Times New Roman" w:hAnsi="Times New Roman" w:eastAsia="宋体" w:cs="Times New Roman"/>
          <w:color w:val="000000" w:themeColor="text1"/>
          <w:sz w:val="28"/>
          <w:szCs w:val="28"/>
          <w14:textFill>
            <w14:solidFill>
              <w14:schemeClr w14:val="tx1"/>
            </w14:solidFill>
          </w14:textFill>
        </w:rPr>
        <w:t>；</w:t>
      </w:r>
    </w:p>
    <w:p w14:paraId="65569F75">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附件11：</w:t>
      </w:r>
      <w:r>
        <w:rPr>
          <w:rFonts w:hint="eastAsia" w:ascii="Times New Roman" w:hAnsi="Times New Roman" w:eastAsia="宋体" w:cs="Times New Roman"/>
          <w:color w:val="000000" w:themeColor="text1"/>
          <w:sz w:val="28"/>
          <w:szCs w:val="28"/>
          <w:lang w:val="en-GB"/>
          <w14:textFill>
            <w14:solidFill>
              <w14:schemeClr w14:val="tx1"/>
            </w14:solidFill>
          </w14:textFill>
        </w:rPr>
        <w:t>房屋租赁合同</w:t>
      </w:r>
      <w:r>
        <w:rPr>
          <w:rFonts w:ascii="Times New Roman" w:hAnsi="Times New Roman" w:eastAsia="宋体" w:cs="Times New Roman"/>
          <w:color w:val="000000" w:themeColor="text1"/>
          <w:sz w:val="28"/>
          <w:szCs w:val="28"/>
          <w:lang w:val="en-GB"/>
          <w14:textFill>
            <w14:solidFill>
              <w14:schemeClr w14:val="tx1"/>
            </w14:solidFill>
          </w14:textFill>
        </w:rPr>
        <w:t>；</w:t>
      </w:r>
    </w:p>
    <w:p w14:paraId="769C892C">
      <w:pPr>
        <w:adjustRightInd w:val="0"/>
        <w:snapToGrid w:val="0"/>
        <w:spacing w:line="360" w:lineRule="auto"/>
        <w:ind w:firstLine="560" w:firstLineChars="200"/>
        <w:rPr>
          <w:rFonts w:ascii="Times New Roman" w:hAnsi="Times New Roman" w:eastAsia="宋体" w:cs="Times New Roman"/>
          <w:color w:val="000000" w:themeColor="text1"/>
          <w:sz w:val="28"/>
          <w:szCs w:val="28"/>
          <w:lang w:val="en-GB"/>
          <w14:textFill>
            <w14:solidFill>
              <w14:schemeClr w14:val="tx1"/>
            </w14:solidFill>
          </w14:textFill>
        </w:rPr>
      </w:pPr>
      <w:r>
        <w:rPr>
          <w:rFonts w:ascii="Times New Roman" w:hAnsi="Times New Roman" w:eastAsia="宋体" w:cs="Times New Roman"/>
          <w:color w:val="000000" w:themeColor="text1"/>
          <w:sz w:val="28"/>
          <w:szCs w:val="28"/>
          <w:lang w:val="en-GB"/>
          <w14:textFill>
            <w14:solidFill>
              <w14:schemeClr w14:val="tx1"/>
            </w14:solidFill>
          </w14:textFill>
        </w:rPr>
        <w:t>附件12：电力设施搬迁批复。</w:t>
      </w:r>
    </w:p>
    <w:p w14:paraId="5F92538F">
      <w:pPr>
        <w:rPr>
          <w:rFonts w:ascii="Times New Roman" w:hAnsi="Times New Roman" w:cs="Times New Roman"/>
          <w:b/>
          <w:color w:val="000000" w:themeColor="text1"/>
          <w:lang w:val="en-GB"/>
          <w14:textFill>
            <w14:solidFill>
              <w14:schemeClr w14:val="tx1"/>
            </w14:solidFill>
          </w14:textFill>
        </w:rPr>
      </w:pPr>
      <w:r>
        <w:rPr>
          <w:rFonts w:ascii="Times New Roman" w:hAnsi="Times New Roman" w:cs="Times New Roman"/>
          <w:b/>
          <w:color w:val="000000" w:themeColor="text1"/>
          <w:lang w:val="en-GB"/>
          <w14:textFill>
            <w14:solidFill>
              <w14:schemeClr w14:val="tx1"/>
            </w14:solidFill>
          </w14:textFill>
        </w:rPr>
        <w:br w:type="page"/>
      </w:r>
    </w:p>
    <w:p w14:paraId="245E9CE2">
      <w:pPr>
        <w:pStyle w:val="3"/>
        <w:adjustRightInd w:val="0"/>
        <w:snapToGrid w:val="0"/>
        <w:rPr>
          <w:rFonts w:ascii="Times New Roman" w:hAnsi="Times New Roman" w:cs="Times New Roman"/>
          <w:b/>
          <w:bCs w:val="0"/>
          <w:color w:val="000000" w:themeColor="text1"/>
          <w:lang w:val="en-GB"/>
          <w14:textFill>
            <w14:solidFill>
              <w14:schemeClr w14:val="tx1"/>
            </w14:solidFill>
          </w14:textFill>
        </w:rPr>
      </w:pPr>
      <w:bookmarkStart w:id="101" w:name="_Toc4141"/>
      <w:r>
        <w:rPr>
          <w:rFonts w:ascii="Times New Roman" w:hAnsi="Times New Roman" w:cs="Times New Roman"/>
          <w:b/>
          <w:bCs w:val="0"/>
          <w:color w:val="000000" w:themeColor="text1"/>
          <w:lang w:val="en-GB"/>
          <w14:textFill>
            <w14:solidFill>
              <w14:schemeClr w14:val="tx1"/>
            </w14:solidFill>
          </w14:textFill>
        </w:rPr>
        <w:t>6.2 附图</w:t>
      </w:r>
      <w:bookmarkEnd w:id="100"/>
      <w:bookmarkEnd w:id="101"/>
    </w:p>
    <w:p w14:paraId="46C9F5AC">
      <w:pPr>
        <w:adjustRightInd w:val="0"/>
        <w:snapToGrid w:val="0"/>
        <w:spacing w:line="360" w:lineRule="auto"/>
        <w:ind w:firstLine="560" w:firstLineChars="200"/>
        <w:rPr>
          <w:rFonts w:ascii="Times New Roman" w:hAnsi="Times New Roman" w:eastAsia="宋体" w:cs="Times New Roman"/>
          <w:sz w:val="28"/>
          <w:szCs w:val="21"/>
        </w:rPr>
      </w:pPr>
      <w:bookmarkStart w:id="102" w:name="_Hlk129351797"/>
      <w:r>
        <w:rPr>
          <w:rFonts w:ascii="Times New Roman" w:hAnsi="Times New Roman" w:eastAsia="宋体" w:cs="Times New Roman"/>
          <w:sz w:val="28"/>
          <w:szCs w:val="21"/>
        </w:rPr>
        <w:t>附图1：</w:t>
      </w:r>
      <w:r>
        <w:rPr>
          <w:rFonts w:hint="eastAsia" w:ascii="Times New Roman" w:hAnsi="Times New Roman" w:eastAsia="宋体" w:cs="Times New Roman"/>
          <w:sz w:val="28"/>
          <w:szCs w:val="21"/>
        </w:rPr>
        <w:t>地质地形图；</w:t>
      </w:r>
    </w:p>
    <w:p w14:paraId="211CB544">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附图</w:t>
      </w:r>
      <w:r>
        <w:rPr>
          <w:rFonts w:hint="eastAsia" w:ascii="Times New Roman" w:hAnsi="Times New Roman" w:eastAsia="宋体" w:cs="Times New Roman"/>
          <w:sz w:val="28"/>
          <w:szCs w:val="21"/>
          <w:lang w:val="en-US" w:eastAsia="zh-CN"/>
        </w:rPr>
        <w:t>2</w:t>
      </w:r>
      <w:r>
        <w:rPr>
          <w:rFonts w:ascii="Times New Roman" w:hAnsi="Times New Roman" w:eastAsia="宋体" w:cs="Times New Roman"/>
          <w:sz w:val="28"/>
          <w:szCs w:val="21"/>
        </w:rPr>
        <w:t>：矿区现状及周边关系图</w:t>
      </w:r>
      <w:r>
        <w:rPr>
          <w:rFonts w:hint="eastAsia" w:ascii="Times New Roman" w:hAnsi="Times New Roman" w:eastAsia="宋体" w:cs="Times New Roman"/>
          <w:sz w:val="28"/>
          <w:szCs w:val="21"/>
        </w:rPr>
        <w:t>；</w:t>
      </w:r>
    </w:p>
    <w:p w14:paraId="53F046FA">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附图</w:t>
      </w:r>
      <w:r>
        <w:rPr>
          <w:rFonts w:hint="eastAsia" w:ascii="Times New Roman" w:hAnsi="Times New Roman" w:eastAsia="宋体" w:cs="Times New Roman"/>
          <w:sz w:val="28"/>
          <w:szCs w:val="21"/>
          <w:lang w:val="en-US" w:eastAsia="zh-CN"/>
        </w:rPr>
        <w:t>3</w:t>
      </w:r>
      <w:r>
        <w:rPr>
          <w:rFonts w:ascii="Times New Roman" w:hAnsi="Times New Roman" w:eastAsia="宋体" w:cs="Times New Roman"/>
          <w:sz w:val="28"/>
          <w:szCs w:val="21"/>
        </w:rPr>
        <w:t>：矿区总平面布置图；</w:t>
      </w:r>
    </w:p>
    <w:p w14:paraId="15AE788F">
      <w:pPr>
        <w:adjustRightInd w:val="0"/>
        <w:snapToGrid w:val="0"/>
        <w:spacing w:line="360" w:lineRule="auto"/>
        <w:ind w:firstLine="560" w:firstLineChars="200"/>
        <w:rPr>
          <w:rFonts w:ascii="Times New Roman" w:hAnsi="Times New Roman" w:eastAsia="宋体" w:cs="Times New Roman"/>
          <w:sz w:val="28"/>
          <w:szCs w:val="21"/>
        </w:rPr>
      </w:pPr>
      <w:r>
        <w:rPr>
          <w:rFonts w:ascii="Times New Roman" w:hAnsi="Times New Roman" w:eastAsia="宋体" w:cs="Times New Roman"/>
          <w:sz w:val="28"/>
          <w:szCs w:val="21"/>
        </w:rPr>
        <w:t>附图</w:t>
      </w:r>
      <w:r>
        <w:rPr>
          <w:rFonts w:hint="eastAsia" w:ascii="Times New Roman" w:hAnsi="Times New Roman" w:eastAsia="宋体" w:cs="Times New Roman"/>
          <w:sz w:val="28"/>
          <w:szCs w:val="21"/>
          <w:lang w:val="en-US" w:eastAsia="zh-CN"/>
        </w:rPr>
        <w:t>4</w:t>
      </w:r>
      <w:r>
        <w:rPr>
          <w:rFonts w:ascii="Times New Roman" w:hAnsi="Times New Roman" w:eastAsia="宋体" w:cs="Times New Roman"/>
          <w:sz w:val="28"/>
          <w:szCs w:val="21"/>
        </w:rPr>
        <w:t>：开采终了境界平面图；</w:t>
      </w:r>
    </w:p>
    <w:p w14:paraId="540BA9D6">
      <w:pPr>
        <w:adjustRightInd w:val="0"/>
        <w:snapToGrid w:val="0"/>
        <w:spacing w:line="360" w:lineRule="auto"/>
        <w:ind w:firstLine="560" w:firstLineChars="200"/>
        <w:rPr>
          <w:rFonts w:hint="eastAsia" w:ascii="Times New Roman" w:hAnsi="Times New Roman" w:eastAsia="宋体" w:cs="Times New Roman"/>
          <w:sz w:val="28"/>
          <w:szCs w:val="21"/>
          <w:lang w:eastAsia="zh-CN"/>
        </w:rPr>
      </w:pPr>
      <w:r>
        <w:rPr>
          <w:rFonts w:ascii="Times New Roman" w:hAnsi="Times New Roman" w:eastAsia="宋体" w:cs="Times New Roman"/>
          <w:sz w:val="28"/>
          <w:szCs w:val="21"/>
        </w:rPr>
        <w:t>附图</w:t>
      </w:r>
      <w:r>
        <w:rPr>
          <w:rFonts w:hint="eastAsia" w:ascii="Times New Roman" w:hAnsi="Times New Roman" w:eastAsia="宋体" w:cs="Times New Roman"/>
          <w:sz w:val="28"/>
          <w:szCs w:val="21"/>
        </w:rPr>
        <w:t>5</w:t>
      </w:r>
      <w:r>
        <w:rPr>
          <w:rFonts w:ascii="Times New Roman" w:hAnsi="Times New Roman" w:eastAsia="宋体" w:cs="Times New Roman"/>
          <w:sz w:val="28"/>
          <w:szCs w:val="21"/>
        </w:rPr>
        <w:t>：</w:t>
      </w:r>
      <w:r>
        <w:rPr>
          <w:rFonts w:hint="eastAsia" w:ascii="Times New Roman" w:hAnsi="Times New Roman" w:eastAsia="宋体" w:cs="Times New Roman"/>
          <w:sz w:val="28"/>
          <w:szCs w:val="21"/>
        </w:rPr>
        <w:t>开采终了剖面图</w:t>
      </w:r>
      <w:r>
        <w:rPr>
          <w:rFonts w:hint="eastAsia" w:ascii="Times New Roman" w:hAnsi="Times New Roman" w:eastAsia="宋体" w:cs="Times New Roman"/>
          <w:sz w:val="28"/>
          <w:szCs w:val="21"/>
          <w:lang w:eastAsia="zh-CN"/>
        </w:rPr>
        <w:t>；</w:t>
      </w:r>
    </w:p>
    <w:p w14:paraId="6D1A2D23">
      <w:pPr>
        <w:adjustRightInd w:val="0"/>
        <w:snapToGrid w:val="0"/>
        <w:spacing w:line="360" w:lineRule="auto"/>
        <w:ind w:firstLine="560" w:firstLineChars="200"/>
        <w:rPr>
          <w:rFonts w:hint="eastAsia" w:ascii="Times New Roman" w:hAnsi="Times New Roman" w:eastAsia="宋体" w:cs="Times New Roman"/>
          <w:sz w:val="28"/>
          <w:szCs w:val="21"/>
          <w:lang w:val="en-US" w:eastAsia="zh-CN"/>
        </w:rPr>
      </w:pPr>
      <w:r>
        <w:rPr>
          <w:rFonts w:ascii="Times New Roman" w:hAnsi="Times New Roman" w:eastAsia="宋体" w:cs="Times New Roman"/>
          <w:sz w:val="28"/>
          <w:szCs w:val="21"/>
        </w:rPr>
        <w:t>附图</w:t>
      </w:r>
      <w:r>
        <w:rPr>
          <w:rFonts w:hint="eastAsia" w:ascii="Times New Roman" w:hAnsi="Times New Roman" w:eastAsia="宋体" w:cs="Times New Roman"/>
          <w:sz w:val="28"/>
          <w:szCs w:val="21"/>
          <w:lang w:val="en-US" w:eastAsia="zh-CN"/>
        </w:rPr>
        <w:t>6</w:t>
      </w:r>
      <w:r>
        <w:rPr>
          <w:rFonts w:ascii="Times New Roman" w:hAnsi="Times New Roman" w:eastAsia="宋体" w:cs="Times New Roman"/>
          <w:sz w:val="28"/>
          <w:szCs w:val="21"/>
        </w:rPr>
        <w:t>：地表防洪工程平面图。</w:t>
      </w:r>
    </w:p>
    <w:bookmarkEnd w:id="102"/>
    <w:p w14:paraId="464BB680">
      <w:pPr>
        <w:adjustRightInd w:val="0"/>
        <w:snapToGrid w:val="0"/>
        <w:spacing w:line="360" w:lineRule="auto"/>
        <w:ind w:firstLine="420" w:firstLineChars="200"/>
        <w:rPr>
          <w:rFonts w:ascii="Times New Roman" w:hAnsi="Times New Roman" w:eastAsia="宋体" w:cs="Times New Roman"/>
          <w:color w:val="00B050"/>
          <w:lang w:val="en-GB"/>
        </w:rPr>
      </w:pPr>
      <w:bookmarkStart w:id="103" w:name="_GoBack"/>
      <w:bookmarkEnd w:id="103"/>
    </w:p>
    <w:sectPr>
      <w:headerReference r:id="rId10" w:type="default"/>
      <w:footerReference r:id="rId11" w:type="default"/>
      <w:pgSz w:w="11906" w:h="16838"/>
      <w:pgMar w:top="1417" w:right="1134" w:bottom="113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99500">
    <w:pPr>
      <w:pStyle w:val="15"/>
      <w:wordWrap w:val="0"/>
      <w:jc w:val="right"/>
    </w:pPr>
  </w:p>
  <w:p w14:paraId="3EDB5584">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798A4">
    <w:pPr>
      <w:pStyle w:val="15"/>
      <w:pBdr>
        <w:top w:val="single" w:color="auto" w:sz="4" w:space="0"/>
      </w:pBdr>
      <w:adjustRightInd w:val="0"/>
      <w:rPr>
        <w:rFonts w:ascii="Times New Roman" w:hAnsi="Times New Roman" w:cs="Times New Roman"/>
      </w:rPr>
    </w:pPr>
    <w:r>
      <w:rPr>
        <w:rFonts w:hint="eastAsia" w:ascii="楷体" w:hAnsi="楷体" w:eastAsia="楷体" w:cs="楷体"/>
      </w:rPr>
      <w:drawing>
        <wp:inline distT="0" distB="0" distL="114300" distR="114300">
          <wp:extent cx="363855" cy="136525"/>
          <wp:effectExtent l="0" t="0" r="0" b="15875"/>
          <wp:docPr id="5" name="图片 1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5" descr="2"/>
                  <pic:cNvPicPr>
                    <a:picLocks noChangeAspect="1"/>
                  </pic:cNvPicPr>
                </pic:nvPicPr>
                <pic:blipFill>
                  <a:blip r:embed="rId1"/>
                  <a:srcRect t="9578" b="16475"/>
                  <a:stretch>
                    <a:fillRect/>
                  </a:stretch>
                </pic:blipFill>
                <pic:spPr>
                  <a:xfrm>
                    <a:off x="0" y="0"/>
                    <a:ext cx="363855" cy="136525"/>
                  </a:xfrm>
                  <a:prstGeom prst="rect">
                    <a:avLst/>
                  </a:prstGeom>
                  <a:noFill/>
                  <a:ln>
                    <a:noFill/>
                  </a:ln>
                </pic:spPr>
              </pic:pic>
            </a:graphicData>
          </a:graphic>
        </wp:inline>
      </w:drawing>
    </w:r>
    <w:r>
      <w:rPr>
        <w:rFonts w:hint="eastAsia" w:ascii="楷体" w:hAnsi="楷体" w:eastAsia="楷体" w:cs="楷体"/>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F7F0B21">
                          <w:pPr>
                            <w:pStyle w:val="15"/>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uERSfLAQAAl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E1GKg/+3SFiC7mzhDpCTcVwXpnbtFtpIf72c9bz/7T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C7hEUnywEAAJcDAAAOAAAAAAAAAAEAIAAAACIBAABkcnMv&#10;ZTJvRG9jLnhtbFBLBQYAAAAABgAGAFkBAABfBQAAAAA=&#10;">
              <v:fill on="f" focussize="0,0"/>
              <v:stroke on="f" weight="1.25pt"/>
              <v:imagedata o:title=""/>
              <o:lock v:ext="edit" aspectratio="f"/>
              <v:textbox inset="0mm,0mm,0mm,0mm" style="mso-fit-shape-to-text:t;">
                <w:txbxContent>
                  <w:p w14:paraId="3F7F0B21">
                    <w:pPr>
                      <w:pStyle w:val="15"/>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v:textbox>
            </v:shape>
          </w:pict>
        </mc:Fallback>
      </mc:AlternateContent>
    </w:r>
    <w:r>
      <w:rPr>
        <w:rFonts w:hint="eastAsia" w:ascii="楷体" w:hAnsi="楷体" w:eastAsia="楷体" w:cs="楷体"/>
      </w:rPr>
      <w:t>辽宁诺诚安全科技有限公司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E6E15">
    <w:pPr>
      <w:pStyle w:val="15"/>
      <w:pBdr>
        <w:top w:val="single" w:color="auto" w:sz="4" w:space="0"/>
      </w:pBdr>
      <w:adjustRightInd w:val="0"/>
    </w:pPr>
    <w: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95C672">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6095C672">
                    <w:pPr>
                      <w:pStyle w:val="15"/>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楷体" w:hAnsi="楷体" w:eastAsia="楷体" w:cs="楷体"/>
      </w:rPr>
      <w:drawing>
        <wp:inline distT="0" distB="0" distL="114300" distR="114300">
          <wp:extent cx="363855" cy="136525"/>
          <wp:effectExtent l="0" t="0" r="0" b="15875"/>
          <wp:docPr id="8" name="图片 1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5" descr="2"/>
                  <pic:cNvPicPr>
                    <a:picLocks noChangeAspect="1"/>
                  </pic:cNvPicPr>
                </pic:nvPicPr>
                <pic:blipFill>
                  <a:blip r:embed="rId1"/>
                  <a:srcRect t="9578" b="16475"/>
                  <a:stretch>
                    <a:fillRect/>
                  </a:stretch>
                </pic:blipFill>
                <pic:spPr>
                  <a:xfrm>
                    <a:off x="0" y="0"/>
                    <a:ext cx="363855" cy="136525"/>
                  </a:xfrm>
                  <a:prstGeom prst="rect">
                    <a:avLst/>
                  </a:prstGeom>
                  <a:noFill/>
                  <a:ln>
                    <a:noFill/>
                  </a:ln>
                </pic:spPr>
              </pic:pic>
            </a:graphicData>
          </a:graphic>
        </wp:inline>
      </w:drawing>
    </w:r>
    <w:r>
      <w:rPr>
        <w:rFonts w:hint="eastAsia" w:ascii="楷体" w:hAnsi="楷体" w:eastAsia="楷体" w:cs="楷体"/>
      </w:rPr>
      <w:t>辽宁诺诚安全科技有限公司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E11DE">
    <w:pPr>
      <w:pStyle w:val="15"/>
      <w:pBdr>
        <w:top w:val="single" w:color="auto" w:sz="4" w:space="0"/>
      </w:pBdr>
      <w:adjustRightInd w:val="0"/>
      <w:rPr>
        <w:rFonts w:ascii="楷体" w:hAnsi="楷体" w:eastAsia="楷体" w:cs="楷体"/>
      </w:rPr>
    </w:pPr>
    <w:r>
      <w:rPr>
        <w:rFonts w:hint="eastAsia" w:ascii="楷体" w:hAnsi="楷体" w:eastAsia="楷体" w:cs="楷体"/>
      </w:rPr>
      <w:drawing>
        <wp:inline distT="0" distB="0" distL="114300" distR="114300">
          <wp:extent cx="363855" cy="136525"/>
          <wp:effectExtent l="0" t="0" r="0" b="15875"/>
          <wp:docPr id="12" name="图片 1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5" descr="2"/>
                  <pic:cNvPicPr>
                    <a:picLocks noChangeAspect="1"/>
                  </pic:cNvPicPr>
                </pic:nvPicPr>
                <pic:blipFill>
                  <a:blip r:embed="rId1"/>
                  <a:srcRect t="9578" b="16475"/>
                  <a:stretch>
                    <a:fillRect/>
                  </a:stretch>
                </pic:blipFill>
                <pic:spPr>
                  <a:xfrm>
                    <a:off x="0" y="0"/>
                    <a:ext cx="363855" cy="136525"/>
                  </a:xfrm>
                  <a:prstGeom prst="rect">
                    <a:avLst/>
                  </a:prstGeom>
                  <a:noFill/>
                  <a:ln>
                    <a:noFill/>
                  </a:ln>
                </pic:spPr>
              </pic:pic>
            </a:graphicData>
          </a:graphic>
        </wp:inline>
      </w:drawing>
    </w:r>
    <w:r>
      <w:rPr>
        <w:rFonts w:hint="eastAsia" w:ascii="楷体" w:hAnsi="楷体" w:eastAsia="楷体" w:cs="楷体"/>
      </w:rPr>
      <mc:AlternateContent>
        <mc:Choice Requires="wps">
          <w:drawing>
            <wp:anchor distT="0" distB="0" distL="114300" distR="114300" simplePos="0" relativeHeight="251660288" behindDoc="0" locked="0" layoutInCell="1" allowOverlap="1">
              <wp:simplePos x="0" y="0"/>
              <wp:positionH relativeFrom="margin">
                <wp:posOffset>5472430</wp:posOffset>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14A6B6E">
                          <w:pPr>
                            <w:pStyle w:val="15"/>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left:430.9pt;margin-top:0pt;height:144pt;width:144pt;mso-position-horizontal-relative:margin;mso-wrap-style:none;z-index:251660288;mso-width-relative:page;mso-height-relative:page;" filled="f" stroked="f" coordsize="21600,21600" o:gfxdata="UEsDBAoAAAAAAIdO4kAAAAAAAAAAAAAAAAAEAAAAZHJzL1BLAwQUAAAACACHTuJAd6TX+9cAAAAJ&#10;AQAADwAAAGRycy9kb3ducmV2LnhtbE2PQWvCQBSE74X+h+UVepG6GxFZ02yEFry1ULXQ65p9JtHs&#10;25Bdo+2v7/PUHocZZr4pVlffiRGH2AYykE0VCKQquJZqA5+79ZMGEZMlZ7tAaOAbI6zK+7vC5i5c&#10;aIPjNtWCSyjm1kCTUp9LGasGvY3T0COxdwiDt4nlUEs32AuX+07OlFpIb1vihcb2+NpgddqevYGv&#10;tx/EjX6ZTMb58Tio9fKjku/GPD5k6hlEwmv6C8MNn9GhZKZ9OJOLojOgFxmjJwP86GZn8yXrvYGZ&#10;1gpkWcj/D8pfUEsDBBQAAAAIAIdO4kB/B7ZtywEAAJkDAAAOAAAAZHJzL2Uyb0RvYy54bWytU0tu&#10;2zAQ3RfIHQjua8kG0gqC5aCFkaBA0RZIcwCaIi0C/IFDW/IF2ht01U33PZfP0SElOUGyyaIbajgz&#10;fDPvzWh9MxhNjiKAcrahy0VJibDctcruG/rw/fZtRQlEZlumnRUNPQmgN5urN+ve12LlOqdbEQiC&#10;WKh739AuRl8XBfBOGAYL54XFoHTBsIjXsC/awHpEN7pYleW7oneh9cFxAYDe7RikE2J4DaCTUnGx&#10;dfxghI0jahCaRaQEnfJAN7lbKQWPX6UEEYluKDKN+cQiaO/SWWzWrN4H5jvFpxbYa1p4xskwZbHo&#10;BWrLIiOHoF5AGcWDAyfjgjtTjESyIshiWT7T5r5jXmQuKDX4i+jw/2D5l+O3QFSLm7CkxDKDEz//&#10;+nn+/ff85wdBHwrUe6gx795jZhw+ugGTZz+gM/EeZDDpi4wIxlHe00VeMUTC06NqVVUlhjjG5gvi&#10;F4/PfYB4J5whyWhowPllWdnxM8QxdU5J1ay7VVrnGWpLekS9rt5f5xeXEKJri0USi7HbZMVhN0zU&#10;dq49IbMel6ChFneeEv3JosZpX2YjzMZuMlJ58B8OEVvInSXUEWoqhhPL3KbtSivx9J6zHv+ozT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3pNf71wAAAAkBAAAPAAAAAAAAAAEAIAAAACIAAABkcnMv&#10;ZG93bnJldi54bWxQSwECFAAUAAAACACHTuJAfwe2bcsBAACZAwAADgAAAAAAAAABACAAAAAmAQAA&#10;ZHJzL2Uyb0RvYy54bWxQSwUGAAAAAAYABgBZAQAAYwUAAAAA&#10;">
              <v:fill on="f" focussize="0,0"/>
              <v:stroke on="f" weight="1.25pt"/>
              <v:imagedata o:title=""/>
              <o:lock v:ext="edit" aspectratio="f"/>
              <v:textbox inset="0mm,0mm,0mm,0mm" style="mso-fit-shape-to-text:t;">
                <w:txbxContent>
                  <w:p w14:paraId="714A6B6E">
                    <w:pPr>
                      <w:pStyle w:val="15"/>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v:textbox>
            </v:shape>
          </w:pict>
        </mc:Fallback>
      </mc:AlternateContent>
    </w:r>
    <w:r>
      <w:rPr>
        <w:rFonts w:hint="eastAsia" w:ascii="楷体" w:hAnsi="楷体" w:eastAsia="楷体" w:cs="楷体"/>
      </w:rPr>
      <w:t>辽宁诺诚安全科技有限公司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8D14F">
    <w:pPr>
      <w:pStyle w:val="15"/>
      <w:pBdr>
        <w:top w:val="single" w:color="auto" w:sz="4" w:space="0"/>
      </w:pBdr>
      <w:adjustRightInd w:val="0"/>
    </w:pPr>
    <w:r>
      <w:rPr>
        <w:rFonts w:hint="eastAsia" w:ascii="楷体" w:hAnsi="楷体" w:eastAsia="楷体" w:cs="楷体"/>
      </w:rPr>
      <mc:AlternateContent>
        <mc:Choice Requires="wps">
          <w:drawing>
            <wp:anchor distT="0" distB="0" distL="114300" distR="114300" simplePos="0" relativeHeight="251661312" behindDoc="0" locked="0" layoutInCell="1" allowOverlap="1">
              <wp:simplePos x="0" y="0"/>
              <wp:positionH relativeFrom="margin">
                <wp:posOffset>5396230</wp:posOffset>
              </wp:positionH>
              <wp:positionV relativeFrom="paragraph">
                <wp:posOffset>53340</wp:posOffset>
              </wp:positionV>
              <wp:extent cx="1828800" cy="182880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7B86F64">
                          <w:pPr>
                            <w:pStyle w:val="15"/>
                            <w:ind w:firstLine="360"/>
                            <w:jc w:val="right"/>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left:424.9pt;margin-top:4.2pt;height:144pt;width:144pt;mso-position-horizontal-relative:margin;mso-wrap-style:none;z-index:251661312;mso-width-relative:page;mso-height-relative:page;" filled="f" stroked="f" coordsize="21600,21600" o:gfxdata="UEsDBAoAAAAAAIdO4kAAAAAAAAAAAAAAAAAEAAAAZHJzL1BLAwQUAAAACACHTuJAEdAcwdkAAAAK&#10;AQAADwAAAGRycy9kb3ducmV2LnhtbE2PwU7DMBBE70j8g7VIXKrWTolKEuJUAqk3kGhB6tWNlyQl&#10;Xke2mxa+HudUbjs7q5m35fpiejai850lCclCAEOqre6okfD5sZlnwHxQpFVvCSX8oId1dXtTqkLb&#10;M21x3IWGxRDyhZLQhjAUnPu6RaP8wg5I0fuyzqgQpWu4duocw03Pl0KsuFEdxYZWDfjSYv29OxkJ&#10;+9dfxG32PJuN6fHoxCZ/r/mblPd3iXgCFvASrscw4Ud0qCLTwZ5Ie9ZLyNI8oodpADb5ycNjXBwk&#10;LPNVCrwq+f8Xqj9QSwMEFAAAAAgAh07iQMyLVufNAQAAmwMAAA4AAABkcnMvZTJvRG9jLnhtbK1T&#10;S27bMBDdF8gdCO5jKUbTCoLlIIWRIEDRFkh7AJoiLQL8gUNb8gXaG3TVTfc9l8/RISU5RbrJIhtq&#10;ODN8M+/NaHUzGE0OIoBytqFXi5ISYblrld019NvXu8uKEojMtkw7Kxp6FEBv1hdvVr2vxdJ1Trci&#10;EASxUPe+oV2Mvi4K4J0wDBbOC4tB6YJhEa9hV7SB9YhudLEsy3dF70Lrg+MCAL2bMUgnxPASQCel&#10;4mLj+N4IG0fUIDSLSAk65YGuc7dSCh4/SwkiEt1QZBrziUXQ3qazWK9YvQvMd4pPLbCXtPCMk2HK&#10;YtEz1IZFRvZB/QdlFA8OnIwL7kwxEsmKIIur8pk2jx3zInNBqcGfRYfXg+WfDl8CUS1uwtslJZYZ&#10;HPnp54/Trz+n399JcqJEvYcaMx895sbhgxswffYDOhPzQQaTvsiJYBwFPp4FFkMkPD2qllVVYohj&#10;bL4gfvH03AeI98IZkoyGBpxgFpYdPkIcU+eUVM26O6V1nqK2pEfU6+r9dX5xDiG6tlgksRi7TVYc&#10;tsNEbevaIzLrcQ0aanHrKdEPFlVOGzMbYTa2k5HKg7/dR2whd5ZQR6ipGM4sc5v2Ky3Fv/ec9fRP&#10;rf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EdAcwdkAAAAKAQAADwAAAAAAAAABACAAAAAiAAAA&#10;ZHJzL2Rvd25yZXYueG1sUEsBAhQAFAAAAAgAh07iQMyLVufNAQAAmwMAAA4AAAAAAAAAAQAgAAAA&#10;KAEAAGRycy9lMm9Eb2MueG1sUEsFBgAAAAAGAAYAWQEAAGcFAAAAAA==&#10;">
              <v:fill on="f" focussize="0,0"/>
              <v:stroke on="f" weight="1.25pt"/>
              <v:imagedata o:title=""/>
              <o:lock v:ext="edit" aspectratio="f"/>
              <v:textbox inset="0mm,0mm,0mm,0mm" style="mso-fit-shape-to-text:t;">
                <w:txbxContent>
                  <w:p w14:paraId="27B86F64">
                    <w:pPr>
                      <w:pStyle w:val="15"/>
                      <w:ind w:firstLine="360"/>
                      <w:jc w:val="right"/>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v:textbox>
            </v:shape>
          </w:pict>
        </mc:Fallback>
      </mc:AlternateContent>
    </w:r>
    <w:r>
      <w:rPr>
        <w:rFonts w:hint="eastAsia" w:ascii="楷体" w:hAnsi="楷体" w:eastAsia="楷体" w:cs="楷体"/>
      </w:rPr>
      <w:drawing>
        <wp:inline distT="0" distB="0" distL="114300" distR="114300">
          <wp:extent cx="363855" cy="136525"/>
          <wp:effectExtent l="0" t="0" r="0" b="635"/>
          <wp:docPr id="143" name="图片 1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5" descr="2"/>
                  <pic:cNvPicPr>
                    <a:picLocks noChangeAspect="1"/>
                  </pic:cNvPicPr>
                </pic:nvPicPr>
                <pic:blipFill>
                  <a:blip r:embed="rId1"/>
                  <a:srcRect t="9578" b="16475"/>
                  <a:stretch>
                    <a:fillRect/>
                  </a:stretch>
                </pic:blipFill>
                <pic:spPr>
                  <a:xfrm>
                    <a:off x="0" y="0"/>
                    <a:ext cx="363855" cy="136525"/>
                  </a:xfrm>
                  <a:prstGeom prst="rect">
                    <a:avLst/>
                  </a:prstGeom>
                  <a:noFill/>
                  <a:ln>
                    <a:noFill/>
                  </a:ln>
                </pic:spPr>
              </pic:pic>
            </a:graphicData>
          </a:graphic>
        </wp:inline>
      </w:drawing>
    </w:r>
    <w:r>
      <w:rPr>
        <w:rFonts w:hint="eastAsia" w:ascii="楷体" w:hAnsi="楷体" w:eastAsia="楷体" w:cs="楷体"/>
      </w:rPr>
      <w:t>辽宁诺诚安全科技有限公司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65D1C">
    <w:pPr>
      <w:pStyle w:val="1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0B2EA">
    <w:pPr>
      <w:pStyle w:val="1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1E3EA">
    <w:pPr>
      <w:pBdr>
        <w:bottom w:val="single" w:color="auto" w:sz="4" w:space="0"/>
      </w:pBdr>
      <w:autoSpaceDE w:val="0"/>
      <w:autoSpaceDN w:val="0"/>
      <w:adjustRightInd w:val="0"/>
      <w:snapToGrid w:val="0"/>
      <w:jc w:val="center"/>
      <w:rPr>
        <w:rFonts w:ascii="楷体" w:hAnsi="楷体" w:eastAsia="楷体" w:cs="楷体"/>
        <w:szCs w:val="21"/>
      </w:rPr>
    </w:pPr>
    <w:r>
      <w:rPr>
        <w:rFonts w:hint="eastAsia" w:ascii="楷体" w:hAnsi="楷体" w:eastAsia="楷体" w:cs="楷体"/>
        <w:color w:val="000000"/>
        <w:kern w:val="0"/>
        <w:szCs w:val="21"/>
        <w:lang w:bidi="zh-CN"/>
      </w:rPr>
      <w:t>盐津开源矿业有限公司盐津县桃子坝采石场90万t／a露天采矿工程安全预评价报告</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EDDA0">
    <w:pPr>
      <w:pStyle w:val="14"/>
    </w:pPr>
    <w:r>
      <w:rPr>
        <w:rFonts w:hint="eastAsia"/>
      </w:rPr>
      <w:t>盐津开源矿业有限公司盐津县桃子坝采石场90万t／a露天采矿工程安全预评价报告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4A6F3"/>
    <w:multiLevelType w:val="singleLevel"/>
    <w:tmpl w:val="80E4A6F3"/>
    <w:lvl w:ilvl="0" w:tentative="0">
      <w:start w:val="1"/>
      <w:numFmt w:val="decimal"/>
      <w:pStyle w:val="56"/>
      <w:lvlText w:val="%1."/>
      <w:lvlJc w:val="left"/>
      <w:pPr>
        <w:ind w:left="425" w:hanging="425"/>
      </w:pPr>
      <w:rPr>
        <w:rFonts w:hint="default"/>
      </w:rPr>
    </w:lvl>
  </w:abstractNum>
  <w:abstractNum w:abstractNumId="1">
    <w:nsid w:val="473D27FE"/>
    <w:multiLevelType w:val="multilevel"/>
    <w:tmpl w:val="473D27FE"/>
    <w:lvl w:ilvl="0" w:tentative="0">
      <w:start w:val="1"/>
      <w:numFmt w:val="decimal"/>
      <w:suff w:val="space"/>
      <w:lvlText w:val="第%1章"/>
      <w:lvlJc w:val="left"/>
      <w:pPr>
        <w:ind w:left="0" w:firstLine="0"/>
      </w:pPr>
      <w:rPr>
        <w:rFonts w:hint="eastAsia"/>
      </w:rPr>
    </w:lvl>
    <w:lvl w:ilvl="1" w:tentative="0">
      <w:start w:val="1"/>
      <w:numFmt w:val="decimal"/>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suff w:val="space"/>
      <w:lvlText w:val="%1.%2.%3.%4"/>
      <w:lvlJc w:val="left"/>
      <w:pPr>
        <w:ind w:left="0" w:firstLine="0"/>
      </w:pPr>
      <w:rPr>
        <w:rFonts w:hint="eastAsia"/>
      </w:rPr>
    </w:lvl>
    <w:lvl w:ilvl="4" w:tentative="0">
      <w:start w:val="1"/>
      <w:numFmt w:val="none"/>
      <w:suff w:val="space"/>
      <w:lvlText w:val=""/>
      <w:lvlJc w:val="center"/>
      <w:pPr>
        <w:ind w:left="0" w:firstLine="0"/>
      </w:pPr>
      <w:rPr>
        <w:rFonts w:hint="eastAsia"/>
      </w:rPr>
    </w:lvl>
    <w:lvl w:ilvl="5" w:tentative="0">
      <w:start w:val="1"/>
      <w:numFmt w:val="decimal"/>
      <w:lvlRestart w:val="1"/>
      <w:pStyle w:val="7"/>
      <w:suff w:val="space"/>
      <w:lvlText w:val="表%1-%6"/>
      <w:lvlJc w:val="center"/>
      <w:pPr>
        <w:ind w:left="0" w:firstLine="0"/>
      </w:pPr>
      <w:rPr>
        <w:rFonts w:hint="eastAsia"/>
      </w:rPr>
    </w:lvl>
    <w:lvl w:ilvl="6" w:tentative="0">
      <w:start w:val="1"/>
      <w:numFmt w:val="decimal"/>
      <w:lvlRestart w:val="1"/>
      <w:pStyle w:val="8"/>
      <w:suff w:val="space"/>
      <w:lvlText w:val="图%1-%7"/>
      <w:lvlJc w:val="center"/>
      <w:pPr>
        <w:ind w:left="0" w:firstLine="0"/>
      </w:pPr>
      <w:rPr>
        <w:rFonts w:hint="eastAsia"/>
      </w:rPr>
    </w:lvl>
    <w:lvl w:ilvl="7" w:tentative="0">
      <w:start w:val="1"/>
      <w:numFmt w:val="decimal"/>
      <w:lvlText w:val="%1.%2.%3.%4.%5.%6.%7.%8"/>
      <w:lvlJc w:val="left"/>
      <w:pPr>
        <w:tabs>
          <w:tab w:val="left" w:pos="992"/>
        </w:tabs>
        <w:ind w:left="0" w:firstLine="0"/>
      </w:pPr>
      <w:rPr>
        <w:rFonts w:hint="eastAsia"/>
      </w:rPr>
    </w:lvl>
    <w:lvl w:ilvl="8" w:tentative="0">
      <w:start w:val="1"/>
      <w:numFmt w:val="decimal"/>
      <w:lvlText w:val="%1.%2.%3.%4.%5.%6.%7.%8.%9"/>
      <w:lvlJc w:val="left"/>
      <w:pPr>
        <w:tabs>
          <w:tab w:val="left" w:pos="992"/>
        </w:tabs>
        <w:ind w:left="0" w:firstLine="0"/>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525" w:firstLine="0"/>
      </w:pPr>
      <w:rPr>
        <w:rFonts w:hint="eastAsia" w:ascii="黑体" w:hAnsi="Times New Roman" w:eastAsia="黑体"/>
        <w:b w:val="0"/>
        <w:i w:val="0"/>
        <w:color w:val="auto"/>
        <w:sz w:val="21"/>
      </w:rPr>
    </w:lvl>
    <w:lvl w:ilvl="3" w:tentative="0">
      <w:start w:val="1"/>
      <w:numFmt w:val="decimal"/>
      <w:suff w:val="nothing"/>
      <w:lvlText w:val="%1%2.%3.%4　"/>
      <w:lvlJc w:val="left"/>
      <w:pPr>
        <w:ind w:left="840" w:firstLine="0"/>
      </w:pPr>
      <w:rPr>
        <w:rFonts w:hint="eastAsia" w:ascii="黑体" w:hAnsi="Times New Roman" w:eastAsia="黑体"/>
        <w:b w:val="0"/>
        <w:i w:val="0"/>
        <w:sz w:val="21"/>
      </w:rPr>
    </w:lvl>
    <w:lvl w:ilvl="4" w:tentative="0">
      <w:start w:val="1"/>
      <w:numFmt w:val="decimal"/>
      <w:pStyle w:val="54"/>
      <w:suff w:val="nothing"/>
      <w:lvlText w:val="%1%2.%3.%4.%5　"/>
      <w:lvlJc w:val="left"/>
      <w:pPr>
        <w:ind w:left="945" w:firstLine="0"/>
      </w:pPr>
      <w:rPr>
        <w:rFonts w:hint="eastAsia" w:ascii="黑体" w:hAnsi="Times New Roman" w:eastAsia="黑体"/>
        <w:b w:val="0"/>
        <w:i w:val="0"/>
        <w:sz w:val="21"/>
        <w:szCs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7AEB6E00"/>
    <w:multiLevelType w:val="singleLevel"/>
    <w:tmpl w:val="7AEB6E00"/>
    <w:lvl w:ilvl="0" w:tentative="0">
      <w:start w:val="2"/>
      <w:numFmt w:val="decimal"/>
      <w:suff w:val="nothing"/>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iZWQwMTQ1NjNmOTA1MTM1YjQ1ZTY3ZTU0NjRkNzcifQ=="/>
  </w:docVars>
  <w:rsids>
    <w:rsidRoot w:val="00172A27"/>
    <w:rsid w:val="00005CF2"/>
    <w:rsid w:val="00012969"/>
    <w:rsid w:val="00024CF7"/>
    <w:rsid w:val="00026A3E"/>
    <w:rsid w:val="00036884"/>
    <w:rsid w:val="000369AA"/>
    <w:rsid w:val="00040EC7"/>
    <w:rsid w:val="000445DA"/>
    <w:rsid w:val="00076772"/>
    <w:rsid w:val="00077151"/>
    <w:rsid w:val="00095BCE"/>
    <w:rsid w:val="000A222A"/>
    <w:rsid w:val="000A602A"/>
    <w:rsid w:val="000B142F"/>
    <w:rsid w:val="000B42EB"/>
    <w:rsid w:val="000C2FD9"/>
    <w:rsid w:val="000D38BA"/>
    <w:rsid w:val="000E15DE"/>
    <w:rsid w:val="000E5EFA"/>
    <w:rsid w:val="000E7064"/>
    <w:rsid w:val="000F73F7"/>
    <w:rsid w:val="001077D0"/>
    <w:rsid w:val="00123EAD"/>
    <w:rsid w:val="001244FA"/>
    <w:rsid w:val="001254FF"/>
    <w:rsid w:val="001334B5"/>
    <w:rsid w:val="0013692A"/>
    <w:rsid w:val="00137647"/>
    <w:rsid w:val="0015199D"/>
    <w:rsid w:val="001604E9"/>
    <w:rsid w:val="00161BD6"/>
    <w:rsid w:val="00172A27"/>
    <w:rsid w:val="001C2A0C"/>
    <w:rsid w:val="001D206C"/>
    <w:rsid w:val="001F4ECF"/>
    <w:rsid w:val="002164F1"/>
    <w:rsid w:val="00244E75"/>
    <w:rsid w:val="002464C0"/>
    <w:rsid w:val="00256238"/>
    <w:rsid w:val="00274826"/>
    <w:rsid w:val="00276E33"/>
    <w:rsid w:val="00283E44"/>
    <w:rsid w:val="00290817"/>
    <w:rsid w:val="002938AE"/>
    <w:rsid w:val="002A639D"/>
    <w:rsid w:val="002D7601"/>
    <w:rsid w:val="002F18B8"/>
    <w:rsid w:val="00306A5B"/>
    <w:rsid w:val="00314F58"/>
    <w:rsid w:val="003179FC"/>
    <w:rsid w:val="00320C05"/>
    <w:rsid w:val="00327373"/>
    <w:rsid w:val="003278CE"/>
    <w:rsid w:val="00333E1C"/>
    <w:rsid w:val="00334AF2"/>
    <w:rsid w:val="00340445"/>
    <w:rsid w:val="00357030"/>
    <w:rsid w:val="00363F51"/>
    <w:rsid w:val="0038268A"/>
    <w:rsid w:val="00384A05"/>
    <w:rsid w:val="00396E81"/>
    <w:rsid w:val="0039779A"/>
    <w:rsid w:val="003A6146"/>
    <w:rsid w:val="003B2B46"/>
    <w:rsid w:val="003C7C89"/>
    <w:rsid w:val="003D7955"/>
    <w:rsid w:val="003E466F"/>
    <w:rsid w:val="003F13E1"/>
    <w:rsid w:val="004025AD"/>
    <w:rsid w:val="0041339D"/>
    <w:rsid w:val="00423CE1"/>
    <w:rsid w:val="0043695B"/>
    <w:rsid w:val="00443D24"/>
    <w:rsid w:val="00454ECF"/>
    <w:rsid w:val="00462625"/>
    <w:rsid w:val="004907EE"/>
    <w:rsid w:val="004B0067"/>
    <w:rsid w:val="004C3DB1"/>
    <w:rsid w:val="004D6D3D"/>
    <w:rsid w:val="004E04FC"/>
    <w:rsid w:val="004E6A39"/>
    <w:rsid w:val="004F081A"/>
    <w:rsid w:val="004F20EB"/>
    <w:rsid w:val="004F23CA"/>
    <w:rsid w:val="004F748D"/>
    <w:rsid w:val="00502641"/>
    <w:rsid w:val="00505BD7"/>
    <w:rsid w:val="00512A71"/>
    <w:rsid w:val="00513E95"/>
    <w:rsid w:val="005256A3"/>
    <w:rsid w:val="00533652"/>
    <w:rsid w:val="00533E48"/>
    <w:rsid w:val="0054253D"/>
    <w:rsid w:val="005463B9"/>
    <w:rsid w:val="00554678"/>
    <w:rsid w:val="005554E9"/>
    <w:rsid w:val="0056239D"/>
    <w:rsid w:val="005646EA"/>
    <w:rsid w:val="005748A1"/>
    <w:rsid w:val="00575101"/>
    <w:rsid w:val="005811DB"/>
    <w:rsid w:val="00592CE9"/>
    <w:rsid w:val="005A1F76"/>
    <w:rsid w:val="005A74C8"/>
    <w:rsid w:val="005B52C7"/>
    <w:rsid w:val="005E0283"/>
    <w:rsid w:val="005E0F66"/>
    <w:rsid w:val="005F277D"/>
    <w:rsid w:val="005F37CA"/>
    <w:rsid w:val="00623B62"/>
    <w:rsid w:val="00624742"/>
    <w:rsid w:val="00631227"/>
    <w:rsid w:val="00640B76"/>
    <w:rsid w:val="00644E73"/>
    <w:rsid w:val="00645845"/>
    <w:rsid w:val="00666782"/>
    <w:rsid w:val="00672E18"/>
    <w:rsid w:val="00676604"/>
    <w:rsid w:val="00684DFA"/>
    <w:rsid w:val="0068747E"/>
    <w:rsid w:val="006C00F7"/>
    <w:rsid w:val="006D29A0"/>
    <w:rsid w:val="006E0E2B"/>
    <w:rsid w:val="006E230C"/>
    <w:rsid w:val="006F4EBA"/>
    <w:rsid w:val="006F54DE"/>
    <w:rsid w:val="0070630C"/>
    <w:rsid w:val="0071132D"/>
    <w:rsid w:val="007270B9"/>
    <w:rsid w:val="00732AD2"/>
    <w:rsid w:val="007369EA"/>
    <w:rsid w:val="007371A1"/>
    <w:rsid w:val="0075033D"/>
    <w:rsid w:val="0076259A"/>
    <w:rsid w:val="00763A9D"/>
    <w:rsid w:val="00764257"/>
    <w:rsid w:val="00774321"/>
    <w:rsid w:val="007826BA"/>
    <w:rsid w:val="00793024"/>
    <w:rsid w:val="00797237"/>
    <w:rsid w:val="007B7CB3"/>
    <w:rsid w:val="007E1675"/>
    <w:rsid w:val="00810B62"/>
    <w:rsid w:val="00811EDC"/>
    <w:rsid w:val="00815981"/>
    <w:rsid w:val="00820D55"/>
    <w:rsid w:val="00823D82"/>
    <w:rsid w:val="00830C7B"/>
    <w:rsid w:val="0083263F"/>
    <w:rsid w:val="00833B57"/>
    <w:rsid w:val="00843025"/>
    <w:rsid w:val="008538EA"/>
    <w:rsid w:val="008609F5"/>
    <w:rsid w:val="00860A74"/>
    <w:rsid w:val="00867CE1"/>
    <w:rsid w:val="008945A2"/>
    <w:rsid w:val="008A43DA"/>
    <w:rsid w:val="008F188F"/>
    <w:rsid w:val="00900A4C"/>
    <w:rsid w:val="009214B1"/>
    <w:rsid w:val="00923A47"/>
    <w:rsid w:val="00927A9E"/>
    <w:rsid w:val="0094269C"/>
    <w:rsid w:val="009510CE"/>
    <w:rsid w:val="009647D0"/>
    <w:rsid w:val="00972954"/>
    <w:rsid w:val="0098671E"/>
    <w:rsid w:val="009901D9"/>
    <w:rsid w:val="00990380"/>
    <w:rsid w:val="009921FA"/>
    <w:rsid w:val="009B26AF"/>
    <w:rsid w:val="009B5038"/>
    <w:rsid w:val="009B53A5"/>
    <w:rsid w:val="009B606C"/>
    <w:rsid w:val="009C2D9B"/>
    <w:rsid w:val="009D1182"/>
    <w:rsid w:val="009D4212"/>
    <w:rsid w:val="009D4A41"/>
    <w:rsid w:val="009F0C98"/>
    <w:rsid w:val="009F2FBB"/>
    <w:rsid w:val="00A231D2"/>
    <w:rsid w:val="00A25AD8"/>
    <w:rsid w:val="00A32480"/>
    <w:rsid w:val="00A36F42"/>
    <w:rsid w:val="00A41325"/>
    <w:rsid w:val="00A43D5A"/>
    <w:rsid w:val="00A45EBE"/>
    <w:rsid w:val="00A63D44"/>
    <w:rsid w:val="00A675ED"/>
    <w:rsid w:val="00A8594A"/>
    <w:rsid w:val="00A93D43"/>
    <w:rsid w:val="00AB5C9E"/>
    <w:rsid w:val="00AC110C"/>
    <w:rsid w:val="00AD3310"/>
    <w:rsid w:val="00AD63D0"/>
    <w:rsid w:val="00AE0265"/>
    <w:rsid w:val="00AE406D"/>
    <w:rsid w:val="00AE6B1F"/>
    <w:rsid w:val="00AF3B4C"/>
    <w:rsid w:val="00B00A38"/>
    <w:rsid w:val="00B02300"/>
    <w:rsid w:val="00B17EFF"/>
    <w:rsid w:val="00B36603"/>
    <w:rsid w:val="00B55862"/>
    <w:rsid w:val="00B75AA8"/>
    <w:rsid w:val="00B84AC2"/>
    <w:rsid w:val="00B87CB5"/>
    <w:rsid w:val="00B94298"/>
    <w:rsid w:val="00B961A9"/>
    <w:rsid w:val="00BA137F"/>
    <w:rsid w:val="00BB19B9"/>
    <w:rsid w:val="00BB418F"/>
    <w:rsid w:val="00BC49E4"/>
    <w:rsid w:val="00BC59B3"/>
    <w:rsid w:val="00BC7D4E"/>
    <w:rsid w:val="00BE0046"/>
    <w:rsid w:val="00BF447B"/>
    <w:rsid w:val="00C04902"/>
    <w:rsid w:val="00C37B29"/>
    <w:rsid w:val="00C41A24"/>
    <w:rsid w:val="00C529BB"/>
    <w:rsid w:val="00C55CE0"/>
    <w:rsid w:val="00C60237"/>
    <w:rsid w:val="00C66FEA"/>
    <w:rsid w:val="00C719FF"/>
    <w:rsid w:val="00C73EF0"/>
    <w:rsid w:val="00C87A41"/>
    <w:rsid w:val="00C95385"/>
    <w:rsid w:val="00C95969"/>
    <w:rsid w:val="00C96F1E"/>
    <w:rsid w:val="00CA32A3"/>
    <w:rsid w:val="00CA5733"/>
    <w:rsid w:val="00CB6D29"/>
    <w:rsid w:val="00CD52E3"/>
    <w:rsid w:val="00CE0AD6"/>
    <w:rsid w:val="00CE2E88"/>
    <w:rsid w:val="00CE5A86"/>
    <w:rsid w:val="00CF5026"/>
    <w:rsid w:val="00D13810"/>
    <w:rsid w:val="00D2107D"/>
    <w:rsid w:val="00D45F12"/>
    <w:rsid w:val="00D46EA3"/>
    <w:rsid w:val="00D47E09"/>
    <w:rsid w:val="00D5715A"/>
    <w:rsid w:val="00D703AA"/>
    <w:rsid w:val="00D84FB8"/>
    <w:rsid w:val="00D877EA"/>
    <w:rsid w:val="00D9041A"/>
    <w:rsid w:val="00D9346B"/>
    <w:rsid w:val="00D96442"/>
    <w:rsid w:val="00DD53EC"/>
    <w:rsid w:val="00DF3AEB"/>
    <w:rsid w:val="00DF5DD4"/>
    <w:rsid w:val="00DF633E"/>
    <w:rsid w:val="00E0087A"/>
    <w:rsid w:val="00E0265E"/>
    <w:rsid w:val="00E060A4"/>
    <w:rsid w:val="00E1055F"/>
    <w:rsid w:val="00E10ABC"/>
    <w:rsid w:val="00E2429A"/>
    <w:rsid w:val="00E25E0B"/>
    <w:rsid w:val="00E26B0A"/>
    <w:rsid w:val="00E27FD6"/>
    <w:rsid w:val="00E33700"/>
    <w:rsid w:val="00E347F5"/>
    <w:rsid w:val="00E35B4E"/>
    <w:rsid w:val="00E51C54"/>
    <w:rsid w:val="00E56737"/>
    <w:rsid w:val="00E71203"/>
    <w:rsid w:val="00E71E6A"/>
    <w:rsid w:val="00E731D9"/>
    <w:rsid w:val="00E76758"/>
    <w:rsid w:val="00E861E0"/>
    <w:rsid w:val="00E90697"/>
    <w:rsid w:val="00E93921"/>
    <w:rsid w:val="00EA2A65"/>
    <w:rsid w:val="00EA2C10"/>
    <w:rsid w:val="00EB2569"/>
    <w:rsid w:val="00EC4CD0"/>
    <w:rsid w:val="00ED1350"/>
    <w:rsid w:val="00ED3FBF"/>
    <w:rsid w:val="00EF6CEE"/>
    <w:rsid w:val="00F0462C"/>
    <w:rsid w:val="00F12063"/>
    <w:rsid w:val="00F14EE4"/>
    <w:rsid w:val="00F159F8"/>
    <w:rsid w:val="00F207D7"/>
    <w:rsid w:val="00F20871"/>
    <w:rsid w:val="00F23E8A"/>
    <w:rsid w:val="00F24824"/>
    <w:rsid w:val="00F2749C"/>
    <w:rsid w:val="00F42096"/>
    <w:rsid w:val="00F568E3"/>
    <w:rsid w:val="00F651DC"/>
    <w:rsid w:val="00F70239"/>
    <w:rsid w:val="00F704CC"/>
    <w:rsid w:val="00F72B42"/>
    <w:rsid w:val="00F72FB2"/>
    <w:rsid w:val="00F7752B"/>
    <w:rsid w:val="00F82878"/>
    <w:rsid w:val="00F964BB"/>
    <w:rsid w:val="00FA0DAA"/>
    <w:rsid w:val="00FB2359"/>
    <w:rsid w:val="00FC1561"/>
    <w:rsid w:val="00FC3AB1"/>
    <w:rsid w:val="00FC5949"/>
    <w:rsid w:val="00FD5C7D"/>
    <w:rsid w:val="00FE2C25"/>
    <w:rsid w:val="00FF7105"/>
    <w:rsid w:val="011351A1"/>
    <w:rsid w:val="025A704C"/>
    <w:rsid w:val="030C1793"/>
    <w:rsid w:val="034F070B"/>
    <w:rsid w:val="034F162B"/>
    <w:rsid w:val="035D3E78"/>
    <w:rsid w:val="03CF76E2"/>
    <w:rsid w:val="04844B91"/>
    <w:rsid w:val="0493726F"/>
    <w:rsid w:val="04C11B1B"/>
    <w:rsid w:val="051A13EE"/>
    <w:rsid w:val="056B1570"/>
    <w:rsid w:val="06C40ABC"/>
    <w:rsid w:val="06D930D1"/>
    <w:rsid w:val="06FF70B4"/>
    <w:rsid w:val="071645E6"/>
    <w:rsid w:val="07AD00FC"/>
    <w:rsid w:val="080864B2"/>
    <w:rsid w:val="086931A2"/>
    <w:rsid w:val="08DF64FD"/>
    <w:rsid w:val="097F3CA4"/>
    <w:rsid w:val="0A2A25EC"/>
    <w:rsid w:val="0AA47E32"/>
    <w:rsid w:val="0ABC3D29"/>
    <w:rsid w:val="0B367CB1"/>
    <w:rsid w:val="0B6A63A0"/>
    <w:rsid w:val="0B816EC2"/>
    <w:rsid w:val="0B9A61A1"/>
    <w:rsid w:val="0BCE044A"/>
    <w:rsid w:val="0BEA32D0"/>
    <w:rsid w:val="0C75720A"/>
    <w:rsid w:val="0CC45DD2"/>
    <w:rsid w:val="0CDE1BC4"/>
    <w:rsid w:val="0D492420"/>
    <w:rsid w:val="0D546832"/>
    <w:rsid w:val="0D8916B5"/>
    <w:rsid w:val="0D9D3E48"/>
    <w:rsid w:val="0DA519A8"/>
    <w:rsid w:val="0E5908A7"/>
    <w:rsid w:val="0E7C5984"/>
    <w:rsid w:val="0EC24ADC"/>
    <w:rsid w:val="0ED013F1"/>
    <w:rsid w:val="0EE65BD1"/>
    <w:rsid w:val="0EE91E83"/>
    <w:rsid w:val="0F5C08A7"/>
    <w:rsid w:val="0FFF2C18"/>
    <w:rsid w:val="106D604A"/>
    <w:rsid w:val="107374DA"/>
    <w:rsid w:val="10AC3DA7"/>
    <w:rsid w:val="12F12E45"/>
    <w:rsid w:val="1341782F"/>
    <w:rsid w:val="13725ED9"/>
    <w:rsid w:val="13DD48AB"/>
    <w:rsid w:val="142448D3"/>
    <w:rsid w:val="14741B9C"/>
    <w:rsid w:val="14962AC1"/>
    <w:rsid w:val="14AF3ABC"/>
    <w:rsid w:val="14D63FBF"/>
    <w:rsid w:val="14FF5E44"/>
    <w:rsid w:val="16943004"/>
    <w:rsid w:val="16D13CE6"/>
    <w:rsid w:val="17112E63"/>
    <w:rsid w:val="17772E6E"/>
    <w:rsid w:val="17E11B06"/>
    <w:rsid w:val="182E2D95"/>
    <w:rsid w:val="186012CC"/>
    <w:rsid w:val="18995458"/>
    <w:rsid w:val="18F8226D"/>
    <w:rsid w:val="1970758B"/>
    <w:rsid w:val="19913A18"/>
    <w:rsid w:val="19B9533B"/>
    <w:rsid w:val="1A0E5694"/>
    <w:rsid w:val="1A7D4E13"/>
    <w:rsid w:val="1ADE73D2"/>
    <w:rsid w:val="1AE355AC"/>
    <w:rsid w:val="1AE56041"/>
    <w:rsid w:val="1B6A2439"/>
    <w:rsid w:val="1B7B20F9"/>
    <w:rsid w:val="1B8A69D3"/>
    <w:rsid w:val="1BDB2070"/>
    <w:rsid w:val="1C8226D9"/>
    <w:rsid w:val="1C90538C"/>
    <w:rsid w:val="1C9B22E3"/>
    <w:rsid w:val="1CB56FA5"/>
    <w:rsid w:val="1CC33DE3"/>
    <w:rsid w:val="1CD8507F"/>
    <w:rsid w:val="1CE646BB"/>
    <w:rsid w:val="1D1E3640"/>
    <w:rsid w:val="1DF15340"/>
    <w:rsid w:val="1DF425C5"/>
    <w:rsid w:val="1E26120E"/>
    <w:rsid w:val="1E2904F6"/>
    <w:rsid w:val="1E3B57B8"/>
    <w:rsid w:val="1E653457"/>
    <w:rsid w:val="1E730FEE"/>
    <w:rsid w:val="1EA04EBF"/>
    <w:rsid w:val="1EA27147"/>
    <w:rsid w:val="1EB021C8"/>
    <w:rsid w:val="1EC73863"/>
    <w:rsid w:val="1EDD30C0"/>
    <w:rsid w:val="1F085EE0"/>
    <w:rsid w:val="1FC5422C"/>
    <w:rsid w:val="1FCC7C73"/>
    <w:rsid w:val="200F7270"/>
    <w:rsid w:val="201F3F07"/>
    <w:rsid w:val="201F4BED"/>
    <w:rsid w:val="20335387"/>
    <w:rsid w:val="203C622E"/>
    <w:rsid w:val="204506CD"/>
    <w:rsid w:val="20513D98"/>
    <w:rsid w:val="20DE0E36"/>
    <w:rsid w:val="20E6729B"/>
    <w:rsid w:val="2106203C"/>
    <w:rsid w:val="212F6099"/>
    <w:rsid w:val="218A325D"/>
    <w:rsid w:val="21A01388"/>
    <w:rsid w:val="21F52495"/>
    <w:rsid w:val="220B6D08"/>
    <w:rsid w:val="22162A0C"/>
    <w:rsid w:val="22956632"/>
    <w:rsid w:val="237C2AB0"/>
    <w:rsid w:val="23907634"/>
    <w:rsid w:val="23C149FC"/>
    <w:rsid w:val="24003A9F"/>
    <w:rsid w:val="24056B85"/>
    <w:rsid w:val="24B222C6"/>
    <w:rsid w:val="24BF6C72"/>
    <w:rsid w:val="25391B17"/>
    <w:rsid w:val="258C3110"/>
    <w:rsid w:val="25971636"/>
    <w:rsid w:val="25B0408F"/>
    <w:rsid w:val="25B52A1E"/>
    <w:rsid w:val="263C4254"/>
    <w:rsid w:val="266313E8"/>
    <w:rsid w:val="274B18DF"/>
    <w:rsid w:val="27867D83"/>
    <w:rsid w:val="279066BB"/>
    <w:rsid w:val="2939678A"/>
    <w:rsid w:val="29404E93"/>
    <w:rsid w:val="29A1659A"/>
    <w:rsid w:val="29C94281"/>
    <w:rsid w:val="2A0F2353"/>
    <w:rsid w:val="2A273E43"/>
    <w:rsid w:val="2B162954"/>
    <w:rsid w:val="2B180402"/>
    <w:rsid w:val="2B1B34A6"/>
    <w:rsid w:val="2B481888"/>
    <w:rsid w:val="2C270E8F"/>
    <w:rsid w:val="2C7935D0"/>
    <w:rsid w:val="2CB805B4"/>
    <w:rsid w:val="2E670B65"/>
    <w:rsid w:val="2E7701C1"/>
    <w:rsid w:val="2F8E4E74"/>
    <w:rsid w:val="302A7A01"/>
    <w:rsid w:val="305E27A1"/>
    <w:rsid w:val="315629B7"/>
    <w:rsid w:val="31F14A27"/>
    <w:rsid w:val="320F75A3"/>
    <w:rsid w:val="32243A04"/>
    <w:rsid w:val="322E44A1"/>
    <w:rsid w:val="328567E1"/>
    <w:rsid w:val="32A60556"/>
    <w:rsid w:val="3317670F"/>
    <w:rsid w:val="33465C5F"/>
    <w:rsid w:val="336800CF"/>
    <w:rsid w:val="336D41AA"/>
    <w:rsid w:val="341B0058"/>
    <w:rsid w:val="342F247D"/>
    <w:rsid w:val="34D733BB"/>
    <w:rsid w:val="35443EA2"/>
    <w:rsid w:val="35943D87"/>
    <w:rsid w:val="35A73FA9"/>
    <w:rsid w:val="35D36354"/>
    <w:rsid w:val="361D4821"/>
    <w:rsid w:val="36701B8E"/>
    <w:rsid w:val="368D5CC7"/>
    <w:rsid w:val="370B16FF"/>
    <w:rsid w:val="37E06880"/>
    <w:rsid w:val="37F45F1C"/>
    <w:rsid w:val="38127709"/>
    <w:rsid w:val="38871C41"/>
    <w:rsid w:val="38F85D85"/>
    <w:rsid w:val="39065067"/>
    <w:rsid w:val="39656249"/>
    <w:rsid w:val="39CE36E9"/>
    <w:rsid w:val="3A5B1371"/>
    <w:rsid w:val="3B3A71D3"/>
    <w:rsid w:val="3B8D3DE0"/>
    <w:rsid w:val="3BA56902"/>
    <w:rsid w:val="3BE1573A"/>
    <w:rsid w:val="3C335C3C"/>
    <w:rsid w:val="3D3C4291"/>
    <w:rsid w:val="3D5B233F"/>
    <w:rsid w:val="3D6452D8"/>
    <w:rsid w:val="3D665DB8"/>
    <w:rsid w:val="3DAA0180"/>
    <w:rsid w:val="3DAC3EF8"/>
    <w:rsid w:val="3DC573B0"/>
    <w:rsid w:val="3E4E2E0A"/>
    <w:rsid w:val="3EAF0AC5"/>
    <w:rsid w:val="3F081602"/>
    <w:rsid w:val="3F2D1692"/>
    <w:rsid w:val="3F624944"/>
    <w:rsid w:val="40260A3F"/>
    <w:rsid w:val="404116A2"/>
    <w:rsid w:val="408C3C12"/>
    <w:rsid w:val="40F44072"/>
    <w:rsid w:val="41246690"/>
    <w:rsid w:val="41FA17F0"/>
    <w:rsid w:val="4253217A"/>
    <w:rsid w:val="425E3116"/>
    <w:rsid w:val="426967E6"/>
    <w:rsid w:val="42870A90"/>
    <w:rsid w:val="42A5039E"/>
    <w:rsid w:val="42CB4C14"/>
    <w:rsid w:val="4338647E"/>
    <w:rsid w:val="435253A9"/>
    <w:rsid w:val="43C65214"/>
    <w:rsid w:val="44360F4D"/>
    <w:rsid w:val="44F50FC6"/>
    <w:rsid w:val="450263AE"/>
    <w:rsid w:val="4519688E"/>
    <w:rsid w:val="456808A4"/>
    <w:rsid w:val="45A647DD"/>
    <w:rsid w:val="45F71245"/>
    <w:rsid w:val="46287757"/>
    <w:rsid w:val="469F21AD"/>
    <w:rsid w:val="46D73402"/>
    <w:rsid w:val="471B4EEA"/>
    <w:rsid w:val="47707D5E"/>
    <w:rsid w:val="4815620E"/>
    <w:rsid w:val="482E134B"/>
    <w:rsid w:val="4852089E"/>
    <w:rsid w:val="48B2228F"/>
    <w:rsid w:val="48C9234E"/>
    <w:rsid w:val="49373210"/>
    <w:rsid w:val="495963F5"/>
    <w:rsid w:val="49E5322B"/>
    <w:rsid w:val="4A050C18"/>
    <w:rsid w:val="4A1E181A"/>
    <w:rsid w:val="4A300A14"/>
    <w:rsid w:val="4A596036"/>
    <w:rsid w:val="4A5C49CE"/>
    <w:rsid w:val="4B2477C4"/>
    <w:rsid w:val="4C136BC5"/>
    <w:rsid w:val="4C4B4B2E"/>
    <w:rsid w:val="4D6E1674"/>
    <w:rsid w:val="4D97453A"/>
    <w:rsid w:val="4E86561A"/>
    <w:rsid w:val="4EB26E63"/>
    <w:rsid w:val="4EEA3009"/>
    <w:rsid w:val="4F6E0B6B"/>
    <w:rsid w:val="4F836C18"/>
    <w:rsid w:val="502E1B40"/>
    <w:rsid w:val="505B4364"/>
    <w:rsid w:val="505C5E87"/>
    <w:rsid w:val="52093973"/>
    <w:rsid w:val="52A15610"/>
    <w:rsid w:val="531A6615"/>
    <w:rsid w:val="53306616"/>
    <w:rsid w:val="5344199A"/>
    <w:rsid w:val="536E5CA1"/>
    <w:rsid w:val="53861ABE"/>
    <w:rsid w:val="538B77B9"/>
    <w:rsid w:val="53B15C19"/>
    <w:rsid w:val="53B15DFB"/>
    <w:rsid w:val="53D33B35"/>
    <w:rsid w:val="54317620"/>
    <w:rsid w:val="54DE7D7F"/>
    <w:rsid w:val="54E0511C"/>
    <w:rsid w:val="553B4932"/>
    <w:rsid w:val="554D21E4"/>
    <w:rsid w:val="567237FC"/>
    <w:rsid w:val="56723AD9"/>
    <w:rsid w:val="571D04D9"/>
    <w:rsid w:val="573C590A"/>
    <w:rsid w:val="576A5E97"/>
    <w:rsid w:val="57C66941"/>
    <w:rsid w:val="57D1348E"/>
    <w:rsid w:val="58981E9D"/>
    <w:rsid w:val="59B0305E"/>
    <w:rsid w:val="59C77C98"/>
    <w:rsid w:val="59E07889"/>
    <w:rsid w:val="59FA20DB"/>
    <w:rsid w:val="5A1A1B93"/>
    <w:rsid w:val="5AAE0E58"/>
    <w:rsid w:val="5AEC118B"/>
    <w:rsid w:val="5B3845AB"/>
    <w:rsid w:val="5B986BD9"/>
    <w:rsid w:val="5C4D1749"/>
    <w:rsid w:val="5C565624"/>
    <w:rsid w:val="5C7A0BE1"/>
    <w:rsid w:val="5CDF6F73"/>
    <w:rsid w:val="5D8365CC"/>
    <w:rsid w:val="5DA21B1C"/>
    <w:rsid w:val="5E3370B3"/>
    <w:rsid w:val="5F143EC1"/>
    <w:rsid w:val="5FE53928"/>
    <w:rsid w:val="5FEA3A8A"/>
    <w:rsid w:val="5FF56888"/>
    <w:rsid w:val="6014486C"/>
    <w:rsid w:val="602533A4"/>
    <w:rsid w:val="609C3BEC"/>
    <w:rsid w:val="60A01AB6"/>
    <w:rsid w:val="60E06FDF"/>
    <w:rsid w:val="61001CE1"/>
    <w:rsid w:val="61852BF9"/>
    <w:rsid w:val="61A86601"/>
    <w:rsid w:val="622B7232"/>
    <w:rsid w:val="62B762CE"/>
    <w:rsid w:val="63186F76"/>
    <w:rsid w:val="63CA5AFC"/>
    <w:rsid w:val="63F817F5"/>
    <w:rsid w:val="64715D1E"/>
    <w:rsid w:val="652E32C1"/>
    <w:rsid w:val="65813E40"/>
    <w:rsid w:val="658234D4"/>
    <w:rsid w:val="662270C4"/>
    <w:rsid w:val="663416A0"/>
    <w:rsid w:val="66684060"/>
    <w:rsid w:val="66A01F9C"/>
    <w:rsid w:val="671B1E32"/>
    <w:rsid w:val="675A5542"/>
    <w:rsid w:val="67C40054"/>
    <w:rsid w:val="67F8441E"/>
    <w:rsid w:val="68054A4C"/>
    <w:rsid w:val="689A0D7A"/>
    <w:rsid w:val="68BC6536"/>
    <w:rsid w:val="68C06926"/>
    <w:rsid w:val="68D57496"/>
    <w:rsid w:val="68D77266"/>
    <w:rsid w:val="69124A9B"/>
    <w:rsid w:val="69746325"/>
    <w:rsid w:val="69890D36"/>
    <w:rsid w:val="6A113536"/>
    <w:rsid w:val="6A5979E2"/>
    <w:rsid w:val="6A843C96"/>
    <w:rsid w:val="6C7D4041"/>
    <w:rsid w:val="6CA10A6B"/>
    <w:rsid w:val="6CF05300"/>
    <w:rsid w:val="6D074DAA"/>
    <w:rsid w:val="6D153DFE"/>
    <w:rsid w:val="6D6664FE"/>
    <w:rsid w:val="6D861066"/>
    <w:rsid w:val="6DAA057E"/>
    <w:rsid w:val="6DE17566"/>
    <w:rsid w:val="6DED04AC"/>
    <w:rsid w:val="6DEF6E11"/>
    <w:rsid w:val="6E1D39B2"/>
    <w:rsid w:val="6E680A75"/>
    <w:rsid w:val="6EBE50C2"/>
    <w:rsid w:val="6F295828"/>
    <w:rsid w:val="6F2961BE"/>
    <w:rsid w:val="6F4A35AA"/>
    <w:rsid w:val="6F995F5E"/>
    <w:rsid w:val="6FAF4E84"/>
    <w:rsid w:val="70395C9A"/>
    <w:rsid w:val="70451544"/>
    <w:rsid w:val="70A22325"/>
    <w:rsid w:val="70AA0566"/>
    <w:rsid w:val="70C920F0"/>
    <w:rsid w:val="716471C5"/>
    <w:rsid w:val="71754026"/>
    <w:rsid w:val="726561CB"/>
    <w:rsid w:val="730B5DC7"/>
    <w:rsid w:val="736E6C98"/>
    <w:rsid w:val="737F2F3A"/>
    <w:rsid w:val="742970E4"/>
    <w:rsid w:val="744D3D5F"/>
    <w:rsid w:val="748718CE"/>
    <w:rsid w:val="748C42F7"/>
    <w:rsid w:val="74A14721"/>
    <w:rsid w:val="759C6025"/>
    <w:rsid w:val="75B50E95"/>
    <w:rsid w:val="75B76BFD"/>
    <w:rsid w:val="761262E7"/>
    <w:rsid w:val="761E1475"/>
    <w:rsid w:val="76603AB6"/>
    <w:rsid w:val="76D72EF8"/>
    <w:rsid w:val="76FD6A5E"/>
    <w:rsid w:val="77065E4C"/>
    <w:rsid w:val="773728B1"/>
    <w:rsid w:val="77F35CA4"/>
    <w:rsid w:val="78905BAB"/>
    <w:rsid w:val="79E9540B"/>
    <w:rsid w:val="7A2615A8"/>
    <w:rsid w:val="7A27526A"/>
    <w:rsid w:val="7A6371F2"/>
    <w:rsid w:val="7A74764F"/>
    <w:rsid w:val="7AE73ABC"/>
    <w:rsid w:val="7B1F572E"/>
    <w:rsid w:val="7BB94D8B"/>
    <w:rsid w:val="7BC83F81"/>
    <w:rsid w:val="7BF73FB5"/>
    <w:rsid w:val="7C5A425C"/>
    <w:rsid w:val="7C6157D4"/>
    <w:rsid w:val="7C7B3CF5"/>
    <w:rsid w:val="7CF00B69"/>
    <w:rsid w:val="7D4F0F94"/>
    <w:rsid w:val="7D877CD5"/>
    <w:rsid w:val="7DCB5EDE"/>
    <w:rsid w:val="7E230910"/>
    <w:rsid w:val="7E351C0B"/>
    <w:rsid w:val="7E4C32B3"/>
    <w:rsid w:val="7E9B42F0"/>
    <w:rsid w:val="7ED4682F"/>
    <w:rsid w:val="7EF742CC"/>
    <w:rsid w:val="7F035DF0"/>
    <w:rsid w:val="7F863BA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nhideWhenUsed="0" w:uiPriority="0" w:semiHidden="0"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6"/>
    <w:qFormat/>
    <w:uiPriority w:val="9"/>
    <w:pPr>
      <w:keepNext/>
      <w:keepLines/>
      <w:spacing w:beforeLines="100" w:afterLines="100" w:line="360" w:lineRule="auto"/>
      <w:jc w:val="center"/>
      <w:outlineLvl w:val="0"/>
    </w:pPr>
    <w:rPr>
      <w:rFonts w:eastAsia="黑体"/>
      <w:bCs/>
      <w:kern w:val="44"/>
      <w:sz w:val="32"/>
      <w:szCs w:val="44"/>
    </w:rPr>
  </w:style>
  <w:style w:type="paragraph" w:styleId="3">
    <w:name w:val="heading 2"/>
    <w:basedOn w:val="1"/>
    <w:next w:val="1"/>
    <w:link w:val="48"/>
    <w:unhideWhenUsed/>
    <w:qFormat/>
    <w:uiPriority w:val="9"/>
    <w:pPr>
      <w:keepNext/>
      <w:keepLines/>
      <w:spacing w:line="360" w:lineRule="auto"/>
      <w:jc w:val="center"/>
      <w:outlineLvl w:val="1"/>
    </w:pPr>
    <w:rPr>
      <w:rFonts w:eastAsia="黑体" w:asciiTheme="majorHAnsi" w:hAnsiTheme="majorHAnsi" w:cstheme="majorBidi"/>
      <w:bCs/>
      <w:sz w:val="30"/>
      <w:szCs w:val="32"/>
    </w:rPr>
  </w:style>
  <w:style w:type="paragraph" w:styleId="4">
    <w:name w:val="heading 3"/>
    <w:basedOn w:val="1"/>
    <w:next w:val="1"/>
    <w:link w:val="49"/>
    <w:unhideWhenUsed/>
    <w:qFormat/>
    <w:uiPriority w:val="9"/>
    <w:pPr>
      <w:keepNext/>
      <w:keepLines/>
      <w:ind w:firstLine="200" w:firstLineChars="200"/>
      <w:jc w:val="left"/>
      <w:outlineLvl w:val="2"/>
    </w:pPr>
    <w:rPr>
      <w:rFonts w:eastAsia="黑体"/>
      <w:bCs/>
      <w:sz w:val="28"/>
      <w:szCs w:val="32"/>
    </w:rPr>
  </w:style>
  <w:style w:type="paragraph" w:styleId="5">
    <w:name w:val="heading 4"/>
    <w:basedOn w:val="1"/>
    <w:next w:val="1"/>
    <w:link w:val="50"/>
    <w:unhideWhenUsed/>
    <w:qFormat/>
    <w:uiPriority w:val="9"/>
    <w:pPr>
      <w:keepNext/>
      <w:keepLines/>
      <w:ind w:firstLine="200" w:firstLineChars="200"/>
      <w:jc w:val="left"/>
      <w:outlineLvl w:val="3"/>
    </w:pPr>
    <w:rPr>
      <w:rFonts w:eastAsia="黑体" w:asciiTheme="majorHAnsi" w:hAnsiTheme="majorHAnsi" w:cstheme="majorBidi"/>
      <w:bCs/>
      <w:sz w:val="28"/>
      <w:szCs w:val="28"/>
    </w:rPr>
  </w:style>
  <w:style w:type="paragraph" w:styleId="6">
    <w:name w:val="heading 5"/>
    <w:basedOn w:val="1"/>
    <w:next w:val="1"/>
    <w:unhideWhenUsed/>
    <w:qFormat/>
    <w:uiPriority w:val="9"/>
    <w:pPr>
      <w:keepNext/>
      <w:keepLines/>
      <w:spacing w:before="280" w:after="290" w:line="372" w:lineRule="auto"/>
      <w:outlineLvl w:val="4"/>
    </w:pPr>
    <w:rPr>
      <w:b/>
      <w:sz w:val="28"/>
    </w:rPr>
  </w:style>
  <w:style w:type="paragraph" w:styleId="7">
    <w:name w:val="heading 6"/>
    <w:basedOn w:val="1"/>
    <w:next w:val="1"/>
    <w:qFormat/>
    <w:uiPriority w:val="0"/>
    <w:pPr>
      <w:keepNext/>
      <w:keepLines/>
      <w:numPr>
        <w:ilvl w:val="5"/>
        <w:numId w:val="1"/>
      </w:numPr>
      <w:spacing w:before="120" w:after="120"/>
      <w:jc w:val="center"/>
      <w:outlineLvl w:val="5"/>
    </w:pPr>
    <w:rPr>
      <w:rFonts w:ascii="Arial" w:hAnsi="Arial" w:eastAsia="黑体"/>
      <w:b/>
      <w:bCs/>
    </w:rPr>
  </w:style>
  <w:style w:type="paragraph" w:styleId="8">
    <w:name w:val="heading 7"/>
    <w:basedOn w:val="1"/>
    <w:next w:val="1"/>
    <w:qFormat/>
    <w:uiPriority w:val="0"/>
    <w:pPr>
      <w:keepNext/>
      <w:keepLines/>
      <w:numPr>
        <w:ilvl w:val="6"/>
        <w:numId w:val="1"/>
      </w:numPr>
      <w:spacing w:before="120" w:after="120"/>
      <w:jc w:val="center"/>
      <w:outlineLvl w:val="6"/>
    </w:pPr>
    <w:rPr>
      <w:b/>
      <w:bCs/>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9">
    <w:name w:val="toc 7"/>
    <w:basedOn w:val="1"/>
    <w:next w:val="1"/>
    <w:unhideWhenUsed/>
    <w:qFormat/>
    <w:uiPriority w:val="39"/>
    <w:pPr>
      <w:ind w:left="2520" w:leftChars="1200"/>
    </w:pPr>
  </w:style>
  <w:style w:type="paragraph" w:styleId="10">
    <w:name w:val="Normal Indent"/>
    <w:basedOn w:val="1"/>
    <w:next w:val="1"/>
    <w:qFormat/>
    <w:uiPriority w:val="0"/>
    <w:pPr>
      <w:widowControl/>
      <w:ind w:firstLine="420"/>
      <w:jc w:val="left"/>
    </w:pPr>
    <w:rPr>
      <w:kern w:val="0"/>
      <w:sz w:val="20"/>
      <w:szCs w:val="20"/>
    </w:rPr>
  </w:style>
  <w:style w:type="paragraph" w:styleId="11">
    <w:name w:val="annotation text"/>
    <w:basedOn w:val="1"/>
    <w:link w:val="57"/>
    <w:qFormat/>
    <w:uiPriority w:val="0"/>
    <w:pPr>
      <w:jc w:val="left"/>
    </w:pPr>
    <w:rPr>
      <w:rFonts w:ascii="Times New Roman" w:hAnsi="Times New Roman"/>
      <w:sz w:val="28"/>
      <w:szCs w:val="24"/>
    </w:rPr>
  </w:style>
  <w:style w:type="paragraph" w:styleId="12">
    <w:name w:val="Body Text"/>
    <w:basedOn w:val="1"/>
    <w:semiHidden/>
    <w:unhideWhenUsed/>
    <w:qFormat/>
    <w:uiPriority w:val="99"/>
    <w:pPr>
      <w:spacing w:after="120"/>
    </w:pPr>
  </w:style>
  <w:style w:type="paragraph" w:styleId="13">
    <w:name w:val="Body Text Indent"/>
    <w:basedOn w:val="1"/>
    <w:next w:val="14"/>
    <w:qFormat/>
    <w:uiPriority w:val="0"/>
    <w:pPr>
      <w:spacing w:after="120"/>
      <w:ind w:left="420" w:leftChars="200"/>
    </w:pPr>
  </w:style>
  <w:style w:type="paragraph" w:styleId="14">
    <w:name w:val="header"/>
    <w:basedOn w:val="1"/>
    <w:next w:val="15"/>
    <w:link w:val="42"/>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footer"/>
    <w:basedOn w:val="1"/>
    <w:link w:val="43"/>
    <w:unhideWhenUsed/>
    <w:qFormat/>
    <w:uiPriority w:val="99"/>
    <w:pPr>
      <w:tabs>
        <w:tab w:val="center" w:pos="4153"/>
        <w:tab w:val="right" w:pos="8306"/>
      </w:tabs>
      <w:snapToGrid w:val="0"/>
      <w:jc w:val="left"/>
    </w:pPr>
    <w:rPr>
      <w:sz w:val="18"/>
      <w:szCs w:val="18"/>
    </w:rPr>
  </w:style>
  <w:style w:type="paragraph" w:styleId="16">
    <w:name w:val="toc 5"/>
    <w:basedOn w:val="1"/>
    <w:next w:val="1"/>
    <w:unhideWhenUsed/>
    <w:qFormat/>
    <w:uiPriority w:val="39"/>
    <w:pPr>
      <w:ind w:left="1680" w:leftChars="800"/>
    </w:pPr>
  </w:style>
  <w:style w:type="paragraph" w:styleId="17">
    <w:name w:val="toc 3"/>
    <w:basedOn w:val="1"/>
    <w:next w:val="1"/>
    <w:unhideWhenUsed/>
    <w:qFormat/>
    <w:uiPriority w:val="39"/>
    <w:pPr>
      <w:ind w:left="840" w:leftChars="400"/>
    </w:pPr>
  </w:style>
  <w:style w:type="paragraph" w:styleId="18">
    <w:name w:val="Plain Text"/>
    <w:basedOn w:val="1"/>
    <w:link w:val="55"/>
    <w:qFormat/>
    <w:uiPriority w:val="0"/>
    <w:rPr>
      <w:rFonts w:ascii="宋体" w:hAnsi="Courier New" w:eastAsia="宋体" w:cs="Courier New"/>
      <w:szCs w:val="21"/>
    </w:rPr>
  </w:style>
  <w:style w:type="paragraph" w:styleId="19">
    <w:name w:val="toc 8"/>
    <w:basedOn w:val="1"/>
    <w:next w:val="1"/>
    <w:unhideWhenUsed/>
    <w:qFormat/>
    <w:uiPriority w:val="39"/>
    <w:pPr>
      <w:ind w:left="2940" w:leftChars="1400"/>
    </w:pPr>
  </w:style>
  <w:style w:type="paragraph" w:styleId="20">
    <w:name w:val="Date"/>
    <w:basedOn w:val="1"/>
    <w:next w:val="1"/>
    <w:link w:val="59"/>
    <w:semiHidden/>
    <w:unhideWhenUsed/>
    <w:qFormat/>
    <w:uiPriority w:val="99"/>
    <w:pPr>
      <w:ind w:left="100" w:leftChars="2500"/>
    </w:pPr>
  </w:style>
  <w:style w:type="paragraph" w:styleId="21">
    <w:name w:val="Body Text Indent 2"/>
    <w:basedOn w:val="1"/>
    <w:link w:val="52"/>
    <w:unhideWhenUsed/>
    <w:qFormat/>
    <w:uiPriority w:val="99"/>
    <w:pPr>
      <w:spacing w:after="120" w:line="480" w:lineRule="auto"/>
      <w:ind w:left="420" w:leftChars="200"/>
    </w:pPr>
    <w:rPr>
      <w:rFonts w:ascii="Times New Roman" w:hAnsi="Times New Roman" w:eastAsia="宋体" w:cs="Times New Roman"/>
    </w:rPr>
  </w:style>
  <w:style w:type="paragraph" w:styleId="22">
    <w:name w:val="Balloon Text"/>
    <w:basedOn w:val="1"/>
    <w:link w:val="44"/>
    <w:unhideWhenUsed/>
    <w:qFormat/>
    <w:uiPriority w:val="0"/>
    <w:rPr>
      <w:sz w:val="18"/>
      <w:szCs w:val="18"/>
    </w:rPr>
  </w:style>
  <w:style w:type="paragraph" w:styleId="23">
    <w:name w:val="toc 1"/>
    <w:basedOn w:val="1"/>
    <w:next w:val="1"/>
    <w:unhideWhenUsed/>
    <w:qFormat/>
    <w:uiPriority w:val="39"/>
  </w:style>
  <w:style w:type="paragraph" w:styleId="24">
    <w:name w:val="toc 4"/>
    <w:basedOn w:val="1"/>
    <w:next w:val="1"/>
    <w:unhideWhenUsed/>
    <w:qFormat/>
    <w:uiPriority w:val="39"/>
    <w:pPr>
      <w:ind w:left="1260" w:leftChars="600"/>
    </w:pPr>
  </w:style>
  <w:style w:type="paragraph" w:styleId="25">
    <w:name w:val="toc 6"/>
    <w:basedOn w:val="1"/>
    <w:next w:val="1"/>
    <w:unhideWhenUsed/>
    <w:qFormat/>
    <w:uiPriority w:val="39"/>
    <w:pPr>
      <w:ind w:left="2100" w:leftChars="1000"/>
    </w:pPr>
  </w:style>
  <w:style w:type="paragraph" w:styleId="26">
    <w:name w:val="toc 2"/>
    <w:basedOn w:val="1"/>
    <w:next w:val="1"/>
    <w:unhideWhenUsed/>
    <w:qFormat/>
    <w:uiPriority w:val="39"/>
    <w:pPr>
      <w:ind w:left="420" w:leftChars="200"/>
    </w:pPr>
  </w:style>
  <w:style w:type="paragraph" w:styleId="27">
    <w:name w:val="toc 9"/>
    <w:basedOn w:val="1"/>
    <w:next w:val="1"/>
    <w:unhideWhenUsed/>
    <w:qFormat/>
    <w:uiPriority w:val="39"/>
    <w:pPr>
      <w:ind w:left="3360" w:leftChars="1600"/>
    </w:pPr>
  </w:style>
  <w:style w:type="paragraph" w:styleId="28">
    <w:name w:val="Normal (Web)"/>
    <w:basedOn w:val="1"/>
    <w:qFormat/>
    <w:uiPriority w:val="0"/>
    <w:pPr>
      <w:widowControl/>
      <w:spacing w:before="100" w:beforeAutospacing="1" w:after="100" w:afterAutospacing="1" w:line="360" w:lineRule="auto"/>
      <w:jc w:val="left"/>
    </w:pPr>
    <w:rPr>
      <w:rFonts w:ascii="宋体" w:hAnsi="宋体" w:eastAsia="宋体" w:cs="Times New Roman"/>
      <w:kern w:val="0"/>
      <w:sz w:val="24"/>
      <w:szCs w:val="24"/>
    </w:rPr>
  </w:style>
  <w:style w:type="paragraph" w:styleId="29">
    <w:name w:val="annotation subject"/>
    <w:basedOn w:val="11"/>
    <w:next w:val="11"/>
    <w:link w:val="58"/>
    <w:semiHidden/>
    <w:unhideWhenUsed/>
    <w:qFormat/>
    <w:uiPriority w:val="99"/>
    <w:rPr>
      <w:rFonts w:asciiTheme="minorHAnsi" w:hAnsiTheme="minorHAnsi"/>
      <w:b/>
      <w:bCs/>
      <w:sz w:val="21"/>
      <w:szCs w:val="22"/>
    </w:rPr>
  </w:style>
  <w:style w:type="paragraph" w:styleId="30">
    <w:name w:val="Body Text First Indent"/>
    <w:basedOn w:val="12"/>
    <w:semiHidden/>
    <w:unhideWhenUsed/>
    <w:qFormat/>
    <w:uiPriority w:val="99"/>
    <w:pPr>
      <w:ind w:firstLine="420" w:firstLineChars="100"/>
    </w:pPr>
  </w:style>
  <w:style w:type="table" w:styleId="32">
    <w:name w:val="Table Grid"/>
    <w:basedOn w:val="3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qFormat/>
    <w:uiPriority w:val="22"/>
    <w:rPr>
      <w:b/>
    </w:rPr>
  </w:style>
  <w:style w:type="character" w:styleId="35">
    <w:name w:val="page number"/>
    <w:basedOn w:val="33"/>
    <w:qFormat/>
    <w:uiPriority w:val="0"/>
  </w:style>
  <w:style w:type="character" w:styleId="36">
    <w:name w:val="Hyperlink"/>
    <w:basedOn w:val="33"/>
    <w:unhideWhenUsed/>
    <w:qFormat/>
    <w:uiPriority w:val="99"/>
    <w:rPr>
      <w:color w:val="0000FF" w:themeColor="hyperlink"/>
      <w:u w:val="single"/>
      <w14:textFill>
        <w14:solidFill>
          <w14:schemeClr w14:val="hlink"/>
        </w14:solidFill>
      </w14:textFill>
    </w:rPr>
  </w:style>
  <w:style w:type="character" w:styleId="37">
    <w:name w:val="annotation reference"/>
    <w:basedOn w:val="33"/>
    <w:semiHidden/>
    <w:unhideWhenUsed/>
    <w:qFormat/>
    <w:uiPriority w:val="99"/>
    <w:rPr>
      <w:sz w:val="21"/>
      <w:szCs w:val="21"/>
    </w:rPr>
  </w:style>
  <w:style w:type="paragraph" w:customStyle="1" w:styleId="38">
    <w:name w:val="正文首行缩进 21"/>
    <w:basedOn w:val="13"/>
    <w:qFormat/>
    <w:uiPriority w:val="0"/>
    <w:pPr>
      <w:ind w:firstLine="420" w:firstLineChars="200"/>
    </w:pPr>
    <w:rPr>
      <w:rFonts w:ascii="Times New Roman" w:hAnsi="Times New Roman"/>
      <w:szCs w:val="24"/>
    </w:rPr>
  </w:style>
  <w:style w:type="paragraph" w:customStyle="1" w:styleId="39">
    <w:name w:val="Default"/>
    <w:unhideWhenUsed/>
    <w:qFormat/>
    <w:uiPriority w:val="0"/>
    <w:pPr>
      <w:widowControl w:val="0"/>
      <w:autoSpaceDE w:val="0"/>
      <w:autoSpaceDN w:val="0"/>
      <w:adjustRightInd w:val="0"/>
    </w:pPr>
    <w:rPr>
      <w:rFonts w:hint="eastAsia" w:ascii="宋体" w:hAnsi="Times New Roman" w:eastAsia="宋体" w:cs="宋体"/>
      <w:color w:val="000000"/>
      <w:kern w:val="2"/>
      <w:sz w:val="24"/>
      <w:szCs w:val="24"/>
      <w:lang w:val="en-US" w:eastAsia="zh-CN" w:bidi="ar-SA"/>
    </w:rPr>
  </w:style>
  <w:style w:type="paragraph" w:customStyle="1" w:styleId="40">
    <w:name w:val="样式5"/>
    <w:basedOn w:val="10"/>
    <w:qFormat/>
    <w:uiPriority w:val="0"/>
    <w:pPr>
      <w:spacing w:before="100" w:beforeAutospacing="1" w:after="100" w:afterAutospacing="1"/>
      <w:ind w:left="284"/>
    </w:pPr>
    <w:rPr>
      <w:bCs/>
      <w:sz w:val="24"/>
      <w:szCs w:val="24"/>
    </w:rPr>
  </w:style>
  <w:style w:type="paragraph" w:customStyle="1" w:styleId="41">
    <w:name w:val="正文文字"/>
    <w:basedOn w:val="1"/>
    <w:qFormat/>
    <w:uiPriority w:val="0"/>
    <w:pPr>
      <w:spacing w:line="360" w:lineRule="auto"/>
      <w:ind w:firstLine="480" w:firstLineChars="200"/>
    </w:pPr>
  </w:style>
  <w:style w:type="character" w:customStyle="1" w:styleId="42">
    <w:name w:val="页眉 字符"/>
    <w:basedOn w:val="33"/>
    <w:link w:val="14"/>
    <w:qFormat/>
    <w:uiPriority w:val="99"/>
    <w:rPr>
      <w:sz w:val="18"/>
      <w:szCs w:val="18"/>
    </w:rPr>
  </w:style>
  <w:style w:type="character" w:customStyle="1" w:styleId="43">
    <w:name w:val="页脚 字符"/>
    <w:basedOn w:val="33"/>
    <w:link w:val="15"/>
    <w:qFormat/>
    <w:uiPriority w:val="99"/>
    <w:rPr>
      <w:sz w:val="18"/>
      <w:szCs w:val="18"/>
    </w:rPr>
  </w:style>
  <w:style w:type="character" w:customStyle="1" w:styleId="44">
    <w:name w:val="批注框文本 字符"/>
    <w:basedOn w:val="33"/>
    <w:link w:val="22"/>
    <w:qFormat/>
    <w:uiPriority w:val="0"/>
    <w:rPr>
      <w:sz w:val="18"/>
      <w:szCs w:val="18"/>
    </w:rPr>
  </w:style>
  <w:style w:type="paragraph" w:customStyle="1" w:styleId="45">
    <w:name w:val="Table Paragraph"/>
    <w:basedOn w:val="1"/>
    <w:qFormat/>
    <w:uiPriority w:val="1"/>
    <w:pPr>
      <w:spacing w:before="184"/>
      <w:jc w:val="center"/>
    </w:pPr>
    <w:rPr>
      <w:rFonts w:ascii="Times New Roman" w:hAnsi="Times New Roman" w:eastAsia="Times New Roman" w:cs="Times New Roman"/>
      <w:szCs w:val="24"/>
      <w:lang w:val="zh-CN" w:bidi="zh-CN"/>
    </w:rPr>
  </w:style>
  <w:style w:type="character" w:customStyle="1" w:styleId="46">
    <w:name w:val="标题 1 字符"/>
    <w:basedOn w:val="33"/>
    <w:link w:val="2"/>
    <w:qFormat/>
    <w:uiPriority w:val="9"/>
    <w:rPr>
      <w:rFonts w:eastAsia="黑体"/>
      <w:bCs/>
      <w:kern w:val="44"/>
      <w:sz w:val="32"/>
      <w:szCs w:val="44"/>
    </w:rPr>
  </w:style>
  <w:style w:type="paragraph" w:customStyle="1" w:styleId="47">
    <w:name w:val="TOC 标题1"/>
    <w:basedOn w:val="2"/>
    <w:next w:val="1"/>
    <w:semiHidden/>
    <w:unhideWhenUsed/>
    <w:qFormat/>
    <w:uiPriority w:val="39"/>
    <w:pPr>
      <w:widowControl/>
      <w:spacing w:before="48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8">
    <w:name w:val="标题 2 字符"/>
    <w:basedOn w:val="33"/>
    <w:link w:val="3"/>
    <w:qFormat/>
    <w:uiPriority w:val="9"/>
    <w:rPr>
      <w:rFonts w:eastAsia="黑体" w:asciiTheme="majorHAnsi" w:hAnsiTheme="majorHAnsi" w:cstheme="majorBidi"/>
      <w:bCs/>
      <w:sz w:val="30"/>
      <w:szCs w:val="32"/>
    </w:rPr>
  </w:style>
  <w:style w:type="character" w:customStyle="1" w:styleId="49">
    <w:name w:val="标题 3 字符"/>
    <w:basedOn w:val="33"/>
    <w:link w:val="4"/>
    <w:qFormat/>
    <w:uiPriority w:val="9"/>
    <w:rPr>
      <w:rFonts w:eastAsia="黑体"/>
      <w:bCs/>
      <w:sz w:val="28"/>
      <w:szCs w:val="32"/>
    </w:rPr>
  </w:style>
  <w:style w:type="character" w:customStyle="1" w:styleId="50">
    <w:name w:val="标题 4 字符"/>
    <w:basedOn w:val="33"/>
    <w:link w:val="5"/>
    <w:qFormat/>
    <w:uiPriority w:val="9"/>
    <w:rPr>
      <w:rFonts w:eastAsia="黑体" w:asciiTheme="majorHAnsi" w:hAnsiTheme="majorHAnsi" w:cstheme="majorBidi"/>
      <w:bCs/>
      <w:sz w:val="28"/>
      <w:szCs w:val="28"/>
    </w:rPr>
  </w:style>
  <w:style w:type="paragraph" w:styleId="51">
    <w:name w:val="List Paragraph"/>
    <w:basedOn w:val="1"/>
    <w:qFormat/>
    <w:uiPriority w:val="34"/>
    <w:pPr>
      <w:ind w:firstLine="420" w:firstLineChars="200"/>
    </w:pPr>
  </w:style>
  <w:style w:type="character" w:customStyle="1" w:styleId="52">
    <w:name w:val="正文文本缩进 2 字符"/>
    <w:basedOn w:val="33"/>
    <w:link w:val="21"/>
    <w:qFormat/>
    <w:uiPriority w:val="99"/>
    <w:rPr>
      <w:rFonts w:ascii="Times New Roman" w:hAnsi="Times New Roman" w:eastAsia="宋体" w:cs="Times New Roman"/>
    </w:rPr>
  </w:style>
  <w:style w:type="paragraph" w:customStyle="1" w:styleId="53">
    <w:name w:val="正文 + 首行缩进"/>
    <w:basedOn w:val="1"/>
    <w:qFormat/>
    <w:uiPriority w:val="0"/>
    <w:pPr>
      <w:spacing w:line="500" w:lineRule="exact"/>
      <w:ind w:firstLine="560" w:firstLineChars="200"/>
    </w:pPr>
    <w:rPr>
      <w:rFonts w:ascii="Calibri" w:hAnsi="Calibri" w:eastAsia="宋体" w:cs="Times New Roman"/>
      <w:sz w:val="28"/>
      <w:szCs w:val="20"/>
    </w:rPr>
  </w:style>
  <w:style w:type="paragraph" w:customStyle="1" w:styleId="54">
    <w:name w:val="三级条标题"/>
    <w:basedOn w:val="1"/>
    <w:next w:val="4"/>
    <w:qFormat/>
    <w:uiPriority w:val="0"/>
    <w:pPr>
      <w:widowControl/>
      <w:numPr>
        <w:ilvl w:val="4"/>
        <w:numId w:val="2"/>
      </w:numPr>
      <w:outlineLvl w:val="4"/>
    </w:pPr>
    <w:rPr>
      <w:rFonts w:ascii="黑体" w:hAnsi="Calibri" w:eastAsia="黑体" w:cs="Times New Roman"/>
      <w:kern w:val="0"/>
      <w:szCs w:val="20"/>
    </w:rPr>
  </w:style>
  <w:style w:type="character" w:customStyle="1" w:styleId="55">
    <w:name w:val="纯文本 字符"/>
    <w:basedOn w:val="33"/>
    <w:link w:val="18"/>
    <w:qFormat/>
    <w:uiPriority w:val="0"/>
    <w:rPr>
      <w:rFonts w:ascii="宋体" w:hAnsi="Courier New" w:eastAsia="宋体" w:cs="Courier New"/>
      <w:szCs w:val="21"/>
    </w:rPr>
  </w:style>
  <w:style w:type="paragraph" w:customStyle="1" w:styleId="56">
    <w:name w:val="二级条标题"/>
    <w:basedOn w:val="1"/>
    <w:next w:val="4"/>
    <w:qFormat/>
    <w:uiPriority w:val="0"/>
    <w:pPr>
      <w:widowControl/>
      <w:numPr>
        <w:ilvl w:val="0"/>
        <w:numId w:val="3"/>
      </w:numPr>
      <w:ind w:left="840" w:firstLine="0"/>
      <w:outlineLvl w:val="3"/>
    </w:pPr>
    <w:rPr>
      <w:rFonts w:ascii="黑体" w:hAnsi="Calibri" w:eastAsia="黑体" w:cs="Times New Roman"/>
      <w:kern w:val="0"/>
      <w:szCs w:val="20"/>
    </w:rPr>
  </w:style>
  <w:style w:type="character" w:customStyle="1" w:styleId="57">
    <w:name w:val="批注文字 字符"/>
    <w:basedOn w:val="33"/>
    <w:link w:val="11"/>
    <w:qFormat/>
    <w:uiPriority w:val="0"/>
    <w:rPr>
      <w:rFonts w:ascii="Times New Roman" w:hAnsi="Times New Roman"/>
      <w:sz w:val="28"/>
      <w:szCs w:val="24"/>
    </w:rPr>
  </w:style>
  <w:style w:type="character" w:customStyle="1" w:styleId="58">
    <w:name w:val="批注主题 字符"/>
    <w:basedOn w:val="57"/>
    <w:link w:val="29"/>
    <w:semiHidden/>
    <w:qFormat/>
    <w:uiPriority w:val="99"/>
    <w:rPr>
      <w:rFonts w:ascii="Times New Roman" w:hAnsi="Times New Roman"/>
      <w:b/>
      <w:bCs/>
      <w:sz w:val="28"/>
      <w:szCs w:val="24"/>
    </w:rPr>
  </w:style>
  <w:style w:type="character" w:customStyle="1" w:styleId="59">
    <w:name w:val="日期 字符"/>
    <w:basedOn w:val="33"/>
    <w:link w:val="20"/>
    <w:semiHidden/>
    <w:qFormat/>
    <w:uiPriority w:val="99"/>
  </w:style>
  <w:style w:type="character" w:customStyle="1" w:styleId="60">
    <w:name w:val="页眉、页脚 Char"/>
    <w:link w:val="61"/>
    <w:qFormat/>
    <w:uiPriority w:val="10"/>
    <w:rPr>
      <w:kern w:val="0"/>
      <w:sz w:val="18"/>
      <w:szCs w:val="20"/>
    </w:rPr>
  </w:style>
  <w:style w:type="paragraph" w:customStyle="1" w:styleId="61">
    <w:name w:val="页眉、页脚"/>
    <w:basedOn w:val="62"/>
    <w:link w:val="60"/>
    <w:qFormat/>
    <w:uiPriority w:val="10"/>
    <w:pPr>
      <w:spacing w:line="240" w:lineRule="auto"/>
    </w:pPr>
    <w:rPr>
      <w:sz w:val="18"/>
      <w:szCs w:val="20"/>
    </w:rPr>
  </w:style>
  <w:style w:type="paragraph" w:customStyle="1" w:styleId="62">
    <w:name w:val="附件内容"/>
    <w:basedOn w:val="63"/>
    <w:qFormat/>
    <w:uiPriority w:val="8"/>
    <w:rPr>
      <w:b w:val="0"/>
      <w:sz w:val="28"/>
      <w:szCs w:val="21"/>
    </w:rPr>
  </w:style>
  <w:style w:type="paragraph" w:customStyle="1" w:styleId="63">
    <w:name w:val="附件、附图"/>
    <w:basedOn w:val="64"/>
    <w:qFormat/>
    <w:uiPriority w:val="7"/>
    <w:pPr>
      <w:jc w:val="both"/>
    </w:pPr>
    <w:rPr>
      <w:kern w:val="0"/>
      <w:sz w:val="32"/>
      <w:szCs w:val="20"/>
    </w:rPr>
  </w:style>
  <w:style w:type="paragraph" w:customStyle="1" w:styleId="64">
    <w:name w:val="附件及附图"/>
    <w:basedOn w:val="65"/>
    <w:qFormat/>
    <w:uiPriority w:val="6"/>
    <w:pPr>
      <w:spacing w:line="360" w:lineRule="auto"/>
    </w:pPr>
    <w:rPr>
      <w:b/>
      <w:sz w:val="36"/>
    </w:rPr>
  </w:style>
  <w:style w:type="paragraph" w:customStyle="1" w:styleId="65">
    <w:name w:val="无间隔1"/>
    <w:basedOn w:val="66"/>
    <w:qFormat/>
    <w:uiPriority w:val="0"/>
    <w:rPr>
      <w:b w:val="0"/>
      <w:kern w:val="2"/>
      <w:sz w:val="24"/>
      <w:szCs w:val="21"/>
    </w:rPr>
  </w:style>
  <w:style w:type="paragraph" w:customStyle="1" w:styleId="66">
    <w:name w:val="表头"/>
    <w:basedOn w:val="1"/>
    <w:qFormat/>
    <w:uiPriority w:val="4"/>
    <w:pPr>
      <w:jc w:val="center"/>
    </w:pPr>
    <w:rPr>
      <w:b/>
      <w:kern w:val="0"/>
      <w:szCs w:val="20"/>
    </w:rPr>
  </w:style>
  <w:style w:type="paragraph" w:customStyle="1" w:styleId="67">
    <w:name w:val="正文（首行缩进两字）"/>
    <w:basedOn w:val="1"/>
    <w:unhideWhenUsed/>
    <w:qFormat/>
    <w:uiPriority w:val="0"/>
    <w:rPr>
      <w:sz w:val="28"/>
      <w:szCs w:val="24"/>
    </w:rPr>
  </w:style>
  <w:style w:type="paragraph" w:customStyle="1" w:styleId="68">
    <w:name w:val="Body text|1"/>
    <w:basedOn w:val="1"/>
    <w:qFormat/>
    <w:uiPriority w:val="0"/>
    <w:pPr>
      <w:spacing w:line="360" w:lineRule="auto"/>
      <w:ind w:firstLine="210"/>
    </w:pPr>
    <w:rPr>
      <w:rFonts w:ascii="宋体" w:hAnsi="宋体" w:eastAsia="宋体" w:cs="宋体"/>
      <w:sz w:val="19"/>
      <w:szCs w:val="19"/>
      <w:lang w:val="zh-TW" w:eastAsia="zh-TW" w:bidi="zh-TW"/>
    </w:rPr>
  </w:style>
  <w:style w:type="paragraph" w:customStyle="1" w:styleId="69">
    <w:name w:val="表文"/>
    <w:basedOn w:val="1"/>
    <w:next w:val="1"/>
    <w:qFormat/>
    <w:uiPriority w:val="0"/>
    <w:pPr>
      <w:jc w:val="center"/>
    </w:pPr>
    <w:rPr>
      <w:rFonts w:ascii="宋体" w:hAnsi="宋体" w:eastAsia="宋体"/>
      <w:sz w:val="24"/>
    </w:rPr>
  </w:style>
  <w:style w:type="character" w:customStyle="1" w:styleId="70">
    <w:name w:val="font21"/>
    <w:basedOn w:val="33"/>
    <w:qFormat/>
    <w:uiPriority w:val="0"/>
    <w:rPr>
      <w:rFonts w:ascii="宋体" w:hAnsi="宋体" w:eastAsia="宋体" w:cs="宋体"/>
      <w:b/>
      <w:bCs/>
      <w:color w:val="000000"/>
      <w:sz w:val="12"/>
      <w:szCs w:val="12"/>
      <w:u w:val="none"/>
    </w:rPr>
  </w:style>
  <w:style w:type="character" w:customStyle="1" w:styleId="71">
    <w:name w:val="font31"/>
    <w:basedOn w:val="33"/>
    <w:qFormat/>
    <w:uiPriority w:val="0"/>
    <w:rPr>
      <w:rFonts w:ascii="宋体" w:hAnsi="宋体" w:eastAsia="宋体" w:cs="宋体"/>
      <w:color w:val="000000"/>
      <w:sz w:val="12"/>
      <w:szCs w:val="12"/>
      <w:u w:val="none"/>
    </w:rPr>
  </w:style>
  <w:style w:type="character" w:customStyle="1" w:styleId="72">
    <w:name w:val="font41"/>
    <w:basedOn w:val="33"/>
    <w:qFormat/>
    <w:uiPriority w:val="0"/>
    <w:rPr>
      <w:rFonts w:ascii="宋体" w:hAnsi="宋体" w:eastAsia="宋体" w:cs="宋体"/>
      <w:color w:val="003A86"/>
      <w:sz w:val="12"/>
      <w:szCs w:val="12"/>
      <w:u w:val="none"/>
    </w:rPr>
  </w:style>
  <w:style w:type="character" w:customStyle="1" w:styleId="73">
    <w:name w:val="font51"/>
    <w:basedOn w:val="33"/>
    <w:qFormat/>
    <w:uiPriority w:val="0"/>
    <w:rPr>
      <w:rFonts w:ascii="宋体" w:hAnsi="宋体" w:eastAsia="宋体" w:cs="宋体"/>
      <w:color w:val="003E7D"/>
      <w:sz w:val="12"/>
      <w:szCs w:val="12"/>
      <w:u w:val="none"/>
    </w:rPr>
  </w:style>
  <w:style w:type="paragraph" w:styleId="74">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75">
    <w:name w:val="p0"/>
    <w:basedOn w:val="1"/>
    <w:qFormat/>
    <w:uiPriority w:val="0"/>
    <w:pPr>
      <w:widowControl/>
    </w:pPr>
    <w:rPr>
      <w:rFonts w:ascii="Calibri" w:hAnsi="Calibri" w:cs="宋体"/>
      <w:kern w:val="0"/>
      <w:szCs w:val="21"/>
    </w:rPr>
  </w:style>
  <w:style w:type="paragraph" w:customStyle="1" w:styleId="76">
    <w:name w:val="正文1 Char"/>
    <w:basedOn w:val="1"/>
    <w:qFormat/>
    <w:uiPriority w:val="0"/>
    <w:pPr>
      <w:tabs>
        <w:tab w:val="left" w:pos="5327"/>
        <w:tab w:val="left" w:pos="6326"/>
        <w:tab w:val="left" w:pos="7230"/>
        <w:tab w:val="left" w:pos="9301"/>
      </w:tabs>
      <w:autoSpaceDE w:val="0"/>
      <w:autoSpaceDN w:val="0"/>
      <w:adjustRightInd w:val="0"/>
      <w:snapToGrid w:val="0"/>
      <w:spacing w:line="500" w:lineRule="exact"/>
      <w:ind w:firstLine="560" w:firstLineChars="200"/>
    </w:pPr>
    <w:rPr>
      <w:rFonts w:ascii="Arial Narrow" w:hAnsi="Arial Narrow"/>
      <w:color w:val="000000"/>
      <w:kern w:val="10"/>
      <w:sz w:val="28"/>
      <w:szCs w:val="28"/>
      <w:lang w:val="zh-CN"/>
    </w:rPr>
  </w:style>
  <w:style w:type="paragraph" w:customStyle="1" w:styleId="77">
    <w:name w:val="样式 正文首行缩进 + 首行缩进:  1 字符"/>
    <w:basedOn w:val="30"/>
    <w:semiHidden/>
    <w:qFormat/>
    <w:uiPriority w:val="0"/>
    <w:pPr>
      <w:tabs>
        <w:tab w:val="left" w:pos="5327"/>
        <w:tab w:val="left" w:pos="6326"/>
        <w:tab w:val="left" w:pos="7230"/>
        <w:tab w:val="left" w:pos="9301"/>
      </w:tabs>
      <w:spacing w:after="0" w:line="560" w:lineRule="exact"/>
      <w:ind w:firstLine="560" w:firstLineChars="200"/>
      <w:jc w:val="left"/>
    </w:pPr>
    <w:rPr>
      <w:rFonts w:ascii="宋体" w:hAnsi="宋体" w:cs="宋体"/>
      <w:kern w:val="10"/>
      <w:szCs w:val="28"/>
    </w:rPr>
  </w:style>
  <w:style w:type="paragraph" w:customStyle="1" w:styleId="78">
    <w:name w:val="正文一"/>
    <w:basedOn w:val="12"/>
    <w:qFormat/>
    <w:uiPriority w:val="0"/>
    <w:pPr>
      <w:widowControl/>
      <w:spacing w:after="0" w:line="560" w:lineRule="exact"/>
      <w:ind w:firstLine="639" w:firstLineChars="225"/>
    </w:pPr>
    <w:rPr>
      <w:rFonts w:ascii="仿宋_GB2312" w:eastAsia="仿宋_GB2312" w:cs="宋体"/>
      <w:spacing w:val="2"/>
      <w:sz w:val="28"/>
      <w:szCs w:val="20"/>
    </w:rPr>
  </w:style>
  <w:style w:type="paragraph" w:customStyle="1" w:styleId="79">
    <w:name w:val="正文1 Char Char Char Char Char Char Char"/>
    <w:basedOn w:val="1"/>
    <w:qFormat/>
    <w:uiPriority w:val="0"/>
    <w:pPr>
      <w:tabs>
        <w:tab w:val="left" w:pos="5327"/>
        <w:tab w:val="left" w:pos="6326"/>
        <w:tab w:val="left" w:pos="7230"/>
        <w:tab w:val="left" w:pos="9301"/>
      </w:tabs>
      <w:autoSpaceDE w:val="0"/>
      <w:autoSpaceDN w:val="0"/>
      <w:adjustRightInd w:val="0"/>
      <w:snapToGrid w:val="0"/>
      <w:spacing w:line="600" w:lineRule="exact"/>
      <w:ind w:firstLine="560" w:firstLineChars="200"/>
      <w:jc w:val="left"/>
    </w:pPr>
    <w:rPr>
      <w:rFonts w:ascii="Arial Narrow" w:hAnsi="Arial Narrow" w:eastAsia="仿宋_GB2312"/>
      <w:color w:val="000000"/>
      <w:kern w:val="10"/>
      <w:sz w:val="28"/>
      <w:szCs w:val="28"/>
    </w:rPr>
  </w:style>
  <w:style w:type="paragraph" w:customStyle="1" w:styleId="80">
    <w:name w:val="样式 文本正文 + 首行缩进:  2 字符 Char"/>
    <w:basedOn w:val="1"/>
    <w:qFormat/>
    <w:uiPriority w:val="0"/>
    <w:pPr>
      <w:spacing w:line="560" w:lineRule="exact"/>
      <w:ind w:firstLine="480" w:firstLineChars="200"/>
    </w:pPr>
    <w:rPr>
      <w:rFonts w:ascii="Arial" w:hAnsi="Arial" w:eastAsia="幼圆" w:cs="宋体"/>
      <w:sz w:val="24"/>
      <w:szCs w:val="20"/>
    </w:rPr>
  </w:style>
  <w:style w:type="paragraph" w:customStyle="1" w:styleId="81">
    <w:name w:val="样式 段前: 6 磅 段后: 6 磅 行距: 1.5 倍行距 首行缩进:  2 字符"/>
    <w:basedOn w:val="1"/>
    <w:qFormat/>
    <w:uiPriority w:val="0"/>
    <w:pPr>
      <w:spacing w:line="540" w:lineRule="exact"/>
      <w:ind w:firstLine="560" w:firstLineChars="200"/>
    </w:pPr>
    <w:rPr>
      <w:rFonts w:ascii="宋体" w:hAnsi="宋体"/>
      <w:kern w:val="1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8" Type="http://schemas.openxmlformats.org/officeDocument/2006/relationships/fontTable" Target="fontTable.xml"/><Relationship Id="rId47" Type="http://schemas.openxmlformats.org/officeDocument/2006/relationships/customXml" Target="../customXml/item2.xml"/><Relationship Id="rId46" Type="http://schemas.openxmlformats.org/officeDocument/2006/relationships/numbering" Target="numbering.xml"/><Relationship Id="rId45" Type="http://schemas.openxmlformats.org/officeDocument/2006/relationships/customXml" Target="../customXml/item1.xml"/><Relationship Id="rId44" Type="http://schemas.openxmlformats.org/officeDocument/2006/relationships/image" Target="media/image15.wmf"/><Relationship Id="rId43" Type="http://schemas.openxmlformats.org/officeDocument/2006/relationships/oleObject" Target="embeddings/oleObject18.bin"/><Relationship Id="rId42" Type="http://schemas.openxmlformats.org/officeDocument/2006/relationships/image" Target="media/image14.wmf"/><Relationship Id="rId41" Type="http://schemas.openxmlformats.org/officeDocument/2006/relationships/oleObject" Target="embeddings/oleObject17.bin"/><Relationship Id="rId40" Type="http://schemas.openxmlformats.org/officeDocument/2006/relationships/image" Target="media/image13.wmf"/><Relationship Id="rId4" Type="http://schemas.openxmlformats.org/officeDocument/2006/relationships/footer" Target="footer1.xml"/><Relationship Id="rId39" Type="http://schemas.openxmlformats.org/officeDocument/2006/relationships/oleObject" Target="embeddings/oleObject16.bin"/><Relationship Id="rId38" Type="http://schemas.openxmlformats.org/officeDocument/2006/relationships/oleObject" Target="embeddings/oleObject15.bin"/><Relationship Id="rId37" Type="http://schemas.openxmlformats.org/officeDocument/2006/relationships/oleObject" Target="embeddings/oleObject14.bin"/><Relationship Id="rId36" Type="http://schemas.openxmlformats.org/officeDocument/2006/relationships/image" Target="media/image12.wmf"/><Relationship Id="rId35" Type="http://schemas.openxmlformats.org/officeDocument/2006/relationships/oleObject" Target="embeddings/oleObject13.bin"/><Relationship Id="rId34" Type="http://schemas.openxmlformats.org/officeDocument/2006/relationships/image" Target="media/image11.wmf"/><Relationship Id="rId33" Type="http://schemas.openxmlformats.org/officeDocument/2006/relationships/oleObject" Target="embeddings/oleObject12.bin"/><Relationship Id="rId32" Type="http://schemas.openxmlformats.org/officeDocument/2006/relationships/image" Target="media/image10.wmf"/><Relationship Id="rId31" Type="http://schemas.openxmlformats.org/officeDocument/2006/relationships/oleObject" Target="embeddings/oleObject11.bin"/><Relationship Id="rId30" Type="http://schemas.openxmlformats.org/officeDocument/2006/relationships/oleObject" Target="embeddings/oleObject10.bin"/><Relationship Id="rId3" Type="http://schemas.openxmlformats.org/officeDocument/2006/relationships/header" Target="header1.xml"/><Relationship Id="rId29" Type="http://schemas.openxmlformats.org/officeDocument/2006/relationships/oleObject" Target="embeddings/oleObject9.bin"/><Relationship Id="rId28" Type="http://schemas.openxmlformats.org/officeDocument/2006/relationships/image" Target="media/image9.wmf"/><Relationship Id="rId27" Type="http://schemas.openxmlformats.org/officeDocument/2006/relationships/oleObject" Target="embeddings/oleObject8.bin"/><Relationship Id="rId26" Type="http://schemas.openxmlformats.org/officeDocument/2006/relationships/image" Target="media/image8.wmf"/><Relationship Id="rId25" Type="http://schemas.openxmlformats.org/officeDocument/2006/relationships/oleObject" Target="embeddings/oleObject7.bin"/><Relationship Id="rId24" Type="http://schemas.openxmlformats.org/officeDocument/2006/relationships/image" Target="media/image7.wmf"/><Relationship Id="rId23" Type="http://schemas.openxmlformats.org/officeDocument/2006/relationships/oleObject" Target="embeddings/oleObject6.bin"/><Relationship Id="rId22" Type="http://schemas.openxmlformats.org/officeDocument/2006/relationships/image" Target="media/image6.wmf"/><Relationship Id="rId21" Type="http://schemas.openxmlformats.org/officeDocument/2006/relationships/oleObject" Target="embeddings/oleObject5.bin"/><Relationship Id="rId20" Type="http://schemas.openxmlformats.org/officeDocument/2006/relationships/image" Target="media/image5.wmf"/><Relationship Id="rId2" Type="http://schemas.openxmlformats.org/officeDocument/2006/relationships/settings" Target="settings.xml"/><Relationship Id="rId19" Type="http://schemas.openxmlformats.org/officeDocument/2006/relationships/oleObject" Target="embeddings/oleObject4.bin"/><Relationship Id="rId18" Type="http://schemas.openxmlformats.org/officeDocument/2006/relationships/image" Target="media/image4.wmf"/><Relationship Id="rId17" Type="http://schemas.openxmlformats.org/officeDocument/2006/relationships/oleObject" Target="embeddings/oleObject3.bin"/><Relationship Id="rId16" Type="http://schemas.openxmlformats.org/officeDocument/2006/relationships/image" Target="media/image3.wmf"/><Relationship Id="rId15" Type="http://schemas.openxmlformats.org/officeDocument/2006/relationships/oleObject" Target="embeddings/oleObject2.bin"/><Relationship Id="rId14" Type="http://schemas.openxmlformats.org/officeDocument/2006/relationships/image" Target="media/image2.wmf"/><Relationship Id="rId13" Type="http://schemas.openxmlformats.org/officeDocument/2006/relationships/oleObject" Target="embeddings/oleObject1.bin"/><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ED36C0-A870-4572-9F69-783D405DFDFC}">
  <ds:schemaRefs/>
</ds:datastoreItem>
</file>

<file path=docProps/app.xml><?xml version="1.0" encoding="utf-8"?>
<Properties xmlns="http://schemas.openxmlformats.org/officeDocument/2006/extended-properties" xmlns:vt="http://schemas.openxmlformats.org/officeDocument/2006/docPropsVTypes">
  <Template>Normal.dotm</Template>
  <Pages>81</Pages>
  <Words>460</Words>
  <Characters>783</Characters>
  <Lines>607</Lines>
  <Paragraphs>170</Paragraphs>
  <TotalTime>6</TotalTime>
  <ScaleCrop>false</ScaleCrop>
  <LinksUpToDate>false</LinksUpToDate>
  <CharactersWithSpaces>796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2020-09-12T08:09:00Z</dcterms:created>
  <dc:creator>Administrator</dc:creator>
  <cp:lastModifiedBy>赵健威</cp:lastModifiedBy>
  <dcterms:modified xsi:type="dcterms:W3CDTF">2026-08-12T09:35:37Z</dcterms:modified>
  <cp:revision>194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B1B111D89B8345E1BA551F5A2796FC55_13</vt:lpwstr>
  </property>
  <property fmtid="{D5CDD505-2E9C-101B-9397-08002B2CF9AE}" pid="4" name="KSOTemplateDocerSaveRecord">
    <vt:lpwstr>eyJoZGlkIjoiYjRlNzBjMDY5YTQ1ZTgwMWNlNDZjNGZmNDJjZWY4NGUiLCJ1c2VySWQiOiI0MDE3ODY4MDgifQ==</vt:lpwstr>
  </property>
</Properties>
</file>